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020B" w14:textId="77777777" w:rsidR="00014B6C" w:rsidRPr="00A91330" w:rsidRDefault="00014B6C" w:rsidP="00014B6C">
      <w:pPr>
        <w:jc w:val="center"/>
        <w:rPr>
          <w:rFonts w:eastAsiaTheme="majorEastAsia"/>
          <w:b/>
          <w:bCs/>
          <w:lang w:val="en-US" w:eastAsia="en-GB"/>
        </w:rPr>
      </w:pPr>
      <w:r w:rsidRPr="00A91330">
        <w:rPr>
          <w:rFonts w:eastAsiaTheme="majorEastAsia"/>
          <w:b/>
          <w:bCs/>
          <w:lang w:val="en-US" w:eastAsia="en-GB"/>
        </w:rPr>
        <w:t xml:space="preserve">Family Supportive Supervisor </w:t>
      </w:r>
      <w:proofErr w:type="spellStart"/>
      <w:r w:rsidRPr="00A91330">
        <w:rPr>
          <w:rFonts w:eastAsiaTheme="majorEastAsia"/>
          <w:b/>
          <w:bCs/>
          <w:lang w:val="en-US" w:eastAsia="en-GB"/>
        </w:rPr>
        <w:t>Behaviours</w:t>
      </w:r>
      <w:proofErr w:type="spellEnd"/>
      <w:r w:rsidRPr="00A91330">
        <w:rPr>
          <w:rFonts w:eastAsiaTheme="majorEastAsia"/>
          <w:b/>
          <w:bCs/>
          <w:lang w:val="en-US" w:eastAsia="en-GB"/>
        </w:rPr>
        <w:t>: The Role of Relational Resources in Work and Home Domains</w:t>
      </w:r>
    </w:p>
    <w:p w14:paraId="5F735316" w14:textId="77777777" w:rsidR="00014B6C" w:rsidRDefault="00014B6C" w:rsidP="00014B6C">
      <w:pPr>
        <w:ind w:left="360"/>
        <w:rPr>
          <w:b/>
          <w:bCs/>
          <w:color w:val="000000" w:themeColor="text1"/>
          <w:lang w:val="en-US"/>
        </w:rPr>
      </w:pPr>
    </w:p>
    <w:p w14:paraId="66474CD4" w14:textId="77777777" w:rsidR="00014B6C" w:rsidRPr="00A91330" w:rsidRDefault="00014B6C" w:rsidP="00014B6C">
      <w:pPr>
        <w:pStyle w:val="ListParagraph"/>
        <w:numPr>
          <w:ilvl w:val="0"/>
          <w:numId w:val="3"/>
        </w:numPr>
        <w:spacing w:after="0" w:line="240" w:lineRule="auto"/>
        <w:rPr>
          <w:rFonts w:ascii="Times New Roman" w:hAnsi="Times New Roman" w:cs="Times New Roman"/>
          <w:b/>
          <w:bCs/>
          <w:color w:val="000000" w:themeColor="text1"/>
          <w:sz w:val="24"/>
          <w:szCs w:val="24"/>
          <w:lang w:val="en-US"/>
        </w:rPr>
      </w:pPr>
      <w:r w:rsidRPr="00A91330">
        <w:rPr>
          <w:rFonts w:ascii="Times New Roman" w:hAnsi="Times New Roman" w:cs="Times New Roman"/>
          <w:b/>
          <w:bCs/>
          <w:color w:val="000000" w:themeColor="text1"/>
          <w:sz w:val="24"/>
          <w:szCs w:val="24"/>
          <w:lang w:val="en-US"/>
        </w:rPr>
        <w:t xml:space="preserve">Can </w:t>
      </w:r>
      <w:proofErr w:type="spellStart"/>
      <w:r w:rsidRPr="00A91330">
        <w:rPr>
          <w:rFonts w:ascii="Times New Roman" w:hAnsi="Times New Roman" w:cs="Times New Roman"/>
          <w:b/>
          <w:bCs/>
          <w:color w:val="000000" w:themeColor="text1"/>
          <w:sz w:val="24"/>
          <w:szCs w:val="24"/>
          <w:lang w:val="en-US"/>
        </w:rPr>
        <w:t>Ererdi</w:t>
      </w:r>
      <w:proofErr w:type="spellEnd"/>
      <w:r w:rsidRPr="00A91330">
        <w:rPr>
          <w:rFonts w:ascii="Times New Roman" w:hAnsi="Times New Roman" w:cs="Times New Roman"/>
          <w:b/>
          <w:bCs/>
          <w:color w:val="000000" w:themeColor="text1"/>
          <w:sz w:val="24"/>
          <w:szCs w:val="24"/>
          <w:lang w:val="en-US"/>
        </w:rPr>
        <w:t xml:space="preserve"> (</w:t>
      </w:r>
      <w:r w:rsidRPr="00A91330">
        <w:rPr>
          <w:rFonts w:ascii="Times New Roman" w:hAnsi="Times New Roman" w:cs="Times New Roman"/>
          <w:b/>
          <w:bCs/>
          <w:sz w:val="24"/>
          <w:szCs w:val="24"/>
          <w:lang w:val="en-US"/>
        </w:rPr>
        <w:t>corresponding author)</w:t>
      </w:r>
    </w:p>
    <w:p w14:paraId="585B590D" w14:textId="77777777" w:rsidR="00014B6C" w:rsidRDefault="00014B6C" w:rsidP="00014B6C">
      <w:pPr>
        <w:rPr>
          <w:color w:val="000000" w:themeColor="text1"/>
          <w:lang w:val="en-US"/>
        </w:rPr>
      </w:pPr>
      <w:r>
        <w:rPr>
          <w:color w:val="000000" w:themeColor="text1"/>
          <w:lang w:val="en-US"/>
        </w:rPr>
        <w:t xml:space="preserve">Organizational Behavior and Human Resource Management </w:t>
      </w:r>
    </w:p>
    <w:p w14:paraId="4374211D" w14:textId="77777777" w:rsidR="00014B6C" w:rsidRDefault="00014B6C" w:rsidP="00014B6C">
      <w:pPr>
        <w:rPr>
          <w:color w:val="000000" w:themeColor="text1"/>
          <w:lang w:val="en-US"/>
        </w:rPr>
      </w:pPr>
      <w:r>
        <w:rPr>
          <w:color w:val="000000" w:themeColor="text1"/>
          <w:lang w:val="en-US"/>
        </w:rPr>
        <w:t>University of Reading, Henley Business School</w:t>
      </w:r>
    </w:p>
    <w:p w14:paraId="592723C2" w14:textId="77777777" w:rsidR="00014B6C" w:rsidRPr="00F06CEE" w:rsidRDefault="00014B6C" w:rsidP="00014B6C">
      <w:pPr>
        <w:rPr>
          <w:color w:val="000000" w:themeColor="text1"/>
          <w:lang w:val="en-US"/>
        </w:rPr>
      </w:pPr>
      <w:r>
        <w:rPr>
          <w:color w:val="000000" w:themeColor="text1"/>
          <w:lang w:val="en-US"/>
        </w:rPr>
        <w:t>E-mail: c.ererdi@henley.ac.uk</w:t>
      </w:r>
    </w:p>
    <w:p w14:paraId="37908232" w14:textId="77777777" w:rsidR="00014B6C" w:rsidRDefault="00014B6C" w:rsidP="00014B6C">
      <w:pPr>
        <w:rPr>
          <w:rFonts w:eastAsiaTheme="majorEastAsia"/>
          <w:b/>
          <w:bCs/>
          <w:lang w:val="en-US" w:eastAsia="en-GB"/>
        </w:rPr>
      </w:pPr>
    </w:p>
    <w:p w14:paraId="3DDF990C" w14:textId="77777777" w:rsidR="00014B6C" w:rsidRPr="00546D5D" w:rsidRDefault="00014B6C" w:rsidP="00014B6C">
      <w:pPr>
        <w:pStyle w:val="ListParagraph"/>
        <w:numPr>
          <w:ilvl w:val="0"/>
          <w:numId w:val="3"/>
        </w:numPr>
        <w:spacing w:after="0" w:line="240" w:lineRule="auto"/>
        <w:rPr>
          <w:rFonts w:ascii="Times New Roman" w:hAnsi="Times New Roman" w:cs="Times New Roman"/>
          <w:color w:val="000000" w:themeColor="text1"/>
          <w:sz w:val="24"/>
          <w:szCs w:val="24"/>
          <w:lang w:val="en-US"/>
        </w:rPr>
      </w:pPr>
      <w:r w:rsidRPr="00546D5D">
        <w:rPr>
          <w:rFonts w:ascii="Times New Roman" w:hAnsi="Times New Roman" w:cs="Times New Roman"/>
          <w:b/>
          <w:bCs/>
          <w:color w:val="000000" w:themeColor="text1"/>
          <w:sz w:val="24"/>
          <w:szCs w:val="24"/>
          <w:lang w:val="en-US"/>
        </w:rPr>
        <w:t xml:space="preserve">Yasin </w:t>
      </w:r>
      <w:proofErr w:type="spellStart"/>
      <w:r w:rsidRPr="00546D5D">
        <w:rPr>
          <w:rFonts w:ascii="Times New Roman" w:hAnsi="Times New Roman" w:cs="Times New Roman"/>
          <w:b/>
          <w:bCs/>
          <w:color w:val="000000" w:themeColor="text1"/>
          <w:sz w:val="24"/>
          <w:szCs w:val="24"/>
          <w:lang w:val="en-US"/>
        </w:rPr>
        <w:t>Rofcanin</w:t>
      </w:r>
      <w:proofErr w:type="spellEnd"/>
      <w:r w:rsidRPr="00546D5D">
        <w:rPr>
          <w:rFonts w:ascii="Times New Roman" w:hAnsi="Times New Roman" w:cs="Times New Roman"/>
          <w:b/>
          <w:bCs/>
          <w:color w:val="000000" w:themeColor="text1"/>
          <w:sz w:val="24"/>
          <w:szCs w:val="24"/>
          <w:lang w:val="en-US"/>
        </w:rPr>
        <w:t xml:space="preserve"> </w:t>
      </w:r>
    </w:p>
    <w:p w14:paraId="45FF35E1" w14:textId="77777777" w:rsidR="00014B6C" w:rsidRPr="00546D5D" w:rsidRDefault="00014B6C" w:rsidP="00014B6C">
      <w:pPr>
        <w:rPr>
          <w:color w:val="000000" w:themeColor="text1"/>
          <w:lang w:val="en-US"/>
        </w:rPr>
      </w:pPr>
      <w:r w:rsidRPr="00546D5D">
        <w:rPr>
          <w:color w:val="000000" w:themeColor="text1"/>
          <w:lang w:val="en-US"/>
        </w:rPr>
        <w:t xml:space="preserve">Professor of Organizational Behavior and Human Resource Management </w:t>
      </w:r>
    </w:p>
    <w:p w14:paraId="6AC2CE61" w14:textId="77777777" w:rsidR="00014B6C" w:rsidRDefault="00014B6C" w:rsidP="00014B6C">
      <w:pPr>
        <w:rPr>
          <w:color w:val="000000" w:themeColor="text1"/>
          <w:lang w:val="en-US"/>
        </w:rPr>
      </w:pPr>
      <w:r>
        <w:rPr>
          <w:color w:val="000000" w:themeColor="text1"/>
          <w:lang w:val="en-US"/>
        </w:rPr>
        <w:t>University of Bath, School of Management, the UK</w:t>
      </w:r>
    </w:p>
    <w:p w14:paraId="4E7450AE" w14:textId="77777777" w:rsidR="00014B6C" w:rsidRDefault="00014B6C" w:rsidP="00014B6C">
      <w:pPr>
        <w:rPr>
          <w:color w:val="000000" w:themeColor="text1"/>
          <w:lang w:val="en-US"/>
        </w:rPr>
      </w:pPr>
      <w:r>
        <w:rPr>
          <w:color w:val="000000" w:themeColor="text1"/>
          <w:lang w:val="en-US"/>
        </w:rPr>
        <w:t xml:space="preserve">E-Mail: </w:t>
      </w:r>
      <w:hyperlink r:id="rId8" w:history="1">
        <w:r>
          <w:rPr>
            <w:rStyle w:val="Hyperlink"/>
            <w:lang w:val="en-US"/>
          </w:rPr>
          <w:t>y.rofcanin@bath.ac.uk</w:t>
        </w:r>
      </w:hyperlink>
      <w:r>
        <w:rPr>
          <w:color w:val="000000" w:themeColor="text1"/>
          <w:lang w:val="en-US"/>
        </w:rPr>
        <w:t xml:space="preserve"> </w:t>
      </w:r>
    </w:p>
    <w:p w14:paraId="356CA8DD" w14:textId="77777777" w:rsidR="00014B6C" w:rsidRDefault="00014B6C" w:rsidP="00014B6C">
      <w:pPr>
        <w:rPr>
          <w:color w:val="000000" w:themeColor="text1"/>
          <w:lang w:val="en-US"/>
        </w:rPr>
      </w:pPr>
    </w:p>
    <w:p w14:paraId="2496F543" w14:textId="77777777" w:rsidR="00014B6C" w:rsidRPr="00F06CEE" w:rsidRDefault="00014B6C" w:rsidP="00014B6C">
      <w:pPr>
        <w:pStyle w:val="ListParagraph"/>
        <w:numPr>
          <w:ilvl w:val="0"/>
          <w:numId w:val="3"/>
        </w:numPr>
        <w:spacing w:after="0" w:line="240" w:lineRule="auto"/>
        <w:rPr>
          <w:rFonts w:ascii="Times New Roman" w:hAnsi="Times New Roman" w:cs="Times New Roman"/>
          <w:b/>
          <w:bCs/>
          <w:color w:val="000000" w:themeColor="text1"/>
          <w:sz w:val="24"/>
          <w:szCs w:val="24"/>
          <w:lang w:val="en-US"/>
        </w:rPr>
      </w:pPr>
      <w:proofErr w:type="spellStart"/>
      <w:r w:rsidRPr="00F06CEE">
        <w:rPr>
          <w:rFonts w:ascii="Times New Roman" w:hAnsi="Times New Roman" w:cs="Times New Roman"/>
          <w:b/>
          <w:bCs/>
          <w:color w:val="000000" w:themeColor="text1"/>
          <w:sz w:val="24"/>
          <w:szCs w:val="24"/>
          <w:lang w:val="en-US"/>
        </w:rPr>
        <w:t>Mireia</w:t>
      </w:r>
      <w:proofErr w:type="spellEnd"/>
      <w:r w:rsidRPr="00F06CEE">
        <w:rPr>
          <w:rFonts w:ascii="Times New Roman" w:hAnsi="Times New Roman" w:cs="Times New Roman"/>
          <w:b/>
          <w:bCs/>
          <w:color w:val="000000" w:themeColor="text1"/>
          <w:sz w:val="24"/>
          <w:szCs w:val="24"/>
          <w:lang w:val="en-US"/>
        </w:rPr>
        <w:t xml:space="preserve"> Las Heras</w:t>
      </w:r>
    </w:p>
    <w:p w14:paraId="4E4BD00C" w14:textId="77777777" w:rsidR="00014B6C" w:rsidRDefault="00014B6C" w:rsidP="00014B6C">
      <w:pPr>
        <w:rPr>
          <w:color w:val="000000" w:themeColor="text1"/>
          <w:lang w:val="en-US"/>
        </w:rPr>
      </w:pPr>
      <w:r>
        <w:rPr>
          <w:color w:val="000000" w:themeColor="text1"/>
          <w:lang w:val="en-US"/>
        </w:rPr>
        <w:t>Associate Professor of Work and Organizational Psychology</w:t>
      </w:r>
    </w:p>
    <w:p w14:paraId="4D794BDA" w14:textId="77777777" w:rsidR="00014B6C" w:rsidRDefault="00014B6C" w:rsidP="00014B6C">
      <w:pPr>
        <w:rPr>
          <w:color w:val="000000" w:themeColor="text1"/>
          <w:lang w:val="en-US"/>
        </w:rPr>
      </w:pPr>
      <w:r>
        <w:rPr>
          <w:color w:val="000000" w:themeColor="text1"/>
          <w:lang w:val="en-US"/>
        </w:rPr>
        <w:t>IESE Business School, Spain</w:t>
      </w:r>
    </w:p>
    <w:p w14:paraId="415FCED3" w14:textId="77777777" w:rsidR="00014B6C" w:rsidRDefault="00014B6C" w:rsidP="00014B6C">
      <w:pPr>
        <w:rPr>
          <w:color w:val="000000" w:themeColor="text1"/>
          <w:lang w:val="en-US"/>
        </w:rPr>
      </w:pPr>
      <w:r>
        <w:rPr>
          <w:color w:val="000000" w:themeColor="text1"/>
          <w:lang w:val="en-US"/>
        </w:rPr>
        <w:t>E-Mail: mlasheras@iese.edu</w:t>
      </w:r>
    </w:p>
    <w:p w14:paraId="5512AD32" w14:textId="77777777" w:rsidR="00014B6C" w:rsidRDefault="00014B6C" w:rsidP="00014B6C"/>
    <w:p w14:paraId="488B34F9" w14:textId="77777777" w:rsidR="00014B6C" w:rsidRDefault="00014B6C" w:rsidP="00014B6C">
      <w:pPr>
        <w:pStyle w:val="ListParagraph"/>
        <w:numPr>
          <w:ilvl w:val="0"/>
          <w:numId w:val="3"/>
        </w:numPr>
        <w:spacing w:after="0" w:line="240" w:lineRule="auto"/>
        <w:rPr>
          <w:rFonts w:ascii="Times New Roman" w:hAnsi="Times New Roman" w:cs="Times New Roman"/>
          <w:b/>
          <w:color w:val="000000" w:themeColor="text1"/>
          <w:sz w:val="24"/>
          <w:szCs w:val="24"/>
          <w:lang w:val="en-US"/>
        </w:rPr>
      </w:pPr>
      <w:r w:rsidRPr="00F06CEE">
        <w:rPr>
          <w:rFonts w:ascii="Times New Roman" w:hAnsi="Times New Roman" w:cs="Times New Roman"/>
          <w:b/>
          <w:color w:val="000000" w:themeColor="text1"/>
          <w:sz w:val="24"/>
          <w:szCs w:val="24"/>
          <w:lang w:val="en-US"/>
        </w:rPr>
        <w:t>Maria Ba</w:t>
      </w:r>
      <w:r>
        <w:rPr>
          <w:rFonts w:ascii="Times New Roman" w:hAnsi="Times New Roman" w:cs="Times New Roman"/>
          <w:b/>
          <w:color w:val="000000" w:themeColor="text1"/>
          <w:sz w:val="24"/>
          <w:szCs w:val="24"/>
          <w:lang w:val="en-US"/>
        </w:rPr>
        <w:t>rraza</w:t>
      </w:r>
    </w:p>
    <w:p w14:paraId="1F7C1E2F" w14:textId="77777777" w:rsidR="00014B6C" w:rsidRDefault="00014B6C" w:rsidP="00014B6C">
      <w:pPr>
        <w:rPr>
          <w:color w:val="000000" w:themeColor="text1"/>
          <w:lang w:val="en-US"/>
        </w:rPr>
      </w:pPr>
      <w:r>
        <w:rPr>
          <w:color w:val="000000" w:themeColor="text1"/>
          <w:lang w:val="en-US"/>
        </w:rPr>
        <w:t>Research Assistant</w:t>
      </w:r>
      <w:r w:rsidRPr="00F06CEE">
        <w:rPr>
          <w:color w:val="000000" w:themeColor="text1"/>
          <w:lang w:val="en-US"/>
        </w:rPr>
        <w:t xml:space="preserve">, </w:t>
      </w:r>
      <w:r>
        <w:rPr>
          <w:color w:val="000000" w:themeColor="text1"/>
          <w:lang w:val="en-US"/>
        </w:rPr>
        <w:t>Work and Organizational Psychology</w:t>
      </w:r>
    </w:p>
    <w:p w14:paraId="779EAFDC" w14:textId="77777777" w:rsidR="00014B6C" w:rsidRDefault="00014B6C" w:rsidP="00014B6C">
      <w:pPr>
        <w:rPr>
          <w:color w:val="000000" w:themeColor="text1"/>
          <w:lang w:val="en-US"/>
        </w:rPr>
      </w:pPr>
      <w:r w:rsidRPr="00F06CEE">
        <w:rPr>
          <w:color w:val="000000" w:themeColor="text1"/>
          <w:lang w:val="en-US"/>
        </w:rPr>
        <w:t xml:space="preserve">IESE Business School, Barcelona, Spain </w:t>
      </w:r>
    </w:p>
    <w:p w14:paraId="1DCD935E" w14:textId="77777777" w:rsidR="00014B6C" w:rsidRDefault="00014B6C" w:rsidP="00014B6C">
      <w:pPr>
        <w:rPr>
          <w:lang w:val="en-US"/>
        </w:rPr>
      </w:pPr>
      <w:r w:rsidRPr="00F06CEE">
        <w:rPr>
          <w:color w:val="000000" w:themeColor="text1"/>
          <w:lang w:val="en-US"/>
        </w:rPr>
        <w:t xml:space="preserve">E-mail: </w:t>
      </w:r>
      <w:hyperlink r:id="rId9" w:history="1">
        <w:r w:rsidRPr="007A7260">
          <w:rPr>
            <w:rStyle w:val="Hyperlink"/>
            <w:lang w:val="en-US"/>
          </w:rPr>
          <w:t>Mbarraza@iese.edu</w:t>
        </w:r>
      </w:hyperlink>
    </w:p>
    <w:p w14:paraId="729B4E25" w14:textId="77777777" w:rsidR="00014B6C" w:rsidRDefault="00014B6C" w:rsidP="00014B6C">
      <w:pPr>
        <w:rPr>
          <w:lang w:val="en-US"/>
        </w:rPr>
      </w:pPr>
    </w:p>
    <w:p w14:paraId="4B11C8D8" w14:textId="77777777" w:rsidR="00014B6C" w:rsidRPr="00546D5D" w:rsidRDefault="00014B6C" w:rsidP="00014B6C">
      <w:pPr>
        <w:pStyle w:val="ListParagraph"/>
        <w:numPr>
          <w:ilvl w:val="0"/>
          <w:numId w:val="3"/>
        </w:numPr>
        <w:spacing w:after="0" w:line="240" w:lineRule="auto"/>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Siqi</w:t>
      </w:r>
      <w:proofErr w:type="spellEnd"/>
      <w:r>
        <w:rPr>
          <w:rFonts w:ascii="Times New Roman" w:hAnsi="Times New Roman" w:cs="Times New Roman"/>
          <w:b/>
          <w:color w:val="000000" w:themeColor="text1"/>
          <w:sz w:val="24"/>
          <w:szCs w:val="24"/>
          <w:lang w:val="en-US"/>
        </w:rPr>
        <w:t xml:space="preserve"> Wang</w:t>
      </w:r>
    </w:p>
    <w:p w14:paraId="0452D36D" w14:textId="77777777" w:rsidR="00014B6C" w:rsidRPr="00546D5D" w:rsidRDefault="00014B6C" w:rsidP="00014B6C">
      <w:pPr>
        <w:rPr>
          <w:color w:val="000000" w:themeColor="text1"/>
          <w:lang w:val="en-US"/>
        </w:rPr>
      </w:pPr>
      <w:r w:rsidRPr="00546D5D">
        <w:rPr>
          <w:color w:val="000000" w:themeColor="text1"/>
          <w:lang w:val="en-US"/>
        </w:rPr>
        <w:t xml:space="preserve">Organizational Behavior and Human Resource Management </w:t>
      </w:r>
    </w:p>
    <w:p w14:paraId="78859E9D" w14:textId="77777777" w:rsidR="00014B6C" w:rsidRPr="00546D5D" w:rsidRDefault="00014B6C" w:rsidP="00014B6C">
      <w:pPr>
        <w:rPr>
          <w:color w:val="000000" w:themeColor="text1"/>
          <w:lang w:val="en-US"/>
        </w:rPr>
      </w:pPr>
      <w:r w:rsidRPr="00546D5D">
        <w:rPr>
          <w:color w:val="000000" w:themeColor="text1"/>
          <w:lang w:val="en-US"/>
        </w:rPr>
        <w:t>University of Bath, School of Management, the UK</w:t>
      </w:r>
    </w:p>
    <w:p w14:paraId="3922D8B5" w14:textId="77777777" w:rsidR="00014B6C" w:rsidRDefault="00014B6C" w:rsidP="00014B6C">
      <w:pPr>
        <w:rPr>
          <w:rFonts w:ascii="Roboto" w:hAnsi="Roboto"/>
          <w:color w:val="222222"/>
          <w:sz w:val="21"/>
          <w:szCs w:val="21"/>
          <w:shd w:val="clear" w:color="auto" w:fill="FFFFFF"/>
        </w:rPr>
      </w:pPr>
      <w:r w:rsidRPr="00F06CEE">
        <w:rPr>
          <w:color w:val="000000" w:themeColor="text1"/>
          <w:lang w:val="en-US"/>
        </w:rPr>
        <w:t xml:space="preserve">E-mail: </w:t>
      </w:r>
      <w:hyperlink r:id="rId10" w:history="1">
        <w:r w:rsidRPr="007A7260">
          <w:rPr>
            <w:rStyle w:val="Hyperlink"/>
            <w:rFonts w:ascii="Roboto" w:hAnsi="Roboto"/>
            <w:sz w:val="21"/>
            <w:szCs w:val="21"/>
            <w:shd w:val="clear" w:color="auto" w:fill="FFFFFF"/>
          </w:rPr>
          <w:t>sw783@bath.ac.uk</w:t>
        </w:r>
      </w:hyperlink>
    </w:p>
    <w:p w14:paraId="08E07259" w14:textId="77777777" w:rsidR="00014B6C" w:rsidRDefault="00014B6C" w:rsidP="00014B6C">
      <w:pPr>
        <w:rPr>
          <w:rFonts w:ascii="Roboto" w:hAnsi="Roboto"/>
          <w:color w:val="222222"/>
          <w:sz w:val="21"/>
          <w:szCs w:val="21"/>
          <w:shd w:val="clear" w:color="auto" w:fill="FFFFFF"/>
        </w:rPr>
      </w:pPr>
    </w:p>
    <w:p w14:paraId="258F6499" w14:textId="77777777" w:rsidR="00014B6C" w:rsidRPr="0083586E" w:rsidRDefault="00014B6C" w:rsidP="00014B6C">
      <w:pPr>
        <w:pStyle w:val="ListParagraph"/>
        <w:numPr>
          <w:ilvl w:val="0"/>
          <w:numId w:val="3"/>
        </w:numPr>
        <w:spacing w:after="200" w:line="480" w:lineRule="auto"/>
        <w:rPr>
          <w:rFonts w:ascii="Times New Roman" w:hAnsi="Times New Roman" w:cs="Times New Roman"/>
          <w:b/>
          <w:bCs/>
          <w:sz w:val="24"/>
          <w:szCs w:val="24"/>
        </w:rPr>
      </w:pPr>
      <w:r w:rsidRPr="0083586E">
        <w:rPr>
          <w:rFonts w:ascii="Times New Roman" w:hAnsi="Times New Roman" w:cs="Times New Roman"/>
          <w:b/>
          <w:bCs/>
          <w:sz w:val="24"/>
          <w:szCs w:val="24"/>
        </w:rPr>
        <w:t>Arnold Bakker</w:t>
      </w:r>
    </w:p>
    <w:p w14:paraId="09131821" w14:textId="77777777" w:rsidR="00014B6C" w:rsidRDefault="00014B6C" w:rsidP="00014B6C">
      <w:pPr>
        <w:pStyle w:val="ListParagraph"/>
        <w:spacing w:line="240" w:lineRule="auto"/>
        <w:ind w:left="0"/>
        <w:rPr>
          <w:rFonts w:ascii="Times New Roman" w:hAnsi="Times New Roman" w:cs="Times New Roman"/>
          <w:sz w:val="24"/>
          <w:szCs w:val="24"/>
        </w:rPr>
      </w:pPr>
      <w:r w:rsidRPr="0083586E">
        <w:rPr>
          <w:rFonts w:ascii="Times New Roman" w:hAnsi="Times New Roman" w:cs="Times New Roman"/>
          <w:sz w:val="24"/>
          <w:szCs w:val="24"/>
        </w:rPr>
        <w:t>Professor of Work and Organizational Psychology</w:t>
      </w:r>
    </w:p>
    <w:p w14:paraId="3C915599" w14:textId="77777777" w:rsidR="00014B6C" w:rsidRDefault="00014B6C" w:rsidP="00014B6C">
      <w:pPr>
        <w:pStyle w:val="ListParagraph"/>
        <w:spacing w:line="240" w:lineRule="auto"/>
        <w:ind w:left="0"/>
        <w:rPr>
          <w:rFonts w:ascii="Times New Roman" w:hAnsi="Times New Roman" w:cs="Times New Roman"/>
          <w:sz w:val="24"/>
          <w:szCs w:val="24"/>
        </w:rPr>
      </w:pPr>
      <w:r w:rsidRPr="0083586E">
        <w:rPr>
          <w:rFonts w:ascii="Times New Roman" w:hAnsi="Times New Roman" w:cs="Times New Roman"/>
          <w:sz w:val="24"/>
          <w:szCs w:val="24"/>
        </w:rPr>
        <w:t>Erasmus University Rotterdam</w:t>
      </w:r>
    </w:p>
    <w:p w14:paraId="2E8D9D7C" w14:textId="77777777" w:rsidR="00014B6C" w:rsidRDefault="00000000" w:rsidP="00014B6C">
      <w:pPr>
        <w:pStyle w:val="ListParagraph"/>
        <w:spacing w:line="240" w:lineRule="auto"/>
        <w:ind w:left="0"/>
        <w:rPr>
          <w:rStyle w:val="Hyperlink"/>
          <w:rFonts w:ascii="Times New Roman" w:hAnsi="Times New Roman" w:cs="Times New Roman"/>
          <w:sz w:val="24"/>
          <w:szCs w:val="24"/>
        </w:rPr>
      </w:pPr>
      <w:hyperlink r:id="rId11" w:history="1">
        <w:r w:rsidR="00014B6C" w:rsidRPr="00AB4A77">
          <w:rPr>
            <w:rStyle w:val="Hyperlink"/>
            <w:rFonts w:ascii="Times New Roman" w:hAnsi="Times New Roman" w:cs="Times New Roman"/>
            <w:sz w:val="24"/>
            <w:szCs w:val="24"/>
          </w:rPr>
          <w:t>bakker@essb.eur.nl</w:t>
        </w:r>
      </w:hyperlink>
    </w:p>
    <w:p w14:paraId="09DF5BCB" w14:textId="77777777" w:rsidR="00014B6C" w:rsidRDefault="00014B6C" w:rsidP="00014B6C">
      <w:pPr>
        <w:pStyle w:val="ListParagraph"/>
        <w:spacing w:line="240" w:lineRule="auto"/>
        <w:ind w:left="0"/>
        <w:rPr>
          <w:rStyle w:val="Hyperlink"/>
          <w:rFonts w:ascii="Times New Roman" w:hAnsi="Times New Roman" w:cs="Times New Roman"/>
          <w:sz w:val="24"/>
          <w:szCs w:val="24"/>
        </w:rPr>
      </w:pPr>
    </w:p>
    <w:p w14:paraId="58D121A2" w14:textId="77777777" w:rsidR="00014B6C" w:rsidRDefault="00014B6C" w:rsidP="00014B6C">
      <w:pPr>
        <w:pStyle w:val="ListParagraph"/>
        <w:numPr>
          <w:ilvl w:val="0"/>
          <w:numId w:val="3"/>
        </w:numPr>
        <w:spacing w:after="200" w:line="240" w:lineRule="auto"/>
        <w:rPr>
          <w:rStyle w:val="Hyperlink"/>
          <w:rFonts w:ascii="Times New Roman" w:hAnsi="Times New Roman" w:cs="Times New Roman"/>
          <w:b/>
          <w:bCs/>
          <w:sz w:val="24"/>
          <w:szCs w:val="24"/>
        </w:rPr>
      </w:pPr>
      <w:r w:rsidRPr="00D60250">
        <w:rPr>
          <w:rStyle w:val="Hyperlink"/>
          <w:rFonts w:ascii="Times New Roman" w:hAnsi="Times New Roman" w:cs="Times New Roman"/>
          <w:b/>
          <w:bCs/>
          <w:sz w:val="24"/>
          <w:szCs w:val="24"/>
        </w:rPr>
        <w:t>Maria Jose Bosch</w:t>
      </w:r>
    </w:p>
    <w:p w14:paraId="6A04281A" w14:textId="77777777" w:rsidR="00014B6C" w:rsidRDefault="00014B6C" w:rsidP="00014B6C">
      <w:r>
        <w:t>Professor of Leadership and People Management</w:t>
      </w:r>
    </w:p>
    <w:p w14:paraId="3C836EFF" w14:textId="77777777" w:rsidR="00014B6C" w:rsidRDefault="00014B6C" w:rsidP="00014B6C">
      <w:r w:rsidRPr="00D60250">
        <w:t xml:space="preserve">ESE Business School, Universidad de </w:t>
      </w:r>
      <w:proofErr w:type="spellStart"/>
      <w:r w:rsidRPr="00D60250">
        <w:t>los</w:t>
      </w:r>
      <w:proofErr w:type="spellEnd"/>
      <w:r w:rsidRPr="00D60250">
        <w:t xml:space="preserve"> Andes</w:t>
      </w:r>
    </w:p>
    <w:p w14:paraId="194608A7" w14:textId="77777777" w:rsidR="00014B6C" w:rsidRDefault="00000000" w:rsidP="00014B6C">
      <w:pPr>
        <w:rPr>
          <w:rStyle w:val="Hyperlink"/>
        </w:rPr>
      </w:pPr>
      <w:hyperlink r:id="rId12" w:history="1">
        <w:r w:rsidR="00014B6C" w:rsidRPr="00966FA9">
          <w:rPr>
            <w:rStyle w:val="Hyperlink"/>
          </w:rPr>
          <w:t>mjbosch.ese@uandes.cl</w:t>
        </w:r>
      </w:hyperlink>
    </w:p>
    <w:p w14:paraId="2EC6A43E" w14:textId="77777777" w:rsidR="00014B6C" w:rsidRPr="00710FDD" w:rsidRDefault="00014B6C" w:rsidP="00014B6C">
      <w:pPr>
        <w:rPr>
          <w:rStyle w:val="Hyperlink"/>
          <w:b/>
          <w:bCs/>
        </w:rPr>
      </w:pPr>
    </w:p>
    <w:p w14:paraId="1597B37F" w14:textId="77777777" w:rsidR="00014B6C" w:rsidRPr="00710FDD" w:rsidRDefault="00014B6C" w:rsidP="00014B6C">
      <w:pPr>
        <w:pStyle w:val="ListParagraph"/>
        <w:numPr>
          <w:ilvl w:val="0"/>
          <w:numId w:val="3"/>
        </w:numPr>
        <w:spacing w:after="200" w:line="240" w:lineRule="auto"/>
        <w:rPr>
          <w:rFonts w:ascii="Times New Roman" w:hAnsi="Times New Roman" w:cs="Times New Roman"/>
          <w:b/>
          <w:bCs/>
          <w:sz w:val="24"/>
          <w:szCs w:val="24"/>
        </w:rPr>
      </w:pPr>
      <w:proofErr w:type="spellStart"/>
      <w:r w:rsidRPr="00710FDD">
        <w:rPr>
          <w:rFonts w:ascii="Times New Roman" w:hAnsi="Times New Roman" w:cs="Times New Roman"/>
          <w:b/>
          <w:bCs/>
          <w:sz w:val="24"/>
          <w:szCs w:val="24"/>
        </w:rPr>
        <w:t>Aykut</w:t>
      </w:r>
      <w:proofErr w:type="spellEnd"/>
      <w:r w:rsidRPr="00710FDD">
        <w:rPr>
          <w:rFonts w:ascii="Times New Roman" w:hAnsi="Times New Roman" w:cs="Times New Roman"/>
          <w:b/>
          <w:bCs/>
          <w:sz w:val="24"/>
          <w:szCs w:val="24"/>
        </w:rPr>
        <w:t xml:space="preserve"> Berber</w:t>
      </w:r>
    </w:p>
    <w:p w14:paraId="77CDC1DC" w14:textId="77777777" w:rsidR="00014B6C" w:rsidRDefault="00014B6C" w:rsidP="00014B6C">
      <w:r>
        <w:t xml:space="preserve">Associate </w:t>
      </w:r>
      <w:r w:rsidRPr="00710FDD">
        <w:t>Professor in Critical HRM and Management Studies</w:t>
      </w:r>
    </w:p>
    <w:p w14:paraId="2B931400" w14:textId="01269C03" w:rsidR="00014B6C" w:rsidRDefault="00014B6C" w:rsidP="00014B6C">
      <w:r w:rsidRPr="00710FDD">
        <w:t>Faculty of Business and Law (FBL)</w:t>
      </w:r>
      <w:r>
        <w:t xml:space="preserve">, University of </w:t>
      </w:r>
      <w:r w:rsidR="00C935B7">
        <w:t xml:space="preserve">the </w:t>
      </w:r>
      <w:r>
        <w:t>West of England</w:t>
      </w:r>
    </w:p>
    <w:p w14:paraId="4473203D" w14:textId="77777777" w:rsidR="00014B6C" w:rsidRDefault="00000000" w:rsidP="00014B6C">
      <w:hyperlink r:id="rId13" w:history="1">
        <w:r w:rsidR="00014B6C" w:rsidRPr="00D47C01">
          <w:rPr>
            <w:rStyle w:val="Hyperlink"/>
          </w:rPr>
          <w:t>Aykut.Berber@uwe.ac.uk</w:t>
        </w:r>
      </w:hyperlink>
    </w:p>
    <w:p w14:paraId="0FA88EA4" w14:textId="77777777" w:rsidR="00014B6C" w:rsidRDefault="00014B6C" w:rsidP="00014B6C"/>
    <w:p w14:paraId="5074F22F" w14:textId="77777777" w:rsidR="00014B6C" w:rsidRPr="00710FDD" w:rsidRDefault="00014B6C" w:rsidP="00014B6C"/>
    <w:p w14:paraId="7E43373D" w14:textId="77777777" w:rsidR="00014B6C" w:rsidRDefault="00014B6C">
      <w:pPr>
        <w:spacing w:line="480" w:lineRule="auto"/>
        <w:rPr>
          <w:b/>
          <w:bCs/>
        </w:rPr>
      </w:pPr>
      <w:r>
        <w:rPr>
          <w:b/>
          <w:bCs/>
        </w:rPr>
        <w:br w:type="page"/>
      </w:r>
    </w:p>
    <w:p w14:paraId="703E1185" w14:textId="62875E8D" w:rsidR="00E25B16" w:rsidRPr="00071A3A" w:rsidRDefault="008A2053" w:rsidP="00071A3A">
      <w:pPr>
        <w:spacing w:line="480" w:lineRule="auto"/>
        <w:ind w:left="2520"/>
        <w:rPr>
          <w:b/>
          <w:bCs/>
        </w:rPr>
      </w:pPr>
      <w:r w:rsidRPr="00071A3A">
        <w:rPr>
          <w:b/>
          <w:bCs/>
        </w:rPr>
        <w:lastRenderedPageBreak/>
        <w:t xml:space="preserve">Family Supportive Supervisor Behaviours: </w:t>
      </w:r>
    </w:p>
    <w:p w14:paraId="35FC2C29" w14:textId="188646A5" w:rsidR="006429F2" w:rsidRPr="00071A3A" w:rsidRDefault="001033FB" w:rsidP="00071A3A">
      <w:pPr>
        <w:spacing w:line="480" w:lineRule="auto"/>
        <w:ind w:left="360"/>
        <w:jc w:val="center"/>
        <w:rPr>
          <w:b/>
          <w:bCs/>
        </w:rPr>
      </w:pPr>
      <w:r w:rsidRPr="00071A3A">
        <w:rPr>
          <w:b/>
          <w:bCs/>
        </w:rPr>
        <w:t>The Role of Relational Resources in Work and Home Domains</w:t>
      </w:r>
    </w:p>
    <w:p w14:paraId="66863CF4" w14:textId="77777777" w:rsidR="00D6661B" w:rsidRDefault="00D6661B" w:rsidP="00071A3A">
      <w:pPr>
        <w:spacing w:line="480" w:lineRule="auto"/>
        <w:jc w:val="center"/>
        <w:rPr>
          <w:b/>
          <w:bCs/>
        </w:rPr>
      </w:pPr>
    </w:p>
    <w:p w14:paraId="79D0A4C9" w14:textId="2636E5FB" w:rsidR="00E25B16" w:rsidRPr="00071A3A" w:rsidRDefault="00E25B16" w:rsidP="00A10FCF">
      <w:pPr>
        <w:spacing w:line="480" w:lineRule="auto"/>
        <w:rPr>
          <w:b/>
          <w:bCs/>
        </w:rPr>
      </w:pPr>
      <w:r w:rsidRPr="00071A3A">
        <w:rPr>
          <w:b/>
          <w:bCs/>
        </w:rPr>
        <w:t>Abstract</w:t>
      </w:r>
    </w:p>
    <w:p w14:paraId="544EBB8A" w14:textId="28A4ED73" w:rsidR="00E25B16" w:rsidRPr="00071A3A" w:rsidRDefault="00FA125D" w:rsidP="00A10FCF">
      <w:pPr>
        <w:spacing w:line="480" w:lineRule="auto"/>
        <w:rPr>
          <w:iCs/>
          <w:color w:val="000000"/>
          <w:lang w:val="en-US" w:eastAsia="nl-NL"/>
        </w:rPr>
      </w:pPr>
      <w:r>
        <w:t>T</w:t>
      </w:r>
      <w:r w:rsidR="00E25B16" w:rsidRPr="00E25B16">
        <w:t xml:space="preserve">his study explores the nomological network of </w:t>
      </w:r>
      <w:r w:rsidR="00B45D55">
        <w:t>family</w:t>
      </w:r>
      <w:r w:rsidR="000953FA">
        <w:t xml:space="preserve"> </w:t>
      </w:r>
      <w:r w:rsidR="00B45D55">
        <w:t>supportive</w:t>
      </w:r>
      <w:r w:rsidR="00E25B16" w:rsidRPr="00E25B16">
        <w:t xml:space="preserve"> supervisor </w:t>
      </w:r>
      <w:r w:rsidR="008A2053" w:rsidRPr="00E25B16">
        <w:t>behaviours</w:t>
      </w:r>
      <w:r w:rsidR="00E25B16" w:rsidRPr="00E25B16">
        <w:t xml:space="preserve"> (FSSB</w:t>
      </w:r>
      <w:r w:rsidR="00805BD5">
        <w:t>s</w:t>
      </w:r>
      <w:r w:rsidR="00E25B16" w:rsidRPr="00E25B16">
        <w:t>)</w:t>
      </w:r>
      <w:r w:rsidR="00805BD5">
        <w:t xml:space="preserve"> at </w:t>
      </w:r>
      <w:r w:rsidR="008A2053">
        <w:t xml:space="preserve">the </w:t>
      </w:r>
      <w:r w:rsidR="00805BD5">
        <w:t>week</w:t>
      </w:r>
      <w:r>
        <w:t xml:space="preserve">ly </w:t>
      </w:r>
      <w:r w:rsidR="00805BD5">
        <w:t>level</w:t>
      </w:r>
      <w:r w:rsidR="00E25B16" w:rsidRPr="00E25B16">
        <w:t xml:space="preserve">. </w:t>
      </w:r>
      <w:r w:rsidR="00545B68">
        <w:t>Drawing on the tenets of the W-HR model and the Con</w:t>
      </w:r>
      <w:r w:rsidR="0076193B">
        <w:t>serv</w:t>
      </w:r>
      <w:r w:rsidR="00545B68">
        <w:t>ation of Resource</w:t>
      </w:r>
      <w:r w:rsidR="0076193B">
        <w:t>s</w:t>
      </w:r>
      <w:r w:rsidR="00545B68">
        <w:t xml:space="preserve"> theory</w:t>
      </w:r>
      <w:r w:rsidR="000953FA">
        <w:t>,</w:t>
      </w:r>
      <w:r w:rsidR="00545B68">
        <w:t xml:space="preserve"> w</w:t>
      </w:r>
      <w:r w:rsidR="00805BD5">
        <w:t xml:space="preserve">e integrate relational resources </w:t>
      </w:r>
      <w:r w:rsidR="00426966">
        <w:t xml:space="preserve">in the </w:t>
      </w:r>
      <w:r w:rsidR="005C3A9E">
        <w:t>model and</w:t>
      </w:r>
      <w:r w:rsidR="00426966">
        <w:t xml:space="preserve"> investigate their role </w:t>
      </w:r>
      <w:r w:rsidR="00805BD5">
        <w:t xml:space="preserve">as triggers of FSSBs. </w:t>
      </w:r>
      <w:r w:rsidR="009845A2">
        <w:t xml:space="preserve">Furthermore, we explore how FSSBs relate to </w:t>
      </w:r>
      <w:r w:rsidR="00B93048">
        <w:t>both within domain (</w:t>
      </w:r>
      <w:r w:rsidR="00E661FA">
        <w:t>production deviance</w:t>
      </w:r>
      <w:r w:rsidR="009845A2">
        <w:t>, employee creativity</w:t>
      </w:r>
      <w:r w:rsidR="00B93048">
        <w:t>) and between domain (sleep quality and dyadic adjustment) employee outcomes</w:t>
      </w:r>
      <w:r w:rsidR="009845A2">
        <w:t>, with a focus on exhaustion as</w:t>
      </w:r>
      <w:r w:rsidR="00CC7E5A">
        <w:t xml:space="preserve"> a mediator</w:t>
      </w:r>
      <w:r w:rsidR="00933D52">
        <w:t>.</w:t>
      </w:r>
      <w:r w:rsidR="00D12517">
        <w:t xml:space="preserve"> </w:t>
      </w:r>
      <w:r w:rsidR="007A69F3">
        <w:t>Our findings show that</w:t>
      </w:r>
      <w:r w:rsidR="000953FA">
        <w:t>:</w:t>
      </w:r>
      <w:r w:rsidR="007A69F3">
        <w:t xml:space="preserve"> 1) </w:t>
      </w:r>
      <w:r w:rsidR="007A69F3" w:rsidRPr="00E25B16">
        <w:t xml:space="preserve">spousal support experienced </w:t>
      </w:r>
      <w:r w:rsidR="007A69F3" w:rsidRPr="004837A7">
        <w:t xml:space="preserve">by the supervisor </w:t>
      </w:r>
      <w:r w:rsidR="00B45D55">
        <w:t xml:space="preserve">is </w:t>
      </w:r>
      <w:r w:rsidR="007A69F3" w:rsidRPr="004837A7">
        <w:t xml:space="preserve">positively related to </w:t>
      </w:r>
      <w:r w:rsidR="00B45D55">
        <w:t xml:space="preserve">the </w:t>
      </w:r>
      <w:r w:rsidR="007A69F3" w:rsidRPr="004837A7">
        <w:t>employee's perception of FSSBs as enacted by the supervisor</w:t>
      </w:r>
      <w:r w:rsidR="000953FA">
        <w:t>;</w:t>
      </w:r>
      <w:r w:rsidR="00B45D55">
        <w:t xml:space="preserve"> </w:t>
      </w:r>
      <w:r w:rsidR="007A69F3">
        <w:t xml:space="preserve">2) </w:t>
      </w:r>
      <w:r w:rsidR="007A69F3" w:rsidRPr="004837A7">
        <w:t>employee</w:t>
      </w:r>
      <w:r w:rsidR="00B45D55">
        <w:t>s’</w:t>
      </w:r>
      <w:r w:rsidR="007A69F3" w:rsidRPr="004837A7">
        <w:t xml:space="preserve"> perception</w:t>
      </w:r>
      <w:r w:rsidR="00B45D55">
        <w:t>s</w:t>
      </w:r>
      <w:r w:rsidR="007A69F3" w:rsidRPr="004837A7">
        <w:t xml:space="preserve"> of FSSBs</w:t>
      </w:r>
      <w:r w:rsidR="007A69F3" w:rsidRPr="004837A7" w:rsidDel="00FF5055">
        <w:t xml:space="preserve"> </w:t>
      </w:r>
      <w:r w:rsidR="00B45D55">
        <w:t>are</w:t>
      </w:r>
      <w:r w:rsidR="007A69F3" w:rsidRPr="004837A7">
        <w:t xml:space="preserve"> negatively </w:t>
      </w:r>
      <w:r w:rsidR="007A69F3">
        <w:t xml:space="preserve">related to </w:t>
      </w:r>
      <w:r w:rsidR="007A69F3" w:rsidRPr="00E25B16">
        <w:t>employee</w:t>
      </w:r>
      <w:r w:rsidR="007A69F3">
        <w:t xml:space="preserve">s’ </w:t>
      </w:r>
      <w:r w:rsidR="00B45D55">
        <w:t>production</w:t>
      </w:r>
      <w:r w:rsidR="007A69F3" w:rsidRPr="00071A3A">
        <w:rPr>
          <w:iCs/>
          <w:color w:val="000000"/>
          <w:lang w:val="en-US" w:eastAsia="nl-NL"/>
        </w:rPr>
        <w:t xml:space="preserve"> </w:t>
      </w:r>
      <w:r w:rsidR="00740D25" w:rsidRPr="00071A3A">
        <w:rPr>
          <w:iCs/>
          <w:color w:val="000000"/>
          <w:lang w:val="en-US" w:eastAsia="nl-NL"/>
        </w:rPr>
        <w:t>deviance</w:t>
      </w:r>
      <w:r w:rsidR="000953FA" w:rsidRPr="00071A3A">
        <w:rPr>
          <w:iCs/>
          <w:color w:val="000000"/>
          <w:lang w:val="en-US" w:eastAsia="nl-NL"/>
        </w:rPr>
        <w:t>;</w:t>
      </w:r>
      <w:r w:rsidR="00B45D55" w:rsidRPr="00071A3A">
        <w:rPr>
          <w:iCs/>
          <w:color w:val="000000"/>
          <w:lang w:val="en-US" w:eastAsia="nl-NL"/>
        </w:rPr>
        <w:t xml:space="preserve"> and 3) exhaustion is a mediator between FSSBs and employee outcomes of creativity, sleep quality and dyadic adjustment. Our findings</w:t>
      </w:r>
      <w:r w:rsidR="0069667F" w:rsidRPr="00071A3A">
        <w:rPr>
          <w:iCs/>
          <w:color w:val="000000"/>
          <w:lang w:val="en-US" w:eastAsia="nl-NL"/>
        </w:rPr>
        <w:t xml:space="preserve"> across two multi-source and diary studies</w:t>
      </w:r>
      <w:r w:rsidR="00B45D55" w:rsidRPr="00071A3A">
        <w:rPr>
          <w:iCs/>
          <w:color w:val="000000"/>
          <w:lang w:val="en-US" w:eastAsia="nl-NL"/>
        </w:rPr>
        <w:t xml:space="preserve"> underline the importance of designing and implementing FSSBs in a dynamic fashion.</w:t>
      </w:r>
    </w:p>
    <w:p w14:paraId="7DF59C1D" w14:textId="6D0E38E1" w:rsidR="004C4906" w:rsidRDefault="00E25B16" w:rsidP="00A10FCF">
      <w:pPr>
        <w:spacing w:line="480" w:lineRule="auto"/>
      </w:pPr>
      <w:r w:rsidRPr="00071A3A">
        <w:rPr>
          <w:b/>
          <w:bCs/>
        </w:rPr>
        <w:t>Keywords:</w:t>
      </w:r>
      <w:r w:rsidRPr="00E25B16">
        <w:t xml:space="preserve"> </w:t>
      </w:r>
      <w:r w:rsidR="000953FA">
        <w:t>F</w:t>
      </w:r>
      <w:r w:rsidRPr="00E25B16">
        <w:t>amily supportive supervisor behavio</w:t>
      </w:r>
      <w:r w:rsidR="008A2053">
        <w:t>u</w:t>
      </w:r>
      <w:r w:rsidRPr="00E25B16">
        <w:t>rs, spousal support, workplace deviance, weekly diary data</w:t>
      </w:r>
    </w:p>
    <w:p w14:paraId="7C01F207" w14:textId="749A8EE4" w:rsidR="00D82F70" w:rsidRDefault="00D82F70" w:rsidP="00071A3A">
      <w:pPr>
        <w:spacing w:line="480" w:lineRule="auto"/>
        <w:sectPr w:rsidR="00D82F70" w:rsidSect="002D7835">
          <w:headerReference w:type="even" r:id="rId14"/>
          <w:headerReference w:type="default" r:id="rId15"/>
          <w:footerReference w:type="even" r:id="rId16"/>
          <w:footerReference w:type="default" r:id="rId17"/>
          <w:pgSz w:w="11906" w:h="16838"/>
          <w:pgMar w:top="1418" w:right="1418" w:bottom="1418" w:left="1418" w:header="709" w:footer="709" w:gutter="0"/>
          <w:cols w:space="708"/>
          <w:docGrid w:linePitch="360"/>
        </w:sectPr>
      </w:pPr>
    </w:p>
    <w:p w14:paraId="3ECD3AD3" w14:textId="34C8A4B8" w:rsidR="00FA125D" w:rsidRPr="00071A3A" w:rsidRDefault="00FA125D" w:rsidP="00A10FCF">
      <w:pPr>
        <w:spacing w:line="480" w:lineRule="auto"/>
        <w:rPr>
          <w:b/>
          <w:bCs/>
        </w:rPr>
      </w:pPr>
      <w:r w:rsidRPr="00071A3A">
        <w:rPr>
          <w:b/>
          <w:bCs/>
        </w:rPr>
        <w:lastRenderedPageBreak/>
        <w:t>Introduction</w:t>
      </w:r>
    </w:p>
    <w:p w14:paraId="4B25265F" w14:textId="6FB7B9A4" w:rsidR="006D3E42" w:rsidRDefault="004C4906" w:rsidP="00A10FCF">
      <w:pPr>
        <w:spacing w:line="480" w:lineRule="auto"/>
        <w:ind w:firstLine="360"/>
      </w:pPr>
      <w:r w:rsidRPr="004C4906">
        <w:t>In a world where the line</w:t>
      </w:r>
      <w:r w:rsidR="004714AD">
        <w:t>s</w:t>
      </w:r>
      <w:r w:rsidRPr="004C4906">
        <w:t xml:space="preserve"> between work and family </w:t>
      </w:r>
      <w:r w:rsidR="004714AD">
        <w:t>are</w:t>
      </w:r>
      <w:r w:rsidRPr="004C4906">
        <w:t xml:space="preserve"> becoming more transparent and intertwined (e.g., dual-earner families and single parents; Van der Lippe, 2007), </w:t>
      </w:r>
      <w:r>
        <w:t xml:space="preserve">issues pertaining to </w:t>
      </w:r>
      <w:r w:rsidRPr="004C4906">
        <w:t xml:space="preserve">work-family </w:t>
      </w:r>
      <w:r>
        <w:t xml:space="preserve">have become more important than ever. </w:t>
      </w:r>
      <w:r w:rsidR="00E25B16" w:rsidRPr="00E25B16">
        <w:t xml:space="preserve">Thus, there is a need for </w:t>
      </w:r>
      <w:r w:rsidR="001D1808">
        <w:t>family-supportive</w:t>
      </w:r>
      <w:r w:rsidR="00E25B16" w:rsidRPr="00E25B16">
        <w:t xml:space="preserve"> </w:t>
      </w:r>
      <w:r w:rsidR="0076193B">
        <w:t xml:space="preserve">practices and behaviors </w:t>
      </w:r>
      <w:r w:rsidR="00E25B16" w:rsidRPr="00E25B16">
        <w:t>that facilitate employees</w:t>
      </w:r>
      <w:r w:rsidR="0076193B">
        <w:t xml:space="preserve"> meet</w:t>
      </w:r>
      <w:r w:rsidR="00740D25">
        <w:t xml:space="preserve">ing </w:t>
      </w:r>
      <w:r w:rsidR="0076193B">
        <w:t xml:space="preserve">their commitments </w:t>
      </w:r>
      <w:r w:rsidR="00E25B16" w:rsidRPr="00E25B16">
        <w:t xml:space="preserve">across the work and non-work </w:t>
      </w:r>
      <w:r w:rsidR="001D1808">
        <w:t>domains</w:t>
      </w:r>
      <w:r w:rsidR="00E25B16" w:rsidRPr="00E25B16">
        <w:t xml:space="preserve"> (Hammer, Kossek, Bodner, &amp; Crain, 2013; Kelliher &amp; Anderson, 20</w:t>
      </w:r>
      <w:r w:rsidR="00A13A8A">
        <w:t>10</w:t>
      </w:r>
      <w:r w:rsidR="00E25B16" w:rsidRPr="00E25B16">
        <w:t>). In th</w:t>
      </w:r>
      <w:r w:rsidR="0076193B">
        <w:t xml:space="preserve">e recent past, </w:t>
      </w:r>
      <w:r w:rsidR="00E25B16" w:rsidRPr="00E25B16">
        <w:t xml:space="preserve">research has emphasized the </w:t>
      </w:r>
      <w:r w:rsidR="001D1808">
        <w:t>emergence of a new type of leadership: family-supportive</w:t>
      </w:r>
      <w:r w:rsidR="00E25B16" w:rsidRPr="00E25B16">
        <w:t xml:space="preserve"> supervisor </w:t>
      </w:r>
      <w:r w:rsidR="001D590D">
        <w:t>behaviour</w:t>
      </w:r>
      <w:r w:rsidR="00E25B16" w:rsidRPr="00E25B16">
        <w:t xml:space="preserve">s (i.e., FSSB). </w:t>
      </w:r>
      <w:r w:rsidR="00803348">
        <w:rPr>
          <w:lang w:eastAsia="zh-CN"/>
        </w:rPr>
        <w:t xml:space="preserve">Much of the </w:t>
      </w:r>
      <w:r w:rsidR="001D1808">
        <w:rPr>
          <w:lang w:eastAsia="zh-CN"/>
        </w:rPr>
        <w:t xml:space="preserve">growing </w:t>
      </w:r>
      <w:r w:rsidR="00803348">
        <w:rPr>
          <w:lang w:eastAsia="zh-CN"/>
        </w:rPr>
        <w:t>literature on FSSBs mainly focuses on the outcomes and consequences of engaging in such behaviours (Rofcanin, De Jong, Las Heras &amp; Kim, 2018; Rofcanin, Las Heras &amp; Escribano, 2020; Qing, Zhang &amp; Wang, 2021</w:t>
      </w:r>
      <w:r w:rsidR="005C32C5">
        <w:rPr>
          <w:lang w:eastAsia="zh-CN"/>
        </w:rPr>
        <w:t xml:space="preserve">). </w:t>
      </w:r>
      <w:r w:rsidR="0076193B">
        <w:rPr>
          <w:lang w:eastAsia="zh-CN"/>
        </w:rPr>
        <w:t xml:space="preserve">However, we know very little about </w:t>
      </w:r>
      <w:r w:rsidR="00803348">
        <w:rPr>
          <w:lang w:eastAsia="zh-CN"/>
        </w:rPr>
        <w:t>the</w:t>
      </w:r>
      <w:r w:rsidR="00B45D55">
        <w:rPr>
          <w:lang w:eastAsia="zh-CN"/>
        </w:rPr>
        <w:t xml:space="preserve"> relational</w:t>
      </w:r>
      <w:r w:rsidR="00803348">
        <w:rPr>
          <w:lang w:eastAsia="zh-CN"/>
        </w:rPr>
        <w:t xml:space="preserve"> antecedents of such behaviours and the mechanisms that trigger supervisors to change the frequency and intensity of such behaviours </w:t>
      </w:r>
      <w:r w:rsidR="00B45D55">
        <w:rPr>
          <w:lang w:eastAsia="zh-CN"/>
        </w:rPr>
        <w:t>in</w:t>
      </w:r>
      <w:r w:rsidR="00803348">
        <w:rPr>
          <w:lang w:eastAsia="zh-CN"/>
        </w:rPr>
        <w:t xml:space="preserve"> </w:t>
      </w:r>
      <w:r w:rsidR="001D1808">
        <w:rPr>
          <w:lang w:eastAsia="zh-CN"/>
        </w:rPr>
        <w:t>a dynamic fashion</w:t>
      </w:r>
      <w:r w:rsidR="00803348">
        <w:rPr>
          <w:lang w:eastAsia="zh-CN"/>
        </w:rPr>
        <w:t xml:space="preserve">. </w:t>
      </w:r>
    </w:p>
    <w:p w14:paraId="3F9B1E52" w14:textId="354BE23B" w:rsidR="00C1311F" w:rsidRDefault="0052009C" w:rsidP="00A10FCF">
      <w:pPr>
        <w:spacing w:line="480" w:lineRule="auto"/>
        <w:ind w:firstLine="360"/>
      </w:pPr>
      <w:r>
        <w:t>The</w:t>
      </w:r>
      <w:r w:rsidR="00E25B16" w:rsidRPr="00E25B16">
        <w:t xml:space="preserve"> over-arching goal of this study is to explore the nomological network of FSSB</w:t>
      </w:r>
      <w:r w:rsidR="00C1311F">
        <w:t>s</w:t>
      </w:r>
      <w:r w:rsidR="00E25B16" w:rsidRPr="00E25B16">
        <w:t xml:space="preserve">, with a particular focus on </w:t>
      </w:r>
      <w:r w:rsidR="00C1311F">
        <w:t>employees, their spouses</w:t>
      </w:r>
      <w:r w:rsidR="00934702">
        <w:t>,</w:t>
      </w:r>
      <w:r w:rsidR="00C1311F">
        <w:t xml:space="preserve"> and supervisors</w:t>
      </w:r>
      <w:r w:rsidR="00AF664A" w:rsidRPr="00AF664A">
        <w:t>.</w:t>
      </w:r>
      <w:r w:rsidR="00AF664A" w:rsidRPr="00071A3A">
        <w:rPr>
          <w:color w:val="FF0000"/>
        </w:rPr>
        <w:t xml:space="preserve"> </w:t>
      </w:r>
      <w:r w:rsidR="00C1311F">
        <w:t xml:space="preserve">We conceptualize FSSBs as dynamic resources that vary across weeks and thus adopt a within-person weekly diary design. We </w:t>
      </w:r>
      <w:r w:rsidR="00C1311F" w:rsidRPr="00E25B16">
        <w:t xml:space="preserve">draw on the </w:t>
      </w:r>
      <w:r w:rsidR="00934702">
        <w:t>Work-Home Resources (</w:t>
      </w:r>
      <w:r w:rsidR="00C1311F" w:rsidRPr="00E25B16">
        <w:t>W-HR</w:t>
      </w:r>
      <w:r w:rsidR="00934702">
        <w:t>)</w:t>
      </w:r>
      <w:r w:rsidR="00C1311F" w:rsidRPr="00E25B16">
        <w:t xml:space="preserve"> model (Ten Brummelhuis &amp; Bakker, 2012) to </w:t>
      </w:r>
      <w:r w:rsidR="00934702">
        <w:t>test</w:t>
      </w:r>
      <w:r w:rsidR="00934702" w:rsidRPr="00E25B16">
        <w:t xml:space="preserve"> </w:t>
      </w:r>
      <w:r w:rsidR="00C1311F" w:rsidRPr="00E25B16">
        <w:t>our research model</w:t>
      </w:r>
      <w:r w:rsidR="00C1311F">
        <w:t xml:space="preserve">. </w:t>
      </w:r>
      <w:r w:rsidR="00C1311F" w:rsidRPr="00E25B16">
        <w:t>This model delineates how resources in one domain (</w:t>
      </w:r>
      <w:r w:rsidR="00934702">
        <w:t>e.g., work</w:t>
      </w:r>
      <w:r w:rsidR="00C1311F" w:rsidRPr="00E25B16">
        <w:t xml:space="preserve">) </w:t>
      </w:r>
      <w:r w:rsidR="00934702">
        <w:t>generate personal</w:t>
      </w:r>
      <w:r w:rsidR="00C1311F" w:rsidRPr="00E25B16">
        <w:t xml:space="preserve"> resources </w:t>
      </w:r>
      <w:r w:rsidR="00934702">
        <w:t>and have an indirect influence on outcomes in</w:t>
      </w:r>
      <w:r w:rsidR="00C1311F" w:rsidRPr="00E25B16">
        <w:t xml:space="preserve"> another domain (</w:t>
      </w:r>
      <w:r w:rsidR="00934702">
        <w:t>e.g.</w:t>
      </w:r>
      <w:r w:rsidR="00C1311F" w:rsidRPr="00E25B16">
        <w:t xml:space="preserve">, </w:t>
      </w:r>
      <w:r w:rsidR="00934702">
        <w:t>family</w:t>
      </w:r>
      <w:r w:rsidR="00C1311F" w:rsidRPr="00E25B16">
        <w:t xml:space="preserve">; enrichment between domains). </w:t>
      </w:r>
      <w:r w:rsidR="001E1BFC">
        <w:t xml:space="preserve">The W-HR model </w:t>
      </w:r>
      <w:r w:rsidR="00C1311F" w:rsidRPr="00E25B16">
        <w:t>underscores the role of contextual resources (</w:t>
      </w:r>
      <w:r w:rsidR="001F5D08">
        <w:t>e.g.,</w:t>
      </w:r>
      <w:r w:rsidR="00C1311F" w:rsidRPr="00E25B16">
        <w:t xml:space="preserve"> social support</w:t>
      </w:r>
      <w:r w:rsidR="001F5D08">
        <w:t xml:space="preserve"> from </w:t>
      </w:r>
      <w:r w:rsidR="004714AD">
        <w:t>significant</w:t>
      </w:r>
      <w:r w:rsidR="001F5D08">
        <w:t xml:space="preserve"> others</w:t>
      </w:r>
      <w:r w:rsidR="00C1311F" w:rsidRPr="00E25B16">
        <w:t>) that influence how enrichment unfolds between domains (Ten Brummelhuis &amp; Bakker, 2012).</w:t>
      </w:r>
    </w:p>
    <w:p w14:paraId="1D86E58C" w14:textId="218ABFFB" w:rsidR="00C1311F" w:rsidRDefault="00C1311F" w:rsidP="00A10FCF">
      <w:pPr>
        <w:spacing w:line="480" w:lineRule="auto"/>
        <w:ind w:firstLine="360"/>
      </w:pPr>
      <w:r w:rsidRPr="00E25B16">
        <w:t>Our first goal is to explore the antecedents of FSSB</w:t>
      </w:r>
      <w:r>
        <w:t>s</w:t>
      </w:r>
      <w:r w:rsidRPr="00E25B16">
        <w:t xml:space="preserve">. </w:t>
      </w:r>
      <w:r w:rsidR="00B45D55">
        <w:t>S</w:t>
      </w:r>
      <w:r w:rsidRPr="00E25B16">
        <w:t xml:space="preserve">upervisors are crucial in facilitating or hindering the balance of </w:t>
      </w:r>
      <w:r w:rsidR="00426966" w:rsidRPr="00E25B16">
        <w:t>their employees</w:t>
      </w:r>
      <w:r w:rsidR="00426966">
        <w:t>’</w:t>
      </w:r>
      <w:r w:rsidR="00426966" w:rsidRPr="00E25B16">
        <w:t xml:space="preserve"> </w:t>
      </w:r>
      <w:r w:rsidRPr="00E25B16">
        <w:t xml:space="preserve">work and family </w:t>
      </w:r>
      <w:r w:rsidR="00426966">
        <w:t>domains</w:t>
      </w:r>
      <w:r w:rsidR="00AD5EAE">
        <w:t xml:space="preserve"> (</w:t>
      </w:r>
      <w:r w:rsidR="00AD5EAE" w:rsidRPr="00E25B16">
        <w:t>Hammer et al., 2013</w:t>
      </w:r>
      <w:r w:rsidR="00AD5EAE">
        <w:t>)</w:t>
      </w:r>
      <w:r w:rsidRPr="00E25B16">
        <w:t xml:space="preserve">. However, </w:t>
      </w:r>
      <w:r w:rsidR="001E1BFC">
        <w:t>we know little about</w:t>
      </w:r>
      <w:r w:rsidRPr="00E25B16">
        <w:t xml:space="preserve"> the </w:t>
      </w:r>
      <w:r w:rsidR="001E1BFC">
        <w:t xml:space="preserve">role of the </w:t>
      </w:r>
      <w:r w:rsidRPr="00E25B16">
        <w:t>support supervisors receive</w:t>
      </w:r>
      <w:r w:rsidR="001F5D08">
        <w:t xml:space="preserve"> </w:t>
      </w:r>
      <w:r w:rsidR="001F5D08">
        <w:lastRenderedPageBreak/>
        <w:t>themselves</w:t>
      </w:r>
      <w:r w:rsidRPr="00E25B16">
        <w:t>, which might facilitate the implementation of FSSB</w:t>
      </w:r>
      <w:r w:rsidR="00AD5EAE">
        <w:t>s</w:t>
      </w:r>
      <w:r w:rsidRPr="00E25B16">
        <w:t>. Triggered by the lack of research on the antecedents of FSSB</w:t>
      </w:r>
      <w:r>
        <w:t>s</w:t>
      </w:r>
      <w:r w:rsidRPr="00E25B16">
        <w:t xml:space="preserve"> (for an exception</w:t>
      </w:r>
      <w:r w:rsidR="00426966">
        <w:t>,</w:t>
      </w:r>
      <w:r w:rsidRPr="00E25B16">
        <w:t xml:space="preserve"> see Las Heras, Bosch, &amp; Raes, 2015)</w:t>
      </w:r>
      <w:r w:rsidR="00426966">
        <w:t>,</w:t>
      </w:r>
      <w:r w:rsidRPr="00E25B16">
        <w:t xml:space="preserve"> we propose that supervisors</w:t>
      </w:r>
      <w:r w:rsidR="001F5D08">
        <w:t>’</w:t>
      </w:r>
      <w:r w:rsidRPr="00E25B16">
        <w:t xml:space="preserve"> spousal support is an essential antecedent </w:t>
      </w:r>
      <w:r w:rsidR="004714AD">
        <w:t>for</w:t>
      </w:r>
      <w:r w:rsidRPr="00E25B16">
        <w:t xml:space="preserve"> </w:t>
      </w:r>
      <w:r>
        <w:t xml:space="preserve">the display of </w:t>
      </w:r>
      <w:r w:rsidRPr="00E25B16">
        <w:t>FSSB</w:t>
      </w:r>
      <w:r>
        <w:t>s</w:t>
      </w:r>
      <w:r w:rsidRPr="00E25B16">
        <w:t xml:space="preserve">. </w:t>
      </w:r>
      <w:r w:rsidR="00113198">
        <w:t>Our</w:t>
      </w:r>
      <w:r w:rsidRPr="00E25B16">
        <w:t xml:space="preserve"> first contribution lies in exploring the critical role of spousal support, as a resource generator at home for the supervisor, in explaining the emergence of FSSB</w:t>
      </w:r>
      <w:r w:rsidR="00AD5EAE">
        <w:t>s</w:t>
      </w:r>
      <w:r w:rsidRPr="00E25B16">
        <w:t>. This contribution is crucial</w:t>
      </w:r>
      <w:r w:rsidR="004714AD">
        <w:t>,</w:t>
      </w:r>
      <w:r w:rsidRPr="00E25B16">
        <w:t xml:space="preserve"> as it expands the question "who</w:t>
      </w:r>
      <w:r w:rsidR="001E1BFC">
        <w:t>/what</w:t>
      </w:r>
      <w:r w:rsidRPr="00E25B16">
        <w:t xml:space="preserve"> facilitates FSSB</w:t>
      </w:r>
      <w:r>
        <w:t>s</w:t>
      </w:r>
      <w:r w:rsidRPr="00E25B16">
        <w:t>?" and therefore brings a new actor</w:t>
      </w:r>
      <w:r w:rsidR="004714AD">
        <w:t xml:space="preserve"> into the equation</w:t>
      </w:r>
      <w:r w:rsidRPr="00E25B16">
        <w:t xml:space="preserve"> as </w:t>
      </w:r>
      <w:r w:rsidR="001D1808">
        <w:t xml:space="preserve">a </w:t>
      </w:r>
      <w:r w:rsidR="004714AD">
        <w:t xml:space="preserve">potential </w:t>
      </w:r>
      <w:r w:rsidR="001D1808">
        <w:t>trigger</w:t>
      </w:r>
      <w:r w:rsidRPr="00E25B16">
        <w:t xml:space="preserve"> of these </w:t>
      </w:r>
      <w:r w:rsidR="001D590D">
        <w:t>behaviour</w:t>
      </w:r>
      <w:r w:rsidRPr="00E25B16">
        <w:t>s (</w:t>
      </w:r>
      <w:r>
        <w:t xml:space="preserve">Crain &amp; Stevens, 2018; </w:t>
      </w:r>
      <w:r w:rsidRPr="00E25B16">
        <w:t xml:space="preserve">Crain &amp; Hammer, 2013; Hammer et al., 2013). </w:t>
      </w:r>
    </w:p>
    <w:p w14:paraId="5AA70022" w14:textId="2C997EA8" w:rsidR="00FC5950" w:rsidRDefault="001D1808" w:rsidP="00A10FCF">
      <w:pPr>
        <w:spacing w:line="480" w:lineRule="auto"/>
        <w:ind w:firstLine="360"/>
      </w:pPr>
      <w:r>
        <w:t>Our second goal</w:t>
      </w:r>
      <w:r w:rsidR="00E25B16" w:rsidRPr="00E25B16">
        <w:t xml:space="preserve"> </w:t>
      </w:r>
      <w:r>
        <w:t xml:space="preserve">is </w:t>
      </w:r>
      <w:r w:rsidR="00E25B16" w:rsidRPr="00E25B16">
        <w:t xml:space="preserve">to </w:t>
      </w:r>
      <w:r w:rsidR="00C1311F">
        <w:t xml:space="preserve">explore the consequences of FSSBs with a particular focus on employee outcomes and </w:t>
      </w:r>
      <w:r>
        <w:t>mechanisms</w:t>
      </w:r>
      <w:r w:rsidR="00C1311F">
        <w:t xml:space="preserve"> that have not been explored </w:t>
      </w:r>
      <w:r w:rsidR="000C7ECE">
        <w:t>within the</w:t>
      </w:r>
      <w:r w:rsidR="00C1311F">
        <w:t xml:space="preserve"> literature to date. We in</w:t>
      </w:r>
      <w:r w:rsidR="001E1BFC">
        <w:t xml:space="preserve">vestigate two work domain outcomes: </w:t>
      </w:r>
      <w:r>
        <w:t xml:space="preserve">a) </w:t>
      </w:r>
      <w:r w:rsidR="00E661FA">
        <w:t>production deviance</w:t>
      </w:r>
      <w:r w:rsidR="000C7ECE">
        <w:t>,</w:t>
      </w:r>
      <w:r w:rsidR="00C1311F">
        <w:t xml:space="preserve"> </w:t>
      </w:r>
      <w:r w:rsidR="001E1BFC">
        <w:t xml:space="preserve">and </w:t>
      </w:r>
      <w:r>
        <w:t xml:space="preserve">b) </w:t>
      </w:r>
      <w:r w:rsidR="00C1311F">
        <w:t>creativity</w:t>
      </w:r>
      <w:r w:rsidR="001E1BFC">
        <w:t xml:space="preserve">; and two home domain outcomes: </w:t>
      </w:r>
      <w:r>
        <w:t xml:space="preserve">c) </w:t>
      </w:r>
      <w:r w:rsidR="00687DA3">
        <w:t xml:space="preserve">sleep quality and </w:t>
      </w:r>
      <w:r>
        <w:t xml:space="preserve">d) </w:t>
      </w:r>
      <w:r w:rsidR="00687DA3">
        <w:t>dyadic adjustment</w:t>
      </w:r>
      <w:r w:rsidR="00285CAC">
        <w:t xml:space="preserve">. We explore </w:t>
      </w:r>
      <w:r w:rsidR="00687DA3">
        <w:t xml:space="preserve"> exhaustion as a mechanism to ex</w:t>
      </w:r>
      <w:r w:rsidR="00285CAC">
        <w:t xml:space="preserve">plain </w:t>
      </w:r>
      <w:r w:rsidR="00687DA3">
        <w:t>how and when the impact of FSSBs unfold</w:t>
      </w:r>
      <w:r w:rsidR="000C7ECE">
        <w:t>s</w:t>
      </w:r>
      <w:r w:rsidR="00687DA3">
        <w:t xml:space="preserve"> for recipients. </w:t>
      </w:r>
      <w:r w:rsidR="00687DA3" w:rsidRPr="00E25B16">
        <w:t xml:space="preserve">Research shows that there are </w:t>
      </w:r>
      <w:r w:rsidR="00497D4B" w:rsidRPr="00E25B16">
        <w:t>generally high</w:t>
      </w:r>
      <w:r w:rsidR="00687DA3" w:rsidRPr="00E25B16">
        <w:t xml:space="preserve"> organizational costs associated with deviant work </w:t>
      </w:r>
      <w:r w:rsidR="006152D0" w:rsidRPr="00E25B16">
        <w:t>behaviours</w:t>
      </w:r>
      <w:r w:rsidR="00687DA3" w:rsidRPr="00E25B16">
        <w:t xml:space="preserve"> (Bennett &amp; Robinson, 2003), </w:t>
      </w:r>
      <w:r w:rsidR="00E661FA">
        <w:t xml:space="preserve">especially </w:t>
      </w:r>
      <w:r w:rsidR="000C7ECE">
        <w:t>concerning</w:t>
      </w:r>
      <w:r w:rsidR="00E661FA">
        <w:t xml:space="preserve"> production deviance</w:t>
      </w:r>
      <w:r w:rsidR="000C7ECE">
        <w:t>;</w:t>
      </w:r>
      <w:r w:rsidR="00E661FA">
        <w:t xml:space="preserve"> </w:t>
      </w:r>
      <w:r w:rsidR="00687DA3" w:rsidRPr="00E25B16">
        <w:t xml:space="preserve">our research aims to investigate whether spousal support received by the supervisor results in lower levels of </w:t>
      </w:r>
      <w:r w:rsidR="00E661FA">
        <w:t>production</w:t>
      </w:r>
      <w:r w:rsidR="00E661FA" w:rsidRPr="00E25B16">
        <w:t xml:space="preserve"> </w:t>
      </w:r>
      <w:r w:rsidR="00687DA3" w:rsidRPr="00E25B16">
        <w:t>deviance via FSSB</w:t>
      </w:r>
      <w:r w:rsidR="00AD5EAE">
        <w:t>s</w:t>
      </w:r>
      <w:r w:rsidR="00687DA3" w:rsidRPr="00E25B16">
        <w:t xml:space="preserve">. </w:t>
      </w:r>
      <w:r w:rsidR="00816923">
        <w:t>In this research, our focus is on production deviance, which in literature is categorized as a sub-dimension of organizational deviance. While employees engage in behaviors such as leaving work early, taking excessive breaks, intentionally working slowly, or engaging in illegal behaviour in the workplace (Bennett &amp; Robison, 200</w:t>
      </w:r>
      <w:r w:rsidR="005C32C5">
        <w:t>3</w:t>
      </w:r>
      <w:r w:rsidR="00816923">
        <w:t>), it is often the underlying cause of these behaviours that categorizes which type of organizational deviance the employee engages in. Thus, in conjunction with the aims of this research, we define production deviance as any organizational deviance behaviour</w:t>
      </w:r>
      <w:r w:rsidR="00DA2EC7">
        <w:t xml:space="preserve"> such as a</w:t>
      </w:r>
      <w:r w:rsidR="00816923">
        <w:t xml:space="preserve"> </w:t>
      </w:r>
      <w:r w:rsidR="00DA2EC7">
        <w:t>purposeful deviation form or neglect of the standard in fulfilling one’s responsibilities</w:t>
      </w:r>
      <w:r w:rsidR="00D57B04">
        <w:t xml:space="preserve">, </w:t>
      </w:r>
      <w:r w:rsidR="00816923">
        <w:t xml:space="preserve">targeted towards the organization, with the </w:t>
      </w:r>
      <w:r w:rsidR="00816923">
        <w:lastRenderedPageBreak/>
        <w:t xml:space="preserve">underlying aim of maintaining resource levels and reduce further resource depletion in response to workplace stress (Ferguson, Carlson, Hunter &amp; Whitten, 2012). </w:t>
      </w:r>
      <w:r w:rsidR="00687DA3" w:rsidRPr="00E25B16">
        <w:t xml:space="preserve">Given the importance of reducing harmful </w:t>
      </w:r>
      <w:r w:rsidR="006152D0" w:rsidRPr="00E25B16">
        <w:t>employee</w:t>
      </w:r>
      <w:r w:rsidR="006152D0" w:rsidRPr="00E25B16" w:rsidDel="006152D0">
        <w:t xml:space="preserve"> </w:t>
      </w:r>
      <w:r w:rsidR="006152D0" w:rsidRPr="00E25B16">
        <w:t>behaviours</w:t>
      </w:r>
      <w:r w:rsidR="00200BCB">
        <w:t xml:space="preserve"> for organizations</w:t>
      </w:r>
      <w:r w:rsidR="00687DA3" w:rsidRPr="00E25B16">
        <w:t>, we argue that FSSB</w:t>
      </w:r>
      <w:r w:rsidR="00AD5EAE">
        <w:t>s</w:t>
      </w:r>
      <w:r w:rsidR="00687DA3" w:rsidRPr="00E25B16">
        <w:t xml:space="preserve"> may act as mechanisms </w:t>
      </w:r>
      <w:r w:rsidR="00B45D55">
        <w:t>for</w:t>
      </w:r>
      <w:r w:rsidR="00687DA3" w:rsidRPr="00E25B16">
        <w:t xml:space="preserve"> reducing </w:t>
      </w:r>
      <w:r w:rsidR="00200BCB">
        <w:t xml:space="preserve">these behaviours in the workplace. </w:t>
      </w:r>
      <w:r w:rsidR="007649CB">
        <w:t xml:space="preserve">This goal leads to an important contribution of this paper in that we aim to </w:t>
      </w:r>
      <w:r w:rsidR="007649CB" w:rsidRPr="007649CB">
        <w:t xml:space="preserve">reveal the possibility of FSSBs </w:t>
      </w:r>
      <w:r w:rsidR="000C7ECE">
        <w:t xml:space="preserve">preventing </w:t>
      </w:r>
      <w:r w:rsidR="007649CB" w:rsidRPr="007649CB">
        <w:t xml:space="preserve">employee </w:t>
      </w:r>
      <w:r w:rsidR="00E661FA">
        <w:t>production deviance</w:t>
      </w:r>
      <w:r w:rsidR="007649CB" w:rsidRPr="007649CB">
        <w:t xml:space="preserve"> and </w:t>
      </w:r>
      <w:r w:rsidR="00B45D55">
        <w:t>contributing</w:t>
      </w:r>
      <w:r w:rsidR="007649CB" w:rsidRPr="007649CB">
        <w:t xml:space="preserve"> positively to their work and family outcomes.</w:t>
      </w:r>
      <w:r w:rsidR="0052009C">
        <w:t xml:space="preserve"> Our study contributes to the ongoing debates regarding support from the organization to the employee (Leiva, Poilpot-Rocaboy &amp; St-Onge, 2017; Al Kerdawy, 2018; Cirella, 2021; Clercq &amp; Pereira, 2023), work-family interface (De Clercq &amp; Pereira, 2022; Magrizos, Roumpi, Georgiadou, Kostopoulos &amp; Vrontis</w:t>
      </w:r>
      <w:r w:rsidR="005C32C5">
        <w:t>, 2022</w:t>
      </w:r>
      <w:r w:rsidR="0052009C">
        <w:t xml:space="preserve">) and workplace deviance (Mostafa, Boon, Abouarghoub &amp; Cai, 2022). </w:t>
      </w:r>
      <w:r>
        <w:t>We test o</w:t>
      </w:r>
      <w:r w:rsidR="00B47884">
        <w:t>ur conceptual model</w:t>
      </w:r>
      <w:r>
        <w:t>s</w:t>
      </w:r>
      <w:r w:rsidR="00B47884">
        <w:t xml:space="preserve"> </w:t>
      </w:r>
      <w:r>
        <w:t xml:space="preserve">(depicted in </w:t>
      </w:r>
      <w:r w:rsidR="00B45D55">
        <w:t>Figures</w:t>
      </w:r>
      <w:r>
        <w:t xml:space="preserve"> 1 and </w:t>
      </w:r>
      <w:r w:rsidR="00BA29E8">
        <w:t>3</w:t>
      </w:r>
      <w:r>
        <w:t>) with two weekly-diary studies.</w:t>
      </w:r>
    </w:p>
    <w:p w14:paraId="608C9459" w14:textId="77777777" w:rsidR="006E0C50" w:rsidRDefault="006E0C50" w:rsidP="00071A3A">
      <w:pPr>
        <w:ind w:left="360"/>
        <w:jc w:val="center"/>
      </w:pPr>
      <w:r>
        <w:t>-----------------------------------------------</w:t>
      </w:r>
    </w:p>
    <w:p w14:paraId="0C24137F" w14:textId="28355764" w:rsidR="006E0C50" w:rsidRPr="00B739AD" w:rsidRDefault="006E0C50" w:rsidP="00071A3A">
      <w:pPr>
        <w:ind w:left="360"/>
        <w:jc w:val="center"/>
      </w:pPr>
      <w:r w:rsidRPr="00B739AD">
        <w:t xml:space="preserve">Insert </w:t>
      </w:r>
      <w:r w:rsidR="00B45D55">
        <w:t>Figures</w:t>
      </w:r>
      <w:r w:rsidRPr="00B739AD">
        <w:t xml:space="preserve"> 1 </w:t>
      </w:r>
      <w:r w:rsidR="001D1808">
        <w:t xml:space="preserve">and </w:t>
      </w:r>
      <w:r w:rsidR="00BA29E8">
        <w:t>3</w:t>
      </w:r>
      <w:r w:rsidR="001D1808">
        <w:t xml:space="preserve"> </w:t>
      </w:r>
      <w:r w:rsidRPr="00B739AD">
        <w:t>here</w:t>
      </w:r>
    </w:p>
    <w:p w14:paraId="5F0C9799" w14:textId="77777777" w:rsidR="006E0C50" w:rsidRPr="00B739AD" w:rsidRDefault="006E0C50" w:rsidP="00071A3A">
      <w:pPr>
        <w:ind w:left="360"/>
        <w:jc w:val="center"/>
      </w:pPr>
      <w:r w:rsidRPr="00B739AD">
        <w:t>------------------------------------------------</w:t>
      </w:r>
    </w:p>
    <w:p w14:paraId="2742287B" w14:textId="77777777" w:rsidR="00D23920" w:rsidRPr="00E25B16" w:rsidRDefault="00D23920" w:rsidP="00071A3A">
      <w:pPr>
        <w:spacing w:line="480" w:lineRule="auto"/>
      </w:pPr>
    </w:p>
    <w:p w14:paraId="14E18C4D" w14:textId="18EF7F18" w:rsidR="001D1808" w:rsidRPr="00071A3A" w:rsidRDefault="007E499D" w:rsidP="00A10FCF">
      <w:pPr>
        <w:spacing w:line="480" w:lineRule="auto"/>
        <w:rPr>
          <w:b/>
          <w:bCs/>
        </w:rPr>
      </w:pPr>
      <w:r w:rsidRPr="00071A3A">
        <w:rPr>
          <w:b/>
          <w:bCs/>
        </w:rPr>
        <w:t xml:space="preserve">Theoretical Framework </w:t>
      </w:r>
    </w:p>
    <w:p w14:paraId="11EC868F" w14:textId="69CD1D42" w:rsidR="001D1808" w:rsidRPr="00071A3A" w:rsidRDefault="00B45D55" w:rsidP="00A10FCF">
      <w:pPr>
        <w:spacing w:line="480" w:lineRule="auto"/>
        <w:ind w:firstLine="360"/>
        <w:rPr>
          <w:b/>
          <w:bCs/>
        </w:rPr>
      </w:pPr>
      <w:r w:rsidRPr="00071A3A">
        <w:rPr>
          <w:b/>
          <w:bCs/>
        </w:rPr>
        <w:t xml:space="preserve">The Conceptualisation of FSSBs. </w:t>
      </w:r>
      <w:r w:rsidR="001D1808" w:rsidRPr="004837A7">
        <w:rPr>
          <w:lang w:eastAsia="zh-CN"/>
        </w:rPr>
        <w:t>FSSBs are defined as the “enacted behaviors exhibited by supervisors that are supportive of families” (Hammer et al., 2009, p. 838). FSSBs include four dimensions</w:t>
      </w:r>
      <w:r w:rsidR="00BB137B">
        <w:rPr>
          <w:lang w:eastAsia="zh-CN"/>
        </w:rPr>
        <w:t>:</w:t>
      </w:r>
      <w:r w:rsidR="001D1808" w:rsidRPr="004837A7">
        <w:rPr>
          <w:lang w:eastAsia="zh-CN"/>
        </w:rPr>
        <w:t xml:space="preserve"> emotional support, instrumental support, role model </w:t>
      </w:r>
      <w:r w:rsidR="0069667F">
        <w:rPr>
          <w:lang w:eastAsia="zh-CN"/>
        </w:rPr>
        <w:t>behaviours</w:t>
      </w:r>
      <w:r w:rsidR="001D1808" w:rsidRPr="004837A7">
        <w:rPr>
          <w:lang w:eastAsia="zh-CN"/>
        </w:rPr>
        <w:t>, and implement</w:t>
      </w:r>
      <w:r w:rsidR="00BB137B">
        <w:rPr>
          <w:lang w:eastAsia="zh-CN"/>
        </w:rPr>
        <w:t>ation of</w:t>
      </w:r>
      <w:r w:rsidR="001D1808" w:rsidRPr="004837A7">
        <w:rPr>
          <w:lang w:eastAsia="zh-CN"/>
        </w:rPr>
        <w:t xml:space="preserve"> creative </w:t>
      </w:r>
      <w:r w:rsidR="0069667F">
        <w:rPr>
          <w:lang w:eastAsia="zh-CN"/>
        </w:rPr>
        <w:t>work-family</w:t>
      </w:r>
      <w:r w:rsidR="001D1808" w:rsidRPr="004837A7">
        <w:rPr>
          <w:lang w:eastAsia="zh-CN"/>
        </w:rPr>
        <w:t xml:space="preserve"> management policies for subordinates (Hammer et al., 200</w:t>
      </w:r>
      <w:r w:rsidR="001D1808">
        <w:rPr>
          <w:lang w:eastAsia="zh-CN"/>
        </w:rPr>
        <w:t>9</w:t>
      </w:r>
      <w:r w:rsidR="001D1808" w:rsidRPr="004837A7">
        <w:rPr>
          <w:lang w:eastAsia="zh-CN"/>
        </w:rPr>
        <w:t>). FSSB is different from general supervisor support and organizational support. For example, general supervisor support and perceived organizational support focuses on the emotional and instrumental support enacted by supervisors or organization</w:t>
      </w:r>
      <w:r w:rsidR="00BE5E63">
        <w:rPr>
          <w:lang w:eastAsia="zh-CN"/>
        </w:rPr>
        <w:t>s</w:t>
      </w:r>
      <w:r w:rsidR="001D1808" w:rsidRPr="004837A7">
        <w:rPr>
          <w:lang w:eastAsia="zh-CN"/>
        </w:rPr>
        <w:t xml:space="preserve"> which is intended to improve employee</w:t>
      </w:r>
      <w:r w:rsidR="00BE5E63">
        <w:rPr>
          <w:lang w:eastAsia="zh-CN"/>
        </w:rPr>
        <w:t>s</w:t>
      </w:r>
      <w:r w:rsidR="001D1808" w:rsidRPr="004837A7">
        <w:rPr>
          <w:lang w:eastAsia="zh-CN"/>
        </w:rPr>
        <w:t xml:space="preserve">’ well-being (Kossek et al., 2011), whereas FSSBs refer to content-specific support (e.g., work-family support) provided by the supervisors which </w:t>
      </w:r>
      <w:r w:rsidR="0069667F">
        <w:rPr>
          <w:lang w:eastAsia="zh-CN"/>
        </w:rPr>
        <w:t>focus</w:t>
      </w:r>
      <w:r w:rsidR="00BE5E63">
        <w:rPr>
          <w:lang w:eastAsia="zh-CN"/>
        </w:rPr>
        <w:t>es</w:t>
      </w:r>
      <w:r w:rsidR="001D1808" w:rsidRPr="004837A7">
        <w:rPr>
          <w:lang w:eastAsia="zh-CN"/>
        </w:rPr>
        <w:t xml:space="preserve"> on </w:t>
      </w:r>
      <w:r w:rsidR="001D1808" w:rsidRPr="00071A3A">
        <w:rPr>
          <w:rFonts w:eastAsia="SimSun"/>
          <w:lang w:eastAsia="zh-CN"/>
        </w:rPr>
        <w:t xml:space="preserve">supporting employees </w:t>
      </w:r>
      <w:r w:rsidR="00BE5E63" w:rsidRPr="00071A3A">
        <w:rPr>
          <w:rFonts w:eastAsia="SimSun"/>
          <w:lang w:eastAsia="zh-CN"/>
        </w:rPr>
        <w:t xml:space="preserve">in </w:t>
      </w:r>
      <w:r w:rsidR="001D1808" w:rsidRPr="00071A3A">
        <w:rPr>
          <w:rFonts w:eastAsia="SimSun"/>
          <w:lang w:eastAsia="zh-CN"/>
        </w:rPr>
        <w:t>manag</w:t>
      </w:r>
      <w:r w:rsidR="00BE5E63" w:rsidRPr="00071A3A">
        <w:rPr>
          <w:rFonts w:eastAsia="SimSun"/>
          <w:lang w:eastAsia="zh-CN"/>
        </w:rPr>
        <w:t>ing</w:t>
      </w:r>
      <w:r w:rsidR="001D1808" w:rsidRPr="00071A3A">
        <w:rPr>
          <w:rFonts w:eastAsia="SimSun"/>
          <w:lang w:eastAsia="zh-CN"/>
        </w:rPr>
        <w:t xml:space="preserve"> work and nonwork conflict and increase work-family </w:t>
      </w:r>
      <w:r w:rsidR="001D1808" w:rsidRPr="00071A3A">
        <w:rPr>
          <w:rFonts w:eastAsia="SimSun"/>
          <w:lang w:eastAsia="zh-CN"/>
        </w:rPr>
        <w:lastRenderedPageBreak/>
        <w:t xml:space="preserve">enrichment </w:t>
      </w:r>
      <w:r w:rsidR="001D1808" w:rsidRPr="004837A7">
        <w:rPr>
          <w:lang w:eastAsia="zh-CN"/>
        </w:rPr>
        <w:t>(Crain et al., 2018).</w:t>
      </w:r>
      <w:r w:rsidR="001D1808">
        <w:rPr>
          <w:lang w:eastAsia="zh-CN"/>
        </w:rPr>
        <w:t xml:space="preserve"> Some examples regarding FSSBs in daily organizational life include helping employees manage practical work-life issues such as adjusting work assignments to support employee</w:t>
      </w:r>
      <w:r w:rsidR="00BE5E63">
        <w:rPr>
          <w:lang w:eastAsia="zh-CN"/>
        </w:rPr>
        <w:t>s</w:t>
      </w:r>
      <w:r w:rsidR="001D1808">
        <w:rPr>
          <w:lang w:eastAsia="zh-CN"/>
        </w:rPr>
        <w:t>’ family or personal needs, helping them feel comfortable in expressing their voice about family or non-work issues by celebrating family successes</w:t>
      </w:r>
      <w:r w:rsidR="00BE5E63">
        <w:rPr>
          <w:lang w:eastAsia="zh-CN"/>
        </w:rPr>
        <w:t>,</w:t>
      </w:r>
      <w:r w:rsidR="001D1808">
        <w:rPr>
          <w:lang w:eastAsia="zh-CN"/>
        </w:rPr>
        <w:t xml:space="preserve"> and role model</w:t>
      </w:r>
      <w:r w:rsidR="00BE5E63">
        <w:rPr>
          <w:lang w:eastAsia="zh-CN"/>
        </w:rPr>
        <w:t>ling</w:t>
      </w:r>
      <w:r w:rsidR="001D1808">
        <w:rPr>
          <w:lang w:eastAsia="zh-CN"/>
        </w:rPr>
        <w:t xml:space="preserve"> behaviours such as sharing ideas on how </w:t>
      </w:r>
      <w:r w:rsidR="00BE5E63">
        <w:rPr>
          <w:lang w:eastAsia="zh-CN"/>
        </w:rPr>
        <w:t>supervisors</w:t>
      </w:r>
      <w:r w:rsidR="001D1808">
        <w:rPr>
          <w:lang w:eastAsia="zh-CN"/>
        </w:rPr>
        <w:t xml:space="preserve"> manage their own personal and family priorities. </w:t>
      </w:r>
    </w:p>
    <w:p w14:paraId="564EA915" w14:textId="7CE85EB7" w:rsidR="002641D1" w:rsidRPr="00071A3A" w:rsidRDefault="00B45D55" w:rsidP="00A10FCF">
      <w:pPr>
        <w:spacing w:line="480" w:lineRule="auto"/>
        <w:ind w:firstLine="360"/>
        <w:rPr>
          <w:bCs/>
        </w:rPr>
      </w:pPr>
      <w:r w:rsidRPr="00071A3A">
        <w:rPr>
          <w:b/>
        </w:rPr>
        <w:t xml:space="preserve">The W-HR Model. </w:t>
      </w:r>
      <w:r w:rsidR="007E499D" w:rsidRPr="00071A3A">
        <w:rPr>
          <w:bCs/>
        </w:rPr>
        <w:t xml:space="preserve">We draw on the W-HR model </w:t>
      </w:r>
      <w:r w:rsidR="00426966" w:rsidRPr="00071A3A">
        <w:rPr>
          <w:bCs/>
        </w:rPr>
        <w:t xml:space="preserve">(Ten Brummelhuis &amp; Bakker, 2012) </w:t>
      </w:r>
      <w:r w:rsidR="007E499D" w:rsidRPr="00071A3A">
        <w:rPr>
          <w:bCs/>
        </w:rPr>
        <w:t>to explore the associations among our study variables</w:t>
      </w:r>
      <w:r w:rsidRPr="00071A3A">
        <w:rPr>
          <w:bCs/>
        </w:rPr>
        <w:t xml:space="preserve">. </w:t>
      </w:r>
      <w:r w:rsidR="007E499D" w:rsidRPr="00071A3A">
        <w:rPr>
          <w:bCs/>
        </w:rPr>
        <w:t xml:space="preserve">This model integrates the concepts of enrichment and conflict between domains. A key principle of the model is that resources generated in one domain (e.g., work or home) are beneficial for the functioning in another domain through the creation of personal resources (e.g., positive affect, cognitive flexibility, </w:t>
      </w:r>
      <w:r w:rsidR="00426966" w:rsidRPr="00071A3A">
        <w:rPr>
          <w:bCs/>
        </w:rPr>
        <w:t xml:space="preserve">and </w:t>
      </w:r>
      <w:r w:rsidR="007E499D" w:rsidRPr="00071A3A">
        <w:rPr>
          <w:bCs/>
        </w:rPr>
        <w:t xml:space="preserve">resilience; Ten Brummelhuis, Haar, &amp; Roche, 2014). </w:t>
      </w:r>
      <w:r w:rsidR="006152D0" w:rsidRPr="00071A3A">
        <w:rPr>
          <w:bCs/>
        </w:rPr>
        <w:t>Personal resources are volatile</w:t>
      </w:r>
      <w:r w:rsidR="00AB759D" w:rsidRPr="00071A3A">
        <w:rPr>
          <w:bCs/>
        </w:rPr>
        <w:t xml:space="preserve"> aspects of the self that are generally linked to resiliency and refer to </w:t>
      </w:r>
      <w:r w:rsidR="00BE5E63" w:rsidRPr="00071A3A">
        <w:rPr>
          <w:bCs/>
        </w:rPr>
        <w:t xml:space="preserve">an </w:t>
      </w:r>
      <w:r w:rsidR="00AB759D" w:rsidRPr="00071A3A">
        <w:rPr>
          <w:bCs/>
        </w:rPr>
        <w:t>individual’</w:t>
      </w:r>
      <w:r w:rsidR="00BE5E63" w:rsidRPr="00071A3A">
        <w:rPr>
          <w:bCs/>
        </w:rPr>
        <w:t>s</w:t>
      </w:r>
      <w:r w:rsidR="00AB759D" w:rsidRPr="00071A3A">
        <w:rPr>
          <w:bCs/>
        </w:rPr>
        <w:t xml:space="preserve"> sense of their ability to control and impact their environment successfully (Hobfoll, Johnson, Ennis, &amp; Jackson, 2003</w:t>
      </w:r>
      <w:r w:rsidR="006152D0" w:rsidRPr="00071A3A">
        <w:rPr>
          <w:bCs/>
        </w:rPr>
        <w:t>)</w:t>
      </w:r>
      <w:r w:rsidR="00AB759D" w:rsidRPr="00071A3A">
        <w:rPr>
          <w:bCs/>
        </w:rPr>
        <w:t>.</w:t>
      </w:r>
      <w:r w:rsidR="006152D0" w:rsidRPr="00071A3A">
        <w:rPr>
          <w:bCs/>
        </w:rPr>
        <w:t xml:space="preserve"> </w:t>
      </w:r>
      <w:r w:rsidR="007E499D" w:rsidRPr="00071A3A">
        <w:rPr>
          <w:bCs/>
        </w:rPr>
        <w:t xml:space="preserve">The model also </w:t>
      </w:r>
      <w:r w:rsidR="006152D0" w:rsidRPr="00071A3A">
        <w:rPr>
          <w:bCs/>
        </w:rPr>
        <w:t xml:space="preserve">proposes that </w:t>
      </w:r>
      <w:r w:rsidR="007E499D" w:rsidRPr="00071A3A">
        <w:rPr>
          <w:bCs/>
        </w:rPr>
        <w:t>contextual resources</w:t>
      </w:r>
      <w:r w:rsidR="006152D0" w:rsidRPr="00071A3A">
        <w:rPr>
          <w:bCs/>
        </w:rPr>
        <w:t xml:space="preserve"> may play </w:t>
      </w:r>
      <w:r w:rsidR="00497D4B" w:rsidRPr="00071A3A">
        <w:rPr>
          <w:bCs/>
        </w:rPr>
        <w:t>a key role</w:t>
      </w:r>
      <w:r w:rsidR="00545B68" w:rsidRPr="00071A3A">
        <w:rPr>
          <w:bCs/>
        </w:rPr>
        <w:t xml:space="preserve"> and</w:t>
      </w:r>
      <w:r w:rsidR="006152D0" w:rsidRPr="00071A3A">
        <w:rPr>
          <w:bCs/>
        </w:rPr>
        <w:t xml:space="preserve"> </w:t>
      </w:r>
      <w:r w:rsidR="007E499D" w:rsidRPr="00071A3A">
        <w:rPr>
          <w:bCs/>
        </w:rPr>
        <w:t xml:space="preserve">may help explain how </w:t>
      </w:r>
      <w:r w:rsidR="006152D0" w:rsidRPr="00071A3A">
        <w:rPr>
          <w:bCs/>
        </w:rPr>
        <w:t xml:space="preserve">personal </w:t>
      </w:r>
      <w:r w:rsidR="007E499D" w:rsidRPr="00071A3A">
        <w:rPr>
          <w:bCs/>
        </w:rPr>
        <w:t>resources generated in one domain are transferred into another domain and subsequently facilitate the enrichment between domains.</w:t>
      </w:r>
    </w:p>
    <w:p w14:paraId="66060271" w14:textId="77D645E4" w:rsidR="00E25B16" w:rsidRPr="00071A3A" w:rsidRDefault="00E25B16" w:rsidP="00A10FCF">
      <w:pPr>
        <w:spacing w:line="480" w:lineRule="auto"/>
        <w:rPr>
          <w:b/>
          <w:bCs/>
        </w:rPr>
      </w:pPr>
      <w:r w:rsidRPr="00071A3A">
        <w:rPr>
          <w:b/>
          <w:bCs/>
        </w:rPr>
        <w:t xml:space="preserve">The Associations </w:t>
      </w:r>
      <w:r w:rsidR="00BE5E63" w:rsidRPr="00071A3A">
        <w:rPr>
          <w:b/>
          <w:bCs/>
        </w:rPr>
        <w:t>B</w:t>
      </w:r>
      <w:r w:rsidRPr="00071A3A">
        <w:rPr>
          <w:b/>
          <w:bCs/>
        </w:rPr>
        <w:t>etween Supervisor's Spousal Support and FSSB</w:t>
      </w:r>
      <w:r w:rsidR="00AD5EAE" w:rsidRPr="00071A3A">
        <w:rPr>
          <w:b/>
          <w:bCs/>
        </w:rPr>
        <w:t>s</w:t>
      </w:r>
    </w:p>
    <w:p w14:paraId="70AA557B" w14:textId="79868857" w:rsidR="008C21F8" w:rsidRPr="00071A3A" w:rsidRDefault="000B3CBA" w:rsidP="00A10FCF">
      <w:pPr>
        <w:spacing w:line="480" w:lineRule="auto"/>
        <w:ind w:firstLine="360"/>
        <w:rPr>
          <w:bCs/>
        </w:rPr>
      </w:pPr>
      <w:r w:rsidRPr="00071A3A">
        <w:rPr>
          <w:bCs/>
        </w:rPr>
        <w:t>In building our assumptions on the relationship between supervisor’s spousal support at home and the FSSBs</w:t>
      </w:r>
      <w:r w:rsidR="00204A94" w:rsidRPr="00071A3A">
        <w:rPr>
          <w:bCs/>
        </w:rPr>
        <w:t xml:space="preserve"> they </w:t>
      </w:r>
      <w:r w:rsidR="00BE5E63" w:rsidRPr="00071A3A">
        <w:rPr>
          <w:bCs/>
        </w:rPr>
        <w:t>exhibit</w:t>
      </w:r>
      <w:r w:rsidR="00204A94" w:rsidRPr="00071A3A">
        <w:rPr>
          <w:bCs/>
        </w:rPr>
        <w:t xml:space="preserve"> at work</w:t>
      </w:r>
      <w:r w:rsidRPr="00071A3A">
        <w:rPr>
          <w:bCs/>
        </w:rPr>
        <w:t>, we draw on the</w:t>
      </w:r>
      <w:r w:rsidR="00B06686" w:rsidRPr="00071A3A">
        <w:rPr>
          <w:bCs/>
        </w:rPr>
        <w:t xml:space="preserve"> home-to-work</w:t>
      </w:r>
      <w:r w:rsidRPr="00071A3A">
        <w:rPr>
          <w:bCs/>
        </w:rPr>
        <w:t xml:space="preserve"> </w:t>
      </w:r>
      <w:r w:rsidR="00204A94" w:rsidRPr="00071A3A">
        <w:rPr>
          <w:bCs/>
        </w:rPr>
        <w:t xml:space="preserve">enrichment tenet of the </w:t>
      </w:r>
      <w:r w:rsidRPr="00071A3A">
        <w:rPr>
          <w:bCs/>
        </w:rPr>
        <w:t xml:space="preserve">WH-R model, which suggests that enrichment occurs when contextual resources generated in </w:t>
      </w:r>
      <w:r w:rsidR="00B06686" w:rsidRPr="00071A3A">
        <w:rPr>
          <w:bCs/>
        </w:rPr>
        <w:t>the home</w:t>
      </w:r>
      <w:r w:rsidRPr="00071A3A">
        <w:rPr>
          <w:bCs/>
        </w:rPr>
        <w:t xml:space="preserve"> domain lead to positive outcomes in the </w:t>
      </w:r>
      <w:r w:rsidR="00B06686" w:rsidRPr="00071A3A">
        <w:rPr>
          <w:bCs/>
        </w:rPr>
        <w:t>work</w:t>
      </w:r>
      <w:r w:rsidRPr="00071A3A">
        <w:rPr>
          <w:bCs/>
        </w:rPr>
        <w:t xml:space="preserve"> domain (Ten Brummelhuis &amp; Bakker, 2012). </w:t>
      </w:r>
      <w:r w:rsidR="00204A94" w:rsidRPr="00071A3A">
        <w:rPr>
          <w:bCs/>
        </w:rPr>
        <w:t>Contextual resources</w:t>
      </w:r>
      <w:r w:rsidR="00B06686" w:rsidRPr="00071A3A">
        <w:rPr>
          <w:bCs/>
        </w:rPr>
        <w:t xml:space="preserve">, </w:t>
      </w:r>
      <w:r w:rsidR="00BE5E63" w:rsidRPr="00071A3A">
        <w:rPr>
          <w:bCs/>
        </w:rPr>
        <w:t>also known</w:t>
      </w:r>
      <w:r w:rsidR="00B06686" w:rsidRPr="00071A3A">
        <w:rPr>
          <w:bCs/>
        </w:rPr>
        <w:t xml:space="preserve"> as personal resources,</w:t>
      </w:r>
      <w:r w:rsidR="00204A94" w:rsidRPr="00071A3A">
        <w:rPr>
          <w:bCs/>
        </w:rPr>
        <w:t xml:space="preserve"> </w:t>
      </w:r>
      <w:r w:rsidR="00B06686" w:rsidRPr="00071A3A">
        <w:rPr>
          <w:bCs/>
        </w:rPr>
        <w:t xml:space="preserve">relate </w:t>
      </w:r>
      <w:r w:rsidR="00204A94" w:rsidRPr="00071A3A">
        <w:rPr>
          <w:bCs/>
        </w:rPr>
        <w:t>to resources that exist outside of the individual (Hobfoll, 2002</w:t>
      </w:r>
      <w:r w:rsidR="00740D25" w:rsidRPr="00071A3A">
        <w:rPr>
          <w:bCs/>
        </w:rPr>
        <w:t>)</w:t>
      </w:r>
      <w:r w:rsidR="0004030D" w:rsidRPr="00071A3A">
        <w:rPr>
          <w:bCs/>
        </w:rPr>
        <w:t>, which can be found in the social contexts of the employee (</w:t>
      </w:r>
      <w:r w:rsidR="004369DD" w:rsidRPr="00071A3A">
        <w:rPr>
          <w:bCs/>
        </w:rPr>
        <w:t>T</w:t>
      </w:r>
      <w:r w:rsidR="0004030D" w:rsidRPr="00071A3A">
        <w:rPr>
          <w:bCs/>
        </w:rPr>
        <w:t>en Brummelhuis &amp; Bakker, 2012)</w:t>
      </w:r>
      <w:r w:rsidR="00740D25" w:rsidRPr="00071A3A">
        <w:rPr>
          <w:bCs/>
        </w:rPr>
        <w:t xml:space="preserve">. </w:t>
      </w:r>
      <w:r w:rsidR="00204A94" w:rsidRPr="00071A3A">
        <w:rPr>
          <w:bCs/>
        </w:rPr>
        <w:t xml:space="preserve">In the context of our </w:t>
      </w:r>
      <w:r w:rsidR="00204A94" w:rsidRPr="00071A3A">
        <w:rPr>
          <w:bCs/>
        </w:rPr>
        <w:lastRenderedPageBreak/>
        <w:t>research, we conceptualize the support from</w:t>
      </w:r>
      <w:r w:rsidR="00BE5E63" w:rsidRPr="00071A3A">
        <w:rPr>
          <w:bCs/>
        </w:rPr>
        <w:t xml:space="preserve"> a</w:t>
      </w:r>
      <w:r w:rsidR="00204A94" w:rsidRPr="00071A3A">
        <w:rPr>
          <w:bCs/>
        </w:rPr>
        <w:t xml:space="preserve"> spouse as a home domain </w:t>
      </w:r>
      <w:r w:rsidR="00B06686" w:rsidRPr="00071A3A">
        <w:rPr>
          <w:bCs/>
        </w:rPr>
        <w:t>contextual</w:t>
      </w:r>
      <w:r w:rsidR="00204A94" w:rsidRPr="00071A3A">
        <w:rPr>
          <w:bCs/>
        </w:rPr>
        <w:t xml:space="preserve"> resource</w:t>
      </w:r>
      <w:r w:rsidR="00DE21F0" w:rsidRPr="00071A3A">
        <w:rPr>
          <w:bCs/>
        </w:rPr>
        <w:t xml:space="preserve">. </w:t>
      </w:r>
      <w:r w:rsidR="00204A94" w:rsidRPr="00071A3A">
        <w:rPr>
          <w:bCs/>
        </w:rPr>
        <w:t>Furthermore, FSSBs in our research</w:t>
      </w:r>
      <w:r w:rsidR="00113198" w:rsidRPr="00071A3A">
        <w:rPr>
          <w:bCs/>
        </w:rPr>
        <w:t xml:space="preserve"> are</w:t>
      </w:r>
      <w:r w:rsidR="00204A94" w:rsidRPr="00071A3A">
        <w:rPr>
          <w:bCs/>
        </w:rPr>
        <w:t xml:space="preserve"> conceptualized as work domain resources</w:t>
      </w:r>
      <w:r w:rsidR="00B06686" w:rsidRPr="00071A3A">
        <w:rPr>
          <w:bCs/>
        </w:rPr>
        <w:t xml:space="preserve"> increased </w:t>
      </w:r>
      <w:r w:rsidR="00BE5E63" w:rsidRPr="00071A3A">
        <w:rPr>
          <w:bCs/>
        </w:rPr>
        <w:t>with the</w:t>
      </w:r>
      <w:r w:rsidR="00B06686" w:rsidRPr="00071A3A">
        <w:rPr>
          <w:bCs/>
        </w:rPr>
        <w:t xml:space="preserve"> support resource received at home</w:t>
      </w:r>
      <w:r w:rsidR="00204A94" w:rsidRPr="00071A3A">
        <w:rPr>
          <w:bCs/>
        </w:rPr>
        <w:t xml:space="preserve">, which </w:t>
      </w:r>
      <w:r w:rsidR="00B06686" w:rsidRPr="00071A3A">
        <w:rPr>
          <w:bCs/>
        </w:rPr>
        <w:t>is in parallel with the between domain transfer of resources concept of the W-HR model</w:t>
      </w:r>
      <w:r w:rsidR="00204A94" w:rsidRPr="00071A3A">
        <w:rPr>
          <w:bCs/>
        </w:rPr>
        <w:t xml:space="preserve">. </w:t>
      </w:r>
      <w:r w:rsidR="00B06686" w:rsidRPr="00071A3A">
        <w:rPr>
          <w:bCs/>
        </w:rPr>
        <w:t xml:space="preserve">Literature has proven the connection between spousal support and improved work outcomes (i.e., job satisfaction; Burke &amp; Greenglass, 1999, job performance; Repetti, 1989) and </w:t>
      </w:r>
      <w:r w:rsidR="0070007F" w:rsidRPr="00071A3A">
        <w:rPr>
          <w:bCs/>
        </w:rPr>
        <w:t xml:space="preserve">a </w:t>
      </w:r>
      <w:r w:rsidR="00B06686" w:rsidRPr="00071A3A">
        <w:rPr>
          <w:bCs/>
        </w:rPr>
        <w:t xml:space="preserve">decrease </w:t>
      </w:r>
      <w:r w:rsidR="0070007F" w:rsidRPr="00071A3A">
        <w:rPr>
          <w:bCs/>
        </w:rPr>
        <w:t xml:space="preserve">in </w:t>
      </w:r>
      <w:r w:rsidR="00B06686" w:rsidRPr="00071A3A">
        <w:rPr>
          <w:bCs/>
        </w:rPr>
        <w:t xml:space="preserve">unwanted outcomes (i.e., work-home conflict and psychological distress, Aycan &amp; Eskin, 2005). </w:t>
      </w:r>
    </w:p>
    <w:p w14:paraId="56DF1EF5" w14:textId="65E673D8" w:rsidR="001C56C8" w:rsidRPr="00071A3A" w:rsidRDefault="00B96DDE" w:rsidP="00A10FCF">
      <w:pPr>
        <w:spacing w:line="480" w:lineRule="auto"/>
        <w:ind w:firstLine="360"/>
        <w:rPr>
          <w:bCs/>
        </w:rPr>
      </w:pPr>
      <w:r w:rsidRPr="00071A3A">
        <w:rPr>
          <w:bCs/>
        </w:rPr>
        <w:t>W</w:t>
      </w:r>
      <w:r w:rsidR="00204A94" w:rsidRPr="00071A3A">
        <w:rPr>
          <w:bCs/>
        </w:rPr>
        <w:t xml:space="preserve">e argue that </w:t>
      </w:r>
      <w:bookmarkStart w:id="0" w:name="_Hlk117624855"/>
      <w:r w:rsidR="00204A94" w:rsidRPr="00071A3A">
        <w:rPr>
          <w:bCs/>
        </w:rPr>
        <w:t xml:space="preserve">increased </w:t>
      </w:r>
      <w:r w:rsidR="00B06686" w:rsidRPr="00071A3A">
        <w:rPr>
          <w:bCs/>
        </w:rPr>
        <w:t>accumulation</w:t>
      </w:r>
      <w:r w:rsidR="00204A94" w:rsidRPr="00071A3A">
        <w:rPr>
          <w:bCs/>
        </w:rPr>
        <w:t xml:space="preserve"> of personal resources in the home domain in the </w:t>
      </w:r>
      <w:r w:rsidR="00BE5E63" w:rsidRPr="00071A3A">
        <w:rPr>
          <w:bCs/>
        </w:rPr>
        <w:t>form</w:t>
      </w:r>
      <w:r w:rsidR="00204A94" w:rsidRPr="00071A3A">
        <w:rPr>
          <w:bCs/>
        </w:rPr>
        <w:t xml:space="preserve"> of spousal support would lead to a</w:t>
      </w:r>
      <w:r w:rsidR="00B06686" w:rsidRPr="00071A3A">
        <w:rPr>
          <w:bCs/>
        </w:rPr>
        <w:t xml:space="preserve"> home-to-work </w:t>
      </w:r>
      <w:r w:rsidR="00204A94" w:rsidRPr="00071A3A">
        <w:rPr>
          <w:bCs/>
        </w:rPr>
        <w:t xml:space="preserve">enrichment process, where the supervisor has more resources in their arsenal to invest within the work domain. </w:t>
      </w:r>
      <w:r w:rsidR="00740D25" w:rsidRPr="00071A3A">
        <w:rPr>
          <w:bCs/>
        </w:rPr>
        <w:t xml:space="preserve">Accordingly, the WH-R model argues that people with greater access to personal resources are better positioned to invest those resources (Bakker &amp; Geurts, 2004). </w:t>
      </w:r>
      <w:r w:rsidR="00DE21F0" w:rsidRPr="00071A3A">
        <w:rPr>
          <w:bCs/>
        </w:rPr>
        <w:t>A</w:t>
      </w:r>
      <w:r w:rsidR="00B06686" w:rsidRPr="00071A3A">
        <w:rPr>
          <w:bCs/>
        </w:rPr>
        <w:t xml:space="preserve">s both work-home and home-work enrichment have shown to operate bi-directionally, we argue that in weeks when </w:t>
      </w:r>
      <w:r w:rsidR="008C21F8" w:rsidRPr="00071A3A">
        <w:rPr>
          <w:bCs/>
        </w:rPr>
        <w:t>supervisors</w:t>
      </w:r>
      <w:r w:rsidR="00B06686" w:rsidRPr="00071A3A">
        <w:rPr>
          <w:bCs/>
        </w:rPr>
        <w:t xml:space="preserve"> receive more support from their spouse in the home domain, they will have more resources left to invest in the work domain in the form of FSSBs (Ten Brummelhuis &amp; Bakker, 2012). </w:t>
      </w:r>
      <w:bookmarkEnd w:id="0"/>
      <w:r w:rsidR="00B06686" w:rsidRPr="00071A3A">
        <w:rPr>
          <w:bCs/>
        </w:rPr>
        <w:t xml:space="preserve">Furthermore, indirectly supporting our arguments, building on the W-HR model, the findings in Aw, Ilies, Li, Bakker and Liu (2021) reveal that employee provision and receipt of organizational citizenship behaviours within the work domain spill over to the family domain in the </w:t>
      </w:r>
      <w:r w:rsidR="00726933" w:rsidRPr="00071A3A">
        <w:rPr>
          <w:bCs/>
        </w:rPr>
        <w:t>form</w:t>
      </w:r>
      <w:r w:rsidR="00B06686" w:rsidRPr="00071A3A">
        <w:rPr>
          <w:bCs/>
        </w:rPr>
        <w:t xml:space="preserve"> of family performance and marital withdrawal behaviours. </w:t>
      </w:r>
      <w:r w:rsidR="00204A94" w:rsidRPr="00071A3A">
        <w:rPr>
          <w:bCs/>
        </w:rPr>
        <w:t xml:space="preserve">Conclusively, </w:t>
      </w:r>
      <w:r w:rsidR="0070007F" w:rsidRPr="00071A3A">
        <w:rPr>
          <w:bCs/>
        </w:rPr>
        <w:t>t</w:t>
      </w:r>
      <w:r w:rsidR="00DE21F0" w:rsidRPr="00071A3A">
        <w:rPr>
          <w:bCs/>
        </w:rPr>
        <w:t xml:space="preserve">aking the affect based route of enrichment for this process (Carlson, Kacmar, Wayne &amp; Grzyawacz, 2006), where greater attentiveness in one domain is associated with enhanced engagement in another domain through positive affect, </w:t>
      </w:r>
      <w:r w:rsidR="00204A94" w:rsidRPr="00071A3A">
        <w:rPr>
          <w:bCs/>
        </w:rPr>
        <w:t xml:space="preserve">we argue that the supervisor who has extra resources to invest as a result of the positive interactions and support they receive from their spouses (as they are likely to feel confident, reassured, and positive </w:t>
      </w:r>
      <w:r w:rsidR="00B06686" w:rsidRPr="00071A3A">
        <w:rPr>
          <w:bCs/>
        </w:rPr>
        <w:t xml:space="preserve">at home </w:t>
      </w:r>
      <w:r w:rsidR="00204A94" w:rsidRPr="00071A3A">
        <w:rPr>
          <w:bCs/>
        </w:rPr>
        <w:t>(e.g., Tremmel &amp; Sonnentag, 2018</w:t>
      </w:r>
      <w:r w:rsidR="005E5B8B">
        <w:rPr>
          <w:bCs/>
        </w:rPr>
        <w:t xml:space="preserve">; </w:t>
      </w:r>
      <w:r w:rsidR="005E5B8B" w:rsidRPr="005E5B8B">
        <w:rPr>
          <w:bCs/>
        </w:rPr>
        <w:t>Ballesteros</w:t>
      </w:r>
      <w:r w:rsidR="005E5B8B">
        <w:rPr>
          <w:bCs/>
        </w:rPr>
        <w:t xml:space="preserve"> et al., 2018</w:t>
      </w:r>
      <w:r w:rsidR="00204A94" w:rsidRPr="00071A3A">
        <w:rPr>
          <w:bCs/>
        </w:rPr>
        <w:t xml:space="preserve">), would be more </w:t>
      </w:r>
      <w:r w:rsidR="00204A94" w:rsidRPr="00071A3A">
        <w:rPr>
          <w:bCs/>
        </w:rPr>
        <w:lastRenderedPageBreak/>
        <w:t xml:space="preserve">appreciative and understanding of the family-related needs of their employees during these </w:t>
      </w:r>
      <w:r w:rsidR="00726933" w:rsidRPr="00071A3A">
        <w:rPr>
          <w:bCs/>
        </w:rPr>
        <w:t xml:space="preserve">times </w:t>
      </w:r>
      <w:r w:rsidR="00B06686" w:rsidRPr="00071A3A">
        <w:rPr>
          <w:bCs/>
        </w:rPr>
        <w:t xml:space="preserve">and more willing to show FSSBs. </w:t>
      </w:r>
    </w:p>
    <w:p w14:paraId="3C38AFFD" w14:textId="77777777" w:rsidR="00B06686" w:rsidRPr="000B3CBA" w:rsidRDefault="00B06686" w:rsidP="00071A3A">
      <w:pPr>
        <w:spacing w:line="480" w:lineRule="auto"/>
        <w:ind w:left="708"/>
        <w:contextualSpacing/>
        <w:rPr>
          <w:color w:val="FF0000"/>
        </w:rPr>
      </w:pPr>
    </w:p>
    <w:p w14:paraId="67FE2120" w14:textId="5CD8D441" w:rsidR="00E25B16" w:rsidRPr="00071A3A" w:rsidRDefault="002D7835" w:rsidP="00071A3A">
      <w:pPr>
        <w:spacing w:line="480" w:lineRule="auto"/>
        <w:ind w:left="360"/>
        <w:jc w:val="center"/>
        <w:rPr>
          <w:i/>
          <w:color w:val="000000"/>
          <w:lang w:val="en-US" w:eastAsia="nl-NL"/>
        </w:rPr>
      </w:pPr>
      <w:r w:rsidRPr="00071A3A">
        <w:rPr>
          <w:i/>
          <w:color w:val="000000"/>
          <w:lang w:val="en-US" w:eastAsia="nl-NL"/>
        </w:rPr>
        <w:t>H</w:t>
      </w:r>
      <w:r w:rsidR="00E25B16" w:rsidRPr="00071A3A">
        <w:rPr>
          <w:i/>
          <w:color w:val="000000"/>
          <w:lang w:val="en-US" w:eastAsia="nl-NL"/>
        </w:rPr>
        <w:t xml:space="preserve">ypothesis 1: </w:t>
      </w:r>
      <w:r w:rsidR="00F85042" w:rsidRPr="00071A3A">
        <w:rPr>
          <w:iCs/>
          <w:color w:val="000000"/>
          <w:lang w:val="en-US" w:eastAsia="nl-NL"/>
        </w:rPr>
        <w:t>S</w:t>
      </w:r>
      <w:r w:rsidR="00E25B16" w:rsidRPr="00071A3A">
        <w:rPr>
          <w:iCs/>
          <w:color w:val="000000"/>
          <w:lang w:val="en-US" w:eastAsia="nl-NL"/>
        </w:rPr>
        <w:t>pousal support experienced by a supervisor (</w:t>
      </w:r>
      <w:r w:rsidR="00EB193E" w:rsidRPr="00071A3A">
        <w:rPr>
          <w:iCs/>
          <w:color w:val="000000"/>
          <w:lang w:val="en-US" w:eastAsia="nl-NL"/>
        </w:rPr>
        <w:t xml:space="preserve">rated by </w:t>
      </w:r>
      <w:r w:rsidR="00B45D55" w:rsidRPr="00071A3A">
        <w:rPr>
          <w:iCs/>
          <w:color w:val="000000"/>
          <w:lang w:val="en-US" w:eastAsia="nl-NL"/>
        </w:rPr>
        <w:t xml:space="preserve">the </w:t>
      </w:r>
      <w:r w:rsidR="00EB193E" w:rsidRPr="00071A3A">
        <w:rPr>
          <w:iCs/>
          <w:color w:val="000000"/>
          <w:lang w:val="en-US" w:eastAsia="nl-NL"/>
        </w:rPr>
        <w:t>supervisor</w:t>
      </w:r>
      <w:r w:rsidR="00E25B16" w:rsidRPr="00071A3A">
        <w:rPr>
          <w:iCs/>
          <w:color w:val="000000"/>
          <w:lang w:val="en-US" w:eastAsia="nl-NL"/>
        </w:rPr>
        <w:t xml:space="preserve">) </w:t>
      </w:r>
      <w:r w:rsidR="00F85042" w:rsidRPr="00071A3A">
        <w:rPr>
          <w:iCs/>
          <w:color w:val="000000"/>
          <w:lang w:val="en-US" w:eastAsia="nl-NL"/>
        </w:rPr>
        <w:t xml:space="preserve">is </w:t>
      </w:r>
      <w:r w:rsidR="00E25B16" w:rsidRPr="00071A3A">
        <w:rPr>
          <w:iCs/>
          <w:color w:val="000000"/>
          <w:lang w:val="en-US" w:eastAsia="nl-NL"/>
        </w:rPr>
        <w:t xml:space="preserve">positively related to </w:t>
      </w:r>
      <w:r w:rsidR="00B45D55" w:rsidRPr="00071A3A">
        <w:rPr>
          <w:iCs/>
          <w:color w:val="000000"/>
          <w:lang w:val="en-US" w:eastAsia="nl-NL"/>
        </w:rPr>
        <w:t xml:space="preserve">the </w:t>
      </w:r>
      <w:r w:rsidR="00E25B16" w:rsidRPr="00071A3A">
        <w:rPr>
          <w:iCs/>
          <w:color w:val="000000"/>
          <w:lang w:val="en-US" w:eastAsia="nl-NL"/>
        </w:rPr>
        <w:t>supervisor's FSSB</w:t>
      </w:r>
      <w:r w:rsidR="00F6461F" w:rsidRPr="00071A3A">
        <w:rPr>
          <w:iCs/>
          <w:color w:val="000000"/>
          <w:lang w:val="en-US" w:eastAsia="nl-NL"/>
        </w:rPr>
        <w:t>s</w:t>
      </w:r>
      <w:r w:rsidR="00E25B16" w:rsidRPr="00071A3A">
        <w:rPr>
          <w:iCs/>
          <w:color w:val="000000"/>
          <w:lang w:val="en-US" w:eastAsia="nl-NL"/>
        </w:rPr>
        <w:t xml:space="preserve"> (</w:t>
      </w:r>
      <w:r w:rsidR="00EB193E" w:rsidRPr="00071A3A">
        <w:rPr>
          <w:iCs/>
          <w:color w:val="000000"/>
          <w:lang w:val="en-US" w:eastAsia="nl-NL"/>
        </w:rPr>
        <w:t xml:space="preserve">rated by </w:t>
      </w:r>
      <w:r w:rsidR="00B45D55" w:rsidRPr="00071A3A">
        <w:rPr>
          <w:iCs/>
          <w:color w:val="000000"/>
          <w:lang w:val="en-US" w:eastAsia="nl-NL"/>
        </w:rPr>
        <w:t xml:space="preserve">the </w:t>
      </w:r>
      <w:r w:rsidR="00EB193E" w:rsidRPr="00071A3A">
        <w:rPr>
          <w:iCs/>
          <w:color w:val="000000"/>
          <w:lang w:val="en-US" w:eastAsia="nl-NL"/>
        </w:rPr>
        <w:t>employee</w:t>
      </w:r>
      <w:r w:rsidR="00E25B16" w:rsidRPr="00071A3A">
        <w:rPr>
          <w:iCs/>
          <w:color w:val="000000"/>
          <w:lang w:val="en-US" w:eastAsia="nl-NL"/>
        </w:rPr>
        <w:t>)</w:t>
      </w:r>
      <w:r w:rsidR="00F85042" w:rsidRPr="00071A3A">
        <w:rPr>
          <w:iCs/>
          <w:color w:val="000000"/>
          <w:lang w:val="en-US" w:eastAsia="nl-NL"/>
        </w:rPr>
        <w:t xml:space="preserve">, at </w:t>
      </w:r>
      <w:r w:rsidR="00E72B83" w:rsidRPr="00071A3A">
        <w:rPr>
          <w:iCs/>
          <w:color w:val="000000"/>
          <w:lang w:val="en-US" w:eastAsia="nl-NL"/>
        </w:rPr>
        <w:t xml:space="preserve">a </w:t>
      </w:r>
      <w:r w:rsidR="00F85042" w:rsidRPr="00071A3A">
        <w:rPr>
          <w:iCs/>
          <w:color w:val="000000"/>
          <w:lang w:val="en-US" w:eastAsia="nl-NL"/>
        </w:rPr>
        <w:t>weekly level.</w:t>
      </w:r>
    </w:p>
    <w:p w14:paraId="76E32AB2" w14:textId="77777777" w:rsidR="002641D1" w:rsidRPr="00E25B16" w:rsidRDefault="002641D1" w:rsidP="00071A3A">
      <w:pPr>
        <w:spacing w:line="480" w:lineRule="auto"/>
      </w:pPr>
    </w:p>
    <w:p w14:paraId="1B49A491" w14:textId="57BA5DF9" w:rsidR="00E25B16" w:rsidRPr="00071A3A" w:rsidRDefault="00E25B16" w:rsidP="00A10FCF">
      <w:pPr>
        <w:spacing w:line="480" w:lineRule="auto"/>
        <w:rPr>
          <w:b/>
          <w:bCs/>
        </w:rPr>
      </w:pPr>
      <w:r w:rsidRPr="00071A3A">
        <w:rPr>
          <w:b/>
          <w:bCs/>
        </w:rPr>
        <w:t xml:space="preserve">The Associations </w:t>
      </w:r>
      <w:r w:rsidR="00726933" w:rsidRPr="00071A3A">
        <w:rPr>
          <w:b/>
          <w:bCs/>
        </w:rPr>
        <w:t>B</w:t>
      </w:r>
      <w:r w:rsidRPr="00071A3A">
        <w:rPr>
          <w:b/>
          <w:bCs/>
        </w:rPr>
        <w:t>etween FSSB</w:t>
      </w:r>
      <w:r w:rsidR="00F6461F" w:rsidRPr="00071A3A">
        <w:rPr>
          <w:b/>
          <w:bCs/>
        </w:rPr>
        <w:t>s</w:t>
      </w:r>
      <w:r w:rsidRPr="00071A3A">
        <w:rPr>
          <w:b/>
          <w:bCs/>
        </w:rPr>
        <w:t xml:space="preserve"> and </w:t>
      </w:r>
      <w:r w:rsidR="00E661FA" w:rsidRPr="00071A3A">
        <w:rPr>
          <w:b/>
          <w:bCs/>
        </w:rPr>
        <w:t>Production Deviance</w:t>
      </w:r>
    </w:p>
    <w:p w14:paraId="756D94B3" w14:textId="5CF2B0F9" w:rsidR="00DA2EC7" w:rsidRPr="00E25B16" w:rsidRDefault="00E25B16" w:rsidP="00A10FCF">
      <w:pPr>
        <w:spacing w:line="480" w:lineRule="auto"/>
        <w:ind w:firstLine="360"/>
      </w:pPr>
      <w:r w:rsidRPr="00E25B16">
        <w:t>We argue that FSSB</w:t>
      </w:r>
      <w:r w:rsidR="00F6461F">
        <w:t>s</w:t>
      </w:r>
      <w:r w:rsidRPr="00E25B16">
        <w:t xml:space="preserve"> generate positive resources for the recipients (e.g., positive energy, attention, flexibility), which we expect to</w:t>
      </w:r>
      <w:r w:rsidR="00F6461F">
        <w:t xml:space="preserve"> reduce</w:t>
      </w:r>
      <w:r w:rsidRPr="00E25B16">
        <w:t xml:space="preserve"> their </w:t>
      </w:r>
      <w:r w:rsidR="00E661FA">
        <w:t xml:space="preserve">production </w:t>
      </w:r>
      <w:r w:rsidR="0069667F">
        <w:t>devian</w:t>
      </w:r>
      <w:r w:rsidR="002641D1">
        <w:t>ce</w:t>
      </w:r>
      <w:r w:rsidR="00E661FA">
        <w:t xml:space="preserve"> behaviour</w:t>
      </w:r>
      <w:r w:rsidRPr="00E25B16">
        <w:t xml:space="preserve"> </w:t>
      </w:r>
      <w:r w:rsidR="00F6461F">
        <w:t xml:space="preserve">at </w:t>
      </w:r>
      <w:r w:rsidR="00E72B83">
        <w:t xml:space="preserve">the </w:t>
      </w:r>
      <w:r w:rsidR="00F6461F">
        <w:t>week</w:t>
      </w:r>
      <w:r w:rsidR="00726933">
        <w:t>ly</w:t>
      </w:r>
      <w:r w:rsidR="00F6461F">
        <w:t xml:space="preserve"> level</w:t>
      </w:r>
      <w:r w:rsidRPr="00E25B16">
        <w:t xml:space="preserve">. As such, we expect </w:t>
      </w:r>
      <w:r w:rsidR="00E72B83">
        <w:t xml:space="preserve">that </w:t>
      </w:r>
      <w:r w:rsidR="00F6461F">
        <w:t xml:space="preserve">during weeks in which </w:t>
      </w:r>
      <w:r w:rsidRPr="00E25B16">
        <w:t>employees enjoy the benefits associated with FSSB</w:t>
      </w:r>
      <w:r w:rsidR="001C624C">
        <w:t>s</w:t>
      </w:r>
      <w:r w:rsidR="00F6461F">
        <w:t xml:space="preserve">, they are less likely </w:t>
      </w:r>
      <w:r w:rsidRPr="00E25B16">
        <w:t xml:space="preserve">to engage in </w:t>
      </w:r>
      <w:r w:rsidR="00E661FA">
        <w:t xml:space="preserve">production </w:t>
      </w:r>
      <w:r w:rsidRPr="00E25B16">
        <w:t>devian</w:t>
      </w:r>
      <w:r w:rsidR="002641D1">
        <w:t>ce</w:t>
      </w:r>
      <w:r w:rsidRPr="00E25B16">
        <w:t xml:space="preserve"> that may </w:t>
      </w:r>
      <w:r w:rsidR="00726933">
        <w:t xml:space="preserve">negatively affect </w:t>
      </w:r>
      <w:r w:rsidRPr="00E25B16">
        <w:t xml:space="preserve">their supervisors or their organizations. This argument corresponds to the </w:t>
      </w:r>
      <w:r w:rsidR="00426966">
        <w:t xml:space="preserve">central </w:t>
      </w:r>
      <w:r w:rsidRPr="00E25B16">
        <w:t>tenet of the W-HR model that</w:t>
      </w:r>
      <w:r w:rsidR="00726933">
        <w:t xml:space="preserve"> maintain</w:t>
      </w:r>
      <w:r w:rsidR="00113198">
        <w:t>ed</w:t>
      </w:r>
      <w:r w:rsidRPr="00E25B16">
        <w:t xml:space="preserve"> resources (i.e., FSSB</w:t>
      </w:r>
      <w:r w:rsidR="001C624C">
        <w:t>s</w:t>
      </w:r>
      <w:r w:rsidRPr="00E25B16">
        <w:t>) generate personal resources</w:t>
      </w:r>
      <w:r w:rsidR="00726933">
        <w:t>,</w:t>
      </w:r>
      <w:r w:rsidRPr="00E25B16">
        <w:t xml:space="preserve"> which </w:t>
      </w:r>
      <w:r w:rsidR="00B45D55">
        <w:t>helps</w:t>
      </w:r>
      <w:r w:rsidRPr="00E25B16">
        <w:t xml:space="preserve"> explain how enrichment occurs </w:t>
      </w:r>
      <w:r w:rsidR="0078087E">
        <w:t>between work and non-work domains</w:t>
      </w:r>
      <w:r w:rsidRPr="00E25B16">
        <w:t xml:space="preserve"> (i.e., deviant work </w:t>
      </w:r>
      <w:r w:rsidR="001D590D">
        <w:t>behaviour</w:t>
      </w:r>
      <w:r w:rsidRPr="00E25B16">
        <w:t>s).</w:t>
      </w:r>
      <w:r w:rsidR="0052009C">
        <w:t xml:space="preserve"> </w:t>
      </w:r>
      <w:r w:rsidR="00DA2EC7">
        <w:t xml:space="preserve">Framing </w:t>
      </w:r>
      <w:r w:rsidR="0052009C">
        <w:t>production deviance</w:t>
      </w:r>
      <w:r w:rsidR="00DA2EC7">
        <w:t xml:space="preserve"> in light of the W-HR model, </w:t>
      </w:r>
      <w:r w:rsidR="000A672C">
        <w:t xml:space="preserve">our central argument is that FSSBs are instrumental in creating additional resources for employees in the workplace. In conjunction, as production deviance occurs as a response to the depletion of resources on part of the employee, we argue that an increase in these resources would naturally decrease production deviance, as the employee experiences decreased amounts of stress due to additional resources as a result of receiving increased family support from the supervisor. </w:t>
      </w:r>
    </w:p>
    <w:p w14:paraId="13B117DE" w14:textId="77777777" w:rsidR="00EB193E" w:rsidRDefault="00EB193E" w:rsidP="00071A3A">
      <w:pPr>
        <w:spacing w:line="480" w:lineRule="auto"/>
        <w:ind w:left="700"/>
        <w:contextualSpacing/>
        <w:rPr>
          <w:i/>
          <w:color w:val="000000"/>
          <w:lang w:val="en-US" w:eastAsia="nl-NL"/>
        </w:rPr>
      </w:pPr>
    </w:p>
    <w:p w14:paraId="6A33FB31" w14:textId="4F83728E" w:rsidR="003E533F" w:rsidRPr="00071A3A" w:rsidRDefault="00E25B16" w:rsidP="00071A3A">
      <w:pPr>
        <w:spacing w:line="480" w:lineRule="auto"/>
        <w:ind w:left="360"/>
        <w:rPr>
          <w:iCs/>
          <w:color w:val="000000"/>
          <w:lang w:val="en-US" w:eastAsia="nl-NL"/>
        </w:rPr>
      </w:pPr>
      <w:r w:rsidRPr="00071A3A">
        <w:rPr>
          <w:i/>
          <w:color w:val="000000"/>
          <w:lang w:val="en-US" w:eastAsia="nl-NL"/>
        </w:rPr>
        <w:t xml:space="preserve">Hypothesis 2: </w:t>
      </w:r>
      <w:r w:rsidRPr="00071A3A">
        <w:rPr>
          <w:iCs/>
          <w:color w:val="000000"/>
          <w:lang w:val="en-US" w:eastAsia="nl-NL"/>
        </w:rPr>
        <w:t xml:space="preserve"> FSSB</w:t>
      </w:r>
      <w:r w:rsidR="00F85042" w:rsidRPr="00071A3A">
        <w:rPr>
          <w:iCs/>
          <w:color w:val="000000"/>
          <w:lang w:val="en-US" w:eastAsia="nl-NL"/>
        </w:rPr>
        <w:t>s</w:t>
      </w:r>
      <w:r w:rsidRPr="00071A3A">
        <w:rPr>
          <w:iCs/>
          <w:color w:val="000000"/>
          <w:lang w:val="en-US" w:eastAsia="nl-NL"/>
        </w:rPr>
        <w:t xml:space="preserve"> (rated by </w:t>
      </w:r>
      <w:r w:rsidR="00B45D55" w:rsidRPr="00071A3A">
        <w:rPr>
          <w:iCs/>
          <w:color w:val="000000"/>
          <w:lang w:val="en-US" w:eastAsia="nl-NL"/>
        </w:rPr>
        <w:t xml:space="preserve">the </w:t>
      </w:r>
      <w:r w:rsidRPr="00071A3A">
        <w:rPr>
          <w:iCs/>
          <w:color w:val="000000"/>
          <w:lang w:val="en-US" w:eastAsia="nl-NL"/>
        </w:rPr>
        <w:t xml:space="preserve">employee) </w:t>
      </w:r>
      <w:r w:rsidR="00F85042" w:rsidRPr="00071A3A">
        <w:rPr>
          <w:iCs/>
          <w:color w:val="000000"/>
          <w:lang w:val="en-US" w:eastAsia="nl-NL"/>
        </w:rPr>
        <w:t xml:space="preserve">are </w:t>
      </w:r>
      <w:r w:rsidRPr="00071A3A">
        <w:rPr>
          <w:iCs/>
          <w:color w:val="000000"/>
          <w:lang w:val="en-US" w:eastAsia="nl-NL"/>
        </w:rPr>
        <w:t xml:space="preserve">negatively </w:t>
      </w:r>
      <w:r w:rsidR="00F85042" w:rsidRPr="00071A3A">
        <w:rPr>
          <w:iCs/>
          <w:color w:val="000000"/>
          <w:lang w:val="en-US" w:eastAsia="nl-NL"/>
        </w:rPr>
        <w:t>associated with</w:t>
      </w:r>
      <w:r w:rsidRPr="00071A3A">
        <w:rPr>
          <w:iCs/>
          <w:color w:val="000000"/>
          <w:lang w:val="en-US" w:eastAsia="nl-NL"/>
        </w:rPr>
        <w:t xml:space="preserve"> </w:t>
      </w:r>
      <w:r w:rsidR="00726933" w:rsidRPr="00071A3A">
        <w:rPr>
          <w:iCs/>
          <w:color w:val="000000"/>
          <w:lang w:val="en-US" w:eastAsia="nl-NL"/>
        </w:rPr>
        <w:t xml:space="preserve">employee </w:t>
      </w:r>
      <w:r w:rsidR="00B45D55" w:rsidRPr="00071A3A">
        <w:rPr>
          <w:iCs/>
          <w:color w:val="000000"/>
          <w:lang w:val="en-US" w:eastAsia="nl-NL"/>
        </w:rPr>
        <w:t>production-related</w:t>
      </w:r>
      <w:r w:rsidR="00E661FA" w:rsidRPr="00071A3A">
        <w:rPr>
          <w:iCs/>
          <w:color w:val="000000"/>
          <w:lang w:val="en-US" w:eastAsia="nl-NL"/>
        </w:rPr>
        <w:t xml:space="preserve"> </w:t>
      </w:r>
      <w:r w:rsidRPr="00071A3A">
        <w:rPr>
          <w:iCs/>
          <w:color w:val="000000"/>
          <w:lang w:val="en-US" w:eastAsia="nl-NL"/>
        </w:rPr>
        <w:t xml:space="preserve">deviant work </w:t>
      </w:r>
      <w:r w:rsidR="001D590D" w:rsidRPr="00071A3A">
        <w:rPr>
          <w:iCs/>
          <w:color w:val="000000"/>
          <w:lang w:val="en-US" w:eastAsia="nl-NL"/>
        </w:rPr>
        <w:t>behaviour</w:t>
      </w:r>
      <w:r w:rsidRPr="00071A3A">
        <w:rPr>
          <w:iCs/>
          <w:color w:val="000000"/>
          <w:lang w:val="en-US" w:eastAsia="nl-NL"/>
        </w:rPr>
        <w:t>s (</w:t>
      </w:r>
      <w:r w:rsidR="00F6461F" w:rsidRPr="00071A3A">
        <w:rPr>
          <w:iCs/>
          <w:color w:val="000000"/>
          <w:lang w:val="en-US" w:eastAsia="nl-NL"/>
        </w:rPr>
        <w:t xml:space="preserve">rated by </w:t>
      </w:r>
      <w:r w:rsidR="00B45D55" w:rsidRPr="00071A3A">
        <w:rPr>
          <w:iCs/>
          <w:color w:val="000000"/>
          <w:lang w:val="en-US" w:eastAsia="nl-NL"/>
        </w:rPr>
        <w:t xml:space="preserve">the </w:t>
      </w:r>
      <w:r w:rsidR="00F6461F" w:rsidRPr="00071A3A">
        <w:rPr>
          <w:iCs/>
          <w:color w:val="000000"/>
          <w:lang w:val="en-US" w:eastAsia="nl-NL"/>
        </w:rPr>
        <w:t>supervisor</w:t>
      </w:r>
      <w:r w:rsidRPr="00071A3A">
        <w:rPr>
          <w:iCs/>
          <w:color w:val="000000"/>
          <w:lang w:val="en-US" w:eastAsia="nl-NL"/>
        </w:rPr>
        <w:t>)</w:t>
      </w:r>
      <w:r w:rsidR="00F85042" w:rsidRPr="00071A3A">
        <w:rPr>
          <w:iCs/>
          <w:color w:val="000000"/>
          <w:lang w:val="en-US" w:eastAsia="nl-NL"/>
        </w:rPr>
        <w:t xml:space="preserve">, at </w:t>
      </w:r>
      <w:r w:rsidR="00E72B83" w:rsidRPr="00071A3A">
        <w:rPr>
          <w:iCs/>
          <w:color w:val="000000"/>
          <w:lang w:val="en-US" w:eastAsia="nl-NL"/>
        </w:rPr>
        <w:t xml:space="preserve">a </w:t>
      </w:r>
      <w:r w:rsidR="00F85042" w:rsidRPr="00071A3A">
        <w:rPr>
          <w:iCs/>
          <w:color w:val="000000"/>
          <w:lang w:val="en-US" w:eastAsia="nl-NL"/>
        </w:rPr>
        <w:t>weekly level.</w:t>
      </w:r>
    </w:p>
    <w:p w14:paraId="2B165EBD" w14:textId="77777777" w:rsidR="00EB193E" w:rsidRDefault="00EB193E" w:rsidP="00071A3A">
      <w:pPr>
        <w:spacing w:line="480" w:lineRule="auto"/>
        <w:ind w:left="700"/>
        <w:contextualSpacing/>
        <w:rPr>
          <w:color w:val="000000"/>
          <w:lang w:val="en-US" w:eastAsia="nl-NL"/>
        </w:rPr>
      </w:pPr>
    </w:p>
    <w:p w14:paraId="7DB72D82" w14:textId="149B2AD7" w:rsidR="003E533F" w:rsidRPr="00071A3A" w:rsidRDefault="00F6461F" w:rsidP="00A10FCF">
      <w:pPr>
        <w:spacing w:line="480" w:lineRule="auto"/>
        <w:ind w:firstLine="360"/>
        <w:rPr>
          <w:color w:val="000000"/>
          <w:lang w:val="en-US" w:eastAsia="nl-NL"/>
        </w:rPr>
      </w:pPr>
      <w:r w:rsidRPr="00071A3A">
        <w:rPr>
          <w:color w:val="000000"/>
          <w:lang w:val="en-US" w:eastAsia="nl-NL"/>
        </w:rPr>
        <w:lastRenderedPageBreak/>
        <w:t xml:space="preserve">Integrating the arguments above, we argue that FSSBs are mechanisms </w:t>
      </w:r>
      <w:r w:rsidR="00A70977" w:rsidRPr="00071A3A">
        <w:rPr>
          <w:color w:val="000000"/>
          <w:lang w:val="en-US" w:eastAsia="nl-NL"/>
        </w:rPr>
        <w:t>which shed light on</w:t>
      </w:r>
      <w:r w:rsidRPr="00071A3A">
        <w:rPr>
          <w:color w:val="000000"/>
          <w:lang w:val="en-US" w:eastAsia="nl-NL"/>
        </w:rPr>
        <w:t xml:space="preserve"> the impact of spousal support received at home </w:t>
      </w:r>
      <w:r w:rsidR="006C7959" w:rsidRPr="00071A3A">
        <w:rPr>
          <w:color w:val="000000"/>
          <w:lang w:val="en-US" w:eastAsia="nl-NL"/>
        </w:rPr>
        <w:t xml:space="preserve">on </w:t>
      </w:r>
      <w:r w:rsidR="0069667F" w:rsidRPr="00071A3A">
        <w:rPr>
          <w:color w:val="000000"/>
          <w:lang w:val="en-US" w:eastAsia="nl-NL"/>
        </w:rPr>
        <w:t>employees’</w:t>
      </w:r>
      <w:r w:rsidR="006C7959" w:rsidRPr="00071A3A">
        <w:rPr>
          <w:color w:val="000000"/>
          <w:lang w:val="en-US" w:eastAsia="nl-NL"/>
        </w:rPr>
        <w:t xml:space="preserve"> reduced </w:t>
      </w:r>
      <w:r w:rsidR="00E661FA" w:rsidRPr="00071A3A">
        <w:rPr>
          <w:iCs/>
          <w:color w:val="000000"/>
          <w:lang w:val="en-US" w:eastAsia="nl-NL"/>
        </w:rPr>
        <w:t>production</w:t>
      </w:r>
      <w:r w:rsidR="00A70977" w:rsidRPr="00071A3A">
        <w:rPr>
          <w:iCs/>
          <w:color w:val="000000"/>
          <w:lang w:val="en-US" w:eastAsia="nl-NL"/>
        </w:rPr>
        <w:t>-</w:t>
      </w:r>
      <w:r w:rsidR="00E661FA" w:rsidRPr="00071A3A">
        <w:rPr>
          <w:iCs/>
          <w:color w:val="000000"/>
          <w:lang w:val="en-US" w:eastAsia="nl-NL"/>
        </w:rPr>
        <w:t>related deviant work behaviours</w:t>
      </w:r>
      <w:r w:rsidR="006C7959" w:rsidRPr="00071A3A">
        <w:rPr>
          <w:color w:val="000000"/>
          <w:lang w:val="en-US" w:eastAsia="nl-NL"/>
        </w:rPr>
        <w:t xml:space="preserve">, </w:t>
      </w:r>
      <w:r w:rsidR="0069667F" w:rsidRPr="00071A3A">
        <w:rPr>
          <w:color w:val="000000"/>
          <w:lang w:val="en-US" w:eastAsia="nl-NL"/>
        </w:rPr>
        <w:t>every week</w:t>
      </w:r>
      <w:r w:rsidR="00192F14" w:rsidRPr="00071A3A">
        <w:rPr>
          <w:color w:val="000000"/>
          <w:lang w:val="en-US" w:eastAsia="nl-NL"/>
        </w:rPr>
        <w:t>.</w:t>
      </w:r>
      <w:r w:rsidR="006C7959" w:rsidRPr="00071A3A">
        <w:rPr>
          <w:color w:val="000000"/>
          <w:lang w:val="en-US" w:eastAsia="nl-NL"/>
        </w:rPr>
        <w:t xml:space="preserve"> </w:t>
      </w:r>
    </w:p>
    <w:p w14:paraId="0BF253F3" w14:textId="77777777" w:rsidR="00EB193E" w:rsidRDefault="00EB193E" w:rsidP="00071A3A">
      <w:pPr>
        <w:spacing w:line="480" w:lineRule="auto"/>
        <w:ind w:left="700"/>
        <w:contextualSpacing/>
        <w:rPr>
          <w:i/>
          <w:color w:val="000000"/>
          <w:lang w:val="en-US" w:eastAsia="nl-NL"/>
        </w:rPr>
      </w:pPr>
    </w:p>
    <w:p w14:paraId="50BACBF3" w14:textId="3EFA2AD4" w:rsidR="009C63D3" w:rsidRPr="00071A3A" w:rsidRDefault="003E533F" w:rsidP="00071A3A">
      <w:pPr>
        <w:spacing w:line="480" w:lineRule="auto"/>
        <w:ind w:left="360"/>
        <w:rPr>
          <w:color w:val="000000"/>
          <w:lang w:val="en-US" w:eastAsia="nl-NL"/>
        </w:rPr>
      </w:pPr>
      <w:r w:rsidRPr="00071A3A">
        <w:rPr>
          <w:i/>
          <w:color w:val="000000"/>
          <w:lang w:val="en-US" w:eastAsia="nl-NL"/>
        </w:rPr>
        <w:t xml:space="preserve">Hypothesis 3: </w:t>
      </w:r>
      <w:r w:rsidRPr="00071A3A">
        <w:rPr>
          <w:color w:val="000000"/>
          <w:lang w:val="en-US" w:eastAsia="nl-NL"/>
        </w:rPr>
        <w:t>FSSB</w:t>
      </w:r>
      <w:r w:rsidR="00F85042" w:rsidRPr="00071A3A">
        <w:rPr>
          <w:color w:val="000000"/>
          <w:lang w:val="en-US" w:eastAsia="nl-NL"/>
        </w:rPr>
        <w:t>s</w:t>
      </w:r>
      <w:r w:rsidRPr="00071A3A">
        <w:rPr>
          <w:color w:val="000000"/>
          <w:lang w:val="en-US" w:eastAsia="nl-NL"/>
        </w:rPr>
        <w:t xml:space="preserve"> (rated by </w:t>
      </w:r>
      <w:r w:rsidR="0069667F" w:rsidRPr="00071A3A">
        <w:rPr>
          <w:color w:val="000000"/>
          <w:lang w:val="en-US" w:eastAsia="nl-NL"/>
        </w:rPr>
        <w:t xml:space="preserve">the </w:t>
      </w:r>
      <w:r w:rsidRPr="00071A3A">
        <w:rPr>
          <w:color w:val="000000"/>
          <w:lang w:val="en-US" w:eastAsia="nl-NL"/>
        </w:rPr>
        <w:t>employee) mediate the association between spousal support experienced by a supervisor (</w:t>
      </w:r>
      <w:r w:rsidR="00F6461F" w:rsidRPr="00071A3A">
        <w:rPr>
          <w:color w:val="000000"/>
          <w:lang w:val="en-US" w:eastAsia="nl-NL"/>
        </w:rPr>
        <w:t>rated by supervisor</w:t>
      </w:r>
      <w:r w:rsidRPr="00071A3A">
        <w:rPr>
          <w:color w:val="000000"/>
          <w:lang w:val="en-US" w:eastAsia="nl-NL"/>
        </w:rPr>
        <w:t>) and </w:t>
      </w:r>
      <w:r w:rsidR="0069667F" w:rsidRPr="00071A3A">
        <w:rPr>
          <w:color w:val="000000"/>
          <w:lang w:val="en-US" w:eastAsia="nl-NL"/>
        </w:rPr>
        <w:t>production</w:t>
      </w:r>
      <w:r w:rsidR="00113198" w:rsidRPr="00071A3A">
        <w:rPr>
          <w:color w:val="000000"/>
          <w:lang w:val="en-US" w:eastAsia="nl-NL"/>
        </w:rPr>
        <w:t xml:space="preserve"> deviance</w:t>
      </w:r>
      <w:r w:rsidR="00E2721A" w:rsidRPr="00071A3A">
        <w:rPr>
          <w:iCs/>
          <w:color w:val="000000"/>
          <w:lang w:val="en-US" w:eastAsia="nl-NL"/>
        </w:rPr>
        <w:t xml:space="preserve"> </w:t>
      </w:r>
      <w:r w:rsidR="00A70977" w:rsidRPr="00071A3A">
        <w:rPr>
          <w:color w:val="000000"/>
          <w:lang w:val="en-US" w:eastAsia="nl-NL"/>
        </w:rPr>
        <w:t>shown by</w:t>
      </w:r>
      <w:r w:rsidRPr="00071A3A">
        <w:rPr>
          <w:color w:val="000000"/>
          <w:lang w:val="en-US" w:eastAsia="nl-NL"/>
        </w:rPr>
        <w:t xml:space="preserve"> employee (</w:t>
      </w:r>
      <w:r w:rsidR="00F6461F" w:rsidRPr="00071A3A">
        <w:rPr>
          <w:color w:val="000000"/>
          <w:lang w:val="en-US" w:eastAsia="nl-NL"/>
        </w:rPr>
        <w:t xml:space="preserve">rated by </w:t>
      </w:r>
      <w:r w:rsidR="0069667F" w:rsidRPr="00071A3A">
        <w:rPr>
          <w:color w:val="000000"/>
          <w:lang w:val="en-US" w:eastAsia="nl-NL"/>
        </w:rPr>
        <w:t xml:space="preserve">the </w:t>
      </w:r>
      <w:r w:rsidRPr="00071A3A">
        <w:rPr>
          <w:color w:val="000000"/>
          <w:lang w:val="en-US" w:eastAsia="nl-NL"/>
        </w:rPr>
        <w:t>supervisor)</w:t>
      </w:r>
      <w:r w:rsidR="00F85042" w:rsidRPr="00071A3A">
        <w:rPr>
          <w:color w:val="000000"/>
          <w:lang w:val="en-US" w:eastAsia="nl-NL"/>
        </w:rPr>
        <w:t xml:space="preserve">, at </w:t>
      </w:r>
      <w:r w:rsidR="00E72B83" w:rsidRPr="00071A3A">
        <w:rPr>
          <w:color w:val="000000"/>
          <w:lang w:val="en-US" w:eastAsia="nl-NL"/>
        </w:rPr>
        <w:t xml:space="preserve">the </w:t>
      </w:r>
      <w:r w:rsidR="00F85042" w:rsidRPr="00071A3A">
        <w:rPr>
          <w:color w:val="000000"/>
          <w:lang w:val="en-US" w:eastAsia="nl-NL"/>
        </w:rPr>
        <w:t>week level.</w:t>
      </w:r>
    </w:p>
    <w:p w14:paraId="65A61C4E" w14:textId="77777777" w:rsidR="00346C97" w:rsidRPr="009C63D3" w:rsidRDefault="00346C97" w:rsidP="00071A3A">
      <w:pPr>
        <w:spacing w:line="480" w:lineRule="auto"/>
        <w:ind w:left="700"/>
        <w:contextualSpacing/>
        <w:rPr>
          <w:iCs/>
          <w:color w:val="000000"/>
          <w:lang w:val="en-US" w:eastAsia="nl-NL"/>
        </w:rPr>
      </w:pPr>
    </w:p>
    <w:p w14:paraId="2274C06F" w14:textId="71A0E50E" w:rsidR="0077716B" w:rsidRPr="00071A3A" w:rsidRDefault="003941E7" w:rsidP="00A10FCF">
      <w:pPr>
        <w:spacing w:line="480" w:lineRule="auto"/>
        <w:rPr>
          <w:b/>
          <w:bCs/>
        </w:rPr>
      </w:pPr>
      <w:r w:rsidRPr="00071A3A">
        <w:rPr>
          <w:b/>
          <w:bCs/>
        </w:rPr>
        <w:t xml:space="preserve">Study 1: </w:t>
      </w:r>
      <w:r w:rsidR="00E25B16" w:rsidRPr="00071A3A">
        <w:rPr>
          <w:b/>
          <w:bCs/>
        </w:rPr>
        <w:t>Method</w:t>
      </w:r>
    </w:p>
    <w:p w14:paraId="5D24F3DA" w14:textId="3F52941F" w:rsidR="00E25B16" w:rsidRPr="00483F0A" w:rsidRDefault="00E25B16" w:rsidP="00A10FCF">
      <w:pPr>
        <w:spacing w:line="480" w:lineRule="auto"/>
      </w:pPr>
      <w:r w:rsidRPr="00071A3A">
        <w:rPr>
          <w:b/>
          <w:bCs/>
        </w:rPr>
        <w:t>Procedure and Participants</w:t>
      </w:r>
      <w:r w:rsidR="0077716B" w:rsidRPr="00071A3A">
        <w:rPr>
          <w:b/>
          <w:bCs/>
        </w:rPr>
        <w:t xml:space="preserve">. </w:t>
      </w:r>
      <w:r w:rsidR="0077716B">
        <w:t>We</w:t>
      </w:r>
      <w:r w:rsidRPr="00E25B16">
        <w:t xml:space="preserve"> conducted a weekly diary study involving employees and their supervisors </w:t>
      </w:r>
      <w:r w:rsidR="00483F0A">
        <w:t>in a financial company</w:t>
      </w:r>
      <w:r w:rsidR="00B922E4">
        <w:t xml:space="preserve"> located in Chile</w:t>
      </w:r>
      <w:r w:rsidR="00483F0A">
        <w:t xml:space="preserve"> over a four</w:t>
      </w:r>
      <w:r w:rsidR="00A70977">
        <w:t>-</w:t>
      </w:r>
      <w:r w:rsidR="00483F0A">
        <w:t>week</w:t>
      </w:r>
      <w:r w:rsidR="00A70977">
        <w:t xml:space="preserve"> period</w:t>
      </w:r>
      <w:r w:rsidR="00483F0A">
        <w:t xml:space="preserve"> (</w:t>
      </w:r>
      <w:r w:rsidR="0051719B">
        <w:t>January - February</w:t>
      </w:r>
      <w:r w:rsidR="00483F0A">
        <w:t xml:space="preserve"> 201</w:t>
      </w:r>
      <w:r w:rsidR="0051719B">
        <w:t>8</w:t>
      </w:r>
      <w:r w:rsidR="00483F0A">
        <w:t xml:space="preserve">). </w:t>
      </w:r>
      <w:r w:rsidRPr="00E25B16">
        <w:t xml:space="preserve">To </w:t>
      </w:r>
      <w:r w:rsidR="00483F0A">
        <w:t>encourage participation</w:t>
      </w:r>
      <w:r w:rsidRPr="00E25B16">
        <w:t xml:space="preserve">, </w:t>
      </w:r>
      <w:r w:rsidR="00B45D55">
        <w:t xml:space="preserve">the </w:t>
      </w:r>
      <w:r w:rsidR="0077716B">
        <w:t xml:space="preserve">HR unit and managers were </w:t>
      </w:r>
      <w:r w:rsidRPr="00E25B16">
        <w:t>offered a final report of the research findings at the aggregate level (i.e., no individual respondent could be identified) as an incentive. We received the email addresses of 120 employees, specific</w:t>
      </w:r>
      <w:r w:rsidR="00A70977">
        <w:t>ally,</w:t>
      </w:r>
      <w:r w:rsidRPr="00E25B16">
        <w:t xml:space="preserve"> 80 employees and 40 supervisors. We had access to the</w:t>
      </w:r>
      <w:r w:rsidR="00A70977">
        <w:t>ir</w:t>
      </w:r>
      <w:r w:rsidRPr="00E25B16">
        <w:t xml:space="preserve"> contact details (i.e., email addresses) </w:t>
      </w:r>
      <w:r w:rsidR="0034384E">
        <w:t>to</w:t>
      </w:r>
      <w:r w:rsidR="00A70977">
        <w:t xml:space="preserve">: </w:t>
      </w:r>
      <w:r w:rsidRPr="00E25B16">
        <w:t>1) send the</w:t>
      </w:r>
      <w:r w:rsidR="00A70977">
        <w:t>m</w:t>
      </w:r>
      <w:r w:rsidRPr="00E25B16">
        <w:t xml:space="preserve"> </w:t>
      </w:r>
      <w:r w:rsidR="00A70977">
        <w:t xml:space="preserve">an </w:t>
      </w:r>
      <w:r w:rsidRPr="00E25B16">
        <w:t xml:space="preserve">invitation to participate </w:t>
      </w:r>
      <w:r w:rsidR="00A70977">
        <w:t>in an</w:t>
      </w:r>
      <w:r w:rsidRPr="00E25B16">
        <w:t xml:space="preserve"> electronic questionnaires </w:t>
      </w:r>
      <w:r w:rsidR="00113198">
        <w:t xml:space="preserve">via </w:t>
      </w:r>
      <w:r w:rsidRPr="00E25B16">
        <w:t>Qualtrics</w:t>
      </w:r>
      <w:r w:rsidR="00A70977">
        <w:t xml:space="preserve">; </w:t>
      </w:r>
      <w:r w:rsidRPr="00E25B16">
        <w:t>2) link the repeated measurements to the same individual</w:t>
      </w:r>
      <w:r w:rsidR="00A70977">
        <w:t xml:space="preserve">; </w:t>
      </w:r>
      <w:r w:rsidRPr="00E25B16">
        <w:t>and 3) link the data of the corresponding employee and supervisor. In the invit</w:t>
      </w:r>
      <w:r w:rsidR="0034384E">
        <w:t>at</w:t>
      </w:r>
      <w:r w:rsidRPr="00E25B16">
        <w:t>i</w:t>
      </w:r>
      <w:r w:rsidR="0034384E">
        <w:t>o</w:t>
      </w:r>
      <w:r w:rsidRPr="00E25B16">
        <w:t xml:space="preserve">n email, we explained the possibility </w:t>
      </w:r>
      <w:r w:rsidR="00A70977">
        <w:t>of</w:t>
      </w:r>
      <w:r w:rsidRPr="00E25B16">
        <w:t xml:space="preserve"> withdraw</w:t>
      </w:r>
      <w:r w:rsidR="00A70977">
        <w:t>ing</w:t>
      </w:r>
      <w:r w:rsidRPr="00E25B16">
        <w:t xml:space="preserve"> from the study and promised strict confidentiality, such that only researchers could access the data and would anonymize </w:t>
      </w:r>
      <w:r w:rsidR="00A70977">
        <w:t>it</w:t>
      </w:r>
      <w:r w:rsidRPr="00E25B16">
        <w:t xml:space="preserve"> before carrying out</w:t>
      </w:r>
      <w:r w:rsidR="00A70977">
        <w:t xml:space="preserve"> </w:t>
      </w:r>
      <w:r w:rsidRPr="00E25B16">
        <w:t xml:space="preserve">analyses. We opted for a weekly diary design because prior research confirmed that job resources (e.g., support) and job performance fluctuate </w:t>
      </w:r>
      <w:r w:rsidR="0034384E">
        <w:t>across</w:t>
      </w:r>
      <w:r w:rsidRPr="00E25B16">
        <w:t xml:space="preserve"> workweek</w:t>
      </w:r>
      <w:r w:rsidR="0034384E">
        <w:t>s</w:t>
      </w:r>
      <w:r w:rsidRPr="00E25B16">
        <w:t xml:space="preserve"> (e.g., Bakker &amp; Bal, 2010) and individuals can accurately reflect upon the</w:t>
      </w:r>
      <w:r w:rsidR="0034384E">
        <w:t>ir support,</w:t>
      </w:r>
      <w:r w:rsidRPr="00E25B16">
        <w:t xml:space="preserve"> well-being</w:t>
      </w:r>
      <w:r w:rsidR="0034384E">
        <w:t>,</w:t>
      </w:r>
      <w:r w:rsidRPr="00E25B16">
        <w:t xml:space="preserve"> and </w:t>
      </w:r>
      <w:r w:rsidR="002B4B6A">
        <w:t xml:space="preserve">emotions </w:t>
      </w:r>
      <w:r w:rsidRPr="00E25B16">
        <w:t>throughout a workweek (</w:t>
      </w:r>
      <w:r w:rsidRPr="002B592C">
        <w:t>Parkinson</w:t>
      </w:r>
      <w:r w:rsidR="002B592C" w:rsidRPr="002B592C">
        <w:t xml:space="preserve"> </w:t>
      </w:r>
      <w:r w:rsidR="002B592C" w:rsidRPr="00071A3A">
        <w:rPr>
          <w:rFonts w:eastAsia="SimSun"/>
          <w:lang w:eastAsia="zh-CN"/>
        </w:rPr>
        <w:t>et al.,1995</w:t>
      </w:r>
      <w:r w:rsidRPr="002B592C">
        <w:t>; Totterdell</w:t>
      </w:r>
      <w:r w:rsidR="002B592C">
        <w:t xml:space="preserve"> et al.</w:t>
      </w:r>
      <w:r w:rsidRPr="00E25B16">
        <w:t>, 2006).</w:t>
      </w:r>
    </w:p>
    <w:p w14:paraId="6DABDDDD" w14:textId="14B1CF22" w:rsidR="00E25B16" w:rsidRPr="00E25B16" w:rsidRDefault="00E25B16" w:rsidP="00A10FCF">
      <w:pPr>
        <w:spacing w:line="480" w:lineRule="auto"/>
        <w:ind w:firstLine="360"/>
      </w:pPr>
      <w:r w:rsidRPr="00E25B16">
        <w:lastRenderedPageBreak/>
        <w:t>We translated the survey items from the original English version to Spanish using back-translation (Brislin, 1970). First, we assessed socio-demographic variables using a one-time</w:t>
      </w:r>
      <w:r w:rsidR="00A70977">
        <w:t>,</w:t>
      </w:r>
      <w:r w:rsidRPr="00E25B16">
        <w:t xml:space="preserve"> general survey. One week later, we invited the participants weekly for a period of four consecutive workweeks. </w:t>
      </w:r>
      <w:r w:rsidR="00192F14" w:rsidRPr="00E25B16">
        <w:t xml:space="preserve">The surveys for </w:t>
      </w:r>
      <w:r w:rsidR="00192F14" w:rsidRPr="004837A7">
        <w:t xml:space="preserve">employees and supervisors were sent on the same day, namely </w:t>
      </w:r>
      <w:r w:rsidR="00A70977">
        <w:t xml:space="preserve">each </w:t>
      </w:r>
      <w:r w:rsidR="00192F14" w:rsidRPr="004837A7">
        <w:t>Thursday</w:t>
      </w:r>
      <w:r w:rsidR="003547CA" w:rsidRPr="004837A7">
        <w:t xml:space="preserve"> evening</w:t>
      </w:r>
      <w:r w:rsidR="00A70977">
        <w:t xml:space="preserve"> of the selected weeks</w:t>
      </w:r>
      <w:r w:rsidR="00192F14" w:rsidRPr="004837A7">
        <w:t xml:space="preserve">. </w:t>
      </w:r>
      <w:r w:rsidR="003547CA" w:rsidRPr="004837A7">
        <w:t xml:space="preserve">The participants were told to finish the questionnaire </w:t>
      </w:r>
      <w:r w:rsidR="00A70977">
        <w:t>by</w:t>
      </w:r>
      <w:r w:rsidR="003547CA" w:rsidRPr="004837A7">
        <w:t xml:space="preserve"> Friday. </w:t>
      </w:r>
      <w:r w:rsidRPr="004837A7">
        <w:t xml:space="preserve">We </w:t>
      </w:r>
      <w:r w:rsidRPr="00E25B16">
        <w:t>asked the supervisors to rate the level of spousal support they had experienced during the previous week</w:t>
      </w:r>
      <w:r w:rsidR="00192F14">
        <w:t xml:space="preserve"> (past five working days from </w:t>
      </w:r>
      <w:r w:rsidR="00A70977">
        <w:t xml:space="preserve">the prior </w:t>
      </w:r>
      <w:r w:rsidR="00B21F15" w:rsidRPr="004837A7">
        <w:t>Friday</w:t>
      </w:r>
      <w:r w:rsidR="00192F14">
        <w:rPr>
          <w:rFonts w:hint="eastAsia"/>
          <w:lang w:eastAsia="zh-CN"/>
        </w:rPr>
        <w:t>)</w:t>
      </w:r>
      <w:r w:rsidRPr="00E25B16">
        <w:t xml:space="preserve"> and the amount of </w:t>
      </w:r>
      <w:r w:rsidR="00E2721A">
        <w:t>production deviance</w:t>
      </w:r>
      <w:r w:rsidR="00A70977">
        <w:t xml:space="preserve"> they</w:t>
      </w:r>
      <w:r w:rsidRPr="00E25B16">
        <w:t xml:space="preserve"> </w:t>
      </w:r>
      <w:r w:rsidR="00A70977">
        <w:t xml:space="preserve">had </w:t>
      </w:r>
      <w:r w:rsidR="00F55BBE">
        <w:t xml:space="preserve">perceived </w:t>
      </w:r>
      <w:r w:rsidR="00A70977">
        <w:t>in their subordinates</w:t>
      </w:r>
      <w:r w:rsidRPr="00E25B16">
        <w:t>. The employee</w:t>
      </w:r>
      <w:r w:rsidR="00211611">
        <w:t>s</w:t>
      </w:r>
      <w:r w:rsidRPr="00E25B16">
        <w:t xml:space="preserve"> assessed the amount of </w:t>
      </w:r>
      <w:r w:rsidR="0069667F">
        <w:t>family-supportive</w:t>
      </w:r>
      <w:r w:rsidRPr="00E25B16">
        <w:t xml:space="preserve"> supervisor </w:t>
      </w:r>
      <w:r w:rsidR="0034384E" w:rsidRPr="00E25B16">
        <w:t>behaviour</w:t>
      </w:r>
      <w:r w:rsidR="0034384E">
        <w:t>s</w:t>
      </w:r>
      <w:r w:rsidRPr="00E25B16">
        <w:t xml:space="preserve"> </w:t>
      </w:r>
      <w:r w:rsidR="00211611">
        <w:t xml:space="preserve">they received </w:t>
      </w:r>
      <w:r w:rsidRPr="00E25B16">
        <w:t xml:space="preserve">during the past week. </w:t>
      </w:r>
      <w:r w:rsidR="00211611">
        <w:t>P</w:t>
      </w:r>
      <w:r w:rsidRPr="00E25B16">
        <w:t>articipants could fill out the survey during their working</w:t>
      </w:r>
      <w:r w:rsidR="00211611">
        <w:t xml:space="preserve"> schedules</w:t>
      </w:r>
      <w:r w:rsidRPr="00E25B16">
        <w:t xml:space="preserve">. </w:t>
      </w:r>
    </w:p>
    <w:p w14:paraId="756B6829" w14:textId="10F8E4FC" w:rsidR="00E25B16" w:rsidRDefault="00E25B16" w:rsidP="00A10FCF">
      <w:pPr>
        <w:spacing w:line="480" w:lineRule="auto"/>
        <w:ind w:firstLine="360"/>
      </w:pPr>
      <w:r w:rsidRPr="00E25B16">
        <w:t xml:space="preserve">From the total pool of 40 supervisors and 80 employees, 25 supervisors (response rate of 62.5%) and 68 employees (response rate of 85%) replied and </w:t>
      </w:r>
      <w:r w:rsidR="00B922E4">
        <w:t xml:space="preserve">were </w:t>
      </w:r>
      <w:r w:rsidRPr="00E25B16">
        <w:t>matched</w:t>
      </w:r>
      <w:r w:rsidR="001C624C">
        <w:t xml:space="preserve"> without the loss of any data and within confidentiality limits</w:t>
      </w:r>
      <w:r w:rsidRPr="00E25B16">
        <w:t>. The size of our sample context is in line with prior research</w:t>
      </w:r>
      <w:r w:rsidR="00211611">
        <w:t>,</w:t>
      </w:r>
      <w:r w:rsidRPr="00E25B16">
        <w:t xml:space="preserve"> which adopted a within-person weekly study approach on similar variables (e.g., Schreurs et al., 2012; Rofcanin et al., 2018). Of the 25 supervisors, 60% were </w:t>
      </w:r>
      <w:r w:rsidR="00196E81">
        <w:t>men</w:t>
      </w:r>
      <w:r w:rsidR="00196E81" w:rsidRPr="00E25B16">
        <w:t xml:space="preserve"> </w:t>
      </w:r>
      <w:r w:rsidRPr="00E25B16">
        <w:t>and on average 42.57 years old (SD = 6.93). Of the 68 employees, 66% were m</w:t>
      </w:r>
      <w:r w:rsidR="00196E81">
        <w:t>en</w:t>
      </w:r>
      <w:r w:rsidRPr="00E25B16">
        <w:t xml:space="preserve"> and on average 37.09 years old (SD = 7.69). All participants were highly educated (i.e., </w:t>
      </w:r>
      <w:r w:rsidR="00211611">
        <w:t>held at</w:t>
      </w:r>
      <w:r w:rsidRPr="00E25B16">
        <w:t xml:space="preserve"> least a community college degree) and worked full-time. On average, employees had 9.39 years (SD = 7.74) tenure in the organization and supervisors had 9.90 years (SD = 6.99)</w:t>
      </w:r>
      <w:r w:rsidR="00211611">
        <w:t xml:space="preserve"> of</w:t>
      </w:r>
      <w:r w:rsidRPr="00E25B16">
        <w:t xml:space="preserve"> organizational tenure. All of the supervisors </w:t>
      </w:r>
      <w:r w:rsidR="0069667F">
        <w:t xml:space="preserve">who </w:t>
      </w:r>
      <w:r w:rsidRPr="00E25B16">
        <w:t>participated in this study had a significant other (i.e., wife, husband or partner) and on average, they ha</w:t>
      </w:r>
      <w:r w:rsidR="00211611">
        <w:t>d</w:t>
      </w:r>
      <w:r w:rsidRPr="00E25B16">
        <w:t xml:space="preserve"> been together for 4.3 years (</w:t>
      </w:r>
      <w:r w:rsidR="005C3A9E">
        <w:t>S.D</w:t>
      </w:r>
      <w:r w:rsidRPr="00E25B16">
        <w:t xml:space="preserve">. = 1.2 years). </w:t>
      </w:r>
      <w:r w:rsidR="00D75F8A">
        <w:t>80%</w:t>
      </w:r>
      <w:r w:rsidRPr="00E25B16">
        <w:t xml:space="preserve"> of the supervisors had at least one child, and on average, they had 2.1 children (</w:t>
      </w:r>
      <w:r w:rsidR="005C3A9E">
        <w:t>S.D.</w:t>
      </w:r>
      <w:r w:rsidRPr="00E25B16">
        <w:t xml:space="preserve"> = 1.4).</w:t>
      </w:r>
      <w:r w:rsidR="00D75F8A">
        <w:t xml:space="preserve"> </w:t>
      </w:r>
      <w:r w:rsidR="00211611">
        <w:t xml:space="preserve">Among </w:t>
      </w:r>
      <w:r w:rsidR="00D75F8A">
        <w:t xml:space="preserve">the subordinates, 55% had a significant other </w:t>
      </w:r>
      <w:r w:rsidR="00D75F8A" w:rsidRPr="00E25B16">
        <w:t>(i.e., wife, husband or partner)</w:t>
      </w:r>
      <w:r w:rsidR="00211611">
        <w:t xml:space="preserve"> and </w:t>
      </w:r>
      <w:r w:rsidR="00D75F8A">
        <w:t>68% of</w:t>
      </w:r>
      <w:r w:rsidR="00211611">
        <w:t xml:space="preserve"> them</w:t>
      </w:r>
      <w:r w:rsidR="00D75F8A">
        <w:t xml:space="preserve"> had at least one child</w:t>
      </w:r>
      <w:r w:rsidR="00231518">
        <w:t xml:space="preserve">. </w:t>
      </w:r>
    </w:p>
    <w:p w14:paraId="647A7EE1" w14:textId="77777777" w:rsidR="00D12517" w:rsidRPr="00E25B16" w:rsidRDefault="00D12517" w:rsidP="00071A3A">
      <w:pPr>
        <w:spacing w:line="480" w:lineRule="auto"/>
      </w:pPr>
    </w:p>
    <w:p w14:paraId="3487D6EB" w14:textId="77777777" w:rsidR="00E25B16" w:rsidRPr="00071A3A" w:rsidRDefault="00E25B16" w:rsidP="00A10FCF">
      <w:pPr>
        <w:spacing w:line="480" w:lineRule="auto"/>
        <w:rPr>
          <w:b/>
          <w:bCs/>
        </w:rPr>
      </w:pPr>
      <w:r w:rsidRPr="00071A3A">
        <w:rPr>
          <w:b/>
          <w:bCs/>
        </w:rPr>
        <w:lastRenderedPageBreak/>
        <w:t>Measures</w:t>
      </w:r>
    </w:p>
    <w:p w14:paraId="5A4CD01C" w14:textId="29BD603A" w:rsidR="00E25B16" w:rsidRPr="00E25B16" w:rsidRDefault="00E25B16" w:rsidP="00A10FCF">
      <w:pPr>
        <w:spacing w:line="480" w:lineRule="auto"/>
        <w:ind w:firstLine="360"/>
      </w:pPr>
      <w:r w:rsidRPr="00E25B16">
        <w:t>The research variables were assessed using validated scales. Given the weekly diary design, we</w:t>
      </w:r>
      <w:r w:rsidR="00211611">
        <w:t xml:space="preserve">: </w:t>
      </w:r>
      <w:r w:rsidRPr="00E25B16">
        <w:t xml:space="preserve">1) adjusted the original framing to capture the weekly time frame (i.e., looking back upon </w:t>
      </w:r>
      <w:r w:rsidR="00211611">
        <w:t>the prior</w:t>
      </w:r>
      <w:r w:rsidRPr="00E25B16">
        <w:t xml:space="preserve"> week; for a similar approach see Bakker &amp; Bal, 2010)</w:t>
      </w:r>
      <w:r w:rsidR="0034384E">
        <w:t>,</w:t>
      </w:r>
      <w:r w:rsidRPr="00E25B16">
        <w:t xml:space="preserve"> and 2) measured each research variable with a reduced number of items to lower the burden for the participants (</w:t>
      </w:r>
      <w:r w:rsidR="0034384E">
        <w:t xml:space="preserve">cf. </w:t>
      </w:r>
      <w:r w:rsidRPr="00E25B16">
        <w:t>Ohly</w:t>
      </w:r>
      <w:r w:rsidR="0034384E">
        <w:t xml:space="preserve"> et al.</w:t>
      </w:r>
      <w:r w:rsidRPr="00E25B16">
        <w:t>, 2010). All items used seven-point Likert scales</w:t>
      </w:r>
      <w:r w:rsidR="0034384E">
        <w:t xml:space="preserve"> (answer categories ranging from 1 </w:t>
      </w:r>
      <w:r w:rsidR="0034384E" w:rsidRPr="005C3A9E">
        <w:t xml:space="preserve">= </w:t>
      </w:r>
      <w:r w:rsidR="00F55BBE" w:rsidRPr="005C3A9E">
        <w:t xml:space="preserve">strongly disagree </w:t>
      </w:r>
      <w:r w:rsidR="0034384E" w:rsidRPr="005C3A9E">
        <w:t xml:space="preserve">to 7 = </w:t>
      </w:r>
      <w:r w:rsidR="00F55BBE" w:rsidRPr="005C3A9E">
        <w:t>strongly agree)</w:t>
      </w:r>
      <w:r w:rsidR="00211611">
        <w:t>.</w:t>
      </w:r>
    </w:p>
    <w:p w14:paraId="43B512F6" w14:textId="319D2A3F" w:rsidR="00E25B16" w:rsidRPr="00D57B04" w:rsidRDefault="00BC2A61" w:rsidP="00A10FCF">
      <w:pPr>
        <w:spacing w:line="480" w:lineRule="auto"/>
        <w:ind w:firstLine="360"/>
      </w:pPr>
      <w:r w:rsidRPr="00071A3A">
        <w:rPr>
          <w:i/>
        </w:rPr>
        <w:t>Supervisor</w:t>
      </w:r>
      <w:r w:rsidR="00211611" w:rsidRPr="00071A3A">
        <w:rPr>
          <w:i/>
        </w:rPr>
        <w:t>s</w:t>
      </w:r>
      <w:r w:rsidRPr="00071A3A">
        <w:rPr>
          <w:i/>
        </w:rPr>
        <w:t>’ s</w:t>
      </w:r>
      <w:r w:rsidR="008A7C9D" w:rsidRPr="00071A3A">
        <w:rPr>
          <w:i/>
        </w:rPr>
        <w:t>pous</w:t>
      </w:r>
      <w:r w:rsidRPr="00071A3A">
        <w:rPr>
          <w:i/>
        </w:rPr>
        <w:t>al</w:t>
      </w:r>
      <w:r w:rsidR="008A7C9D" w:rsidRPr="00071A3A">
        <w:rPr>
          <w:i/>
        </w:rPr>
        <w:t xml:space="preserve"> support</w:t>
      </w:r>
      <w:r w:rsidR="00D47C2B" w:rsidRPr="00071A3A">
        <w:rPr>
          <w:i/>
        </w:rPr>
        <w:t xml:space="preserve"> (</w:t>
      </w:r>
      <w:r w:rsidR="0034384E" w:rsidRPr="00071A3A">
        <w:rPr>
          <w:i/>
        </w:rPr>
        <w:t xml:space="preserve">reported </w:t>
      </w:r>
      <w:r w:rsidR="00D47C2B" w:rsidRPr="00071A3A">
        <w:rPr>
          <w:i/>
        </w:rPr>
        <w:t>by supervisor</w:t>
      </w:r>
      <w:r w:rsidR="00211611" w:rsidRPr="00071A3A">
        <w:rPr>
          <w:i/>
        </w:rPr>
        <w:t>s</w:t>
      </w:r>
      <w:r w:rsidR="00D47C2B" w:rsidRPr="00071A3A">
        <w:rPr>
          <w:i/>
        </w:rPr>
        <w:t>)</w:t>
      </w:r>
      <w:r w:rsidR="008A7C9D" w:rsidRPr="00071A3A">
        <w:rPr>
          <w:i/>
        </w:rPr>
        <w:t>.</w:t>
      </w:r>
      <w:r w:rsidR="008A7C9D">
        <w:t xml:space="preserve"> </w:t>
      </w:r>
      <w:r w:rsidR="00E25B16" w:rsidRPr="00E25B16">
        <w:t>We selected the highest loading two items of Abramis and Caplan (1985)</w:t>
      </w:r>
      <w:r w:rsidR="00211611">
        <w:t xml:space="preserve"> to</w:t>
      </w:r>
      <w:r w:rsidR="00E25B16" w:rsidRPr="00E25B16">
        <w:t xml:space="preserve"> assess the emotional and instrumental support a supervisor received from </w:t>
      </w:r>
      <w:r w:rsidR="00605590">
        <w:t>their</w:t>
      </w:r>
      <w:r w:rsidR="00E25B16" w:rsidRPr="00E25B16">
        <w:t xml:space="preserve"> spouse at home. The included items are: "Last week, my spouse </w:t>
      </w:r>
      <w:r w:rsidR="00B87975" w:rsidRPr="00E25B16">
        <w:t>tried</w:t>
      </w:r>
      <w:r w:rsidR="00E25B16" w:rsidRPr="00E25B16">
        <w:t xml:space="preserve"> to make my life easier" and "Last week, my spouse listened to my concerns</w:t>
      </w:r>
      <w:r w:rsidR="00211611">
        <w:t>.</w:t>
      </w:r>
      <w:r w:rsidR="00E25B16" w:rsidRPr="00E25B16">
        <w:t xml:space="preserve">" The </w:t>
      </w:r>
      <w:r w:rsidR="00C23217" w:rsidRPr="00D57B04">
        <w:t>average</w:t>
      </w:r>
      <w:r w:rsidR="00E25B16" w:rsidRPr="00D57B04">
        <w:t xml:space="preserve"> reliability coefficient</w:t>
      </w:r>
      <w:r w:rsidR="00C23217" w:rsidRPr="00D57B04">
        <w:t xml:space="preserve"> </w:t>
      </w:r>
      <w:r w:rsidR="00C23217">
        <w:t xml:space="preserve">is </w:t>
      </w:r>
      <w:r w:rsidR="00AD52D5">
        <w:t>0</w:t>
      </w:r>
      <w:r w:rsidR="00E25B16" w:rsidRPr="00E25B16">
        <w:t>.93.</w:t>
      </w:r>
    </w:p>
    <w:p w14:paraId="5F22C6D2" w14:textId="6EC7BFE8" w:rsidR="00BC2A61" w:rsidRPr="00071A3A" w:rsidRDefault="00BC2A61" w:rsidP="00A10FCF">
      <w:pPr>
        <w:spacing w:line="480" w:lineRule="auto"/>
        <w:ind w:firstLine="360"/>
        <w:rPr>
          <w:i/>
        </w:rPr>
      </w:pPr>
      <w:r w:rsidRPr="00071A3A">
        <w:rPr>
          <w:i/>
        </w:rPr>
        <w:t>FSSBs</w:t>
      </w:r>
      <w:r w:rsidR="00D47C2B" w:rsidRPr="00071A3A">
        <w:rPr>
          <w:i/>
        </w:rPr>
        <w:t xml:space="preserve"> (</w:t>
      </w:r>
      <w:r w:rsidR="0034384E" w:rsidRPr="00071A3A">
        <w:rPr>
          <w:i/>
        </w:rPr>
        <w:t xml:space="preserve">reported </w:t>
      </w:r>
      <w:r w:rsidR="00D47C2B" w:rsidRPr="00071A3A">
        <w:rPr>
          <w:i/>
        </w:rPr>
        <w:t>by employee</w:t>
      </w:r>
      <w:r w:rsidR="00211611" w:rsidRPr="00071A3A">
        <w:rPr>
          <w:i/>
        </w:rPr>
        <w:t>s</w:t>
      </w:r>
      <w:r w:rsidR="00D47C2B" w:rsidRPr="00071A3A">
        <w:rPr>
          <w:i/>
        </w:rPr>
        <w:t>)</w:t>
      </w:r>
      <w:r w:rsidRPr="00071A3A">
        <w:rPr>
          <w:i/>
        </w:rPr>
        <w:t>.</w:t>
      </w:r>
      <w:r w:rsidRPr="00D57B04">
        <w:t xml:space="preserve"> </w:t>
      </w:r>
      <w:r w:rsidR="00EB0215" w:rsidRPr="00D57B04">
        <w:t>W</w:t>
      </w:r>
      <w:r w:rsidRPr="00E25B16">
        <w:t xml:space="preserve">e selected the </w:t>
      </w:r>
      <w:r w:rsidR="00B01F94">
        <w:t>four</w:t>
      </w:r>
      <w:r w:rsidR="00B01F94" w:rsidRPr="00E25B16">
        <w:t xml:space="preserve"> </w:t>
      </w:r>
      <w:r w:rsidR="00B01F94">
        <w:t>highest-loading</w:t>
      </w:r>
      <w:r w:rsidRPr="00E25B16">
        <w:t xml:space="preserve"> items of the </w:t>
      </w:r>
      <w:r w:rsidRPr="004837A7">
        <w:t>short scale developed by Hammer</w:t>
      </w:r>
      <w:r w:rsidR="00375AC1">
        <w:t xml:space="preserve"> et al.</w:t>
      </w:r>
      <w:r w:rsidRPr="004837A7">
        <w:t>(</w:t>
      </w:r>
      <w:r w:rsidR="00584812" w:rsidRPr="004837A7">
        <w:t>20</w:t>
      </w:r>
      <w:r w:rsidR="00375AC1">
        <w:t>09</w:t>
      </w:r>
      <w:r w:rsidRPr="004837A7">
        <w:t>). The items assess the emotional and instrumental support</w:t>
      </w:r>
      <w:r w:rsidR="00605590" w:rsidRPr="004837A7">
        <w:t xml:space="preserve"> </w:t>
      </w:r>
      <w:r w:rsidRPr="004837A7">
        <w:t>employee</w:t>
      </w:r>
      <w:r w:rsidR="00605590" w:rsidRPr="004837A7">
        <w:t>s</w:t>
      </w:r>
      <w:r w:rsidRPr="004837A7">
        <w:t xml:space="preserve"> experienced </w:t>
      </w:r>
      <w:r w:rsidR="0069667F">
        <w:t>from</w:t>
      </w:r>
      <w:r w:rsidRPr="004837A7">
        <w:t xml:space="preserve"> </w:t>
      </w:r>
      <w:r w:rsidR="00605590" w:rsidRPr="004837A7">
        <w:t>their</w:t>
      </w:r>
      <w:r w:rsidRPr="004837A7">
        <w:t xml:space="preserve"> supervisor</w:t>
      </w:r>
      <w:r w:rsidR="00211611">
        <w:t>s</w:t>
      </w:r>
      <w:r w:rsidRPr="004837A7">
        <w:t xml:space="preserve">, the two most examined forms of support concerning </w:t>
      </w:r>
      <w:r w:rsidRPr="00E25B16">
        <w:t xml:space="preserve">the work-family interface (French et al., 2018). The included items are </w:t>
      </w:r>
      <w:r w:rsidR="00211611">
        <w:t>as follows</w:t>
      </w:r>
      <w:r w:rsidRPr="00E25B16">
        <w:t>: "Last week</w:t>
      </w:r>
      <w:r w:rsidR="00211611">
        <w:t>,</w:t>
      </w:r>
      <w:r w:rsidRPr="00E25B16">
        <w:t xml:space="preserve"> my supervisor made me feel comfortable to talk to him/her about my conflicts between work and non-work." and "Last week, my supervisor worked effectively with employees to creatively solve conflicts between work and non-work." The </w:t>
      </w:r>
      <w:r w:rsidR="00C23217">
        <w:t xml:space="preserve">average </w:t>
      </w:r>
      <w:r w:rsidRPr="00E25B16">
        <w:t>reliability coefficient</w:t>
      </w:r>
      <w:r w:rsidR="00C23217">
        <w:t xml:space="preserve"> i</w:t>
      </w:r>
      <w:r w:rsidRPr="00E25B16">
        <w:t>s</w:t>
      </w:r>
      <w:r w:rsidR="00C23217">
        <w:t xml:space="preserve"> </w:t>
      </w:r>
      <w:r w:rsidR="00AD52D5">
        <w:t>0</w:t>
      </w:r>
      <w:r w:rsidRPr="00E25B16">
        <w:t>.</w:t>
      </w:r>
      <w:r>
        <w:t>7</w:t>
      </w:r>
      <w:r w:rsidRPr="00E25B16">
        <w:t>3.</w:t>
      </w:r>
    </w:p>
    <w:p w14:paraId="14A53A17" w14:textId="001A11FC" w:rsidR="00E25B16" w:rsidRPr="00E25B16" w:rsidRDefault="00E2721A" w:rsidP="00A10FCF">
      <w:pPr>
        <w:spacing w:line="480" w:lineRule="auto"/>
        <w:ind w:firstLine="360"/>
      </w:pPr>
      <w:r w:rsidRPr="00071A3A">
        <w:rPr>
          <w:i/>
        </w:rPr>
        <w:t>Production Deviance</w:t>
      </w:r>
      <w:r w:rsidR="00D47C2B" w:rsidRPr="00071A3A">
        <w:rPr>
          <w:i/>
        </w:rPr>
        <w:t xml:space="preserve"> (</w:t>
      </w:r>
      <w:r w:rsidR="0034384E" w:rsidRPr="00071A3A">
        <w:rPr>
          <w:i/>
        </w:rPr>
        <w:t xml:space="preserve">reported </w:t>
      </w:r>
      <w:r w:rsidR="00D47C2B" w:rsidRPr="00071A3A">
        <w:rPr>
          <w:i/>
        </w:rPr>
        <w:t>by supervisor</w:t>
      </w:r>
      <w:r w:rsidR="003A448F" w:rsidRPr="00071A3A">
        <w:rPr>
          <w:i/>
        </w:rPr>
        <w:t>s</w:t>
      </w:r>
      <w:r w:rsidR="00D47C2B" w:rsidRPr="00071A3A">
        <w:rPr>
          <w:i/>
        </w:rPr>
        <w:t>)</w:t>
      </w:r>
      <w:r w:rsidR="008A7C9D" w:rsidRPr="00071A3A">
        <w:rPr>
          <w:i/>
        </w:rPr>
        <w:t>.</w:t>
      </w:r>
      <w:r w:rsidR="008A7C9D">
        <w:t xml:space="preserve"> We used </w:t>
      </w:r>
      <w:r w:rsidR="00E25B16" w:rsidRPr="00E25B16">
        <w:t>the highest loading of two items from the scale of Bennett and Robinson (200</w:t>
      </w:r>
      <w:r w:rsidR="0051328F">
        <w:t>0</w:t>
      </w:r>
      <w:r w:rsidR="00E25B16" w:rsidRPr="00E25B16">
        <w:t xml:space="preserve">) </w:t>
      </w:r>
      <w:r w:rsidR="003A448F">
        <w:t xml:space="preserve">to </w:t>
      </w:r>
      <w:r w:rsidR="00E25B16" w:rsidRPr="00E25B16">
        <w:t>assess the</w:t>
      </w:r>
      <w:r w:rsidR="00A17B96">
        <w:t xml:space="preserve"> </w:t>
      </w:r>
      <w:r w:rsidR="002B4B6A">
        <w:t>counterproductive</w:t>
      </w:r>
      <w:r w:rsidR="002B4B6A" w:rsidRPr="003A448F">
        <w:t xml:space="preserve"> </w:t>
      </w:r>
      <w:r w:rsidR="001D590D">
        <w:t>behaviour</w:t>
      </w:r>
      <w:r w:rsidR="00E25B16" w:rsidRPr="00E25B16">
        <w:t>s directed toward the organization. Items were reframed to adjust to the other-rate</w:t>
      </w:r>
      <w:r w:rsidR="009E14CE">
        <w:t>d</w:t>
      </w:r>
      <w:r w:rsidR="00E25B16" w:rsidRPr="00E25B16">
        <w:t xml:space="preserve"> perspective (i.e., supervisor</w:t>
      </w:r>
      <w:r w:rsidR="00605590">
        <w:t>s</w:t>
      </w:r>
      <w:r w:rsidR="00E25B16" w:rsidRPr="00E25B16">
        <w:t xml:space="preserve"> rating the deviant </w:t>
      </w:r>
      <w:r w:rsidR="001D590D">
        <w:t>behaviour</w:t>
      </w:r>
      <w:r w:rsidR="00E25B16" w:rsidRPr="00E25B16">
        <w:t xml:space="preserve"> displayed by </w:t>
      </w:r>
      <w:r w:rsidR="00605590">
        <w:t>their</w:t>
      </w:r>
      <w:r w:rsidR="00605590" w:rsidRPr="00E25B16">
        <w:t xml:space="preserve"> </w:t>
      </w:r>
      <w:r w:rsidR="00E25B16" w:rsidRPr="00E25B16">
        <w:t>employee</w:t>
      </w:r>
      <w:r w:rsidR="003A448F">
        <w:t>s</w:t>
      </w:r>
      <w:r w:rsidR="00E25B16" w:rsidRPr="00E25B16">
        <w:t xml:space="preserve">): "Last week, my </w:t>
      </w:r>
      <w:r w:rsidR="00E25B16" w:rsidRPr="00E25B16">
        <w:lastRenderedPageBreak/>
        <w:t xml:space="preserve">employee intentionally worked slower than he/she could have worked" and "Last week, my employee put little effort into his/her work". The </w:t>
      </w:r>
      <w:r w:rsidR="00C23217">
        <w:t xml:space="preserve">average </w:t>
      </w:r>
      <w:r w:rsidR="00E25B16" w:rsidRPr="00E25B16">
        <w:t>reliability coefficient</w:t>
      </w:r>
      <w:r w:rsidR="00C23217">
        <w:t xml:space="preserve"> i</w:t>
      </w:r>
      <w:r w:rsidR="00E25B16" w:rsidRPr="00E25B16">
        <w:t>s</w:t>
      </w:r>
      <w:r w:rsidR="00C23217">
        <w:t xml:space="preserve"> </w:t>
      </w:r>
      <w:r w:rsidR="00AD52D5">
        <w:t>0</w:t>
      </w:r>
      <w:r w:rsidR="00E25B16" w:rsidRPr="00E25B16">
        <w:t>.93.</w:t>
      </w:r>
    </w:p>
    <w:p w14:paraId="2E60EBF9" w14:textId="77777777" w:rsidR="00F44D81" w:rsidRPr="00071A3A" w:rsidRDefault="00B87975" w:rsidP="00A10FCF">
      <w:pPr>
        <w:spacing w:line="480" w:lineRule="auto"/>
        <w:rPr>
          <w:i/>
        </w:rPr>
      </w:pPr>
      <w:r w:rsidRPr="00071A3A">
        <w:rPr>
          <w:i/>
        </w:rPr>
        <w:t xml:space="preserve">Controls. </w:t>
      </w:r>
    </w:p>
    <w:p w14:paraId="3A0E26D4" w14:textId="033096D7" w:rsidR="00F44D81" w:rsidRPr="00F44D81" w:rsidRDefault="00F44D81" w:rsidP="00A10FCF">
      <w:pPr>
        <w:spacing w:line="480" w:lineRule="auto"/>
        <w:ind w:firstLine="360"/>
      </w:pPr>
      <w:r w:rsidRPr="00071A3A">
        <w:rPr>
          <w:iCs/>
        </w:rPr>
        <w:t xml:space="preserve">In </w:t>
      </w:r>
      <w:r w:rsidRPr="00F44D81">
        <w:t xml:space="preserve">our </w:t>
      </w:r>
      <w:r>
        <w:t xml:space="preserve">subsequent </w:t>
      </w:r>
      <w:r w:rsidRPr="00F44D81">
        <w:t>analyses, we controlled for the perceived co-worker support (reported by employee</w:t>
      </w:r>
      <w:r w:rsidR="003A448F">
        <w:t>s</w:t>
      </w:r>
      <w:r w:rsidRPr="00F44D81">
        <w:t>)</w:t>
      </w:r>
      <w:r w:rsidR="0052009C">
        <w:rPr>
          <w:rStyle w:val="FootnoteReference"/>
        </w:rPr>
        <w:footnoteReference w:id="1"/>
      </w:r>
      <w:r>
        <w:t>.</w:t>
      </w:r>
      <w:r w:rsidRPr="00E25B16">
        <w:t xml:space="preserve"> </w:t>
      </w:r>
      <w:r>
        <w:t>We u</w:t>
      </w:r>
      <w:r w:rsidR="00EC5698">
        <w:t>sed</w:t>
      </w:r>
      <w:r>
        <w:t xml:space="preserve"> the</w:t>
      </w:r>
      <w:r w:rsidRPr="00E25B16">
        <w:t xml:space="preserve"> two </w:t>
      </w:r>
      <w:r w:rsidRPr="00731346">
        <w:t>highest-loading items from</w:t>
      </w:r>
      <w:r w:rsidRPr="00E25B16">
        <w:t xml:space="preserve"> the co-worker support scale of Van Veldhoven and Meijman (1994) to measure instrumental and emotional support</w:t>
      </w:r>
      <w:r>
        <w:t xml:space="preserve"> received from co-workers</w:t>
      </w:r>
      <w:r w:rsidRPr="00E25B16">
        <w:t xml:space="preserve">. </w:t>
      </w:r>
      <w:r w:rsidR="00C818AB">
        <w:t>Scale</w:t>
      </w:r>
      <w:r w:rsidR="00C818AB" w:rsidRPr="00E25B16">
        <w:t xml:space="preserve"> </w:t>
      </w:r>
      <w:r w:rsidRPr="00E25B16">
        <w:t xml:space="preserve">items </w:t>
      </w:r>
      <w:r w:rsidR="00EC5698">
        <w:t>include:</w:t>
      </w:r>
      <w:r w:rsidRPr="00E25B16">
        <w:t xml:space="preserve"> "Last week, I felt I could ask my colleagues for help if there was a need" and "Last week, I felt valued by my colleagues". The </w:t>
      </w:r>
      <w:r w:rsidR="00C23217">
        <w:t>average</w:t>
      </w:r>
      <w:r w:rsidRPr="00E25B16">
        <w:t xml:space="preserve"> reliability coefficient </w:t>
      </w:r>
      <w:r w:rsidR="00C23217">
        <w:t>is</w:t>
      </w:r>
      <w:r w:rsidRPr="00E25B16">
        <w:t xml:space="preserve"> </w:t>
      </w:r>
      <w:r w:rsidR="00AD52D5">
        <w:t>0</w:t>
      </w:r>
      <w:r w:rsidRPr="00E25B16">
        <w:t>.</w:t>
      </w:r>
      <w:r>
        <w:t>77</w:t>
      </w:r>
      <w:r w:rsidRPr="00E25B16">
        <w:t>.</w:t>
      </w:r>
      <w:r>
        <w:t xml:space="preserve"> </w:t>
      </w:r>
    </w:p>
    <w:p w14:paraId="47C96D7E" w14:textId="5A3C7999" w:rsidR="00900626" w:rsidRPr="00B87975" w:rsidRDefault="00396165" w:rsidP="00A10FCF">
      <w:pPr>
        <w:spacing w:line="480" w:lineRule="auto"/>
        <w:ind w:firstLine="360"/>
      </w:pPr>
      <w:r>
        <w:t xml:space="preserve">In the initial </w:t>
      </w:r>
      <w:r w:rsidR="00426966">
        <w:t xml:space="preserve">analyses </w:t>
      </w:r>
      <w:r>
        <w:t>we</w:t>
      </w:r>
      <w:r w:rsidR="00426966">
        <w:t xml:space="preserve"> </w:t>
      </w:r>
      <w:r w:rsidR="00B87975">
        <w:t>controll</w:t>
      </w:r>
      <w:r>
        <w:t>ed</w:t>
      </w:r>
      <w:r w:rsidR="00B87975">
        <w:t xml:space="preserve"> for age, gender, occupation, tenure and number of children </w:t>
      </w:r>
      <w:r w:rsidR="00EC5698">
        <w:t>among both</w:t>
      </w:r>
      <w:r w:rsidR="00192F14">
        <w:t xml:space="preserve"> employees and supervisors</w:t>
      </w:r>
      <w:r w:rsidR="00B87975">
        <w:t xml:space="preserve">. The direction and strength of the results did not </w:t>
      </w:r>
      <w:r w:rsidR="009E14CE">
        <w:t>change</w:t>
      </w:r>
      <w:r w:rsidR="00EC5698">
        <w:t xml:space="preserve">; </w:t>
      </w:r>
      <w:r w:rsidR="00F44D81">
        <w:t>therefore,</w:t>
      </w:r>
      <w:r w:rsidR="00B87975">
        <w:t xml:space="preserve"> </w:t>
      </w:r>
      <w:r w:rsidR="00EC5698">
        <w:t xml:space="preserve">we </w:t>
      </w:r>
      <w:r w:rsidR="00B87975">
        <w:t>excluded the</w:t>
      </w:r>
      <w:r>
        <w:t>se controls fr</w:t>
      </w:r>
      <w:r w:rsidR="00B87975">
        <w:t xml:space="preserve">om </w:t>
      </w:r>
      <w:r w:rsidR="00426966">
        <w:t xml:space="preserve">further </w:t>
      </w:r>
      <w:r w:rsidR="00B87975">
        <w:t xml:space="preserve">analyses to </w:t>
      </w:r>
      <w:r w:rsidR="001B1046">
        <w:t xml:space="preserve">avoid complex modelling </w:t>
      </w:r>
      <w:r w:rsidR="00B87975" w:rsidRPr="001C624C">
        <w:t>(</w:t>
      </w:r>
      <w:r w:rsidR="00A9410F" w:rsidRPr="001C624C">
        <w:t>Bakker</w:t>
      </w:r>
      <w:r w:rsidR="00B87975" w:rsidRPr="001C624C">
        <w:t xml:space="preserve"> et al., 2015)</w:t>
      </w:r>
      <w:r w:rsidR="00D12517">
        <w:t>.</w:t>
      </w:r>
    </w:p>
    <w:p w14:paraId="3F4F6AF6" w14:textId="7888F668" w:rsidR="00E25B16" w:rsidRPr="00071A3A" w:rsidRDefault="003941E7" w:rsidP="00A10FCF">
      <w:pPr>
        <w:spacing w:line="480" w:lineRule="auto"/>
        <w:rPr>
          <w:b/>
          <w:bCs/>
        </w:rPr>
      </w:pPr>
      <w:r w:rsidRPr="00071A3A">
        <w:rPr>
          <w:b/>
          <w:bCs/>
        </w:rPr>
        <w:t xml:space="preserve">Study 1: </w:t>
      </w:r>
      <w:r w:rsidR="00E25B16" w:rsidRPr="00071A3A">
        <w:rPr>
          <w:b/>
          <w:bCs/>
        </w:rPr>
        <w:t>Data Analysis</w:t>
      </w:r>
      <w:r w:rsidR="0044235A" w:rsidRPr="00071A3A">
        <w:rPr>
          <w:b/>
          <w:bCs/>
        </w:rPr>
        <w:t xml:space="preserve"> and Findings</w:t>
      </w:r>
    </w:p>
    <w:p w14:paraId="43A70464" w14:textId="6E603684" w:rsidR="006C6253" w:rsidRPr="00E25B16" w:rsidRDefault="00900626" w:rsidP="00D77B80">
      <w:pPr>
        <w:spacing w:line="480" w:lineRule="auto"/>
        <w:ind w:firstLine="360"/>
      </w:pPr>
      <w:r w:rsidRPr="00900626">
        <w:t>We conducted multi-level path analyses using Mplus 8.3 (Muthén &amp; Muthén, 2017) to account for the nested structure of the data, in which weeks are nested in persons and persons</w:t>
      </w:r>
      <w:r w:rsidR="00EC5698">
        <w:t xml:space="preserve"> are</w:t>
      </w:r>
      <w:r w:rsidRPr="00900626">
        <w:t xml:space="preserve"> nested in supervisors (Preacher et al., 2010). We have a </w:t>
      </w:r>
      <w:r w:rsidR="00EC5698">
        <w:t>three</w:t>
      </w:r>
      <w:r w:rsidRPr="00900626">
        <w:t>-level model</w:t>
      </w:r>
      <w:r w:rsidR="00EC5698">
        <w:t>,</w:t>
      </w:r>
      <w:r w:rsidRPr="00900626">
        <w:t xml:space="preserve"> with weeks at the first level (Level 1 N=231), persons at the second level (Level 2 N=68), and supervisors at the third level (Level 3 N=25)</w:t>
      </w:r>
      <w:r w:rsidR="0052009C">
        <w:rPr>
          <w:rStyle w:val="FootnoteReference"/>
        </w:rPr>
        <w:footnoteReference w:id="2"/>
      </w:r>
      <w:r w:rsidRPr="00900626">
        <w:t>. We u</w:t>
      </w:r>
      <w:r w:rsidR="003935B4">
        <w:t xml:space="preserve">sed </w:t>
      </w:r>
      <w:r w:rsidRPr="00900626">
        <w:t xml:space="preserve">procedures outlined by the Monte Carlo method to test our mediation hypotheses (MacKinnon &amp; Fairchild, 2009). Furthermore, we conducted a confirmatory factor analysis with four latent factors (i.e., supervisor’s spousal support, perceived co-worker support, family-supportive supervisor behaviour, employee production deviance), which had a reasonable to good fit with our data (CFI = </w:t>
      </w:r>
      <w:r w:rsidR="00AD52D5">
        <w:t>0</w:t>
      </w:r>
      <w:r w:rsidRPr="00900626">
        <w:t xml:space="preserve">.92, TLI = </w:t>
      </w:r>
      <w:r w:rsidR="00AD52D5">
        <w:t>0</w:t>
      </w:r>
      <w:r w:rsidRPr="00900626">
        <w:t xml:space="preserve">.95, RMSEA = </w:t>
      </w:r>
      <w:r w:rsidR="00AD52D5">
        <w:t>0</w:t>
      </w:r>
      <w:r w:rsidRPr="00900626">
        <w:t xml:space="preserve">.08, SRMRwithin = </w:t>
      </w:r>
      <w:r w:rsidR="00AD52D5">
        <w:t>0</w:t>
      </w:r>
      <w:r w:rsidRPr="00900626">
        <w:t xml:space="preserve">.09, SRMRbetween (level 2) = </w:t>
      </w:r>
      <w:r w:rsidR="00AD52D5">
        <w:t>0</w:t>
      </w:r>
      <w:r w:rsidRPr="00900626">
        <w:t xml:space="preserve">.05, SRMRbetween (level 3)= </w:t>
      </w:r>
      <w:r w:rsidR="00AD52D5">
        <w:t>0</w:t>
      </w:r>
      <w:r w:rsidRPr="00900626">
        <w:t xml:space="preserve">.06). </w:t>
      </w:r>
      <w:r w:rsidR="00EC5698">
        <w:lastRenderedPageBreak/>
        <w:t>Furthermore</w:t>
      </w:r>
      <w:r w:rsidRPr="00900626">
        <w:t>, each item loaded significantly and in the expected direction onto its corresponding latent factor.</w:t>
      </w:r>
      <w:r w:rsidR="006167B2">
        <w:t xml:space="preserve"> </w:t>
      </w:r>
      <w:r w:rsidR="00E25B16" w:rsidRPr="00E25B16">
        <w:t>Table 1 reports the means, standard deviations</w:t>
      </w:r>
      <w:r w:rsidR="00A371A3" w:rsidRPr="00E25B16">
        <w:t>, and correlations</w:t>
      </w:r>
      <w:r w:rsidR="00A371A3">
        <w:t xml:space="preserve"> </w:t>
      </w:r>
      <w:r w:rsidR="00A371A3" w:rsidRPr="00D75F08">
        <w:rPr>
          <w:lang w:val="en-US"/>
        </w:rPr>
        <w:t xml:space="preserve">for all variables in </w:t>
      </w:r>
      <w:r w:rsidR="00A371A3">
        <w:rPr>
          <w:lang w:val="en-US"/>
        </w:rPr>
        <w:t>study 1</w:t>
      </w:r>
      <w:r w:rsidR="00A371A3" w:rsidRPr="00E25B16">
        <w:t xml:space="preserve">. </w:t>
      </w:r>
    </w:p>
    <w:p w14:paraId="0F0C02DD" w14:textId="77777777" w:rsidR="006E0C50" w:rsidRDefault="006E0C50" w:rsidP="00071A3A">
      <w:pPr>
        <w:ind w:left="360"/>
        <w:jc w:val="center"/>
      </w:pPr>
      <w:r>
        <w:t>-----------------------------------------------</w:t>
      </w:r>
    </w:p>
    <w:p w14:paraId="5AD69C18" w14:textId="15B88101" w:rsidR="006E0C50" w:rsidRPr="00B739AD" w:rsidRDefault="006E0C50" w:rsidP="00071A3A">
      <w:pPr>
        <w:ind w:left="360"/>
        <w:jc w:val="center"/>
      </w:pPr>
      <w:r w:rsidRPr="00B739AD">
        <w:t xml:space="preserve">Insert </w:t>
      </w:r>
      <w:r>
        <w:t>Table</w:t>
      </w:r>
      <w:r w:rsidRPr="00B739AD">
        <w:t xml:space="preserve"> 1 here</w:t>
      </w:r>
    </w:p>
    <w:p w14:paraId="762F2D51" w14:textId="38E25542" w:rsidR="006E0C50" w:rsidRDefault="006E0C50" w:rsidP="00071A3A">
      <w:pPr>
        <w:ind w:left="360"/>
        <w:jc w:val="center"/>
      </w:pPr>
      <w:r w:rsidRPr="00B739AD">
        <w:t>------------------------------------------------</w:t>
      </w:r>
    </w:p>
    <w:p w14:paraId="5DEDA748" w14:textId="292F1806" w:rsidR="00FE4C72" w:rsidRDefault="00FE4C72" w:rsidP="00071A3A">
      <w:pPr>
        <w:jc w:val="center"/>
      </w:pPr>
    </w:p>
    <w:p w14:paraId="706D23C1" w14:textId="77777777" w:rsidR="009C63D3" w:rsidRPr="00B739AD" w:rsidRDefault="009C63D3" w:rsidP="00071A3A"/>
    <w:p w14:paraId="2A741983" w14:textId="77777777" w:rsidR="00FE4C72" w:rsidRDefault="00FE4C72" w:rsidP="00071A3A">
      <w:pPr>
        <w:ind w:left="360"/>
        <w:jc w:val="center"/>
      </w:pPr>
      <w:r>
        <w:t>-----------------------------------------------</w:t>
      </w:r>
    </w:p>
    <w:p w14:paraId="43038497" w14:textId="6239AFF2" w:rsidR="00FE4C72" w:rsidRPr="00B739AD" w:rsidRDefault="00FE4C72" w:rsidP="00071A3A">
      <w:pPr>
        <w:ind w:left="360"/>
        <w:jc w:val="center"/>
      </w:pPr>
      <w:r w:rsidRPr="00B739AD">
        <w:t xml:space="preserve">Insert Figure </w:t>
      </w:r>
      <w:r w:rsidR="00C718DE">
        <w:t>2</w:t>
      </w:r>
      <w:r w:rsidRPr="00B739AD">
        <w:t xml:space="preserve"> here</w:t>
      </w:r>
    </w:p>
    <w:p w14:paraId="79027210" w14:textId="77777777" w:rsidR="00FE4C72" w:rsidRDefault="00FE4C72" w:rsidP="00071A3A">
      <w:pPr>
        <w:ind w:left="360"/>
        <w:jc w:val="center"/>
      </w:pPr>
      <w:r w:rsidRPr="00B739AD">
        <w:t>------------------------------------------------</w:t>
      </w:r>
    </w:p>
    <w:p w14:paraId="7FD41785" w14:textId="77777777" w:rsidR="00E17A58" w:rsidRPr="002D7835" w:rsidRDefault="00E17A58" w:rsidP="00071A3A">
      <w:pPr>
        <w:spacing w:line="480" w:lineRule="auto"/>
        <w:rPr>
          <w:i/>
          <w:iCs/>
        </w:rPr>
      </w:pPr>
    </w:p>
    <w:p w14:paraId="63734B81" w14:textId="300A9CBC" w:rsidR="00900626" w:rsidRDefault="00900626" w:rsidP="001C1C48">
      <w:pPr>
        <w:spacing w:line="480" w:lineRule="auto"/>
        <w:ind w:firstLine="360"/>
      </w:pPr>
      <w:r>
        <w:t xml:space="preserve">We display the results in Figure 2. </w:t>
      </w:r>
      <w:r w:rsidRPr="00E25B16">
        <w:t xml:space="preserve">In support of </w:t>
      </w:r>
      <w:r w:rsidR="00FE68C9">
        <w:rPr>
          <w:lang w:eastAsia="zh-CN"/>
        </w:rPr>
        <w:t>H</w:t>
      </w:r>
      <w:r w:rsidRPr="00E25B16">
        <w:t xml:space="preserve">ypothesis 1, we found that the spousal support experienced </w:t>
      </w:r>
      <w:r w:rsidRPr="004837A7">
        <w:t xml:space="preserve">by the supervisor was positively related to </w:t>
      </w:r>
      <w:r>
        <w:t xml:space="preserve">the </w:t>
      </w:r>
      <w:r w:rsidRPr="004837A7">
        <w:t xml:space="preserve">employee's perception of FSSBs enacted by the supervisor (β = </w:t>
      </w:r>
      <w:r w:rsidR="00AD52D5">
        <w:t>0</w:t>
      </w:r>
      <w:r w:rsidRPr="004837A7">
        <w:t>.2</w:t>
      </w:r>
      <w:r>
        <w:t>7</w:t>
      </w:r>
      <w:r w:rsidRPr="004837A7">
        <w:t xml:space="preserve">, S.E. = </w:t>
      </w:r>
      <w:r w:rsidR="00AD52D5">
        <w:t>0</w:t>
      </w:r>
      <w:r w:rsidRPr="004837A7">
        <w:t>.1</w:t>
      </w:r>
      <w:r>
        <w:t>4</w:t>
      </w:r>
      <w:r w:rsidRPr="004837A7">
        <w:t xml:space="preserve">, p </w:t>
      </w:r>
      <w:r w:rsidR="00DC46E3">
        <w:t>=</w:t>
      </w:r>
      <w:r w:rsidR="00DC46E3" w:rsidRPr="004837A7">
        <w:t xml:space="preserve"> </w:t>
      </w:r>
      <w:r w:rsidR="00AD52D5">
        <w:t>0</w:t>
      </w:r>
      <w:r w:rsidRPr="004837A7">
        <w:t>.</w:t>
      </w:r>
      <w:r w:rsidR="00DC46E3">
        <w:t>03</w:t>
      </w:r>
      <w:r w:rsidRPr="004837A7">
        <w:t>5). Moreover, we found that the employee's perception of FSSBs</w:t>
      </w:r>
      <w:r w:rsidRPr="004837A7" w:rsidDel="00FF5055">
        <w:t xml:space="preserve"> </w:t>
      </w:r>
      <w:r w:rsidRPr="004837A7">
        <w:t xml:space="preserve">was negatively </w:t>
      </w:r>
      <w:r>
        <w:t xml:space="preserve">related to </w:t>
      </w:r>
      <w:r w:rsidRPr="00E25B16">
        <w:t>employee</w:t>
      </w:r>
      <w:r>
        <w:t xml:space="preserve">s’ </w:t>
      </w:r>
      <w:r w:rsidRPr="00071A3A">
        <w:rPr>
          <w:iCs/>
          <w:color w:val="000000"/>
          <w:lang w:val="en-US" w:eastAsia="nl-NL"/>
        </w:rPr>
        <w:t xml:space="preserve">production </w:t>
      </w:r>
      <w:r w:rsidR="00A17B96" w:rsidRPr="00071A3A">
        <w:rPr>
          <w:iCs/>
          <w:color w:val="000000"/>
          <w:lang w:val="en-US" w:eastAsia="nl-NL"/>
        </w:rPr>
        <w:t>deviance</w:t>
      </w:r>
      <w:r>
        <w:t xml:space="preserve"> (</w:t>
      </w:r>
      <w:r w:rsidRPr="00E25B16">
        <w:t>rated by the supervisor</w:t>
      </w:r>
      <w:r>
        <w:t>)</w:t>
      </w:r>
      <w:r w:rsidRPr="00E25B16">
        <w:t xml:space="preserve"> (β = -</w:t>
      </w:r>
      <w:r w:rsidR="00AD52D5">
        <w:t>0</w:t>
      </w:r>
      <w:r w:rsidRPr="00E25B16">
        <w:t>.</w:t>
      </w:r>
      <w:r>
        <w:t>40</w:t>
      </w:r>
      <w:r w:rsidRPr="00E25B16">
        <w:t xml:space="preserve">, SE = </w:t>
      </w:r>
      <w:r w:rsidR="00AD52D5">
        <w:t>0</w:t>
      </w:r>
      <w:r w:rsidRPr="00E25B16">
        <w:t>.1</w:t>
      </w:r>
      <w:r>
        <w:t>1</w:t>
      </w:r>
      <w:r w:rsidRPr="00E25B16">
        <w:t xml:space="preserve">, p &lt; </w:t>
      </w:r>
      <w:r w:rsidR="00AD52D5">
        <w:t>0</w:t>
      </w:r>
      <w:r w:rsidRPr="00E25B16">
        <w:t>.001)</w:t>
      </w:r>
      <w:r>
        <w:t xml:space="preserve">. Hence, </w:t>
      </w:r>
      <w:r w:rsidR="00FE68C9">
        <w:t>this result supports H</w:t>
      </w:r>
      <w:r w:rsidRPr="00E25B16">
        <w:t xml:space="preserve">ypothesis 2. </w:t>
      </w:r>
      <w:r>
        <w:t>The multi-level path analysis results can be found in Table 2 of the manuscript.</w:t>
      </w:r>
    </w:p>
    <w:p w14:paraId="535688F3" w14:textId="77777777" w:rsidR="00E76095" w:rsidRDefault="00E76095" w:rsidP="00071A3A">
      <w:pPr>
        <w:ind w:left="360"/>
        <w:jc w:val="center"/>
      </w:pPr>
      <w:r>
        <w:t>-----------------------------------------------</w:t>
      </w:r>
    </w:p>
    <w:p w14:paraId="39D0A945" w14:textId="077212BC" w:rsidR="00E76095" w:rsidRPr="00B739AD" w:rsidRDefault="00E76095" w:rsidP="00071A3A">
      <w:pPr>
        <w:ind w:left="360"/>
        <w:jc w:val="center"/>
      </w:pPr>
      <w:r w:rsidRPr="00B739AD">
        <w:t xml:space="preserve">Insert </w:t>
      </w:r>
      <w:r>
        <w:t>Table</w:t>
      </w:r>
      <w:r w:rsidRPr="00B739AD">
        <w:t xml:space="preserve"> </w:t>
      </w:r>
      <w:r>
        <w:t>2</w:t>
      </w:r>
      <w:r w:rsidRPr="00B739AD">
        <w:t xml:space="preserve"> here</w:t>
      </w:r>
    </w:p>
    <w:p w14:paraId="14FA917D" w14:textId="77777777" w:rsidR="00E76095" w:rsidRDefault="00E76095" w:rsidP="00071A3A">
      <w:pPr>
        <w:ind w:left="360"/>
        <w:jc w:val="center"/>
      </w:pPr>
      <w:r w:rsidRPr="00B739AD">
        <w:t>------------------------------------------------</w:t>
      </w:r>
    </w:p>
    <w:p w14:paraId="176D39E2" w14:textId="2FD0ED52" w:rsidR="006C6253" w:rsidRDefault="006C6253" w:rsidP="00071A3A">
      <w:pPr>
        <w:spacing w:line="480" w:lineRule="auto"/>
        <w:ind w:left="708"/>
      </w:pPr>
    </w:p>
    <w:p w14:paraId="3586E1AC" w14:textId="7E445E14" w:rsidR="00AC3C31" w:rsidRPr="004837A7" w:rsidRDefault="00FE68C9" w:rsidP="001C1C48">
      <w:pPr>
        <w:spacing w:line="480" w:lineRule="auto"/>
        <w:ind w:firstLine="360"/>
      </w:pPr>
      <w:r>
        <w:t>H</w:t>
      </w:r>
      <w:r w:rsidR="00900626" w:rsidRPr="004837A7">
        <w:t xml:space="preserve">ypothesis 3, we proposed that the association between spousal support experienced by a supervisor (rated by </w:t>
      </w:r>
      <w:r w:rsidR="00900626">
        <w:t xml:space="preserve">the </w:t>
      </w:r>
      <w:r w:rsidR="00900626" w:rsidRPr="004837A7">
        <w:t xml:space="preserve">supervisor) and </w:t>
      </w:r>
      <w:r w:rsidR="00726774">
        <w:t xml:space="preserve">employee </w:t>
      </w:r>
      <w:r w:rsidR="00900626">
        <w:t>production deviance</w:t>
      </w:r>
      <w:r w:rsidR="00900626" w:rsidRPr="004837A7">
        <w:t xml:space="preserve"> (rated by </w:t>
      </w:r>
      <w:r w:rsidR="00900626">
        <w:t xml:space="preserve">the </w:t>
      </w:r>
      <w:r w:rsidR="00900626" w:rsidRPr="004837A7">
        <w:t xml:space="preserve">supervisor) is mediated </w:t>
      </w:r>
      <w:r>
        <w:t>by</w:t>
      </w:r>
      <w:r w:rsidRPr="004837A7">
        <w:t xml:space="preserve"> </w:t>
      </w:r>
      <w:r w:rsidR="00900626" w:rsidRPr="004837A7">
        <w:t xml:space="preserve">FSSBs (rated by </w:t>
      </w:r>
      <w:r w:rsidR="00900626">
        <w:t xml:space="preserve">the </w:t>
      </w:r>
      <w:r w:rsidR="00900626" w:rsidRPr="004837A7">
        <w:t>employee). The result show</w:t>
      </w:r>
      <w:r>
        <w:t>ed</w:t>
      </w:r>
      <w:r w:rsidR="00900626" w:rsidRPr="004837A7">
        <w:t xml:space="preserve"> that the confidence interval does not include a value </w:t>
      </w:r>
      <w:r w:rsidR="00900626">
        <w:t xml:space="preserve">of </w:t>
      </w:r>
      <w:r w:rsidR="00900626" w:rsidRPr="004837A7">
        <w:t>zero (95% CI= [</w:t>
      </w:r>
      <w:r w:rsidR="00900626">
        <w:t>-</w:t>
      </w:r>
      <w:r w:rsidR="00AD52D5">
        <w:t>0</w:t>
      </w:r>
      <w:r w:rsidR="00900626" w:rsidRPr="004837A7">
        <w:t>.</w:t>
      </w:r>
      <w:r w:rsidR="00900626">
        <w:t>40</w:t>
      </w:r>
      <w:r>
        <w:t>/-</w:t>
      </w:r>
      <w:r w:rsidR="00AD52D5">
        <w:t>0</w:t>
      </w:r>
      <w:r w:rsidR="00900626" w:rsidRPr="004837A7">
        <w:t>.0</w:t>
      </w:r>
      <w:r>
        <w:t>1</w:t>
      </w:r>
      <w:r w:rsidR="00900626" w:rsidRPr="004837A7">
        <w:t xml:space="preserve">]), </w:t>
      </w:r>
      <w:r w:rsidR="00DA2EC7">
        <w:t xml:space="preserve">thus, </w:t>
      </w:r>
      <w:r w:rsidR="00900626" w:rsidRPr="004837A7">
        <w:t xml:space="preserve">this hypothesis </w:t>
      </w:r>
      <w:r>
        <w:t>was</w:t>
      </w:r>
      <w:r w:rsidRPr="004837A7">
        <w:t xml:space="preserve"> </w:t>
      </w:r>
      <w:r w:rsidR="00900626" w:rsidRPr="004837A7">
        <w:t>supported</w:t>
      </w:r>
      <w:r w:rsidR="0052009C">
        <w:rPr>
          <w:rStyle w:val="FootnoteReference"/>
        </w:rPr>
        <w:footnoteReference w:id="3"/>
      </w:r>
      <w:r w:rsidR="00900626" w:rsidRPr="004837A7">
        <w:t>.</w:t>
      </w:r>
      <w:r w:rsidR="0052009C">
        <w:t xml:space="preserve"> </w:t>
      </w:r>
    </w:p>
    <w:p w14:paraId="5C77FC22" w14:textId="0CC59666" w:rsidR="00900626" w:rsidRPr="00071A3A" w:rsidRDefault="003941E7" w:rsidP="001C1C48">
      <w:pPr>
        <w:spacing w:line="480" w:lineRule="auto"/>
        <w:rPr>
          <w:b/>
          <w:bCs/>
        </w:rPr>
      </w:pPr>
      <w:r w:rsidRPr="00071A3A">
        <w:rPr>
          <w:b/>
          <w:bCs/>
        </w:rPr>
        <w:t>Study 2</w:t>
      </w:r>
    </w:p>
    <w:p w14:paraId="17B3D7AF" w14:textId="695222C0" w:rsidR="00921F32" w:rsidRPr="00071A3A" w:rsidRDefault="00921F32" w:rsidP="001C1C48">
      <w:pPr>
        <w:spacing w:line="480" w:lineRule="auto"/>
        <w:rPr>
          <w:b/>
          <w:bCs/>
        </w:rPr>
      </w:pPr>
      <w:r w:rsidRPr="00071A3A">
        <w:rPr>
          <w:b/>
          <w:bCs/>
        </w:rPr>
        <w:lastRenderedPageBreak/>
        <w:t xml:space="preserve">Associations </w:t>
      </w:r>
      <w:r w:rsidR="00726774" w:rsidRPr="00071A3A">
        <w:rPr>
          <w:b/>
          <w:bCs/>
        </w:rPr>
        <w:t>B</w:t>
      </w:r>
      <w:r w:rsidRPr="00071A3A">
        <w:rPr>
          <w:b/>
          <w:bCs/>
        </w:rPr>
        <w:t xml:space="preserve">etween FSSBs and Employee Outcomes via Exhaustion </w:t>
      </w:r>
      <w:r w:rsidR="0052355C" w:rsidRPr="00071A3A">
        <w:rPr>
          <w:b/>
          <w:bCs/>
        </w:rPr>
        <w:tab/>
      </w:r>
    </w:p>
    <w:p w14:paraId="4F71D1BA" w14:textId="5896B96B" w:rsidR="00B47884" w:rsidRPr="00071A3A" w:rsidRDefault="00D576F5" w:rsidP="001C1C48">
      <w:pPr>
        <w:spacing w:line="480" w:lineRule="auto"/>
        <w:ind w:firstLine="360"/>
        <w:rPr>
          <w:bCs/>
        </w:rPr>
      </w:pPr>
      <w:r w:rsidRPr="00071A3A">
        <w:rPr>
          <w:bCs/>
        </w:rPr>
        <w:t>The first study demonstrate</w:t>
      </w:r>
      <w:r w:rsidR="00726774" w:rsidRPr="00071A3A">
        <w:rPr>
          <w:bCs/>
        </w:rPr>
        <w:t>s</w:t>
      </w:r>
      <w:r w:rsidRPr="00071A3A">
        <w:rPr>
          <w:bCs/>
        </w:rPr>
        <w:t xml:space="preserve"> that spousal support is an important relational resource that explains the display of FSSBs and </w:t>
      </w:r>
      <w:r w:rsidR="00726774" w:rsidRPr="00071A3A">
        <w:rPr>
          <w:bCs/>
        </w:rPr>
        <w:t xml:space="preserve">that </w:t>
      </w:r>
      <w:r w:rsidRPr="00071A3A">
        <w:rPr>
          <w:bCs/>
        </w:rPr>
        <w:t>these behaviours, in turn, reduce production deviance. Taking</w:t>
      </w:r>
      <w:r w:rsidR="00726774" w:rsidRPr="00071A3A">
        <w:rPr>
          <w:bCs/>
        </w:rPr>
        <w:t xml:space="preserve"> this finding</w:t>
      </w:r>
      <w:r w:rsidRPr="00071A3A">
        <w:rPr>
          <w:bCs/>
        </w:rPr>
        <w:t xml:space="preserve"> a step further, we aim to unpack the mechanism that justifies how and why FSSBs impact work and non-work outcomes. </w:t>
      </w:r>
      <w:r w:rsidR="004E5011" w:rsidRPr="00071A3A">
        <w:rPr>
          <w:bCs/>
        </w:rPr>
        <w:t xml:space="preserve">In line with the W-HR model, positive affect and cognitive flexibility are likely the personal resources (e.g., mechanisms) </w:t>
      </w:r>
      <w:r w:rsidR="00726774" w:rsidRPr="00071A3A">
        <w:rPr>
          <w:bCs/>
        </w:rPr>
        <w:t xml:space="preserve">which </w:t>
      </w:r>
      <w:r w:rsidR="004E5011" w:rsidRPr="00071A3A">
        <w:rPr>
          <w:bCs/>
        </w:rPr>
        <w:t xml:space="preserve">explain the impact of FSSBs on exhaustion at </w:t>
      </w:r>
      <w:r w:rsidR="00426966" w:rsidRPr="00071A3A">
        <w:rPr>
          <w:bCs/>
        </w:rPr>
        <w:t xml:space="preserve">the </w:t>
      </w:r>
      <w:r w:rsidR="0069667F" w:rsidRPr="00071A3A">
        <w:rPr>
          <w:bCs/>
        </w:rPr>
        <w:t>week</w:t>
      </w:r>
      <w:r w:rsidR="00726774" w:rsidRPr="00071A3A">
        <w:rPr>
          <w:bCs/>
        </w:rPr>
        <w:t>-</w:t>
      </w:r>
      <w:r w:rsidR="0069667F" w:rsidRPr="00071A3A">
        <w:rPr>
          <w:bCs/>
        </w:rPr>
        <w:t>level</w:t>
      </w:r>
      <w:r w:rsidR="004E5011" w:rsidRPr="00071A3A">
        <w:rPr>
          <w:bCs/>
        </w:rPr>
        <w:t xml:space="preserve">. </w:t>
      </w:r>
      <w:r w:rsidR="00B47884" w:rsidRPr="00071A3A">
        <w:rPr>
          <w:bCs/>
        </w:rPr>
        <w:t xml:space="preserve">The conceptual model for Study 2 can be found in Figure </w:t>
      </w:r>
      <w:r w:rsidR="00BA29E8" w:rsidRPr="00071A3A">
        <w:rPr>
          <w:bCs/>
        </w:rPr>
        <w:t>3</w:t>
      </w:r>
      <w:r w:rsidR="00B47884" w:rsidRPr="00071A3A">
        <w:rPr>
          <w:bCs/>
        </w:rPr>
        <w:t xml:space="preserve"> of the manuscript.</w:t>
      </w:r>
    </w:p>
    <w:p w14:paraId="0DFF36F6" w14:textId="77777777" w:rsidR="00B47884" w:rsidRDefault="00B47884" w:rsidP="00071A3A">
      <w:pPr>
        <w:ind w:left="360"/>
        <w:jc w:val="center"/>
      </w:pPr>
      <w:r>
        <w:t>-----------------------------------------------</w:t>
      </w:r>
    </w:p>
    <w:p w14:paraId="12EC355D" w14:textId="295429B2" w:rsidR="00B47884" w:rsidRPr="00B739AD" w:rsidRDefault="00B47884" w:rsidP="00071A3A">
      <w:pPr>
        <w:ind w:left="360"/>
        <w:jc w:val="center"/>
      </w:pPr>
      <w:r w:rsidRPr="00B739AD">
        <w:t xml:space="preserve">Insert Figure </w:t>
      </w:r>
      <w:r w:rsidR="00BA29E8">
        <w:t>3</w:t>
      </w:r>
      <w:r w:rsidRPr="00B739AD">
        <w:t xml:space="preserve"> here</w:t>
      </w:r>
    </w:p>
    <w:p w14:paraId="0AC7FAE5" w14:textId="77777777" w:rsidR="00B47884" w:rsidRPr="00B739AD" w:rsidRDefault="00B47884" w:rsidP="00071A3A">
      <w:pPr>
        <w:ind w:left="360"/>
        <w:jc w:val="center"/>
      </w:pPr>
      <w:r w:rsidRPr="00B739AD">
        <w:t>------------------------------------------------</w:t>
      </w:r>
    </w:p>
    <w:p w14:paraId="24E343A6" w14:textId="77777777" w:rsidR="00B47884" w:rsidRDefault="00B47884" w:rsidP="00071A3A">
      <w:pPr>
        <w:spacing w:line="480" w:lineRule="auto"/>
        <w:ind w:left="708"/>
        <w:rPr>
          <w:bCs/>
        </w:rPr>
      </w:pPr>
    </w:p>
    <w:p w14:paraId="6CDB6920" w14:textId="03B87E3F" w:rsidR="00E85C8A" w:rsidRPr="00071A3A" w:rsidRDefault="004E5011" w:rsidP="001C1C48">
      <w:pPr>
        <w:spacing w:line="480" w:lineRule="auto"/>
        <w:ind w:firstLine="360"/>
        <w:rPr>
          <w:bCs/>
        </w:rPr>
      </w:pPr>
      <w:r w:rsidRPr="00071A3A">
        <w:rPr>
          <w:bCs/>
        </w:rPr>
        <w:t xml:space="preserve">During weeks in which employees benefit </w:t>
      </w:r>
      <w:r w:rsidR="001B1046" w:rsidRPr="00071A3A">
        <w:rPr>
          <w:bCs/>
        </w:rPr>
        <w:t xml:space="preserve">more </w:t>
      </w:r>
      <w:r w:rsidRPr="00071A3A">
        <w:rPr>
          <w:bCs/>
        </w:rPr>
        <w:t xml:space="preserve">from FSSBs, they are </w:t>
      </w:r>
      <w:r w:rsidR="001B1046" w:rsidRPr="00071A3A">
        <w:rPr>
          <w:bCs/>
        </w:rPr>
        <w:t xml:space="preserve">more </w:t>
      </w:r>
      <w:r w:rsidRPr="00071A3A">
        <w:rPr>
          <w:bCs/>
        </w:rPr>
        <w:t>likely to feel positive and energized because the display of such behaviours indicates that supervisors care for the well-being of their subordinates (</w:t>
      </w:r>
      <w:r w:rsidR="004C4906" w:rsidRPr="00071A3A">
        <w:rPr>
          <w:bCs/>
        </w:rPr>
        <w:t>Marescaux et al.,</w:t>
      </w:r>
      <w:r w:rsidRPr="00071A3A">
        <w:rPr>
          <w:bCs/>
        </w:rPr>
        <w:t xml:space="preserve"> 2020). Furthermore, FSSBs in the form of </w:t>
      </w:r>
      <w:r w:rsidR="00F85042" w:rsidRPr="00071A3A">
        <w:rPr>
          <w:bCs/>
        </w:rPr>
        <w:t xml:space="preserve">instrumental </w:t>
      </w:r>
      <w:r w:rsidR="001B1046" w:rsidRPr="00071A3A">
        <w:rPr>
          <w:bCs/>
        </w:rPr>
        <w:t xml:space="preserve">support </w:t>
      </w:r>
      <w:r w:rsidR="0069667F" w:rsidRPr="00071A3A">
        <w:rPr>
          <w:bCs/>
        </w:rPr>
        <w:t>help</w:t>
      </w:r>
      <w:r w:rsidR="00F85042" w:rsidRPr="00071A3A">
        <w:rPr>
          <w:bCs/>
        </w:rPr>
        <w:t xml:space="preserve"> and creative work-family solutions</w:t>
      </w:r>
      <w:r w:rsidRPr="00071A3A">
        <w:rPr>
          <w:bCs/>
        </w:rPr>
        <w:t xml:space="preserve"> provided by supervisor</w:t>
      </w:r>
      <w:r w:rsidR="00726774" w:rsidRPr="00071A3A">
        <w:rPr>
          <w:bCs/>
        </w:rPr>
        <w:t>s</w:t>
      </w:r>
      <w:r w:rsidRPr="00071A3A">
        <w:rPr>
          <w:bCs/>
        </w:rPr>
        <w:t xml:space="preserve"> enable employees </w:t>
      </w:r>
      <w:r w:rsidR="0069667F" w:rsidRPr="00071A3A">
        <w:rPr>
          <w:bCs/>
        </w:rPr>
        <w:t xml:space="preserve">to </w:t>
      </w:r>
      <w:r w:rsidRPr="00071A3A">
        <w:rPr>
          <w:bCs/>
        </w:rPr>
        <w:t xml:space="preserve">tackle the various issues in their work-family </w:t>
      </w:r>
      <w:r w:rsidR="0069667F" w:rsidRPr="00071A3A">
        <w:rPr>
          <w:bCs/>
        </w:rPr>
        <w:t>related</w:t>
      </w:r>
      <w:r w:rsidRPr="00071A3A">
        <w:rPr>
          <w:bCs/>
        </w:rPr>
        <w:t xml:space="preserve"> activities (Rofcanin et al., 2017). </w:t>
      </w:r>
      <w:r w:rsidR="00F85042" w:rsidRPr="00071A3A">
        <w:rPr>
          <w:bCs/>
        </w:rPr>
        <w:t>Similarly, benefiting from the advantages of FSSBs during these weeks, employees are less likely to ruminate and feel stressed about work issues, enabling them to feel resourceful and equipped (Russo et al., 201</w:t>
      </w:r>
      <w:r w:rsidR="000D1A7A" w:rsidRPr="00071A3A">
        <w:rPr>
          <w:bCs/>
        </w:rPr>
        <w:t>8</w:t>
      </w:r>
      <w:r w:rsidR="00F85042" w:rsidRPr="00071A3A">
        <w:rPr>
          <w:bCs/>
        </w:rPr>
        <w:t xml:space="preserve">). </w:t>
      </w:r>
    </w:p>
    <w:p w14:paraId="2C88203E" w14:textId="4DD39CE5" w:rsidR="00921F32" w:rsidRPr="00071A3A" w:rsidRDefault="005E0875" w:rsidP="001C1C48">
      <w:pPr>
        <w:spacing w:line="480" w:lineRule="auto"/>
        <w:ind w:firstLine="360"/>
        <w:rPr>
          <w:bCs/>
        </w:rPr>
      </w:pPr>
      <w:r w:rsidRPr="00071A3A">
        <w:rPr>
          <w:bCs/>
        </w:rPr>
        <w:t xml:space="preserve">In building the relationship between FSSBs and exhaustion, we base our assumptions on the conservation of resources aspect of the WH-R model. According to the W-HR model, </w:t>
      </w:r>
      <w:r w:rsidR="00C03241" w:rsidRPr="00071A3A">
        <w:rPr>
          <w:bCs/>
        </w:rPr>
        <w:t xml:space="preserve">and the COR theory, resources can generate </w:t>
      </w:r>
      <w:r w:rsidR="00497D4B" w:rsidRPr="00071A3A">
        <w:rPr>
          <w:bCs/>
        </w:rPr>
        <w:t>n</w:t>
      </w:r>
      <w:r w:rsidR="00726774" w:rsidRPr="00071A3A">
        <w:rPr>
          <w:bCs/>
        </w:rPr>
        <w:t>ew</w:t>
      </w:r>
      <w:r w:rsidR="00497D4B" w:rsidRPr="00071A3A">
        <w:rPr>
          <w:bCs/>
        </w:rPr>
        <w:t xml:space="preserve"> resources</w:t>
      </w:r>
      <w:r w:rsidR="00C03241" w:rsidRPr="00071A3A">
        <w:rPr>
          <w:bCs/>
        </w:rPr>
        <w:t xml:space="preserve"> (</w:t>
      </w:r>
      <w:bookmarkStart w:id="1" w:name="_Hlk102328932"/>
      <w:r w:rsidR="004369DD" w:rsidRPr="00071A3A">
        <w:rPr>
          <w:bCs/>
        </w:rPr>
        <w:t>T</w:t>
      </w:r>
      <w:r w:rsidR="00C03241" w:rsidRPr="00071A3A">
        <w:rPr>
          <w:bCs/>
        </w:rPr>
        <w:t>en Brummelhuis</w:t>
      </w:r>
      <w:r w:rsidR="00817228" w:rsidRPr="00071A3A">
        <w:rPr>
          <w:bCs/>
        </w:rPr>
        <w:t xml:space="preserve"> </w:t>
      </w:r>
      <w:r w:rsidR="00C03241" w:rsidRPr="00071A3A">
        <w:rPr>
          <w:bCs/>
        </w:rPr>
        <w:t>&amp; Bakker, 2012</w:t>
      </w:r>
      <w:bookmarkEnd w:id="1"/>
      <w:r w:rsidR="00C03241" w:rsidRPr="00071A3A">
        <w:rPr>
          <w:bCs/>
        </w:rPr>
        <w:t>). In conceptualizing FSSBs as a type of support, we argue that they can be used as a key resource within the organization, as key resources in COR theory refer to management resources that facilitate the selection, alteration and implementation of other resources (Thoits, 1994). While conceptualizing FSSBs as a key resource on the management</w:t>
      </w:r>
      <w:r w:rsidR="00726774" w:rsidRPr="00071A3A">
        <w:rPr>
          <w:bCs/>
        </w:rPr>
        <w:t xml:space="preserve"> side of </w:t>
      </w:r>
      <w:r w:rsidR="00726774" w:rsidRPr="00071A3A">
        <w:rPr>
          <w:bCs/>
        </w:rPr>
        <w:lastRenderedPageBreak/>
        <w:t>things</w:t>
      </w:r>
      <w:r w:rsidR="00C03241" w:rsidRPr="00071A3A">
        <w:rPr>
          <w:bCs/>
        </w:rPr>
        <w:t xml:space="preserve">, we conceptualize the decrease in exhaustion as an increase in a personal resource, mainly physical energy. Thus, basing our </w:t>
      </w:r>
      <w:r w:rsidR="003935B4" w:rsidRPr="00071A3A">
        <w:rPr>
          <w:bCs/>
        </w:rPr>
        <w:t xml:space="preserve">argumentation </w:t>
      </w:r>
      <w:r w:rsidR="00C03241" w:rsidRPr="00071A3A">
        <w:rPr>
          <w:bCs/>
        </w:rPr>
        <w:t xml:space="preserve">on the gain spiral concept </w:t>
      </w:r>
      <w:r w:rsidR="00945BB7" w:rsidRPr="00071A3A">
        <w:rPr>
          <w:bCs/>
        </w:rPr>
        <w:t xml:space="preserve">of WH-R, we </w:t>
      </w:r>
      <w:r w:rsidR="003935B4" w:rsidRPr="00071A3A">
        <w:rPr>
          <w:bCs/>
        </w:rPr>
        <w:t>suggest t</w:t>
      </w:r>
      <w:r w:rsidR="00945BB7" w:rsidRPr="00071A3A">
        <w:rPr>
          <w:bCs/>
        </w:rPr>
        <w:t>hat employees who receive FSSBs in the shape of key resources use these resources to mitigate the demands of the job, which in turn result</w:t>
      </w:r>
      <w:r w:rsidR="003935B4" w:rsidRPr="00071A3A">
        <w:rPr>
          <w:bCs/>
        </w:rPr>
        <w:t>s</w:t>
      </w:r>
      <w:r w:rsidR="00945BB7" w:rsidRPr="00071A3A">
        <w:rPr>
          <w:bCs/>
        </w:rPr>
        <w:t xml:space="preserve"> in decreased exhaustion, as people with more resources are less affected when they face resource drains because they possess substitute resources (Hobfoll, 2002).</w:t>
      </w:r>
    </w:p>
    <w:p w14:paraId="176879CF" w14:textId="77777777" w:rsidR="009C63D3" w:rsidRPr="004837A7" w:rsidRDefault="009C63D3" w:rsidP="00071A3A">
      <w:pPr>
        <w:spacing w:line="480" w:lineRule="auto"/>
        <w:ind w:left="708"/>
        <w:rPr>
          <w:i/>
          <w:lang w:val="en-US" w:eastAsia="nl-NL"/>
        </w:rPr>
      </w:pPr>
    </w:p>
    <w:p w14:paraId="21A93E6D" w14:textId="0D4CBD99" w:rsidR="0052355C" w:rsidRPr="00071A3A" w:rsidRDefault="0052355C" w:rsidP="00071A3A">
      <w:pPr>
        <w:spacing w:line="480" w:lineRule="auto"/>
        <w:ind w:left="360"/>
        <w:rPr>
          <w:iCs/>
          <w:lang w:val="en-US" w:eastAsia="nl-NL"/>
        </w:rPr>
      </w:pPr>
      <w:r w:rsidRPr="00071A3A">
        <w:rPr>
          <w:i/>
          <w:lang w:val="en-US" w:eastAsia="nl-NL"/>
        </w:rPr>
        <w:t xml:space="preserve">Hypothesis </w:t>
      </w:r>
      <w:r w:rsidR="00D576F5" w:rsidRPr="00071A3A">
        <w:rPr>
          <w:i/>
          <w:lang w:val="en-US" w:eastAsia="nl-NL"/>
        </w:rPr>
        <w:t>4</w:t>
      </w:r>
      <w:r w:rsidRPr="00071A3A">
        <w:rPr>
          <w:i/>
          <w:lang w:val="en-US" w:eastAsia="nl-NL"/>
        </w:rPr>
        <w:t xml:space="preserve">: </w:t>
      </w:r>
      <w:r w:rsidR="00E85C8A" w:rsidRPr="00071A3A">
        <w:rPr>
          <w:iCs/>
          <w:lang w:val="en-US" w:eastAsia="nl-NL"/>
        </w:rPr>
        <w:t xml:space="preserve">FSSBs are negatively associated with exhaustion, </w:t>
      </w:r>
      <w:r w:rsidR="001B1046" w:rsidRPr="00071A3A">
        <w:rPr>
          <w:iCs/>
          <w:lang w:val="en-US" w:eastAsia="nl-NL"/>
        </w:rPr>
        <w:t xml:space="preserve">on a </w:t>
      </w:r>
      <w:r w:rsidR="00E85C8A" w:rsidRPr="00071A3A">
        <w:rPr>
          <w:iCs/>
          <w:lang w:val="en-US" w:eastAsia="nl-NL"/>
        </w:rPr>
        <w:t xml:space="preserve">weekly level. </w:t>
      </w:r>
    </w:p>
    <w:p w14:paraId="0E501FE1" w14:textId="77777777" w:rsidR="00921F32" w:rsidRPr="004837A7" w:rsidRDefault="00921F32" w:rsidP="00071A3A">
      <w:pPr>
        <w:spacing w:line="480" w:lineRule="auto"/>
        <w:ind w:left="700"/>
        <w:contextualSpacing/>
      </w:pPr>
    </w:p>
    <w:p w14:paraId="1F0A0CDC" w14:textId="3490C354" w:rsidR="00A563C6" w:rsidRDefault="00A563C6" w:rsidP="001C1C48">
      <w:pPr>
        <w:spacing w:line="480" w:lineRule="auto"/>
        <w:ind w:firstLine="360"/>
      </w:pPr>
      <w:r w:rsidRPr="004837A7">
        <w:t xml:space="preserve">The W-HR model is grounded </w:t>
      </w:r>
      <w:r w:rsidR="007B05B8">
        <w:t>i</w:t>
      </w:r>
      <w:r>
        <w:t xml:space="preserve">n the argument that stress depletes employee resources, </w:t>
      </w:r>
      <w:r w:rsidRPr="005C3A9E">
        <w:t>leaving</w:t>
      </w:r>
      <w:r>
        <w:t xml:space="preserve"> </w:t>
      </w:r>
      <w:r w:rsidR="001B1046">
        <w:t xml:space="preserve">employees </w:t>
      </w:r>
      <w:r>
        <w:t>unable to cope with work demands an</w:t>
      </w:r>
      <w:r w:rsidR="00F95397">
        <w:t>d</w:t>
      </w:r>
      <w:r>
        <w:t xml:space="preserve"> </w:t>
      </w:r>
      <w:r w:rsidR="007B05B8">
        <w:t xml:space="preserve">unable to </w:t>
      </w:r>
      <w:r>
        <w:t>concentrate on their work tasks effectively (</w:t>
      </w:r>
      <w:r w:rsidR="00463F32">
        <w:t>Hobfoll</w:t>
      </w:r>
      <w:r>
        <w:t xml:space="preserve"> et al., 201</w:t>
      </w:r>
      <w:r w:rsidR="00463F32">
        <w:t>8</w:t>
      </w:r>
      <w:r>
        <w:t xml:space="preserve">). </w:t>
      </w:r>
      <w:r w:rsidR="003935B4">
        <w:t>We</w:t>
      </w:r>
      <w:r>
        <w:t xml:space="preserve">eks </w:t>
      </w:r>
      <w:r w:rsidR="003935B4">
        <w:t xml:space="preserve">in which </w:t>
      </w:r>
      <w:r>
        <w:t>employees feel</w:t>
      </w:r>
      <w:r w:rsidR="00A0783C">
        <w:t xml:space="preserve"> less</w:t>
      </w:r>
      <w:r>
        <w:t xml:space="preserve"> exhausted </w:t>
      </w:r>
      <w:r w:rsidR="003935B4">
        <w:t xml:space="preserve">(because they receive more </w:t>
      </w:r>
      <w:r>
        <w:t>FSSBs</w:t>
      </w:r>
      <w:r w:rsidR="003935B4">
        <w:t>)</w:t>
      </w:r>
      <w:r>
        <w:t xml:space="preserve">, they are </w:t>
      </w:r>
      <w:r w:rsidR="00A0783C">
        <w:t>more</w:t>
      </w:r>
      <w:r>
        <w:t xml:space="preserve"> likely to feel creative regarding their work tasks. This is because </w:t>
      </w:r>
      <w:r w:rsidR="00092644">
        <w:t xml:space="preserve">exhaustion as a depleting </w:t>
      </w:r>
      <w:r w:rsidR="000F40DF">
        <w:t xml:space="preserve">personal </w:t>
      </w:r>
      <w:r w:rsidR="00092644">
        <w:t xml:space="preserve">resource is low and </w:t>
      </w:r>
      <w:r>
        <w:t xml:space="preserve">employees are </w:t>
      </w:r>
      <w:r w:rsidR="00A0783C">
        <w:t xml:space="preserve">more </w:t>
      </w:r>
      <w:r>
        <w:t xml:space="preserve">likely to </w:t>
      </w:r>
      <w:r w:rsidR="003935B4">
        <w:t xml:space="preserve">spend </w:t>
      </w:r>
      <w:r>
        <w:t xml:space="preserve">time, energy and focused attention to be creative at work. </w:t>
      </w:r>
      <w:r w:rsidRPr="00A563C6">
        <w:t xml:space="preserve">Creativity </w:t>
      </w:r>
      <w:r>
        <w:t>necessitates</w:t>
      </w:r>
      <w:r w:rsidRPr="00A563C6">
        <w:t xml:space="preserve"> employees </w:t>
      </w:r>
      <w:r w:rsidR="00485A89">
        <w:t xml:space="preserve">to </w:t>
      </w:r>
      <w:r w:rsidRPr="00A563C6">
        <w:t>be confident and per</w:t>
      </w:r>
      <w:r>
        <w:t>s</w:t>
      </w:r>
      <w:r w:rsidRPr="00A563C6">
        <w:t>ist</w:t>
      </w:r>
      <w:r>
        <w:t>ent</w:t>
      </w:r>
      <w:r w:rsidRPr="00A563C6">
        <w:t xml:space="preserve"> in working on a task </w:t>
      </w:r>
      <w:r>
        <w:t xml:space="preserve">when confronted with setbacks (Shalley et al., 2004). </w:t>
      </w:r>
      <w:r w:rsidR="00092644">
        <w:t>Em</w:t>
      </w:r>
      <w:r>
        <w:t>ployees who feel</w:t>
      </w:r>
      <w:r w:rsidR="00A0783C">
        <w:t xml:space="preserve"> less</w:t>
      </w:r>
      <w:r>
        <w:t xml:space="preserve"> exhausted as a result of benefiting from FSSBs are </w:t>
      </w:r>
      <w:r w:rsidR="00A0783C">
        <w:t>more</w:t>
      </w:r>
      <w:r>
        <w:t xml:space="preserve"> likely to have cognitive resources freed up </w:t>
      </w:r>
      <w:r w:rsidRPr="00A563C6">
        <w:t>from worrying about their work schedules or nonwork-related issues</w:t>
      </w:r>
      <w:r w:rsidR="0052009C">
        <w:t xml:space="preserve"> and report better sleep quality</w:t>
      </w:r>
      <w:r>
        <w:t xml:space="preserve"> (Wang et al., 2018)</w:t>
      </w:r>
      <w:r w:rsidR="00F95397">
        <w:t>.</w:t>
      </w:r>
    </w:p>
    <w:p w14:paraId="5E4F5519" w14:textId="247AEA0D" w:rsidR="00F95397" w:rsidRDefault="00F95397" w:rsidP="001C1C48">
      <w:pPr>
        <w:spacing w:line="480" w:lineRule="auto"/>
        <w:ind w:firstLine="360"/>
      </w:pPr>
      <w:r>
        <w:t xml:space="preserve">Underlying elements of sleep quality include depth, endurance and sustainability of </w:t>
      </w:r>
      <w:r w:rsidR="007B05B8">
        <w:t xml:space="preserve">the </w:t>
      </w:r>
      <w:r>
        <w:t xml:space="preserve">sleep experienced (Yu et al., 2012). </w:t>
      </w:r>
      <w:r w:rsidR="00A0783C">
        <w:t>When work and family demands are high</w:t>
      </w:r>
      <w:r w:rsidR="007B05B8">
        <w:t>,</w:t>
      </w:r>
      <w:r w:rsidR="00A0783C">
        <w:t xml:space="preserve"> and given that time is a limited resource, the quality of sleep is likely to be compromised (Sianoja et al., 2020). Thus, FSSBs, which help employees seek better work-life balance, may facilitate the quality of sleep because the display of such behaviours </w:t>
      </w:r>
      <w:r w:rsidR="0069667F">
        <w:t>reduces</w:t>
      </w:r>
      <w:r w:rsidR="00A0783C">
        <w:t xml:space="preserve"> stress and provide</w:t>
      </w:r>
      <w:r w:rsidR="007B05B8">
        <w:t>s</w:t>
      </w:r>
      <w:r w:rsidR="00A0783C">
        <w:t xml:space="preserve"> resources. </w:t>
      </w:r>
      <w:r w:rsidR="00A0783C">
        <w:lastRenderedPageBreak/>
        <w:t xml:space="preserve">Previous </w:t>
      </w:r>
      <w:r w:rsidR="003D4A7D">
        <w:t xml:space="preserve">(though </w:t>
      </w:r>
      <w:r w:rsidR="00A0783C">
        <w:t>few</w:t>
      </w:r>
      <w:r w:rsidR="003D4A7D">
        <w:t>)</w:t>
      </w:r>
      <w:r w:rsidR="00A0783C">
        <w:t xml:space="preserve"> between-person studies demonstrate that FSSBs are </w:t>
      </w:r>
      <w:r w:rsidR="008E3DCF">
        <w:t xml:space="preserve">positively </w:t>
      </w:r>
      <w:r w:rsidR="00A0783C">
        <w:t xml:space="preserve">associated with sleep quality (Crain et al., 2014; </w:t>
      </w:r>
      <w:r w:rsidR="00B515C4">
        <w:t>Crain et al., 2019</w:t>
      </w:r>
      <w:r w:rsidR="00A0783C">
        <w:t>) and a recent review study underline</w:t>
      </w:r>
      <w:r w:rsidR="003D4A7D">
        <w:t>s</w:t>
      </w:r>
      <w:r w:rsidR="00A0783C">
        <w:t xml:space="preserve"> that FSSBs are key resources to help enhance sleep quality (Crain &amp; Stevens, 2018). Building on these studies, we argue that exhaustion is negatively associated with sleep quality, </w:t>
      </w:r>
      <w:r w:rsidR="0069667F">
        <w:t>on</w:t>
      </w:r>
      <w:r w:rsidR="00A0783C">
        <w:t xml:space="preserve"> </w:t>
      </w:r>
      <w:r w:rsidR="00781520">
        <w:t>a weekly basis.</w:t>
      </w:r>
    </w:p>
    <w:p w14:paraId="73572467" w14:textId="50B59736" w:rsidR="00E85C8A" w:rsidRPr="002E024D" w:rsidRDefault="00A0783C" w:rsidP="001C1C48">
      <w:pPr>
        <w:spacing w:line="480" w:lineRule="auto"/>
        <w:ind w:firstLine="360"/>
      </w:pPr>
      <w:r>
        <w:t xml:space="preserve">Finally, we argue that during weeks </w:t>
      </w:r>
      <w:r w:rsidR="003D4A7D">
        <w:t xml:space="preserve">wherein </w:t>
      </w:r>
      <w:r>
        <w:t>employees feel less exhausted due to the benefits of FSSBs, they are likely to report higher dyadic adjustment.</w:t>
      </w:r>
      <w:r w:rsidR="00611FCF">
        <w:t xml:space="preserve"> The latter underlines the adaptive and positive exchange of behaviours and experiences between partners. Examples include stimulating </w:t>
      </w:r>
      <w:r w:rsidR="00D576F5">
        <w:t xml:space="preserve">the </w:t>
      </w:r>
      <w:r w:rsidR="00611FCF">
        <w:t>exchange of ideas, laughing together, calmly discussing aspects relating to life and working on a project together (Spanier, 1976). During weeks employees benefit from FSSBs and feel less exhausted, they are likely to spend quality time with their partners. These employees are likely to engage more with matters relating to their family domains and</w:t>
      </w:r>
      <w:r w:rsidR="003D4A7D">
        <w:t>,</w:t>
      </w:r>
      <w:r w:rsidR="00611FCF">
        <w:t xml:space="preserve"> in particular, pay attention to the quality of </w:t>
      </w:r>
      <w:r w:rsidR="00D576F5">
        <w:t>relationships</w:t>
      </w:r>
      <w:r w:rsidR="00611FCF">
        <w:t xml:space="preserve"> with their significant others</w:t>
      </w:r>
      <w:r w:rsidR="0052009C">
        <w:t xml:space="preserve"> </w:t>
      </w:r>
      <w:r w:rsidR="00611FCF">
        <w:t>(</w:t>
      </w:r>
      <w:r w:rsidR="0052009C">
        <w:t xml:space="preserve">e.g., </w:t>
      </w:r>
      <w:r w:rsidR="00611FCF">
        <w:t>Rofcanin et al., 2019</w:t>
      </w:r>
      <w:r w:rsidR="0052009C">
        <w:t xml:space="preserve">). </w:t>
      </w:r>
      <w:r w:rsidR="00C52B5E">
        <w:t>Thus we hypothesize that</w:t>
      </w:r>
      <w:r w:rsidR="00611FCF">
        <w:t>:</w:t>
      </w:r>
    </w:p>
    <w:p w14:paraId="64ECB6A6" w14:textId="77777777" w:rsidR="00921F32" w:rsidRDefault="00921F32" w:rsidP="00071A3A">
      <w:pPr>
        <w:spacing w:line="480" w:lineRule="auto"/>
        <w:ind w:left="700"/>
        <w:contextualSpacing/>
        <w:rPr>
          <w:i/>
          <w:color w:val="000000"/>
          <w:lang w:val="en-US" w:eastAsia="nl-NL"/>
        </w:rPr>
      </w:pPr>
    </w:p>
    <w:p w14:paraId="5EA3F232" w14:textId="77BDE4D2" w:rsidR="00921F32" w:rsidRPr="00071A3A" w:rsidRDefault="0052355C" w:rsidP="00071A3A">
      <w:pPr>
        <w:spacing w:line="480" w:lineRule="auto"/>
        <w:ind w:left="360"/>
        <w:rPr>
          <w:iCs/>
          <w:color w:val="000000"/>
          <w:lang w:val="en-US" w:eastAsia="nl-NL"/>
        </w:rPr>
      </w:pPr>
      <w:r w:rsidRPr="00071A3A">
        <w:rPr>
          <w:i/>
          <w:color w:val="000000"/>
          <w:lang w:val="en-US" w:eastAsia="nl-NL"/>
        </w:rPr>
        <w:t xml:space="preserve">Hypothesis </w:t>
      </w:r>
      <w:r w:rsidR="00D576F5" w:rsidRPr="00071A3A">
        <w:rPr>
          <w:i/>
          <w:color w:val="000000"/>
          <w:lang w:val="en-US" w:eastAsia="nl-NL"/>
        </w:rPr>
        <w:t>5</w:t>
      </w:r>
      <w:r w:rsidRPr="00071A3A">
        <w:rPr>
          <w:i/>
          <w:color w:val="000000"/>
          <w:lang w:val="en-US" w:eastAsia="nl-NL"/>
        </w:rPr>
        <w:t xml:space="preserve">: </w:t>
      </w:r>
      <w:r w:rsidR="002E024D" w:rsidRPr="00071A3A">
        <w:rPr>
          <w:iCs/>
          <w:color w:val="000000"/>
          <w:lang w:val="en-US" w:eastAsia="nl-NL"/>
        </w:rPr>
        <w:t>E</w:t>
      </w:r>
      <w:r w:rsidRPr="00071A3A">
        <w:rPr>
          <w:iCs/>
          <w:color w:val="000000"/>
          <w:lang w:val="en-US" w:eastAsia="nl-NL"/>
        </w:rPr>
        <w:t xml:space="preserve">xhaustion </w:t>
      </w:r>
      <w:r w:rsidR="002E024D" w:rsidRPr="00071A3A">
        <w:rPr>
          <w:iCs/>
          <w:color w:val="000000"/>
          <w:lang w:val="en-US" w:eastAsia="nl-NL"/>
        </w:rPr>
        <w:t xml:space="preserve">is negatively associated with </w:t>
      </w:r>
      <w:r w:rsidRPr="00071A3A">
        <w:rPr>
          <w:iCs/>
          <w:color w:val="000000"/>
          <w:lang w:val="en-US" w:eastAsia="nl-NL"/>
        </w:rPr>
        <w:t xml:space="preserve">employee outcomes of </w:t>
      </w:r>
      <w:r w:rsidR="008E3DCF" w:rsidRPr="00071A3A">
        <w:rPr>
          <w:iCs/>
          <w:color w:val="000000"/>
          <w:lang w:val="en-US" w:eastAsia="nl-NL"/>
        </w:rPr>
        <w:t xml:space="preserve">(a) </w:t>
      </w:r>
      <w:r w:rsidRPr="00071A3A">
        <w:rPr>
          <w:iCs/>
          <w:color w:val="000000"/>
          <w:lang w:val="en-US" w:eastAsia="nl-NL"/>
        </w:rPr>
        <w:t xml:space="preserve">creativity, </w:t>
      </w:r>
      <w:r w:rsidR="008E3DCF" w:rsidRPr="00071A3A">
        <w:rPr>
          <w:iCs/>
          <w:color w:val="000000"/>
          <w:lang w:val="en-US" w:eastAsia="nl-NL"/>
        </w:rPr>
        <w:t xml:space="preserve">(b) </w:t>
      </w:r>
      <w:r w:rsidRPr="00071A3A">
        <w:rPr>
          <w:iCs/>
          <w:color w:val="000000"/>
          <w:lang w:val="en-US" w:eastAsia="nl-NL"/>
        </w:rPr>
        <w:t xml:space="preserve">sleep quality and </w:t>
      </w:r>
      <w:r w:rsidR="008E3DCF" w:rsidRPr="00071A3A">
        <w:rPr>
          <w:iCs/>
          <w:color w:val="000000"/>
          <w:lang w:val="en-US" w:eastAsia="nl-NL"/>
        </w:rPr>
        <w:t xml:space="preserve">(c) </w:t>
      </w:r>
      <w:r w:rsidRPr="00071A3A">
        <w:rPr>
          <w:iCs/>
          <w:color w:val="000000"/>
          <w:lang w:val="en-US" w:eastAsia="nl-NL"/>
        </w:rPr>
        <w:t>dyadic adjustment</w:t>
      </w:r>
      <w:r w:rsidR="002E024D" w:rsidRPr="00071A3A">
        <w:rPr>
          <w:iCs/>
          <w:color w:val="000000"/>
          <w:lang w:val="en-US" w:eastAsia="nl-NL"/>
        </w:rPr>
        <w:t xml:space="preserve">, at </w:t>
      </w:r>
      <w:r w:rsidR="0069667F" w:rsidRPr="00071A3A">
        <w:rPr>
          <w:iCs/>
          <w:color w:val="000000"/>
          <w:lang w:val="en-US" w:eastAsia="nl-NL"/>
        </w:rPr>
        <w:t xml:space="preserve">a </w:t>
      </w:r>
      <w:r w:rsidR="002E024D" w:rsidRPr="00071A3A">
        <w:rPr>
          <w:iCs/>
          <w:color w:val="000000"/>
          <w:lang w:val="en-US" w:eastAsia="nl-NL"/>
        </w:rPr>
        <w:t xml:space="preserve">weekly level. </w:t>
      </w:r>
    </w:p>
    <w:p w14:paraId="3708C8EA" w14:textId="77777777" w:rsidR="00AE2A92" w:rsidRDefault="00AE2A92" w:rsidP="00071A3A">
      <w:pPr>
        <w:spacing w:line="480" w:lineRule="auto"/>
        <w:ind w:left="700"/>
        <w:contextualSpacing/>
        <w:rPr>
          <w:iCs/>
          <w:color w:val="000000"/>
          <w:lang w:val="en-US" w:eastAsia="nl-NL"/>
        </w:rPr>
      </w:pPr>
    </w:p>
    <w:p w14:paraId="6DDA986D" w14:textId="76B50734" w:rsidR="0052355C" w:rsidRPr="00071A3A" w:rsidRDefault="007C7387" w:rsidP="001C1C48">
      <w:pPr>
        <w:spacing w:line="480" w:lineRule="auto"/>
        <w:ind w:firstLine="360"/>
        <w:rPr>
          <w:iCs/>
          <w:color w:val="000000"/>
          <w:lang w:val="en-US" w:eastAsia="nl-NL"/>
        </w:rPr>
      </w:pPr>
      <w:r w:rsidRPr="00071A3A">
        <w:rPr>
          <w:iCs/>
          <w:color w:val="000000"/>
          <w:lang w:val="en-US" w:eastAsia="nl-NL"/>
        </w:rPr>
        <w:t xml:space="preserve">The W-HR model suggests that initial resource gains </w:t>
      </w:r>
      <w:r w:rsidR="003014EC" w:rsidRPr="00071A3A">
        <w:rPr>
          <w:iCs/>
          <w:color w:val="000000"/>
          <w:lang w:val="en-US" w:eastAsia="nl-NL"/>
        </w:rPr>
        <w:t>lead</w:t>
      </w:r>
      <w:r w:rsidRPr="00071A3A">
        <w:rPr>
          <w:iCs/>
          <w:color w:val="000000"/>
          <w:lang w:val="en-US" w:eastAsia="nl-NL"/>
        </w:rPr>
        <w:t xml:space="preserve"> to the generation of further resources. Applied to our current model, during weeks when employees </w:t>
      </w:r>
      <w:r w:rsidR="00485A89" w:rsidRPr="00071A3A">
        <w:rPr>
          <w:iCs/>
          <w:color w:val="000000"/>
          <w:lang w:val="en-US" w:eastAsia="nl-NL"/>
        </w:rPr>
        <w:t xml:space="preserve">perceive </w:t>
      </w:r>
      <w:r w:rsidRPr="00071A3A">
        <w:rPr>
          <w:iCs/>
          <w:color w:val="000000"/>
          <w:lang w:val="en-US" w:eastAsia="nl-NL"/>
        </w:rPr>
        <w:t xml:space="preserve">higher FSSB displays, they are less likely to feel exhausted. This is because the personal resources of positive affect and cognitive flexibility act as linchpins to account for the positive impact of FSSBs on </w:t>
      </w:r>
      <w:r w:rsidR="0069667F" w:rsidRPr="00071A3A">
        <w:rPr>
          <w:iCs/>
          <w:color w:val="000000"/>
          <w:lang w:val="en-US" w:eastAsia="nl-NL"/>
        </w:rPr>
        <w:t>employee</w:t>
      </w:r>
      <w:r w:rsidRPr="00071A3A">
        <w:rPr>
          <w:iCs/>
          <w:color w:val="000000"/>
          <w:lang w:val="en-US" w:eastAsia="nl-NL"/>
        </w:rPr>
        <w:t xml:space="preserve"> exhaustion. In turn, during these weeks when employees report </w:t>
      </w:r>
      <w:r w:rsidR="0069667F" w:rsidRPr="00071A3A">
        <w:rPr>
          <w:iCs/>
          <w:color w:val="000000"/>
          <w:lang w:val="en-US" w:eastAsia="nl-NL"/>
        </w:rPr>
        <w:t xml:space="preserve">a </w:t>
      </w:r>
      <w:r w:rsidRPr="00071A3A">
        <w:rPr>
          <w:iCs/>
          <w:color w:val="000000"/>
          <w:lang w:val="en-US" w:eastAsia="nl-NL"/>
        </w:rPr>
        <w:t xml:space="preserve">lower extent of exhaustion, they are likely to feel more creative because they are not cognitively tied up with hindering work demands or pressing family matters. They freed up the necessary </w:t>
      </w:r>
      <w:r w:rsidRPr="00071A3A">
        <w:rPr>
          <w:iCs/>
          <w:color w:val="000000"/>
          <w:lang w:val="en-US" w:eastAsia="nl-NL"/>
        </w:rPr>
        <w:lastRenderedPageBreak/>
        <w:t xml:space="preserve">cognitive and mental resources to be more creative at their work in these weeks. Furthermore, feeling less exhausted during these weeks, employees are likely to experience better sleep quality. Finally, reporting less exhaustion in these weeks, employees are likely to spend more quality time with their partners who are significant parties of </w:t>
      </w:r>
      <w:r w:rsidR="0069667F" w:rsidRPr="00071A3A">
        <w:rPr>
          <w:iCs/>
          <w:color w:val="000000"/>
          <w:lang w:val="en-US" w:eastAsia="nl-NL"/>
        </w:rPr>
        <w:t xml:space="preserve">the </w:t>
      </w:r>
      <w:r w:rsidRPr="00071A3A">
        <w:rPr>
          <w:iCs/>
          <w:color w:val="000000"/>
          <w:lang w:val="en-US" w:eastAsia="nl-NL"/>
        </w:rPr>
        <w:t>employee</w:t>
      </w:r>
      <w:r w:rsidR="003D4A7D" w:rsidRPr="00071A3A">
        <w:rPr>
          <w:iCs/>
          <w:color w:val="000000"/>
          <w:lang w:val="en-US" w:eastAsia="nl-NL"/>
        </w:rPr>
        <w:t>s</w:t>
      </w:r>
      <w:r w:rsidRPr="00071A3A">
        <w:rPr>
          <w:iCs/>
          <w:color w:val="000000"/>
          <w:lang w:val="en-US" w:eastAsia="nl-NL"/>
        </w:rPr>
        <w:t xml:space="preserve">’ family domain. </w:t>
      </w:r>
      <w:r w:rsidR="0052009C" w:rsidRPr="00071A3A">
        <w:rPr>
          <w:iCs/>
          <w:color w:val="000000"/>
          <w:lang w:val="en-US" w:eastAsia="nl-NL"/>
        </w:rPr>
        <w:t>Our last hypothesis is:</w:t>
      </w:r>
    </w:p>
    <w:p w14:paraId="5CCCF311" w14:textId="77777777" w:rsidR="00921F32" w:rsidRDefault="00921F32" w:rsidP="00071A3A">
      <w:pPr>
        <w:spacing w:line="480" w:lineRule="auto"/>
        <w:ind w:left="700"/>
        <w:contextualSpacing/>
        <w:rPr>
          <w:i/>
          <w:color w:val="000000"/>
          <w:lang w:val="en-US" w:eastAsia="nl-NL"/>
        </w:rPr>
      </w:pPr>
    </w:p>
    <w:p w14:paraId="0BEBB585" w14:textId="2C89054D" w:rsidR="00510173" w:rsidRPr="00071A3A" w:rsidRDefault="0052355C" w:rsidP="00071A3A">
      <w:pPr>
        <w:spacing w:line="480" w:lineRule="auto"/>
        <w:ind w:left="360"/>
        <w:rPr>
          <w:iCs/>
          <w:color w:val="000000"/>
          <w:lang w:val="en-US" w:eastAsia="nl-NL"/>
        </w:rPr>
      </w:pPr>
      <w:r w:rsidRPr="00071A3A">
        <w:rPr>
          <w:i/>
          <w:color w:val="000000"/>
          <w:lang w:val="en-US" w:eastAsia="nl-NL"/>
        </w:rPr>
        <w:t xml:space="preserve">Hypothesis </w:t>
      </w:r>
      <w:r w:rsidR="00D576F5" w:rsidRPr="00071A3A">
        <w:rPr>
          <w:i/>
          <w:color w:val="000000"/>
          <w:lang w:val="en-US" w:eastAsia="nl-NL"/>
        </w:rPr>
        <w:t>6</w:t>
      </w:r>
      <w:r w:rsidRPr="00071A3A">
        <w:rPr>
          <w:i/>
          <w:color w:val="000000"/>
          <w:lang w:val="en-US" w:eastAsia="nl-NL"/>
        </w:rPr>
        <w:t xml:space="preserve">: </w:t>
      </w:r>
      <w:r w:rsidR="002165FC" w:rsidRPr="00071A3A">
        <w:rPr>
          <w:color w:val="000000"/>
          <w:lang w:val="en-US" w:eastAsia="nl-NL"/>
        </w:rPr>
        <w:t xml:space="preserve">Exhaustion mediates the positive associations between FSSBs and employee outcomes of creativity, sleep quality and dyadic adjustment, at </w:t>
      </w:r>
      <w:r w:rsidR="0069667F" w:rsidRPr="00071A3A">
        <w:rPr>
          <w:color w:val="000000"/>
          <w:lang w:val="en-US" w:eastAsia="nl-NL"/>
        </w:rPr>
        <w:t xml:space="preserve">a </w:t>
      </w:r>
      <w:r w:rsidR="002165FC" w:rsidRPr="00071A3A">
        <w:rPr>
          <w:iCs/>
          <w:color w:val="000000"/>
          <w:lang w:val="en-US" w:eastAsia="nl-NL"/>
        </w:rPr>
        <w:t>weekly level.</w:t>
      </w:r>
    </w:p>
    <w:p w14:paraId="5633B5A5" w14:textId="19A4635C" w:rsidR="00E2721A" w:rsidRDefault="00E2721A" w:rsidP="00071A3A">
      <w:pPr>
        <w:spacing w:line="480" w:lineRule="auto"/>
        <w:contextualSpacing/>
        <w:rPr>
          <w:iCs/>
          <w:color w:val="000000"/>
          <w:lang w:val="en-US" w:eastAsia="nl-NL"/>
        </w:rPr>
      </w:pPr>
    </w:p>
    <w:p w14:paraId="06D4311A" w14:textId="2A14E71C" w:rsidR="00BC77FA" w:rsidRPr="00071A3A" w:rsidRDefault="00BC77FA" w:rsidP="001C1C48">
      <w:pPr>
        <w:spacing w:line="480" w:lineRule="auto"/>
        <w:rPr>
          <w:b/>
          <w:bCs/>
        </w:rPr>
      </w:pPr>
      <w:r w:rsidRPr="00071A3A">
        <w:rPr>
          <w:b/>
          <w:bCs/>
        </w:rPr>
        <w:t>Study 2</w:t>
      </w:r>
      <w:r w:rsidR="003941E7" w:rsidRPr="00071A3A">
        <w:rPr>
          <w:b/>
          <w:bCs/>
        </w:rPr>
        <w:t>: Method</w:t>
      </w:r>
    </w:p>
    <w:p w14:paraId="4EDA6CD1" w14:textId="317BC5A9" w:rsidR="00AD1C3F" w:rsidRPr="00AD1C3F" w:rsidRDefault="00BC77FA" w:rsidP="001C1C48">
      <w:pPr>
        <w:spacing w:line="480" w:lineRule="auto"/>
      </w:pPr>
      <w:r w:rsidRPr="00071A3A">
        <w:rPr>
          <w:b/>
          <w:bCs/>
        </w:rPr>
        <w:t>Procedure and Participants</w:t>
      </w:r>
      <w:r w:rsidR="003014EC" w:rsidRPr="00071A3A">
        <w:rPr>
          <w:b/>
          <w:bCs/>
        </w:rPr>
        <w:t xml:space="preserve">. </w:t>
      </w:r>
      <w:r w:rsidR="0051719B" w:rsidRPr="00071A3A">
        <w:rPr>
          <w:bCs/>
        </w:rPr>
        <w:t xml:space="preserve">Through the involvement of a leading European business school and the </w:t>
      </w:r>
      <w:r w:rsidR="0069667F" w:rsidRPr="00071A3A">
        <w:rPr>
          <w:bCs/>
        </w:rPr>
        <w:t>help</w:t>
      </w:r>
      <w:r w:rsidR="0051719B" w:rsidRPr="00071A3A">
        <w:rPr>
          <w:bCs/>
        </w:rPr>
        <w:t xml:space="preserve"> of a non-profit family network business, </w:t>
      </w:r>
      <w:r w:rsidR="009C6081" w:rsidRPr="00071A3A">
        <w:rPr>
          <w:bCs/>
        </w:rPr>
        <w:t xml:space="preserve">we </w:t>
      </w:r>
      <w:r w:rsidR="0051719B" w:rsidRPr="00071A3A">
        <w:rPr>
          <w:bCs/>
        </w:rPr>
        <w:t>conducted a weekly diary study of employees working in the Catalonia region of Spain (mainly</w:t>
      </w:r>
      <w:r w:rsidR="009C6081" w:rsidRPr="00071A3A">
        <w:rPr>
          <w:bCs/>
        </w:rPr>
        <w:t>,</w:t>
      </w:r>
      <w:r w:rsidR="0051719B" w:rsidRPr="00071A3A">
        <w:rPr>
          <w:bCs/>
        </w:rPr>
        <w:t xml:space="preserve"> Barcelona) for a period of four weeks (February – </w:t>
      </w:r>
      <w:r w:rsidR="003014EC" w:rsidRPr="00071A3A">
        <w:rPr>
          <w:bCs/>
        </w:rPr>
        <w:t>March</w:t>
      </w:r>
      <w:r w:rsidR="0051719B" w:rsidRPr="00071A3A">
        <w:rPr>
          <w:bCs/>
        </w:rPr>
        <w:t xml:space="preserve"> 2019). Our invitation e-mail </w:t>
      </w:r>
      <w:r w:rsidR="00483F0A" w:rsidRPr="00071A3A">
        <w:rPr>
          <w:bCs/>
        </w:rPr>
        <w:t xml:space="preserve">explained the study procedure and emphasized the confidentiality of responses. </w:t>
      </w:r>
      <w:r w:rsidR="0069667F" w:rsidRPr="00071A3A">
        <w:rPr>
          <w:bCs/>
        </w:rPr>
        <w:t>To</w:t>
      </w:r>
      <w:r w:rsidR="00AD1C3F">
        <w:t xml:space="preserve"> encourage participation, we provided a full report of our findings at </w:t>
      </w:r>
      <w:r w:rsidR="00D576F5">
        <w:t xml:space="preserve">the </w:t>
      </w:r>
      <w:r w:rsidR="00AD1C3F">
        <w:t>aggregate level to HR units.</w:t>
      </w:r>
      <w:r w:rsidR="003C58BC">
        <w:t xml:space="preserve"> In coordination with the HR units of the selected </w:t>
      </w:r>
      <w:r w:rsidR="009C6081">
        <w:t xml:space="preserve">three </w:t>
      </w:r>
      <w:r w:rsidR="003C58BC">
        <w:t>companies and the results of a power analysis, we ensured t</w:t>
      </w:r>
      <w:r w:rsidR="009C6081">
        <w:t>he</w:t>
      </w:r>
      <w:r w:rsidR="003C58BC">
        <w:t xml:space="preserve"> inclu</w:t>
      </w:r>
      <w:r w:rsidR="009C6081">
        <w:t>sion of</w:t>
      </w:r>
      <w:r w:rsidR="003C58BC">
        <w:t xml:space="preserve"> dyads of employees and their supervisors.</w:t>
      </w:r>
    </w:p>
    <w:p w14:paraId="49246CCF" w14:textId="7CD12902" w:rsidR="00E53DFA" w:rsidRPr="00071A3A" w:rsidRDefault="00E53DFA" w:rsidP="001C1C48">
      <w:pPr>
        <w:spacing w:line="480" w:lineRule="auto"/>
        <w:ind w:firstLine="360"/>
        <w:rPr>
          <w:bCs/>
        </w:rPr>
      </w:pPr>
      <w:r w:rsidRPr="00071A3A">
        <w:rPr>
          <w:bCs/>
        </w:rPr>
        <w:t>On each Friday, p</w:t>
      </w:r>
      <w:r w:rsidR="00483F0A" w:rsidRPr="00071A3A">
        <w:rPr>
          <w:bCs/>
        </w:rPr>
        <w:t>articipants received a survey</w:t>
      </w:r>
      <w:r w:rsidRPr="00071A3A">
        <w:rPr>
          <w:bCs/>
        </w:rPr>
        <w:t xml:space="preserve"> via a system called Cvent </w:t>
      </w:r>
      <w:r w:rsidR="00483F0A" w:rsidRPr="00071A3A">
        <w:rPr>
          <w:bCs/>
        </w:rPr>
        <w:t xml:space="preserve">for </w:t>
      </w:r>
      <w:r w:rsidRPr="00071A3A">
        <w:rPr>
          <w:bCs/>
        </w:rPr>
        <w:t>a period of five</w:t>
      </w:r>
      <w:r w:rsidR="00483F0A" w:rsidRPr="00071A3A">
        <w:rPr>
          <w:bCs/>
        </w:rPr>
        <w:t xml:space="preserve"> consecutive weeks</w:t>
      </w:r>
      <w:r w:rsidRPr="00071A3A">
        <w:rPr>
          <w:bCs/>
        </w:rPr>
        <w:t>. Similar to the procedures in Study 1, surveys were conducted in Spanish and back-translation procedures were used to ensure consistency in meaning (Brislin, 1989).</w:t>
      </w:r>
      <w:r w:rsidR="008A7C9D" w:rsidRPr="008A7C9D">
        <w:t xml:space="preserve"> </w:t>
      </w:r>
      <w:r w:rsidR="008A7C9D" w:rsidRPr="00E25B16">
        <w:t xml:space="preserve">First, we assessed </w:t>
      </w:r>
      <w:r w:rsidR="008A7C9D">
        <w:t xml:space="preserve">the </w:t>
      </w:r>
      <w:r w:rsidR="008A7C9D" w:rsidRPr="00E25B16">
        <w:t>socio-demographic variables using a one-time general survey. One week later, we invited participants weekly for a period of four consecutive workweek</w:t>
      </w:r>
      <w:r w:rsidR="008A7C9D">
        <w:t>s.</w:t>
      </w:r>
    </w:p>
    <w:p w14:paraId="45399AC2" w14:textId="18D8FDAB" w:rsidR="00BC77FA" w:rsidRDefault="00E53DFA" w:rsidP="001C1C48">
      <w:pPr>
        <w:spacing w:line="480" w:lineRule="auto"/>
        <w:ind w:firstLine="360"/>
      </w:pPr>
      <w:r w:rsidRPr="00071A3A">
        <w:rPr>
          <w:bCs/>
        </w:rPr>
        <w:t xml:space="preserve">Our final sample </w:t>
      </w:r>
      <w:r w:rsidR="00D576F5" w:rsidRPr="00071A3A">
        <w:rPr>
          <w:bCs/>
        </w:rPr>
        <w:t xml:space="preserve">was </w:t>
      </w:r>
      <w:r w:rsidRPr="00071A3A">
        <w:rPr>
          <w:bCs/>
        </w:rPr>
        <w:t>composed of 237 employees</w:t>
      </w:r>
      <w:r w:rsidR="008A7C9D" w:rsidRPr="00071A3A">
        <w:rPr>
          <w:bCs/>
        </w:rPr>
        <w:t xml:space="preserve">. Among the respondents, 65% were </w:t>
      </w:r>
      <w:r w:rsidR="00196E81" w:rsidRPr="00071A3A">
        <w:rPr>
          <w:bCs/>
        </w:rPr>
        <w:t xml:space="preserve">women </w:t>
      </w:r>
      <w:r w:rsidR="008A7C9D" w:rsidRPr="00071A3A">
        <w:rPr>
          <w:bCs/>
        </w:rPr>
        <w:t>with an average age of 36.7 years old (</w:t>
      </w:r>
      <w:r w:rsidR="008A7C9D" w:rsidRPr="00E25B16">
        <w:t xml:space="preserve">SD = </w:t>
      </w:r>
      <w:r w:rsidR="008A7C9D">
        <w:t>8</w:t>
      </w:r>
      <w:r w:rsidR="008A7C9D" w:rsidRPr="00E25B16">
        <w:t>.</w:t>
      </w:r>
      <w:r w:rsidR="008A7C9D">
        <w:t xml:space="preserve">22). Similar to study 1, all participants </w:t>
      </w:r>
      <w:r w:rsidR="008A7C9D">
        <w:lastRenderedPageBreak/>
        <w:t>were highly educated and had full-time jobs. All of the participants</w:t>
      </w:r>
      <w:r w:rsidR="008A7C9D" w:rsidRPr="00E25B16">
        <w:t xml:space="preserve"> had a significant other (i.e., wife, husband</w:t>
      </w:r>
      <w:r w:rsidR="0062074F">
        <w:t>,</w:t>
      </w:r>
      <w:r w:rsidR="008A7C9D" w:rsidRPr="00E25B16">
        <w:t xml:space="preserve"> or partner) and on average, they have been together for </w:t>
      </w:r>
      <w:r w:rsidR="008A7C9D">
        <w:t>6</w:t>
      </w:r>
      <w:r w:rsidR="008A7C9D" w:rsidRPr="00E25B16">
        <w:t>.</w:t>
      </w:r>
      <w:r w:rsidR="008A7C9D">
        <w:t>2</w:t>
      </w:r>
      <w:r w:rsidR="008A7C9D" w:rsidRPr="00E25B16">
        <w:t xml:space="preserve"> years (s.d. = </w:t>
      </w:r>
      <w:r w:rsidR="008A7C9D">
        <w:t>2</w:t>
      </w:r>
      <w:r w:rsidR="008A7C9D" w:rsidRPr="00E25B16">
        <w:t>.</w:t>
      </w:r>
      <w:r w:rsidR="008A7C9D">
        <w:t>5</w:t>
      </w:r>
      <w:r w:rsidR="008A7C9D" w:rsidRPr="00E25B16">
        <w:t xml:space="preserve"> years).</w:t>
      </w:r>
      <w:r w:rsidR="008A7C9D">
        <w:t xml:space="preserve"> On average, they </w:t>
      </w:r>
      <w:r w:rsidR="009C6081">
        <w:t xml:space="preserve">had </w:t>
      </w:r>
      <w:r w:rsidR="008A7C9D">
        <w:t>worked for 3.6 years in their organization (SD = 6.78).</w:t>
      </w:r>
    </w:p>
    <w:p w14:paraId="041E2210" w14:textId="77777777" w:rsidR="008A7C9D" w:rsidRPr="00071A3A" w:rsidRDefault="008A7C9D" w:rsidP="001C1C48">
      <w:pPr>
        <w:spacing w:line="480" w:lineRule="auto"/>
        <w:rPr>
          <w:b/>
          <w:bCs/>
        </w:rPr>
      </w:pPr>
      <w:r w:rsidRPr="00071A3A">
        <w:rPr>
          <w:b/>
          <w:bCs/>
        </w:rPr>
        <w:t>Measures</w:t>
      </w:r>
    </w:p>
    <w:p w14:paraId="085557C4" w14:textId="0A5CC1E3" w:rsidR="00AD1C3F" w:rsidRDefault="00AD1C3F" w:rsidP="001C1C48">
      <w:pPr>
        <w:spacing w:line="480" w:lineRule="auto"/>
        <w:ind w:firstLine="360"/>
      </w:pPr>
      <w:r>
        <w:t>In line with the</w:t>
      </w:r>
      <w:r w:rsidRPr="00E25B16">
        <w:t xml:space="preserve"> weekly diary design</w:t>
      </w:r>
      <w:r>
        <w:t xml:space="preserve"> nature of our study</w:t>
      </w:r>
      <w:r w:rsidRPr="00E25B16">
        <w:t>, we (1) adjuste</w:t>
      </w:r>
      <w:r>
        <w:t xml:space="preserve">d the </w:t>
      </w:r>
      <w:r w:rsidRPr="00E25B16">
        <w:t>time frame</w:t>
      </w:r>
      <w:r>
        <w:t xml:space="preserve"> of the original scale items to refer to the weekly design</w:t>
      </w:r>
      <w:r w:rsidRPr="00E25B16">
        <w:t xml:space="preserve"> and (2) </w:t>
      </w:r>
      <w:r>
        <w:t xml:space="preserve">utilised </w:t>
      </w:r>
      <w:r w:rsidR="00D576F5">
        <w:t xml:space="preserve">a </w:t>
      </w:r>
      <w:r>
        <w:t xml:space="preserve">reduced number of items for each scale to eliminate the burden on our study participants </w:t>
      </w:r>
      <w:r w:rsidRPr="00E25B16">
        <w:t>(Ohly</w:t>
      </w:r>
      <w:r>
        <w:t xml:space="preserve"> et al., </w:t>
      </w:r>
      <w:r w:rsidR="00485A89">
        <w:t>2</w:t>
      </w:r>
      <w:r w:rsidRPr="00E25B16">
        <w:t>010). All items used seven-point Likert scales</w:t>
      </w:r>
      <w:r>
        <w:t xml:space="preserve"> and were evaluated by employees</w:t>
      </w:r>
      <w:r w:rsidR="00781520">
        <w:t xml:space="preserve"> (answer categories ranging from 1 = </w:t>
      </w:r>
      <w:r w:rsidR="00781520" w:rsidRPr="005C3A9E">
        <w:t>strongly disagree to 7 = strongly agree).</w:t>
      </w:r>
    </w:p>
    <w:p w14:paraId="7F6FEE83" w14:textId="0EE5C602" w:rsidR="008A7C9D" w:rsidRDefault="008A7C9D" w:rsidP="001C1C48">
      <w:pPr>
        <w:spacing w:line="480" w:lineRule="auto"/>
        <w:ind w:firstLine="360"/>
      </w:pPr>
      <w:r w:rsidRPr="00071A3A">
        <w:rPr>
          <w:bCs/>
          <w:i/>
        </w:rPr>
        <w:t>FSSBs.</w:t>
      </w:r>
      <w:r w:rsidRPr="00071A3A">
        <w:rPr>
          <w:bCs/>
        </w:rPr>
        <w:t xml:space="preserve"> We used four items from the scale developed by Hammer et al. (20</w:t>
      </w:r>
      <w:r w:rsidR="00915260" w:rsidRPr="00071A3A">
        <w:rPr>
          <w:bCs/>
        </w:rPr>
        <w:t>0</w:t>
      </w:r>
      <w:r w:rsidR="00375AC1" w:rsidRPr="00071A3A">
        <w:rPr>
          <w:bCs/>
        </w:rPr>
        <w:t>9</w:t>
      </w:r>
      <w:r w:rsidRPr="00071A3A">
        <w:rPr>
          <w:bCs/>
        </w:rPr>
        <w:t xml:space="preserve">). </w:t>
      </w:r>
      <w:r w:rsidR="00D576F5" w:rsidRPr="00071A3A">
        <w:rPr>
          <w:bCs/>
        </w:rPr>
        <w:t>The highest-loading</w:t>
      </w:r>
      <w:r w:rsidRPr="00071A3A">
        <w:rPr>
          <w:bCs/>
        </w:rPr>
        <w:t xml:space="preserve"> items were selected to capture the weekly variations. An example item i</w:t>
      </w:r>
      <w:r w:rsidR="009C6081" w:rsidRPr="00071A3A">
        <w:rPr>
          <w:bCs/>
        </w:rPr>
        <w:t>ncludes:</w:t>
      </w:r>
      <w:r w:rsidRPr="00071A3A">
        <w:rPr>
          <w:bCs/>
        </w:rPr>
        <w:t xml:space="preserve"> “This week, my supervisor </w:t>
      </w:r>
      <w:r w:rsidR="008E3DCF" w:rsidRPr="00071A3A">
        <w:rPr>
          <w:bCs/>
        </w:rPr>
        <w:t>wa</w:t>
      </w:r>
      <w:r w:rsidRPr="00071A3A">
        <w:rPr>
          <w:bCs/>
        </w:rPr>
        <w:t>s willing to listen to my problems in juggling work and non-work life” (</w:t>
      </w:r>
      <w:r w:rsidR="00C23217" w:rsidRPr="00071A3A">
        <w:rPr>
          <w:bCs/>
        </w:rPr>
        <w:t xml:space="preserve">averaged </w:t>
      </w:r>
      <w:r w:rsidR="00A10C83" w:rsidRPr="00071A3A">
        <w:rPr>
          <w:i/>
        </w:rPr>
        <w:t xml:space="preserve">a </w:t>
      </w:r>
      <w:r w:rsidR="00A10C83">
        <w:t xml:space="preserve">= </w:t>
      </w:r>
      <w:r w:rsidR="00D16184">
        <w:t>0.95</w:t>
      </w:r>
      <w:r>
        <w:t>)</w:t>
      </w:r>
      <w:r w:rsidRPr="00E25B16">
        <w:t>.</w:t>
      </w:r>
    </w:p>
    <w:p w14:paraId="713443BD" w14:textId="5DD0B09D" w:rsidR="0044235A" w:rsidRPr="0044235A" w:rsidRDefault="00B922E4" w:rsidP="001C1C48">
      <w:pPr>
        <w:spacing w:line="480" w:lineRule="auto"/>
        <w:ind w:firstLine="360"/>
      </w:pPr>
      <w:r w:rsidRPr="00071A3A">
        <w:rPr>
          <w:i/>
        </w:rPr>
        <w:t>E</w:t>
      </w:r>
      <w:r w:rsidR="0044235A" w:rsidRPr="00071A3A">
        <w:rPr>
          <w:i/>
        </w:rPr>
        <w:t xml:space="preserve">xhaustion. </w:t>
      </w:r>
      <w:r w:rsidR="008E3DCF" w:rsidRPr="00071A3A">
        <w:rPr>
          <w:iCs/>
        </w:rPr>
        <w:t>A f</w:t>
      </w:r>
      <w:r w:rsidR="0044235A" w:rsidRPr="00071A3A">
        <w:rPr>
          <w:iCs/>
        </w:rPr>
        <w:t>our</w:t>
      </w:r>
      <w:r w:rsidR="0044235A">
        <w:t xml:space="preserve">-item scale developed by Demerouti et al. (2010) was utilised to measure </w:t>
      </w:r>
      <w:r w:rsidR="00D576F5">
        <w:t>employees’</w:t>
      </w:r>
      <w:r w:rsidR="0044235A">
        <w:t xml:space="preserve"> emotional exhaustion.</w:t>
      </w:r>
      <w:r w:rsidR="0063511F">
        <w:t xml:space="preserve"> E</w:t>
      </w:r>
      <w:r w:rsidR="0044235A">
        <w:t>xample item</w:t>
      </w:r>
      <w:r w:rsidR="0063511F">
        <w:t>s</w:t>
      </w:r>
      <w:r w:rsidR="0044235A">
        <w:t xml:space="preserve"> </w:t>
      </w:r>
      <w:r w:rsidR="009C6081">
        <w:t>include</w:t>
      </w:r>
      <w:r w:rsidR="0044235A">
        <w:t>: “</w:t>
      </w:r>
      <w:r w:rsidR="0044235A" w:rsidRPr="0044235A">
        <w:t>This week, there were days when I felt tired before I arrived at work</w:t>
      </w:r>
      <w:r w:rsidR="003014EC">
        <w:t>;”</w:t>
      </w:r>
      <w:r w:rsidR="0063511F">
        <w:t xml:space="preserve"> and “</w:t>
      </w:r>
      <w:r w:rsidR="0063511F" w:rsidRPr="0063511F">
        <w:t>This week, I often fe</w:t>
      </w:r>
      <w:r w:rsidR="009C6081">
        <w:t>lt</w:t>
      </w:r>
      <w:r w:rsidR="0063511F" w:rsidRPr="0063511F">
        <w:t xml:space="preserve"> emotionally drained during my work</w:t>
      </w:r>
      <w:r w:rsidR="0063511F">
        <w:t>” (</w:t>
      </w:r>
      <w:r w:rsidR="00C23217" w:rsidRPr="00071A3A">
        <w:rPr>
          <w:bCs/>
        </w:rPr>
        <w:t>averaged</w:t>
      </w:r>
      <w:r w:rsidR="00C23217" w:rsidRPr="00071A3A">
        <w:rPr>
          <w:i/>
        </w:rPr>
        <w:t xml:space="preserve"> </w:t>
      </w:r>
      <w:r w:rsidR="0063511F" w:rsidRPr="00071A3A">
        <w:rPr>
          <w:i/>
        </w:rPr>
        <w:t xml:space="preserve">a </w:t>
      </w:r>
      <w:r w:rsidR="0063511F">
        <w:t>= 0.82).</w:t>
      </w:r>
    </w:p>
    <w:p w14:paraId="079788DF" w14:textId="013776A6" w:rsidR="00A10C83" w:rsidRPr="00071A3A" w:rsidRDefault="00A10C83" w:rsidP="001C1C48">
      <w:pPr>
        <w:spacing w:line="480" w:lineRule="auto"/>
        <w:ind w:firstLine="360"/>
        <w:rPr>
          <w:i/>
        </w:rPr>
      </w:pPr>
      <w:r w:rsidRPr="00071A3A">
        <w:rPr>
          <w:bCs/>
          <w:i/>
        </w:rPr>
        <w:t>Creativity</w:t>
      </w:r>
      <w:r w:rsidR="003C58BC" w:rsidRPr="00071A3A">
        <w:rPr>
          <w:bCs/>
          <w:i/>
        </w:rPr>
        <w:t xml:space="preserve"> (evaluated by supervisor</w:t>
      </w:r>
      <w:r w:rsidR="009C6081" w:rsidRPr="00071A3A">
        <w:rPr>
          <w:bCs/>
          <w:i/>
        </w:rPr>
        <w:t>s</w:t>
      </w:r>
      <w:r w:rsidR="003C58BC" w:rsidRPr="00071A3A">
        <w:rPr>
          <w:bCs/>
          <w:i/>
        </w:rPr>
        <w:t xml:space="preserve"> of subordinates)</w:t>
      </w:r>
      <w:r w:rsidRPr="00071A3A">
        <w:rPr>
          <w:bCs/>
          <w:i/>
        </w:rPr>
        <w:t xml:space="preserve">. </w:t>
      </w:r>
      <w:r w:rsidRPr="00071A3A">
        <w:rPr>
          <w:bCs/>
        </w:rPr>
        <w:t xml:space="preserve">We utilised </w:t>
      </w:r>
      <w:r w:rsidR="00D576F5" w:rsidRPr="00071A3A">
        <w:rPr>
          <w:bCs/>
        </w:rPr>
        <w:t xml:space="preserve">the </w:t>
      </w:r>
      <w:r w:rsidRPr="00071A3A">
        <w:rPr>
          <w:bCs/>
        </w:rPr>
        <w:t>highest</w:t>
      </w:r>
      <w:r w:rsidR="009C6081" w:rsidRPr="00071A3A">
        <w:rPr>
          <w:bCs/>
        </w:rPr>
        <w:t>-</w:t>
      </w:r>
      <w:r w:rsidRPr="00071A3A">
        <w:rPr>
          <w:bCs/>
        </w:rPr>
        <w:t xml:space="preserve">loading </w:t>
      </w:r>
      <w:r w:rsidR="0069667F" w:rsidRPr="00071A3A">
        <w:rPr>
          <w:bCs/>
        </w:rPr>
        <w:t xml:space="preserve">of </w:t>
      </w:r>
      <w:r w:rsidRPr="00071A3A">
        <w:rPr>
          <w:bCs/>
        </w:rPr>
        <w:t>three items of the scale developed by Oldham and Cummings (1996) to measure employee creativity. An example item i</w:t>
      </w:r>
      <w:r w:rsidR="009C6081" w:rsidRPr="00071A3A">
        <w:rPr>
          <w:bCs/>
        </w:rPr>
        <w:t>ncludes</w:t>
      </w:r>
      <w:r w:rsidRPr="00071A3A">
        <w:rPr>
          <w:bCs/>
        </w:rPr>
        <w:t xml:space="preserve">: “How original and practical was </w:t>
      </w:r>
      <w:r w:rsidR="00472D7D" w:rsidRPr="00071A3A">
        <w:rPr>
          <w:color w:val="000000"/>
        </w:rPr>
        <w:t>this subordinate’s</w:t>
      </w:r>
      <w:r w:rsidRPr="00071A3A">
        <w:rPr>
          <w:bCs/>
        </w:rPr>
        <w:t xml:space="preserve"> work this week?” (</w:t>
      </w:r>
      <w:r w:rsidR="00C23217" w:rsidRPr="00071A3A">
        <w:rPr>
          <w:bCs/>
        </w:rPr>
        <w:t>averaged</w:t>
      </w:r>
      <w:r w:rsidR="00C23217" w:rsidRPr="00071A3A">
        <w:rPr>
          <w:i/>
        </w:rPr>
        <w:t xml:space="preserve"> </w:t>
      </w:r>
      <w:r w:rsidR="00D16184" w:rsidRPr="00071A3A">
        <w:rPr>
          <w:i/>
        </w:rPr>
        <w:t xml:space="preserve">a </w:t>
      </w:r>
      <w:r w:rsidR="00D16184">
        <w:t>= 0.82)</w:t>
      </w:r>
    </w:p>
    <w:p w14:paraId="411C6B45" w14:textId="09855AA3" w:rsidR="008A7C9D" w:rsidRDefault="008A7C9D" w:rsidP="001C1C48">
      <w:pPr>
        <w:spacing w:line="480" w:lineRule="auto"/>
        <w:ind w:firstLine="360"/>
      </w:pPr>
      <w:r w:rsidRPr="00071A3A">
        <w:rPr>
          <w:i/>
        </w:rPr>
        <w:t xml:space="preserve">Sleep quality. </w:t>
      </w:r>
      <w:r w:rsidR="008E3DCF" w:rsidRPr="00071A3A">
        <w:rPr>
          <w:i/>
        </w:rPr>
        <w:t>The</w:t>
      </w:r>
      <w:r w:rsidR="008E3DCF" w:rsidRPr="00071A3A">
        <w:rPr>
          <w:iCs/>
        </w:rPr>
        <w:t xml:space="preserve"> t</w:t>
      </w:r>
      <w:r w:rsidR="006128AB" w:rsidRPr="00071A3A">
        <w:rPr>
          <w:iCs/>
        </w:rPr>
        <w:t>hree</w:t>
      </w:r>
      <w:r w:rsidR="006128AB">
        <w:t xml:space="preserve">-item scale developed by Yin et al. (2006) </w:t>
      </w:r>
      <w:r w:rsidR="00D576F5">
        <w:t>was</w:t>
      </w:r>
      <w:r w:rsidR="006128AB">
        <w:t xml:space="preserve"> used to measure the quality and effectiveness of sleep. An example item i</w:t>
      </w:r>
      <w:r w:rsidR="009C6081">
        <w:t>ncluded:</w:t>
      </w:r>
      <w:r w:rsidR="006128AB">
        <w:t xml:space="preserve"> “This week, I felt refreshed after </w:t>
      </w:r>
      <w:r w:rsidR="00F95397">
        <w:t>my sleep</w:t>
      </w:r>
      <w:r w:rsidR="006128AB">
        <w:t>” (</w:t>
      </w:r>
      <w:r w:rsidR="00C23217" w:rsidRPr="00071A3A">
        <w:rPr>
          <w:bCs/>
        </w:rPr>
        <w:t>averaged</w:t>
      </w:r>
      <w:r w:rsidR="00C23217" w:rsidRPr="00071A3A">
        <w:rPr>
          <w:i/>
        </w:rPr>
        <w:t xml:space="preserve"> </w:t>
      </w:r>
      <w:r w:rsidR="00D16184" w:rsidRPr="00071A3A">
        <w:rPr>
          <w:i/>
        </w:rPr>
        <w:t>a</w:t>
      </w:r>
      <w:r w:rsidR="00D16184">
        <w:t xml:space="preserve"> = 0.94).</w:t>
      </w:r>
    </w:p>
    <w:p w14:paraId="5CD30D2F" w14:textId="403F1889" w:rsidR="006128AB" w:rsidRDefault="006128AB" w:rsidP="001C1C48">
      <w:pPr>
        <w:spacing w:line="480" w:lineRule="auto"/>
        <w:ind w:firstLine="360"/>
      </w:pPr>
      <w:r w:rsidRPr="00071A3A">
        <w:rPr>
          <w:bCs/>
          <w:i/>
        </w:rPr>
        <w:lastRenderedPageBreak/>
        <w:t xml:space="preserve">Dyadic adjustment. </w:t>
      </w:r>
      <w:r w:rsidRPr="00071A3A">
        <w:rPr>
          <w:bCs/>
        </w:rPr>
        <w:t>We used the four-item of scale by Spanier (1976) to evaluate dyadic adjustment with one’s significant other at a weekly level. One example i</w:t>
      </w:r>
      <w:r w:rsidR="009C6081" w:rsidRPr="00071A3A">
        <w:rPr>
          <w:bCs/>
        </w:rPr>
        <w:t>ncluded:</w:t>
      </w:r>
      <w:r w:rsidRPr="00071A3A">
        <w:rPr>
          <w:bCs/>
        </w:rPr>
        <w:t xml:space="preserve"> “This week, we had a stimulating exchange of ideas” (</w:t>
      </w:r>
      <w:r w:rsidR="00C23217" w:rsidRPr="00071A3A">
        <w:rPr>
          <w:bCs/>
        </w:rPr>
        <w:t>averaged</w:t>
      </w:r>
      <w:r w:rsidR="00C23217" w:rsidRPr="00071A3A">
        <w:rPr>
          <w:i/>
        </w:rPr>
        <w:t xml:space="preserve"> </w:t>
      </w:r>
      <w:r w:rsidR="00D16184" w:rsidRPr="00071A3A">
        <w:rPr>
          <w:i/>
        </w:rPr>
        <w:t>a</w:t>
      </w:r>
      <w:r w:rsidR="00D16184">
        <w:t xml:space="preserve"> = 0.88).</w:t>
      </w:r>
    </w:p>
    <w:p w14:paraId="311B8E15" w14:textId="093660E7" w:rsidR="009C63D3" w:rsidRPr="009C63D3" w:rsidRDefault="00746F7A" w:rsidP="001C1C48">
      <w:pPr>
        <w:spacing w:line="480" w:lineRule="auto"/>
        <w:ind w:firstLine="360"/>
      </w:pPr>
      <w:r w:rsidRPr="00071A3A">
        <w:rPr>
          <w:bCs/>
          <w:i/>
        </w:rPr>
        <w:t xml:space="preserve">Controls. </w:t>
      </w:r>
      <w:r w:rsidR="00B87975" w:rsidRPr="00071A3A">
        <w:rPr>
          <w:bCs/>
        </w:rPr>
        <w:t xml:space="preserve">We controlled for perceived co-worker support (three items of the scale developed by </w:t>
      </w:r>
      <w:r w:rsidR="00B87975" w:rsidRPr="00071A3A">
        <w:rPr>
          <w:noProof/>
          <w:lang w:val="en-US"/>
        </w:rPr>
        <w:t>Van Veldhoven &amp; Meijman, 1994; one example i</w:t>
      </w:r>
      <w:r w:rsidR="009C6081" w:rsidRPr="00071A3A">
        <w:rPr>
          <w:noProof/>
          <w:lang w:val="en-US"/>
        </w:rPr>
        <w:t>ncluded</w:t>
      </w:r>
      <w:r w:rsidR="00B87975" w:rsidRPr="00071A3A">
        <w:rPr>
          <w:noProof/>
          <w:lang w:val="en-US"/>
        </w:rPr>
        <w:t>: “I felt valued by my colleagues”</w:t>
      </w:r>
      <w:r w:rsidR="00D16184">
        <w:t xml:space="preserve">; </w:t>
      </w:r>
      <w:r w:rsidR="00C23217" w:rsidRPr="00071A3A">
        <w:rPr>
          <w:bCs/>
        </w:rPr>
        <w:t>averaged</w:t>
      </w:r>
      <w:r w:rsidR="00C23217" w:rsidRPr="00071A3A">
        <w:rPr>
          <w:i/>
        </w:rPr>
        <w:t xml:space="preserve"> </w:t>
      </w:r>
      <w:r w:rsidR="00D16184" w:rsidRPr="00071A3A">
        <w:rPr>
          <w:i/>
        </w:rPr>
        <w:t>a</w:t>
      </w:r>
      <w:r w:rsidR="00D16184">
        <w:t xml:space="preserve"> = 0.83</w:t>
      </w:r>
      <w:r w:rsidR="00B87975" w:rsidRPr="00071A3A">
        <w:rPr>
          <w:noProof/>
          <w:lang w:val="en-US"/>
        </w:rPr>
        <w:t xml:space="preserve">). Furthermore, we controlled for </w:t>
      </w:r>
      <w:r w:rsidR="00D576F5" w:rsidRPr="00071A3A">
        <w:rPr>
          <w:noProof/>
          <w:lang w:val="en-US"/>
        </w:rPr>
        <w:t>employees’</w:t>
      </w:r>
      <w:r w:rsidR="00B87975" w:rsidRPr="00071A3A">
        <w:rPr>
          <w:noProof/>
          <w:lang w:val="en-US"/>
        </w:rPr>
        <w:t xml:space="preserve"> family motivation, as </w:t>
      </w:r>
      <w:r w:rsidR="00B922E4" w:rsidRPr="00071A3A">
        <w:rPr>
          <w:noProof/>
          <w:lang w:val="en-US"/>
        </w:rPr>
        <w:t>employees</w:t>
      </w:r>
      <w:r w:rsidR="00B87975" w:rsidRPr="00071A3A">
        <w:rPr>
          <w:noProof/>
          <w:lang w:val="en-US"/>
        </w:rPr>
        <w:t xml:space="preserve"> who are highly family</w:t>
      </w:r>
      <w:r w:rsidR="009C6081" w:rsidRPr="00071A3A">
        <w:rPr>
          <w:noProof/>
          <w:lang w:val="en-US"/>
        </w:rPr>
        <w:t>-</w:t>
      </w:r>
      <w:r w:rsidR="00B87975" w:rsidRPr="00071A3A">
        <w:rPr>
          <w:noProof/>
          <w:lang w:val="en-US"/>
        </w:rPr>
        <w:t xml:space="preserve">motivated </w:t>
      </w:r>
      <w:r w:rsidR="00D576F5" w:rsidRPr="00071A3A">
        <w:rPr>
          <w:noProof/>
          <w:lang w:val="en-US"/>
        </w:rPr>
        <w:t xml:space="preserve">may </w:t>
      </w:r>
      <w:r w:rsidR="00B87975" w:rsidRPr="00071A3A">
        <w:rPr>
          <w:noProof/>
          <w:lang w:val="en-US"/>
        </w:rPr>
        <w:t xml:space="preserve">report </w:t>
      </w:r>
      <w:r w:rsidR="00D576F5" w:rsidRPr="00071A3A">
        <w:rPr>
          <w:noProof/>
          <w:lang w:val="en-US"/>
        </w:rPr>
        <w:t xml:space="preserve">a </w:t>
      </w:r>
      <w:r w:rsidR="00B87975" w:rsidRPr="00071A3A">
        <w:rPr>
          <w:noProof/>
          <w:lang w:val="en-US"/>
        </w:rPr>
        <w:t>higher degree of FSSBs from their supervisors. We utilised the five-item scale developed by Menges et al. (201</w:t>
      </w:r>
      <w:r w:rsidR="0090659D" w:rsidRPr="00071A3A">
        <w:rPr>
          <w:noProof/>
          <w:lang w:val="en-US"/>
        </w:rPr>
        <w:t>6</w:t>
      </w:r>
      <w:r w:rsidR="00B87975" w:rsidRPr="00071A3A">
        <w:rPr>
          <w:noProof/>
          <w:lang w:val="en-US"/>
        </w:rPr>
        <w:t xml:space="preserve">) to measure it as a </w:t>
      </w:r>
      <w:r w:rsidR="0069667F" w:rsidRPr="00071A3A">
        <w:rPr>
          <w:noProof/>
          <w:lang w:val="en-US"/>
        </w:rPr>
        <w:t>trait variable</w:t>
      </w:r>
      <w:r w:rsidR="00B87975" w:rsidRPr="00071A3A">
        <w:rPr>
          <w:noProof/>
          <w:lang w:val="en-US"/>
        </w:rPr>
        <w:t xml:space="preserve"> in the first week before the weekly data collection began. One example i</w:t>
      </w:r>
      <w:r w:rsidR="009C6081" w:rsidRPr="00071A3A">
        <w:rPr>
          <w:noProof/>
          <w:lang w:val="en-US"/>
        </w:rPr>
        <w:t>ncluded:</w:t>
      </w:r>
      <w:r w:rsidR="00B87975" w:rsidRPr="00071A3A">
        <w:rPr>
          <w:noProof/>
          <w:lang w:val="en-US"/>
        </w:rPr>
        <w:t xml:space="preserve"> “I do this job because I care about supporting my family” (</w:t>
      </w:r>
      <w:r w:rsidR="00B87975" w:rsidRPr="00071A3A">
        <w:rPr>
          <w:i/>
        </w:rPr>
        <w:t>a</w:t>
      </w:r>
      <w:r w:rsidR="00B87975">
        <w:t xml:space="preserve"> = 0</w:t>
      </w:r>
      <w:r w:rsidR="00B87975" w:rsidRPr="00E25B16">
        <w:t>.</w:t>
      </w:r>
      <w:r w:rsidR="00B87975">
        <w:t>88). The direction and results of our analyses with control variables in the equation did not change, hence they were excluded from further analyses (Becker et al., 2015).</w:t>
      </w:r>
    </w:p>
    <w:p w14:paraId="04231AAD" w14:textId="5B0E61C5" w:rsidR="00D16184" w:rsidRDefault="003941E7" w:rsidP="001C1C48">
      <w:pPr>
        <w:spacing w:line="480" w:lineRule="auto"/>
      </w:pPr>
      <w:r w:rsidRPr="00071A3A">
        <w:rPr>
          <w:b/>
          <w:bCs/>
        </w:rPr>
        <w:t xml:space="preserve">Study 2: </w:t>
      </w:r>
      <w:r w:rsidR="008C2998" w:rsidRPr="00071A3A">
        <w:rPr>
          <w:b/>
          <w:bCs/>
        </w:rPr>
        <w:t>Results and Discussion</w:t>
      </w:r>
    </w:p>
    <w:p w14:paraId="797FF7C2" w14:textId="2DB2568F" w:rsidR="00AA01BE" w:rsidRPr="009C63D3" w:rsidRDefault="00AA01BE" w:rsidP="001C1C48">
      <w:pPr>
        <w:spacing w:line="480" w:lineRule="auto"/>
        <w:ind w:firstLine="360"/>
      </w:pPr>
      <w:r w:rsidRPr="00E25B16">
        <w:t xml:space="preserve">Table </w:t>
      </w:r>
      <w:r w:rsidR="00B47884">
        <w:t>3</w:t>
      </w:r>
      <w:r w:rsidRPr="00E25B16">
        <w:t xml:space="preserve"> reports the means, standard deviations, and correlations</w:t>
      </w:r>
      <w:r w:rsidR="00A371A3">
        <w:t xml:space="preserve"> </w:t>
      </w:r>
      <w:r w:rsidR="00A371A3" w:rsidRPr="00D75F08">
        <w:rPr>
          <w:lang w:val="en-US"/>
        </w:rPr>
        <w:t xml:space="preserve">for all variables in </w:t>
      </w:r>
      <w:r w:rsidR="00A371A3">
        <w:rPr>
          <w:lang w:val="en-US"/>
        </w:rPr>
        <w:t>study 2</w:t>
      </w:r>
      <w:r w:rsidRPr="00E25B16">
        <w:t xml:space="preserve">. </w:t>
      </w:r>
    </w:p>
    <w:p w14:paraId="258E3ADC" w14:textId="77777777" w:rsidR="006E0C50" w:rsidRDefault="006E0C50" w:rsidP="00071A3A">
      <w:pPr>
        <w:ind w:left="360"/>
        <w:jc w:val="center"/>
      </w:pPr>
      <w:r>
        <w:t>-----------------------------------------------</w:t>
      </w:r>
    </w:p>
    <w:p w14:paraId="5C74C0EB" w14:textId="240ADE71" w:rsidR="006E0C50" w:rsidRPr="00B739AD" w:rsidRDefault="006E0C50" w:rsidP="00071A3A">
      <w:pPr>
        <w:ind w:left="360"/>
        <w:jc w:val="center"/>
      </w:pPr>
      <w:r w:rsidRPr="00B739AD">
        <w:t xml:space="preserve">Insert </w:t>
      </w:r>
      <w:r w:rsidR="00FE4C72">
        <w:t>Table</w:t>
      </w:r>
      <w:r w:rsidRPr="00B739AD">
        <w:t xml:space="preserve"> </w:t>
      </w:r>
      <w:r w:rsidR="00E76095">
        <w:t>3</w:t>
      </w:r>
      <w:r w:rsidRPr="00B739AD">
        <w:t xml:space="preserve"> here</w:t>
      </w:r>
    </w:p>
    <w:p w14:paraId="0619DDA7" w14:textId="77777777" w:rsidR="006E0C50" w:rsidRPr="00B739AD" w:rsidRDefault="006E0C50" w:rsidP="00071A3A">
      <w:pPr>
        <w:ind w:left="360"/>
        <w:jc w:val="center"/>
      </w:pPr>
      <w:r w:rsidRPr="00B739AD">
        <w:t>------------------------------------------------</w:t>
      </w:r>
    </w:p>
    <w:p w14:paraId="67A482F2" w14:textId="77777777" w:rsidR="002439BA" w:rsidRPr="00E25B16" w:rsidRDefault="002439BA" w:rsidP="00071A3A">
      <w:pPr>
        <w:spacing w:line="480" w:lineRule="auto"/>
        <w:jc w:val="center"/>
      </w:pPr>
    </w:p>
    <w:p w14:paraId="323743DE" w14:textId="794296E1" w:rsidR="00D16184" w:rsidRDefault="0044235A" w:rsidP="001C1C48">
      <w:pPr>
        <w:spacing w:line="480" w:lineRule="auto"/>
        <w:ind w:firstLine="360"/>
      </w:pPr>
      <w:r>
        <w:t>Before proceeding with the analyses, w</w:t>
      </w:r>
      <w:r w:rsidRPr="00E25B16">
        <w:t>e c</w:t>
      </w:r>
      <w:r>
        <w:t>arried</w:t>
      </w:r>
      <w:r w:rsidRPr="00E25B16">
        <w:t xml:space="preserve"> </w:t>
      </w:r>
      <w:r w:rsidR="009572D9">
        <w:t xml:space="preserve">out </w:t>
      </w:r>
      <w:r w:rsidRPr="00E25B16">
        <w:t>a multilevel confirmatory factor analysis with f</w:t>
      </w:r>
      <w:r>
        <w:t>ive</w:t>
      </w:r>
      <w:r w:rsidRPr="00E25B16">
        <w:t xml:space="preserve"> latent factors (i.e., </w:t>
      </w:r>
      <w:r>
        <w:t>FSSBs</w:t>
      </w:r>
      <w:r w:rsidRPr="00E25B16">
        <w:t xml:space="preserve">, </w:t>
      </w:r>
      <w:r>
        <w:t>emotional exhaustion</w:t>
      </w:r>
      <w:r w:rsidRPr="00E25B16">
        <w:t>,</w:t>
      </w:r>
      <w:r>
        <w:t xml:space="preserve"> sleep quality, creativity and dyadic adjustment</w:t>
      </w:r>
      <w:r w:rsidRPr="00E25B16">
        <w:t>). Overall, the hypothesized f</w:t>
      </w:r>
      <w:r>
        <w:t>ive</w:t>
      </w:r>
      <w:r w:rsidRPr="00E25B16">
        <w:t>-factor model had a reasonable to good fit with our data</w:t>
      </w:r>
      <w:r w:rsidR="00B35C12">
        <w:t xml:space="preserve">, which is better </w:t>
      </w:r>
      <w:r w:rsidR="008C2998">
        <w:t xml:space="preserve">compared to </w:t>
      </w:r>
      <w:r w:rsidR="00C3372A">
        <w:t>four-factor</w:t>
      </w:r>
      <w:r w:rsidR="008C2998">
        <w:t xml:space="preserve"> models</w:t>
      </w:r>
      <w:r w:rsidRPr="00E25B16">
        <w:t xml:space="preserve"> (CFI = </w:t>
      </w:r>
      <w:r w:rsidR="00AD52D5">
        <w:t>0</w:t>
      </w:r>
      <w:r w:rsidRPr="00E25B16">
        <w:t>.9</w:t>
      </w:r>
      <w:r>
        <w:t>4</w:t>
      </w:r>
      <w:r w:rsidRPr="00E25B16">
        <w:t xml:space="preserve">, TLI = </w:t>
      </w:r>
      <w:r w:rsidR="00AD52D5">
        <w:t>0</w:t>
      </w:r>
      <w:r w:rsidRPr="00E25B16">
        <w:t>.9</w:t>
      </w:r>
      <w:r>
        <w:t>2</w:t>
      </w:r>
      <w:r w:rsidRPr="00E25B16">
        <w:t xml:space="preserve">, RMSEA = </w:t>
      </w:r>
      <w:r w:rsidR="00AD52D5">
        <w:t>0</w:t>
      </w:r>
      <w:r w:rsidRPr="00E25B16">
        <w:t>.0</w:t>
      </w:r>
      <w:r>
        <w:t>6</w:t>
      </w:r>
      <w:r w:rsidRPr="00E25B16">
        <w:t xml:space="preserve">, SRMRwithin = </w:t>
      </w:r>
      <w:r w:rsidR="00AD52D5">
        <w:t>0</w:t>
      </w:r>
      <w:r w:rsidRPr="00E25B16">
        <w:t>.1</w:t>
      </w:r>
      <w:r>
        <w:t>0</w:t>
      </w:r>
      <w:r w:rsidR="00B922E4">
        <w:t xml:space="preserve">, </w:t>
      </w:r>
      <w:r w:rsidR="00B922E4" w:rsidRPr="00E25B16">
        <w:t>SRMR</w:t>
      </w:r>
      <w:r w:rsidR="00B922E4">
        <w:t>between</w:t>
      </w:r>
      <w:r w:rsidR="00B922E4" w:rsidRPr="00E25B16">
        <w:t xml:space="preserve"> = </w:t>
      </w:r>
      <w:r w:rsidR="00AD52D5">
        <w:t>0</w:t>
      </w:r>
      <w:r w:rsidR="00B922E4" w:rsidRPr="00E25B16">
        <w:t>.</w:t>
      </w:r>
      <w:r w:rsidR="00B922E4">
        <w:t>08</w:t>
      </w:r>
      <w:r w:rsidRPr="00E25B16">
        <w:t xml:space="preserve">). </w:t>
      </w:r>
    </w:p>
    <w:p w14:paraId="7D5226C0" w14:textId="7FCBFEC4" w:rsidR="009C63D3" w:rsidRPr="00071A3A" w:rsidRDefault="00900626" w:rsidP="001C1C48">
      <w:pPr>
        <w:spacing w:line="480" w:lineRule="auto"/>
        <w:ind w:firstLine="360"/>
        <w:rPr>
          <w:color w:val="000000"/>
        </w:rPr>
      </w:pPr>
      <w:r w:rsidRPr="00071A3A">
        <w:rPr>
          <w:bCs/>
        </w:rPr>
        <w:t xml:space="preserve">Findings from our analyses revealed that FSSBs are negatively associated with exhaustion (γ = -0.14, p &lt; </w:t>
      </w:r>
      <w:r w:rsidR="00AD52D5">
        <w:rPr>
          <w:bCs/>
        </w:rPr>
        <w:t>0</w:t>
      </w:r>
      <w:r w:rsidRPr="00071A3A">
        <w:rPr>
          <w:bCs/>
        </w:rPr>
        <w:t>.001). In turn</w:t>
      </w:r>
      <w:r w:rsidR="007F5D92" w:rsidRPr="00071A3A">
        <w:rPr>
          <w:bCs/>
        </w:rPr>
        <w:t>,</w:t>
      </w:r>
      <w:r w:rsidRPr="00071A3A">
        <w:rPr>
          <w:bCs/>
        </w:rPr>
        <w:t xml:space="preserve"> and with FSSBs in the equation, exhaustion is negatively associated with creativity (γ = -0.14, p &lt; 0.001), sleep quality (γ = -0.45, p &lt; 0.001), and </w:t>
      </w:r>
      <w:r w:rsidRPr="00071A3A">
        <w:rPr>
          <w:bCs/>
        </w:rPr>
        <w:lastRenderedPageBreak/>
        <w:t>dyadic adjustment (γ = -0.09, p &lt; 0.01). Confidence intervals for these associations do not include the value of zero (95% CI = [0.009/0.037] for creativity, 95% CI = [0.040/0.096] for sleep quality, 95% CI = [0.003/0.026] for dyadic adjustment)</w:t>
      </w:r>
      <w:r w:rsidR="007F5D92" w:rsidRPr="00071A3A">
        <w:rPr>
          <w:bCs/>
        </w:rPr>
        <w:t>,</w:t>
      </w:r>
      <w:r w:rsidRPr="00071A3A">
        <w:rPr>
          <w:bCs/>
        </w:rPr>
        <w:t xml:space="preserve"> which supports hypothesis 5. The nature of the indirect association is partial, as FSSBs are still associated with employee outcomes positively when the mediator is in the equation (please see </w:t>
      </w:r>
      <w:r w:rsidR="00A06A42">
        <w:rPr>
          <w:bCs/>
        </w:rPr>
        <w:t>T</w:t>
      </w:r>
      <w:r w:rsidRPr="00071A3A">
        <w:rPr>
          <w:bCs/>
        </w:rPr>
        <w:t xml:space="preserve">able 4 </w:t>
      </w:r>
      <w:r w:rsidR="006167B2">
        <w:rPr>
          <w:bCs/>
        </w:rPr>
        <w:t xml:space="preserve">and </w:t>
      </w:r>
      <w:r w:rsidR="00A06A42">
        <w:rPr>
          <w:bCs/>
        </w:rPr>
        <w:t>F</w:t>
      </w:r>
      <w:r w:rsidR="006167B2">
        <w:rPr>
          <w:bCs/>
        </w:rPr>
        <w:t xml:space="preserve">igure 4 </w:t>
      </w:r>
      <w:r w:rsidRPr="00071A3A">
        <w:rPr>
          <w:bCs/>
        </w:rPr>
        <w:t>for details of the results).</w:t>
      </w:r>
    </w:p>
    <w:p w14:paraId="53E9AE77" w14:textId="77777777" w:rsidR="006E0C50" w:rsidRDefault="006E0C50" w:rsidP="00071A3A">
      <w:pPr>
        <w:ind w:left="360"/>
        <w:jc w:val="center"/>
      </w:pPr>
      <w:r>
        <w:t>-----------------------------------------------</w:t>
      </w:r>
    </w:p>
    <w:p w14:paraId="46D6F029" w14:textId="68F03377" w:rsidR="006E0C50" w:rsidRPr="00B739AD" w:rsidRDefault="006E0C50" w:rsidP="00071A3A">
      <w:pPr>
        <w:ind w:left="360"/>
        <w:jc w:val="center"/>
      </w:pPr>
      <w:r w:rsidRPr="00B739AD">
        <w:t xml:space="preserve">Insert </w:t>
      </w:r>
      <w:r>
        <w:t>Table</w:t>
      </w:r>
      <w:r w:rsidRPr="00B739AD">
        <w:t xml:space="preserve"> </w:t>
      </w:r>
      <w:r w:rsidR="00E76095">
        <w:t>4</w:t>
      </w:r>
      <w:r w:rsidRPr="00B739AD">
        <w:t xml:space="preserve"> here</w:t>
      </w:r>
    </w:p>
    <w:p w14:paraId="712EABF8" w14:textId="77777777" w:rsidR="006167B2" w:rsidRDefault="006167B2" w:rsidP="006167B2">
      <w:pPr>
        <w:ind w:left="360"/>
        <w:jc w:val="center"/>
      </w:pPr>
      <w:r>
        <w:t>-----------------------------------------------</w:t>
      </w:r>
    </w:p>
    <w:p w14:paraId="635CA16F" w14:textId="6CB26FE7" w:rsidR="006167B2" w:rsidRDefault="006167B2" w:rsidP="006167B2">
      <w:pPr>
        <w:ind w:left="360"/>
        <w:jc w:val="center"/>
      </w:pPr>
    </w:p>
    <w:p w14:paraId="147BEC8D" w14:textId="54E3E0C4" w:rsidR="006167B2" w:rsidRDefault="006167B2" w:rsidP="006167B2">
      <w:pPr>
        <w:ind w:left="360"/>
        <w:jc w:val="center"/>
      </w:pPr>
      <w:r>
        <w:t>-----------------------------------------------</w:t>
      </w:r>
    </w:p>
    <w:p w14:paraId="12C339DF" w14:textId="010FAB55" w:rsidR="006167B2" w:rsidRPr="00B739AD" w:rsidRDefault="006167B2" w:rsidP="006167B2">
      <w:pPr>
        <w:ind w:left="360"/>
        <w:jc w:val="center"/>
      </w:pPr>
      <w:r w:rsidRPr="00B739AD">
        <w:t xml:space="preserve">Insert Figure </w:t>
      </w:r>
      <w:r>
        <w:t>4</w:t>
      </w:r>
      <w:r w:rsidRPr="00B739AD">
        <w:t xml:space="preserve"> here</w:t>
      </w:r>
    </w:p>
    <w:p w14:paraId="668FEB9D" w14:textId="77777777" w:rsidR="006167B2" w:rsidRDefault="006167B2" w:rsidP="006167B2">
      <w:pPr>
        <w:ind w:left="360"/>
        <w:jc w:val="center"/>
      </w:pPr>
      <w:r w:rsidRPr="00B739AD">
        <w:t>------------------------------------------------</w:t>
      </w:r>
    </w:p>
    <w:p w14:paraId="04A30C54" w14:textId="77777777" w:rsidR="009C63D3" w:rsidRPr="002439BA" w:rsidRDefault="009C63D3" w:rsidP="00071A3A">
      <w:pPr>
        <w:spacing w:line="480" w:lineRule="auto"/>
        <w:rPr>
          <w:i/>
          <w:iCs/>
        </w:rPr>
      </w:pPr>
    </w:p>
    <w:p w14:paraId="7B6BD4AC" w14:textId="74E1F0F2" w:rsidR="0077716B" w:rsidRPr="00071A3A" w:rsidRDefault="00193A17" w:rsidP="006167B2">
      <w:pPr>
        <w:spacing w:line="480" w:lineRule="auto"/>
        <w:rPr>
          <w:b/>
          <w:bCs/>
        </w:rPr>
      </w:pPr>
      <w:r w:rsidRPr="00071A3A">
        <w:rPr>
          <w:b/>
          <w:bCs/>
        </w:rPr>
        <w:t xml:space="preserve">Overall </w:t>
      </w:r>
      <w:r w:rsidR="00BC77FA" w:rsidRPr="00071A3A">
        <w:rPr>
          <w:b/>
          <w:bCs/>
        </w:rPr>
        <w:t xml:space="preserve">Discussion </w:t>
      </w:r>
    </w:p>
    <w:p w14:paraId="6DF280DC" w14:textId="17722456" w:rsidR="00CE14DE" w:rsidRPr="00071A3A" w:rsidRDefault="0093221F" w:rsidP="001C1C48">
      <w:pPr>
        <w:spacing w:line="480" w:lineRule="auto"/>
        <w:ind w:firstLine="360"/>
        <w:rPr>
          <w:b/>
          <w:bCs/>
        </w:rPr>
      </w:pPr>
      <w:r>
        <w:t>Our contributions, which we discuss below, relate to research on FSSBs and the W-HR model.</w:t>
      </w:r>
    </w:p>
    <w:p w14:paraId="2408B703" w14:textId="003C1F53" w:rsidR="00E25B16" w:rsidRPr="00071A3A" w:rsidRDefault="0093221F" w:rsidP="001C1C48">
      <w:pPr>
        <w:spacing w:line="480" w:lineRule="auto"/>
        <w:rPr>
          <w:b/>
          <w:bCs/>
        </w:rPr>
      </w:pPr>
      <w:r w:rsidRPr="00071A3A">
        <w:rPr>
          <w:b/>
          <w:bCs/>
        </w:rPr>
        <w:t xml:space="preserve">Theoretical contributions </w:t>
      </w:r>
    </w:p>
    <w:p w14:paraId="259DEBEF" w14:textId="5C2C6111" w:rsidR="00842708" w:rsidRPr="00071A3A" w:rsidRDefault="00921F32" w:rsidP="001C1C48">
      <w:pPr>
        <w:spacing w:line="480" w:lineRule="auto"/>
        <w:ind w:firstLine="360"/>
        <w:rPr>
          <w:bCs/>
        </w:rPr>
      </w:pPr>
      <w:r w:rsidRPr="00071A3A">
        <w:rPr>
          <w:b/>
          <w:bCs/>
        </w:rPr>
        <w:t xml:space="preserve">Within-person changes in FSSBs. </w:t>
      </w:r>
      <w:r w:rsidRPr="00071A3A">
        <w:rPr>
          <w:bCs/>
        </w:rPr>
        <w:t>Across two diary studies, our findings demonstrate that FSSBs exhibited weekly variation, 25% in Study 1 and 32% in Study 2. This finding</w:t>
      </w:r>
      <w:r w:rsidR="004369DD" w:rsidRPr="00071A3A">
        <w:rPr>
          <w:bCs/>
        </w:rPr>
        <w:t xml:space="preserve"> </w:t>
      </w:r>
      <w:r w:rsidRPr="00071A3A">
        <w:rPr>
          <w:bCs/>
        </w:rPr>
        <w:t xml:space="preserve">underlines that these </w:t>
      </w:r>
      <w:r w:rsidR="0069667F" w:rsidRPr="00071A3A">
        <w:rPr>
          <w:bCs/>
        </w:rPr>
        <w:t>family-supportive</w:t>
      </w:r>
      <w:r w:rsidRPr="00071A3A">
        <w:rPr>
          <w:bCs/>
        </w:rPr>
        <w:t xml:space="preserve"> </w:t>
      </w:r>
      <w:r w:rsidR="001D590D" w:rsidRPr="00071A3A">
        <w:rPr>
          <w:bCs/>
        </w:rPr>
        <w:t>behaviour</w:t>
      </w:r>
      <w:r w:rsidRPr="00071A3A">
        <w:rPr>
          <w:bCs/>
        </w:rPr>
        <w:t xml:space="preserve">s do not have to be concrete and </w:t>
      </w:r>
      <w:r w:rsidR="00497D4B" w:rsidRPr="00071A3A">
        <w:rPr>
          <w:bCs/>
        </w:rPr>
        <w:t>sing</w:t>
      </w:r>
      <w:r w:rsidR="007F5D92" w:rsidRPr="00071A3A">
        <w:rPr>
          <w:bCs/>
        </w:rPr>
        <w:t>ular</w:t>
      </w:r>
      <w:r w:rsidRPr="00071A3A">
        <w:rPr>
          <w:bCs/>
        </w:rPr>
        <w:t xml:space="preserve"> events. On the contrary, their demonstration show</w:t>
      </w:r>
      <w:r w:rsidR="007F5D92" w:rsidRPr="00071A3A">
        <w:rPr>
          <w:bCs/>
        </w:rPr>
        <w:t>s</w:t>
      </w:r>
      <w:r w:rsidRPr="00071A3A">
        <w:rPr>
          <w:bCs/>
        </w:rPr>
        <w:t xml:space="preserve"> variation across weeks</w:t>
      </w:r>
      <w:r w:rsidR="007F5D92" w:rsidRPr="00071A3A">
        <w:rPr>
          <w:bCs/>
        </w:rPr>
        <w:t>,</w:t>
      </w:r>
      <w:r w:rsidRPr="00071A3A">
        <w:rPr>
          <w:bCs/>
        </w:rPr>
        <w:t xml:space="preserve"> which is important for theoretical and practical reasons. </w:t>
      </w:r>
      <w:r w:rsidR="00842708" w:rsidRPr="00071A3A">
        <w:rPr>
          <w:bCs/>
        </w:rPr>
        <w:t xml:space="preserve">Theoretically, </w:t>
      </w:r>
      <w:r w:rsidR="00842708">
        <w:t>p</w:t>
      </w:r>
      <w:r w:rsidR="00842708" w:rsidRPr="00E25B16">
        <w:t>revious research concerning FSSB</w:t>
      </w:r>
      <w:r w:rsidR="00C3372A">
        <w:t xml:space="preserve">s </w:t>
      </w:r>
      <w:r w:rsidR="00842708" w:rsidRPr="00E25B16">
        <w:t xml:space="preserve">has assumed that this construct is </w:t>
      </w:r>
      <w:r w:rsidR="0043673E" w:rsidRPr="00E25B16">
        <w:t>static and</w:t>
      </w:r>
      <w:r w:rsidR="009572D9">
        <w:t xml:space="preserve"> </w:t>
      </w:r>
      <w:r w:rsidR="00842708" w:rsidRPr="00E25B16">
        <w:t>does not change over relatively short periods (Hill, Morganson, Matthews, &amp; Atkinson, 2016</w:t>
      </w:r>
      <w:r w:rsidR="00DD7CEF">
        <w:t xml:space="preserve">; </w:t>
      </w:r>
      <w:r w:rsidR="00842708" w:rsidRPr="00E25B16">
        <w:t>Odle-Dusseau, Britt, &amp; Greene-Shortridge, 2012; Qing &amp; Zhou</w:t>
      </w:r>
      <w:r w:rsidR="00842708" w:rsidRPr="004837A7">
        <w:t>, 2017</w:t>
      </w:r>
      <w:r w:rsidR="00890B8C" w:rsidRPr="004837A7">
        <w:t>; Zhang, Jin &amp; Jiang, 2020</w:t>
      </w:r>
      <w:r w:rsidR="00842708" w:rsidRPr="004837A7">
        <w:t>). However, as discussed in a recent review on FSSB</w:t>
      </w:r>
      <w:r w:rsidR="00BE4AB4">
        <w:t>s</w:t>
      </w:r>
      <w:r w:rsidR="00842708" w:rsidRPr="004837A7">
        <w:t xml:space="preserve"> (Crain &amp; Stevens, 2018), these </w:t>
      </w:r>
      <w:r w:rsidR="001D590D" w:rsidRPr="004837A7">
        <w:t>behaviour</w:t>
      </w:r>
      <w:r w:rsidR="00842708" w:rsidRPr="004837A7">
        <w:t xml:space="preserve">s fluctuate at the within-person level, meaning that there are times when a supervisor is more likely to exhibit family supportiveness and times when a supervisor is less likely to exhibit such supportiveness. To capture this </w:t>
      </w:r>
      <w:r w:rsidR="00842708" w:rsidRPr="004837A7">
        <w:lastRenderedPageBreak/>
        <w:t>dynamism, we adopted a weekly diary design. In adopting such a design, in addition to our contribution to FSSB, our research adds to the most recent debates on the importance of "dynamism in the work-family research area"</w:t>
      </w:r>
      <w:r w:rsidR="00E714C2">
        <w:t xml:space="preserve">. </w:t>
      </w:r>
      <w:r w:rsidR="00842708">
        <w:t xml:space="preserve">From a practical point of view, weekly variation in FSSBs </w:t>
      </w:r>
      <w:r w:rsidR="00C3372A">
        <w:t>supports</w:t>
      </w:r>
      <w:r w:rsidR="00842708">
        <w:t xml:space="preserve"> the notion that </w:t>
      </w:r>
      <w:r w:rsidR="00C3372A">
        <w:t>weekly-level</w:t>
      </w:r>
      <w:r w:rsidR="00842708">
        <w:t xml:space="preserve"> HR interventions can be developed and implemented as </w:t>
      </w:r>
      <w:r w:rsidR="00C3372A">
        <w:t>low-cost</w:t>
      </w:r>
      <w:r w:rsidR="00842708">
        <w:t xml:space="preserve"> and informal ways to help employees reduce their exhaustion and enhance their outcomes in work and non-work domains.</w:t>
      </w:r>
    </w:p>
    <w:p w14:paraId="34339AAD" w14:textId="6C0C78AB" w:rsidR="00842708" w:rsidRPr="004837A7" w:rsidRDefault="00842708" w:rsidP="001C1C48">
      <w:pPr>
        <w:spacing w:line="480" w:lineRule="auto"/>
        <w:ind w:firstLine="360"/>
      </w:pPr>
      <w:r w:rsidRPr="00071A3A">
        <w:rPr>
          <w:b/>
          <w:bCs/>
        </w:rPr>
        <w:t>Antecedents of FSSBs.</w:t>
      </w:r>
      <w:r w:rsidR="003E781E" w:rsidRPr="00071A3A">
        <w:rPr>
          <w:b/>
          <w:bCs/>
        </w:rPr>
        <w:t xml:space="preserve"> </w:t>
      </w:r>
      <w:r w:rsidRPr="004837A7">
        <w:t xml:space="preserve">Our results go beyond the limited number of studies in previous research which mainly explore the antecedents of FSSB from three perspectives including family-related benefits and </w:t>
      </w:r>
      <w:r w:rsidR="003C77CA" w:rsidRPr="004837A7">
        <w:t xml:space="preserve">culture </w:t>
      </w:r>
      <w:r w:rsidRPr="004837A7">
        <w:t>(e.g., Mills</w:t>
      </w:r>
      <w:r w:rsidR="004369DD">
        <w:t xml:space="preserve"> </w:t>
      </w:r>
      <w:r w:rsidR="004369DD">
        <w:rPr>
          <w:lang w:eastAsia="zh-CN"/>
        </w:rPr>
        <w:t>et al.</w:t>
      </w:r>
      <w:r w:rsidRPr="004837A7">
        <w:t>, 2014</w:t>
      </w:r>
      <w:r w:rsidR="003C77CA" w:rsidRPr="004837A7">
        <w:t>; Rofcanin</w:t>
      </w:r>
      <w:r w:rsidR="004369DD">
        <w:t xml:space="preserve"> et al.</w:t>
      </w:r>
      <w:r w:rsidR="003C77CA" w:rsidRPr="004837A7">
        <w:t>, 2020</w:t>
      </w:r>
      <w:r w:rsidRPr="004837A7">
        <w:t xml:space="preserve">), supervisor </w:t>
      </w:r>
      <w:r w:rsidR="001D590D" w:rsidRPr="004837A7">
        <w:t>behaviour</w:t>
      </w:r>
      <w:r w:rsidRPr="004837A7">
        <w:t>s (e.g., Pan, 2018) and characteristic of the supervisor-employee relationships (e.g., Huffman &amp; Olson, 2017</w:t>
      </w:r>
      <w:r w:rsidR="00BB2AC8" w:rsidRPr="004837A7">
        <w:t>; Rofcanin</w:t>
      </w:r>
      <w:r w:rsidR="004369DD">
        <w:t xml:space="preserve"> et al., </w:t>
      </w:r>
      <w:r w:rsidR="00BB2AC8" w:rsidRPr="004837A7">
        <w:t>2021</w:t>
      </w:r>
      <w:r w:rsidRPr="004837A7">
        <w:t>). Moreover, our results add to a body of research that explores the impact of supervisor</w:t>
      </w:r>
      <w:r w:rsidR="007F5D92">
        <w:t>s</w:t>
      </w:r>
      <w:r w:rsidRPr="004837A7">
        <w:t>' family lives on employee</w:t>
      </w:r>
      <w:r w:rsidR="007F5D92">
        <w:t>s</w:t>
      </w:r>
      <w:r w:rsidRPr="004837A7">
        <w:t>' work lives: The findings in Ten Brumme</w:t>
      </w:r>
      <w:r w:rsidR="00F9447A" w:rsidRPr="004837A7">
        <w:t>l</w:t>
      </w:r>
      <w:r w:rsidRPr="004837A7">
        <w:t xml:space="preserve">huis et al. (2014) reveal that work-family enrichment of </w:t>
      </w:r>
      <w:r w:rsidR="0043673E" w:rsidRPr="004837A7">
        <w:t>supervisors’</w:t>
      </w:r>
      <w:r w:rsidRPr="004837A7">
        <w:t xml:space="preserve"> trickle </w:t>
      </w:r>
      <w:r w:rsidR="007F5D92">
        <w:t>down</w:t>
      </w:r>
      <w:r w:rsidR="007F5D92" w:rsidRPr="004837A7">
        <w:t xml:space="preserve"> </w:t>
      </w:r>
      <w:r w:rsidR="007F5D92">
        <w:t>to</w:t>
      </w:r>
      <w:r w:rsidRPr="004837A7">
        <w:t xml:space="preserve"> employees' work engagement, emphasizing the importance of </w:t>
      </w:r>
      <w:r w:rsidR="007F5D92">
        <w:t xml:space="preserve">the </w:t>
      </w:r>
      <w:r w:rsidRPr="004837A7">
        <w:t xml:space="preserve">support one receives at home. </w:t>
      </w:r>
      <w:r w:rsidR="00E606BE" w:rsidRPr="004837A7">
        <w:t>Furthermore, Rofcanin</w:t>
      </w:r>
      <w:r w:rsidR="007F5D92">
        <w:t xml:space="preserve"> et al</w:t>
      </w:r>
      <w:r w:rsidR="00BE4AB4">
        <w:t>.,</w:t>
      </w:r>
      <w:r w:rsidR="00E606BE" w:rsidRPr="004837A7">
        <w:t xml:space="preserve"> (2020) have demonstrated that the presence of a supportive and resourceful work environment (POS) enables FSSBs, while time pressure and negative consequences of using </w:t>
      </w:r>
      <w:r w:rsidR="00C3372A">
        <w:t>work-family</w:t>
      </w:r>
      <w:r w:rsidR="00E606BE" w:rsidRPr="004837A7">
        <w:t xml:space="preserve"> initiatives prevent the display of FSSBs</w:t>
      </w:r>
      <w:r w:rsidR="0052009C">
        <w:t xml:space="preserve">. </w:t>
      </w:r>
      <w:r w:rsidRPr="004837A7">
        <w:t>Understanding the antecedents to FSSB</w:t>
      </w:r>
      <w:r w:rsidR="00BE4AB4">
        <w:t>s</w:t>
      </w:r>
      <w:r w:rsidRPr="004837A7">
        <w:t xml:space="preserve"> is vital</w:t>
      </w:r>
      <w:r w:rsidR="007F5D92">
        <w:t xml:space="preserve">, as </w:t>
      </w:r>
      <w:r w:rsidRPr="004837A7">
        <w:t xml:space="preserve">these </w:t>
      </w:r>
      <w:r w:rsidR="001D590D" w:rsidRPr="004837A7">
        <w:t>behaviour</w:t>
      </w:r>
      <w:r w:rsidRPr="004837A7">
        <w:t xml:space="preserve">s are informal and </w:t>
      </w:r>
      <w:r w:rsidR="007F5D92">
        <w:t xml:space="preserve">constitute </w:t>
      </w:r>
      <w:r w:rsidRPr="004837A7">
        <w:t>relatively less costly ways of implementing HR practices (Hammer et al., 2009</w:t>
      </w:r>
      <w:r w:rsidR="00991A9E" w:rsidRPr="004837A7">
        <w:t>; Rofcanin, Las Heras &amp; Bakker, 2017; Marescaux</w:t>
      </w:r>
      <w:r w:rsidR="007F5D92">
        <w:t xml:space="preserve"> et al.</w:t>
      </w:r>
      <w:r w:rsidR="00991A9E" w:rsidRPr="00071A3A">
        <w:rPr>
          <w:strike/>
        </w:rPr>
        <w:t>,</w:t>
      </w:r>
      <w:r w:rsidR="00991A9E" w:rsidRPr="004837A7">
        <w:t xml:space="preserve"> 2020</w:t>
      </w:r>
      <w:r w:rsidRPr="004837A7">
        <w:t xml:space="preserve">). </w:t>
      </w:r>
    </w:p>
    <w:p w14:paraId="4344718F" w14:textId="7950EC08" w:rsidR="00581F1F" w:rsidRPr="00071A3A" w:rsidRDefault="00842708" w:rsidP="001C1C48">
      <w:pPr>
        <w:spacing w:line="480" w:lineRule="auto"/>
        <w:ind w:firstLine="360"/>
        <w:rPr>
          <w:color w:val="FF0000"/>
        </w:rPr>
      </w:pPr>
      <w:r w:rsidRPr="00071A3A">
        <w:rPr>
          <w:b/>
        </w:rPr>
        <w:t xml:space="preserve">Consequences of FSSBs. </w:t>
      </w:r>
      <w:r w:rsidR="004E5CB0" w:rsidRPr="00071A3A">
        <w:rPr>
          <w:bCs/>
        </w:rPr>
        <w:t>Employee outcomes</w:t>
      </w:r>
      <w:r w:rsidR="00830248" w:rsidRPr="00071A3A">
        <w:rPr>
          <w:bCs/>
        </w:rPr>
        <w:t xml:space="preserve"> </w:t>
      </w:r>
      <w:r w:rsidR="007F5D92" w:rsidRPr="00071A3A">
        <w:rPr>
          <w:bCs/>
        </w:rPr>
        <w:t>stemming from</w:t>
      </w:r>
      <w:r w:rsidR="00830248" w:rsidRPr="00071A3A">
        <w:rPr>
          <w:bCs/>
        </w:rPr>
        <w:t xml:space="preserve"> FSSBs continue to be a key topic within the literature.</w:t>
      </w:r>
      <w:r w:rsidR="004E5CB0" w:rsidRPr="00071A3A">
        <w:rPr>
          <w:bCs/>
        </w:rPr>
        <w:t xml:space="preserve"> Research to date </w:t>
      </w:r>
      <w:r w:rsidR="00930024" w:rsidRPr="00071A3A">
        <w:rPr>
          <w:bCs/>
        </w:rPr>
        <w:t>has</w:t>
      </w:r>
      <w:r w:rsidR="004E5CB0" w:rsidRPr="00071A3A">
        <w:rPr>
          <w:bCs/>
        </w:rPr>
        <w:t xml:space="preserve"> </w:t>
      </w:r>
      <w:r w:rsidR="00B80BB2" w:rsidRPr="00071A3A">
        <w:rPr>
          <w:bCs/>
        </w:rPr>
        <w:t>put emphasis on both the work (</w:t>
      </w:r>
      <w:r w:rsidR="00400B69" w:rsidRPr="00071A3A">
        <w:rPr>
          <w:bCs/>
        </w:rPr>
        <w:t>Rofcanin</w:t>
      </w:r>
      <w:r w:rsidR="007F5D92" w:rsidRPr="00071A3A">
        <w:rPr>
          <w:bCs/>
        </w:rPr>
        <w:t xml:space="preserve"> et al</w:t>
      </w:r>
      <w:r w:rsidR="00400B69" w:rsidRPr="00071A3A">
        <w:rPr>
          <w:bCs/>
        </w:rPr>
        <w:t>, 2018; Marescaux</w:t>
      </w:r>
      <w:r w:rsidR="007F5D92" w:rsidRPr="00071A3A">
        <w:rPr>
          <w:bCs/>
        </w:rPr>
        <w:t xml:space="preserve"> et al.</w:t>
      </w:r>
      <w:r w:rsidR="00400B69" w:rsidRPr="00071A3A">
        <w:rPr>
          <w:bCs/>
          <w:strike/>
        </w:rPr>
        <w:t>,</w:t>
      </w:r>
      <w:r w:rsidR="00400B69" w:rsidRPr="00071A3A">
        <w:rPr>
          <w:bCs/>
        </w:rPr>
        <w:t xml:space="preserve"> 2020; Han &amp; McLean, 2020</w:t>
      </w:r>
      <w:r w:rsidR="00B80BB2" w:rsidRPr="004837A7">
        <w:t xml:space="preserve">) and non-work </w:t>
      </w:r>
      <w:r w:rsidR="00400B69" w:rsidRPr="004837A7">
        <w:t xml:space="preserve">(e.g., </w:t>
      </w:r>
      <w:r w:rsidR="00E714C2">
        <w:t xml:space="preserve">Yu, </w:t>
      </w:r>
      <w:r w:rsidR="00400B69" w:rsidRPr="004837A7">
        <w:t>Pitchler, Russo &amp; Hammer, 202</w:t>
      </w:r>
      <w:r w:rsidR="00E714C2">
        <w:t>2</w:t>
      </w:r>
      <w:r w:rsidR="00400B69" w:rsidRPr="004837A7">
        <w:t>; Rofcanin</w:t>
      </w:r>
      <w:r w:rsidR="007F5D92">
        <w:t xml:space="preserve"> et al.</w:t>
      </w:r>
      <w:r w:rsidR="00400B69" w:rsidRPr="00071A3A">
        <w:rPr>
          <w:strike/>
        </w:rPr>
        <w:t>,</w:t>
      </w:r>
      <w:r w:rsidR="00400B69" w:rsidRPr="004837A7">
        <w:t xml:space="preserve"> 2020)</w:t>
      </w:r>
      <w:r w:rsidR="00B80BB2" w:rsidRPr="004837A7">
        <w:t xml:space="preserve"> </w:t>
      </w:r>
      <w:r w:rsidR="00824573" w:rsidRPr="004837A7">
        <w:t xml:space="preserve">outcomes </w:t>
      </w:r>
      <w:r w:rsidR="00B80BB2" w:rsidRPr="004837A7">
        <w:t xml:space="preserve">of FSSBs. </w:t>
      </w:r>
    </w:p>
    <w:p w14:paraId="75376A6D" w14:textId="54481843" w:rsidR="00842708" w:rsidRPr="008C21F8" w:rsidRDefault="00842708" w:rsidP="001C1C48">
      <w:pPr>
        <w:spacing w:line="480" w:lineRule="auto"/>
        <w:ind w:firstLine="360"/>
      </w:pPr>
      <w:r w:rsidRPr="004837A7">
        <w:lastRenderedPageBreak/>
        <w:t xml:space="preserve">Regarding </w:t>
      </w:r>
      <w:r w:rsidR="00E2721A">
        <w:t>production deviance</w:t>
      </w:r>
      <w:r w:rsidRPr="004837A7">
        <w:t xml:space="preserve">, our findings </w:t>
      </w:r>
      <w:r w:rsidR="002811E7">
        <w:t xml:space="preserve">go </w:t>
      </w:r>
      <w:r w:rsidRPr="004837A7">
        <w:t>beyond prior research on the stimulating role of FSSB on beneficial work</w:t>
      </w:r>
      <w:r w:rsidR="00581F1F">
        <w:t>place</w:t>
      </w:r>
      <w:r w:rsidRPr="004837A7">
        <w:t xml:space="preserve"> outcomes (e.g., performance; Rofcanin et al., 2018</w:t>
      </w:r>
      <w:r w:rsidR="00824573" w:rsidRPr="004837A7">
        <w:t xml:space="preserve">; intrinsic motivation; Marescaux et al., 2020; career satisfaction; </w:t>
      </w:r>
      <w:r w:rsidR="00BB5FC3">
        <w:t xml:space="preserve">Wei, </w:t>
      </w:r>
      <w:r w:rsidR="00824573" w:rsidRPr="004837A7">
        <w:t>Chen</w:t>
      </w:r>
      <w:r w:rsidR="00BB5FC3">
        <w:t>, Zhang</w:t>
      </w:r>
      <w:r w:rsidR="00824573" w:rsidRPr="004837A7">
        <w:t xml:space="preserve"> &amp; Zhang, 2020</w:t>
      </w:r>
      <w:r w:rsidRPr="004837A7">
        <w:t>) and add to the limited emerging literature on the impact of FSSB in alleviating detrimental work outcomes (e.g., decreasing turnover intentions; Bagger &amp; Li, 2014</w:t>
      </w:r>
      <w:r w:rsidR="00824573" w:rsidRPr="004837A7">
        <w:t>; Zhang, Jin &amp; Jiang, 2020</w:t>
      </w:r>
      <w:r w:rsidRPr="004837A7">
        <w:t xml:space="preserve">). </w:t>
      </w:r>
      <w:r w:rsidR="00315775" w:rsidRPr="008C21F8">
        <w:t>Deviant behaviours are often examined according to the target of the behaviour, thus, they could be targeted at the organisation (i.e.</w:t>
      </w:r>
      <w:r w:rsidR="00581F1F">
        <w:t>,</w:t>
      </w:r>
      <w:r w:rsidR="00315775" w:rsidRPr="008C21F8">
        <w:t xml:space="preserve"> organizational deviance) or targeted at individuals (i.e.</w:t>
      </w:r>
      <w:r w:rsidR="00581F1F">
        <w:t>,</w:t>
      </w:r>
      <w:r w:rsidR="00315775" w:rsidRPr="008C21F8">
        <w:t xml:space="preserve"> interpersonal deviance). In this research, we opted to use a specific sub-factor of deviant behaviours in the shape of production deviance. The decision to focus on production deviance in this research has been nested in the assumptions that employees often engage in production deviance to deal with the demands of the organisation, often in the shape of stress, and in order to conserve the resources available to them to deal with stress </w:t>
      </w:r>
      <w:r w:rsidR="00581F1F">
        <w:t>within</w:t>
      </w:r>
      <w:r w:rsidR="00315775" w:rsidRPr="008C21F8">
        <w:t xml:space="preserve"> the work domain. </w:t>
      </w:r>
      <w:r w:rsidRPr="008C21F8">
        <w:t xml:space="preserve">There are high economic costs (e.g., arising from </w:t>
      </w:r>
      <w:r w:rsidR="00315775" w:rsidRPr="008C21F8">
        <w:t>being late to work, not taking responsibility and tasks</w:t>
      </w:r>
      <w:r w:rsidRPr="008C21F8">
        <w:t xml:space="preserve">) associated with employees' </w:t>
      </w:r>
      <w:r w:rsidR="00E2721A" w:rsidRPr="008C21F8">
        <w:t>production deviance</w:t>
      </w:r>
      <w:r w:rsidRPr="008C21F8">
        <w:t xml:space="preserve"> (Bennett &amp; Robinson, 2003</w:t>
      </w:r>
      <w:r w:rsidR="00F939AD" w:rsidRPr="008C21F8">
        <w:t>; Robinson, Persich, Stawicki &amp; Krishakumar, 2019</w:t>
      </w:r>
      <w:r w:rsidRPr="008C21F8">
        <w:t xml:space="preserve">). Consequently, identifying buffering mechanisms of </w:t>
      </w:r>
      <w:r w:rsidR="00E2721A" w:rsidRPr="008C21F8">
        <w:t>production deviance</w:t>
      </w:r>
      <w:r w:rsidRPr="008C21F8">
        <w:t xml:space="preserve"> is important to give insight </w:t>
      </w:r>
      <w:r w:rsidR="00C3372A" w:rsidRPr="008C21F8">
        <w:t>into</w:t>
      </w:r>
      <w:r w:rsidRPr="008C21F8">
        <w:t xml:space="preserve"> how to mitigate these negative work </w:t>
      </w:r>
      <w:r w:rsidR="001D590D" w:rsidRPr="008C21F8">
        <w:t>behaviour</w:t>
      </w:r>
      <w:r w:rsidRPr="008C21F8">
        <w:t xml:space="preserve">s. Our study supports that </w:t>
      </w:r>
      <w:r w:rsidR="00C3372A" w:rsidRPr="008C21F8">
        <w:t>supervisors'</w:t>
      </w:r>
      <w:r w:rsidRPr="008C21F8">
        <w:t xml:space="preserve"> spousal support</w:t>
      </w:r>
      <w:r w:rsidR="00103E27" w:rsidRPr="008C21F8">
        <w:t xml:space="preserve"> </w:t>
      </w:r>
      <w:r w:rsidRPr="008C21F8">
        <w:t>increases the employee</w:t>
      </w:r>
      <w:r w:rsidR="00581F1F">
        <w:t>s</w:t>
      </w:r>
      <w:r w:rsidRPr="008C21F8">
        <w:t>' perception</w:t>
      </w:r>
      <w:r w:rsidR="00581F1F">
        <w:t>s</w:t>
      </w:r>
      <w:r w:rsidRPr="008C21F8">
        <w:t xml:space="preserve"> of FSSB and, in turn, lowers </w:t>
      </w:r>
      <w:r w:rsidR="00605590" w:rsidRPr="008C21F8">
        <w:t xml:space="preserve">their </w:t>
      </w:r>
      <w:r w:rsidR="00E2721A" w:rsidRPr="008C21F8">
        <w:t>production deviance</w:t>
      </w:r>
      <w:r w:rsidR="0052009C">
        <w:t>.</w:t>
      </w:r>
    </w:p>
    <w:p w14:paraId="4A247F60" w14:textId="7620FD49" w:rsidR="00842708" w:rsidRPr="004837A7" w:rsidRDefault="00BA4E49" w:rsidP="001C1C48">
      <w:pPr>
        <w:spacing w:line="480" w:lineRule="auto"/>
        <w:ind w:firstLine="360"/>
      </w:pPr>
      <w:r w:rsidRPr="004837A7">
        <w:t xml:space="preserve">Furthermore, our findings demonstrate that employees </w:t>
      </w:r>
      <w:r w:rsidR="00581F1F">
        <w:t>who benefit from</w:t>
      </w:r>
      <w:r w:rsidRPr="004837A7">
        <w:t xml:space="preserve"> FSSBs show </w:t>
      </w:r>
      <w:r w:rsidR="00C3372A">
        <w:t xml:space="preserve">a </w:t>
      </w:r>
      <w:r w:rsidRPr="004837A7">
        <w:t xml:space="preserve">lower extent of exhaustion and engage in </w:t>
      </w:r>
      <w:r w:rsidR="00C3372A">
        <w:t>desired</w:t>
      </w:r>
      <w:r w:rsidRPr="004837A7">
        <w:t xml:space="preserve"> </w:t>
      </w:r>
      <w:r w:rsidR="001D590D" w:rsidRPr="004837A7">
        <w:t>behaviour</w:t>
      </w:r>
      <w:r w:rsidRPr="004837A7">
        <w:t xml:space="preserve">s </w:t>
      </w:r>
      <w:r w:rsidR="00581F1F">
        <w:t>at</w:t>
      </w:r>
      <w:r w:rsidRPr="004837A7">
        <w:t xml:space="preserve"> work (creativity) and non-work domains</w:t>
      </w:r>
      <w:r w:rsidR="00581F1F">
        <w:t xml:space="preserve"> </w:t>
      </w:r>
      <w:r w:rsidR="00581F1F" w:rsidRPr="004837A7">
        <w:t>(sleep quality and dyadic adjustment)</w:t>
      </w:r>
      <w:r w:rsidRPr="004837A7">
        <w:t>. Regarding creativity, research has argued that FSSBs help employees juggle home demands effectively and enable them to free their minds of the stress associated with work and home lives</w:t>
      </w:r>
      <w:r w:rsidR="00F939AD" w:rsidRPr="004837A7">
        <w:t>.</w:t>
      </w:r>
      <w:r w:rsidRPr="004837A7">
        <w:t xml:space="preserve"> This body of research has mainly explored work performance</w:t>
      </w:r>
      <w:r w:rsidR="00F939AD" w:rsidRPr="004837A7">
        <w:t xml:space="preserve"> (Odle-Dusseau</w:t>
      </w:r>
      <w:r w:rsidR="00581F1F">
        <w:t xml:space="preserve"> et al</w:t>
      </w:r>
      <w:r w:rsidR="00F939AD" w:rsidRPr="00071A3A">
        <w:rPr>
          <w:strike/>
        </w:rPr>
        <w:t>,</w:t>
      </w:r>
      <w:r w:rsidR="00F939AD" w:rsidRPr="004837A7">
        <w:t xml:space="preserve"> 2016)</w:t>
      </w:r>
      <w:r w:rsidRPr="004837A7">
        <w:t>, job satisfaction</w:t>
      </w:r>
      <w:r w:rsidR="00150257" w:rsidRPr="004837A7">
        <w:t xml:space="preserve"> (Crain &amp; </w:t>
      </w:r>
      <w:r w:rsidR="00150257" w:rsidRPr="004837A7">
        <w:lastRenderedPageBreak/>
        <w:t>Stevens, 2018)</w:t>
      </w:r>
      <w:r w:rsidRPr="004837A7">
        <w:t xml:space="preserve">, affective commitment </w:t>
      </w:r>
      <w:r w:rsidR="00AB1463" w:rsidRPr="004837A7">
        <w:t xml:space="preserve">(Mills, Matthews &amp; Henning, 2014) </w:t>
      </w:r>
      <w:r w:rsidRPr="004837A7">
        <w:t>and sources of motivation</w:t>
      </w:r>
      <w:r w:rsidR="00AB1463" w:rsidRPr="004837A7">
        <w:t xml:space="preserve"> (Rofcanin</w:t>
      </w:r>
      <w:r w:rsidR="00581F1F">
        <w:t xml:space="preserve"> et al.,</w:t>
      </w:r>
      <w:r w:rsidR="00AB1463" w:rsidRPr="004837A7">
        <w:t xml:space="preserve"> 2018)</w:t>
      </w:r>
      <w:r w:rsidRPr="004837A7">
        <w:t xml:space="preserve"> as indicators of the effectiveness of FSSBs in </w:t>
      </w:r>
      <w:r w:rsidR="00581F1F">
        <w:t xml:space="preserve">the </w:t>
      </w:r>
      <w:r w:rsidRPr="004837A7">
        <w:t xml:space="preserve">work domain (Crain &amp; Stevens, 2018). We contribute to this nascent body of research by exploring creativity as a valued employee outcome which brings </w:t>
      </w:r>
      <w:r w:rsidR="00581F1F">
        <w:t xml:space="preserve">a </w:t>
      </w:r>
      <w:r w:rsidRPr="004837A7">
        <w:t xml:space="preserve">competitive advantage and distinctiveness to organizations that employ </w:t>
      </w:r>
      <w:r w:rsidR="00C3372A">
        <w:t xml:space="preserve">a </w:t>
      </w:r>
      <w:r w:rsidRPr="004837A7">
        <w:t xml:space="preserve">creative workforce. </w:t>
      </w:r>
      <w:r w:rsidR="003110CF" w:rsidRPr="004837A7">
        <w:t>In terms of our focus on sleep quality, we contribute t</w:t>
      </w:r>
      <w:r w:rsidR="004676A4" w:rsidRPr="004837A7">
        <w:t xml:space="preserve">o </w:t>
      </w:r>
      <w:r w:rsidR="00C3372A">
        <w:t xml:space="preserve">the </w:t>
      </w:r>
      <w:r w:rsidR="004676A4" w:rsidRPr="004837A7">
        <w:t xml:space="preserve">latest debates on the consequences of FSSBs: In their study on sleep leadership, Sianoja et al. (2020) show that FSSBs relate to subjective and objective sleep quality, at </w:t>
      </w:r>
      <w:r w:rsidR="00581F1F">
        <w:t xml:space="preserve">the </w:t>
      </w:r>
      <w:r w:rsidR="0069667F">
        <w:t>between–person</w:t>
      </w:r>
      <w:r w:rsidR="004676A4" w:rsidRPr="004837A7">
        <w:t xml:space="preserve"> level. Prior between – person level studies also show that FSSBs reduce stress and lead to enhanced sleep quality (</w:t>
      </w:r>
      <w:r w:rsidR="00197801" w:rsidRPr="004837A7">
        <w:t>Sianoja</w:t>
      </w:r>
      <w:r w:rsidR="00581F1F">
        <w:t xml:space="preserve"> et al</w:t>
      </w:r>
      <w:r w:rsidR="00BE4AB4">
        <w:t xml:space="preserve">., </w:t>
      </w:r>
      <w:r w:rsidR="00197801" w:rsidRPr="004837A7">
        <w:t xml:space="preserve">2020; </w:t>
      </w:r>
      <w:r w:rsidR="004676A4" w:rsidRPr="004837A7">
        <w:t xml:space="preserve">Crain et al., 2014; Berkman et al., 2010). </w:t>
      </w:r>
    </w:p>
    <w:p w14:paraId="630EFAA2" w14:textId="1648836F" w:rsidR="00BA4E49" w:rsidRPr="004837A7" w:rsidRDefault="004676A4" w:rsidP="001C1C48">
      <w:pPr>
        <w:spacing w:line="480" w:lineRule="auto"/>
        <w:ind w:firstLine="360"/>
      </w:pPr>
      <w:r w:rsidRPr="004837A7">
        <w:t>Our focus on dyadic adjustment is also a novel addition to FSSB research. Theory and empirical research on FSSBs ha</w:t>
      </w:r>
      <w:r w:rsidR="0052009C">
        <w:t>ve</w:t>
      </w:r>
      <w:r w:rsidRPr="004837A7">
        <w:t xml:space="preserve"> mainly focused on work-to-family or </w:t>
      </w:r>
      <w:r w:rsidR="0069667F">
        <w:t>family-to-work-related</w:t>
      </w:r>
      <w:r w:rsidRPr="004837A7">
        <w:t xml:space="preserve"> outcomes with a focus on conflict and enrichment (Crain &amp; Stevens, 2018</w:t>
      </w:r>
      <w:r w:rsidR="004E5CB0" w:rsidRPr="004837A7">
        <w:t>; Crain</w:t>
      </w:r>
      <w:r w:rsidR="00197801" w:rsidRPr="004837A7">
        <w:t xml:space="preserve"> et al., </w:t>
      </w:r>
      <w:r w:rsidR="004E5CB0" w:rsidRPr="004837A7">
        <w:t>2014</w:t>
      </w:r>
      <w:r w:rsidR="00197801" w:rsidRPr="004837A7">
        <w:t>;</w:t>
      </w:r>
      <w:r w:rsidR="004E5CB0" w:rsidRPr="004837A7">
        <w:t xml:space="preserve"> Yu</w:t>
      </w:r>
      <w:r w:rsidR="00581F1F">
        <w:t xml:space="preserve"> et al.,</w:t>
      </w:r>
      <w:r w:rsidR="004E5CB0" w:rsidRPr="004837A7">
        <w:t xml:space="preserve">  2021</w:t>
      </w:r>
      <w:r w:rsidRPr="004837A7">
        <w:t>). While these studies are crucial to demonstrat</w:t>
      </w:r>
      <w:r w:rsidR="00581F1F">
        <w:t>ing</w:t>
      </w:r>
      <w:r w:rsidRPr="004837A7">
        <w:t xml:space="preserve"> that FSSBs impact </w:t>
      </w:r>
      <w:r w:rsidR="00581F1F">
        <w:t>t</w:t>
      </w:r>
      <w:r w:rsidR="0069667F">
        <w:t xml:space="preserve">he </w:t>
      </w:r>
      <w:r w:rsidRPr="004837A7">
        <w:t xml:space="preserve">family domain, they have not yet captured relational dynamics that occur </w:t>
      </w:r>
      <w:r w:rsidR="00581F1F">
        <w:t>between</w:t>
      </w:r>
      <w:r w:rsidRPr="004837A7">
        <w:t xml:space="preserve"> partner</w:t>
      </w:r>
      <w:r w:rsidR="00581F1F">
        <w:t>s</w:t>
      </w:r>
      <w:r w:rsidRPr="004837A7">
        <w:t>. This is an important omission</w:t>
      </w:r>
      <w:r w:rsidR="00581F1F">
        <w:t>,</w:t>
      </w:r>
      <w:r w:rsidRPr="004837A7">
        <w:t xml:space="preserve"> as </w:t>
      </w:r>
      <w:r w:rsidR="0069667F">
        <w:t>ongoing</w:t>
      </w:r>
      <w:r w:rsidRPr="004837A7">
        <w:t xml:space="preserve"> relationships with one’s partner and sharing important sources of resource generation and accumulation</w:t>
      </w:r>
      <w:r w:rsidR="00581F1F">
        <w:t xml:space="preserve"> affect the individual</w:t>
      </w:r>
      <w:r w:rsidRPr="004837A7">
        <w:t xml:space="preserve">. To capture the role of one’s partner and </w:t>
      </w:r>
      <w:r w:rsidR="00581F1F">
        <w:t xml:space="preserve">to </w:t>
      </w:r>
      <w:r w:rsidRPr="004837A7">
        <w:t xml:space="preserve">show that the beneficial outcomes of FSSBs exceed the focal employee, we integrated the role of dyadic adjustment. </w:t>
      </w:r>
      <w:r w:rsidR="009072EE" w:rsidRPr="004837A7">
        <w:t xml:space="preserve">Our findings support the assumption that the benefits of FSSBs are shared and experienced within a dyadic relationship. </w:t>
      </w:r>
      <w:r w:rsidR="00486267">
        <w:t>We suggest that f</w:t>
      </w:r>
      <w:r w:rsidR="009072EE" w:rsidRPr="004837A7">
        <w:t xml:space="preserve">uture research explore and expand on this finding by adopting a crossover – </w:t>
      </w:r>
      <w:r w:rsidR="0069667F">
        <w:t>spillover</w:t>
      </w:r>
      <w:r w:rsidR="009072EE" w:rsidRPr="004837A7">
        <w:t xml:space="preserve"> angle and </w:t>
      </w:r>
      <w:r w:rsidR="00486267">
        <w:t xml:space="preserve">that it </w:t>
      </w:r>
      <w:r w:rsidR="009072EE" w:rsidRPr="004837A7">
        <w:t>empirically validate</w:t>
      </w:r>
      <w:r w:rsidR="00486267">
        <w:t>s</w:t>
      </w:r>
      <w:r w:rsidR="009072EE" w:rsidRPr="004837A7">
        <w:t xml:space="preserve"> the consequences of FSSBs for the partner of the recipient</w:t>
      </w:r>
      <w:r w:rsidR="00B96DDE">
        <w:t xml:space="preserve"> (e.g., Rofcanin et al., 2018; Bakker et al., 2019; </w:t>
      </w:r>
      <w:r w:rsidR="00B96DDE" w:rsidRPr="004837A7">
        <w:t>Gorgievski</w:t>
      </w:r>
      <w:r w:rsidR="00B96DDE">
        <w:t xml:space="preserve"> et al.</w:t>
      </w:r>
      <w:r w:rsidR="00B96DDE" w:rsidRPr="004837A7">
        <w:t>, 2019</w:t>
      </w:r>
      <w:r w:rsidR="00B96DDE">
        <w:t>)</w:t>
      </w:r>
      <w:r w:rsidR="009072EE" w:rsidRPr="004837A7">
        <w:t xml:space="preserve">. </w:t>
      </w:r>
      <w:r w:rsidR="00B96DDE">
        <w:t>O</w:t>
      </w:r>
      <w:r w:rsidR="005D214A" w:rsidRPr="004837A7">
        <w:t xml:space="preserve">ur research thus adds to these works on the work-home resources model, especially </w:t>
      </w:r>
      <w:r w:rsidR="005D214A" w:rsidRPr="004837A7">
        <w:lastRenderedPageBreak/>
        <w:t xml:space="preserve">the conceptualization of exhaustion as a mechanism </w:t>
      </w:r>
      <w:r w:rsidR="0069667F">
        <w:t>for</w:t>
      </w:r>
      <w:r w:rsidR="005D214A" w:rsidRPr="004837A7">
        <w:t xml:space="preserve"> understanding the consequences of </w:t>
      </w:r>
      <w:r w:rsidR="0069667F">
        <w:t>FSSBs</w:t>
      </w:r>
      <w:r w:rsidR="005D214A" w:rsidRPr="004837A7">
        <w:t>.</w:t>
      </w:r>
    </w:p>
    <w:p w14:paraId="177B98C3" w14:textId="27FA680B" w:rsidR="00BD371A" w:rsidRDefault="00C031BD" w:rsidP="001C1C48">
      <w:pPr>
        <w:spacing w:line="480" w:lineRule="auto"/>
        <w:ind w:firstLine="360"/>
      </w:pPr>
      <w:r w:rsidRPr="00071A3A">
        <w:rPr>
          <w:b/>
          <w:bCs/>
        </w:rPr>
        <w:t>Contribution</w:t>
      </w:r>
      <w:r w:rsidR="007005C9" w:rsidRPr="00071A3A">
        <w:rPr>
          <w:b/>
          <w:bCs/>
        </w:rPr>
        <w:t>s</w:t>
      </w:r>
      <w:r w:rsidRPr="00071A3A">
        <w:rPr>
          <w:b/>
          <w:bCs/>
        </w:rPr>
        <w:t xml:space="preserve"> to Work-Home Resources Model. </w:t>
      </w:r>
      <w:r w:rsidR="00105E6C" w:rsidRPr="004837A7">
        <w:t>As a final contribution, o</w:t>
      </w:r>
      <w:r w:rsidRPr="004837A7">
        <w:t xml:space="preserve">ur </w:t>
      </w:r>
      <w:r w:rsidR="00105E6C" w:rsidRPr="004837A7">
        <w:t>method</w:t>
      </w:r>
      <w:r w:rsidRPr="004837A7">
        <w:t xml:space="preserve"> in </w:t>
      </w:r>
      <w:r w:rsidR="002E1C8D" w:rsidRPr="004837A7">
        <w:t xml:space="preserve">these studies </w:t>
      </w:r>
      <w:r w:rsidRPr="004837A7">
        <w:t xml:space="preserve">also </w:t>
      </w:r>
      <w:r w:rsidR="0069667F">
        <w:t>extends</w:t>
      </w:r>
      <w:r w:rsidRPr="004837A7">
        <w:t xml:space="preserve"> the research on the W-HR model. </w:t>
      </w:r>
      <w:r w:rsidR="003250A5" w:rsidRPr="004837A7">
        <w:t xml:space="preserve">Only recently, studies have begun to integrate FSSBs as dynamic resources </w:t>
      </w:r>
      <w:r w:rsidR="00500615" w:rsidRPr="004837A7">
        <w:t>(Rofcanin</w:t>
      </w:r>
      <w:r w:rsidR="002803D2">
        <w:t xml:space="preserve"> et al.</w:t>
      </w:r>
      <w:r w:rsidR="00500615" w:rsidRPr="004837A7">
        <w:t>, 2016; Nohe</w:t>
      </w:r>
      <w:r w:rsidR="002803D2">
        <w:t xml:space="preserve"> et al.</w:t>
      </w:r>
      <w:r w:rsidR="00500615" w:rsidRPr="004837A7">
        <w:t xml:space="preserve">, 2014) </w:t>
      </w:r>
      <w:r w:rsidR="003250A5" w:rsidRPr="004837A7">
        <w:t>rather than static ones</w:t>
      </w:r>
      <w:r w:rsidR="006B7A2E" w:rsidRPr="004837A7">
        <w:t xml:space="preserve">. </w:t>
      </w:r>
      <w:r w:rsidR="00700745" w:rsidRPr="004837A7">
        <w:t>R</w:t>
      </w:r>
      <w:r w:rsidRPr="004837A7">
        <w:t xml:space="preserve">ecent studies </w:t>
      </w:r>
      <w:r w:rsidR="002E1C8D" w:rsidRPr="004837A7">
        <w:t>using</w:t>
      </w:r>
      <w:r w:rsidRPr="004837A7">
        <w:t xml:space="preserve"> </w:t>
      </w:r>
      <w:r w:rsidR="003C58BC" w:rsidRPr="004837A7">
        <w:t xml:space="preserve">this </w:t>
      </w:r>
      <w:r w:rsidRPr="004837A7">
        <w:t xml:space="preserve">model </w:t>
      </w:r>
      <w:r w:rsidR="002E1C8D" w:rsidRPr="004837A7">
        <w:t>tend</w:t>
      </w:r>
      <w:r w:rsidR="003C58BC" w:rsidRPr="004837A7">
        <w:t>ed</w:t>
      </w:r>
      <w:r w:rsidR="002E1C8D" w:rsidRPr="004837A7">
        <w:t xml:space="preserve"> to employ</w:t>
      </w:r>
      <w:r w:rsidRPr="004837A7">
        <w:t xml:space="preserve"> a </w:t>
      </w:r>
      <w:r w:rsidR="00700745" w:rsidRPr="004837A7">
        <w:t>dai</w:t>
      </w:r>
      <w:r w:rsidRPr="004837A7">
        <w:t xml:space="preserve">ly </w:t>
      </w:r>
      <w:r w:rsidR="002E1C8D" w:rsidRPr="004837A7">
        <w:t xml:space="preserve">diary </w:t>
      </w:r>
      <w:r w:rsidRPr="004837A7">
        <w:t xml:space="preserve">design in </w:t>
      </w:r>
      <w:r w:rsidR="002E1C8D" w:rsidRPr="004837A7">
        <w:t>collecting data (</w:t>
      </w:r>
      <w:r w:rsidR="00500615" w:rsidRPr="004837A7">
        <w:t>e.g.,</w:t>
      </w:r>
      <w:r w:rsidR="002E1C8D" w:rsidRPr="004837A7">
        <w:t xml:space="preserve"> </w:t>
      </w:r>
      <w:r w:rsidR="00500615" w:rsidRPr="004837A7">
        <w:t>Noh</w:t>
      </w:r>
      <w:r w:rsidR="002803D2">
        <w:t>e et al.</w:t>
      </w:r>
      <w:r w:rsidR="00500615" w:rsidRPr="004837A7">
        <w:t xml:space="preserve">, 2014; </w:t>
      </w:r>
      <w:r w:rsidR="002E1C8D" w:rsidRPr="004837A7">
        <w:t>Du</w:t>
      </w:r>
      <w:r w:rsidR="002803D2">
        <w:t xml:space="preserve"> et al.</w:t>
      </w:r>
      <w:r w:rsidR="002E1C8D" w:rsidRPr="004837A7">
        <w:t>, 2018; D</w:t>
      </w:r>
      <w:r w:rsidR="002803D2">
        <w:t>u et al.</w:t>
      </w:r>
      <w:r w:rsidR="002E1C8D" w:rsidRPr="004837A7">
        <w:t xml:space="preserve">, 2020), </w:t>
      </w:r>
      <w:r w:rsidR="00700745" w:rsidRPr="004837A7">
        <w:t xml:space="preserve">while </w:t>
      </w:r>
      <w:r w:rsidR="00426966" w:rsidRPr="004837A7">
        <w:t>our two studies</w:t>
      </w:r>
      <w:r w:rsidR="002E1C8D" w:rsidRPr="004837A7">
        <w:t xml:space="preserve"> employ a weekly diary design, which allows </w:t>
      </w:r>
      <w:r w:rsidR="00700745" w:rsidRPr="004837A7">
        <w:t xml:space="preserve">us </w:t>
      </w:r>
      <w:r w:rsidR="003C58BC" w:rsidRPr="004837A7">
        <w:t xml:space="preserve">to demonstrate and </w:t>
      </w:r>
      <w:r w:rsidR="002E1C8D" w:rsidRPr="004837A7">
        <w:t xml:space="preserve">capture the effect of FSSBs on a wider </w:t>
      </w:r>
      <w:r w:rsidR="00500615" w:rsidRPr="004837A7">
        <w:t>timescale</w:t>
      </w:r>
      <w:r w:rsidR="0052009C">
        <w:rPr>
          <w:rStyle w:val="FootnoteReference"/>
        </w:rPr>
        <w:footnoteReference w:id="4"/>
      </w:r>
      <w:r w:rsidR="002E1C8D" w:rsidRPr="004837A7">
        <w:t xml:space="preserve">. </w:t>
      </w:r>
    </w:p>
    <w:p w14:paraId="2461A783" w14:textId="38D2BC3E" w:rsidR="00E25B16" w:rsidRPr="00071A3A" w:rsidRDefault="00E25B16" w:rsidP="001C1C48">
      <w:pPr>
        <w:spacing w:line="480" w:lineRule="auto"/>
        <w:rPr>
          <w:b/>
          <w:bCs/>
        </w:rPr>
      </w:pPr>
      <w:r w:rsidRPr="00071A3A">
        <w:rPr>
          <w:b/>
          <w:bCs/>
        </w:rPr>
        <w:t>Limitations</w:t>
      </w:r>
      <w:r w:rsidR="00B96DDE" w:rsidRPr="00071A3A">
        <w:rPr>
          <w:b/>
          <w:bCs/>
        </w:rPr>
        <w:t xml:space="preserve"> and Future Research Avenue</w:t>
      </w:r>
    </w:p>
    <w:p w14:paraId="516402C3" w14:textId="710F6847" w:rsidR="00E25B16" w:rsidRPr="004837A7" w:rsidRDefault="00E25B16" w:rsidP="001C1C48">
      <w:pPr>
        <w:spacing w:line="480" w:lineRule="auto"/>
        <w:ind w:firstLine="360"/>
      </w:pPr>
      <w:r w:rsidRPr="004837A7">
        <w:t xml:space="preserve">The contributions and strengths of our research design and findings (e.g., </w:t>
      </w:r>
      <w:r w:rsidR="009072EE" w:rsidRPr="004837A7">
        <w:t xml:space="preserve">two diary studies in under-studied contexts, </w:t>
      </w:r>
      <w:r w:rsidR="00486267">
        <w:t xml:space="preserve">additional </w:t>
      </w:r>
      <w:r w:rsidRPr="004837A7">
        <w:t xml:space="preserve">rated </w:t>
      </w:r>
      <w:r w:rsidR="00486267">
        <w:t>variables</w:t>
      </w:r>
      <w:r w:rsidRPr="004837A7">
        <w:t>, weekly di</w:t>
      </w:r>
      <w:r w:rsidR="006E758A" w:rsidRPr="004837A7">
        <w:t>a</w:t>
      </w:r>
      <w:r w:rsidRPr="004837A7">
        <w:t xml:space="preserve">ry design) should be seen in light of the study's limitations. First, </w:t>
      </w:r>
      <w:r w:rsidR="009072EE" w:rsidRPr="004837A7">
        <w:t>d</w:t>
      </w:r>
      <w:r w:rsidRPr="004837A7">
        <w:t>ata</w:t>
      </w:r>
      <w:r w:rsidR="009072EE" w:rsidRPr="004837A7">
        <w:t xml:space="preserve"> </w:t>
      </w:r>
      <w:r w:rsidR="00F44D81">
        <w:t>from</w:t>
      </w:r>
      <w:r w:rsidR="009072EE" w:rsidRPr="004837A7">
        <w:t xml:space="preserve"> Study 1</w:t>
      </w:r>
      <w:r w:rsidRPr="004837A7">
        <w:t xml:space="preserve"> were collected in one organization in Chile. Although this data collection method has the advantage to hold some possibly interfering variables constant among our respondents, it also warrants cautio</w:t>
      </w:r>
      <w:r w:rsidR="00607686">
        <w:t>n</w:t>
      </w:r>
      <w:r w:rsidRPr="004837A7">
        <w:t xml:space="preserve"> when generalizing our findings to other organizations and cultures. However, relying on one organization did not impede answering the within-person formulated research questions, primarily since the data analyses relied on an individual</w:t>
      </w:r>
      <w:r w:rsidR="00607686">
        <w:t>’</w:t>
      </w:r>
      <w:r w:rsidRPr="004837A7">
        <w:t xml:space="preserve">s baseline to make comparisons. Nevertheless, it might be interesting to examine the research model among </w:t>
      </w:r>
      <w:r w:rsidR="00497D4B" w:rsidRPr="004837A7">
        <w:t>distinct cultural</w:t>
      </w:r>
      <w:r w:rsidRPr="004837A7">
        <w:t xml:space="preserve"> settings</w:t>
      </w:r>
      <w:r w:rsidR="00607686">
        <w:t>,</w:t>
      </w:r>
      <w:r w:rsidRPr="004837A7">
        <w:t xml:space="preserve"> as the value of different sources of support m</w:t>
      </w:r>
      <w:r w:rsidR="00607686">
        <w:t>ay</w:t>
      </w:r>
      <w:r w:rsidRPr="004837A7">
        <w:t xml:space="preserve"> differ across individualistic and collectivistic cultures.</w:t>
      </w:r>
    </w:p>
    <w:p w14:paraId="04CAD932" w14:textId="53ED6EF2" w:rsidR="00E25B16" w:rsidRPr="004837A7" w:rsidRDefault="00E25B16" w:rsidP="001C1C48">
      <w:pPr>
        <w:spacing w:line="480" w:lineRule="auto"/>
        <w:ind w:firstLine="360"/>
      </w:pPr>
      <w:r w:rsidRPr="004837A7">
        <w:t xml:space="preserve">Second, we </w:t>
      </w:r>
      <w:r w:rsidR="009072EE" w:rsidRPr="004837A7">
        <w:t>used</w:t>
      </w:r>
      <w:r w:rsidRPr="004837A7">
        <w:t xml:space="preserve"> </w:t>
      </w:r>
      <w:r w:rsidR="009072EE" w:rsidRPr="004837A7">
        <w:t xml:space="preserve">shortened </w:t>
      </w:r>
      <w:r w:rsidRPr="004837A7">
        <w:t>item</w:t>
      </w:r>
      <w:r w:rsidR="009072EE" w:rsidRPr="004837A7">
        <w:t xml:space="preserve">s </w:t>
      </w:r>
      <w:r w:rsidRPr="004837A7">
        <w:t xml:space="preserve">due to space and time limitations. We did </w:t>
      </w:r>
      <w:r w:rsidR="0069667F">
        <w:t xml:space="preserve">this </w:t>
      </w:r>
      <w:r w:rsidR="009072EE" w:rsidRPr="004837A7">
        <w:t xml:space="preserve">to </w:t>
      </w:r>
      <w:r w:rsidRPr="004837A7">
        <w:t xml:space="preserve">minimize the interference for the supervisors and employees of the company and to limit the costly organizational time of filling out our questionnaire. </w:t>
      </w:r>
      <w:r w:rsidR="00607686">
        <w:t>However, p</w:t>
      </w:r>
      <w:r w:rsidRPr="004837A7">
        <w:t xml:space="preserve">rior research </w:t>
      </w:r>
      <w:r w:rsidR="00607686">
        <w:t xml:space="preserve">has </w:t>
      </w:r>
      <w:r w:rsidRPr="004837A7">
        <w:t xml:space="preserve">found </w:t>
      </w:r>
      <w:r w:rsidRPr="004837A7">
        <w:lastRenderedPageBreak/>
        <w:t xml:space="preserve">that even single-item measures are appropriate </w:t>
      </w:r>
      <w:r w:rsidR="00607686">
        <w:t>for measuring</w:t>
      </w:r>
      <w:r w:rsidRPr="004837A7">
        <w:t xml:space="preserve"> constructs that are relatively narrow or unambiguous to respondents (Wanous</w:t>
      </w:r>
      <w:r w:rsidR="002803D2">
        <w:t xml:space="preserve"> et al.</w:t>
      </w:r>
      <w:r w:rsidRPr="004837A7">
        <w:t xml:space="preserve">, 1997). So, although all scale items contributed to a good internal validity of the scale, </w:t>
      </w:r>
      <w:r w:rsidR="0069667F">
        <w:t>to</w:t>
      </w:r>
      <w:r w:rsidRPr="004837A7">
        <w:t xml:space="preserve"> minimize measurement error, we </w:t>
      </w:r>
      <w:r w:rsidR="00607686">
        <w:t>acknowledge</w:t>
      </w:r>
      <w:r w:rsidRPr="004837A7">
        <w:t xml:space="preserve"> that using more items to measure one construct is better (Eisinga</w:t>
      </w:r>
      <w:r w:rsidR="002803D2">
        <w:t xml:space="preserve"> et al.</w:t>
      </w:r>
      <w:r w:rsidRPr="004837A7">
        <w:t xml:space="preserve">, 2013). </w:t>
      </w:r>
      <w:r w:rsidR="00BF6099">
        <w:t>In addition, for FSSB, we only measured two dimensions</w:t>
      </w:r>
      <w:r w:rsidR="00B201A4">
        <w:t xml:space="preserve"> of FSSB</w:t>
      </w:r>
      <w:r w:rsidR="00BF6099">
        <w:t xml:space="preserve">: emotional support and instrumental support. </w:t>
      </w:r>
      <w:r w:rsidR="00B201A4">
        <w:t xml:space="preserve">The reason that we focused on these two dimensions </w:t>
      </w:r>
      <w:r w:rsidR="00894EEF">
        <w:t xml:space="preserve">aligns </w:t>
      </w:r>
      <w:r w:rsidR="00B201A4">
        <w:t xml:space="preserve">with </w:t>
      </w:r>
      <w:r w:rsidR="00894EEF">
        <w:t xml:space="preserve">the reasons from French et al. (2018). We believe that emotional support and instrumental support are the two most studied and well-established types of social support in the work-family literature. However, we admitted this is a limitation </w:t>
      </w:r>
      <w:r w:rsidR="0052009C">
        <w:t xml:space="preserve">and </w:t>
      </w:r>
      <w:r w:rsidR="00894EEF">
        <w:t>suggest future research on FSSB to consider all four dimensions of FSSB.</w:t>
      </w:r>
    </w:p>
    <w:p w14:paraId="74FB0B48" w14:textId="67078129" w:rsidR="00E25B16" w:rsidRPr="004837A7" w:rsidRDefault="00E25B16" w:rsidP="001C1C48">
      <w:pPr>
        <w:spacing w:line="480" w:lineRule="auto"/>
        <w:ind w:firstLine="360"/>
      </w:pPr>
      <w:r w:rsidRPr="004837A7">
        <w:t xml:space="preserve">Third, we were not able to infer directionality </w:t>
      </w:r>
      <w:r w:rsidR="0069667F">
        <w:t>or</w:t>
      </w:r>
      <w:r w:rsidRPr="004837A7">
        <w:t xml:space="preserve"> causality between our research variables. We examined the relations of the different variables </w:t>
      </w:r>
      <w:r w:rsidR="0069667F">
        <w:t>at</w:t>
      </w:r>
      <w:r w:rsidRPr="004837A7">
        <w:t xml:space="preserve"> one point in time. However, we </w:t>
      </w:r>
      <w:r w:rsidR="009072EE" w:rsidRPr="004837A7">
        <w:t>used</w:t>
      </w:r>
      <w:r w:rsidRPr="004837A7">
        <w:t xml:space="preserve"> supervisor- and employee-rated measures</w:t>
      </w:r>
      <w:r w:rsidR="009072EE" w:rsidRPr="004837A7">
        <w:t xml:space="preserve"> to eliminate possible biases of common-method sources</w:t>
      </w:r>
      <w:r w:rsidRPr="004837A7">
        <w:t xml:space="preserve">. </w:t>
      </w:r>
      <w:bookmarkStart w:id="2" w:name="_Hlk129269782"/>
      <w:r w:rsidR="009072EE" w:rsidRPr="004837A7">
        <w:t>Nevertheless, regarding Study 1, it may be possible that</w:t>
      </w:r>
      <w:r w:rsidRPr="004837A7">
        <w:t xml:space="preserve"> </w:t>
      </w:r>
      <w:r w:rsidR="00093498">
        <w:t>observing production deviance behaviour from their subordinate</w:t>
      </w:r>
      <w:r w:rsidR="00093498" w:rsidRPr="004837A7">
        <w:t xml:space="preserve"> </w:t>
      </w:r>
      <w:r w:rsidRPr="004837A7">
        <w:t>might make a leader less prone to enact FSSB</w:t>
      </w:r>
      <w:r w:rsidR="00093498">
        <w:t>s</w:t>
      </w:r>
      <w:r w:rsidRPr="004837A7">
        <w:t>, and less enactment of FSSB</w:t>
      </w:r>
      <w:r w:rsidR="00731346">
        <w:t>s</w:t>
      </w:r>
      <w:r w:rsidRPr="004837A7">
        <w:t xml:space="preserve"> might reflect an </w:t>
      </w:r>
      <w:r w:rsidR="00F44D81">
        <w:t>ego-depleted</w:t>
      </w:r>
      <w:r w:rsidRPr="004837A7">
        <w:t xml:space="preserve"> supervisor who is not perceiving spousal support</w:t>
      </w:r>
      <w:r w:rsidR="00607686">
        <w:t xml:space="preserve"> at home either</w:t>
      </w:r>
      <w:r w:rsidRPr="004837A7">
        <w:t xml:space="preserve">. </w:t>
      </w:r>
      <w:bookmarkEnd w:id="2"/>
      <w:r w:rsidRPr="004837A7">
        <w:t>To get an indication of the possibility of reversed directionality of the relationship (for a similar approach, see</w:t>
      </w:r>
      <w:r w:rsidR="00F44D81">
        <w:t>,</w:t>
      </w:r>
      <w:r w:rsidRPr="004837A7">
        <w:t xml:space="preserve"> for example, Meier &amp; Spector, 2013), we examined an alternative model with a reversed order. However, we found that these relationships were not significant. Nevertheless, future research might use experimental designs to infer directionality and (temporal) causality</w:t>
      </w:r>
      <w:r w:rsidR="00520747">
        <w:t xml:space="preserve">. </w:t>
      </w:r>
      <w:r w:rsidR="009072EE" w:rsidRPr="004837A7">
        <w:t>Regarding Study 2, it may be that employees who are exhausted are likely to receive more FSSBs and</w:t>
      </w:r>
      <w:r w:rsidR="00607686">
        <w:t>,</w:t>
      </w:r>
      <w:r w:rsidR="009072EE" w:rsidRPr="004837A7">
        <w:t xml:space="preserve"> as a result, report better outcomes. </w:t>
      </w:r>
      <w:r w:rsidR="00F44D81">
        <w:t>The results</w:t>
      </w:r>
      <w:r w:rsidR="009072EE" w:rsidRPr="004837A7">
        <w:t xml:space="preserve"> of this alternative model were not significant. </w:t>
      </w:r>
    </w:p>
    <w:p w14:paraId="032E7766" w14:textId="52824C9C" w:rsidR="002469EC" w:rsidRPr="004837A7" w:rsidRDefault="00F44D81" w:rsidP="001C1C48">
      <w:pPr>
        <w:spacing w:line="480" w:lineRule="auto"/>
        <w:ind w:firstLine="360"/>
      </w:pPr>
      <w:r>
        <w:t>Moreover</w:t>
      </w:r>
      <w:r w:rsidR="00970EDE" w:rsidRPr="004837A7">
        <w:t xml:space="preserve">, </w:t>
      </w:r>
      <w:r w:rsidR="00A16B36" w:rsidRPr="004837A7">
        <w:t>the sample size for study 1 is small</w:t>
      </w:r>
      <w:r w:rsidR="00970EDE" w:rsidRPr="004837A7">
        <w:t>, which can be considered a limitation</w:t>
      </w:r>
      <w:r w:rsidR="00A16B36" w:rsidRPr="004837A7">
        <w:t xml:space="preserve">. In study 1, we collected supervisor-subordinate data from 25 supervisors and 68 employees </w:t>
      </w:r>
      <w:r w:rsidR="00A16B36" w:rsidRPr="004837A7">
        <w:lastRenderedPageBreak/>
        <w:t xml:space="preserve">(response rate of 85%). Although the size of our sample context is in line with prior research which adopted a within-person weekly study approach on similar variables (e.g., Schreurs et al., 2012; Rofcanin et al., 2018), the small sample size limits our findings. In future studies, we suggest a larger sample size may be </w:t>
      </w:r>
      <w:r w:rsidR="00B010CB" w:rsidRPr="004837A7">
        <w:t>more representative to capture the antecedents and consequences of FSSBs.</w:t>
      </w:r>
    </w:p>
    <w:p w14:paraId="513295A4" w14:textId="5B3A85EB" w:rsidR="00BC548F" w:rsidRPr="004837A7" w:rsidRDefault="00970EDE" w:rsidP="001C1C48">
      <w:pPr>
        <w:spacing w:line="480" w:lineRule="auto"/>
        <w:ind w:firstLine="360"/>
      </w:pPr>
      <w:r w:rsidRPr="004837A7">
        <w:t xml:space="preserve">Our </w:t>
      </w:r>
      <w:r w:rsidR="0052009C">
        <w:t xml:space="preserve">study </w:t>
      </w:r>
      <w:r w:rsidRPr="004837A7">
        <w:t xml:space="preserve">focuses on the resource transfer between domains, such as resources created </w:t>
      </w:r>
      <w:r w:rsidR="009572F7">
        <w:t>within</w:t>
      </w:r>
      <w:r w:rsidRPr="004837A7">
        <w:t xml:space="preserve"> the home domain transferring to the work domain. However, we believe there is a lot to explore in terms of additional </w:t>
      </w:r>
      <w:r w:rsidR="00F44D81">
        <w:t>mechanisms</w:t>
      </w:r>
      <w:r w:rsidRPr="004837A7">
        <w:t xml:space="preserve"> which could further explain and explore the associations in our study. For example, the direct negative relationship found between FSSBs by the supervisor and </w:t>
      </w:r>
      <w:r w:rsidR="00E2721A">
        <w:t>production deviance</w:t>
      </w:r>
      <w:r w:rsidR="00E2721A" w:rsidRPr="004837A7">
        <w:t xml:space="preserve"> </w:t>
      </w:r>
      <w:r w:rsidRPr="004837A7">
        <w:t xml:space="preserve">exhibited by the employee could be seen as a form of </w:t>
      </w:r>
      <w:r w:rsidR="00F44D81">
        <w:t>trickle-down</w:t>
      </w:r>
      <w:r w:rsidRPr="004837A7">
        <w:t xml:space="preserve">. It could be valuable to integrate the trickle-down literature (Wo et al., 2015), with the </w:t>
      </w:r>
      <w:r w:rsidR="00F44D81">
        <w:t>spillover-crossover</w:t>
      </w:r>
      <w:r w:rsidRPr="004837A7">
        <w:t xml:space="preserve"> literature (Bakker &amp; Demerouti, 2013). </w:t>
      </w:r>
    </w:p>
    <w:p w14:paraId="1E4E7C79" w14:textId="22CD09A7" w:rsidR="00D342FF" w:rsidRPr="004837A7" w:rsidRDefault="0052009C" w:rsidP="001C1C48">
      <w:pPr>
        <w:spacing w:line="480" w:lineRule="auto"/>
        <w:ind w:firstLine="360"/>
      </w:pPr>
      <w:r>
        <w:t>In</w:t>
      </w:r>
      <w:r w:rsidR="00B73F61" w:rsidRPr="004837A7">
        <w:t xml:space="preserve"> response to recent calls from the literature in using lagged analysis when analysing </w:t>
      </w:r>
      <w:r w:rsidR="0085310F" w:rsidRPr="004837A7">
        <w:t xml:space="preserve">supervisor behaviours </w:t>
      </w:r>
      <w:r w:rsidR="00B73F61" w:rsidRPr="004837A7">
        <w:t>(</w:t>
      </w:r>
      <w:r w:rsidR="0084203D" w:rsidRPr="004837A7">
        <w:t>Qing, Zhang, Wang, 2021</w:t>
      </w:r>
      <w:r w:rsidR="00B73F61" w:rsidRPr="004837A7">
        <w:t>)</w:t>
      </w:r>
      <w:r w:rsidR="009572F7">
        <w:t>,</w:t>
      </w:r>
      <w:r w:rsidR="00B73F61" w:rsidRPr="004837A7">
        <w:t xml:space="preserve"> </w:t>
      </w:r>
      <w:r w:rsidR="00D342FF" w:rsidRPr="004837A7">
        <w:t xml:space="preserve">we suggest future research strengthen causality claims in FSSB literature by using at least </w:t>
      </w:r>
      <w:r w:rsidR="009572F7">
        <w:t>one</w:t>
      </w:r>
      <w:r w:rsidR="00D342FF" w:rsidRPr="004837A7">
        <w:t xml:space="preserve">-month time-lags in between variables collected. In </w:t>
      </w:r>
      <w:r w:rsidR="00F44D81">
        <w:t>work-family</w:t>
      </w:r>
      <w:r w:rsidR="00D342FF" w:rsidRPr="004837A7">
        <w:t xml:space="preserve"> literature, </w:t>
      </w:r>
      <w:r w:rsidR="00731346">
        <w:t xml:space="preserve">1 – a </w:t>
      </w:r>
      <w:r w:rsidR="00D342FF" w:rsidRPr="004837A7">
        <w:t xml:space="preserve">month lag or 6-month lag </w:t>
      </w:r>
      <w:r w:rsidR="00F44D81">
        <w:t>was</w:t>
      </w:r>
      <w:r w:rsidR="00D342FF" w:rsidRPr="004837A7">
        <w:t xml:space="preserve"> considered appropriate to examine the “loss spiral” of resources in the work and home domain</w:t>
      </w:r>
      <w:r w:rsidR="009572F7">
        <w:t>s</w:t>
      </w:r>
      <w:r w:rsidR="00D342FF" w:rsidRPr="004837A7">
        <w:t xml:space="preserve"> (Demerouti et al., 2007; Russo et al., 201</w:t>
      </w:r>
      <w:r w:rsidR="000D1A7A">
        <w:t>8</w:t>
      </w:r>
      <w:r w:rsidR="00D342FF" w:rsidRPr="004837A7">
        <w:t xml:space="preserve">; Matthews et al., 2014), thus, we suggest future research adopt 1- </w:t>
      </w:r>
      <w:r w:rsidR="00F44D81">
        <w:t xml:space="preserve">a </w:t>
      </w:r>
      <w:r w:rsidR="00D342FF" w:rsidRPr="004837A7">
        <w:t>month or 6- month time-lags to examine the causality of “gain spiral” process</w:t>
      </w:r>
      <w:r w:rsidR="009572F7">
        <w:t>es</w:t>
      </w:r>
      <w:r w:rsidR="00D342FF" w:rsidRPr="004837A7">
        <w:t xml:space="preserve"> of FSSBs.</w:t>
      </w:r>
      <w:r w:rsidR="0084203D" w:rsidRPr="004837A7">
        <w:t xml:space="preserve"> </w:t>
      </w:r>
    </w:p>
    <w:p w14:paraId="32DDBF09" w14:textId="77777777" w:rsidR="00E25B16" w:rsidRPr="00071A3A" w:rsidRDefault="00E25B16" w:rsidP="001C1C48">
      <w:pPr>
        <w:spacing w:line="480" w:lineRule="auto"/>
        <w:rPr>
          <w:b/>
          <w:bCs/>
        </w:rPr>
      </w:pPr>
      <w:r w:rsidRPr="00071A3A">
        <w:rPr>
          <w:b/>
          <w:bCs/>
        </w:rPr>
        <w:t>Practical implications</w:t>
      </w:r>
    </w:p>
    <w:p w14:paraId="170C4DB5" w14:textId="12BD8BA1" w:rsidR="00C9377F" w:rsidRPr="004837A7" w:rsidRDefault="00E25B16" w:rsidP="001C1C48">
      <w:pPr>
        <w:spacing w:line="480" w:lineRule="auto"/>
        <w:ind w:firstLine="360"/>
      </w:pPr>
      <w:r w:rsidRPr="004837A7">
        <w:t>Given the high prevalence</w:t>
      </w:r>
      <w:r w:rsidR="00C9377F" w:rsidRPr="004837A7">
        <w:t xml:space="preserve"> of demonstrating FSSBs</w:t>
      </w:r>
      <w:r w:rsidRPr="004837A7">
        <w:t xml:space="preserve">, </w:t>
      </w:r>
      <w:r w:rsidR="00C9377F" w:rsidRPr="004837A7">
        <w:t>supervisors should be aware that they can act as facilitators for employees' work-life interaction by providing emotional as well as instrumental support, thereby also improving work (e.g., motivation; Bosch</w:t>
      </w:r>
      <w:r w:rsidR="009572F7">
        <w:t xml:space="preserve"> et al.,</w:t>
      </w:r>
      <w:r w:rsidR="00731346" w:rsidRPr="00071A3A">
        <w:rPr>
          <w:strike/>
        </w:rPr>
        <w:t xml:space="preserve"> </w:t>
      </w:r>
      <w:r w:rsidR="00C9377F" w:rsidRPr="004837A7">
        <w:t>2018, engagement: Matthews</w:t>
      </w:r>
      <w:r w:rsidR="009572F7">
        <w:t xml:space="preserve"> et al.</w:t>
      </w:r>
      <w:r w:rsidR="00C9377F" w:rsidRPr="004837A7">
        <w:t>, 2014)</w:t>
      </w:r>
      <w:r w:rsidR="009E56C3">
        <w:t>,</w:t>
      </w:r>
      <w:r w:rsidR="00C9377F" w:rsidRPr="004837A7">
        <w:t xml:space="preserve"> as well as non-work outcomes of the employee (e.g.</w:t>
      </w:r>
      <w:r w:rsidR="009E56C3">
        <w:t>,</w:t>
      </w:r>
      <w:r w:rsidR="00C9377F" w:rsidRPr="004837A7">
        <w:t xml:space="preserve"> </w:t>
      </w:r>
      <w:r w:rsidR="00C9377F" w:rsidRPr="004837A7">
        <w:lastRenderedPageBreak/>
        <w:t>sleep: Sianoja</w:t>
      </w:r>
      <w:r w:rsidR="009E56C3">
        <w:t xml:space="preserve"> et al</w:t>
      </w:r>
      <w:r w:rsidR="00731346">
        <w:t xml:space="preserve">., </w:t>
      </w:r>
      <w:r w:rsidR="00C9377F" w:rsidRPr="004837A7">
        <w:t>2020; Breaugh, &amp; Frye, 2008; Matthews et al., 2014). Organizations can benefit from providing supervisors with FSSB training (e.g., how to deal with or react to employees' questions for flexibility in work arrangements due to changing home demands; Hammer et al., 2011; Hopkins, 2005). Organizations could also benefit from instigating FSSBs among their supervisors by formally evaluating their performance and effectiveness on this criterion (i.e., making 'family-supportiveness' one of their objectives; Lirio</w:t>
      </w:r>
      <w:r w:rsidR="009E56C3">
        <w:t xml:space="preserve"> et al.,</w:t>
      </w:r>
      <w:r w:rsidR="00731346" w:rsidRPr="00071A3A">
        <w:rPr>
          <w:strike/>
        </w:rPr>
        <w:t xml:space="preserve"> </w:t>
      </w:r>
      <w:r w:rsidR="00C9377F" w:rsidRPr="004837A7">
        <w:t xml:space="preserve">2008). </w:t>
      </w:r>
      <w:bookmarkStart w:id="3" w:name="_Hlk129269929"/>
      <w:r w:rsidR="004C1650">
        <w:t xml:space="preserve">One way of doing this would be to attach compensation to these formal evaluations of FSSBs, where </w:t>
      </w:r>
      <w:r w:rsidR="00093498">
        <w:t xml:space="preserve">supervisors </w:t>
      </w:r>
      <w:r w:rsidR="004C1650">
        <w:t xml:space="preserve">who engage in standard or </w:t>
      </w:r>
      <w:r w:rsidR="00F44D81">
        <w:t>over-expected</w:t>
      </w:r>
      <w:r w:rsidR="004C1650">
        <w:t xml:space="preserve"> standard levels of these behaviours could see themselves rewarded with monetary or </w:t>
      </w:r>
      <w:r w:rsidR="00F44D81">
        <w:t>benefits-based</w:t>
      </w:r>
      <w:r w:rsidR="004C1650">
        <w:t xml:space="preserve"> compensations. </w:t>
      </w:r>
      <w:bookmarkEnd w:id="3"/>
    </w:p>
    <w:p w14:paraId="6C0918BF" w14:textId="073DDC6D" w:rsidR="00D82F70" w:rsidRPr="00071A3A" w:rsidRDefault="00D82F70" w:rsidP="001C1C48">
      <w:pPr>
        <w:spacing w:line="480" w:lineRule="auto"/>
        <w:rPr>
          <w:b/>
        </w:rPr>
      </w:pPr>
      <w:r w:rsidRPr="00071A3A">
        <w:rPr>
          <w:b/>
        </w:rPr>
        <w:t>Conflict of Interest</w:t>
      </w:r>
    </w:p>
    <w:p w14:paraId="00FE3244" w14:textId="0933FD39" w:rsidR="004837A7" w:rsidRPr="00071A3A" w:rsidRDefault="00D82F70" w:rsidP="001C1C48">
      <w:pPr>
        <w:spacing w:line="480" w:lineRule="auto"/>
        <w:rPr>
          <w:bCs/>
        </w:rPr>
      </w:pPr>
      <w:r w:rsidRPr="00071A3A">
        <w:rPr>
          <w:bCs/>
        </w:rPr>
        <w:t xml:space="preserve">The authors have no conflict of interest to declare. </w:t>
      </w:r>
    </w:p>
    <w:p w14:paraId="75DAFF35" w14:textId="6D7D7B47" w:rsidR="002803D2" w:rsidRDefault="002803D2" w:rsidP="00071A3A">
      <w:pPr>
        <w:spacing w:line="480" w:lineRule="auto"/>
        <w:rPr>
          <w:bCs/>
        </w:rPr>
      </w:pPr>
    </w:p>
    <w:p w14:paraId="01EF49B5" w14:textId="53EB626B" w:rsidR="002803D2" w:rsidRDefault="002803D2" w:rsidP="00071A3A">
      <w:pPr>
        <w:spacing w:line="480" w:lineRule="auto"/>
        <w:rPr>
          <w:bCs/>
        </w:rPr>
      </w:pPr>
    </w:p>
    <w:p w14:paraId="082B8F86" w14:textId="0A2DBA56" w:rsidR="002803D2" w:rsidRDefault="002803D2" w:rsidP="00071A3A">
      <w:pPr>
        <w:spacing w:line="480" w:lineRule="auto"/>
        <w:rPr>
          <w:bCs/>
        </w:rPr>
      </w:pPr>
    </w:p>
    <w:p w14:paraId="175220A1" w14:textId="44BA7A7C" w:rsidR="002803D2" w:rsidRDefault="002803D2" w:rsidP="00071A3A">
      <w:pPr>
        <w:spacing w:line="480" w:lineRule="auto"/>
        <w:rPr>
          <w:bCs/>
        </w:rPr>
      </w:pPr>
    </w:p>
    <w:p w14:paraId="40F9B127" w14:textId="5AFC44E9" w:rsidR="002803D2" w:rsidRDefault="002803D2" w:rsidP="00071A3A">
      <w:pPr>
        <w:spacing w:line="480" w:lineRule="auto"/>
        <w:rPr>
          <w:bCs/>
        </w:rPr>
      </w:pPr>
    </w:p>
    <w:p w14:paraId="0EC57189" w14:textId="0A4F880B" w:rsidR="002803D2" w:rsidRDefault="002803D2" w:rsidP="00071A3A">
      <w:pPr>
        <w:spacing w:line="480" w:lineRule="auto"/>
        <w:rPr>
          <w:bCs/>
          <w:lang w:eastAsia="zh-CN"/>
        </w:rPr>
      </w:pPr>
    </w:p>
    <w:p w14:paraId="2822CA77" w14:textId="59BE011C" w:rsidR="00071A3A" w:rsidRDefault="00071A3A" w:rsidP="00071A3A">
      <w:pPr>
        <w:spacing w:line="480" w:lineRule="auto"/>
        <w:rPr>
          <w:bCs/>
          <w:lang w:eastAsia="zh-CN"/>
        </w:rPr>
      </w:pPr>
    </w:p>
    <w:p w14:paraId="693D6CC1" w14:textId="7482234B" w:rsidR="00071A3A" w:rsidRDefault="00071A3A" w:rsidP="00071A3A">
      <w:pPr>
        <w:spacing w:line="480" w:lineRule="auto"/>
        <w:rPr>
          <w:bCs/>
          <w:lang w:eastAsia="zh-CN"/>
        </w:rPr>
      </w:pPr>
    </w:p>
    <w:p w14:paraId="3F90E5C3" w14:textId="34CB4ADF" w:rsidR="00071A3A" w:rsidRDefault="00071A3A" w:rsidP="00071A3A">
      <w:pPr>
        <w:spacing w:line="480" w:lineRule="auto"/>
        <w:rPr>
          <w:bCs/>
          <w:lang w:eastAsia="zh-CN"/>
        </w:rPr>
      </w:pPr>
    </w:p>
    <w:p w14:paraId="76042F77" w14:textId="199DDBFF" w:rsidR="00071A3A" w:rsidRDefault="00071A3A" w:rsidP="00071A3A">
      <w:pPr>
        <w:spacing w:line="480" w:lineRule="auto"/>
        <w:rPr>
          <w:bCs/>
          <w:lang w:eastAsia="zh-CN"/>
        </w:rPr>
      </w:pPr>
    </w:p>
    <w:p w14:paraId="580D918A" w14:textId="1B95350D" w:rsidR="00071A3A" w:rsidRDefault="00071A3A" w:rsidP="00071A3A">
      <w:pPr>
        <w:spacing w:line="480" w:lineRule="auto"/>
        <w:rPr>
          <w:bCs/>
          <w:lang w:eastAsia="zh-CN"/>
        </w:rPr>
      </w:pPr>
    </w:p>
    <w:p w14:paraId="4620E600" w14:textId="77246344" w:rsidR="00071A3A" w:rsidRDefault="00071A3A" w:rsidP="00071A3A">
      <w:pPr>
        <w:spacing w:line="480" w:lineRule="auto"/>
        <w:rPr>
          <w:bCs/>
          <w:lang w:eastAsia="zh-CN"/>
        </w:rPr>
      </w:pPr>
    </w:p>
    <w:p w14:paraId="4A011CAA" w14:textId="27B5946E" w:rsidR="00071A3A" w:rsidRDefault="00071A3A" w:rsidP="00071A3A">
      <w:pPr>
        <w:spacing w:line="480" w:lineRule="auto"/>
        <w:rPr>
          <w:bCs/>
          <w:lang w:eastAsia="zh-CN"/>
        </w:rPr>
      </w:pPr>
    </w:p>
    <w:p w14:paraId="7C0BFE4C" w14:textId="7327AE9B" w:rsidR="00071A3A" w:rsidRDefault="00071A3A" w:rsidP="00071A3A">
      <w:pPr>
        <w:spacing w:line="480" w:lineRule="auto"/>
        <w:rPr>
          <w:bCs/>
          <w:lang w:eastAsia="zh-CN"/>
        </w:rPr>
      </w:pPr>
    </w:p>
    <w:p w14:paraId="562F1669" w14:textId="5C24CA22" w:rsidR="00071A3A" w:rsidRPr="00071A3A" w:rsidRDefault="00E25B16" w:rsidP="001C1C48">
      <w:pPr>
        <w:spacing w:line="480" w:lineRule="auto"/>
        <w:rPr>
          <w:color w:val="000000"/>
          <w:lang w:val="en-US"/>
        </w:rPr>
      </w:pPr>
      <w:r w:rsidRPr="00071A3A">
        <w:rPr>
          <w:b/>
          <w:lang w:val="es-ES"/>
        </w:rPr>
        <w:lastRenderedPageBreak/>
        <w:t>References</w:t>
      </w:r>
    </w:p>
    <w:p w14:paraId="44FAA4D5" w14:textId="77777777" w:rsidR="0005739F" w:rsidRDefault="00071A3A" w:rsidP="001C1C48">
      <w:pPr>
        <w:spacing w:line="360" w:lineRule="auto"/>
        <w:rPr>
          <w:noProof/>
          <w:lang w:val="en-US"/>
        </w:rPr>
      </w:pPr>
      <w:r w:rsidRPr="00071A3A">
        <w:rPr>
          <w:noProof/>
          <w:lang w:val="en-US"/>
        </w:rPr>
        <w:t>Abbey, A., Abramis, D. J., &amp; Caplan, R. D. (1985). Effects of different sources of social</w:t>
      </w:r>
    </w:p>
    <w:p w14:paraId="677B9C00" w14:textId="54EA8B9B" w:rsidR="00071A3A" w:rsidRPr="00071A3A" w:rsidRDefault="00071A3A" w:rsidP="0005739F">
      <w:pPr>
        <w:spacing w:line="360" w:lineRule="auto"/>
        <w:ind w:left="708"/>
        <w:rPr>
          <w:noProof/>
          <w:lang w:val="en-US"/>
        </w:rPr>
      </w:pPr>
      <w:r w:rsidRPr="00071A3A">
        <w:rPr>
          <w:noProof/>
          <w:lang w:val="en-US"/>
        </w:rPr>
        <w:t>support and social conflict on emotional well-being. Basic and applied social psychology, 6(2), 111-129.</w:t>
      </w:r>
    </w:p>
    <w:p w14:paraId="73A3379C" w14:textId="77777777" w:rsidR="0005739F" w:rsidRDefault="00071A3A" w:rsidP="001C1C48">
      <w:pPr>
        <w:spacing w:line="360" w:lineRule="auto"/>
        <w:rPr>
          <w:noProof/>
          <w:lang w:val="en-US"/>
        </w:rPr>
      </w:pPr>
      <w:r w:rsidRPr="00071A3A">
        <w:rPr>
          <w:noProof/>
          <w:lang w:val="en-US"/>
        </w:rPr>
        <w:t xml:space="preserve">Al Kerdawy, M. M. A. (2019). The role of corporate support for employee volunteering in </w:t>
      </w:r>
    </w:p>
    <w:p w14:paraId="0C1C8E62" w14:textId="315A6360" w:rsidR="00071A3A" w:rsidRPr="00071A3A" w:rsidRDefault="00071A3A" w:rsidP="0005739F">
      <w:pPr>
        <w:spacing w:line="360" w:lineRule="auto"/>
        <w:ind w:left="708"/>
        <w:rPr>
          <w:noProof/>
          <w:lang w:val="en-US"/>
        </w:rPr>
      </w:pPr>
      <w:r w:rsidRPr="00071A3A">
        <w:rPr>
          <w:noProof/>
          <w:lang w:val="en-US"/>
        </w:rPr>
        <w:t>strengthening the impact of green human resource management practices on corporate social responsibility in the Egyptian firms. European Management Review, 16(4), 1079-1095.</w:t>
      </w:r>
    </w:p>
    <w:p w14:paraId="0CA4C8CE" w14:textId="77777777" w:rsidR="0005739F" w:rsidRDefault="00071A3A" w:rsidP="001C1C48">
      <w:pPr>
        <w:spacing w:line="360" w:lineRule="auto"/>
        <w:rPr>
          <w:noProof/>
          <w:lang w:val="en-US"/>
        </w:rPr>
      </w:pPr>
      <w:r w:rsidRPr="00071A3A">
        <w:rPr>
          <w:noProof/>
          <w:lang w:val="en-US"/>
        </w:rPr>
        <w:t xml:space="preserve">Aw, S. S., Ilies, R., Li, X., Bakker, A. B., &amp; Liu, X. Y. (2021). Work‐related helping and </w:t>
      </w:r>
    </w:p>
    <w:p w14:paraId="3E8F0C09" w14:textId="4DB0A488" w:rsidR="00071A3A" w:rsidRPr="00071A3A" w:rsidRDefault="00071A3A" w:rsidP="0005739F">
      <w:pPr>
        <w:spacing w:line="360" w:lineRule="auto"/>
        <w:ind w:left="708"/>
        <w:rPr>
          <w:noProof/>
          <w:lang w:val="en-US"/>
        </w:rPr>
      </w:pPr>
      <w:r w:rsidRPr="00071A3A">
        <w:rPr>
          <w:noProof/>
          <w:lang w:val="en-US"/>
        </w:rPr>
        <w:t>family functioning: A work–home resources perspective. Journal of Occupational and Organizational Psychology, 94(1), 55-79.</w:t>
      </w:r>
    </w:p>
    <w:p w14:paraId="69A195FF" w14:textId="77777777" w:rsidR="0005739F" w:rsidRDefault="00071A3A" w:rsidP="001C1C48">
      <w:pPr>
        <w:spacing w:line="360" w:lineRule="auto"/>
        <w:rPr>
          <w:noProof/>
          <w:lang w:val="en-US"/>
        </w:rPr>
      </w:pPr>
      <w:r w:rsidRPr="00071A3A">
        <w:rPr>
          <w:noProof/>
          <w:lang w:val="en-US"/>
        </w:rPr>
        <w:t xml:space="preserve">Aycan, Z., &amp; Eskin, M. (2005). Relative contributions of childcare, spousal support, and </w:t>
      </w:r>
    </w:p>
    <w:p w14:paraId="10CD8539" w14:textId="2F945C31" w:rsidR="00071A3A" w:rsidRPr="00071A3A" w:rsidRDefault="00071A3A" w:rsidP="0005739F">
      <w:pPr>
        <w:spacing w:line="360" w:lineRule="auto"/>
        <w:ind w:left="708"/>
        <w:rPr>
          <w:noProof/>
          <w:lang w:val="en-US"/>
        </w:rPr>
      </w:pPr>
      <w:r w:rsidRPr="00071A3A">
        <w:rPr>
          <w:noProof/>
          <w:lang w:val="en-US"/>
        </w:rPr>
        <w:t>organizational support in reducing work–family conflict for men and women: The case of Turkey. Sex roles, 53, 453-471.</w:t>
      </w:r>
    </w:p>
    <w:p w14:paraId="786935CA" w14:textId="77777777" w:rsidR="0005739F" w:rsidRDefault="00071A3A" w:rsidP="001C1C48">
      <w:pPr>
        <w:spacing w:line="360" w:lineRule="auto"/>
        <w:rPr>
          <w:noProof/>
          <w:lang w:val="en-US"/>
        </w:rPr>
      </w:pPr>
      <w:r w:rsidRPr="00071A3A">
        <w:rPr>
          <w:noProof/>
          <w:lang w:val="en-US"/>
        </w:rPr>
        <w:t xml:space="preserve">Bagger, J., &amp; Li, A. (2014). How does supervisory family support influence employees’ </w:t>
      </w:r>
    </w:p>
    <w:p w14:paraId="377C87EA" w14:textId="77043B70" w:rsidR="00071A3A" w:rsidRPr="00071A3A" w:rsidRDefault="00071A3A" w:rsidP="0005739F">
      <w:pPr>
        <w:spacing w:line="360" w:lineRule="auto"/>
        <w:ind w:left="708"/>
        <w:rPr>
          <w:noProof/>
          <w:lang w:val="en-US"/>
        </w:rPr>
      </w:pPr>
      <w:r w:rsidRPr="00071A3A">
        <w:rPr>
          <w:noProof/>
          <w:lang w:val="en-US"/>
        </w:rPr>
        <w:t>attitudes and behaviors? A social exchange perspective. Journal of management, 40(4), 1123-1150.</w:t>
      </w:r>
    </w:p>
    <w:p w14:paraId="26200DE6" w14:textId="77777777" w:rsidR="0005739F" w:rsidRDefault="00071A3A" w:rsidP="001C1C48">
      <w:pPr>
        <w:spacing w:line="360" w:lineRule="auto"/>
        <w:rPr>
          <w:noProof/>
          <w:lang w:val="en-US"/>
        </w:rPr>
      </w:pPr>
      <w:r w:rsidRPr="00071A3A">
        <w:rPr>
          <w:noProof/>
          <w:lang w:val="en-US"/>
        </w:rPr>
        <w:t xml:space="preserve">Bakker, A. B., &amp; Bal, M. P. (2010). Weekly work engagement and performance: A study </w:t>
      </w:r>
    </w:p>
    <w:p w14:paraId="3F76FC4B" w14:textId="77417B31" w:rsidR="00071A3A" w:rsidRPr="00071A3A" w:rsidRDefault="00071A3A" w:rsidP="0005739F">
      <w:pPr>
        <w:spacing w:line="360" w:lineRule="auto"/>
        <w:ind w:left="708"/>
        <w:rPr>
          <w:noProof/>
          <w:lang w:val="en-US"/>
        </w:rPr>
      </w:pPr>
      <w:r w:rsidRPr="00071A3A">
        <w:rPr>
          <w:noProof/>
          <w:lang w:val="en-US"/>
        </w:rPr>
        <w:t xml:space="preserve">among starting teachers. Journal of Occupational and Organizational Psychology, 83, 189–206. </w:t>
      </w:r>
    </w:p>
    <w:p w14:paraId="398CAFBE" w14:textId="77777777" w:rsidR="0005739F" w:rsidRDefault="00071A3A" w:rsidP="001C1C48">
      <w:pPr>
        <w:spacing w:line="360" w:lineRule="auto"/>
        <w:rPr>
          <w:noProof/>
          <w:lang w:val="en-US"/>
        </w:rPr>
      </w:pPr>
      <w:r w:rsidRPr="00071A3A">
        <w:rPr>
          <w:noProof/>
          <w:lang w:val="en-US"/>
        </w:rPr>
        <w:t xml:space="preserve">Bakker, A. B., &amp; Demerouti, E. (2013). The Spillover-Crossover model. In J. Grzywacs &amp; E. </w:t>
      </w:r>
    </w:p>
    <w:p w14:paraId="52B98C62" w14:textId="4AE11FC5" w:rsidR="00071A3A" w:rsidRPr="00071A3A" w:rsidRDefault="00071A3A" w:rsidP="0005739F">
      <w:pPr>
        <w:spacing w:line="360" w:lineRule="auto"/>
        <w:ind w:left="708"/>
        <w:rPr>
          <w:noProof/>
          <w:lang w:val="en-US"/>
        </w:rPr>
      </w:pPr>
      <w:r w:rsidRPr="00071A3A">
        <w:rPr>
          <w:noProof/>
          <w:lang w:val="en-US"/>
        </w:rPr>
        <w:t xml:space="preserve">Demerouti (Eds.), New Frontiers in Work and Family Research (pp. 54–70). Hove Sussex, UK: Psychology Press. </w:t>
      </w:r>
    </w:p>
    <w:p w14:paraId="39B47912" w14:textId="77777777" w:rsidR="0005739F" w:rsidRDefault="00071A3A" w:rsidP="001C1C48">
      <w:pPr>
        <w:spacing w:line="360" w:lineRule="auto"/>
        <w:rPr>
          <w:noProof/>
          <w:lang w:val="en-US"/>
        </w:rPr>
      </w:pPr>
      <w:r w:rsidRPr="00071A3A">
        <w:rPr>
          <w:noProof/>
          <w:lang w:val="en-US"/>
        </w:rPr>
        <w:t xml:space="preserve">Bakker, A. B., &amp; Geurts, S. A. (2004). Toward a dual-process model of work-home </w:t>
      </w:r>
    </w:p>
    <w:p w14:paraId="334B5BDA" w14:textId="653EEA6E" w:rsidR="00071A3A" w:rsidRPr="00071A3A" w:rsidRDefault="00071A3A" w:rsidP="0005739F">
      <w:pPr>
        <w:spacing w:line="360" w:lineRule="auto"/>
        <w:ind w:firstLine="708"/>
        <w:rPr>
          <w:noProof/>
          <w:lang w:val="en-US"/>
        </w:rPr>
      </w:pPr>
      <w:r w:rsidRPr="00071A3A">
        <w:rPr>
          <w:noProof/>
          <w:lang w:val="en-US"/>
        </w:rPr>
        <w:t>interference. Work and occupations, 31(3), 345-366.</w:t>
      </w:r>
    </w:p>
    <w:p w14:paraId="7CEE8295" w14:textId="77777777" w:rsidR="0005739F" w:rsidRDefault="00071A3A" w:rsidP="001C1C48">
      <w:pPr>
        <w:spacing w:line="360" w:lineRule="auto"/>
        <w:rPr>
          <w:noProof/>
          <w:lang w:val="en-US"/>
        </w:rPr>
      </w:pPr>
      <w:r w:rsidRPr="00071A3A">
        <w:rPr>
          <w:noProof/>
          <w:lang w:val="en-US"/>
        </w:rPr>
        <w:t xml:space="preserve">Bakker, A. B., Demerouti, E., &amp; Euwema, M. C. (2005). Job resources buffer the impact of </w:t>
      </w:r>
    </w:p>
    <w:p w14:paraId="60B943CB" w14:textId="77777777" w:rsidR="0005739F" w:rsidRDefault="00071A3A" w:rsidP="0005739F">
      <w:pPr>
        <w:spacing w:line="360" w:lineRule="auto"/>
        <w:ind w:firstLine="708"/>
        <w:rPr>
          <w:noProof/>
          <w:lang w:val="en-US"/>
        </w:rPr>
      </w:pPr>
      <w:r w:rsidRPr="00071A3A">
        <w:rPr>
          <w:noProof/>
          <w:lang w:val="en-US"/>
        </w:rPr>
        <w:t>job demands on burnout. Journal of Occupational Health Psychology, 10, 170–180. Ballesteros Leiva, F., Poilpot‐Rocaboy, G., &amp; St‐Onge, S. (2018). Social support and life‐</w:t>
      </w:r>
    </w:p>
    <w:p w14:paraId="6D0F8246" w14:textId="65148EDB" w:rsidR="00071A3A" w:rsidRPr="00071A3A" w:rsidRDefault="00071A3A" w:rsidP="0005739F">
      <w:pPr>
        <w:spacing w:line="360" w:lineRule="auto"/>
        <w:ind w:left="708"/>
        <w:rPr>
          <w:noProof/>
          <w:lang w:val="en-US"/>
        </w:rPr>
      </w:pPr>
      <w:r w:rsidRPr="00071A3A">
        <w:rPr>
          <w:noProof/>
          <w:lang w:val="en-US"/>
        </w:rPr>
        <w:t>domain interactions among assigned and self‐initiated expatriates. European Management Review, 15(3), 293-313.</w:t>
      </w:r>
    </w:p>
    <w:p w14:paraId="50024B4D" w14:textId="77777777" w:rsidR="0005739F" w:rsidRDefault="00071A3A" w:rsidP="0005739F">
      <w:pPr>
        <w:spacing w:line="360" w:lineRule="auto"/>
        <w:rPr>
          <w:noProof/>
          <w:lang w:val="en-US"/>
        </w:rPr>
      </w:pPr>
      <w:r w:rsidRPr="00071A3A">
        <w:rPr>
          <w:noProof/>
          <w:lang w:val="en-US"/>
        </w:rPr>
        <w:t xml:space="preserve">Becker, T. E., Atinc, G., Breaugh, J. A., Carlson, K. D., Edwards, J. R., &amp; Spector, P. E. </w:t>
      </w:r>
    </w:p>
    <w:p w14:paraId="0705AD98" w14:textId="696482FE" w:rsidR="00071A3A" w:rsidRPr="00071A3A" w:rsidRDefault="00071A3A" w:rsidP="0005739F">
      <w:pPr>
        <w:spacing w:line="360" w:lineRule="auto"/>
        <w:ind w:left="708"/>
        <w:rPr>
          <w:noProof/>
          <w:lang w:val="en-US"/>
        </w:rPr>
      </w:pPr>
      <w:r w:rsidRPr="00071A3A">
        <w:rPr>
          <w:noProof/>
          <w:lang w:val="en-US"/>
        </w:rPr>
        <w:t>(2016). Statistical control in correlational studies: 10 essential recommendations for organizational researchers. Journal of Organizational Behavior, 37(2), 157-167.</w:t>
      </w:r>
    </w:p>
    <w:p w14:paraId="08A9A577" w14:textId="77777777" w:rsidR="0005739F" w:rsidRDefault="00071A3A" w:rsidP="0005739F">
      <w:pPr>
        <w:spacing w:line="360" w:lineRule="auto"/>
        <w:rPr>
          <w:noProof/>
          <w:lang w:val="en-US"/>
        </w:rPr>
      </w:pPr>
      <w:r w:rsidRPr="00071A3A">
        <w:rPr>
          <w:noProof/>
          <w:lang w:val="en-US"/>
        </w:rPr>
        <w:lastRenderedPageBreak/>
        <w:t xml:space="preserve">Bennett, R. J., &amp; Robinson, S. L. (2003). The past, present, and future of workplace deviance </w:t>
      </w:r>
    </w:p>
    <w:p w14:paraId="7FE164ED" w14:textId="030F9A93" w:rsidR="00071A3A" w:rsidRPr="00071A3A" w:rsidRDefault="00071A3A" w:rsidP="0005739F">
      <w:pPr>
        <w:spacing w:line="360" w:lineRule="auto"/>
        <w:ind w:firstLine="708"/>
        <w:rPr>
          <w:noProof/>
          <w:lang w:val="en-US"/>
        </w:rPr>
      </w:pPr>
      <w:r w:rsidRPr="00071A3A">
        <w:rPr>
          <w:noProof/>
          <w:lang w:val="en-US"/>
        </w:rPr>
        <w:t>research.</w:t>
      </w:r>
    </w:p>
    <w:p w14:paraId="23538A5B" w14:textId="77777777" w:rsidR="0005739F" w:rsidRDefault="00071A3A" w:rsidP="0005739F">
      <w:pPr>
        <w:spacing w:line="360" w:lineRule="auto"/>
        <w:rPr>
          <w:noProof/>
          <w:lang w:val="en-US"/>
        </w:rPr>
      </w:pPr>
      <w:r w:rsidRPr="00071A3A">
        <w:rPr>
          <w:noProof/>
          <w:lang w:val="en-US"/>
        </w:rPr>
        <w:t xml:space="preserve">Berkman, L. F., Buxton, O., Ertel, K., &amp; Okechukwu, C. (2010). Managers' practices related </w:t>
      </w:r>
    </w:p>
    <w:p w14:paraId="04E9C798" w14:textId="6F3D7237" w:rsidR="00071A3A" w:rsidRPr="00071A3A" w:rsidRDefault="00071A3A" w:rsidP="0005739F">
      <w:pPr>
        <w:spacing w:line="360" w:lineRule="auto"/>
        <w:ind w:left="708"/>
        <w:rPr>
          <w:noProof/>
          <w:lang w:val="en-US"/>
        </w:rPr>
      </w:pPr>
      <w:r w:rsidRPr="00071A3A">
        <w:rPr>
          <w:noProof/>
          <w:lang w:val="en-US"/>
        </w:rPr>
        <w:t>to work–family balance predict employee cardiovascular risk and sleep duration in extended care settings. Journal of occupational health psychology, 15(3), 316.</w:t>
      </w:r>
    </w:p>
    <w:p w14:paraId="3C7FAAFA" w14:textId="77777777" w:rsidR="0005739F" w:rsidRDefault="00071A3A" w:rsidP="0005739F">
      <w:pPr>
        <w:spacing w:line="360" w:lineRule="auto"/>
        <w:rPr>
          <w:noProof/>
          <w:lang w:val="en-US"/>
        </w:rPr>
      </w:pPr>
      <w:r w:rsidRPr="00071A3A">
        <w:rPr>
          <w:noProof/>
          <w:lang w:val="en-US"/>
        </w:rPr>
        <w:t xml:space="preserve">Bosch, M. J., Las Heras, M., Russo, M., Rofcanin, Y., &amp; i Grau, M. G. (2018). How context </w:t>
      </w:r>
    </w:p>
    <w:p w14:paraId="179AD07D" w14:textId="56EF7C48" w:rsidR="00071A3A" w:rsidRPr="00071A3A" w:rsidRDefault="00071A3A" w:rsidP="0005739F">
      <w:pPr>
        <w:spacing w:line="360" w:lineRule="auto"/>
        <w:ind w:left="708"/>
        <w:rPr>
          <w:noProof/>
          <w:lang w:val="en-US"/>
        </w:rPr>
      </w:pPr>
      <w:r w:rsidRPr="00071A3A">
        <w:rPr>
          <w:noProof/>
          <w:lang w:val="en-US"/>
        </w:rPr>
        <w:t>matters: The relationship between family supportive supervisor behaviours and motivation to work moderated by gender inequality. Journal of Business Research, 82, 46-55.</w:t>
      </w:r>
    </w:p>
    <w:p w14:paraId="08D8486B" w14:textId="77777777" w:rsidR="0005739F" w:rsidRDefault="00071A3A" w:rsidP="0005739F">
      <w:pPr>
        <w:spacing w:line="360" w:lineRule="auto"/>
        <w:rPr>
          <w:noProof/>
          <w:lang w:val="en-US"/>
        </w:rPr>
      </w:pPr>
      <w:r w:rsidRPr="00071A3A">
        <w:rPr>
          <w:noProof/>
          <w:lang w:val="en-US"/>
        </w:rPr>
        <w:t>Breaugh, J. A., &amp; Frye, N. K. (2008). Work–family conflict: The importance of family-</w:t>
      </w:r>
    </w:p>
    <w:p w14:paraId="293CFCB7" w14:textId="08CF03FA" w:rsidR="00071A3A" w:rsidRPr="00071A3A" w:rsidRDefault="00071A3A" w:rsidP="0005739F">
      <w:pPr>
        <w:spacing w:line="360" w:lineRule="auto"/>
        <w:ind w:left="708"/>
        <w:rPr>
          <w:noProof/>
          <w:lang w:val="en-US"/>
        </w:rPr>
      </w:pPr>
      <w:r w:rsidRPr="00071A3A">
        <w:rPr>
          <w:noProof/>
          <w:lang w:val="en-US"/>
        </w:rPr>
        <w:t>friendly employment practices and family-supportive supervisors. Journal of business and psychology, 22, 345-353.</w:t>
      </w:r>
    </w:p>
    <w:p w14:paraId="0FAA3929" w14:textId="77777777" w:rsidR="0005739F" w:rsidRDefault="00071A3A" w:rsidP="0005739F">
      <w:pPr>
        <w:spacing w:line="360" w:lineRule="auto"/>
        <w:rPr>
          <w:noProof/>
          <w:lang w:val="en-US"/>
        </w:rPr>
      </w:pPr>
      <w:r w:rsidRPr="00071A3A">
        <w:rPr>
          <w:noProof/>
          <w:lang w:val="en-US"/>
        </w:rPr>
        <w:t xml:space="preserve">Brislin, R. W. (1970). Back-translation for cross-cultural research. Journal of cross-cultural </w:t>
      </w:r>
    </w:p>
    <w:p w14:paraId="23B7BFE4" w14:textId="6C5EE5FE" w:rsidR="00071A3A" w:rsidRPr="00071A3A" w:rsidRDefault="00071A3A" w:rsidP="0005739F">
      <w:pPr>
        <w:spacing w:line="360" w:lineRule="auto"/>
        <w:ind w:firstLine="708"/>
        <w:rPr>
          <w:noProof/>
          <w:lang w:val="en-US"/>
        </w:rPr>
      </w:pPr>
      <w:r w:rsidRPr="00071A3A">
        <w:rPr>
          <w:noProof/>
          <w:lang w:val="en-US"/>
        </w:rPr>
        <w:t>psychology, 1(3), 185-216.</w:t>
      </w:r>
    </w:p>
    <w:p w14:paraId="40571DCD" w14:textId="77777777" w:rsidR="0005739F" w:rsidRDefault="00071A3A" w:rsidP="0005739F">
      <w:pPr>
        <w:spacing w:line="360" w:lineRule="auto"/>
        <w:rPr>
          <w:noProof/>
          <w:lang w:val="en-US"/>
        </w:rPr>
      </w:pPr>
      <w:r w:rsidRPr="00071A3A">
        <w:rPr>
          <w:noProof/>
          <w:lang w:val="en-US"/>
        </w:rPr>
        <w:t xml:space="preserve">Brossoit, R. M., Crain, T. L., Leslie, J. J., Hammer, L. B., Truxillo, D. M., &amp; Bodner, T. E. </w:t>
      </w:r>
    </w:p>
    <w:p w14:paraId="5B494546" w14:textId="105FA55A" w:rsidR="00071A3A" w:rsidRPr="00071A3A" w:rsidRDefault="00071A3A" w:rsidP="0005739F">
      <w:pPr>
        <w:spacing w:line="360" w:lineRule="auto"/>
        <w:ind w:left="708"/>
        <w:rPr>
          <w:noProof/>
          <w:lang w:val="en-US"/>
        </w:rPr>
      </w:pPr>
      <w:r w:rsidRPr="00071A3A">
        <w:rPr>
          <w:noProof/>
          <w:lang w:val="en-US"/>
        </w:rPr>
        <w:t>(2019). The effects of sleep on workplace cognitive failure and safety. Journal of Occupational Health Psychology, 24(4), 411.</w:t>
      </w:r>
    </w:p>
    <w:p w14:paraId="672E7757" w14:textId="77777777" w:rsidR="0005739F" w:rsidRDefault="00071A3A" w:rsidP="0005739F">
      <w:pPr>
        <w:spacing w:line="360" w:lineRule="auto"/>
        <w:rPr>
          <w:noProof/>
          <w:lang w:val="en-US"/>
        </w:rPr>
      </w:pPr>
      <w:r w:rsidRPr="00071A3A">
        <w:rPr>
          <w:noProof/>
          <w:lang w:val="en-US"/>
        </w:rPr>
        <w:t xml:space="preserve">Burke, R. J., &amp; Greenglass, E. R. (1999). Work–family conflict, spouse support, and nursing </w:t>
      </w:r>
    </w:p>
    <w:p w14:paraId="24F37828" w14:textId="691F0C79" w:rsidR="00071A3A" w:rsidRPr="00071A3A" w:rsidRDefault="00071A3A" w:rsidP="0005739F">
      <w:pPr>
        <w:spacing w:line="360" w:lineRule="auto"/>
        <w:ind w:left="708"/>
        <w:rPr>
          <w:noProof/>
          <w:lang w:val="en-US"/>
        </w:rPr>
      </w:pPr>
      <w:r w:rsidRPr="00071A3A">
        <w:rPr>
          <w:noProof/>
          <w:lang w:val="en-US"/>
        </w:rPr>
        <w:t>staff well-being during organizational restructuring. Journal of occupational health psychology, 4(4), 327.</w:t>
      </w:r>
    </w:p>
    <w:p w14:paraId="67093C03" w14:textId="77777777" w:rsidR="0005739F" w:rsidRDefault="00071A3A" w:rsidP="0005739F">
      <w:pPr>
        <w:spacing w:line="360" w:lineRule="auto"/>
        <w:rPr>
          <w:noProof/>
          <w:lang w:val="en-US"/>
        </w:rPr>
      </w:pPr>
      <w:r w:rsidRPr="00071A3A">
        <w:rPr>
          <w:noProof/>
          <w:lang w:val="en-US"/>
        </w:rPr>
        <w:t xml:space="preserve">Carlson, D. S., Kacmar, K. M., Wayne, J. H., &amp; Grzywacz, J. G. (2006). Measuring the </w:t>
      </w:r>
    </w:p>
    <w:p w14:paraId="2B555553" w14:textId="7CA52855" w:rsidR="00071A3A" w:rsidRPr="00071A3A" w:rsidRDefault="00071A3A" w:rsidP="0005739F">
      <w:pPr>
        <w:spacing w:line="360" w:lineRule="auto"/>
        <w:ind w:left="708"/>
        <w:rPr>
          <w:noProof/>
          <w:lang w:val="en-US"/>
        </w:rPr>
      </w:pPr>
      <w:r w:rsidRPr="00071A3A">
        <w:rPr>
          <w:noProof/>
          <w:lang w:val="en-US"/>
        </w:rPr>
        <w:t>positive side of the work–family interface: Development and validation of a work–family enrichment scale. Journal of vocational behavior, 68(1), 131-164.</w:t>
      </w:r>
    </w:p>
    <w:p w14:paraId="6884FE55" w14:textId="77777777" w:rsidR="0005739F" w:rsidRDefault="00071A3A" w:rsidP="0005739F">
      <w:pPr>
        <w:spacing w:line="360" w:lineRule="auto"/>
        <w:rPr>
          <w:noProof/>
          <w:lang w:val="en-US"/>
        </w:rPr>
      </w:pPr>
      <w:r w:rsidRPr="00071A3A">
        <w:rPr>
          <w:noProof/>
          <w:lang w:val="en-US"/>
        </w:rPr>
        <w:t xml:space="preserve">Cirella, S. (2021). Managing collective creativity: Organizational variables to support creative </w:t>
      </w:r>
    </w:p>
    <w:p w14:paraId="03B70CE0" w14:textId="68503819" w:rsidR="00071A3A" w:rsidRPr="00071A3A" w:rsidRDefault="00071A3A" w:rsidP="0005739F">
      <w:pPr>
        <w:spacing w:line="360" w:lineRule="auto"/>
        <w:ind w:firstLine="708"/>
        <w:rPr>
          <w:noProof/>
          <w:lang w:val="en-US"/>
        </w:rPr>
      </w:pPr>
      <w:r w:rsidRPr="00071A3A">
        <w:rPr>
          <w:noProof/>
          <w:lang w:val="en-US"/>
        </w:rPr>
        <w:t>teamwork. European Management Review, 18(4), 404-417.</w:t>
      </w:r>
    </w:p>
    <w:p w14:paraId="0363FC9A" w14:textId="77777777" w:rsidR="0005739F" w:rsidRDefault="00071A3A" w:rsidP="0005739F">
      <w:pPr>
        <w:spacing w:line="360" w:lineRule="auto"/>
        <w:rPr>
          <w:noProof/>
          <w:lang w:val="en-US"/>
        </w:rPr>
      </w:pPr>
      <w:r w:rsidRPr="00071A3A">
        <w:rPr>
          <w:noProof/>
          <w:lang w:val="en-US"/>
        </w:rPr>
        <w:t xml:space="preserve">Crain, T. L., &amp; Stevens, S. C. (2018). Family‐supportive supervisor behaviors: A review and </w:t>
      </w:r>
    </w:p>
    <w:p w14:paraId="207597F0" w14:textId="511DE842" w:rsidR="00071A3A" w:rsidRPr="00071A3A" w:rsidRDefault="00071A3A" w:rsidP="0005739F">
      <w:pPr>
        <w:spacing w:line="360" w:lineRule="auto"/>
        <w:ind w:left="708"/>
        <w:rPr>
          <w:noProof/>
          <w:lang w:val="en-US"/>
        </w:rPr>
      </w:pPr>
      <w:r w:rsidRPr="00071A3A">
        <w:rPr>
          <w:noProof/>
          <w:lang w:val="en-US"/>
        </w:rPr>
        <w:t>recommendations for research and practice. Journal of Organizational behavior, 39(7), 869-888.</w:t>
      </w:r>
    </w:p>
    <w:p w14:paraId="47C28A6B" w14:textId="77777777" w:rsidR="0005739F" w:rsidRDefault="00071A3A" w:rsidP="0005739F">
      <w:pPr>
        <w:spacing w:line="360" w:lineRule="auto"/>
        <w:rPr>
          <w:noProof/>
          <w:lang w:val="en-US"/>
        </w:rPr>
      </w:pPr>
      <w:r w:rsidRPr="00071A3A">
        <w:rPr>
          <w:noProof/>
          <w:lang w:val="en-US"/>
        </w:rPr>
        <w:t xml:space="preserve">Crain, T. L., Hammer, L. B., Bodner, T., Kossek, E. E., Moen, P., Lilienthal, R., &amp; Buxton, </w:t>
      </w:r>
    </w:p>
    <w:p w14:paraId="5A528C41" w14:textId="2DDE6482" w:rsidR="00071A3A" w:rsidRPr="00071A3A" w:rsidRDefault="00071A3A" w:rsidP="0005739F">
      <w:pPr>
        <w:spacing w:line="360" w:lineRule="auto"/>
        <w:ind w:left="708"/>
        <w:rPr>
          <w:noProof/>
          <w:lang w:val="en-US"/>
        </w:rPr>
      </w:pPr>
      <w:r w:rsidRPr="00071A3A">
        <w:rPr>
          <w:noProof/>
          <w:lang w:val="en-US"/>
        </w:rPr>
        <w:t>O. M. (2014). Work–family conflict, family-supportive supervisor behaviors (FSSB), and sleep outcomes. Journal of occupational health psychology, 19(2), 155.</w:t>
      </w:r>
    </w:p>
    <w:p w14:paraId="2EACAAF1" w14:textId="77777777" w:rsidR="0005739F" w:rsidRDefault="00071A3A" w:rsidP="0005739F">
      <w:pPr>
        <w:spacing w:line="360" w:lineRule="auto"/>
        <w:rPr>
          <w:noProof/>
          <w:lang w:val="en-US"/>
        </w:rPr>
      </w:pPr>
      <w:r w:rsidRPr="00071A3A">
        <w:rPr>
          <w:noProof/>
          <w:lang w:val="en-US"/>
        </w:rPr>
        <w:t xml:space="preserve">De Clercq, D., &amp; Pereira, R. (2022). Overwhelmed by family, but supported by likeminded, </w:t>
      </w:r>
    </w:p>
    <w:p w14:paraId="2BDB910D" w14:textId="0D4517BF" w:rsidR="00071A3A" w:rsidRPr="00071A3A" w:rsidRDefault="00071A3A" w:rsidP="0005739F">
      <w:pPr>
        <w:spacing w:line="360" w:lineRule="auto"/>
        <w:ind w:left="708"/>
        <w:rPr>
          <w:noProof/>
          <w:lang w:val="en-US"/>
        </w:rPr>
      </w:pPr>
      <w:r w:rsidRPr="00071A3A">
        <w:rPr>
          <w:noProof/>
          <w:lang w:val="en-US"/>
        </w:rPr>
        <w:t>trustworthy coworkers: effects on role ambiguity and championing behaviors. Journal of Organizational Effectiveness: People and Performance, (ahead-of-print).</w:t>
      </w:r>
    </w:p>
    <w:p w14:paraId="33EE16A9" w14:textId="77777777" w:rsidR="0005739F" w:rsidRDefault="00071A3A" w:rsidP="0005739F">
      <w:pPr>
        <w:spacing w:line="360" w:lineRule="auto"/>
        <w:rPr>
          <w:noProof/>
          <w:lang w:val="en-US"/>
        </w:rPr>
      </w:pPr>
      <w:r w:rsidRPr="00071A3A">
        <w:rPr>
          <w:noProof/>
          <w:lang w:val="en-US"/>
        </w:rPr>
        <w:lastRenderedPageBreak/>
        <w:t xml:space="preserve">De Clercq, D., &amp; Pereira, R. (2023). Violated contracts, inadequate career support, but still </w:t>
      </w:r>
    </w:p>
    <w:p w14:paraId="215867BB" w14:textId="3126AE00" w:rsidR="00071A3A" w:rsidRPr="00071A3A" w:rsidRDefault="00071A3A" w:rsidP="0005739F">
      <w:pPr>
        <w:spacing w:line="360" w:lineRule="auto"/>
        <w:ind w:left="708"/>
        <w:rPr>
          <w:noProof/>
          <w:lang w:val="en-US"/>
        </w:rPr>
      </w:pPr>
      <w:r w:rsidRPr="00071A3A">
        <w:rPr>
          <w:noProof/>
          <w:lang w:val="en-US"/>
        </w:rPr>
        <w:t>forgiveness: Key organizational factors that determine championing behaviors. European Management Review.</w:t>
      </w:r>
    </w:p>
    <w:p w14:paraId="14E15BBC" w14:textId="77777777" w:rsidR="0005739F" w:rsidRDefault="00071A3A" w:rsidP="0005739F">
      <w:pPr>
        <w:spacing w:line="360" w:lineRule="auto"/>
        <w:rPr>
          <w:noProof/>
          <w:lang w:val="en-US"/>
        </w:rPr>
      </w:pPr>
      <w:r w:rsidRPr="00071A3A">
        <w:rPr>
          <w:noProof/>
          <w:lang w:val="en-US"/>
        </w:rPr>
        <w:t xml:space="preserve">Demerouti, E., Mostert, K., &amp; Bakker, A. B. (2010). Burnout and work engagement: a </w:t>
      </w:r>
    </w:p>
    <w:p w14:paraId="579039C3" w14:textId="4FE81102" w:rsidR="00071A3A" w:rsidRPr="00071A3A" w:rsidRDefault="00071A3A" w:rsidP="0005739F">
      <w:pPr>
        <w:spacing w:line="360" w:lineRule="auto"/>
        <w:ind w:left="708"/>
        <w:rPr>
          <w:noProof/>
          <w:lang w:val="en-US"/>
        </w:rPr>
      </w:pPr>
      <w:r w:rsidRPr="00071A3A">
        <w:rPr>
          <w:noProof/>
          <w:lang w:val="en-US"/>
        </w:rPr>
        <w:t>thorough investigation of the independency of both constructs. Journal of occupational health psychology, 15(3), 209.</w:t>
      </w:r>
    </w:p>
    <w:p w14:paraId="379B4CCE" w14:textId="77777777" w:rsidR="0005739F" w:rsidRDefault="00071A3A" w:rsidP="0005739F">
      <w:pPr>
        <w:spacing w:line="360" w:lineRule="auto"/>
        <w:rPr>
          <w:noProof/>
          <w:lang w:val="en-US"/>
        </w:rPr>
      </w:pPr>
      <w:r w:rsidRPr="00071A3A">
        <w:rPr>
          <w:noProof/>
          <w:lang w:val="en-US"/>
        </w:rPr>
        <w:t xml:space="preserve">Demerouti, E., Taris, T. W., &amp; Bakker, A. B. (2007). Need for recovery, home–work </w:t>
      </w:r>
    </w:p>
    <w:p w14:paraId="5304DCF5" w14:textId="24890541" w:rsidR="00071A3A" w:rsidRPr="00071A3A" w:rsidRDefault="00071A3A" w:rsidP="0005739F">
      <w:pPr>
        <w:spacing w:line="360" w:lineRule="auto"/>
        <w:ind w:left="708"/>
        <w:rPr>
          <w:noProof/>
          <w:lang w:val="en-US"/>
        </w:rPr>
      </w:pPr>
      <w:r w:rsidRPr="00071A3A">
        <w:rPr>
          <w:noProof/>
          <w:lang w:val="en-US"/>
        </w:rPr>
        <w:t>interference and performance: Is lack of concentration the link?. Journal of Vocational Behavior, 71(2), 204-220.</w:t>
      </w:r>
    </w:p>
    <w:p w14:paraId="7A04924B" w14:textId="77777777" w:rsidR="0005739F" w:rsidRDefault="00071A3A" w:rsidP="0005739F">
      <w:pPr>
        <w:spacing w:line="360" w:lineRule="auto"/>
        <w:rPr>
          <w:noProof/>
          <w:lang w:val="en-US"/>
        </w:rPr>
      </w:pPr>
      <w:r w:rsidRPr="00071A3A">
        <w:rPr>
          <w:noProof/>
          <w:lang w:val="en-US"/>
        </w:rPr>
        <w:t xml:space="preserve">Du, D., Bakker, A. B., &amp; Derks, D. (2020). Capitalization on positive family events and task </w:t>
      </w:r>
    </w:p>
    <w:p w14:paraId="7C9D8B27" w14:textId="5BDE4B88" w:rsidR="00071A3A" w:rsidRPr="00071A3A" w:rsidRDefault="00071A3A" w:rsidP="0005739F">
      <w:pPr>
        <w:spacing w:line="360" w:lineRule="auto"/>
        <w:ind w:left="708"/>
        <w:rPr>
          <w:noProof/>
          <w:lang w:val="en-US"/>
        </w:rPr>
      </w:pPr>
      <w:r w:rsidRPr="00071A3A">
        <w:rPr>
          <w:noProof/>
          <w:lang w:val="en-US"/>
        </w:rPr>
        <w:t>performance: A perspective from the work–home resources model. Journal of Occupational Health Psychology, 25(5), 357.</w:t>
      </w:r>
    </w:p>
    <w:p w14:paraId="27E4D251" w14:textId="77777777" w:rsidR="0005739F" w:rsidRDefault="00071A3A" w:rsidP="0005739F">
      <w:pPr>
        <w:spacing w:line="360" w:lineRule="auto"/>
        <w:rPr>
          <w:noProof/>
          <w:lang w:val="en-US"/>
        </w:rPr>
      </w:pPr>
      <w:r w:rsidRPr="00071A3A">
        <w:rPr>
          <w:noProof/>
          <w:lang w:val="en-US"/>
        </w:rPr>
        <w:t xml:space="preserve">Du, D., Derks, D., &amp; Bakker, A. B. (2018). Daily spillover from family to work: A test of the </w:t>
      </w:r>
    </w:p>
    <w:p w14:paraId="42F04371" w14:textId="1C6D4B0C" w:rsidR="00071A3A" w:rsidRPr="00071A3A" w:rsidRDefault="00071A3A" w:rsidP="0005739F">
      <w:pPr>
        <w:spacing w:line="360" w:lineRule="auto"/>
        <w:ind w:firstLine="708"/>
        <w:rPr>
          <w:noProof/>
          <w:lang w:val="en-US"/>
        </w:rPr>
      </w:pPr>
      <w:r w:rsidRPr="00071A3A">
        <w:rPr>
          <w:noProof/>
          <w:lang w:val="en-US"/>
        </w:rPr>
        <w:t>work–home resources model. Journal of Occupational Health Psychology, 23(2), 237.</w:t>
      </w:r>
    </w:p>
    <w:p w14:paraId="187FEC79" w14:textId="77777777" w:rsidR="0005739F" w:rsidRDefault="00071A3A" w:rsidP="0005739F">
      <w:pPr>
        <w:spacing w:line="360" w:lineRule="auto"/>
        <w:rPr>
          <w:noProof/>
          <w:lang w:val="en-US"/>
        </w:rPr>
      </w:pPr>
      <w:r w:rsidRPr="00071A3A">
        <w:rPr>
          <w:noProof/>
          <w:lang w:val="en-US"/>
        </w:rPr>
        <w:t xml:space="preserve">Eisinga, R., Grotenhuis, M. T., &amp; Pelzer, B. (2013). The reliability of a two-item scale: </w:t>
      </w:r>
    </w:p>
    <w:p w14:paraId="16580BA9" w14:textId="106547CB" w:rsidR="00071A3A" w:rsidRPr="00071A3A" w:rsidRDefault="00071A3A" w:rsidP="0005739F">
      <w:pPr>
        <w:spacing w:line="360" w:lineRule="auto"/>
        <w:ind w:left="708"/>
        <w:rPr>
          <w:noProof/>
          <w:lang w:val="en-US"/>
        </w:rPr>
      </w:pPr>
      <w:r w:rsidRPr="00071A3A">
        <w:rPr>
          <w:noProof/>
          <w:lang w:val="en-US"/>
        </w:rPr>
        <w:t>Pearson, Cronbach, or Spearman-Brown?. International journal of public health, 58, 637-642.</w:t>
      </w:r>
    </w:p>
    <w:p w14:paraId="4BF6F159" w14:textId="77777777" w:rsidR="0005739F" w:rsidRDefault="00071A3A" w:rsidP="0005739F">
      <w:pPr>
        <w:spacing w:line="360" w:lineRule="auto"/>
        <w:rPr>
          <w:noProof/>
          <w:lang w:val="en-US"/>
        </w:rPr>
      </w:pPr>
      <w:r w:rsidRPr="00071A3A">
        <w:rPr>
          <w:noProof/>
          <w:lang w:val="en-US"/>
        </w:rPr>
        <w:t xml:space="preserve">Ferguson, M., Carlson, D., Hunter, E. M., &amp; Whitten, D. (2012). A two-study examination of </w:t>
      </w:r>
    </w:p>
    <w:p w14:paraId="4AC4226B" w14:textId="7E9F9A7F" w:rsidR="00071A3A" w:rsidRPr="00520747" w:rsidRDefault="00071A3A" w:rsidP="0005739F">
      <w:pPr>
        <w:spacing w:line="360" w:lineRule="auto"/>
        <w:ind w:left="708"/>
        <w:rPr>
          <w:noProof/>
        </w:rPr>
      </w:pPr>
      <w:r w:rsidRPr="00071A3A">
        <w:rPr>
          <w:noProof/>
          <w:lang w:val="en-US"/>
        </w:rPr>
        <w:t>work–family conflict, production deviance and gender. Journal of Vocational Behavior, 81(2), 245-258.</w:t>
      </w:r>
    </w:p>
    <w:p w14:paraId="1A7B932D" w14:textId="77777777" w:rsidR="0005739F" w:rsidRDefault="00071A3A" w:rsidP="0005739F">
      <w:pPr>
        <w:spacing w:line="360" w:lineRule="auto"/>
        <w:rPr>
          <w:noProof/>
          <w:lang w:val="en-US"/>
        </w:rPr>
      </w:pPr>
      <w:r w:rsidRPr="00071A3A">
        <w:rPr>
          <w:noProof/>
          <w:lang w:val="en-US"/>
        </w:rPr>
        <w:t>French, K. A., Dumani, S., Allen, T. D., &amp; Shockley, K. M. (2018). A meta-analysis of work–</w:t>
      </w:r>
    </w:p>
    <w:p w14:paraId="61693C69" w14:textId="5B95BCDF" w:rsidR="00071A3A" w:rsidRPr="00071A3A" w:rsidRDefault="00071A3A" w:rsidP="0005739F">
      <w:pPr>
        <w:spacing w:line="360" w:lineRule="auto"/>
        <w:ind w:firstLine="708"/>
        <w:rPr>
          <w:noProof/>
          <w:lang w:val="en-US"/>
        </w:rPr>
      </w:pPr>
      <w:r w:rsidRPr="00071A3A">
        <w:rPr>
          <w:noProof/>
          <w:lang w:val="en-US"/>
        </w:rPr>
        <w:t>family conflict and social support. Psychological bulletin, 144(3), 284.</w:t>
      </w:r>
    </w:p>
    <w:p w14:paraId="09F70CA7" w14:textId="77777777" w:rsidR="0005739F" w:rsidRDefault="00071A3A" w:rsidP="0005739F">
      <w:pPr>
        <w:spacing w:line="360" w:lineRule="auto"/>
        <w:rPr>
          <w:noProof/>
          <w:lang w:val="en-US"/>
        </w:rPr>
      </w:pPr>
      <w:r w:rsidRPr="00071A3A">
        <w:rPr>
          <w:noProof/>
          <w:lang w:val="en-US"/>
        </w:rPr>
        <w:t xml:space="preserve">Gorgievski, M. J., Bakker, A. B., &amp; Schaufeli, W. B. (2010). Work engagement and </w:t>
      </w:r>
    </w:p>
    <w:p w14:paraId="1D3F644F" w14:textId="11C9E8DC" w:rsidR="00071A3A" w:rsidRPr="00071A3A" w:rsidRDefault="00071A3A" w:rsidP="0005739F">
      <w:pPr>
        <w:spacing w:line="360" w:lineRule="auto"/>
        <w:ind w:left="708"/>
        <w:rPr>
          <w:noProof/>
          <w:lang w:val="en-US"/>
        </w:rPr>
      </w:pPr>
      <w:r w:rsidRPr="00071A3A">
        <w:rPr>
          <w:noProof/>
          <w:lang w:val="en-US"/>
        </w:rPr>
        <w:t xml:space="preserve">workaholism: comparing the self-employed and salaried employees. The Journal of Positive Psychology, 5(1), 83–96. </w:t>
      </w:r>
      <w:hyperlink r:id="rId18" w:history="1">
        <w:r w:rsidRPr="00071A3A">
          <w:rPr>
            <w:noProof/>
            <w:lang w:val="en-US"/>
          </w:rPr>
          <w:t>https://doi.org/10.1080/17439760903509606</w:t>
        </w:r>
      </w:hyperlink>
    </w:p>
    <w:p w14:paraId="3C375B1D" w14:textId="77777777" w:rsidR="0005739F" w:rsidRDefault="00071A3A" w:rsidP="0005739F">
      <w:pPr>
        <w:spacing w:line="360" w:lineRule="auto"/>
        <w:rPr>
          <w:noProof/>
          <w:lang w:val="en-US"/>
        </w:rPr>
      </w:pPr>
      <w:r w:rsidRPr="00071A3A">
        <w:rPr>
          <w:noProof/>
          <w:lang w:val="en-US"/>
        </w:rPr>
        <w:t xml:space="preserve">Hammer, L. B., Ernst Kossek, E., Bodner, T., &amp; Crain, T. (2013). Measurement development </w:t>
      </w:r>
    </w:p>
    <w:p w14:paraId="23F7EE36" w14:textId="65AD1624" w:rsidR="00071A3A" w:rsidRPr="00071A3A" w:rsidRDefault="00071A3A" w:rsidP="0005739F">
      <w:pPr>
        <w:spacing w:line="360" w:lineRule="auto"/>
        <w:ind w:left="708"/>
        <w:rPr>
          <w:noProof/>
          <w:lang w:val="en-US"/>
        </w:rPr>
      </w:pPr>
      <w:r w:rsidRPr="00071A3A">
        <w:rPr>
          <w:noProof/>
          <w:lang w:val="en-US"/>
        </w:rPr>
        <w:t>and validation of the family supportive supervisor behavior short-form (FSSB-SF). Journal of occupational health psychology, 18(3), 285.</w:t>
      </w:r>
    </w:p>
    <w:p w14:paraId="085A9254" w14:textId="77777777" w:rsidR="0005739F" w:rsidRDefault="00071A3A" w:rsidP="0005739F">
      <w:pPr>
        <w:spacing w:line="360" w:lineRule="auto"/>
        <w:rPr>
          <w:noProof/>
          <w:lang w:val="en-US"/>
        </w:rPr>
      </w:pPr>
      <w:r w:rsidRPr="00071A3A">
        <w:rPr>
          <w:noProof/>
          <w:lang w:val="en-US"/>
        </w:rPr>
        <w:t xml:space="preserve">Hammer, L. B., Ernst Kossek, E., Bodner, T., &amp; Crain, T. (2013). Measurement development </w:t>
      </w:r>
    </w:p>
    <w:p w14:paraId="797A5A57" w14:textId="32AF40ED" w:rsidR="00071A3A" w:rsidRPr="00071A3A" w:rsidRDefault="00071A3A" w:rsidP="0005739F">
      <w:pPr>
        <w:spacing w:line="360" w:lineRule="auto"/>
        <w:ind w:left="708"/>
        <w:rPr>
          <w:noProof/>
          <w:lang w:val="en-US"/>
        </w:rPr>
      </w:pPr>
      <w:r w:rsidRPr="00071A3A">
        <w:rPr>
          <w:noProof/>
          <w:lang w:val="en-US"/>
        </w:rPr>
        <w:t>and validation of the family supportive supervisor behavior short-form (FSSB-SF). Journal of occupational health psychology, 18(3), 285.</w:t>
      </w:r>
    </w:p>
    <w:p w14:paraId="0D02A143" w14:textId="77777777" w:rsidR="0005739F" w:rsidRDefault="00071A3A" w:rsidP="0005739F">
      <w:pPr>
        <w:spacing w:line="360" w:lineRule="auto"/>
        <w:rPr>
          <w:noProof/>
          <w:lang w:val="en-US"/>
        </w:rPr>
      </w:pPr>
      <w:r w:rsidRPr="00071A3A">
        <w:rPr>
          <w:noProof/>
          <w:lang w:val="en-US"/>
        </w:rPr>
        <w:t xml:space="preserve">Hammer, L. B., Kossek, E. E., Yragui, N. L., Bodner, T. E., &amp; Hanson, G. C. (2009). </w:t>
      </w:r>
    </w:p>
    <w:p w14:paraId="65E8BBCE" w14:textId="15AC45E8" w:rsidR="00071A3A" w:rsidRPr="00071A3A" w:rsidRDefault="00071A3A" w:rsidP="0005739F">
      <w:pPr>
        <w:spacing w:line="360" w:lineRule="auto"/>
        <w:ind w:left="708"/>
        <w:rPr>
          <w:noProof/>
          <w:lang w:val="en-US"/>
        </w:rPr>
      </w:pPr>
      <w:r w:rsidRPr="00071A3A">
        <w:rPr>
          <w:noProof/>
          <w:lang w:val="en-US"/>
        </w:rPr>
        <w:t>Development and validation of a multidimensional measure of family supportive supervisor behaviors (FSSB). Journal of management, 35(4), 837-856.</w:t>
      </w:r>
    </w:p>
    <w:p w14:paraId="1A786972" w14:textId="77777777" w:rsidR="0005739F" w:rsidRDefault="00071A3A" w:rsidP="0005739F">
      <w:pPr>
        <w:spacing w:line="360" w:lineRule="auto"/>
        <w:rPr>
          <w:noProof/>
          <w:lang w:val="en-US"/>
        </w:rPr>
      </w:pPr>
      <w:r w:rsidRPr="00071A3A">
        <w:rPr>
          <w:noProof/>
          <w:lang w:val="en-US"/>
        </w:rPr>
        <w:lastRenderedPageBreak/>
        <w:t xml:space="preserve">Han, S. J., &amp; McLean, G. N. (2020). Effects of family-supportive supervisor behaviors and </w:t>
      </w:r>
    </w:p>
    <w:p w14:paraId="2C79C5F3" w14:textId="38F141DC" w:rsidR="00071A3A" w:rsidRPr="00071A3A" w:rsidRDefault="00071A3A" w:rsidP="0005739F">
      <w:pPr>
        <w:spacing w:line="360" w:lineRule="auto"/>
        <w:ind w:left="708"/>
        <w:rPr>
          <w:noProof/>
          <w:lang w:val="en-US"/>
        </w:rPr>
      </w:pPr>
      <w:r w:rsidRPr="00071A3A">
        <w:rPr>
          <w:noProof/>
          <w:lang w:val="en-US"/>
        </w:rPr>
        <w:t>organizational climate on employees. European Journal of Training and Development, 44(6/7), 659-674.</w:t>
      </w:r>
    </w:p>
    <w:p w14:paraId="651F1CBE" w14:textId="77777777" w:rsidR="0005739F" w:rsidRDefault="00071A3A" w:rsidP="0005739F">
      <w:pPr>
        <w:spacing w:line="360" w:lineRule="auto"/>
        <w:rPr>
          <w:noProof/>
          <w:lang w:val="en-US"/>
        </w:rPr>
      </w:pPr>
      <w:r w:rsidRPr="00071A3A">
        <w:rPr>
          <w:noProof/>
          <w:lang w:val="en-US"/>
        </w:rPr>
        <w:t xml:space="preserve">Hill, R. T., Morganson, V. J., Matthews, R. A., &amp; Atkinson, T. P. (2016). LMX, breach </w:t>
      </w:r>
    </w:p>
    <w:p w14:paraId="56ABB545" w14:textId="1871E9B2" w:rsidR="00071A3A" w:rsidRPr="00071A3A" w:rsidRDefault="00071A3A" w:rsidP="0005739F">
      <w:pPr>
        <w:spacing w:line="360" w:lineRule="auto"/>
        <w:ind w:left="708"/>
        <w:rPr>
          <w:noProof/>
          <w:lang w:val="en-US"/>
        </w:rPr>
      </w:pPr>
      <w:r w:rsidRPr="00071A3A">
        <w:rPr>
          <w:noProof/>
          <w:lang w:val="en-US"/>
        </w:rPr>
        <w:t>perceptions, work-family conflict, and well-being: A mediational model. The Journal of psychology, 150(1), 132-149.</w:t>
      </w:r>
    </w:p>
    <w:p w14:paraId="5C7B75B2" w14:textId="77777777" w:rsidR="0005739F" w:rsidRDefault="00071A3A" w:rsidP="0005739F">
      <w:pPr>
        <w:spacing w:line="360" w:lineRule="auto"/>
        <w:rPr>
          <w:noProof/>
          <w:lang w:val="en-US"/>
        </w:rPr>
      </w:pPr>
      <w:r w:rsidRPr="00071A3A">
        <w:rPr>
          <w:noProof/>
          <w:lang w:val="en-US"/>
        </w:rPr>
        <w:t xml:space="preserve">Hobfoll, S. E. (2002). Social and psychological resources and adaptation. Review of general </w:t>
      </w:r>
    </w:p>
    <w:p w14:paraId="14560889" w14:textId="759E7F02" w:rsidR="00071A3A" w:rsidRPr="00071A3A" w:rsidRDefault="00071A3A" w:rsidP="0005739F">
      <w:pPr>
        <w:spacing w:line="360" w:lineRule="auto"/>
        <w:ind w:firstLine="708"/>
        <w:rPr>
          <w:noProof/>
          <w:lang w:val="en-US"/>
        </w:rPr>
      </w:pPr>
      <w:r w:rsidRPr="00071A3A">
        <w:rPr>
          <w:noProof/>
          <w:lang w:val="en-US"/>
        </w:rPr>
        <w:t>psychology, 6(4), 307-324.</w:t>
      </w:r>
    </w:p>
    <w:p w14:paraId="6821FE52" w14:textId="77777777" w:rsidR="0005739F" w:rsidRDefault="00071A3A" w:rsidP="0005739F">
      <w:pPr>
        <w:spacing w:line="360" w:lineRule="auto"/>
        <w:rPr>
          <w:noProof/>
          <w:lang w:val="en-US"/>
        </w:rPr>
      </w:pPr>
      <w:r w:rsidRPr="00071A3A">
        <w:rPr>
          <w:noProof/>
          <w:lang w:val="en-US"/>
        </w:rPr>
        <w:t xml:space="preserve">Hobfoll, S. E., Halbesleben, J., Neveu, J. P., &amp; Westman, M. (2018). Conservation of </w:t>
      </w:r>
    </w:p>
    <w:p w14:paraId="43923BE6" w14:textId="075F252E" w:rsidR="00071A3A" w:rsidRPr="00071A3A" w:rsidRDefault="00071A3A" w:rsidP="0005739F">
      <w:pPr>
        <w:spacing w:line="360" w:lineRule="auto"/>
        <w:ind w:left="708"/>
        <w:rPr>
          <w:noProof/>
          <w:lang w:val="en-US"/>
        </w:rPr>
      </w:pPr>
      <w:r w:rsidRPr="00071A3A">
        <w:rPr>
          <w:noProof/>
          <w:lang w:val="en-US"/>
        </w:rPr>
        <w:t>resources in the organizational context: The reality of resources and their consequences. Annual review of organizational psychology and organizational behavior, 5, 103-128.</w:t>
      </w:r>
    </w:p>
    <w:p w14:paraId="0E44396B" w14:textId="77777777" w:rsidR="0005739F" w:rsidRDefault="00071A3A" w:rsidP="0005739F">
      <w:pPr>
        <w:spacing w:line="360" w:lineRule="auto"/>
        <w:rPr>
          <w:noProof/>
          <w:lang w:val="en-US"/>
        </w:rPr>
      </w:pPr>
      <w:r w:rsidRPr="00071A3A">
        <w:rPr>
          <w:noProof/>
          <w:lang w:val="en-US"/>
        </w:rPr>
        <w:t xml:space="preserve">Hobfoll, S. E., Johnson, R. J., Ennis, N., &amp; Jackson, A. P. (2003). Resource loss, resource </w:t>
      </w:r>
    </w:p>
    <w:p w14:paraId="5C10AF02" w14:textId="7B267ADC" w:rsidR="00071A3A" w:rsidRPr="00071A3A" w:rsidRDefault="00071A3A" w:rsidP="0005739F">
      <w:pPr>
        <w:spacing w:line="360" w:lineRule="auto"/>
        <w:ind w:left="708"/>
        <w:rPr>
          <w:noProof/>
          <w:lang w:val="en-US"/>
        </w:rPr>
      </w:pPr>
      <w:r w:rsidRPr="00071A3A">
        <w:rPr>
          <w:noProof/>
          <w:lang w:val="en-US"/>
        </w:rPr>
        <w:t>gain, and emotional outcomes among inner city women. Journal of personality and social psychology, 84(3), 632.</w:t>
      </w:r>
    </w:p>
    <w:p w14:paraId="52B62261" w14:textId="77777777" w:rsidR="0005739F" w:rsidRDefault="00071A3A" w:rsidP="0005739F">
      <w:pPr>
        <w:spacing w:line="360" w:lineRule="auto"/>
        <w:rPr>
          <w:noProof/>
          <w:lang w:val="en-US"/>
        </w:rPr>
      </w:pPr>
      <w:r w:rsidRPr="00071A3A">
        <w:rPr>
          <w:noProof/>
          <w:lang w:val="en-US"/>
        </w:rPr>
        <w:t xml:space="preserve">Hopkins, N., &amp; Reicher, S. (2005). Culture, social identity and the organisation of collective </w:t>
      </w:r>
    </w:p>
    <w:p w14:paraId="0716D25F" w14:textId="6A5B7C22" w:rsidR="00071A3A" w:rsidRPr="00071A3A" w:rsidRDefault="00071A3A" w:rsidP="0005739F">
      <w:pPr>
        <w:spacing w:line="360" w:lineRule="auto"/>
        <w:ind w:left="708"/>
        <w:rPr>
          <w:noProof/>
          <w:lang w:val="en-US"/>
        </w:rPr>
      </w:pPr>
      <w:r w:rsidRPr="00071A3A">
        <w:rPr>
          <w:noProof/>
          <w:lang w:val="en-US"/>
        </w:rPr>
        <w:t>action: developing a culturally sensitive social psychology. PSYCHOLOGICAL STUDIES-UNIVERSITY OF CALICUT, 50(2/3), 217.</w:t>
      </w:r>
    </w:p>
    <w:p w14:paraId="4DCC1789" w14:textId="77777777" w:rsidR="0005739F" w:rsidRDefault="00071A3A" w:rsidP="0005739F">
      <w:pPr>
        <w:spacing w:line="360" w:lineRule="auto"/>
        <w:rPr>
          <w:noProof/>
          <w:lang w:val="en-US"/>
        </w:rPr>
      </w:pPr>
      <w:r w:rsidRPr="00071A3A">
        <w:rPr>
          <w:noProof/>
          <w:lang w:val="en-US"/>
        </w:rPr>
        <w:t xml:space="preserve">Huffman, A. H., &amp; Olson, K. J. (2017). Gender differences in perceptions of resources and </w:t>
      </w:r>
    </w:p>
    <w:p w14:paraId="1191368B" w14:textId="3051D102" w:rsidR="00071A3A" w:rsidRPr="00071A3A" w:rsidRDefault="00071A3A" w:rsidP="0005739F">
      <w:pPr>
        <w:spacing w:line="360" w:lineRule="auto"/>
        <w:ind w:left="708"/>
        <w:rPr>
          <w:noProof/>
          <w:lang w:val="en-US"/>
        </w:rPr>
      </w:pPr>
      <w:r w:rsidRPr="00071A3A">
        <w:rPr>
          <w:noProof/>
          <w:lang w:val="en-US"/>
        </w:rPr>
        <w:t>turnover intentions of work‐linked couples in masculine occupations. Stress and Health, 33(4), 309-321.</w:t>
      </w:r>
    </w:p>
    <w:p w14:paraId="5844E2ED" w14:textId="77777777" w:rsidR="0005739F" w:rsidRDefault="00071A3A" w:rsidP="0005739F">
      <w:pPr>
        <w:spacing w:line="360" w:lineRule="auto"/>
        <w:rPr>
          <w:noProof/>
          <w:lang w:val="en-US"/>
        </w:rPr>
      </w:pPr>
      <w:r w:rsidRPr="00071A3A">
        <w:rPr>
          <w:noProof/>
          <w:lang w:val="en-US"/>
        </w:rPr>
        <w:t xml:space="preserve">Jana Cason, D. H. S., Kim Hartmann PhD, O. T. R., &amp; Tammy Richmond, M. S. (2018). </w:t>
      </w:r>
    </w:p>
    <w:p w14:paraId="0AE63689" w14:textId="29AFCC7F" w:rsidR="00071A3A" w:rsidRPr="00071A3A" w:rsidRDefault="00071A3A" w:rsidP="0005739F">
      <w:pPr>
        <w:spacing w:line="360" w:lineRule="auto"/>
        <w:ind w:left="708"/>
        <w:rPr>
          <w:noProof/>
          <w:lang w:val="en-US"/>
        </w:rPr>
      </w:pPr>
      <w:r w:rsidRPr="00071A3A">
        <w:rPr>
          <w:noProof/>
          <w:lang w:val="en-US"/>
        </w:rPr>
        <w:t>Telehealth in Occupational Therapy. The American Journal of Occupational Therapy, 72, 1-18.</w:t>
      </w:r>
    </w:p>
    <w:p w14:paraId="71BC35A1" w14:textId="77777777" w:rsidR="0005739F" w:rsidRDefault="00071A3A" w:rsidP="0005739F">
      <w:pPr>
        <w:spacing w:line="360" w:lineRule="auto"/>
        <w:rPr>
          <w:noProof/>
          <w:lang w:val="en-US"/>
        </w:rPr>
      </w:pPr>
      <w:r w:rsidRPr="00071A3A">
        <w:rPr>
          <w:noProof/>
          <w:lang w:val="en-US"/>
        </w:rPr>
        <w:t xml:space="preserve">Kelliher, C., &amp; Anderson, D. (2010). Doing more with less? Flexible working practices and </w:t>
      </w:r>
    </w:p>
    <w:p w14:paraId="3CC6D68C" w14:textId="65C2802D" w:rsidR="00071A3A" w:rsidRPr="00071A3A" w:rsidRDefault="00071A3A" w:rsidP="0005739F">
      <w:pPr>
        <w:spacing w:line="360" w:lineRule="auto"/>
        <w:ind w:firstLine="708"/>
        <w:rPr>
          <w:noProof/>
          <w:lang w:val="en-US"/>
        </w:rPr>
      </w:pPr>
      <w:r w:rsidRPr="00071A3A">
        <w:rPr>
          <w:noProof/>
          <w:lang w:val="en-US"/>
        </w:rPr>
        <w:t>the intensification of work. Human relations, 63(1), 83-106.</w:t>
      </w:r>
    </w:p>
    <w:p w14:paraId="464789AB" w14:textId="77777777" w:rsidR="0005739F" w:rsidRDefault="00071A3A" w:rsidP="0005739F">
      <w:pPr>
        <w:spacing w:line="360" w:lineRule="auto"/>
        <w:rPr>
          <w:noProof/>
          <w:lang w:val="en-US"/>
        </w:rPr>
      </w:pPr>
      <w:r w:rsidRPr="00071A3A">
        <w:rPr>
          <w:noProof/>
          <w:lang w:val="en-US"/>
        </w:rPr>
        <w:t xml:space="preserve">Kossek, E. E., Baltes, B. B., &amp; Matthews, R. A. (2011). How work–family research can </w:t>
      </w:r>
    </w:p>
    <w:p w14:paraId="33219C37" w14:textId="5C626848" w:rsidR="00071A3A" w:rsidRPr="00071A3A" w:rsidRDefault="00071A3A" w:rsidP="0005739F">
      <w:pPr>
        <w:spacing w:line="360" w:lineRule="auto"/>
        <w:ind w:left="708"/>
        <w:rPr>
          <w:noProof/>
          <w:lang w:val="en-US"/>
        </w:rPr>
      </w:pPr>
      <w:r w:rsidRPr="00071A3A">
        <w:rPr>
          <w:noProof/>
          <w:lang w:val="en-US"/>
        </w:rPr>
        <w:t>finally have an impact in organizations. Industrial and organizational psychology, 4(3), 352-369.</w:t>
      </w:r>
    </w:p>
    <w:p w14:paraId="61D067CA" w14:textId="77777777" w:rsidR="0005739F" w:rsidRDefault="00071A3A" w:rsidP="0005739F">
      <w:pPr>
        <w:spacing w:line="360" w:lineRule="auto"/>
        <w:rPr>
          <w:noProof/>
          <w:lang w:val="en-US"/>
        </w:rPr>
      </w:pPr>
      <w:r w:rsidRPr="00071A3A">
        <w:rPr>
          <w:noProof/>
          <w:lang w:val="en-US"/>
        </w:rPr>
        <w:t xml:space="preserve">Las Heras, M., Bosch, M. J., &amp; Raes, A. M. (2015). Sequential mediation among family </w:t>
      </w:r>
    </w:p>
    <w:p w14:paraId="2B72BE47" w14:textId="41793419" w:rsidR="00071A3A" w:rsidRPr="00071A3A" w:rsidRDefault="00071A3A" w:rsidP="0005739F">
      <w:pPr>
        <w:spacing w:line="360" w:lineRule="auto"/>
        <w:ind w:firstLine="708"/>
        <w:rPr>
          <w:noProof/>
          <w:lang w:val="en-US"/>
        </w:rPr>
      </w:pPr>
      <w:r w:rsidRPr="00071A3A">
        <w:rPr>
          <w:noProof/>
          <w:lang w:val="en-US"/>
        </w:rPr>
        <w:t>friendly culture and outcomes. Journal of Business Research, 68(11), 2366-2373.</w:t>
      </w:r>
    </w:p>
    <w:p w14:paraId="65443900" w14:textId="77777777" w:rsidR="0005739F" w:rsidRDefault="00071A3A" w:rsidP="0005739F">
      <w:pPr>
        <w:spacing w:line="360" w:lineRule="auto"/>
        <w:rPr>
          <w:noProof/>
          <w:lang w:val="en-US"/>
        </w:rPr>
      </w:pPr>
      <w:r w:rsidRPr="00071A3A">
        <w:rPr>
          <w:noProof/>
          <w:lang w:val="en-US"/>
        </w:rPr>
        <w:t xml:space="preserve">Lirio, P., Lee, M. D., Williams, M. L., Haugen, L. K., &amp; Kossek, E. E. (2008). The inclusion </w:t>
      </w:r>
    </w:p>
    <w:p w14:paraId="6BFA6A87" w14:textId="132A9FE1" w:rsidR="00071A3A" w:rsidRPr="00071A3A" w:rsidRDefault="00071A3A" w:rsidP="0005739F">
      <w:pPr>
        <w:spacing w:line="360" w:lineRule="auto"/>
        <w:ind w:left="708"/>
        <w:rPr>
          <w:noProof/>
          <w:lang w:val="en-US"/>
        </w:rPr>
      </w:pPr>
      <w:r w:rsidRPr="00071A3A">
        <w:rPr>
          <w:noProof/>
          <w:lang w:val="en-US"/>
        </w:rPr>
        <w:t xml:space="preserve">challenge with reduced‐load professionals: The role of the manager. Human Resource Management: Published in Cooperation with the School of Business Administration, </w:t>
      </w:r>
      <w:r w:rsidRPr="00071A3A">
        <w:rPr>
          <w:noProof/>
          <w:lang w:val="en-US"/>
        </w:rPr>
        <w:lastRenderedPageBreak/>
        <w:t>The University of Michigan and in alliance with the Society of Human Resources Management, 47(3), 443-461.</w:t>
      </w:r>
    </w:p>
    <w:p w14:paraId="15024C1E" w14:textId="77777777" w:rsidR="00520747" w:rsidRDefault="00071A3A" w:rsidP="0005739F">
      <w:pPr>
        <w:spacing w:line="360" w:lineRule="auto"/>
        <w:rPr>
          <w:noProof/>
          <w:lang w:val="en-US"/>
        </w:rPr>
      </w:pPr>
      <w:r w:rsidRPr="00071A3A">
        <w:rPr>
          <w:noProof/>
          <w:lang w:val="en-US"/>
        </w:rPr>
        <w:t xml:space="preserve">MacKinnon, D. P., &amp; Fairchild, A. J. (2009). Current directions in mediation analysis. Current </w:t>
      </w:r>
    </w:p>
    <w:p w14:paraId="00D5BADA" w14:textId="561C414F" w:rsidR="00071A3A" w:rsidRPr="00071A3A" w:rsidRDefault="00071A3A" w:rsidP="00520747">
      <w:pPr>
        <w:spacing w:line="360" w:lineRule="auto"/>
        <w:ind w:firstLine="708"/>
        <w:rPr>
          <w:noProof/>
          <w:lang w:val="en-US"/>
        </w:rPr>
      </w:pPr>
      <w:r w:rsidRPr="00071A3A">
        <w:rPr>
          <w:noProof/>
          <w:lang w:val="en-US"/>
        </w:rPr>
        <w:t>directions in psychological science, 18(1), 16-20.</w:t>
      </w:r>
    </w:p>
    <w:p w14:paraId="649E744D" w14:textId="77777777" w:rsidR="00520747" w:rsidRDefault="00071A3A" w:rsidP="0005739F">
      <w:pPr>
        <w:spacing w:line="360" w:lineRule="auto"/>
        <w:rPr>
          <w:noProof/>
          <w:lang w:val="en-US"/>
        </w:rPr>
      </w:pPr>
      <w:r w:rsidRPr="00071A3A">
        <w:rPr>
          <w:noProof/>
          <w:lang w:val="en-US"/>
        </w:rPr>
        <w:t xml:space="preserve">Magrizos, S., Roumpi, D., Georgiadou, A., Kostopoulos, I., &amp; Vrontis, D. (2022). The dark </w:t>
      </w:r>
    </w:p>
    <w:p w14:paraId="226DEFC6" w14:textId="142EDB44" w:rsidR="00071A3A" w:rsidRPr="00071A3A" w:rsidRDefault="00071A3A" w:rsidP="00520747">
      <w:pPr>
        <w:spacing w:line="360" w:lineRule="auto"/>
        <w:ind w:left="708"/>
        <w:rPr>
          <w:noProof/>
          <w:lang w:val="en-US"/>
        </w:rPr>
      </w:pPr>
      <w:r w:rsidRPr="00071A3A">
        <w:rPr>
          <w:noProof/>
          <w:lang w:val="en-US"/>
        </w:rPr>
        <w:t>side of meaningful work‐from‐home: A nonlinear approach. European Management Review.</w:t>
      </w:r>
    </w:p>
    <w:p w14:paraId="1CB8265A" w14:textId="77777777" w:rsidR="00520747" w:rsidRDefault="00071A3A" w:rsidP="0005739F">
      <w:pPr>
        <w:spacing w:line="360" w:lineRule="auto"/>
        <w:rPr>
          <w:noProof/>
          <w:lang w:val="en-US"/>
        </w:rPr>
      </w:pPr>
      <w:r w:rsidRPr="00071A3A">
        <w:rPr>
          <w:noProof/>
          <w:lang w:val="en-US"/>
        </w:rPr>
        <w:t xml:space="preserve">Marescaux, E., Rofcanin, Y., Las Heras, M., Ilies, R., &amp; Bosch, M. J. (2020). When </w:t>
      </w:r>
    </w:p>
    <w:p w14:paraId="6E9449B5" w14:textId="2DE09B72" w:rsidR="00071A3A" w:rsidRPr="00071A3A" w:rsidRDefault="00071A3A" w:rsidP="00520747">
      <w:pPr>
        <w:spacing w:line="360" w:lineRule="auto"/>
        <w:ind w:left="708"/>
        <w:rPr>
          <w:noProof/>
          <w:lang w:val="en-US"/>
        </w:rPr>
      </w:pPr>
      <w:r w:rsidRPr="00071A3A">
        <w:rPr>
          <w:noProof/>
          <w:lang w:val="en-US"/>
        </w:rPr>
        <w:t>employees and supervisors (do not) see eye to eye on family supportive supervisor behaviours: The role of segmentation desire and work-family culture. Journal of Vocational Behavior, 121, 103471.</w:t>
      </w:r>
    </w:p>
    <w:p w14:paraId="363477CA" w14:textId="77777777" w:rsidR="00520747" w:rsidRDefault="00071A3A" w:rsidP="0005739F">
      <w:pPr>
        <w:spacing w:line="360" w:lineRule="auto"/>
        <w:rPr>
          <w:noProof/>
          <w:lang w:val="en-US"/>
        </w:rPr>
      </w:pPr>
      <w:r w:rsidRPr="00071A3A">
        <w:rPr>
          <w:noProof/>
          <w:lang w:val="en-US"/>
        </w:rPr>
        <w:t xml:space="preserve">Meier, L. L., &amp; Spector, P. E. (2013). Reciprocal effects of work stressors and </w:t>
      </w:r>
    </w:p>
    <w:p w14:paraId="49DC94BC" w14:textId="5FA41E8A" w:rsidR="00071A3A" w:rsidRPr="00071A3A" w:rsidRDefault="00071A3A" w:rsidP="00520747">
      <w:pPr>
        <w:spacing w:line="360" w:lineRule="auto"/>
        <w:ind w:left="708"/>
        <w:rPr>
          <w:noProof/>
          <w:lang w:val="en-US"/>
        </w:rPr>
      </w:pPr>
      <w:r w:rsidRPr="00071A3A">
        <w:rPr>
          <w:noProof/>
          <w:lang w:val="en-US"/>
        </w:rPr>
        <w:t>counterproductive work behavior: a five-wave longitudinal study. Journal of Applied Psychology, 98(3), 529.</w:t>
      </w:r>
    </w:p>
    <w:p w14:paraId="71FEEA0D" w14:textId="77777777" w:rsidR="00520747" w:rsidRDefault="00071A3A" w:rsidP="0005739F">
      <w:pPr>
        <w:spacing w:line="360" w:lineRule="auto"/>
        <w:rPr>
          <w:noProof/>
          <w:lang w:val="en-US"/>
        </w:rPr>
      </w:pPr>
      <w:r w:rsidRPr="00071A3A">
        <w:rPr>
          <w:noProof/>
          <w:lang w:val="en-US"/>
        </w:rPr>
        <w:t xml:space="preserve">Menges, J. I., Tussing, D. V., Wihler, A., &amp; Grant, A. M. (2017). When job performance is all </w:t>
      </w:r>
    </w:p>
    <w:p w14:paraId="2E42C8CA" w14:textId="15E44A31" w:rsidR="00071A3A" w:rsidRPr="00071A3A" w:rsidRDefault="00071A3A" w:rsidP="00520747">
      <w:pPr>
        <w:spacing w:line="360" w:lineRule="auto"/>
        <w:ind w:left="708"/>
        <w:rPr>
          <w:noProof/>
          <w:lang w:val="en-US"/>
        </w:rPr>
      </w:pPr>
      <w:r w:rsidRPr="00071A3A">
        <w:rPr>
          <w:noProof/>
          <w:lang w:val="en-US"/>
        </w:rPr>
        <w:t>relative: How family motivation energizes effort and compensates for intrinsic motivation. Academy of Management Journal, 60(2), 695-719.</w:t>
      </w:r>
    </w:p>
    <w:p w14:paraId="714F7B65" w14:textId="77777777" w:rsidR="00520747" w:rsidRDefault="00071A3A" w:rsidP="0005739F">
      <w:pPr>
        <w:spacing w:line="360" w:lineRule="auto"/>
        <w:rPr>
          <w:noProof/>
          <w:lang w:val="en-US"/>
        </w:rPr>
      </w:pPr>
      <w:r w:rsidRPr="00071A3A">
        <w:rPr>
          <w:noProof/>
          <w:lang w:val="en-US"/>
        </w:rPr>
        <w:t xml:space="preserve">Mills, M. J., Matthews, R. A., Henning, J. B., &amp; Woo, V. A. (2014). Family-supportive </w:t>
      </w:r>
    </w:p>
    <w:p w14:paraId="531DB4B7" w14:textId="5B65F406" w:rsidR="00071A3A" w:rsidRPr="00071A3A" w:rsidRDefault="00071A3A" w:rsidP="00520747">
      <w:pPr>
        <w:spacing w:line="360" w:lineRule="auto"/>
        <w:ind w:left="708"/>
        <w:rPr>
          <w:noProof/>
          <w:lang w:val="en-US"/>
        </w:rPr>
      </w:pPr>
      <w:r w:rsidRPr="00071A3A">
        <w:rPr>
          <w:noProof/>
          <w:lang w:val="en-US"/>
        </w:rPr>
        <w:t>organizations and supervisors: how do they influence employee outcomes and for whom?. The International Journal of Human Resource Management, 25(12), 1763-1785.</w:t>
      </w:r>
    </w:p>
    <w:p w14:paraId="088DD3D7" w14:textId="77777777" w:rsidR="00520747" w:rsidRDefault="00071A3A" w:rsidP="0005739F">
      <w:pPr>
        <w:spacing w:line="360" w:lineRule="auto"/>
        <w:rPr>
          <w:noProof/>
          <w:lang w:val="en-US"/>
        </w:rPr>
      </w:pPr>
      <w:r w:rsidRPr="00071A3A">
        <w:rPr>
          <w:noProof/>
          <w:lang w:val="en-US"/>
        </w:rPr>
        <w:t xml:space="preserve">Mills, M. J., Matthews, R. A., Henning, J. B., &amp; Woo, V. A. (2014). Family-supportive </w:t>
      </w:r>
    </w:p>
    <w:p w14:paraId="35AAA753" w14:textId="113DBD24" w:rsidR="00071A3A" w:rsidRPr="00071A3A" w:rsidRDefault="00071A3A" w:rsidP="00520747">
      <w:pPr>
        <w:spacing w:line="360" w:lineRule="auto"/>
        <w:ind w:left="708"/>
        <w:rPr>
          <w:noProof/>
          <w:lang w:val="en-US"/>
        </w:rPr>
      </w:pPr>
      <w:r w:rsidRPr="00071A3A">
        <w:rPr>
          <w:noProof/>
          <w:lang w:val="en-US"/>
        </w:rPr>
        <w:t>organizations and supervisors: how do they influence employee outcomes and for whom?. The International Journal of Human Resource Management, 25(12), 1763-1785.</w:t>
      </w:r>
    </w:p>
    <w:p w14:paraId="7F1648AF" w14:textId="77777777" w:rsidR="00520747" w:rsidRDefault="00071A3A" w:rsidP="0005739F">
      <w:pPr>
        <w:spacing w:line="360" w:lineRule="auto"/>
        <w:rPr>
          <w:noProof/>
          <w:lang w:val="en-US"/>
        </w:rPr>
      </w:pPr>
      <w:r w:rsidRPr="00071A3A">
        <w:rPr>
          <w:noProof/>
          <w:lang w:val="en-US"/>
        </w:rPr>
        <w:t xml:space="preserve">Mostafa, A. M. S., Boon, C., Abouarghoub, W., &amp; Cai, Z. (2022). High‐commitment HRM, </w:t>
      </w:r>
    </w:p>
    <w:p w14:paraId="6EE1E2A2" w14:textId="440496B4" w:rsidR="00071A3A" w:rsidRPr="00071A3A" w:rsidRDefault="00071A3A" w:rsidP="00520747">
      <w:pPr>
        <w:spacing w:line="360" w:lineRule="auto"/>
        <w:ind w:left="708"/>
        <w:rPr>
          <w:noProof/>
          <w:lang w:val="en-US"/>
        </w:rPr>
      </w:pPr>
      <w:r w:rsidRPr="00071A3A">
        <w:rPr>
          <w:noProof/>
          <w:lang w:val="en-US"/>
        </w:rPr>
        <w:t>organizational engagement, and deviant workplace behaviors: The moderating role of person‐organization fit. European Management Review.</w:t>
      </w:r>
    </w:p>
    <w:p w14:paraId="3EFCBBAA" w14:textId="77777777" w:rsidR="00520747" w:rsidRDefault="00071A3A" w:rsidP="0005739F">
      <w:pPr>
        <w:spacing w:line="360" w:lineRule="auto"/>
        <w:rPr>
          <w:noProof/>
          <w:lang w:val="en-US"/>
        </w:rPr>
      </w:pPr>
      <w:r w:rsidRPr="00071A3A">
        <w:rPr>
          <w:noProof/>
          <w:lang w:val="en-US"/>
        </w:rPr>
        <w:t>Muthén, B., &amp; Muthén, L. (2017). Mplus. In Handbook of item response theory (pp. 507-</w:t>
      </w:r>
    </w:p>
    <w:p w14:paraId="6AC045A1" w14:textId="14EF64DA" w:rsidR="00071A3A" w:rsidRPr="00071A3A" w:rsidRDefault="00071A3A" w:rsidP="00520747">
      <w:pPr>
        <w:spacing w:line="360" w:lineRule="auto"/>
        <w:ind w:firstLine="708"/>
        <w:rPr>
          <w:noProof/>
          <w:lang w:val="en-US"/>
        </w:rPr>
      </w:pPr>
      <w:r w:rsidRPr="00071A3A">
        <w:rPr>
          <w:noProof/>
          <w:lang w:val="en-US"/>
        </w:rPr>
        <w:t>518). Chapman and Hall/CRC.</w:t>
      </w:r>
    </w:p>
    <w:p w14:paraId="357B74CD" w14:textId="77777777" w:rsidR="00520747" w:rsidRDefault="00071A3A" w:rsidP="00520747">
      <w:pPr>
        <w:spacing w:line="360" w:lineRule="auto"/>
        <w:rPr>
          <w:noProof/>
          <w:lang w:val="en-US"/>
        </w:rPr>
      </w:pPr>
      <w:r w:rsidRPr="00071A3A">
        <w:rPr>
          <w:noProof/>
          <w:lang w:val="en-US"/>
        </w:rPr>
        <w:t xml:space="preserve">Nohe, C., Michel, A., &amp; Sonntag, K. (2014). Family–work conflict and job performance: A </w:t>
      </w:r>
    </w:p>
    <w:p w14:paraId="6D3C172A" w14:textId="00B832A4" w:rsidR="00071A3A" w:rsidRPr="00071A3A" w:rsidRDefault="00071A3A" w:rsidP="00520747">
      <w:pPr>
        <w:spacing w:line="360" w:lineRule="auto"/>
        <w:ind w:left="708"/>
        <w:rPr>
          <w:noProof/>
          <w:lang w:val="en-US"/>
        </w:rPr>
      </w:pPr>
      <w:r w:rsidRPr="00071A3A">
        <w:rPr>
          <w:noProof/>
          <w:lang w:val="en-US"/>
        </w:rPr>
        <w:t>diary study of boundary conditions and mechanisms. Journal of Organizational Behavior, 35(3), 339-357.</w:t>
      </w:r>
    </w:p>
    <w:p w14:paraId="1F6A60DE" w14:textId="77777777" w:rsidR="00520747" w:rsidRDefault="00071A3A" w:rsidP="0005739F">
      <w:pPr>
        <w:spacing w:line="360" w:lineRule="auto"/>
        <w:rPr>
          <w:noProof/>
          <w:lang w:val="en-US"/>
        </w:rPr>
      </w:pPr>
      <w:r w:rsidRPr="00071A3A">
        <w:rPr>
          <w:noProof/>
          <w:lang w:val="en-US"/>
        </w:rPr>
        <w:t>Odle-Dusseau, H. N., Britt, T. W., &amp; Greene-Shortridge, T. M. (2012). Organizational work–</w:t>
      </w:r>
    </w:p>
    <w:p w14:paraId="355192C1" w14:textId="5C3CB14B" w:rsidR="00071A3A" w:rsidRPr="00071A3A" w:rsidRDefault="00071A3A" w:rsidP="00520747">
      <w:pPr>
        <w:spacing w:line="360" w:lineRule="auto"/>
        <w:ind w:left="708"/>
        <w:rPr>
          <w:noProof/>
          <w:lang w:val="en-US"/>
        </w:rPr>
      </w:pPr>
      <w:r w:rsidRPr="00071A3A">
        <w:rPr>
          <w:noProof/>
          <w:lang w:val="en-US"/>
        </w:rPr>
        <w:lastRenderedPageBreak/>
        <w:t xml:space="preserve">family resources as predictors of job performance and attitudes: The process of work–family conflict and enrichment. Journal of occupational health psychology, 17(1), 28. </w:t>
      </w:r>
    </w:p>
    <w:p w14:paraId="20D796DA" w14:textId="77777777" w:rsidR="00520747" w:rsidRDefault="00071A3A" w:rsidP="0005739F">
      <w:pPr>
        <w:spacing w:line="360" w:lineRule="auto"/>
        <w:rPr>
          <w:noProof/>
          <w:lang w:val="en-US"/>
        </w:rPr>
      </w:pPr>
      <w:r w:rsidRPr="00071A3A">
        <w:rPr>
          <w:noProof/>
          <w:lang w:val="en-US"/>
        </w:rPr>
        <w:t xml:space="preserve">Ohly, S., Sonnentag, S., Niessen, C., &amp; Zapf, D. (2010). Diary studies in organizational </w:t>
      </w:r>
    </w:p>
    <w:p w14:paraId="1577D08E" w14:textId="4F12D739" w:rsidR="00071A3A" w:rsidRPr="00071A3A" w:rsidRDefault="00071A3A" w:rsidP="00520747">
      <w:pPr>
        <w:spacing w:line="360" w:lineRule="auto"/>
        <w:ind w:firstLine="708"/>
        <w:rPr>
          <w:noProof/>
          <w:lang w:val="en-US"/>
        </w:rPr>
      </w:pPr>
      <w:r w:rsidRPr="00071A3A">
        <w:rPr>
          <w:noProof/>
          <w:lang w:val="en-US"/>
        </w:rPr>
        <w:t>research. Journal of Personnel Psychology.</w:t>
      </w:r>
    </w:p>
    <w:p w14:paraId="1530B1CB" w14:textId="77777777" w:rsidR="00520747" w:rsidRDefault="00071A3A" w:rsidP="0005739F">
      <w:pPr>
        <w:spacing w:line="360" w:lineRule="auto"/>
        <w:rPr>
          <w:noProof/>
          <w:lang w:val="en-US"/>
        </w:rPr>
      </w:pPr>
      <w:r w:rsidRPr="00071A3A">
        <w:rPr>
          <w:noProof/>
          <w:lang w:val="en-US"/>
        </w:rPr>
        <w:t xml:space="preserve">Oldham, G. R., &amp; Cummings, A. (1996). Employee creativity: Personal and contextual </w:t>
      </w:r>
    </w:p>
    <w:p w14:paraId="30889447" w14:textId="09C2E751" w:rsidR="00071A3A" w:rsidRPr="00071A3A" w:rsidRDefault="00071A3A" w:rsidP="00520747">
      <w:pPr>
        <w:spacing w:line="360" w:lineRule="auto"/>
        <w:ind w:firstLine="708"/>
        <w:rPr>
          <w:noProof/>
          <w:lang w:val="en-US"/>
        </w:rPr>
      </w:pPr>
      <w:r w:rsidRPr="00071A3A">
        <w:rPr>
          <w:noProof/>
          <w:lang w:val="en-US"/>
        </w:rPr>
        <w:t>factors at work. Academy of management journal, 39(3), 607-634.</w:t>
      </w:r>
    </w:p>
    <w:p w14:paraId="097A67C2" w14:textId="77777777" w:rsidR="00520747" w:rsidRDefault="00071A3A" w:rsidP="0005739F">
      <w:pPr>
        <w:spacing w:line="360" w:lineRule="auto"/>
        <w:rPr>
          <w:noProof/>
          <w:lang w:val="en-US"/>
        </w:rPr>
      </w:pPr>
      <w:r w:rsidRPr="00071A3A">
        <w:rPr>
          <w:noProof/>
          <w:lang w:val="en-US"/>
        </w:rPr>
        <w:t xml:space="preserve">Pan, S. Y. (2018). Do workaholic hotel supervisors provide family supportive supervision? A </w:t>
      </w:r>
    </w:p>
    <w:p w14:paraId="02AD4695" w14:textId="08218866" w:rsidR="00071A3A" w:rsidRPr="00071A3A" w:rsidRDefault="00071A3A" w:rsidP="00520747">
      <w:pPr>
        <w:spacing w:line="360" w:lineRule="auto"/>
        <w:ind w:firstLine="708"/>
        <w:rPr>
          <w:noProof/>
          <w:lang w:val="en-US"/>
        </w:rPr>
      </w:pPr>
      <w:r w:rsidRPr="00071A3A">
        <w:rPr>
          <w:noProof/>
          <w:lang w:val="en-US"/>
        </w:rPr>
        <w:t>role identity perspective. International Journal of Hospitality Management, 68, 59-67.</w:t>
      </w:r>
    </w:p>
    <w:p w14:paraId="5271ACF4" w14:textId="77777777" w:rsidR="00520747" w:rsidRDefault="00071A3A" w:rsidP="0005739F">
      <w:pPr>
        <w:spacing w:line="360" w:lineRule="auto"/>
        <w:rPr>
          <w:noProof/>
          <w:lang w:val="en-US"/>
        </w:rPr>
      </w:pPr>
      <w:r w:rsidRPr="00071A3A">
        <w:rPr>
          <w:noProof/>
          <w:lang w:val="en-US"/>
        </w:rPr>
        <w:t xml:space="preserve">Parkinson, B., Briner, R. B., Reynolds, S., &amp; Totterdell, P. (1995). Time frames for mood: </w:t>
      </w:r>
    </w:p>
    <w:p w14:paraId="4C796CFD" w14:textId="37EB2185" w:rsidR="00071A3A" w:rsidRPr="00071A3A" w:rsidRDefault="00071A3A" w:rsidP="00520747">
      <w:pPr>
        <w:spacing w:line="360" w:lineRule="auto"/>
        <w:ind w:left="708"/>
        <w:rPr>
          <w:noProof/>
          <w:lang w:val="en-US"/>
        </w:rPr>
      </w:pPr>
      <w:r w:rsidRPr="00071A3A">
        <w:rPr>
          <w:noProof/>
          <w:lang w:val="en-US"/>
        </w:rPr>
        <w:t>Relations between momentary and generalized ratings of affect. Personality and Social Psychology Bulletin, 21(4), 331-339.</w:t>
      </w:r>
    </w:p>
    <w:p w14:paraId="4DB74698" w14:textId="77777777" w:rsidR="00520747" w:rsidRDefault="00071A3A" w:rsidP="0005739F">
      <w:pPr>
        <w:spacing w:line="360" w:lineRule="auto"/>
        <w:rPr>
          <w:noProof/>
          <w:lang w:val="en-US"/>
        </w:rPr>
      </w:pPr>
      <w:r w:rsidRPr="00071A3A">
        <w:rPr>
          <w:noProof/>
          <w:lang w:val="en-US"/>
        </w:rPr>
        <w:t xml:space="preserve">Preacher, K. J., Zyphur, M. J., &amp; Zhang, Z. (2010). A general multilevel SEM framework for </w:t>
      </w:r>
    </w:p>
    <w:p w14:paraId="6956FBDA" w14:textId="6E04EAF9" w:rsidR="00071A3A" w:rsidRPr="00071A3A" w:rsidRDefault="00071A3A" w:rsidP="00520747">
      <w:pPr>
        <w:spacing w:line="360" w:lineRule="auto"/>
        <w:ind w:firstLine="708"/>
        <w:rPr>
          <w:noProof/>
          <w:lang w:val="en-US"/>
        </w:rPr>
      </w:pPr>
      <w:r w:rsidRPr="00071A3A">
        <w:rPr>
          <w:noProof/>
          <w:lang w:val="en-US"/>
        </w:rPr>
        <w:t>assessing multilevel mediation. Psychological methods, 15(3), 209.</w:t>
      </w:r>
    </w:p>
    <w:p w14:paraId="519F5FE9" w14:textId="77777777" w:rsidR="00520747" w:rsidRDefault="00071A3A" w:rsidP="0005739F">
      <w:pPr>
        <w:spacing w:line="360" w:lineRule="auto"/>
        <w:rPr>
          <w:noProof/>
          <w:lang w:val="en-US"/>
        </w:rPr>
      </w:pPr>
      <w:r w:rsidRPr="00071A3A">
        <w:rPr>
          <w:noProof/>
          <w:lang w:val="en-US"/>
        </w:rPr>
        <w:t xml:space="preserve">Qing, G., &amp; Zhou, E. (2017). Bidirectional work–family enrichment mediates the relationship </w:t>
      </w:r>
    </w:p>
    <w:p w14:paraId="4908D826" w14:textId="0B1C240B" w:rsidR="00071A3A" w:rsidRPr="00071A3A" w:rsidRDefault="00071A3A" w:rsidP="00520747">
      <w:pPr>
        <w:spacing w:line="360" w:lineRule="auto"/>
        <w:ind w:left="708"/>
        <w:rPr>
          <w:noProof/>
          <w:lang w:val="en-US"/>
        </w:rPr>
      </w:pPr>
      <w:r w:rsidRPr="00071A3A">
        <w:rPr>
          <w:noProof/>
          <w:lang w:val="en-US"/>
        </w:rPr>
        <w:t>between family-supportive supervisor behaviors and work engagement. Social Behavior and Personality: an international journal, 45(2), 299-308.</w:t>
      </w:r>
    </w:p>
    <w:p w14:paraId="3251F7AB" w14:textId="77777777" w:rsidR="00520747" w:rsidRDefault="00071A3A" w:rsidP="0005739F">
      <w:pPr>
        <w:spacing w:line="360" w:lineRule="auto"/>
        <w:rPr>
          <w:noProof/>
          <w:lang w:val="en-US"/>
        </w:rPr>
      </w:pPr>
      <w:r w:rsidRPr="00071A3A">
        <w:rPr>
          <w:noProof/>
          <w:lang w:val="en-US"/>
        </w:rPr>
        <w:t xml:space="preserve">Qing, G., Zhang, H., &amp; Wang, Z. (2021). How and when family-supportive supervisor </w:t>
      </w:r>
    </w:p>
    <w:p w14:paraId="7359109A" w14:textId="6A2F4409" w:rsidR="00071A3A" w:rsidRPr="00071A3A" w:rsidRDefault="00071A3A" w:rsidP="00520747">
      <w:pPr>
        <w:spacing w:line="360" w:lineRule="auto"/>
        <w:ind w:left="708"/>
        <w:rPr>
          <w:noProof/>
          <w:lang w:val="en-US"/>
        </w:rPr>
      </w:pPr>
      <w:r w:rsidRPr="00071A3A">
        <w:rPr>
          <w:noProof/>
          <w:lang w:val="en-US"/>
        </w:rPr>
        <w:t>behaviors foster work engagement and gratitude: A moderated mediation model. Social Behavior and Personality: an international journal, 49(1), 1-10.</w:t>
      </w:r>
    </w:p>
    <w:p w14:paraId="7C7017B1" w14:textId="77777777" w:rsidR="00520747" w:rsidRDefault="00071A3A" w:rsidP="0005739F">
      <w:pPr>
        <w:spacing w:line="360" w:lineRule="auto"/>
        <w:rPr>
          <w:noProof/>
          <w:lang w:val="en-US"/>
        </w:rPr>
      </w:pPr>
      <w:r w:rsidRPr="00071A3A">
        <w:rPr>
          <w:noProof/>
          <w:lang w:val="en-US"/>
        </w:rPr>
        <w:t xml:space="preserve">Repetti, R. L. (1989). Effects of daily workload on subsequent behavior during marital </w:t>
      </w:r>
    </w:p>
    <w:p w14:paraId="3ADEEC3E" w14:textId="0D973244" w:rsidR="00071A3A" w:rsidRPr="00071A3A" w:rsidRDefault="00071A3A" w:rsidP="00520747">
      <w:pPr>
        <w:spacing w:line="360" w:lineRule="auto"/>
        <w:ind w:left="708"/>
        <w:rPr>
          <w:noProof/>
          <w:lang w:val="en-US"/>
        </w:rPr>
      </w:pPr>
      <w:r w:rsidRPr="00071A3A">
        <w:rPr>
          <w:noProof/>
          <w:lang w:val="en-US"/>
        </w:rPr>
        <w:t>interaction: The roles of social withdrawal and spouse support. Journal of personality and social psychology, 57(4), 651.</w:t>
      </w:r>
    </w:p>
    <w:p w14:paraId="73882D2D" w14:textId="77777777" w:rsidR="00520747" w:rsidRDefault="00071A3A" w:rsidP="0005739F">
      <w:pPr>
        <w:spacing w:line="360" w:lineRule="auto"/>
        <w:rPr>
          <w:noProof/>
          <w:lang w:val="en-US"/>
        </w:rPr>
      </w:pPr>
      <w:r w:rsidRPr="00071A3A">
        <w:rPr>
          <w:noProof/>
          <w:lang w:val="en-US"/>
        </w:rPr>
        <w:t xml:space="preserve">Robinson, M. D., Persich, M. R., Stawicki, C., &amp; Krishnakumar, S. (2019). Deviant </w:t>
      </w:r>
    </w:p>
    <w:p w14:paraId="1519C996" w14:textId="7349DBF5" w:rsidR="00071A3A" w:rsidRPr="00071A3A" w:rsidRDefault="00071A3A" w:rsidP="00520747">
      <w:pPr>
        <w:spacing w:line="360" w:lineRule="auto"/>
        <w:ind w:left="708"/>
        <w:rPr>
          <w:noProof/>
          <w:lang w:val="en-US"/>
        </w:rPr>
      </w:pPr>
      <w:r w:rsidRPr="00071A3A">
        <w:rPr>
          <w:noProof/>
          <w:lang w:val="en-US"/>
        </w:rPr>
        <w:t>workplace behavior as emotional action: Discriminant and interactive roles for work-related emotional intelligence. Human Performance, 32(5), 201-219.</w:t>
      </w:r>
    </w:p>
    <w:p w14:paraId="325885F4" w14:textId="77777777" w:rsidR="00520747" w:rsidRDefault="00071A3A" w:rsidP="0005739F">
      <w:pPr>
        <w:spacing w:line="360" w:lineRule="auto"/>
        <w:rPr>
          <w:noProof/>
          <w:lang w:val="en-US"/>
        </w:rPr>
      </w:pPr>
      <w:r w:rsidRPr="00071A3A">
        <w:rPr>
          <w:noProof/>
          <w:lang w:val="en-US"/>
        </w:rPr>
        <w:t xml:space="preserve">Rofcanin, Y., Berber, A., Koch, S., &amp; Sevinc, L. (2016). Job crafting and I-deals: A study </w:t>
      </w:r>
    </w:p>
    <w:p w14:paraId="195748C6" w14:textId="4A3A1C32" w:rsidR="00071A3A" w:rsidRPr="00071A3A" w:rsidRDefault="00071A3A" w:rsidP="00520747">
      <w:pPr>
        <w:spacing w:line="360" w:lineRule="auto"/>
        <w:ind w:left="708"/>
        <w:rPr>
          <w:noProof/>
          <w:lang w:val="en-US"/>
        </w:rPr>
      </w:pPr>
      <w:r w:rsidRPr="00071A3A">
        <w:rPr>
          <w:noProof/>
          <w:lang w:val="en-US"/>
        </w:rPr>
        <w:t>testing the nomological network of proactive behaviors. The International Journal of Human Resource Management, 27(22), 2695-2726.</w:t>
      </w:r>
    </w:p>
    <w:p w14:paraId="6BAEAFD0" w14:textId="77777777" w:rsidR="00520747" w:rsidRDefault="00071A3A" w:rsidP="0005739F">
      <w:pPr>
        <w:spacing w:line="360" w:lineRule="auto"/>
        <w:rPr>
          <w:noProof/>
          <w:lang w:val="en-US"/>
        </w:rPr>
      </w:pPr>
      <w:r w:rsidRPr="00071A3A">
        <w:rPr>
          <w:noProof/>
          <w:lang w:val="en-US"/>
        </w:rPr>
        <w:t xml:space="preserve">Rofcanin, Y., de Jong, J. P., Las Heras, M., &amp; Kim, S. (2018). The moderating role of </w:t>
      </w:r>
    </w:p>
    <w:p w14:paraId="448FA022" w14:textId="0917A8AD" w:rsidR="00071A3A" w:rsidRPr="00071A3A" w:rsidRDefault="00071A3A" w:rsidP="00520747">
      <w:pPr>
        <w:spacing w:line="360" w:lineRule="auto"/>
        <w:ind w:left="708"/>
        <w:rPr>
          <w:noProof/>
          <w:lang w:val="en-US"/>
        </w:rPr>
      </w:pPr>
      <w:r w:rsidRPr="00071A3A">
        <w:rPr>
          <w:noProof/>
          <w:lang w:val="en-US"/>
        </w:rPr>
        <w:t>prosocial motivation on the association between family-supportive supervisor behaviours and employee outcomes. Journal of vocational behavior, 107, 153-167.</w:t>
      </w:r>
    </w:p>
    <w:p w14:paraId="1CAA5A43" w14:textId="77777777" w:rsidR="00520747" w:rsidRDefault="00071A3A" w:rsidP="0005739F">
      <w:pPr>
        <w:spacing w:line="360" w:lineRule="auto"/>
        <w:rPr>
          <w:noProof/>
          <w:lang w:val="en-US"/>
        </w:rPr>
      </w:pPr>
      <w:r w:rsidRPr="00071A3A">
        <w:rPr>
          <w:noProof/>
          <w:lang w:val="en-US"/>
        </w:rPr>
        <w:t xml:space="preserve">Rofcanin, Y., Las Heras, M., &amp; Bakker, A. B. (2017). Family supportive supervisor behaviors </w:t>
      </w:r>
    </w:p>
    <w:p w14:paraId="54FF07C6" w14:textId="279BBCE5" w:rsidR="00071A3A" w:rsidRPr="00071A3A" w:rsidRDefault="00071A3A" w:rsidP="00520747">
      <w:pPr>
        <w:spacing w:line="360" w:lineRule="auto"/>
        <w:ind w:left="708"/>
        <w:rPr>
          <w:noProof/>
          <w:lang w:val="en-US"/>
        </w:rPr>
      </w:pPr>
      <w:r w:rsidRPr="00071A3A">
        <w:rPr>
          <w:noProof/>
          <w:lang w:val="en-US"/>
        </w:rPr>
        <w:t>and organizational culture: Effects on work engagement and performance. Journal of occupational health psychology, 22(2), 207.</w:t>
      </w:r>
    </w:p>
    <w:p w14:paraId="3EE61424" w14:textId="77777777" w:rsidR="00520747" w:rsidRDefault="00071A3A" w:rsidP="0005739F">
      <w:pPr>
        <w:spacing w:line="360" w:lineRule="auto"/>
        <w:rPr>
          <w:noProof/>
          <w:lang w:val="en-US"/>
        </w:rPr>
      </w:pPr>
      <w:r w:rsidRPr="00071A3A">
        <w:rPr>
          <w:noProof/>
          <w:lang w:val="en-US"/>
        </w:rPr>
        <w:lastRenderedPageBreak/>
        <w:t xml:space="preserve">Rofcanin, Y., Las Heras, M., Bosch, M. J., Berber, A., Mughal, F., &amp; Ozturk, M. (2021). </w:t>
      </w:r>
    </w:p>
    <w:p w14:paraId="56DA2573" w14:textId="4E55713D" w:rsidR="00071A3A" w:rsidRPr="00071A3A" w:rsidRDefault="00071A3A" w:rsidP="00520747">
      <w:pPr>
        <w:spacing w:line="360" w:lineRule="auto"/>
        <w:ind w:left="708"/>
        <w:rPr>
          <w:noProof/>
          <w:lang w:val="en-US"/>
        </w:rPr>
      </w:pPr>
      <w:r w:rsidRPr="00071A3A">
        <w:rPr>
          <w:noProof/>
          <w:lang w:val="en-US"/>
        </w:rPr>
        <w:t>Servant leadership and family supportiveness: Looking into employees’ work and family outcomes. Journal of Business Research, 128, 70-82.</w:t>
      </w:r>
    </w:p>
    <w:p w14:paraId="5DD5B68B" w14:textId="77777777" w:rsidR="00520747" w:rsidRDefault="00071A3A" w:rsidP="0005739F">
      <w:pPr>
        <w:spacing w:line="360" w:lineRule="auto"/>
        <w:rPr>
          <w:rFonts w:ascii="SimSun" w:eastAsia="SimSun" w:hAnsi="SimSun" w:cs="SimSun"/>
          <w:noProof/>
          <w:lang w:val="en-US" w:eastAsia="zh-CN"/>
        </w:rPr>
      </w:pPr>
      <w:r w:rsidRPr="00071A3A">
        <w:rPr>
          <w:noProof/>
          <w:lang w:val="en-US"/>
        </w:rPr>
        <w:t xml:space="preserve">Rofcanin, Y., Las Heras, M., Escribano, P. I., &amp; Stanko, T. (2020). FSSBs and elderly care: </w:t>
      </w:r>
    </w:p>
    <w:p w14:paraId="09DB838C" w14:textId="780B1FF3" w:rsidR="00071A3A" w:rsidRPr="00520747" w:rsidRDefault="00071A3A" w:rsidP="00520747">
      <w:pPr>
        <w:spacing w:line="360" w:lineRule="auto"/>
        <w:ind w:left="708"/>
        <w:rPr>
          <w:rFonts w:ascii="SimSun" w:eastAsia="SimSun" w:hAnsi="SimSun" w:cs="SimSun"/>
          <w:noProof/>
          <w:lang w:val="en-US" w:eastAsia="zh-CN"/>
        </w:rPr>
      </w:pPr>
      <w:r w:rsidRPr="00071A3A">
        <w:rPr>
          <w:noProof/>
          <w:lang w:val="en-US"/>
        </w:rPr>
        <w:t>Exploring the role of organizational context on employees’ overall health and work–family balance satisfaction. Journal of Business and Psychology, 35, 403-419.</w:t>
      </w:r>
    </w:p>
    <w:p w14:paraId="38BA9E38" w14:textId="77777777" w:rsidR="00520747" w:rsidRDefault="00071A3A" w:rsidP="0005739F">
      <w:pPr>
        <w:spacing w:line="360" w:lineRule="auto"/>
        <w:rPr>
          <w:noProof/>
          <w:lang w:val="en-US"/>
        </w:rPr>
      </w:pPr>
      <w:r w:rsidRPr="00071A3A">
        <w:rPr>
          <w:noProof/>
          <w:lang w:val="en-US"/>
        </w:rPr>
        <w:t xml:space="preserve">Russo, M., Buonocore, F., Carmeli, A., &amp; Guo, L. (2018). When family supportive </w:t>
      </w:r>
    </w:p>
    <w:p w14:paraId="4552525F" w14:textId="6AC8E9B4" w:rsidR="00071A3A" w:rsidRPr="00071A3A" w:rsidRDefault="00071A3A" w:rsidP="00520747">
      <w:pPr>
        <w:spacing w:line="360" w:lineRule="auto"/>
        <w:ind w:left="708"/>
        <w:rPr>
          <w:noProof/>
          <w:lang w:val="en-US"/>
        </w:rPr>
      </w:pPr>
      <w:r w:rsidRPr="00071A3A">
        <w:rPr>
          <w:noProof/>
          <w:lang w:val="en-US"/>
        </w:rPr>
        <w:t>supervisors meet employees’ need for caring: Implications for work–family enrichment and thriving. Journal of Management, 44(4), 1678-1702.</w:t>
      </w:r>
    </w:p>
    <w:p w14:paraId="4B7EF881" w14:textId="77777777" w:rsidR="00520747" w:rsidRDefault="00071A3A" w:rsidP="0005739F">
      <w:pPr>
        <w:spacing w:line="360" w:lineRule="auto"/>
        <w:rPr>
          <w:noProof/>
          <w:lang w:val="en-US"/>
        </w:rPr>
      </w:pPr>
      <w:r w:rsidRPr="00071A3A">
        <w:rPr>
          <w:noProof/>
          <w:lang w:val="en-US"/>
        </w:rPr>
        <w:t xml:space="preserve">Schreurs, B. H., Hetty van Emmerik, I. J., Günter, H., &amp; Germeys, F. (2012). A weekly diary </w:t>
      </w:r>
    </w:p>
    <w:p w14:paraId="022EEF6A" w14:textId="6A549FAF" w:rsidR="00071A3A" w:rsidRPr="00071A3A" w:rsidRDefault="00071A3A" w:rsidP="00520747">
      <w:pPr>
        <w:spacing w:line="360" w:lineRule="auto"/>
        <w:ind w:left="708"/>
        <w:rPr>
          <w:noProof/>
          <w:lang w:val="en-US"/>
        </w:rPr>
      </w:pPr>
      <w:r w:rsidRPr="00071A3A">
        <w:rPr>
          <w:noProof/>
          <w:lang w:val="en-US"/>
        </w:rPr>
        <w:t>study on the buffering role of social support in the relationship between job insecurity and employee performance. Human Resource Management, 51(2), 259-279.</w:t>
      </w:r>
    </w:p>
    <w:p w14:paraId="4AF35C5A" w14:textId="77777777" w:rsidR="00520747" w:rsidRDefault="00071A3A" w:rsidP="0005739F">
      <w:pPr>
        <w:spacing w:line="360" w:lineRule="auto"/>
        <w:rPr>
          <w:noProof/>
          <w:lang w:val="en-US"/>
        </w:rPr>
      </w:pPr>
      <w:r w:rsidRPr="00071A3A">
        <w:rPr>
          <w:noProof/>
          <w:lang w:val="en-US"/>
        </w:rPr>
        <w:t xml:space="preserve">Shalley, C. E., &amp; Gilson, L. L. (2004). What leaders need to know: A review of social and </w:t>
      </w:r>
    </w:p>
    <w:p w14:paraId="5DA3745F" w14:textId="61105756" w:rsidR="00071A3A" w:rsidRPr="00071A3A" w:rsidRDefault="00071A3A" w:rsidP="00520747">
      <w:pPr>
        <w:spacing w:line="360" w:lineRule="auto"/>
        <w:ind w:left="708"/>
        <w:rPr>
          <w:noProof/>
          <w:lang w:val="en-US"/>
        </w:rPr>
      </w:pPr>
      <w:r w:rsidRPr="00071A3A">
        <w:rPr>
          <w:noProof/>
          <w:lang w:val="en-US"/>
        </w:rPr>
        <w:t>contextual factors that can foster or hinder creativity. The leadership quarterly, 15(1), 33-53.</w:t>
      </w:r>
    </w:p>
    <w:p w14:paraId="0544CA22" w14:textId="77777777" w:rsidR="00520747" w:rsidRDefault="00071A3A" w:rsidP="0005739F">
      <w:pPr>
        <w:spacing w:line="360" w:lineRule="auto"/>
        <w:rPr>
          <w:noProof/>
          <w:lang w:val="en-US"/>
        </w:rPr>
      </w:pPr>
      <w:r w:rsidRPr="00071A3A">
        <w:rPr>
          <w:noProof/>
          <w:lang w:val="en-US"/>
        </w:rPr>
        <w:t xml:space="preserve">Sianoja, M., Crain, T. L., Hammer, L. B., Bodner, T., Brockwood, K. J., LoPresti, M., &amp; </w:t>
      </w:r>
    </w:p>
    <w:p w14:paraId="62B44990" w14:textId="752AC7ED" w:rsidR="00071A3A" w:rsidRPr="00071A3A" w:rsidRDefault="00071A3A" w:rsidP="00520747">
      <w:pPr>
        <w:spacing w:line="360" w:lineRule="auto"/>
        <w:ind w:left="708"/>
        <w:rPr>
          <w:noProof/>
          <w:lang w:val="en-US"/>
        </w:rPr>
      </w:pPr>
      <w:r w:rsidRPr="00071A3A">
        <w:rPr>
          <w:noProof/>
          <w:lang w:val="en-US"/>
        </w:rPr>
        <w:t>Shea, S. A. (2020). The relationship between leadership support and employee sleep. Journal of occupational health psychology, 25(3), 187.</w:t>
      </w:r>
    </w:p>
    <w:p w14:paraId="38655E9E" w14:textId="77777777" w:rsidR="00520747" w:rsidRDefault="00071A3A" w:rsidP="0005739F">
      <w:pPr>
        <w:spacing w:line="360" w:lineRule="auto"/>
        <w:rPr>
          <w:noProof/>
          <w:lang w:val="en-US"/>
        </w:rPr>
      </w:pPr>
      <w:r w:rsidRPr="00071A3A">
        <w:rPr>
          <w:noProof/>
          <w:lang w:val="en-US"/>
        </w:rPr>
        <w:t xml:space="preserve">Spanier, G. B. (1976). Measuring dyadic adjustment: New scales for assessing the quality of </w:t>
      </w:r>
    </w:p>
    <w:p w14:paraId="3976FD1E" w14:textId="3B0B37B8" w:rsidR="00071A3A" w:rsidRPr="00071A3A" w:rsidRDefault="00071A3A" w:rsidP="00520747">
      <w:pPr>
        <w:spacing w:line="360" w:lineRule="auto"/>
        <w:ind w:firstLine="708"/>
        <w:rPr>
          <w:noProof/>
          <w:lang w:val="en-US"/>
        </w:rPr>
      </w:pPr>
      <w:r w:rsidRPr="00071A3A">
        <w:rPr>
          <w:noProof/>
          <w:lang w:val="en-US"/>
        </w:rPr>
        <w:t>marriage and similar dyads. Journal of Marriage and the Family, 15-28.</w:t>
      </w:r>
    </w:p>
    <w:p w14:paraId="22481B82" w14:textId="77777777" w:rsidR="00520747" w:rsidRDefault="00071A3A" w:rsidP="0005739F">
      <w:pPr>
        <w:spacing w:line="360" w:lineRule="auto"/>
        <w:rPr>
          <w:noProof/>
          <w:lang w:val="en-US"/>
        </w:rPr>
      </w:pPr>
      <w:r w:rsidRPr="00071A3A">
        <w:rPr>
          <w:noProof/>
          <w:lang w:val="en-US"/>
        </w:rPr>
        <w:t xml:space="preserve">Spanier, G. B. (1976). Measuring dyadic adjustment: New scales for assessing the quality of </w:t>
      </w:r>
    </w:p>
    <w:p w14:paraId="24D93FA4" w14:textId="23EBA5E6" w:rsidR="00071A3A" w:rsidRPr="00071A3A" w:rsidRDefault="00071A3A" w:rsidP="00520747">
      <w:pPr>
        <w:spacing w:line="360" w:lineRule="auto"/>
        <w:ind w:firstLine="708"/>
        <w:rPr>
          <w:noProof/>
          <w:lang w:val="en-US"/>
        </w:rPr>
      </w:pPr>
      <w:r w:rsidRPr="00071A3A">
        <w:rPr>
          <w:noProof/>
          <w:lang w:val="en-US"/>
        </w:rPr>
        <w:t>marriage and similar dyads. Journal of Marriage and the Family, 15-28.</w:t>
      </w:r>
    </w:p>
    <w:p w14:paraId="0B2F91ED" w14:textId="77777777" w:rsidR="00520747" w:rsidRDefault="00071A3A" w:rsidP="0005739F">
      <w:pPr>
        <w:spacing w:line="360" w:lineRule="auto"/>
        <w:rPr>
          <w:noProof/>
          <w:lang w:val="en-US"/>
        </w:rPr>
      </w:pPr>
      <w:r w:rsidRPr="00071A3A">
        <w:rPr>
          <w:noProof/>
          <w:lang w:val="en-US"/>
        </w:rPr>
        <w:t xml:space="preserve">Ten Brummelhuis, L. L., &amp; Bakker, A. B. (2012). A resource perspective on the work–home </w:t>
      </w:r>
    </w:p>
    <w:p w14:paraId="3D6B44F4" w14:textId="4354117C" w:rsidR="00071A3A" w:rsidRPr="00071A3A" w:rsidRDefault="00071A3A" w:rsidP="00520747">
      <w:pPr>
        <w:spacing w:line="360" w:lineRule="auto"/>
        <w:ind w:firstLine="708"/>
        <w:rPr>
          <w:noProof/>
          <w:lang w:val="en-US"/>
        </w:rPr>
      </w:pPr>
      <w:r w:rsidRPr="00071A3A">
        <w:rPr>
          <w:noProof/>
          <w:lang w:val="en-US"/>
        </w:rPr>
        <w:t>interface: The work–home resources model. American psychologist, 67(7), 545.</w:t>
      </w:r>
    </w:p>
    <w:p w14:paraId="371485A6" w14:textId="77777777" w:rsidR="00520747" w:rsidRDefault="00071A3A" w:rsidP="0005739F">
      <w:pPr>
        <w:spacing w:line="360" w:lineRule="auto"/>
        <w:rPr>
          <w:noProof/>
          <w:lang w:val="en-US"/>
        </w:rPr>
      </w:pPr>
      <w:r w:rsidRPr="00071A3A">
        <w:rPr>
          <w:noProof/>
          <w:lang w:val="en-US"/>
        </w:rPr>
        <w:t xml:space="preserve">Ten Brummelhuis, L. L., Haar, J. M., &amp; Roche, M. (2014). Does family life help to be a better </w:t>
      </w:r>
    </w:p>
    <w:p w14:paraId="57411E54" w14:textId="3AFDD656" w:rsidR="00071A3A" w:rsidRPr="00071A3A" w:rsidRDefault="00071A3A" w:rsidP="00520747">
      <w:pPr>
        <w:spacing w:line="360" w:lineRule="auto"/>
        <w:ind w:left="708"/>
        <w:rPr>
          <w:noProof/>
          <w:lang w:val="en-US"/>
        </w:rPr>
      </w:pPr>
      <w:r w:rsidRPr="00071A3A">
        <w:rPr>
          <w:noProof/>
          <w:lang w:val="en-US"/>
        </w:rPr>
        <w:t>leader? A closer look at crossover processes from leaders to followers. Personnel Psychology, 67(4), 917-949.</w:t>
      </w:r>
    </w:p>
    <w:p w14:paraId="2E3B03F2" w14:textId="77777777" w:rsidR="00520747" w:rsidRDefault="00071A3A" w:rsidP="0005739F">
      <w:pPr>
        <w:spacing w:line="360" w:lineRule="auto"/>
        <w:rPr>
          <w:noProof/>
          <w:lang w:val="en-US"/>
        </w:rPr>
      </w:pPr>
      <w:r w:rsidRPr="00071A3A">
        <w:rPr>
          <w:noProof/>
          <w:lang w:val="en-US"/>
        </w:rPr>
        <w:t xml:space="preserve">Thoits, P. A. (1994). Stressors and problem-solving: The individual as psychological </w:t>
      </w:r>
    </w:p>
    <w:p w14:paraId="7835669C" w14:textId="2957F411" w:rsidR="00071A3A" w:rsidRPr="00071A3A" w:rsidRDefault="00071A3A" w:rsidP="00520747">
      <w:pPr>
        <w:spacing w:line="360" w:lineRule="auto"/>
        <w:ind w:firstLine="708"/>
        <w:rPr>
          <w:noProof/>
          <w:lang w:val="en-US"/>
        </w:rPr>
      </w:pPr>
      <w:r w:rsidRPr="00071A3A">
        <w:rPr>
          <w:noProof/>
          <w:lang w:val="en-US"/>
        </w:rPr>
        <w:t>activist. Journal of health and social behavior, 143-160.</w:t>
      </w:r>
    </w:p>
    <w:p w14:paraId="6148DCDE" w14:textId="77777777" w:rsidR="00520747" w:rsidRDefault="00071A3A" w:rsidP="0005739F">
      <w:pPr>
        <w:spacing w:line="360" w:lineRule="auto"/>
        <w:rPr>
          <w:noProof/>
          <w:lang w:val="en-US"/>
        </w:rPr>
      </w:pPr>
      <w:r w:rsidRPr="00071A3A">
        <w:rPr>
          <w:noProof/>
          <w:lang w:val="en-US"/>
        </w:rPr>
        <w:t xml:space="preserve">Totterdell, P., Wood, S., &amp; Wall, T. (2006). An intra‐individual test of the demands‐control </w:t>
      </w:r>
    </w:p>
    <w:p w14:paraId="33AE76AB" w14:textId="2913379A" w:rsidR="00071A3A" w:rsidRPr="00071A3A" w:rsidRDefault="00071A3A" w:rsidP="00520747">
      <w:pPr>
        <w:spacing w:line="360" w:lineRule="auto"/>
        <w:ind w:left="708"/>
        <w:rPr>
          <w:noProof/>
          <w:lang w:val="en-US"/>
        </w:rPr>
      </w:pPr>
      <w:r w:rsidRPr="00071A3A">
        <w:rPr>
          <w:noProof/>
          <w:lang w:val="en-US"/>
        </w:rPr>
        <w:t>model: A weekly diary study of psychological strain in portfolio workers. Journal of Occupational and Organizational Psychology, 79(1), 63-84.</w:t>
      </w:r>
    </w:p>
    <w:p w14:paraId="292AF314" w14:textId="77777777" w:rsidR="00520747" w:rsidRDefault="00071A3A" w:rsidP="0005739F">
      <w:pPr>
        <w:spacing w:line="360" w:lineRule="auto"/>
        <w:rPr>
          <w:noProof/>
          <w:lang w:val="en-US"/>
        </w:rPr>
      </w:pPr>
      <w:r w:rsidRPr="00071A3A">
        <w:rPr>
          <w:noProof/>
          <w:lang w:val="en-US"/>
        </w:rPr>
        <w:t xml:space="preserve">Tremmel, S., &amp; Sonnentag, S. (2018). A sorrow halved? A daily diary study on talking about </w:t>
      </w:r>
    </w:p>
    <w:p w14:paraId="470B4BAC" w14:textId="434E2D41" w:rsidR="00071A3A" w:rsidRPr="00071A3A" w:rsidRDefault="00071A3A" w:rsidP="00520747">
      <w:pPr>
        <w:spacing w:line="360" w:lineRule="auto"/>
        <w:ind w:left="708"/>
        <w:rPr>
          <w:noProof/>
          <w:lang w:val="en-US"/>
        </w:rPr>
      </w:pPr>
      <w:r w:rsidRPr="00071A3A">
        <w:rPr>
          <w:noProof/>
          <w:lang w:val="en-US"/>
        </w:rPr>
        <w:lastRenderedPageBreak/>
        <w:t>experienced workplace incivility and next-morning negative affect. Journal of Occupational Health Psychology, 23(4), 568.</w:t>
      </w:r>
    </w:p>
    <w:p w14:paraId="1A3D7621" w14:textId="77777777" w:rsidR="00520747" w:rsidRDefault="00071A3A" w:rsidP="0005739F">
      <w:pPr>
        <w:spacing w:line="360" w:lineRule="auto"/>
        <w:rPr>
          <w:noProof/>
          <w:lang w:val="en-US"/>
        </w:rPr>
      </w:pPr>
      <w:r w:rsidRPr="00071A3A">
        <w:rPr>
          <w:noProof/>
          <w:lang w:val="en-US"/>
        </w:rPr>
        <w:t xml:space="preserve">Van Der Lippe, T. (2007). Dutch workers and time pressure: Household and workplace </w:t>
      </w:r>
    </w:p>
    <w:p w14:paraId="1762DF40" w14:textId="6FBBFF49" w:rsidR="00071A3A" w:rsidRPr="00071A3A" w:rsidRDefault="00071A3A" w:rsidP="00520747">
      <w:pPr>
        <w:spacing w:line="360" w:lineRule="auto"/>
        <w:ind w:firstLine="708"/>
        <w:rPr>
          <w:noProof/>
          <w:lang w:val="en-US"/>
        </w:rPr>
      </w:pPr>
      <w:r w:rsidRPr="00071A3A">
        <w:rPr>
          <w:noProof/>
          <w:lang w:val="en-US"/>
        </w:rPr>
        <w:t>characteristics. Work, employment and society, 21(4), 693-711.</w:t>
      </w:r>
    </w:p>
    <w:p w14:paraId="139EBB52" w14:textId="77777777" w:rsidR="00520747" w:rsidRDefault="00071A3A" w:rsidP="0005739F">
      <w:pPr>
        <w:spacing w:line="360" w:lineRule="auto"/>
        <w:rPr>
          <w:noProof/>
          <w:lang w:val="en-US"/>
        </w:rPr>
      </w:pPr>
      <w:r w:rsidRPr="00071A3A">
        <w:rPr>
          <w:noProof/>
          <w:lang w:val="en-US"/>
        </w:rPr>
        <w:t xml:space="preserve">Van Veldhoven, M. J. P. M., &amp; Meijman, T. (1994). Het meten van psychosociale </w:t>
      </w:r>
    </w:p>
    <w:p w14:paraId="471B64F4" w14:textId="42E984F6" w:rsidR="00071A3A" w:rsidRPr="00071A3A" w:rsidRDefault="00071A3A" w:rsidP="00520747">
      <w:pPr>
        <w:spacing w:line="360" w:lineRule="auto"/>
        <w:ind w:left="708"/>
        <w:rPr>
          <w:noProof/>
          <w:lang w:val="en-US"/>
        </w:rPr>
      </w:pPr>
      <w:r w:rsidRPr="00071A3A">
        <w:rPr>
          <w:noProof/>
          <w:lang w:val="en-US"/>
        </w:rPr>
        <w:t>arbeidsbelasting met een vragenlijst: de vragenlijst beleving en beoordeling van de arbeid (VBBA).</w:t>
      </w:r>
    </w:p>
    <w:p w14:paraId="447D08FB" w14:textId="77777777" w:rsidR="00520747" w:rsidRDefault="00071A3A" w:rsidP="0005739F">
      <w:pPr>
        <w:spacing w:line="360" w:lineRule="auto"/>
        <w:rPr>
          <w:noProof/>
          <w:lang w:val="en-US"/>
        </w:rPr>
      </w:pPr>
      <w:r w:rsidRPr="00071A3A">
        <w:rPr>
          <w:noProof/>
          <w:lang w:val="en-US"/>
        </w:rPr>
        <w:t xml:space="preserve">Veldhoven, M. V., &amp; Meijman, T. (1994). Het meten van psychosociale arbeidsbelasting met </w:t>
      </w:r>
    </w:p>
    <w:p w14:paraId="00FCC228" w14:textId="4B84E61F" w:rsidR="00071A3A" w:rsidRPr="00071A3A" w:rsidRDefault="00071A3A" w:rsidP="00520747">
      <w:pPr>
        <w:spacing w:line="360" w:lineRule="auto"/>
        <w:ind w:firstLine="708"/>
        <w:rPr>
          <w:noProof/>
          <w:lang w:val="en-US"/>
        </w:rPr>
      </w:pPr>
      <w:r w:rsidRPr="00071A3A">
        <w:rPr>
          <w:noProof/>
          <w:lang w:val="en-US"/>
        </w:rPr>
        <w:t>een vragenlijst: de vragenlijst beleving en beoordeling van de arbeid (VBBA).</w:t>
      </w:r>
    </w:p>
    <w:p w14:paraId="05F5484E" w14:textId="77777777" w:rsidR="00520747" w:rsidRDefault="00071A3A" w:rsidP="0005739F">
      <w:pPr>
        <w:spacing w:line="360" w:lineRule="auto"/>
        <w:rPr>
          <w:noProof/>
          <w:lang w:val="en-US"/>
        </w:rPr>
      </w:pPr>
      <w:r w:rsidRPr="00071A3A">
        <w:rPr>
          <w:noProof/>
          <w:lang w:val="en-US"/>
        </w:rPr>
        <w:t xml:space="preserve">Wang, S., Liu, Y., &amp; Shalley, C. E. (2018). Idiosyncratic deals and employee creativity: The </w:t>
      </w:r>
    </w:p>
    <w:p w14:paraId="7BB12004" w14:textId="0BCE573C" w:rsidR="00071A3A" w:rsidRPr="00071A3A" w:rsidRDefault="00071A3A" w:rsidP="00520747">
      <w:pPr>
        <w:spacing w:line="360" w:lineRule="auto"/>
        <w:ind w:left="708"/>
        <w:rPr>
          <w:noProof/>
          <w:lang w:val="en-US"/>
        </w:rPr>
      </w:pPr>
      <w:r w:rsidRPr="00071A3A">
        <w:rPr>
          <w:noProof/>
          <w:lang w:val="en-US"/>
        </w:rPr>
        <w:t>mediating role of creative self‐efficacy. Human Resource Management, 57(6), 1443-1453.</w:t>
      </w:r>
    </w:p>
    <w:p w14:paraId="0E6331A2" w14:textId="77777777" w:rsidR="00520747" w:rsidRDefault="00071A3A" w:rsidP="0005739F">
      <w:pPr>
        <w:spacing w:line="360" w:lineRule="auto"/>
        <w:rPr>
          <w:noProof/>
          <w:lang w:val="en-US"/>
        </w:rPr>
      </w:pPr>
      <w:r w:rsidRPr="00071A3A">
        <w:rPr>
          <w:noProof/>
          <w:lang w:val="en-US"/>
        </w:rPr>
        <w:t xml:space="preserve">Wanous, J. P., Reichers, A. E., &amp; Hudy, M. J. (1997). Overall job satisfaction: how good are </w:t>
      </w:r>
    </w:p>
    <w:p w14:paraId="55262F17" w14:textId="2DE391F5" w:rsidR="00071A3A" w:rsidRPr="00071A3A" w:rsidRDefault="00071A3A" w:rsidP="00520747">
      <w:pPr>
        <w:spacing w:line="360" w:lineRule="auto"/>
        <w:ind w:firstLine="708"/>
        <w:rPr>
          <w:noProof/>
          <w:lang w:val="en-US"/>
        </w:rPr>
      </w:pPr>
      <w:r w:rsidRPr="00071A3A">
        <w:rPr>
          <w:noProof/>
          <w:lang w:val="en-US"/>
        </w:rPr>
        <w:t>single-item measures?. Journal of applied Psychology, 82(2), 247.</w:t>
      </w:r>
    </w:p>
    <w:p w14:paraId="0BBB274B" w14:textId="77777777" w:rsidR="00520747" w:rsidRDefault="00071A3A" w:rsidP="0005739F">
      <w:pPr>
        <w:spacing w:line="360" w:lineRule="auto"/>
        <w:rPr>
          <w:noProof/>
          <w:lang w:val="en-US"/>
        </w:rPr>
      </w:pPr>
      <w:r w:rsidRPr="00071A3A">
        <w:rPr>
          <w:noProof/>
          <w:lang w:val="en-US"/>
        </w:rPr>
        <w:t xml:space="preserve">Wei, J., Chen, Y., Zhang, Y., &amp; Zhang, J. (2020). How does entrepreneurial self-efficacy </w:t>
      </w:r>
    </w:p>
    <w:p w14:paraId="34E9717A" w14:textId="0E73CE39" w:rsidR="00071A3A" w:rsidRPr="00071A3A" w:rsidRDefault="00071A3A" w:rsidP="00520747">
      <w:pPr>
        <w:spacing w:line="360" w:lineRule="auto"/>
        <w:ind w:left="708"/>
        <w:rPr>
          <w:noProof/>
          <w:lang w:val="en-US"/>
        </w:rPr>
      </w:pPr>
      <w:r w:rsidRPr="00071A3A">
        <w:rPr>
          <w:noProof/>
          <w:lang w:val="en-US"/>
        </w:rPr>
        <w:t>influence innovation behavior? Exploring the mechanism of job satisfaction and Zhongyong thinking. Frontiers in Psychology, 11, 708.</w:t>
      </w:r>
    </w:p>
    <w:p w14:paraId="7BD292E4" w14:textId="77777777" w:rsidR="00520747" w:rsidRDefault="00071A3A" w:rsidP="0005739F">
      <w:pPr>
        <w:spacing w:line="360" w:lineRule="auto"/>
        <w:rPr>
          <w:noProof/>
          <w:lang w:val="en-US"/>
        </w:rPr>
      </w:pPr>
      <w:r w:rsidRPr="00071A3A">
        <w:rPr>
          <w:noProof/>
          <w:lang w:val="en-US"/>
        </w:rPr>
        <w:t xml:space="preserve">Wo, D. X., Ambrose, M. L., &amp; Schminke, M. (2015). What drives trickle-down effects? A </w:t>
      </w:r>
    </w:p>
    <w:p w14:paraId="7AB33347" w14:textId="25DF1FC5" w:rsidR="00071A3A" w:rsidRPr="00071A3A" w:rsidRDefault="00071A3A" w:rsidP="00520747">
      <w:pPr>
        <w:spacing w:line="360" w:lineRule="auto"/>
        <w:ind w:left="708"/>
        <w:rPr>
          <w:noProof/>
          <w:lang w:val="en-US"/>
        </w:rPr>
      </w:pPr>
      <w:r w:rsidRPr="00071A3A">
        <w:rPr>
          <w:noProof/>
          <w:lang w:val="en-US"/>
        </w:rPr>
        <w:t>test of multiple mediation processes. Academy of Management Journal, 58(6), 1848-1868.</w:t>
      </w:r>
    </w:p>
    <w:p w14:paraId="18C5393E" w14:textId="77777777" w:rsidR="00520747" w:rsidRDefault="00071A3A" w:rsidP="0005739F">
      <w:pPr>
        <w:spacing w:line="360" w:lineRule="auto"/>
        <w:rPr>
          <w:noProof/>
          <w:lang w:val="en-US"/>
        </w:rPr>
      </w:pPr>
      <w:r w:rsidRPr="00071A3A">
        <w:rPr>
          <w:noProof/>
          <w:lang w:val="en-US"/>
        </w:rPr>
        <w:t xml:space="preserve">Yu, A., Pichler, S., Russo, M., &amp; Hammer, L. (2022). Family‐supportive supervisor behaviors </w:t>
      </w:r>
    </w:p>
    <w:p w14:paraId="47C32274" w14:textId="585A3C39" w:rsidR="00071A3A" w:rsidRPr="00071A3A" w:rsidRDefault="00071A3A" w:rsidP="00520747">
      <w:pPr>
        <w:spacing w:line="360" w:lineRule="auto"/>
        <w:ind w:left="708"/>
        <w:rPr>
          <w:noProof/>
          <w:lang w:val="en-US"/>
        </w:rPr>
      </w:pPr>
      <w:r w:rsidRPr="00071A3A">
        <w:rPr>
          <w:noProof/>
          <w:lang w:val="en-US"/>
        </w:rPr>
        <w:t>(FSSB) and work‐family conflict: The role of stereotype content, supervisor gender, and gender role beliefs. Journal of Occupational and Organizational Psychology, 95(2), 275-304.</w:t>
      </w:r>
    </w:p>
    <w:p w14:paraId="49DB021D" w14:textId="77777777" w:rsidR="00520747" w:rsidRDefault="00071A3A" w:rsidP="0005739F">
      <w:pPr>
        <w:spacing w:line="360" w:lineRule="auto"/>
        <w:rPr>
          <w:noProof/>
          <w:lang w:val="en-US"/>
        </w:rPr>
      </w:pPr>
      <w:r w:rsidRPr="00071A3A">
        <w:rPr>
          <w:noProof/>
          <w:lang w:val="en-US"/>
        </w:rPr>
        <w:t xml:space="preserve">Yu, L., Buysse, D. J., Germain, A., Moul, D. E., Stover, A., Dodds, N. E., ... &amp; Pilkonis, P. A. </w:t>
      </w:r>
    </w:p>
    <w:p w14:paraId="240D9921" w14:textId="6131AD87" w:rsidR="00071A3A" w:rsidRPr="00071A3A" w:rsidRDefault="00071A3A" w:rsidP="00520747">
      <w:pPr>
        <w:spacing w:line="360" w:lineRule="auto"/>
        <w:ind w:left="708"/>
        <w:rPr>
          <w:noProof/>
          <w:lang w:val="en-US"/>
        </w:rPr>
      </w:pPr>
      <w:r w:rsidRPr="00071A3A">
        <w:rPr>
          <w:noProof/>
          <w:lang w:val="en-US"/>
        </w:rPr>
        <w:t>(2012). Development of short forms from the PROMIS™ sleep disturbance and sleep-related impairment item banks. Behavioral sleep medicine, 10(1), 6-24.</w:t>
      </w:r>
    </w:p>
    <w:p w14:paraId="283ADBCD" w14:textId="77777777" w:rsidR="00520747" w:rsidRDefault="00071A3A" w:rsidP="0005739F">
      <w:pPr>
        <w:spacing w:line="360" w:lineRule="auto"/>
        <w:rPr>
          <w:noProof/>
          <w:lang w:val="en-US"/>
        </w:rPr>
      </w:pPr>
      <w:r w:rsidRPr="00071A3A">
        <w:rPr>
          <w:noProof/>
          <w:lang w:val="en-US"/>
        </w:rPr>
        <w:t xml:space="preserve">Zhang, L., Jin, T., &amp; Jiang, H. (2020). The mediating role of career calling in the relationship </w:t>
      </w:r>
    </w:p>
    <w:p w14:paraId="38B84A6D" w14:textId="71ECE5DA" w:rsidR="00071A3A" w:rsidRPr="00071A3A" w:rsidRDefault="00071A3A" w:rsidP="00520747">
      <w:pPr>
        <w:spacing w:line="360" w:lineRule="auto"/>
        <w:ind w:left="708"/>
        <w:rPr>
          <w:noProof/>
          <w:lang w:val="en-US"/>
        </w:rPr>
      </w:pPr>
      <w:r w:rsidRPr="00071A3A">
        <w:rPr>
          <w:noProof/>
          <w:lang w:val="en-US"/>
        </w:rPr>
        <w:t>between family-supportive supervisor behaviors and turnover intention among public hospital nurses in China. Asian Nursing Research, 14(5), 306-311.</w:t>
      </w:r>
    </w:p>
    <w:p w14:paraId="5CAC77B4" w14:textId="77777777" w:rsidR="00520747" w:rsidRDefault="00071A3A" w:rsidP="0005739F">
      <w:pPr>
        <w:spacing w:line="360" w:lineRule="auto"/>
        <w:rPr>
          <w:noProof/>
          <w:lang w:val="en-US"/>
        </w:rPr>
      </w:pPr>
      <w:r w:rsidRPr="00071A3A">
        <w:rPr>
          <w:noProof/>
          <w:lang w:val="en-US"/>
        </w:rPr>
        <w:t xml:space="preserve">Zhang, L., Jin, T., &amp; Jiang, H. (2020). The mediating role of career calling in the relationship </w:t>
      </w:r>
    </w:p>
    <w:p w14:paraId="110BFD5C" w14:textId="750F07D5" w:rsidR="00071A3A" w:rsidRPr="00071A3A" w:rsidRDefault="00071A3A" w:rsidP="00520747">
      <w:pPr>
        <w:spacing w:line="360" w:lineRule="auto"/>
        <w:ind w:left="360"/>
        <w:rPr>
          <w:noProof/>
          <w:lang w:val="en-US"/>
        </w:rPr>
      </w:pPr>
      <w:r w:rsidRPr="00071A3A">
        <w:rPr>
          <w:noProof/>
          <w:lang w:val="en-US"/>
        </w:rPr>
        <w:t>between family-supportive supervisor behaviors and turnover intention among public hospital nurses in China. Asian Nursing Research, 14(5), 306-311.</w:t>
      </w:r>
    </w:p>
    <w:p w14:paraId="153DD01B" w14:textId="228E6437" w:rsidR="00C17407" w:rsidRPr="00E25B16" w:rsidRDefault="00C17407" w:rsidP="00071A3A">
      <w:pPr>
        <w:spacing w:line="480" w:lineRule="auto"/>
        <w:ind w:left="709"/>
        <w:rPr>
          <w:color w:val="000000"/>
          <w:lang w:val="en-US"/>
        </w:rPr>
        <w:sectPr w:rsidR="00C17407" w:rsidRPr="00E25B16" w:rsidSect="006D3C6D">
          <w:pgSz w:w="11906" w:h="16838"/>
          <w:pgMar w:top="1418" w:right="1418" w:bottom="1418" w:left="1418" w:header="709" w:footer="709" w:gutter="0"/>
          <w:cols w:space="708"/>
          <w:docGrid w:linePitch="360"/>
        </w:sectPr>
      </w:pPr>
    </w:p>
    <w:p w14:paraId="59FDA20A" w14:textId="09D334E6" w:rsidR="00006273" w:rsidRPr="00071A3A" w:rsidRDefault="00006273" w:rsidP="006A3B37">
      <w:pPr>
        <w:spacing w:line="480" w:lineRule="auto"/>
        <w:jc w:val="both"/>
        <w:rPr>
          <w:color w:val="000000"/>
          <w:lang w:val="en-US"/>
        </w:rPr>
      </w:pPr>
      <w:r w:rsidRPr="00AD287B">
        <w:lastRenderedPageBreak/>
        <w:t>Table 1.</w:t>
      </w:r>
      <w:r w:rsidRPr="003F02A8">
        <w:t xml:space="preserve"> </w:t>
      </w:r>
      <w:r w:rsidR="00AD52D5" w:rsidRPr="00A4488F">
        <w:rPr>
          <w:lang w:val="en-US"/>
        </w:rPr>
        <w:t xml:space="preserve">Means, Standard Deviations, </w:t>
      </w:r>
      <w:r w:rsidR="003F4ACE">
        <w:rPr>
          <w:lang w:val="en-US"/>
        </w:rPr>
        <w:t>C</w:t>
      </w:r>
      <w:r w:rsidR="00AD52D5" w:rsidRPr="00A4488F">
        <w:rPr>
          <w:lang w:val="en-US"/>
        </w:rPr>
        <w:t>orrelations, and Reliabilities (on the Diagonal Between Brackets) of the Study Variables</w:t>
      </w:r>
      <w:r w:rsidRPr="00071A3A">
        <w:rPr>
          <w:color w:val="000000"/>
          <w:lang w:val="en-US"/>
        </w:rPr>
        <w:t xml:space="preserve"> (Study 1)</w:t>
      </w:r>
    </w:p>
    <w:tbl>
      <w:tblPr>
        <w:tblW w:w="12893" w:type="dxa"/>
        <w:tblBorders>
          <w:top w:val="single" w:sz="4" w:space="0" w:color="auto"/>
          <w:bottom w:val="single" w:sz="4" w:space="0" w:color="auto"/>
        </w:tblBorders>
        <w:tblLook w:val="04A0" w:firstRow="1" w:lastRow="0" w:firstColumn="1" w:lastColumn="0" w:noHBand="0" w:noVBand="1"/>
      </w:tblPr>
      <w:tblGrid>
        <w:gridCol w:w="696"/>
        <w:gridCol w:w="4235"/>
        <w:gridCol w:w="1327"/>
        <w:gridCol w:w="1327"/>
        <w:gridCol w:w="1327"/>
        <w:gridCol w:w="1327"/>
        <w:gridCol w:w="1327"/>
        <w:gridCol w:w="1327"/>
      </w:tblGrid>
      <w:tr w:rsidR="00006273" w14:paraId="20DA882C" w14:textId="77777777" w:rsidTr="00AD52D5">
        <w:trPr>
          <w:trHeight w:val="563"/>
        </w:trPr>
        <w:tc>
          <w:tcPr>
            <w:tcW w:w="696" w:type="dxa"/>
            <w:tcBorders>
              <w:top w:val="single" w:sz="4" w:space="0" w:color="auto"/>
              <w:bottom w:val="single" w:sz="4" w:space="0" w:color="auto"/>
            </w:tcBorders>
            <w:shd w:val="clear" w:color="auto" w:fill="auto"/>
            <w:noWrap/>
            <w:vAlign w:val="bottom"/>
            <w:hideMark/>
          </w:tcPr>
          <w:p w14:paraId="723E308C" w14:textId="1FAC1410" w:rsidR="00006273" w:rsidRPr="00071A3A" w:rsidRDefault="00006273" w:rsidP="00071A3A">
            <w:pPr>
              <w:ind w:left="360"/>
              <w:rPr>
                <w:color w:val="000000"/>
              </w:rPr>
            </w:pPr>
          </w:p>
        </w:tc>
        <w:tc>
          <w:tcPr>
            <w:tcW w:w="4235" w:type="dxa"/>
            <w:tcBorders>
              <w:top w:val="single" w:sz="4" w:space="0" w:color="auto"/>
              <w:bottom w:val="single" w:sz="4" w:space="0" w:color="auto"/>
            </w:tcBorders>
            <w:shd w:val="clear" w:color="auto" w:fill="auto"/>
            <w:noWrap/>
            <w:vAlign w:val="bottom"/>
            <w:hideMark/>
          </w:tcPr>
          <w:p w14:paraId="56D95FAC" w14:textId="77777777" w:rsidR="00006273" w:rsidRPr="00071A3A" w:rsidRDefault="00006273" w:rsidP="00071A3A">
            <w:pPr>
              <w:ind w:left="360"/>
              <w:rPr>
                <w:b/>
                <w:bCs/>
                <w:color w:val="000000"/>
              </w:rPr>
            </w:pPr>
            <w:r w:rsidRPr="00071A3A">
              <w:rPr>
                <w:b/>
                <w:bCs/>
                <w:color w:val="000000"/>
              </w:rPr>
              <w:t>Variables</w:t>
            </w:r>
          </w:p>
        </w:tc>
        <w:tc>
          <w:tcPr>
            <w:tcW w:w="1327" w:type="dxa"/>
            <w:tcBorders>
              <w:top w:val="single" w:sz="4" w:space="0" w:color="auto"/>
              <w:bottom w:val="single" w:sz="4" w:space="0" w:color="auto"/>
            </w:tcBorders>
            <w:shd w:val="clear" w:color="auto" w:fill="auto"/>
            <w:noWrap/>
            <w:vAlign w:val="bottom"/>
            <w:hideMark/>
          </w:tcPr>
          <w:p w14:paraId="6C382A37" w14:textId="77777777" w:rsidR="00006273" w:rsidRPr="00071A3A" w:rsidRDefault="00006273" w:rsidP="00071A3A">
            <w:pPr>
              <w:ind w:left="360"/>
              <w:jc w:val="center"/>
              <w:rPr>
                <w:b/>
                <w:bCs/>
                <w:i/>
                <w:iCs/>
                <w:color w:val="000000"/>
              </w:rPr>
            </w:pPr>
            <w:r w:rsidRPr="00071A3A">
              <w:rPr>
                <w:b/>
                <w:bCs/>
                <w:i/>
                <w:iCs/>
                <w:color w:val="000000"/>
              </w:rPr>
              <w:t>Mean</w:t>
            </w:r>
          </w:p>
        </w:tc>
        <w:tc>
          <w:tcPr>
            <w:tcW w:w="1327" w:type="dxa"/>
            <w:tcBorders>
              <w:top w:val="single" w:sz="4" w:space="0" w:color="auto"/>
              <w:bottom w:val="single" w:sz="4" w:space="0" w:color="auto"/>
            </w:tcBorders>
            <w:shd w:val="clear" w:color="auto" w:fill="auto"/>
            <w:noWrap/>
            <w:vAlign w:val="bottom"/>
            <w:hideMark/>
          </w:tcPr>
          <w:p w14:paraId="41B86CED" w14:textId="77777777" w:rsidR="00006273" w:rsidRPr="00071A3A" w:rsidRDefault="00006273" w:rsidP="00071A3A">
            <w:pPr>
              <w:ind w:left="360"/>
              <w:jc w:val="center"/>
              <w:rPr>
                <w:b/>
                <w:bCs/>
                <w:i/>
                <w:iCs/>
                <w:color w:val="000000"/>
              </w:rPr>
            </w:pPr>
            <w:r w:rsidRPr="00071A3A">
              <w:rPr>
                <w:b/>
                <w:bCs/>
                <w:i/>
                <w:iCs/>
                <w:color w:val="000000"/>
              </w:rPr>
              <w:t>SD</w:t>
            </w:r>
          </w:p>
        </w:tc>
        <w:tc>
          <w:tcPr>
            <w:tcW w:w="1327" w:type="dxa"/>
            <w:tcBorders>
              <w:top w:val="single" w:sz="4" w:space="0" w:color="auto"/>
              <w:bottom w:val="single" w:sz="4" w:space="0" w:color="auto"/>
            </w:tcBorders>
            <w:shd w:val="clear" w:color="auto" w:fill="auto"/>
            <w:noWrap/>
            <w:vAlign w:val="bottom"/>
            <w:hideMark/>
          </w:tcPr>
          <w:p w14:paraId="5B379E22" w14:textId="77777777" w:rsidR="00006273" w:rsidRPr="00071A3A" w:rsidRDefault="00006273" w:rsidP="00071A3A">
            <w:pPr>
              <w:ind w:left="360"/>
              <w:jc w:val="center"/>
              <w:rPr>
                <w:b/>
                <w:bCs/>
                <w:i/>
                <w:iCs/>
                <w:color w:val="000000"/>
              </w:rPr>
            </w:pPr>
            <w:r w:rsidRPr="00071A3A">
              <w:rPr>
                <w:b/>
                <w:bCs/>
                <w:i/>
                <w:iCs/>
                <w:color w:val="000000"/>
              </w:rPr>
              <w:t>1</w:t>
            </w:r>
          </w:p>
        </w:tc>
        <w:tc>
          <w:tcPr>
            <w:tcW w:w="1327" w:type="dxa"/>
            <w:tcBorders>
              <w:top w:val="single" w:sz="4" w:space="0" w:color="auto"/>
              <w:bottom w:val="single" w:sz="4" w:space="0" w:color="auto"/>
            </w:tcBorders>
            <w:shd w:val="clear" w:color="auto" w:fill="auto"/>
            <w:noWrap/>
            <w:vAlign w:val="bottom"/>
            <w:hideMark/>
          </w:tcPr>
          <w:p w14:paraId="7FBA569D" w14:textId="77777777" w:rsidR="00006273" w:rsidRPr="00071A3A" w:rsidRDefault="00006273" w:rsidP="00071A3A">
            <w:pPr>
              <w:ind w:left="360"/>
              <w:jc w:val="center"/>
              <w:rPr>
                <w:b/>
                <w:bCs/>
                <w:i/>
                <w:iCs/>
                <w:color w:val="000000"/>
              </w:rPr>
            </w:pPr>
            <w:r w:rsidRPr="00071A3A">
              <w:rPr>
                <w:b/>
                <w:bCs/>
                <w:i/>
                <w:iCs/>
                <w:color w:val="000000"/>
              </w:rPr>
              <w:t>2</w:t>
            </w:r>
          </w:p>
        </w:tc>
        <w:tc>
          <w:tcPr>
            <w:tcW w:w="1327" w:type="dxa"/>
            <w:tcBorders>
              <w:top w:val="single" w:sz="4" w:space="0" w:color="auto"/>
              <w:bottom w:val="single" w:sz="4" w:space="0" w:color="auto"/>
            </w:tcBorders>
            <w:shd w:val="clear" w:color="auto" w:fill="auto"/>
            <w:noWrap/>
            <w:vAlign w:val="bottom"/>
            <w:hideMark/>
          </w:tcPr>
          <w:p w14:paraId="2A99C431" w14:textId="77777777" w:rsidR="00006273" w:rsidRPr="00071A3A" w:rsidRDefault="00006273" w:rsidP="00071A3A">
            <w:pPr>
              <w:ind w:left="360"/>
              <w:jc w:val="center"/>
              <w:rPr>
                <w:b/>
                <w:bCs/>
                <w:i/>
                <w:iCs/>
                <w:color w:val="000000"/>
              </w:rPr>
            </w:pPr>
            <w:r w:rsidRPr="00071A3A">
              <w:rPr>
                <w:b/>
                <w:bCs/>
                <w:i/>
                <w:iCs/>
                <w:color w:val="000000"/>
              </w:rPr>
              <w:t>3</w:t>
            </w:r>
          </w:p>
        </w:tc>
        <w:tc>
          <w:tcPr>
            <w:tcW w:w="1327" w:type="dxa"/>
            <w:tcBorders>
              <w:top w:val="single" w:sz="4" w:space="0" w:color="auto"/>
              <w:bottom w:val="single" w:sz="4" w:space="0" w:color="auto"/>
            </w:tcBorders>
            <w:shd w:val="clear" w:color="auto" w:fill="auto"/>
            <w:noWrap/>
            <w:vAlign w:val="bottom"/>
            <w:hideMark/>
          </w:tcPr>
          <w:p w14:paraId="680848B7" w14:textId="77777777" w:rsidR="00006273" w:rsidRPr="00071A3A" w:rsidRDefault="00006273" w:rsidP="00071A3A">
            <w:pPr>
              <w:ind w:left="360"/>
              <w:jc w:val="center"/>
              <w:rPr>
                <w:b/>
                <w:bCs/>
                <w:i/>
                <w:iCs/>
                <w:color w:val="000000"/>
              </w:rPr>
            </w:pPr>
            <w:r w:rsidRPr="00071A3A">
              <w:rPr>
                <w:b/>
                <w:bCs/>
                <w:i/>
                <w:iCs/>
                <w:color w:val="000000"/>
              </w:rPr>
              <w:t>4</w:t>
            </w:r>
          </w:p>
        </w:tc>
      </w:tr>
      <w:tr w:rsidR="00006273" w14:paraId="27599FD7" w14:textId="77777777" w:rsidTr="00AD52D5">
        <w:trPr>
          <w:trHeight w:val="563"/>
        </w:trPr>
        <w:tc>
          <w:tcPr>
            <w:tcW w:w="696" w:type="dxa"/>
            <w:tcBorders>
              <w:top w:val="single" w:sz="4" w:space="0" w:color="auto"/>
            </w:tcBorders>
            <w:shd w:val="clear" w:color="auto" w:fill="auto"/>
            <w:noWrap/>
            <w:vAlign w:val="bottom"/>
            <w:hideMark/>
          </w:tcPr>
          <w:p w14:paraId="7AA6C4D7" w14:textId="77777777" w:rsidR="00006273" w:rsidRPr="00071A3A" w:rsidRDefault="00006273" w:rsidP="00071A3A">
            <w:pPr>
              <w:ind w:left="360"/>
              <w:jc w:val="right"/>
              <w:rPr>
                <w:color w:val="000000"/>
              </w:rPr>
            </w:pPr>
            <w:r w:rsidRPr="00071A3A">
              <w:rPr>
                <w:color w:val="000000"/>
              </w:rPr>
              <w:t>1</w:t>
            </w:r>
          </w:p>
        </w:tc>
        <w:tc>
          <w:tcPr>
            <w:tcW w:w="4235" w:type="dxa"/>
            <w:tcBorders>
              <w:top w:val="single" w:sz="4" w:space="0" w:color="auto"/>
            </w:tcBorders>
            <w:shd w:val="clear" w:color="auto" w:fill="auto"/>
            <w:noWrap/>
            <w:vAlign w:val="bottom"/>
            <w:hideMark/>
          </w:tcPr>
          <w:p w14:paraId="6ADA6988" w14:textId="77777777" w:rsidR="00006273" w:rsidRPr="00071A3A" w:rsidRDefault="00006273" w:rsidP="00071A3A">
            <w:pPr>
              <w:ind w:left="360"/>
              <w:rPr>
                <w:color w:val="000000"/>
              </w:rPr>
            </w:pPr>
            <w:r w:rsidRPr="00071A3A">
              <w:rPr>
                <w:color w:val="000000"/>
              </w:rPr>
              <w:t>Weeks</w:t>
            </w:r>
          </w:p>
        </w:tc>
        <w:tc>
          <w:tcPr>
            <w:tcW w:w="1327" w:type="dxa"/>
            <w:tcBorders>
              <w:top w:val="single" w:sz="4" w:space="0" w:color="auto"/>
            </w:tcBorders>
            <w:shd w:val="clear" w:color="auto" w:fill="auto"/>
            <w:noWrap/>
            <w:vAlign w:val="bottom"/>
            <w:hideMark/>
          </w:tcPr>
          <w:p w14:paraId="580F894E" w14:textId="77777777" w:rsidR="00006273" w:rsidRPr="00071A3A" w:rsidRDefault="00006273" w:rsidP="00071A3A">
            <w:pPr>
              <w:ind w:left="360"/>
              <w:jc w:val="center"/>
              <w:rPr>
                <w:color w:val="000000"/>
              </w:rPr>
            </w:pPr>
            <w:r w:rsidRPr="00071A3A">
              <w:rPr>
                <w:color w:val="000000"/>
              </w:rPr>
              <w:t>2.56</w:t>
            </w:r>
          </w:p>
        </w:tc>
        <w:tc>
          <w:tcPr>
            <w:tcW w:w="1327" w:type="dxa"/>
            <w:tcBorders>
              <w:top w:val="single" w:sz="4" w:space="0" w:color="auto"/>
            </w:tcBorders>
            <w:shd w:val="clear" w:color="auto" w:fill="auto"/>
            <w:noWrap/>
            <w:vAlign w:val="bottom"/>
            <w:hideMark/>
          </w:tcPr>
          <w:p w14:paraId="67135BC3" w14:textId="77777777" w:rsidR="00006273" w:rsidRPr="00071A3A" w:rsidRDefault="00006273" w:rsidP="00071A3A">
            <w:pPr>
              <w:ind w:left="360"/>
              <w:jc w:val="center"/>
              <w:rPr>
                <w:color w:val="000000"/>
              </w:rPr>
            </w:pPr>
            <w:r w:rsidRPr="00071A3A">
              <w:rPr>
                <w:color w:val="000000"/>
              </w:rPr>
              <w:t>1.09</w:t>
            </w:r>
          </w:p>
        </w:tc>
        <w:tc>
          <w:tcPr>
            <w:tcW w:w="1327" w:type="dxa"/>
            <w:tcBorders>
              <w:top w:val="single" w:sz="4" w:space="0" w:color="auto"/>
            </w:tcBorders>
            <w:shd w:val="clear" w:color="auto" w:fill="auto"/>
            <w:noWrap/>
            <w:vAlign w:val="bottom"/>
            <w:hideMark/>
          </w:tcPr>
          <w:p w14:paraId="6CB42D4A" w14:textId="5A4930A8" w:rsidR="00006273" w:rsidRPr="00071A3A" w:rsidRDefault="00006273" w:rsidP="00071A3A">
            <w:pPr>
              <w:ind w:left="360"/>
              <w:jc w:val="center"/>
              <w:rPr>
                <w:color w:val="000000"/>
              </w:rPr>
            </w:pPr>
          </w:p>
        </w:tc>
        <w:tc>
          <w:tcPr>
            <w:tcW w:w="1327" w:type="dxa"/>
            <w:tcBorders>
              <w:top w:val="single" w:sz="4" w:space="0" w:color="auto"/>
            </w:tcBorders>
            <w:shd w:val="clear" w:color="auto" w:fill="auto"/>
            <w:noWrap/>
            <w:vAlign w:val="bottom"/>
            <w:hideMark/>
          </w:tcPr>
          <w:p w14:paraId="573A6DD6" w14:textId="1AA57BE5" w:rsidR="00006273" w:rsidRPr="00071A3A" w:rsidRDefault="00006273" w:rsidP="00071A3A">
            <w:pPr>
              <w:ind w:left="360"/>
              <w:jc w:val="center"/>
              <w:rPr>
                <w:color w:val="000000"/>
              </w:rPr>
            </w:pPr>
          </w:p>
        </w:tc>
        <w:tc>
          <w:tcPr>
            <w:tcW w:w="1327" w:type="dxa"/>
            <w:tcBorders>
              <w:top w:val="single" w:sz="4" w:space="0" w:color="auto"/>
            </w:tcBorders>
            <w:shd w:val="clear" w:color="auto" w:fill="auto"/>
            <w:noWrap/>
            <w:vAlign w:val="bottom"/>
            <w:hideMark/>
          </w:tcPr>
          <w:p w14:paraId="7794919E" w14:textId="7606A9E1" w:rsidR="00006273" w:rsidRPr="00071A3A" w:rsidRDefault="00006273" w:rsidP="00071A3A">
            <w:pPr>
              <w:ind w:left="360"/>
              <w:jc w:val="center"/>
              <w:rPr>
                <w:color w:val="000000"/>
              </w:rPr>
            </w:pPr>
          </w:p>
        </w:tc>
        <w:tc>
          <w:tcPr>
            <w:tcW w:w="1327" w:type="dxa"/>
            <w:tcBorders>
              <w:top w:val="single" w:sz="4" w:space="0" w:color="auto"/>
            </w:tcBorders>
            <w:shd w:val="clear" w:color="auto" w:fill="auto"/>
            <w:noWrap/>
            <w:vAlign w:val="bottom"/>
            <w:hideMark/>
          </w:tcPr>
          <w:p w14:paraId="19A3434D" w14:textId="7DCCC987" w:rsidR="00006273" w:rsidRPr="00071A3A" w:rsidRDefault="00006273" w:rsidP="00071A3A">
            <w:pPr>
              <w:ind w:left="360"/>
              <w:jc w:val="center"/>
              <w:rPr>
                <w:color w:val="000000"/>
              </w:rPr>
            </w:pPr>
          </w:p>
        </w:tc>
      </w:tr>
      <w:tr w:rsidR="00006273" w14:paraId="57F55316" w14:textId="77777777" w:rsidTr="00AD52D5">
        <w:trPr>
          <w:trHeight w:val="563"/>
        </w:trPr>
        <w:tc>
          <w:tcPr>
            <w:tcW w:w="696" w:type="dxa"/>
            <w:shd w:val="clear" w:color="auto" w:fill="auto"/>
            <w:noWrap/>
            <w:vAlign w:val="bottom"/>
            <w:hideMark/>
          </w:tcPr>
          <w:p w14:paraId="3455BDCB" w14:textId="77777777" w:rsidR="00006273" w:rsidRPr="00071A3A" w:rsidRDefault="00006273" w:rsidP="00071A3A">
            <w:pPr>
              <w:ind w:left="360"/>
              <w:jc w:val="right"/>
              <w:rPr>
                <w:color w:val="000000"/>
              </w:rPr>
            </w:pPr>
            <w:r w:rsidRPr="00071A3A">
              <w:rPr>
                <w:color w:val="000000"/>
              </w:rPr>
              <w:t>2</w:t>
            </w:r>
          </w:p>
        </w:tc>
        <w:tc>
          <w:tcPr>
            <w:tcW w:w="4235" w:type="dxa"/>
            <w:shd w:val="clear" w:color="auto" w:fill="auto"/>
            <w:noWrap/>
            <w:vAlign w:val="bottom"/>
            <w:hideMark/>
          </w:tcPr>
          <w:p w14:paraId="585EE18C" w14:textId="77777777" w:rsidR="00006273" w:rsidRPr="00071A3A" w:rsidRDefault="00006273" w:rsidP="00071A3A">
            <w:pPr>
              <w:ind w:left="360"/>
              <w:rPr>
                <w:color w:val="000000"/>
              </w:rPr>
            </w:pPr>
            <w:r w:rsidRPr="00071A3A">
              <w:rPr>
                <w:color w:val="000000"/>
              </w:rPr>
              <w:t>Supervisor’s spousal support</w:t>
            </w:r>
          </w:p>
        </w:tc>
        <w:tc>
          <w:tcPr>
            <w:tcW w:w="1327" w:type="dxa"/>
            <w:shd w:val="clear" w:color="auto" w:fill="auto"/>
            <w:vAlign w:val="center"/>
            <w:hideMark/>
          </w:tcPr>
          <w:p w14:paraId="4AFF98AB" w14:textId="77777777" w:rsidR="00006273" w:rsidRPr="00071A3A" w:rsidRDefault="00006273" w:rsidP="00071A3A">
            <w:pPr>
              <w:ind w:left="360"/>
              <w:jc w:val="center"/>
              <w:rPr>
                <w:rFonts w:eastAsia="Calibri"/>
                <w:color w:val="000000" w:themeColor="text1"/>
                <w:lang w:val="en-US"/>
              </w:rPr>
            </w:pPr>
          </w:p>
          <w:p w14:paraId="4A90A5AC" w14:textId="77777777" w:rsidR="00006273" w:rsidRPr="00071A3A" w:rsidRDefault="00006273" w:rsidP="00071A3A">
            <w:pPr>
              <w:ind w:left="360"/>
              <w:jc w:val="center"/>
              <w:rPr>
                <w:color w:val="000000"/>
              </w:rPr>
            </w:pPr>
            <w:r w:rsidRPr="00071A3A">
              <w:rPr>
                <w:rFonts w:eastAsia="Calibri"/>
                <w:color w:val="000000" w:themeColor="text1"/>
                <w:lang w:val="en-US"/>
              </w:rPr>
              <w:t>6.31</w:t>
            </w:r>
          </w:p>
        </w:tc>
        <w:tc>
          <w:tcPr>
            <w:tcW w:w="1327" w:type="dxa"/>
            <w:shd w:val="clear" w:color="auto" w:fill="auto"/>
            <w:vAlign w:val="center"/>
            <w:hideMark/>
          </w:tcPr>
          <w:p w14:paraId="2A309140" w14:textId="77777777" w:rsidR="00006273" w:rsidRPr="00071A3A" w:rsidRDefault="00006273" w:rsidP="00071A3A">
            <w:pPr>
              <w:ind w:left="360"/>
              <w:jc w:val="center"/>
              <w:rPr>
                <w:rFonts w:eastAsia="Calibri"/>
                <w:color w:val="000000" w:themeColor="text1"/>
                <w:lang w:val="en-US"/>
              </w:rPr>
            </w:pPr>
          </w:p>
          <w:p w14:paraId="24410EF5" w14:textId="77777777" w:rsidR="00006273" w:rsidRPr="00071A3A" w:rsidRDefault="00006273" w:rsidP="00071A3A">
            <w:pPr>
              <w:ind w:left="360"/>
              <w:jc w:val="center"/>
              <w:rPr>
                <w:color w:val="000000"/>
              </w:rPr>
            </w:pPr>
            <w:r w:rsidRPr="00071A3A">
              <w:rPr>
                <w:rFonts w:eastAsia="Calibri"/>
                <w:color w:val="000000" w:themeColor="text1"/>
                <w:lang w:val="en-US"/>
              </w:rPr>
              <w:t>0.91</w:t>
            </w:r>
          </w:p>
        </w:tc>
        <w:tc>
          <w:tcPr>
            <w:tcW w:w="1327" w:type="dxa"/>
            <w:shd w:val="clear" w:color="auto" w:fill="auto"/>
            <w:noWrap/>
            <w:vAlign w:val="bottom"/>
            <w:hideMark/>
          </w:tcPr>
          <w:p w14:paraId="6EE78426" w14:textId="77777777" w:rsidR="00006273" w:rsidRPr="00071A3A" w:rsidRDefault="00006273" w:rsidP="00071A3A">
            <w:pPr>
              <w:ind w:left="360"/>
              <w:jc w:val="center"/>
              <w:rPr>
                <w:color w:val="000000"/>
              </w:rPr>
            </w:pPr>
            <w:r w:rsidRPr="00071A3A">
              <w:rPr>
                <w:color w:val="000000"/>
              </w:rPr>
              <w:t>0.05</w:t>
            </w:r>
          </w:p>
        </w:tc>
        <w:tc>
          <w:tcPr>
            <w:tcW w:w="1327" w:type="dxa"/>
            <w:shd w:val="clear" w:color="auto" w:fill="auto"/>
            <w:noWrap/>
            <w:vAlign w:val="bottom"/>
            <w:hideMark/>
          </w:tcPr>
          <w:p w14:paraId="42C59A05" w14:textId="6ED5DAAB" w:rsidR="00006273" w:rsidRPr="00071A3A" w:rsidRDefault="003F4ACE" w:rsidP="00071A3A">
            <w:pPr>
              <w:ind w:left="360"/>
              <w:jc w:val="center"/>
              <w:rPr>
                <w:color w:val="000000"/>
              </w:rPr>
            </w:pPr>
            <w:r>
              <w:rPr>
                <w:color w:val="000000"/>
              </w:rPr>
              <w:t>(</w:t>
            </w:r>
            <w:r w:rsidR="00006273" w:rsidRPr="00071A3A">
              <w:rPr>
                <w:color w:val="000000"/>
              </w:rPr>
              <w:t>0.93</w:t>
            </w:r>
            <w:r>
              <w:rPr>
                <w:color w:val="000000"/>
              </w:rPr>
              <w:t>)</w:t>
            </w:r>
            <w:r w:rsidR="00006273" w:rsidRPr="00071A3A">
              <w:rPr>
                <w:color w:val="000000"/>
              </w:rPr>
              <w:t> </w:t>
            </w:r>
          </w:p>
        </w:tc>
        <w:tc>
          <w:tcPr>
            <w:tcW w:w="1327" w:type="dxa"/>
            <w:shd w:val="clear" w:color="auto" w:fill="auto"/>
            <w:noWrap/>
            <w:vAlign w:val="bottom"/>
            <w:hideMark/>
          </w:tcPr>
          <w:p w14:paraId="31B2812B" w14:textId="5907B2A0" w:rsidR="00006273" w:rsidRPr="00071A3A" w:rsidRDefault="00006273" w:rsidP="00071A3A">
            <w:pPr>
              <w:ind w:left="360"/>
              <w:jc w:val="center"/>
              <w:rPr>
                <w:color w:val="000000"/>
              </w:rPr>
            </w:pPr>
          </w:p>
        </w:tc>
        <w:tc>
          <w:tcPr>
            <w:tcW w:w="1327" w:type="dxa"/>
            <w:shd w:val="clear" w:color="auto" w:fill="auto"/>
            <w:noWrap/>
            <w:vAlign w:val="bottom"/>
            <w:hideMark/>
          </w:tcPr>
          <w:p w14:paraId="28120FCF" w14:textId="03062E31" w:rsidR="00006273" w:rsidRPr="00071A3A" w:rsidRDefault="00006273" w:rsidP="00071A3A">
            <w:pPr>
              <w:ind w:left="360"/>
              <w:jc w:val="center"/>
              <w:rPr>
                <w:color w:val="000000"/>
              </w:rPr>
            </w:pPr>
          </w:p>
        </w:tc>
      </w:tr>
      <w:tr w:rsidR="00006273" w14:paraId="0F79121E" w14:textId="77777777" w:rsidTr="00AD52D5">
        <w:trPr>
          <w:trHeight w:val="563"/>
        </w:trPr>
        <w:tc>
          <w:tcPr>
            <w:tcW w:w="696" w:type="dxa"/>
            <w:shd w:val="clear" w:color="auto" w:fill="auto"/>
            <w:noWrap/>
            <w:vAlign w:val="bottom"/>
            <w:hideMark/>
          </w:tcPr>
          <w:p w14:paraId="7981597E" w14:textId="77777777" w:rsidR="00006273" w:rsidRPr="00071A3A" w:rsidRDefault="00006273" w:rsidP="00071A3A">
            <w:pPr>
              <w:ind w:left="360"/>
              <w:jc w:val="right"/>
              <w:rPr>
                <w:color w:val="000000"/>
              </w:rPr>
            </w:pPr>
            <w:r w:rsidRPr="00071A3A">
              <w:rPr>
                <w:color w:val="000000"/>
              </w:rPr>
              <w:t>3</w:t>
            </w:r>
          </w:p>
        </w:tc>
        <w:tc>
          <w:tcPr>
            <w:tcW w:w="4235" w:type="dxa"/>
            <w:shd w:val="clear" w:color="auto" w:fill="auto"/>
            <w:noWrap/>
            <w:vAlign w:val="bottom"/>
            <w:hideMark/>
          </w:tcPr>
          <w:p w14:paraId="72532331" w14:textId="77777777" w:rsidR="00006273" w:rsidRPr="00071A3A" w:rsidRDefault="00006273" w:rsidP="00071A3A">
            <w:pPr>
              <w:ind w:left="360"/>
              <w:rPr>
                <w:color w:val="000000"/>
              </w:rPr>
            </w:pPr>
            <w:r w:rsidRPr="00071A3A">
              <w:rPr>
                <w:color w:val="000000"/>
              </w:rPr>
              <w:t>FSSBs</w:t>
            </w:r>
          </w:p>
        </w:tc>
        <w:tc>
          <w:tcPr>
            <w:tcW w:w="1327" w:type="dxa"/>
            <w:shd w:val="clear" w:color="auto" w:fill="auto"/>
            <w:vAlign w:val="center"/>
            <w:hideMark/>
          </w:tcPr>
          <w:p w14:paraId="7A7A08B5" w14:textId="77777777" w:rsidR="00006273" w:rsidRPr="00071A3A" w:rsidRDefault="00006273" w:rsidP="00071A3A">
            <w:pPr>
              <w:ind w:left="360"/>
              <w:jc w:val="center"/>
              <w:rPr>
                <w:rFonts w:eastAsia="Calibri"/>
                <w:color w:val="000000" w:themeColor="text1"/>
                <w:lang w:val="en-US"/>
              </w:rPr>
            </w:pPr>
          </w:p>
          <w:p w14:paraId="36ACF5F9" w14:textId="77777777" w:rsidR="00006273" w:rsidRPr="00071A3A" w:rsidRDefault="00006273" w:rsidP="00071A3A">
            <w:pPr>
              <w:ind w:left="360"/>
              <w:jc w:val="center"/>
              <w:rPr>
                <w:color w:val="000000"/>
              </w:rPr>
            </w:pPr>
            <w:r w:rsidRPr="00071A3A">
              <w:rPr>
                <w:rFonts w:eastAsia="Calibri"/>
                <w:color w:val="000000" w:themeColor="text1"/>
                <w:lang w:val="en-US"/>
              </w:rPr>
              <w:t>5.66</w:t>
            </w:r>
          </w:p>
        </w:tc>
        <w:tc>
          <w:tcPr>
            <w:tcW w:w="1327" w:type="dxa"/>
            <w:shd w:val="clear" w:color="auto" w:fill="auto"/>
            <w:vAlign w:val="center"/>
            <w:hideMark/>
          </w:tcPr>
          <w:p w14:paraId="246532CA" w14:textId="77777777" w:rsidR="00006273" w:rsidRPr="00071A3A" w:rsidRDefault="00006273" w:rsidP="00071A3A">
            <w:pPr>
              <w:ind w:left="360"/>
              <w:jc w:val="center"/>
              <w:rPr>
                <w:rFonts w:eastAsia="Calibri"/>
                <w:color w:val="000000" w:themeColor="text1"/>
                <w:lang w:val="en-US"/>
              </w:rPr>
            </w:pPr>
          </w:p>
          <w:p w14:paraId="595A4759" w14:textId="77777777" w:rsidR="00006273" w:rsidRPr="00071A3A" w:rsidRDefault="00006273" w:rsidP="00071A3A">
            <w:pPr>
              <w:ind w:left="360"/>
              <w:jc w:val="center"/>
              <w:rPr>
                <w:color w:val="000000"/>
              </w:rPr>
            </w:pPr>
            <w:r w:rsidRPr="00071A3A">
              <w:rPr>
                <w:rFonts w:eastAsia="Calibri"/>
                <w:color w:val="000000" w:themeColor="text1"/>
                <w:lang w:val="en-US"/>
              </w:rPr>
              <w:t>1.33</w:t>
            </w:r>
          </w:p>
        </w:tc>
        <w:tc>
          <w:tcPr>
            <w:tcW w:w="1327" w:type="dxa"/>
            <w:shd w:val="clear" w:color="auto" w:fill="auto"/>
            <w:noWrap/>
            <w:vAlign w:val="bottom"/>
            <w:hideMark/>
          </w:tcPr>
          <w:p w14:paraId="7770049C" w14:textId="77777777" w:rsidR="00006273" w:rsidRPr="00071A3A" w:rsidRDefault="00006273" w:rsidP="00071A3A">
            <w:pPr>
              <w:ind w:left="360"/>
              <w:jc w:val="center"/>
              <w:rPr>
                <w:color w:val="000000"/>
              </w:rPr>
            </w:pPr>
            <w:r w:rsidRPr="00071A3A">
              <w:rPr>
                <w:color w:val="000000"/>
              </w:rPr>
              <w:t>0.05</w:t>
            </w:r>
          </w:p>
        </w:tc>
        <w:tc>
          <w:tcPr>
            <w:tcW w:w="1327" w:type="dxa"/>
            <w:shd w:val="clear" w:color="auto" w:fill="auto"/>
            <w:noWrap/>
            <w:vAlign w:val="bottom"/>
            <w:hideMark/>
          </w:tcPr>
          <w:p w14:paraId="1F6DC85D" w14:textId="77777777" w:rsidR="00006273" w:rsidRPr="00071A3A" w:rsidRDefault="00006273" w:rsidP="00071A3A">
            <w:pPr>
              <w:ind w:left="360"/>
              <w:jc w:val="center"/>
              <w:rPr>
                <w:color w:val="000000"/>
              </w:rPr>
            </w:pPr>
            <w:r w:rsidRPr="00071A3A">
              <w:rPr>
                <w:color w:val="000000"/>
              </w:rPr>
              <w:t>0.25**</w:t>
            </w:r>
          </w:p>
        </w:tc>
        <w:tc>
          <w:tcPr>
            <w:tcW w:w="1327" w:type="dxa"/>
            <w:shd w:val="clear" w:color="auto" w:fill="auto"/>
            <w:noWrap/>
            <w:vAlign w:val="bottom"/>
            <w:hideMark/>
          </w:tcPr>
          <w:p w14:paraId="51AC5CA5" w14:textId="3DBC39F1" w:rsidR="00006273" w:rsidRPr="00071A3A" w:rsidRDefault="003F4ACE" w:rsidP="00071A3A">
            <w:pPr>
              <w:ind w:left="360"/>
              <w:jc w:val="center"/>
              <w:rPr>
                <w:color w:val="000000"/>
              </w:rPr>
            </w:pPr>
            <w:r>
              <w:rPr>
                <w:color w:val="000000"/>
              </w:rPr>
              <w:t>(</w:t>
            </w:r>
            <w:r w:rsidR="00006273" w:rsidRPr="00071A3A">
              <w:rPr>
                <w:color w:val="000000"/>
              </w:rPr>
              <w:t>0.73</w:t>
            </w:r>
            <w:r>
              <w:rPr>
                <w:color w:val="000000"/>
              </w:rPr>
              <w:t>)</w:t>
            </w:r>
            <w:r w:rsidR="00006273" w:rsidRPr="00071A3A">
              <w:rPr>
                <w:color w:val="000000"/>
              </w:rPr>
              <w:t> </w:t>
            </w:r>
          </w:p>
        </w:tc>
        <w:tc>
          <w:tcPr>
            <w:tcW w:w="1327" w:type="dxa"/>
            <w:shd w:val="clear" w:color="auto" w:fill="auto"/>
            <w:noWrap/>
            <w:vAlign w:val="bottom"/>
            <w:hideMark/>
          </w:tcPr>
          <w:p w14:paraId="5C6AFD02" w14:textId="71496727" w:rsidR="00006273" w:rsidRPr="00071A3A" w:rsidRDefault="00006273" w:rsidP="00071A3A">
            <w:pPr>
              <w:ind w:left="360"/>
              <w:jc w:val="center"/>
              <w:rPr>
                <w:color w:val="000000"/>
              </w:rPr>
            </w:pPr>
          </w:p>
        </w:tc>
      </w:tr>
      <w:tr w:rsidR="00006273" w14:paraId="19CDD6D6" w14:textId="77777777" w:rsidTr="00AD52D5">
        <w:trPr>
          <w:trHeight w:val="563"/>
        </w:trPr>
        <w:tc>
          <w:tcPr>
            <w:tcW w:w="696" w:type="dxa"/>
            <w:shd w:val="clear" w:color="auto" w:fill="auto"/>
            <w:noWrap/>
            <w:vAlign w:val="bottom"/>
            <w:hideMark/>
          </w:tcPr>
          <w:p w14:paraId="32B8BAF4" w14:textId="77777777" w:rsidR="00006273" w:rsidRPr="00071A3A" w:rsidRDefault="00006273" w:rsidP="00071A3A">
            <w:pPr>
              <w:ind w:left="360"/>
              <w:jc w:val="right"/>
              <w:rPr>
                <w:color w:val="000000"/>
              </w:rPr>
            </w:pPr>
            <w:r w:rsidRPr="00071A3A">
              <w:rPr>
                <w:color w:val="000000"/>
              </w:rPr>
              <w:t>4</w:t>
            </w:r>
          </w:p>
        </w:tc>
        <w:tc>
          <w:tcPr>
            <w:tcW w:w="4235" w:type="dxa"/>
            <w:shd w:val="clear" w:color="auto" w:fill="auto"/>
            <w:noWrap/>
            <w:vAlign w:val="bottom"/>
            <w:hideMark/>
          </w:tcPr>
          <w:p w14:paraId="73E8E300" w14:textId="48512F3C" w:rsidR="00006273" w:rsidRPr="00071A3A" w:rsidRDefault="004A1411" w:rsidP="00071A3A">
            <w:pPr>
              <w:ind w:left="360"/>
              <w:rPr>
                <w:color w:val="000000"/>
              </w:rPr>
            </w:pPr>
            <w:r w:rsidRPr="00071A3A">
              <w:rPr>
                <w:color w:val="000000"/>
              </w:rPr>
              <w:t>Production Deviance</w:t>
            </w:r>
          </w:p>
        </w:tc>
        <w:tc>
          <w:tcPr>
            <w:tcW w:w="1327" w:type="dxa"/>
            <w:shd w:val="clear" w:color="auto" w:fill="auto"/>
            <w:vAlign w:val="center"/>
            <w:hideMark/>
          </w:tcPr>
          <w:p w14:paraId="48597853" w14:textId="77777777" w:rsidR="00006273" w:rsidRPr="00071A3A" w:rsidRDefault="00006273" w:rsidP="00071A3A">
            <w:pPr>
              <w:ind w:left="360"/>
              <w:jc w:val="center"/>
              <w:rPr>
                <w:rFonts w:eastAsia="Calibri"/>
                <w:color w:val="000000" w:themeColor="text1"/>
                <w:lang w:val="en-US"/>
              </w:rPr>
            </w:pPr>
          </w:p>
          <w:p w14:paraId="2B69F5C6" w14:textId="77777777" w:rsidR="00006273" w:rsidRPr="00071A3A" w:rsidRDefault="00006273" w:rsidP="00071A3A">
            <w:pPr>
              <w:ind w:left="360"/>
              <w:jc w:val="center"/>
              <w:rPr>
                <w:color w:val="000000"/>
              </w:rPr>
            </w:pPr>
            <w:r w:rsidRPr="00071A3A">
              <w:rPr>
                <w:rFonts w:eastAsia="Calibri"/>
                <w:color w:val="000000" w:themeColor="text1"/>
                <w:lang w:val="en-US"/>
              </w:rPr>
              <w:t>1.55</w:t>
            </w:r>
          </w:p>
        </w:tc>
        <w:tc>
          <w:tcPr>
            <w:tcW w:w="1327" w:type="dxa"/>
            <w:shd w:val="clear" w:color="auto" w:fill="auto"/>
            <w:vAlign w:val="center"/>
            <w:hideMark/>
          </w:tcPr>
          <w:p w14:paraId="1B067CCE" w14:textId="77777777" w:rsidR="00006273" w:rsidRPr="00071A3A" w:rsidRDefault="00006273" w:rsidP="00071A3A">
            <w:pPr>
              <w:ind w:left="360"/>
              <w:jc w:val="center"/>
              <w:rPr>
                <w:rFonts w:eastAsia="Calibri"/>
                <w:color w:val="000000" w:themeColor="text1"/>
                <w:lang w:val="en-US"/>
              </w:rPr>
            </w:pPr>
          </w:p>
          <w:p w14:paraId="62EEB670" w14:textId="77777777" w:rsidR="00006273" w:rsidRPr="00071A3A" w:rsidRDefault="00006273" w:rsidP="00071A3A">
            <w:pPr>
              <w:ind w:left="360"/>
              <w:jc w:val="center"/>
              <w:rPr>
                <w:color w:val="000000"/>
              </w:rPr>
            </w:pPr>
            <w:r w:rsidRPr="00071A3A">
              <w:rPr>
                <w:rFonts w:eastAsia="Calibri"/>
                <w:color w:val="000000" w:themeColor="text1"/>
                <w:lang w:val="en-US"/>
              </w:rPr>
              <w:t>1.38</w:t>
            </w:r>
          </w:p>
        </w:tc>
        <w:tc>
          <w:tcPr>
            <w:tcW w:w="1327" w:type="dxa"/>
            <w:shd w:val="clear" w:color="auto" w:fill="auto"/>
            <w:noWrap/>
            <w:vAlign w:val="bottom"/>
            <w:hideMark/>
          </w:tcPr>
          <w:p w14:paraId="7AD9CB17" w14:textId="77777777" w:rsidR="00006273" w:rsidRPr="00071A3A" w:rsidRDefault="00006273" w:rsidP="00071A3A">
            <w:pPr>
              <w:ind w:left="360"/>
              <w:jc w:val="center"/>
              <w:rPr>
                <w:color w:val="000000"/>
              </w:rPr>
            </w:pPr>
            <w:r w:rsidRPr="00071A3A">
              <w:rPr>
                <w:color w:val="000000"/>
              </w:rPr>
              <w:t>0.07</w:t>
            </w:r>
          </w:p>
        </w:tc>
        <w:tc>
          <w:tcPr>
            <w:tcW w:w="1327" w:type="dxa"/>
            <w:shd w:val="clear" w:color="auto" w:fill="auto"/>
            <w:noWrap/>
            <w:vAlign w:val="bottom"/>
            <w:hideMark/>
          </w:tcPr>
          <w:p w14:paraId="10511A7C" w14:textId="77777777" w:rsidR="00006273" w:rsidRPr="00071A3A" w:rsidRDefault="00006273" w:rsidP="00071A3A">
            <w:pPr>
              <w:ind w:left="360"/>
              <w:jc w:val="center"/>
              <w:rPr>
                <w:color w:val="000000"/>
              </w:rPr>
            </w:pPr>
            <w:r w:rsidRPr="00071A3A">
              <w:rPr>
                <w:color w:val="000000"/>
              </w:rPr>
              <w:t>-0.32**</w:t>
            </w:r>
          </w:p>
        </w:tc>
        <w:tc>
          <w:tcPr>
            <w:tcW w:w="1327" w:type="dxa"/>
            <w:shd w:val="clear" w:color="auto" w:fill="auto"/>
            <w:noWrap/>
            <w:vAlign w:val="bottom"/>
            <w:hideMark/>
          </w:tcPr>
          <w:p w14:paraId="1271B488" w14:textId="77777777" w:rsidR="00006273" w:rsidRPr="00071A3A" w:rsidRDefault="00006273" w:rsidP="00071A3A">
            <w:pPr>
              <w:ind w:left="360"/>
              <w:jc w:val="center"/>
              <w:rPr>
                <w:color w:val="000000"/>
              </w:rPr>
            </w:pPr>
            <w:r w:rsidRPr="00071A3A">
              <w:rPr>
                <w:color w:val="000000"/>
              </w:rPr>
              <w:t>-0.26**</w:t>
            </w:r>
          </w:p>
        </w:tc>
        <w:tc>
          <w:tcPr>
            <w:tcW w:w="1327" w:type="dxa"/>
            <w:shd w:val="clear" w:color="auto" w:fill="auto"/>
            <w:noWrap/>
            <w:vAlign w:val="bottom"/>
            <w:hideMark/>
          </w:tcPr>
          <w:p w14:paraId="2F2782B3" w14:textId="70F23A5F" w:rsidR="00006273" w:rsidRPr="00071A3A" w:rsidRDefault="003F4ACE" w:rsidP="00071A3A">
            <w:pPr>
              <w:ind w:left="360"/>
              <w:jc w:val="center"/>
              <w:rPr>
                <w:color w:val="000000"/>
              </w:rPr>
            </w:pPr>
            <w:r>
              <w:rPr>
                <w:color w:val="000000"/>
              </w:rPr>
              <w:t>(</w:t>
            </w:r>
            <w:r w:rsidR="00006273" w:rsidRPr="00071A3A">
              <w:rPr>
                <w:color w:val="000000"/>
              </w:rPr>
              <w:t>0.93</w:t>
            </w:r>
            <w:r>
              <w:rPr>
                <w:color w:val="000000"/>
              </w:rPr>
              <w:t>)</w:t>
            </w:r>
          </w:p>
        </w:tc>
      </w:tr>
    </w:tbl>
    <w:p w14:paraId="08B78000" w14:textId="07D1D591" w:rsidR="00006273" w:rsidRPr="00071A3A" w:rsidRDefault="00006273" w:rsidP="00071A3A">
      <w:pPr>
        <w:ind w:left="360"/>
        <w:jc w:val="both"/>
        <w:rPr>
          <w:color w:val="000000"/>
          <w:lang w:val="en-US"/>
        </w:rPr>
      </w:pPr>
      <w:r w:rsidRPr="00071A3A">
        <w:rPr>
          <w:i/>
          <w:color w:val="000000"/>
          <w:lang w:val="en-US"/>
        </w:rPr>
        <w:t>Notes.</w:t>
      </w:r>
      <w:r w:rsidRPr="00071A3A">
        <w:rPr>
          <w:color w:val="000000"/>
          <w:lang w:val="en-US"/>
        </w:rPr>
        <w:t xml:space="preserve"> </w:t>
      </w:r>
      <w:r w:rsidRPr="00071A3A">
        <w:rPr>
          <w:rFonts w:eastAsia="MS Mincho"/>
          <w:color w:val="000000"/>
          <w:lang w:val="en-US"/>
        </w:rPr>
        <w:t xml:space="preserve">*: </w:t>
      </w:r>
      <w:r w:rsidRPr="00071A3A">
        <w:rPr>
          <w:rFonts w:eastAsia="MS Mincho"/>
          <w:i/>
          <w:color w:val="000000"/>
          <w:lang w:val="en-US"/>
        </w:rPr>
        <w:t>p &lt; .</w:t>
      </w:r>
      <w:r w:rsidRPr="00071A3A">
        <w:rPr>
          <w:rFonts w:eastAsia="MS Mincho"/>
          <w:color w:val="000000"/>
          <w:lang w:val="en-US"/>
        </w:rPr>
        <w:t xml:space="preserve">05. **: </w:t>
      </w:r>
      <w:r w:rsidRPr="00071A3A">
        <w:rPr>
          <w:rFonts w:eastAsia="MS Mincho"/>
          <w:i/>
          <w:color w:val="000000"/>
          <w:lang w:val="en-US"/>
        </w:rPr>
        <w:t>p &lt; .</w:t>
      </w:r>
      <w:r w:rsidRPr="00071A3A">
        <w:rPr>
          <w:rFonts w:eastAsia="MS Mincho"/>
          <w:color w:val="000000"/>
          <w:lang w:val="en-US"/>
        </w:rPr>
        <w:t xml:space="preserve">01. ***: </w:t>
      </w:r>
      <w:r w:rsidRPr="00071A3A">
        <w:rPr>
          <w:rFonts w:eastAsia="MS Mincho"/>
          <w:i/>
          <w:color w:val="000000"/>
          <w:lang w:val="en-US"/>
        </w:rPr>
        <w:t>p &lt; .</w:t>
      </w:r>
      <w:r w:rsidRPr="00071A3A">
        <w:rPr>
          <w:rFonts w:eastAsia="MS Mincho"/>
          <w:color w:val="000000"/>
          <w:lang w:val="en-US"/>
        </w:rPr>
        <w:t xml:space="preserve">001. </w:t>
      </w:r>
    </w:p>
    <w:p w14:paraId="78872D14" w14:textId="77777777" w:rsidR="003A284B" w:rsidRPr="00071A3A" w:rsidRDefault="00006273" w:rsidP="00071A3A">
      <w:pPr>
        <w:spacing w:line="480" w:lineRule="auto"/>
        <w:ind w:left="360"/>
        <w:jc w:val="both"/>
        <w:rPr>
          <w:color w:val="000000"/>
          <w:lang w:val="en-US"/>
        </w:rPr>
      </w:pPr>
      <w:r w:rsidRPr="00071A3A">
        <w:rPr>
          <w:color w:val="000000"/>
          <w:lang w:val="en-US"/>
        </w:rPr>
        <w:t xml:space="preserve">N: </w:t>
      </w:r>
      <w:r w:rsidR="003A284B" w:rsidRPr="00071A3A">
        <w:rPr>
          <w:color w:val="000000"/>
          <w:lang w:val="en-US"/>
        </w:rPr>
        <w:t xml:space="preserve">: </w:t>
      </w:r>
      <w:r w:rsidR="003A284B" w:rsidRPr="00071A3A">
        <w:rPr>
          <w:lang w:val="en-US"/>
        </w:rPr>
        <w:t>25 supervisors, 68 employees over 4 weeks.</w:t>
      </w:r>
    </w:p>
    <w:p w14:paraId="199D12FB" w14:textId="77777777" w:rsidR="00006273" w:rsidRDefault="00006273" w:rsidP="00071A3A">
      <w:pPr>
        <w:rPr>
          <w:lang w:val="en-US"/>
        </w:rPr>
      </w:pPr>
    </w:p>
    <w:p w14:paraId="49C60FF3" w14:textId="77777777" w:rsidR="00BE0C8B" w:rsidRDefault="00BE0C8B" w:rsidP="00071A3A">
      <w:pPr>
        <w:spacing w:line="480" w:lineRule="auto"/>
        <w:contextualSpacing/>
        <w:jc w:val="both"/>
        <w:rPr>
          <w:color w:val="000000"/>
          <w:lang w:val="en-US"/>
        </w:rPr>
      </w:pPr>
    </w:p>
    <w:p w14:paraId="4E5EB757" w14:textId="77777777" w:rsidR="00BE0C8B" w:rsidRDefault="00BE0C8B" w:rsidP="00071A3A">
      <w:pPr>
        <w:spacing w:line="480" w:lineRule="auto"/>
        <w:contextualSpacing/>
        <w:jc w:val="both"/>
        <w:rPr>
          <w:color w:val="000000"/>
          <w:lang w:val="en-US"/>
        </w:rPr>
      </w:pPr>
    </w:p>
    <w:p w14:paraId="22AC6B2F" w14:textId="77777777" w:rsidR="00BE0C8B" w:rsidRDefault="00BE0C8B" w:rsidP="00071A3A">
      <w:pPr>
        <w:spacing w:line="480" w:lineRule="auto"/>
        <w:contextualSpacing/>
        <w:jc w:val="both"/>
        <w:rPr>
          <w:color w:val="000000"/>
          <w:lang w:val="en-US"/>
        </w:rPr>
      </w:pPr>
    </w:p>
    <w:p w14:paraId="4B98B71A" w14:textId="77777777" w:rsidR="00BE0C8B" w:rsidRDefault="00BE0C8B" w:rsidP="00071A3A">
      <w:pPr>
        <w:spacing w:line="480" w:lineRule="auto"/>
        <w:contextualSpacing/>
        <w:jc w:val="both"/>
        <w:rPr>
          <w:color w:val="000000"/>
          <w:lang w:val="en-US"/>
        </w:rPr>
      </w:pPr>
    </w:p>
    <w:p w14:paraId="3CB52FCB" w14:textId="77777777" w:rsidR="00BE0C8B" w:rsidRDefault="00BE0C8B" w:rsidP="00071A3A">
      <w:pPr>
        <w:spacing w:line="480" w:lineRule="auto"/>
        <w:contextualSpacing/>
        <w:jc w:val="both"/>
        <w:rPr>
          <w:color w:val="000000"/>
          <w:lang w:val="en-US"/>
        </w:rPr>
      </w:pPr>
    </w:p>
    <w:p w14:paraId="0DF7664D" w14:textId="77777777" w:rsidR="00BE0C8B" w:rsidRDefault="00BE0C8B" w:rsidP="00071A3A">
      <w:pPr>
        <w:spacing w:line="480" w:lineRule="auto"/>
        <w:contextualSpacing/>
        <w:jc w:val="both"/>
        <w:rPr>
          <w:color w:val="000000"/>
          <w:lang w:val="en-US"/>
        </w:rPr>
      </w:pPr>
    </w:p>
    <w:p w14:paraId="671C4C7F" w14:textId="10880E81" w:rsidR="00BE0C8B" w:rsidRDefault="00BE0C8B" w:rsidP="00071A3A">
      <w:pPr>
        <w:spacing w:line="480" w:lineRule="auto"/>
        <w:contextualSpacing/>
        <w:jc w:val="both"/>
        <w:rPr>
          <w:color w:val="000000"/>
          <w:lang w:val="en-US"/>
        </w:rPr>
      </w:pPr>
    </w:p>
    <w:p w14:paraId="399E07C4" w14:textId="77777777" w:rsidR="00A10FCF" w:rsidRDefault="00A10FCF" w:rsidP="00071A3A">
      <w:pPr>
        <w:spacing w:line="480" w:lineRule="auto"/>
        <w:ind w:left="360"/>
        <w:jc w:val="both"/>
        <w:rPr>
          <w:color w:val="000000"/>
          <w:lang w:val="en-US"/>
        </w:rPr>
      </w:pPr>
    </w:p>
    <w:p w14:paraId="43AF8AA4" w14:textId="6B9C79A5" w:rsidR="00BE0C8B" w:rsidRDefault="00BE0C8B" w:rsidP="006A3B37">
      <w:pPr>
        <w:spacing w:line="480" w:lineRule="auto"/>
        <w:jc w:val="both"/>
      </w:pPr>
      <w:r w:rsidRPr="00071A3A">
        <w:rPr>
          <w:color w:val="000000"/>
          <w:lang w:val="en-US"/>
        </w:rPr>
        <w:lastRenderedPageBreak/>
        <w:t xml:space="preserve">Table 2. </w:t>
      </w:r>
      <w:r w:rsidRPr="003F02A8">
        <w:t>Multilevel</w:t>
      </w:r>
      <w:r>
        <w:t xml:space="preserve"> Path Analysis </w:t>
      </w:r>
      <w:r w:rsidR="003F4ACE">
        <w:t>R</w:t>
      </w:r>
      <w:r>
        <w:t>esults</w:t>
      </w:r>
      <w:r w:rsidR="003A284B">
        <w:t xml:space="preserve"> (Study 1)</w:t>
      </w:r>
    </w:p>
    <w:tbl>
      <w:tblPr>
        <w:tblStyle w:val="TableGrid"/>
        <w:tblW w:w="14572" w:type="dxa"/>
        <w:tblInd w:w="-538" w:type="dxa"/>
        <w:tblBorders>
          <w:left w:val="none" w:sz="0" w:space="0" w:color="auto"/>
          <w:right w:val="none" w:sz="0" w:space="0" w:color="auto"/>
        </w:tblBorders>
        <w:tblLayout w:type="fixed"/>
        <w:tblLook w:val="04A0" w:firstRow="1" w:lastRow="0" w:firstColumn="1" w:lastColumn="0" w:noHBand="0" w:noVBand="1"/>
      </w:tblPr>
      <w:tblGrid>
        <w:gridCol w:w="3657"/>
        <w:gridCol w:w="1417"/>
        <w:gridCol w:w="851"/>
        <w:gridCol w:w="992"/>
        <w:gridCol w:w="284"/>
        <w:gridCol w:w="1417"/>
        <w:gridCol w:w="1134"/>
        <w:gridCol w:w="1134"/>
        <w:gridCol w:w="284"/>
        <w:gridCol w:w="1417"/>
        <w:gridCol w:w="851"/>
        <w:gridCol w:w="1134"/>
      </w:tblGrid>
      <w:tr w:rsidR="00A10FCF" w:rsidRPr="00F00D24" w14:paraId="49A30148" w14:textId="77777777" w:rsidTr="00F00D24">
        <w:trPr>
          <w:trHeight w:val="290"/>
        </w:trPr>
        <w:tc>
          <w:tcPr>
            <w:tcW w:w="3657" w:type="dxa"/>
            <w:vMerge w:val="restart"/>
            <w:tcBorders>
              <w:right w:val="nil"/>
            </w:tcBorders>
            <w:textDirection w:val="lrTbV"/>
            <w:vAlign w:val="center"/>
          </w:tcPr>
          <w:p w14:paraId="145EA595" w14:textId="77777777" w:rsidR="00A10FCF" w:rsidRPr="00F00D24" w:rsidRDefault="00A10FCF" w:rsidP="00F00D24">
            <w:pPr>
              <w:spacing w:line="276" w:lineRule="auto"/>
              <w:rPr>
                <w:lang w:val="en-US"/>
              </w:rPr>
            </w:pPr>
            <w:r w:rsidRPr="00F00D24">
              <w:rPr>
                <w:lang w:val="en-US"/>
              </w:rPr>
              <w:t>Variables</w:t>
            </w:r>
          </w:p>
        </w:tc>
        <w:tc>
          <w:tcPr>
            <w:tcW w:w="7229" w:type="dxa"/>
            <w:gridSpan w:val="7"/>
            <w:tcBorders>
              <w:left w:val="nil"/>
              <w:bottom w:val="single" w:sz="4" w:space="0" w:color="auto"/>
              <w:right w:val="nil"/>
            </w:tcBorders>
            <w:textDirection w:val="lrTbV"/>
            <w:vAlign w:val="center"/>
          </w:tcPr>
          <w:p w14:paraId="0E02FF80" w14:textId="77777777" w:rsidR="00A10FCF" w:rsidRPr="00F00D24" w:rsidRDefault="00A10FCF" w:rsidP="00F00D24">
            <w:pPr>
              <w:spacing w:line="276" w:lineRule="auto"/>
              <w:jc w:val="center"/>
              <w:rPr>
                <w:b/>
                <w:bCs/>
                <w:lang w:val="en-US"/>
              </w:rPr>
            </w:pPr>
            <w:r w:rsidRPr="00F00D24">
              <w:rPr>
                <w:b/>
                <w:bCs/>
                <w:lang w:val="en-US"/>
              </w:rPr>
              <w:t>Dependent variable: FSSBs</w:t>
            </w:r>
          </w:p>
        </w:tc>
        <w:tc>
          <w:tcPr>
            <w:tcW w:w="284" w:type="dxa"/>
            <w:tcBorders>
              <w:left w:val="nil"/>
              <w:bottom w:val="nil"/>
              <w:right w:val="nil"/>
            </w:tcBorders>
            <w:textDirection w:val="lrTbV"/>
          </w:tcPr>
          <w:p w14:paraId="24109816" w14:textId="77777777" w:rsidR="00A10FCF" w:rsidRPr="00F00D24" w:rsidRDefault="00A10FCF" w:rsidP="00F00D24">
            <w:pPr>
              <w:spacing w:line="276" w:lineRule="auto"/>
              <w:rPr>
                <w:b/>
                <w:bCs/>
                <w:lang w:val="en-US"/>
              </w:rPr>
            </w:pPr>
          </w:p>
        </w:tc>
        <w:tc>
          <w:tcPr>
            <w:tcW w:w="3402" w:type="dxa"/>
            <w:gridSpan w:val="3"/>
            <w:tcBorders>
              <w:left w:val="nil"/>
              <w:bottom w:val="single" w:sz="4" w:space="0" w:color="auto"/>
              <w:right w:val="nil"/>
            </w:tcBorders>
            <w:textDirection w:val="lrTbV"/>
          </w:tcPr>
          <w:p w14:paraId="2BA73B84" w14:textId="2725185C" w:rsidR="00A10FCF" w:rsidRPr="00F00D24" w:rsidRDefault="00A10FCF" w:rsidP="00F00D24">
            <w:pPr>
              <w:spacing w:line="276" w:lineRule="auto"/>
              <w:rPr>
                <w:b/>
                <w:bCs/>
                <w:lang w:val="en-US"/>
              </w:rPr>
            </w:pPr>
            <w:r w:rsidRPr="00F00D24">
              <w:rPr>
                <w:b/>
                <w:bCs/>
                <w:lang w:val="en-US"/>
              </w:rPr>
              <w:t>Dependent variable: Production Deviance</w:t>
            </w:r>
          </w:p>
        </w:tc>
      </w:tr>
      <w:tr w:rsidR="00A10FCF" w:rsidRPr="00F00D24" w14:paraId="52143C19" w14:textId="77777777" w:rsidTr="00F00D24">
        <w:trPr>
          <w:trHeight w:val="216"/>
        </w:trPr>
        <w:tc>
          <w:tcPr>
            <w:tcW w:w="3657" w:type="dxa"/>
            <w:vMerge/>
            <w:tcBorders>
              <w:bottom w:val="single" w:sz="4" w:space="0" w:color="auto"/>
              <w:right w:val="nil"/>
            </w:tcBorders>
            <w:textDirection w:val="lrTbV"/>
            <w:vAlign w:val="center"/>
          </w:tcPr>
          <w:p w14:paraId="0D750831" w14:textId="77777777" w:rsidR="00A10FCF" w:rsidRPr="00F00D24" w:rsidRDefault="00A10FCF" w:rsidP="00F00D24">
            <w:pPr>
              <w:spacing w:line="276" w:lineRule="auto"/>
              <w:rPr>
                <w:lang w:val="en-US"/>
              </w:rPr>
            </w:pPr>
          </w:p>
        </w:tc>
        <w:tc>
          <w:tcPr>
            <w:tcW w:w="3260" w:type="dxa"/>
            <w:gridSpan w:val="3"/>
            <w:tcBorders>
              <w:top w:val="single" w:sz="4" w:space="0" w:color="auto"/>
              <w:left w:val="nil"/>
              <w:bottom w:val="single" w:sz="4" w:space="0" w:color="auto"/>
              <w:right w:val="nil"/>
            </w:tcBorders>
            <w:textDirection w:val="lrTbV"/>
            <w:vAlign w:val="center"/>
          </w:tcPr>
          <w:p w14:paraId="5DC7FBE4" w14:textId="77777777" w:rsidR="00A10FCF" w:rsidRPr="00F00D24" w:rsidRDefault="00A10FCF" w:rsidP="00F00D24">
            <w:pPr>
              <w:spacing w:line="276" w:lineRule="auto"/>
              <w:jc w:val="center"/>
              <w:rPr>
                <w:b/>
                <w:bCs/>
                <w:lang w:val="en-US"/>
              </w:rPr>
            </w:pPr>
            <w:r w:rsidRPr="00F00D24">
              <w:rPr>
                <w:b/>
                <w:bCs/>
                <w:lang w:val="en-US"/>
              </w:rPr>
              <w:t>Model 1</w:t>
            </w:r>
          </w:p>
        </w:tc>
        <w:tc>
          <w:tcPr>
            <w:tcW w:w="3969" w:type="dxa"/>
            <w:gridSpan w:val="4"/>
            <w:tcBorders>
              <w:top w:val="nil"/>
              <w:left w:val="nil"/>
              <w:bottom w:val="nil"/>
              <w:right w:val="nil"/>
            </w:tcBorders>
            <w:textDirection w:val="lrTbV"/>
            <w:vAlign w:val="center"/>
          </w:tcPr>
          <w:p w14:paraId="5C174D97" w14:textId="77777777" w:rsidR="00A10FCF" w:rsidRPr="00F00D24" w:rsidRDefault="00A10FCF" w:rsidP="00F00D24">
            <w:pPr>
              <w:spacing w:line="276" w:lineRule="auto"/>
              <w:jc w:val="center"/>
              <w:rPr>
                <w:b/>
                <w:bCs/>
                <w:lang w:val="en-US"/>
              </w:rPr>
            </w:pPr>
            <w:r w:rsidRPr="00F00D24">
              <w:rPr>
                <w:b/>
                <w:bCs/>
                <w:lang w:val="en-US"/>
              </w:rPr>
              <w:t>Model 2</w:t>
            </w:r>
          </w:p>
        </w:tc>
        <w:tc>
          <w:tcPr>
            <w:tcW w:w="284" w:type="dxa"/>
            <w:tcBorders>
              <w:top w:val="nil"/>
              <w:left w:val="nil"/>
              <w:bottom w:val="nil"/>
              <w:right w:val="nil"/>
            </w:tcBorders>
            <w:textDirection w:val="lrTbV"/>
          </w:tcPr>
          <w:p w14:paraId="05088C0D" w14:textId="77777777" w:rsidR="00A10FCF" w:rsidRPr="00F00D24" w:rsidRDefault="00A10FCF" w:rsidP="00F00D24">
            <w:pPr>
              <w:spacing w:line="276" w:lineRule="auto"/>
              <w:jc w:val="center"/>
              <w:rPr>
                <w:b/>
                <w:bCs/>
                <w:lang w:val="en-US"/>
              </w:rPr>
            </w:pPr>
          </w:p>
        </w:tc>
        <w:tc>
          <w:tcPr>
            <w:tcW w:w="3402" w:type="dxa"/>
            <w:gridSpan w:val="3"/>
            <w:tcBorders>
              <w:top w:val="single" w:sz="4" w:space="0" w:color="auto"/>
              <w:left w:val="nil"/>
              <w:bottom w:val="single" w:sz="4" w:space="0" w:color="auto"/>
              <w:right w:val="nil"/>
            </w:tcBorders>
            <w:textDirection w:val="lrTbV"/>
          </w:tcPr>
          <w:p w14:paraId="33F17B4E" w14:textId="77777777" w:rsidR="00A10FCF" w:rsidRPr="00F00D24" w:rsidRDefault="00A10FCF" w:rsidP="00F00D24">
            <w:pPr>
              <w:spacing w:line="276" w:lineRule="auto"/>
              <w:jc w:val="center"/>
              <w:rPr>
                <w:b/>
                <w:bCs/>
                <w:lang w:val="en-US"/>
              </w:rPr>
            </w:pPr>
            <w:r w:rsidRPr="00F00D24">
              <w:rPr>
                <w:b/>
                <w:bCs/>
                <w:lang w:val="en-US"/>
              </w:rPr>
              <w:t>Model 3</w:t>
            </w:r>
          </w:p>
        </w:tc>
      </w:tr>
      <w:tr w:rsidR="00F00D24" w:rsidRPr="00F00D24" w14:paraId="0BA8FC9A" w14:textId="77777777" w:rsidTr="00F00D24">
        <w:trPr>
          <w:trHeight w:val="236"/>
        </w:trPr>
        <w:tc>
          <w:tcPr>
            <w:tcW w:w="3657" w:type="dxa"/>
            <w:vMerge/>
            <w:tcBorders>
              <w:bottom w:val="single" w:sz="4" w:space="0" w:color="auto"/>
              <w:right w:val="nil"/>
            </w:tcBorders>
            <w:textDirection w:val="lrTbV"/>
            <w:vAlign w:val="center"/>
          </w:tcPr>
          <w:p w14:paraId="6D525FF9" w14:textId="77777777" w:rsidR="00A10FCF" w:rsidRPr="00F00D24" w:rsidRDefault="00A10FCF" w:rsidP="00F00D24">
            <w:pPr>
              <w:spacing w:line="276" w:lineRule="auto"/>
              <w:rPr>
                <w:lang w:val="en-US"/>
              </w:rPr>
            </w:pPr>
          </w:p>
        </w:tc>
        <w:tc>
          <w:tcPr>
            <w:tcW w:w="1417" w:type="dxa"/>
            <w:tcBorders>
              <w:top w:val="single" w:sz="4" w:space="0" w:color="auto"/>
              <w:left w:val="nil"/>
              <w:bottom w:val="single" w:sz="4" w:space="0" w:color="auto"/>
              <w:right w:val="nil"/>
            </w:tcBorders>
            <w:textDirection w:val="lrTbV"/>
            <w:vAlign w:val="center"/>
          </w:tcPr>
          <w:p w14:paraId="0C38CBF2" w14:textId="77777777" w:rsidR="00A10FCF" w:rsidRPr="00F00D24" w:rsidRDefault="00A10FCF" w:rsidP="00F00D24">
            <w:pPr>
              <w:spacing w:line="276" w:lineRule="auto"/>
              <w:rPr>
                <w:b/>
                <w:bCs/>
                <w:lang w:val="en-US"/>
              </w:rPr>
            </w:pPr>
            <w:r w:rsidRPr="00F00D24">
              <w:rPr>
                <w:b/>
                <w:bCs/>
                <w:lang w:val="en-US"/>
              </w:rPr>
              <w:t>Estimate</w:t>
            </w:r>
          </w:p>
        </w:tc>
        <w:tc>
          <w:tcPr>
            <w:tcW w:w="851" w:type="dxa"/>
            <w:tcBorders>
              <w:top w:val="single" w:sz="4" w:space="0" w:color="auto"/>
              <w:left w:val="nil"/>
              <w:bottom w:val="single" w:sz="4" w:space="0" w:color="auto"/>
              <w:right w:val="nil"/>
            </w:tcBorders>
            <w:textDirection w:val="lrTbV"/>
            <w:vAlign w:val="center"/>
          </w:tcPr>
          <w:p w14:paraId="79F4B962" w14:textId="77777777" w:rsidR="00A10FCF" w:rsidRPr="00F00D24" w:rsidRDefault="00A10FCF" w:rsidP="00F00D24">
            <w:pPr>
              <w:spacing w:line="276" w:lineRule="auto"/>
              <w:rPr>
                <w:b/>
                <w:bCs/>
                <w:lang w:val="en-US"/>
              </w:rPr>
            </w:pPr>
            <w:r w:rsidRPr="00F00D24">
              <w:rPr>
                <w:b/>
                <w:bCs/>
                <w:lang w:val="en-US"/>
              </w:rPr>
              <w:t>SE</w:t>
            </w:r>
          </w:p>
        </w:tc>
        <w:tc>
          <w:tcPr>
            <w:tcW w:w="992" w:type="dxa"/>
            <w:tcBorders>
              <w:top w:val="single" w:sz="4" w:space="0" w:color="auto"/>
              <w:left w:val="nil"/>
              <w:bottom w:val="single" w:sz="4" w:space="0" w:color="auto"/>
              <w:right w:val="nil"/>
            </w:tcBorders>
            <w:textDirection w:val="lrTbV"/>
            <w:vAlign w:val="center"/>
          </w:tcPr>
          <w:p w14:paraId="3C78E6D4" w14:textId="77777777" w:rsidR="00A10FCF" w:rsidRPr="00F00D24" w:rsidRDefault="00A10FCF" w:rsidP="00F00D24">
            <w:pPr>
              <w:spacing w:line="276" w:lineRule="auto"/>
              <w:rPr>
                <w:b/>
                <w:bCs/>
                <w:lang w:val="en-US"/>
              </w:rPr>
            </w:pPr>
            <w:r w:rsidRPr="00F00D24">
              <w:rPr>
                <w:b/>
                <w:bCs/>
                <w:lang w:val="en-US"/>
              </w:rPr>
              <w:t>t</w:t>
            </w:r>
          </w:p>
        </w:tc>
        <w:tc>
          <w:tcPr>
            <w:tcW w:w="284" w:type="dxa"/>
            <w:tcBorders>
              <w:top w:val="nil"/>
              <w:left w:val="nil"/>
              <w:bottom w:val="nil"/>
              <w:right w:val="nil"/>
            </w:tcBorders>
            <w:textDirection w:val="lrTbV"/>
            <w:vAlign w:val="center"/>
          </w:tcPr>
          <w:p w14:paraId="053C212B" w14:textId="77777777" w:rsidR="00A10FCF" w:rsidRPr="00F00D24" w:rsidRDefault="00A10FCF" w:rsidP="00F00D24">
            <w:pPr>
              <w:spacing w:line="276" w:lineRule="auto"/>
              <w:rPr>
                <w:b/>
                <w:bCs/>
                <w:lang w:val="en-US"/>
              </w:rPr>
            </w:pPr>
          </w:p>
        </w:tc>
        <w:tc>
          <w:tcPr>
            <w:tcW w:w="1417" w:type="dxa"/>
            <w:tcBorders>
              <w:top w:val="single" w:sz="4" w:space="0" w:color="auto"/>
              <w:left w:val="nil"/>
              <w:bottom w:val="single" w:sz="4" w:space="0" w:color="auto"/>
              <w:right w:val="nil"/>
            </w:tcBorders>
            <w:textDirection w:val="lrTbV"/>
            <w:vAlign w:val="center"/>
          </w:tcPr>
          <w:p w14:paraId="6ED13367" w14:textId="77777777" w:rsidR="00A10FCF" w:rsidRPr="00F00D24" w:rsidRDefault="00A10FCF" w:rsidP="00F00D24">
            <w:pPr>
              <w:spacing w:line="276" w:lineRule="auto"/>
              <w:rPr>
                <w:b/>
                <w:bCs/>
                <w:lang w:val="en-US"/>
              </w:rPr>
            </w:pPr>
            <w:r w:rsidRPr="00F00D24">
              <w:rPr>
                <w:b/>
                <w:bCs/>
                <w:lang w:val="en-US"/>
              </w:rPr>
              <w:t>Estimate</w:t>
            </w:r>
          </w:p>
        </w:tc>
        <w:tc>
          <w:tcPr>
            <w:tcW w:w="1134" w:type="dxa"/>
            <w:tcBorders>
              <w:top w:val="single" w:sz="4" w:space="0" w:color="auto"/>
              <w:left w:val="nil"/>
              <w:bottom w:val="single" w:sz="4" w:space="0" w:color="auto"/>
              <w:right w:val="nil"/>
            </w:tcBorders>
            <w:textDirection w:val="lrTbV"/>
            <w:vAlign w:val="center"/>
          </w:tcPr>
          <w:p w14:paraId="6AADECE1" w14:textId="77777777" w:rsidR="00A10FCF" w:rsidRPr="00F00D24" w:rsidRDefault="00A10FCF" w:rsidP="00F00D24">
            <w:pPr>
              <w:spacing w:line="276" w:lineRule="auto"/>
              <w:rPr>
                <w:b/>
                <w:bCs/>
                <w:lang w:val="en-US"/>
              </w:rPr>
            </w:pPr>
            <w:r w:rsidRPr="00F00D24">
              <w:rPr>
                <w:b/>
                <w:bCs/>
                <w:lang w:val="en-US"/>
              </w:rPr>
              <w:t>SE</w:t>
            </w:r>
          </w:p>
        </w:tc>
        <w:tc>
          <w:tcPr>
            <w:tcW w:w="1134" w:type="dxa"/>
            <w:tcBorders>
              <w:top w:val="single" w:sz="4" w:space="0" w:color="auto"/>
              <w:left w:val="nil"/>
              <w:bottom w:val="single" w:sz="4" w:space="0" w:color="auto"/>
              <w:right w:val="nil"/>
            </w:tcBorders>
            <w:textDirection w:val="lrTbV"/>
            <w:vAlign w:val="center"/>
          </w:tcPr>
          <w:p w14:paraId="2D655453" w14:textId="77777777" w:rsidR="00A10FCF" w:rsidRPr="00F00D24" w:rsidRDefault="00A10FCF" w:rsidP="00F00D24">
            <w:pPr>
              <w:spacing w:line="276" w:lineRule="auto"/>
              <w:rPr>
                <w:b/>
                <w:bCs/>
                <w:lang w:val="en-US"/>
              </w:rPr>
            </w:pPr>
            <w:r w:rsidRPr="00F00D24">
              <w:rPr>
                <w:b/>
                <w:bCs/>
                <w:lang w:val="en-US"/>
              </w:rPr>
              <w:t>t</w:t>
            </w:r>
          </w:p>
        </w:tc>
        <w:tc>
          <w:tcPr>
            <w:tcW w:w="284" w:type="dxa"/>
            <w:tcBorders>
              <w:top w:val="nil"/>
              <w:left w:val="nil"/>
              <w:bottom w:val="nil"/>
              <w:right w:val="nil"/>
            </w:tcBorders>
            <w:textDirection w:val="lrTbV"/>
          </w:tcPr>
          <w:p w14:paraId="2360ACCD" w14:textId="77777777" w:rsidR="00A10FCF" w:rsidRPr="00F00D24" w:rsidRDefault="00A10FCF" w:rsidP="00F00D24">
            <w:pPr>
              <w:spacing w:line="276" w:lineRule="auto"/>
              <w:rPr>
                <w:b/>
                <w:bCs/>
                <w:lang w:val="en-US"/>
              </w:rPr>
            </w:pPr>
          </w:p>
        </w:tc>
        <w:tc>
          <w:tcPr>
            <w:tcW w:w="1417" w:type="dxa"/>
            <w:tcBorders>
              <w:top w:val="single" w:sz="4" w:space="0" w:color="auto"/>
              <w:left w:val="nil"/>
              <w:bottom w:val="single" w:sz="4" w:space="0" w:color="auto"/>
              <w:right w:val="nil"/>
            </w:tcBorders>
            <w:textDirection w:val="lrTbV"/>
            <w:vAlign w:val="center"/>
          </w:tcPr>
          <w:p w14:paraId="4ED1F43C" w14:textId="77777777" w:rsidR="00A10FCF" w:rsidRPr="00F00D24" w:rsidRDefault="00A10FCF" w:rsidP="00F00D24">
            <w:pPr>
              <w:spacing w:line="276" w:lineRule="auto"/>
              <w:rPr>
                <w:b/>
                <w:bCs/>
                <w:lang w:val="en-US"/>
              </w:rPr>
            </w:pPr>
            <w:r w:rsidRPr="00F00D24">
              <w:rPr>
                <w:b/>
                <w:bCs/>
                <w:lang w:val="en-US"/>
              </w:rPr>
              <w:t>Estimate</w:t>
            </w:r>
          </w:p>
        </w:tc>
        <w:tc>
          <w:tcPr>
            <w:tcW w:w="851" w:type="dxa"/>
            <w:tcBorders>
              <w:top w:val="single" w:sz="4" w:space="0" w:color="auto"/>
              <w:left w:val="nil"/>
              <w:bottom w:val="single" w:sz="4" w:space="0" w:color="auto"/>
              <w:right w:val="nil"/>
            </w:tcBorders>
            <w:textDirection w:val="lrTbV"/>
            <w:vAlign w:val="center"/>
          </w:tcPr>
          <w:p w14:paraId="679391BD" w14:textId="77777777" w:rsidR="00A10FCF" w:rsidRPr="00F00D24" w:rsidRDefault="00A10FCF" w:rsidP="00F00D24">
            <w:pPr>
              <w:spacing w:line="276" w:lineRule="auto"/>
              <w:rPr>
                <w:b/>
                <w:bCs/>
                <w:lang w:val="en-US"/>
              </w:rPr>
            </w:pPr>
            <w:r w:rsidRPr="00F00D24">
              <w:rPr>
                <w:b/>
                <w:bCs/>
                <w:lang w:val="en-US"/>
              </w:rPr>
              <w:t>SE</w:t>
            </w:r>
          </w:p>
        </w:tc>
        <w:tc>
          <w:tcPr>
            <w:tcW w:w="1134" w:type="dxa"/>
            <w:tcBorders>
              <w:top w:val="single" w:sz="4" w:space="0" w:color="auto"/>
              <w:left w:val="nil"/>
              <w:bottom w:val="single" w:sz="4" w:space="0" w:color="auto"/>
              <w:right w:val="nil"/>
            </w:tcBorders>
            <w:textDirection w:val="lrTbV"/>
            <w:vAlign w:val="center"/>
          </w:tcPr>
          <w:p w14:paraId="234AE7BD" w14:textId="77777777" w:rsidR="00A10FCF" w:rsidRPr="00F00D24" w:rsidRDefault="00A10FCF" w:rsidP="00F00D24">
            <w:pPr>
              <w:spacing w:line="276" w:lineRule="auto"/>
              <w:rPr>
                <w:b/>
                <w:bCs/>
                <w:lang w:val="en-US"/>
              </w:rPr>
            </w:pPr>
            <w:r w:rsidRPr="00F00D24">
              <w:rPr>
                <w:b/>
                <w:bCs/>
                <w:lang w:val="en-US"/>
              </w:rPr>
              <w:t>t</w:t>
            </w:r>
          </w:p>
        </w:tc>
      </w:tr>
      <w:tr w:rsidR="00F00D24" w:rsidRPr="00F00D24" w14:paraId="26C48810" w14:textId="77777777" w:rsidTr="006A3B37">
        <w:trPr>
          <w:trHeight w:val="320"/>
        </w:trPr>
        <w:tc>
          <w:tcPr>
            <w:tcW w:w="3657" w:type="dxa"/>
            <w:tcBorders>
              <w:bottom w:val="nil"/>
              <w:right w:val="nil"/>
            </w:tcBorders>
            <w:textDirection w:val="lrTbV"/>
            <w:vAlign w:val="center"/>
          </w:tcPr>
          <w:p w14:paraId="6CEF6999" w14:textId="77777777" w:rsidR="00A10FCF" w:rsidRPr="00F00D24" w:rsidRDefault="00A10FCF" w:rsidP="00F00D24">
            <w:pPr>
              <w:spacing w:line="276" w:lineRule="auto"/>
              <w:rPr>
                <w:lang w:val="en-US"/>
              </w:rPr>
            </w:pPr>
            <w:r w:rsidRPr="00F00D24">
              <w:rPr>
                <w:lang w:val="en-US"/>
              </w:rPr>
              <w:t>Intercept</w:t>
            </w:r>
          </w:p>
        </w:tc>
        <w:tc>
          <w:tcPr>
            <w:tcW w:w="1417" w:type="dxa"/>
            <w:tcBorders>
              <w:top w:val="single" w:sz="4" w:space="0" w:color="auto"/>
              <w:left w:val="nil"/>
              <w:bottom w:val="nil"/>
              <w:right w:val="nil"/>
            </w:tcBorders>
            <w:textDirection w:val="lrTbV"/>
            <w:vAlign w:val="center"/>
          </w:tcPr>
          <w:p w14:paraId="37B301A0" w14:textId="77777777" w:rsidR="00A10FCF" w:rsidRPr="00F00D24" w:rsidRDefault="00A10FCF" w:rsidP="006A3B37">
            <w:pPr>
              <w:spacing w:line="276" w:lineRule="auto"/>
              <w:rPr>
                <w:lang w:val="en-US"/>
              </w:rPr>
            </w:pPr>
            <w:r w:rsidRPr="00F00D24">
              <w:rPr>
                <w:lang w:val="en-US"/>
              </w:rPr>
              <w:t>5.78</w:t>
            </w:r>
          </w:p>
        </w:tc>
        <w:tc>
          <w:tcPr>
            <w:tcW w:w="851" w:type="dxa"/>
            <w:tcBorders>
              <w:top w:val="single" w:sz="4" w:space="0" w:color="auto"/>
              <w:left w:val="nil"/>
              <w:bottom w:val="nil"/>
              <w:right w:val="nil"/>
            </w:tcBorders>
            <w:textDirection w:val="lrTbV"/>
            <w:vAlign w:val="center"/>
          </w:tcPr>
          <w:p w14:paraId="69523874" w14:textId="77777777" w:rsidR="00A10FCF" w:rsidRPr="00F00D24" w:rsidRDefault="00A10FCF" w:rsidP="006A3B37">
            <w:pPr>
              <w:spacing w:line="276" w:lineRule="auto"/>
              <w:rPr>
                <w:lang w:val="en-US"/>
              </w:rPr>
            </w:pPr>
            <w:r w:rsidRPr="00F00D24">
              <w:rPr>
                <w:lang w:val="en-US"/>
              </w:rPr>
              <w:t>2.17</w:t>
            </w:r>
          </w:p>
        </w:tc>
        <w:tc>
          <w:tcPr>
            <w:tcW w:w="992" w:type="dxa"/>
            <w:tcBorders>
              <w:top w:val="single" w:sz="4" w:space="0" w:color="auto"/>
              <w:left w:val="nil"/>
              <w:bottom w:val="nil"/>
              <w:right w:val="nil"/>
            </w:tcBorders>
            <w:textDirection w:val="lrTbV"/>
            <w:vAlign w:val="center"/>
          </w:tcPr>
          <w:p w14:paraId="124CB879" w14:textId="77777777" w:rsidR="00A10FCF" w:rsidRPr="00F00D24" w:rsidRDefault="00A10FCF" w:rsidP="006A3B37">
            <w:pPr>
              <w:spacing w:line="276" w:lineRule="auto"/>
              <w:rPr>
                <w:lang w:val="en-US"/>
              </w:rPr>
            </w:pPr>
            <w:r w:rsidRPr="00F00D24">
              <w:rPr>
                <w:lang w:val="en-US"/>
              </w:rPr>
              <w:t>2.66**</w:t>
            </w:r>
          </w:p>
        </w:tc>
        <w:tc>
          <w:tcPr>
            <w:tcW w:w="284" w:type="dxa"/>
            <w:tcBorders>
              <w:top w:val="nil"/>
              <w:left w:val="nil"/>
              <w:bottom w:val="nil"/>
              <w:right w:val="nil"/>
            </w:tcBorders>
            <w:textDirection w:val="lrTbV"/>
            <w:vAlign w:val="center"/>
          </w:tcPr>
          <w:p w14:paraId="244DB6E0" w14:textId="77777777" w:rsidR="00A10FCF" w:rsidRPr="00F00D24" w:rsidRDefault="00A10FCF" w:rsidP="006A3B37">
            <w:pPr>
              <w:spacing w:line="276" w:lineRule="auto"/>
              <w:rPr>
                <w:lang w:val="en-US"/>
              </w:rPr>
            </w:pPr>
          </w:p>
        </w:tc>
        <w:tc>
          <w:tcPr>
            <w:tcW w:w="1417" w:type="dxa"/>
            <w:tcBorders>
              <w:top w:val="single" w:sz="4" w:space="0" w:color="auto"/>
              <w:left w:val="nil"/>
              <w:bottom w:val="nil"/>
              <w:right w:val="nil"/>
            </w:tcBorders>
            <w:textDirection w:val="lrTbV"/>
            <w:vAlign w:val="center"/>
          </w:tcPr>
          <w:p w14:paraId="546D7CB3" w14:textId="77777777" w:rsidR="00A10FCF" w:rsidRPr="00F00D24" w:rsidRDefault="00A10FCF" w:rsidP="006A3B37">
            <w:pPr>
              <w:spacing w:line="276" w:lineRule="auto"/>
              <w:rPr>
                <w:lang w:val="en-US"/>
              </w:rPr>
            </w:pPr>
            <w:r w:rsidRPr="00F00D24">
              <w:rPr>
                <w:lang w:val="en-US"/>
              </w:rPr>
              <w:t>4.22</w:t>
            </w:r>
          </w:p>
        </w:tc>
        <w:tc>
          <w:tcPr>
            <w:tcW w:w="1134" w:type="dxa"/>
            <w:tcBorders>
              <w:top w:val="single" w:sz="4" w:space="0" w:color="auto"/>
              <w:left w:val="nil"/>
              <w:bottom w:val="nil"/>
              <w:right w:val="nil"/>
            </w:tcBorders>
            <w:textDirection w:val="lrTbV"/>
            <w:vAlign w:val="center"/>
          </w:tcPr>
          <w:p w14:paraId="0755CA41" w14:textId="77777777" w:rsidR="00A10FCF" w:rsidRPr="00F00D24" w:rsidRDefault="00A10FCF" w:rsidP="006A3B37">
            <w:pPr>
              <w:spacing w:line="276" w:lineRule="auto"/>
              <w:rPr>
                <w:lang w:val="en-US"/>
              </w:rPr>
            </w:pPr>
            <w:r w:rsidRPr="00F00D24">
              <w:rPr>
                <w:lang w:val="en-US"/>
              </w:rPr>
              <w:t>.82</w:t>
            </w:r>
          </w:p>
        </w:tc>
        <w:tc>
          <w:tcPr>
            <w:tcW w:w="1134" w:type="dxa"/>
            <w:tcBorders>
              <w:top w:val="single" w:sz="4" w:space="0" w:color="auto"/>
              <w:left w:val="nil"/>
              <w:bottom w:val="nil"/>
              <w:right w:val="nil"/>
            </w:tcBorders>
            <w:textDirection w:val="lrTbV"/>
            <w:vAlign w:val="center"/>
          </w:tcPr>
          <w:p w14:paraId="013CD052" w14:textId="77777777" w:rsidR="00A10FCF" w:rsidRPr="00F00D24" w:rsidRDefault="00A10FCF" w:rsidP="006A3B37">
            <w:pPr>
              <w:spacing w:line="276" w:lineRule="auto"/>
              <w:rPr>
                <w:lang w:val="en-US"/>
              </w:rPr>
            </w:pPr>
            <w:r w:rsidRPr="00F00D24">
              <w:rPr>
                <w:lang w:val="en-US"/>
              </w:rPr>
              <w:t>5.15***</w:t>
            </w:r>
          </w:p>
        </w:tc>
        <w:tc>
          <w:tcPr>
            <w:tcW w:w="284" w:type="dxa"/>
            <w:tcBorders>
              <w:top w:val="nil"/>
              <w:left w:val="nil"/>
              <w:bottom w:val="nil"/>
              <w:right w:val="nil"/>
            </w:tcBorders>
            <w:textDirection w:val="lrTbV"/>
            <w:vAlign w:val="center"/>
          </w:tcPr>
          <w:p w14:paraId="15108FD1" w14:textId="77777777" w:rsidR="00A10FCF" w:rsidRPr="00F00D24" w:rsidRDefault="00A10FCF" w:rsidP="006A3B37">
            <w:pPr>
              <w:spacing w:line="276" w:lineRule="auto"/>
              <w:rPr>
                <w:color w:val="FF0000"/>
                <w:lang w:val="en-US"/>
              </w:rPr>
            </w:pPr>
          </w:p>
        </w:tc>
        <w:tc>
          <w:tcPr>
            <w:tcW w:w="1417" w:type="dxa"/>
            <w:tcBorders>
              <w:top w:val="single" w:sz="4" w:space="0" w:color="auto"/>
              <w:left w:val="nil"/>
              <w:bottom w:val="nil"/>
              <w:right w:val="nil"/>
            </w:tcBorders>
            <w:textDirection w:val="lrTbV"/>
            <w:vAlign w:val="center"/>
          </w:tcPr>
          <w:p w14:paraId="3769F6FB" w14:textId="77777777" w:rsidR="00A10FCF" w:rsidRPr="00F00D24" w:rsidRDefault="00A10FCF" w:rsidP="006A3B37">
            <w:pPr>
              <w:spacing w:line="276" w:lineRule="auto"/>
              <w:rPr>
                <w:lang w:val="en-US"/>
              </w:rPr>
            </w:pPr>
            <w:r w:rsidRPr="00F00D24">
              <w:rPr>
                <w:lang w:val="en-US"/>
              </w:rPr>
              <w:t>7.05</w:t>
            </w:r>
          </w:p>
        </w:tc>
        <w:tc>
          <w:tcPr>
            <w:tcW w:w="851" w:type="dxa"/>
            <w:tcBorders>
              <w:top w:val="single" w:sz="4" w:space="0" w:color="auto"/>
              <w:left w:val="nil"/>
              <w:bottom w:val="nil"/>
              <w:right w:val="nil"/>
            </w:tcBorders>
            <w:textDirection w:val="lrTbV"/>
            <w:vAlign w:val="center"/>
          </w:tcPr>
          <w:p w14:paraId="7734C70C" w14:textId="77777777" w:rsidR="00A10FCF" w:rsidRPr="00F00D24" w:rsidRDefault="00A10FCF" w:rsidP="006A3B37">
            <w:pPr>
              <w:spacing w:line="276" w:lineRule="auto"/>
              <w:rPr>
                <w:lang w:val="en-US"/>
              </w:rPr>
            </w:pPr>
            <w:r w:rsidRPr="00F00D24">
              <w:rPr>
                <w:lang w:val="en-US"/>
              </w:rPr>
              <w:t>2.82</w:t>
            </w:r>
          </w:p>
        </w:tc>
        <w:tc>
          <w:tcPr>
            <w:tcW w:w="1134" w:type="dxa"/>
            <w:tcBorders>
              <w:top w:val="single" w:sz="4" w:space="0" w:color="auto"/>
              <w:left w:val="nil"/>
              <w:bottom w:val="nil"/>
              <w:right w:val="nil"/>
            </w:tcBorders>
            <w:textDirection w:val="lrTbV"/>
            <w:vAlign w:val="center"/>
          </w:tcPr>
          <w:p w14:paraId="3EC50102" w14:textId="77777777" w:rsidR="00A10FCF" w:rsidRPr="00F00D24" w:rsidRDefault="00A10FCF" w:rsidP="006A3B37">
            <w:pPr>
              <w:spacing w:line="276" w:lineRule="auto"/>
              <w:rPr>
                <w:lang w:val="en-US"/>
              </w:rPr>
            </w:pPr>
            <w:r w:rsidRPr="00F00D24">
              <w:rPr>
                <w:lang w:val="en-US"/>
              </w:rPr>
              <w:t>2.50*</w:t>
            </w:r>
          </w:p>
        </w:tc>
      </w:tr>
      <w:tr w:rsidR="00F00D24" w:rsidRPr="00F00D24" w14:paraId="54073BE9" w14:textId="77777777" w:rsidTr="006A3B37">
        <w:trPr>
          <w:trHeight w:val="312"/>
        </w:trPr>
        <w:tc>
          <w:tcPr>
            <w:tcW w:w="3657" w:type="dxa"/>
            <w:tcBorders>
              <w:top w:val="nil"/>
              <w:bottom w:val="nil"/>
              <w:right w:val="nil"/>
            </w:tcBorders>
            <w:textDirection w:val="lrTbV"/>
            <w:vAlign w:val="center"/>
          </w:tcPr>
          <w:p w14:paraId="5CA49B96" w14:textId="77777777" w:rsidR="00A10FCF" w:rsidRPr="00F00D24" w:rsidRDefault="00A10FCF" w:rsidP="00F00D24">
            <w:pPr>
              <w:spacing w:line="276" w:lineRule="auto"/>
              <w:rPr>
                <w:b/>
                <w:bCs/>
                <w:lang w:val="en-US"/>
              </w:rPr>
            </w:pPr>
            <w:r w:rsidRPr="00F00D24">
              <w:rPr>
                <w:b/>
                <w:bCs/>
                <w:lang w:val="en-US"/>
              </w:rPr>
              <w:t>Control Variables</w:t>
            </w:r>
          </w:p>
        </w:tc>
        <w:tc>
          <w:tcPr>
            <w:tcW w:w="1417" w:type="dxa"/>
            <w:tcBorders>
              <w:top w:val="nil"/>
              <w:left w:val="nil"/>
              <w:bottom w:val="nil"/>
              <w:right w:val="nil"/>
            </w:tcBorders>
            <w:textDirection w:val="lrTbV"/>
            <w:vAlign w:val="center"/>
          </w:tcPr>
          <w:p w14:paraId="31F1B82A"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2132E19A" w14:textId="77777777" w:rsidR="00A10FCF" w:rsidRPr="00F00D24" w:rsidRDefault="00A10FCF" w:rsidP="006A3B37">
            <w:pPr>
              <w:spacing w:line="276" w:lineRule="auto"/>
              <w:rPr>
                <w:lang w:val="en-US"/>
              </w:rPr>
            </w:pPr>
          </w:p>
        </w:tc>
        <w:tc>
          <w:tcPr>
            <w:tcW w:w="992" w:type="dxa"/>
            <w:tcBorders>
              <w:top w:val="nil"/>
              <w:left w:val="nil"/>
              <w:bottom w:val="nil"/>
              <w:right w:val="nil"/>
            </w:tcBorders>
            <w:textDirection w:val="lrTbV"/>
            <w:vAlign w:val="center"/>
          </w:tcPr>
          <w:p w14:paraId="38058938"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476DECA1"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5F1BBAAC"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45D53EB0"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20D2B67D"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4EAF9700"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4140C0AE"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6C2C9957"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06039F69" w14:textId="77777777" w:rsidR="00A10FCF" w:rsidRPr="00F00D24" w:rsidRDefault="00A10FCF" w:rsidP="006A3B37">
            <w:pPr>
              <w:spacing w:line="276" w:lineRule="auto"/>
              <w:rPr>
                <w:lang w:val="en-US"/>
              </w:rPr>
            </w:pPr>
          </w:p>
        </w:tc>
      </w:tr>
      <w:tr w:rsidR="00F00D24" w:rsidRPr="00F00D24" w14:paraId="1B8D25C9" w14:textId="77777777" w:rsidTr="006A3B37">
        <w:trPr>
          <w:trHeight w:val="359"/>
        </w:trPr>
        <w:tc>
          <w:tcPr>
            <w:tcW w:w="3657" w:type="dxa"/>
            <w:tcBorders>
              <w:top w:val="nil"/>
              <w:bottom w:val="nil"/>
              <w:right w:val="nil"/>
            </w:tcBorders>
            <w:textDirection w:val="lrTbV"/>
            <w:vAlign w:val="center"/>
          </w:tcPr>
          <w:p w14:paraId="34923F66" w14:textId="77777777" w:rsidR="00A10FCF" w:rsidRPr="00F00D24" w:rsidRDefault="00A10FCF" w:rsidP="00F00D24">
            <w:pPr>
              <w:spacing w:line="276" w:lineRule="auto"/>
              <w:rPr>
                <w:lang w:val="en-US"/>
              </w:rPr>
            </w:pPr>
            <w:r w:rsidRPr="00F00D24">
              <w:rPr>
                <w:lang w:val="en-US"/>
              </w:rPr>
              <w:t>Age (Supervisor)</w:t>
            </w:r>
          </w:p>
        </w:tc>
        <w:tc>
          <w:tcPr>
            <w:tcW w:w="1417" w:type="dxa"/>
            <w:tcBorders>
              <w:top w:val="nil"/>
              <w:left w:val="nil"/>
              <w:bottom w:val="nil"/>
              <w:right w:val="nil"/>
            </w:tcBorders>
            <w:textDirection w:val="lrTbV"/>
            <w:vAlign w:val="center"/>
          </w:tcPr>
          <w:p w14:paraId="6996F927" w14:textId="6B69637D" w:rsidR="00A10FCF" w:rsidRPr="00F00D24" w:rsidRDefault="00892209" w:rsidP="006A3B37">
            <w:pPr>
              <w:spacing w:line="276" w:lineRule="auto"/>
              <w:rPr>
                <w:lang w:val="en-US"/>
              </w:rPr>
            </w:pPr>
            <w:r w:rsidRPr="00F00D24">
              <w:rPr>
                <w:lang w:val="en-US"/>
              </w:rPr>
              <w:t>0</w:t>
            </w:r>
            <w:r w:rsidR="00A10FCF" w:rsidRPr="00F00D24">
              <w:rPr>
                <w:lang w:val="en-US"/>
              </w:rPr>
              <w:t>.04</w:t>
            </w:r>
          </w:p>
        </w:tc>
        <w:tc>
          <w:tcPr>
            <w:tcW w:w="851" w:type="dxa"/>
            <w:tcBorders>
              <w:top w:val="nil"/>
              <w:left w:val="nil"/>
              <w:bottom w:val="nil"/>
              <w:right w:val="nil"/>
            </w:tcBorders>
            <w:textDirection w:val="lrTbV"/>
            <w:vAlign w:val="center"/>
          </w:tcPr>
          <w:p w14:paraId="5FE149D9" w14:textId="451AB2D6" w:rsidR="00A10FCF" w:rsidRPr="00F00D24" w:rsidRDefault="00892209" w:rsidP="006A3B37">
            <w:pPr>
              <w:spacing w:line="276" w:lineRule="auto"/>
              <w:rPr>
                <w:lang w:val="en-US"/>
              </w:rPr>
            </w:pPr>
            <w:r w:rsidRPr="00F00D24">
              <w:rPr>
                <w:lang w:val="en-US"/>
              </w:rPr>
              <w:t>0</w:t>
            </w:r>
            <w:r w:rsidR="00A10FCF" w:rsidRPr="00F00D24">
              <w:rPr>
                <w:lang w:val="en-US"/>
              </w:rPr>
              <w:t>.03</w:t>
            </w:r>
          </w:p>
        </w:tc>
        <w:tc>
          <w:tcPr>
            <w:tcW w:w="992" w:type="dxa"/>
            <w:tcBorders>
              <w:top w:val="nil"/>
              <w:left w:val="nil"/>
              <w:bottom w:val="nil"/>
              <w:right w:val="nil"/>
            </w:tcBorders>
            <w:vAlign w:val="center"/>
          </w:tcPr>
          <w:p w14:paraId="60DAED43" w14:textId="77777777" w:rsidR="00A10FCF" w:rsidRPr="00F00D24" w:rsidRDefault="00A10FCF" w:rsidP="006A3B37">
            <w:pPr>
              <w:spacing w:line="276" w:lineRule="auto"/>
              <w:rPr>
                <w:lang w:val="en-US"/>
              </w:rPr>
            </w:pPr>
            <w:r w:rsidRPr="00F00D24">
              <w:rPr>
                <w:lang w:val="en-US"/>
              </w:rPr>
              <w:t>1.33</w:t>
            </w:r>
          </w:p>
        </w:tc>
        <w:tc>
          <w:tcPr>
            <w:tcW w:w="284" w:type="dxa"/>
            <w:tcBorders>
              <w:top w:val="nil"/>
              <w:left w:val="nil"/>
              <w:bottom w:val="nil"/>
              <w:right w:val="nil"/>
            </w:tcBorders>
            <w:textDirection w:val="lrTbV"/>
            <w:vAlign w:val="center"/>
          </w:tcPr>
          <w:p w14:paraId="49CCFE9A"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58503CED" w14:textId="506F1F93" w:rsidR="00A10FCF" w:rsidRPr="00F00D24" w:rsidRDefault="00892209" w:rsidP="006A3B37">
            <w:pPr>
              <w:spacing w:line="276" w:lineRule="auto"/>
              <w:rPr>
                <w:lang w:val="en-US"/>
              </w:rPr>
            </w:pPr>
            <w:r w:rsidRPr="00F00D24">
              <w:rPr>
                <w:lang w:val="en-US"/>
              </w:rPr>
              <w:t>0</w:t>
            </w:r>
            <w:r w:rsidR="00A10FCF" w:rsidRPr="00F00D24">
              <w:rPr>
                <w:lang w:val="en-US"/>
              </w:rPr>
              <w:t>.03</w:t>
            </w:r>
          </w:p>
        </w:tc>
        <w:tc>
          <w:tcPr>
            <w:tcW w:w="1134" w:type="dxa"/>
            <w:tcBorders>
              <w:top w:val="nil"/>
              <w:left w:val="nil"/>
              <w:bottom w:val="nil"/>
              <w:right w:val="nil"/>
            </w:tcBorders>
            <w:vAlign w:val="center"/>
          </w:tcPr>
          <w:p w14:paraId="193E27EB" w14:textId="493AE88E" w:rsidR="00A10FCF" w:rsidRPr="00F00D24" w:rsidRDefault="00892209" w:rsidP="006A3B37">
            <w:pPr>
              <w:spacing w:line="276" w:lineRule="auto"/>
              <w:rPr>
                <w:lang w:val="en-US"/>
              </w:rPr>
            </w:pPr>
            <w:r w:rsidRPr="00F00D24">
              <w:rPr>
                <w:lang w:val="en-US"/>
              </w:rPr>
              <w:t>0.</w:t>
            </w:r>
            <w:r w:rsidR="00A10FCF" w:rsidRPr="00F00D24">
              <w:rPr>
                <w:lang w:val="en-US"/>
              </w:rPr>
              <w:t>02</w:t>
            </w:r>
          </w:p>
        </w:tc>
        <w:tc>
          <w:tcPr>
            <w:tcW w:w="1134" w:type="dxa"/>
            <w:tcBorders>
              <w:top w:val="nil"/>
              <w:left w:val="nil"/>
              <w:bottom w:val="nil"/>
              <w:right w:val="nil"/>
            </w:tcBorders>
            <w:vAlign w:val="center"/>
          </w:tcPr>
          <w:p w14:paraId="008E115B" w14:textId="77777777" w:rsidR="00A10FCF" w:rsidRPr="00F00D24" w:rsidRDefault="00A10FCF" w:rsidP="006A3B37">
            <w:pPr>
              <w:spacing w:line="276" w:lineRule="auto"/>
              <w:rPr>
                <w:lang w:val="en-US"/>
              </w:rPr>
            </w:pPr>
            <w:r w:rsidRPr="00F00D24">
              <w:rPr>
                <w:lang w:val="en-US"/>
              </w:rPr>
              <w:t>1.33</w:t>
            </w:r>
          </w:p>
        </w:tc>
        <w:tc>
          <w:tcPr>
            <w:tcW w:w="284" w:type="dxa"/>
            <w:tcBorders>
              <w:top w:val="nil"/>
              <w:left w:val="nil"/>
              <w:bottom w:val="nil"/>
              <w:right w:val="nil"/>
            </w:tcBorders>
            <w:textDirection w:val="lrTbV"/>
            <w:vAlign w:val="center"/>
          </w:tcPr>
          <w:p w14:paraId="653C7F43"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5CEB17D0" w14:textId="20C0F493" w:rsidR="00A10FCF" w:rsidRPr="00F00D24" w:rsidRDefault="00892209" w:rsidP="006A3B37">
            <w:pPr>
              <w:spacing w:line="276" w:lineRule="auto"/>
              <w:rPr>
                <w:lang w:val="en-US"/>
              </w:rPr>
            </w:pPr>
            <w:r w:rsidRPr="00F00D24">
              <w:rPr>
                <w:lang w:val="en-US"/>
              </w:rPr>
              <w:t>0</w:t>
            </w:r>
            <w:r w:rsidR="00A10FCF" w:rsidRPr="00F00D24">
              <w:rPr>
                <w:lang w:val="en-US"/>
              </w:rPr>
              <w:t>.00</w:t>
            </w:r>
          </w:p>
        </w:tc>
        <w:tc>
          <w:tcPr>
            <w:tcW w:w="851" w:type="dxa"/>
            <w:tcBorders>
              <w:top w:val="nil"/>
              <w:left w:val="nil"/>
              <w:bottom w:val="nil"/>
              <w:right w:val="nil"/>
            </w:tcBorders>
            <w:vAlign w:val="center"/>
          </w:tcPr>
          <w:p w14:paraId="41FD7023" w14:textId="633CD21E" w:rsidR="00A10FCF" w:rsidRPr="00F00D24" w:rsidRDefault="00892209" w:rsidP="006A3B37">
            <w:pPr>
              <w:spacing w:line="276" w:lineRule="auto"/>
              <w:rPr>
                <w:lang w:val="en-US"/>
              </w:rPr>
            </w:pPr>
            <w:r w:rsidRPr="00F00D24">
              <w:rPr>
                <w:lang w:val="en-US"/>
              </w:rPr>
              <w:t>0</w:t>
            </w:r>
            <w:r w:rsidR="00A10FCF" w:rsidRPr="00F00D24">
              <w:rPr>
                <w:lang w:val="en-US"/>
              </w:rPr>
              <w:t>.07</w:t>
            </w:r>
          </w:p>
        </w:tc>
        <w:tc>
          <w:tcPr>
            <w:tcW w:w="1134" w:type="dxa"/>
            <w:tcBorders>
              <w:top w:val="nil"/>
              <w:left w:val="nil"/>
              <w:bottom w:val="nil"/>
              <w:right w:val="nil"/>
            </w:tcBorders>
            <w:vAlign w:val="center"/>
          </w:tcPr>
          <w:p w14:paraId="32C3C5EF" w14:textId="798E4D6A"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.04</w:t>
            </w:r>
          </w:p>
        </w:tc>
      </w:tr>
      <w:tr w:rsidR="00F00D24" w:rsidRPr="00F00D24" w14:paraId="428FFC05" w14:textId="77777777" w:rsidTr="006A3B37">
        <w:trPr>
          <w:trHeight w:val="359"/>
        </w:trPr>
        <w:tc>
          <w:tcPr>
            <w:tcW w:w="3657" w:type="dxa"/>
            <w:tcBorders>
              <w:top w:val="nil"/>
              <w:bottom w:val="nil"/>
              <w:right w:val="nil"/>
            </w:tcBorders>
            <w:textDirection w:val="lrTbV"/>
            <w:vAlign w:val="center"/>
          </w:tcPr>
          <w:p w14:paraId="10EF6032" w14:textId="77777777" w:rsidR="00A10FCF" w:rsidRPr="00F00D24" w:rsidRDefault="00A10FCF" w:rsidP="00F00D24">
            <w:pPr>
              <w:spacing w:line="276" w:lineRule="auto"/>
              <w:rPr>
                <w:lang w:val="en-US"/>
              </w:rPr>
            </w:pPr>
            <w:r w:rsidRPr="00F00D24">
              <w:rPr>
                <w:lang w:val="en-US"/>
              </w:rPr>
              <w:t xml:space="preserve">Gender (Supervisor) </w:t>
            </w:r>
          </w:p>
        </w:tc>
        <w:tc>
          <w:tcPr>
            <w:tcW w:w="1417" w:type="dxa"/>
            <w:tcBorders>
              <w:top w:val="nil"/>
              <w:left w:val="nil"/>
              <w:bottom w:val="nil"/>
              <w:right w:val="nil"/>
            </w:tcBorders>
            <w:textDirection w:val="lrTbV"/>
            <w:vAlign w:val="center"/>
          </w:tcPr>
          <w:p w14:paraId="4A4A1F47" w14:textId="2C4BA278"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.88</w:t>
            </w:r>
          </w:p>
        </w:tc>
        <w:tc>
          <w:tcPr>
            <w:tcW w:w="851" w:type="dxa"/>
            <w:tcBorders>
              <w:top w:val="nil"/>
              <w:left w:val="nil"/>
              <w:bottom w:val="nil"/>
              <w:right w:val="nil"/>
            </w:tcBorders>
            <w:textDirection w:val="lrTbV"/>
            <w:vAlign w:val="center"/>
          </w:tcPr>
          <w:p w14:paraId="189EBAB7" w14:textId="6CA4B08E" w:rsidR="00A10FCF" w:rsidRPr="00F00D24" w:rsidRDefault="00892209" w:rsidP="006A3B37">
            <w:pPr>
              <w:spacing w:line="276" w:lineRule="auto"/>
              <w:rPr>
                <w:lang w:val="en-US"/>
              </w:rPr>
            </w:pPr>
            <w:r w:rsidRPr="00F00D24">
              <w:rPr>
                <w:lang w:val="en-US"/>
              </w:rPr>
              <w:t>0</w:t>
            </w:r>
            <w:r w:rsidR="00A10FCF" w:rsidRPr="00F00D24">
              <w:rPr>
                <w:lang w:val="en-US"/>
              </w:rPr>
              <w:t>.39</w:t>
            </w:r>
          </w:p>
        </w:tc>
        <w:tc>
          <w:tcPr>
            <w:tcW w:w="992" w:type="dxa"/>
            <w:tcBorders>
              <w:top w:val="nil"/>
              <w:left w:val="nil"/>
              <w:bottom w:val="nil"/>
              <w:right w:val="nil"/>
            </w:tcBorders>
            <w:vAlign w:val="center"/>
          </w:tcPr>
          <w:p w14:paraId="1C6DC2BE" w14:textId="77777777" w:rsidR="00A10FCF" w:rsidRPr="00F00D24" w:rsidRDefault="00A10FCF" w:rsidP="006A3B37">
            <w:pPr>
              <w:spacing w:line="276" w:lineRule="auto"/>
              <w:rPr>
                <w:lang w:val="en-US"/>
              </w:rPr>
            </w:pPr>
            <w:r w:rsidRPr="00F00D24">
              <w:rPr>
                <w:lang w:val="en-US"/>
              </w:rPr>
              <w:t>-2.26*</w:t>
            </w:r>
          </w:p>
        </w:tc>
        <w:tc>
          <w:tcPr>
            <w:tcW w:w="284" w:type="dxa"/>
            <w:tcBorders>
              <w:top w:val="nil"/>
              <w:left w:val="nil"/>
              <w:bottom w:val="nil"/>
              <w:right w:val="nil"/>
            </w:tcBorders>
            <w:textDirection w:val="lrTbV"/>
            <w:vAlign w:val="center"/>
          </w:tcPr>
          <w:p w14:paraId="39D4B8B5"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30BECEBF" w14:textId="1D053FDB"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.73</w:t>
            </w:r>
          </w:p>
        </w:tc>
        <w:tc>
          <w:tcPr>
            <w:tcW w:w="1134" w:type="dxa"/>
            <w:tcBorders>
              <w:top w:val="nil"/>
              <w:left w:val="nil"/>
              <w:bottom w:val="nil"/>
              <w:right w:val="nil"/>
            </w:tcBorders>
            <w:vAlign w:val="center"/>
          </w:tcPr>
          <w:p w14:paraId="230E4ACF" w14:textId="73F8709D" w:rsidR="00A10FCF" w:rsidRPr="00F00D24" w:rsidRDefault="00892209" w:rsidP="006A3B37">
            <w:pPr>
              <w:spacing w:line="276" w:lineRule="auto"/>
              <w:rPr>
                <w:lang w:val="en-US"/>
              </w:rPr>
            </w:pPr>
            <w:r w:rsidRPr="00F00D24">
              <w:rPr>
                <w:lang w:val="en-US"/>
              </w:rPr>
              <w:t>0</w:t>
            </w:r>
            <w:r w:rsidR="00A10FCF" w:rsidRPr="00F00D24">
              <w:rPr>
                <w:lang w:val="en-US"/>
              </w:rPr>
              <w:t>.35</w:t>
            </w:r>
          </w:p>
        </w:tc>
        <w:tc>
          <w:tcPr>
            <w:tcW w:w="1134" w:type="dxa"/>
            <w:tcBorders>
              <w:top w:val="nil"/>
              <w:left w:val="nil"/>
              <w:bottom w:val="nil"/>
              <w:right w:val="nil"/>
            </w:tcBorders>
            <w:vAlign w:val="center"/>
          </w:tcPr>
          <w:p w14:paraId="76589D5F" w14:textId="77777777" w:rsidR="00A10FCF" w:rsidRPr="00F00D24" w:rsidRDefault="00A10FCF" w:rsidP="006A3B37">
            <w:pPr>
              <w:spacing w:line="276" w:lineRule="auto"/>
              <w:rPr>
                <w:lang w:val="en-US"/>
              </w:rPr>
            </w:pPr>
            <w:r w:rsidRPr="00F00D24">
              <w:rPr>
                <w:lang w:val="en-US"/>
              </w:rPr>
              <w:t>-2.05*</w:t>
            </w:r>
          </w:p>
        </w:tc>
        <w:tc>
          <w:tcPr>
            <w:tcW w:w="284" w:type="dxa"/>
            <w:tcBorders>
              <w:top w:val="nil"/>
              <w:left w:val="nil"/>
              <w:bottom w:val="nil"/>
              <w:right w:val="nil"/>
            </w:tcBorders>
            <w:textDirection w:val="lrTbV"/>
            <w:vAlign w:val="center"/>
          </w:tcPr>
          <w:p w14:paraId="409A2BDD"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75919BEB" w14:textId="25736D91"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.03</w:t>
            </w:r>
          </w:p>
        </w:tc>
        <w:tc>
          <w:tcPr>
            <w:tcW w:w="851" w:type="dxa"/>
            <w:tcBorders>
              <w:top w:val="nil"/>
              <w:left w:val="nil"/>
              <w:bottom w:val="nil"/>
              <w:right w:val="nil"/>
            </w:tcBorders>
            <w:vAlign w:val="center"/>
          </w:tcPr>
          <w:p w14:paraId="6E177004" w14:textId="2F55B76B" w:rsidR="00A10FCF" w:rsidRPr="00F00D24" w:rsidRDefault="00892209" w:rsidP="006A3B37">
            <w:pPr>
              <w:spacing w:line="276" w:lineRule="auto"/>
              <w:rPr>
                <w:lang w:val="en-US"/>
              </w:rPr>
            </w:pPr>
            <w:r w:rsidRPr="00F00D24">
              <w:rPr>
                <w:lang w:val="en-US"/>
              </w:rPr>
              <w:t>0</w:t>
            </w:r>
            <w:r w:rsidR="00A10FCF" w:rsidRPr="00F00D24">
              <w:rPr>
                <w:lang w:val="en-US"/>
              </w:rPr>
              <w:t>.99</w:t>
            </w:r>
          </w:p>
        </w:tc>
        <w:tc>
          <w:tcPr>
            <w:tcW w:w="1134" w:type="dxa"/>
            <w:tcBorders>
              <w:top w:val="nil"/>
              <w:left w:val="nil"/>
              <w:bottom w:val="nil"/>
              <w:right w:val="nil"/>
            </w:tcBorders>
            <w:vAlign w:val="center"/>
          </w:tcPr>
          <w:p w14:paraId="14314E27" w14:textId="27A17EE8"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.03</w:t>
            </w:r>
          </w:p>
        </w:tc>
      </w:tr>
      <w:tr w:rsidR="00F00D24" w:rsidRPr="00F00D24" w14:paraId="6889D855" w14:textId="77777777" w:rsidTr="006A3B37">
        <w:trPr>
          <w:trHeight w:val="359"/>
        </w:trPr>
        <w:tc>
          <w:tcPr>
            <w:tcW w:w="3657" w:type="dxa"/>
            <w:tcBorders>
              <w:top w:val="nil"/>
              <w:bottom w:val="nil"/>
              <w:right w:val="nil"/>
            </w:tcBorders>
            <w:textDirection w:val="lrTbV"/>
            <w:vAlign w:val="center"/>
          </w:tcPr>
          <w:p w14:paraId="28C41B18" w14:textId="77777777" w:rsidR="00A10FCF" w:rsidRPr="00F00D24" w:rsidRDefault="00A10FCF" w:rsidP="00F00D24">
            <w:pPr>
              <w:spacing w:line="276" w:lineRule="auto"/>
              <w:rPr>
                <w:lang w:val="en-US"/>
              </w:rPr>
            </w:pPr>
            <w:r w:rsidRPr="00F00D24">
              <w:rPr>
                <w:lang w:val="en-US"/>
              </w:rPr>
              <w:t>Tenure (Supervisor)</w:t>
            </w:r>
          </w:p>
        </w:tc>
        <w:tc>
          <w:tcPr>
            <w:tcW w:w="1417" w:type="dxa"/>
            <w:tcBorders>
              <w:top w:val="nil"/>
              <w:left w:val="nil"/>
              <w:bottom w:val="nil"/>
              <w:right w:val="nil"/>
            </w:tcBorders>
            <w:textDirection w:val="lrTbV"/>
            <w:vAlign w:val="center"/>
          </w:tcPr>
          <w:p w14:paraId="065021F1" w14:textId="3D987276"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.04</w:t>
            </w:r>
          </w:p>
        </w:tc>
        <w:tc>
          <w:tcPr>
            <w:tcW w:w="851" w:type="dxa"/>
            <w:tcBorders>
              <w:top w:val="nil"/>
              <w:left w:val="nil"/>
              <w:bottom w:val="nil"/>
              <w:right w:val="nil"/>
            </w:tcBorders>
            <w:textDirection w:val="lrTbV"/>
            <w:vAlign w:val="center"/>
          </w:tcPr>
          <w:p w14:paraId="4B32D332" w14:textId="0516250F" w:rsidR="00A10FCF" w:rsidRPr="00F00D24" w:rsidRDefault="00892209" w:rsidP="006A3B37">
            <w:pPr>
              <w:spacing w:line="276" w:lineRule="auto"/>
              <w:rPr>
                <w:lang w:val="en-US"/>
              </w:rPr>
            </w:pPr>
            <w:r w:rsidRPr="00F00D24">
              <w:rPr>
                <w:lang w:val="en-US"/>
              </w:rPr>
              <w:t>0</w:t>
            </w:r>
            <w:r w:rsidR="00A10FCF" w:rsidRPr="00F00D24">
              <w:rPr>
                <w:lang w:val="en-US"/>
              </w:rPr>
              <w:t>.03</w:t>
            </w:r>
          </w:p>
        </w:tc>
        <w:tc>
          <w:tcPr>
            <w:tcW w:w="992" w:type="dxa"/>
            <w:tcBorders>
              <w:top w:val="nil"/>
              <w:left w:val="nil"/>
              <w:bottom w:val="nil"/>
              <w:right w:val="nil"/>
            </w:tcBorders>
            <w:vAlign w:val="center"/>
          </w:tcPr>
          <w:p w14:paraId="77DD0B4A" w14:textId="77777777" w:rsidR="00A10FCF" w:rsidRPr="00F00D24" w:rsidRDefault="00A10FCF" w:rsidP="006A3B37">
            <w:pPr>
              <w:spacing w:line="276" w:lineRule="auto"/>
              <w:rPr>
                <w:lang w:val="en-US"/>
              </w:rPr>
            </w:pPr>
            <w:r w:rsidRPr="00F00D24">
              <w:rPr>
                <w:lang w:val="en-US"/>
              </w:rPr>
              <w:t>-1.33</w:t>
            </w:r>
          </w:p>
        </w:tc>
        <w:tc>
          <w:tcPr>
            <w:tcW w:w="284" w:type="dxa"/>
            <w:tcBorders>
              <w:top w:val="nil"/>
              <w:left w:val="nil"/>
              <w:bottom w:val="nil"/>
              <w:right w:val="nil"/>
            </w:tcBorders>
            <w:textDirection w:val="lrTbV"/>
            <w:vAlign w:val="center"/>
          </w:tcPr>
          <w:p w14:paraId="760705D3"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067757E2" w14:textId="6D6F821B"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.03</w:t>
            </w:r>
          </w:p>
        </w:tc>
        <w:tc>
          <w:tcPr>
            <w:tcW w:w="1134" w:type="dxa"/>
            <w:tcBorders>
              <w:top w:val="nil"/>
              <w:left w:val="nil"/>
              <w:bottom w:val="nil"/>
              <w:right w:val="nil"/>
            </w:tcBorders>
            <w:vAlign w:val="center"/>
          </w:tcPr>
          <w:p w14:paraId="2B731FB1" w14:textId="69DF45EF" w:rsidR="00A10FCF" w:rsidRPr="00F00D24" w:rsidRDefault="00892209" w:rsidP="006A3B37">
            <w:pPr>
              <w:spacing w:line="276" w:lineRule="auto"/>
              <w:rPr>
                <w:lang w:val="en-US"/>
              </w:rPr>
            </w:pPr>
            <w:r w:rsidRPr="00F00D24">
              <w:rPr>
                <w:lang w:val="en-US"/>
              </w:rPr>
              <w:t>0</w:t>
            </w:r>
            <w:r w:rsidR="00A10FCF" w:rsidRPr="00F00D24">
              <w:rPr>
                <w:lang w:val="en-US"/>
              </w:rPr>
              <w:t>.02</w:t>
            </w:r>
          </w:p>
        </w:tc>
        <w:tc>
          <w:tcPr>
            <w:tcW w:w="1134" w:type="dxa"/>
            <w:tcBorders>
              <w:top w:val="nil"/>
              <w:left w:val="nil"/>
              <w:bottom w:val="nil"/>
              <w:right w:val="nil"/>
            </w:tcBorders>
            <w:vAlign w:val="center"/>
          </w:tcPr>
          <w:p w14:paraId="7A9391AE" w14:textId="77777777" w:rsidR="00A10FCF" w:rsidRPr="00F00D24" w:rsidRDefault="00A10FCF" w:rsidP="006A3B37">
            <w:pPr>
              <w:spacing w:line="276" w:lineRule="auto"/>
              <w:rPr>
                <w:lang w:val="en-US"/>
              </w:rPr>
            </w:pPr>
            <w:r w:rsidRPr="00F00D24">
              <w:rPr>
                <w:lang w:val="en-US"/>
              </w:rPr>
              <w:t>-1.50</w:t>
            </w:r>
          </w:p>
        </w:tc>
        <w:tc>
          <w:tcPr>
            <w:tcW w:w="284" w:type="dxa"/>
            <w:tcBorders>
              <w:top w:val="nil"/>
              <w:left w:val="nil"/>
              <w:bottom w:val="nil"/>
              <w:right w:val="nil"/>
            </w:tcBorders>
            <w:textDirection w:val="lrTbV"/>
            <w:vAlign w:val="center"/>
          </w:tcPr>
          <w:p w14:paraId="0A48ABE3"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20F6D7B1" w14:textId="583F1610"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.03</w:t>
            </w:r>
          </w:p>
        </w:tc>
        <w:tc>
          <w:tcPr>
            <w:tcW w:w="851" w:type="dxa"/>
            <w:tcBorders>
              <w:top w:val="nil"/>
              <w:left w:val="nil"/>
              <w:bottom w:val="nil"/>
              <w:right w:val="nil"/>
            </w:tcBorders>
            <w:vAlign w:val="center"/>
          </w:tcPr>
          <w:p w14:paraId="38BD6BEE" w14:textId="066A5AA4" w:rsidR="00A10FCF" w:rsidRPr="00F00D24" w:rsidRDefault="00892209" w:rsidP="006A3B37">
            <w:pPr>
              <w:spacing w:line="276" w:lineRule="auto"/>
              <w:rPr>
                <w:lang w:val="en-US"/>
              </w:rPr>
            </w:pPr>
            <w:r w:rsidRPr="00F00D24">
              <w:rPr>
                <w:lang w:val="en-US"/>
              </w:rPr>
              <w:t>0</w:t>
            </w:r>
            <w:r w:rsidR="00A10FCF" w:rsidRPr="00F00D24">
              <w:rPr>
                <w:lang w:val="en-US"/>
              </w:rPr>
              <w:t>.06</w:t>
            </w:r>
          </w:p>
        </w:tc>
        <w:tc>
          <w:tcPr>
            <w:tcW w:w="1134" w:type="dxa"/>
            <w:tcBorders>
              <w:top w:val="nil"/>
              <w:left w:val="nil"/>
              <w:bottom w:val="nil"/>
              <w:right w:val="nil"/>
            </w:tcBorders>
            <w:vAlign w:val="center"/>
          </w:tcPr>
          <w:p w14:paraId="55E26001" w14:textId="4DEA112B"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.45</w:t>
            </w:r>
          </w:p>
        </w:tc>
      </w:tr>
      <w:tr w:rsidR="00F00D24" w:rsidRPr="00F00D24" w14:paraId="2320C661" w14:textId="77777777" w:rsidTr="006A3B37">
        <w:trPr>
          <w:trHeight w:val="359"/>
        </w:trPr>
        <w:tc>
          <w:tcPr>
            <w:tcW w:w="3657" w:type="dxa"/>
            <w:tcBorders>
              <w:top w:val="nil"/>
              <w:bottom w:val="nil"/>
              <w:right w:val="nil"/>
            </w:tcBorders>
            <w:textDirection w:val="lrTbV"/>
            <w:vAlign w:val="center"/>
          </w:tcPr>
          <w:p w14:paraId="0B3D2A25" w14:textId="77777777" w:rsidR="00A10FCF" w:rsidRPr="00F00D24" w:rsidRDefault="00A10FCF" w:rsidP="00F00D24">
            <w:pPr>
              <w:spacing w:line="276" w:lineRule="auto"/>
              <w:rPr>
                <w:lang w:val="en-US"/>
              </w:rPr>
            </w:pPr>
            <w:r w:rsidRPr="00F00D24">
              <w:rPr>
                <w:lang w:val="en-US"/>
              </w:rPr>
              <w:t>Number of Children (Supervisor)</w:t>
            </w:r>
          </w:p>
        </w:tc>
        <w:tc>
          <w:tcPr>
            <w:tcW w:w="1417" w:type="dxa"/>
            <w:tcBorders>
              <w:top w:val="nil"/>
              <w:left w:val="nil"/>
              <w:bottom w:val="nil"/>
              <w:right w:val="nil"/>
            </w:tcBorders>
            <w:textDirection w:val="lrTbV"/>
            <w:vAlign w:val="center"/>
          </w:tcPr>
          <w:p w14:paraId="44868B2F" w14:textId="1C6BF3AF" w:rsidR="00A10FCF" w:rsidRPr="00F00D24" w:rsidRDefault="00892209" w:rsidP="006A3B37">
            <w:pPr>
              <w:spacing w:line="276" w:lineRule="auto"/>
              <w:rPr>
                <w:lang w:val="en-US"/>
              </w:rPr>
            </w:pPr>
            <w:r w:rsidRPr="00F00D24">
              <w:rPr>
                <w:lang w:val="en-US"/>
              </w:rPr>
              <w:t>0</w:t>
            </w:r>
            <w:r w:rsidR="00A10FCF" w:rsidRPr="00F00D24">
              <w:rPr>
                <w:lang w:val="en-US"/>
              </w:rPr>
              <w:t>.22</w:t>
            </w:r>
          </w:p>
        </w:tc>
        <w:tc>
          <w:tcPr>
            <w:tcW w:w="851" w:type="dxa"/>
            <w:tcBorders>
              <w:top w:val="nil"/>
              <w:left w:val="nil"/>
              <w:bottom w:val="nil"/>
              <w:right w:val="nil"/>
            </w:tcBorders>
            <w:textDirection w:val="lrTbV"/>
            <w:vAlign w:val="center"/>
          </w:tcPr>
          <w:p w14:paraId="78965752" w14:textId="747039BE" w:rsidR="00A10FCF" w:rsidRPr="00F00D24" w:rsidRDefault="00892209" w:rsidP="006A3B37">
            <w:pPr>
              <w:spacing w:line="276" w:lineRule="auto"/>
              <w:rPr>
                <w:lang w:val="en-US"/>
              </w:rPr>
            </w:pPr>
            <w:r w:rsidRPr="00F00D24">
              <w:rPr>
                <w:lang w:val="en-US"/>
              </w:rPr>
              <w:t>0</w:t>
            </w:r>
            <w:r w:rsidR="00A10FCF" w:rsidRPr="00F00D24">
              <w:rPr>
                <w:lang w:val="en-US"/>
              </w:rPr>
              <w:t>.22</w:t>
            </w:r>
          </w:p>
        </w:tc>
        <w:tc>
          <w:tcPr>
            <w:tcW w:w="992" w:type="dxa"/>
            <w:tcBorders>
              <w:top w:val="nil"/>
              <w:left w:val="nil"/>
              <w:bottom w:val="nil"/>
              <w:right w:val="nil"/>
            </w:tcBorders>
            <w:vAlign w:val="center"/>
          </w:tcPr>
          <w:p w14:paraId="3AA0EF68" w14:textId="77777777" w:rsidR="00A10FCF" w:rsidRPr="00F00D24" w:rsidRDefault="00A10FCF" w:rsidP="006A3B37">
            <w:pPr>
              <w:spacing w:line="276" w:lineRule="auto"/>
              <w:rPr>
                <w:lang w:val="en-US"/>
              </w:rPr>
            </w:pPr>
            <w:r w:rsidRPr="00F00D24">
              <w:rPr>
                <w:lang w:val="en-US"/>
              </w:rPr>
              <w:t>1.00</w:t>
            </w:r>
          </w:p>
        </w:tc>
        <w:tc>
          <w:tcPr>
            <w:tcW w:w="284" w:type="dxa"/>
            <w:tcBorders>
              <w:top w:val="nil"/>
              <w:left w:val="nil"/>
              <w:bottom w:val="nil"/>
              <w:right w:val="nil"/>
            </w:tcBorders>
            <w:textDirection w:val="lrTbV"/>
            <w:vAlign w:val="center"/>
          </w:tcPr>
          <w:p w14:paraId="4B0D441E"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56FB1CD9" w14:textId="44CA1446" w:rsidR="00A10FCF" w:rsidRPr="00F00D24" w:rsidRDefault="00892209" w:rsidP="006A3B37">
            <w:pPr>
              <w:spacing w:line="276" w:lineRule="auto"/>
              <w:rPr>
                <w:lang w:val="en-US"/>
              </w:rPr>
            </w:pPr>
            <w:r w:rsidRPr="00F00D24">
              <w:rPr>
                <w:lang w:val="en-US"/>
              </w:rPr>
              <w:t>0</w:t>
            </w:r>
            <w:r w:rsidR="00A10FCF" w:rsidRPr="00F00D24">
              <w:rPr>
                <w:lang w:val="en-US"/>
              </w:rPr>
              <w:t>.21</w:t>
            </w:r>
          </w:p>
        </w:tc>
        <w:tc>
          <w:tcPr>
            <w:tcW w:w="1134" w:type="dxa"/>
            <w:tcBorders>
              <w:top w:val="nil"/>
              <w:left w:val="nil"/>
              <w:bottom w:val="nil"/>
              <w:right w:val="nil"/>
            </w:tcBorders>
            <w:vAlign w:val="center"/>
          </w:tcPr>
          <w:p w14:paraId="7A8E8486" w14:textId="358AD30B" w:rsidR="00A10FCF" w:rsidRPr="00F00D24" w:rsidRDefault="00892209" w:rsidP="006A3B37">
            <w:pPr>
              <w:spacing w:line="276" w:lineRule="auto"/>
              <w:rPr>
                <w:lang w:val="en-US"/>
              </w:rPr>
            </w:pPr>
            <w:r w:rsidRPr="00F00D24">
              <w:rPr>
                <w:lang w:val="en-US"/>
              </w:rPr>
              <w:t>0</w:t>
            </w:r>
            <w:r w:rsidR="00A10FCF" w:rsidRPr="00F00D24">
              <w:rPr>
                <w:lang w:val="en-US"/>
              </w:rPr>
              <w:t>.16</w:t>
            </w:r>
          </w:p>
        </w:tc>
        <w:tc>
          <w:tcPr>
            <w:tcW w:w="1134" w:type="dxa"/>
            <w:tcBorders>
              <w:top w:val="nil"/>
              <w:left w:val="nil"/>
              <w:bottom w:val="nil"/>
              <w:right w:val="nil"/>
            </w:tcBorders>
            <w:vAlign w:val="center"/>
          </w:tcPr>
          <w:p w14:paraId="487F04C3" w14:textId="77777777" w:rsidR="00A10FCF" w:rsidRPr="00F00D24" w:rsidRDefault="00A10FCF" w:rsidP="006A3B37">
            <w:pPr>
              <w:spacing w:line="276" w:lineRule="auto"/>
              <w:rPr>
                <w:lang w:val="en-US"/>
              </w:rPr>
            </w:pPr>
            <w:r w:rsidRPr="00F00D24">
              <w:rPr>
                <w:lang w:val="en-US"/>
              </w:rPr>
              <w:t>1.25</w:t>
            </w:r>
          </w:p>
        </w:tc>
        <w:tc>
          <w:tcPr>
            <w:tcW w:w="284" w:type="dxa"/>
            <w:tcBorders>
              <w:top w:val="nil"/>
              <w:left w:val="nil"/>
              <w:bottom w:val="nil"/>
              <w:right w:val="nil"/>
            </w:tcBorders>
            <w:textDirection w:val="lrTbV"/>
            <w:vAlign w:val="center"/>
          </w:tcPr>
          <w:p w14:paraId="4BE67EE3"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649EA055" w14:textId="073E3B1C" w:rsidR="00A10FCF" w:rsidRPr="00F00D24" w:rsidRDefault="00892209" w:rsidP="006A3B37">
            <w:pPr>
              <w:spacing w:line="276" w:lineRule="auto"/>
              <w:rPr>
                <w:lang w:val="en-US"/>
              </w:rPr>
            </w:pPr>
            <w:r w:rsidRPr="00F00D24">
              <w:rPr>
                <w:lang w:val="en-US"/>
              </w:rPr>
              <w:t>0</w:t>
            </w:r>
            <w:r w:rsidR="00A10FCF" w:rsidRPr="00F00D24">
              <w:rPr>
                <w:lang w:val="en-US"/>
              </w:rPr>
              <w:t>.04</w:t>
            </w:r>
          </w:p>
        </w:tc>
        <w:tc>
          <w:tcPr>
            <w:tcW w:w="851" w:type="dxa"/>
            <w:tcBorders>
              <w:top w:val="nil"/>
              <w:left w:val="nil"/>
              <w:bottom w:val="nil"/>
              <w:right w:val="nil"/>
            </w:tcBorders>
            <w:vAlign w:val="center"/>
          </w:tcPr>
          <w:p w14:paraId="3479BCDD" w14:textId="39240618" w:rsidR="00A10FCF" w:rsidRPr="00F00D24" w:rsidRDefault="00892209" w:rsidP="006A3B37">
            <w:pPr>
              <w:spacing w:line="276" w:lineRule="auto"/>
              <w:rPr>
                <w:lang w:val="en-US"/>
              </w:rPr>
            </w:pPr>
            <w:r w:rsidRPr="00F00D24">
              <w:rPr>
                <w:lang w:val="en-US"/>
              </w:rPr>
              <w:t>0</w:t>
            </w:r>
            <w:r w:rsidR="00A10FCF" w:rsidRPr="00F00D24">
              <w:rPr>
                <w:lang w:val="en-US"/>
              </w:rPr>
              <w:t>.47</w:t>
            </w:r>
          </w:p>
        </w:tc>
        <w:tc>
          <w:tcPr>
            <w:tcW w:w="1134" w:type="dxa"/>
            <w:tcBorders>
              <w:top w:val="nil"/>
              <w:left w:val="nil"/>
              <w:bottom w:val="nil"/>
              <w:right w:val="nil"/>
            </w:tcBorders>
            <w:vAlign w:val="center"/>
          </w:tcPr>
          <w:p w14:paraId="3D4F37E9" w14:textId="4C3FFD6D" w:rsidR="00A10FCF" w:rsidRPr="00F00D24" w:rsidRDefault="00892209" w:rsidP="006A3B37">
            <w:pPr>
              <w:spacing w:line="276" w:lineRule="auto"/>
              <w:rPr>
                <w:lang w:val="en-US"/>
              </w:rPr>
            </w:pPr>
            <w:r w:rsidRPr="00F00D24">
              <w:rPr>
                <w:lang w:val="en-US"/>
              </w:rPr>
              <w:t>0</w:t>
            </w:r>
            <w:r w:rsidR="00A10FCF" w:rsidRPr="00F00D24">
              <w:rPr>
                <w:lang w:val="en-US"/>
              </w:rPr>
              <w:t>.09</w:t>
            </w:r>
          </w:p>
        </w:tc>
      </w:tr>
      <w:tr w:rsidR="00F00D24" w:rsidRPr="00F00D24" w14:paraId="2B678D77" w14:textId="77777777" w:rsidTr="006A3B37">
        <w:trPr>
          <w:trHeight w:val="359"/>
        </w:trPr>
        <w:tc>
          <w:tcPr>
            <w:tcW w:w="3657" w:type="dxa"/>
            <w:tcBorders>
              <w:top w:val="nil"/>
              <w:bottom w:val="nil"/>
              <w:right w:val="nil"/>
            </w:tcBorders>
            <w:textDirection w:val="lrTbV"/>
            <w:vAlign w:val="center"/>
          </w:tcPr>
          <w:p w14:paraId="3B673DD2" w14:textId="77777777" w:rsidR="00A10FCF" w:rsidRPr="00F00D24" w:rsidRDefault="00A10FCF" w:rsidP="00F00D24">
            <w:pPr>
              <w:spacing w:line="276" w:lineRule="auto"/>
              <w:rPr>
                <w:lang w:val="en-US"/>
              </w:rPr>
            </w:pPr>
            <w:r w:rsidRPr="00F00D24">
              <w:rPr>
                <w:lang w:val="en-US"/>
              </w:rPr>
              <w:t>Age (Subordinate)</w:t>
            </w:r>
          </w:p>
        </w:tc>
        <w:tc>
          <w:tcPr>
            <w:tcW w:w="1417" w:type="dxa"/>
            <w:tcBorders>
              <w:top w:val="nil"/>
              <w:left w:val="nil"/>
              <w:bottom w:val="nil"/>
              <w:right w:val="nil"/>
            </w:tcBorders>
            <w:textDirection w:val="lrTbV"/>
            <w:vAlign w:val="center"/>
          </w:tcPr>
          <w:p w14:paraId="02BB7F2E" w14:textId="6BF573EB"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.05</w:t>
            </w:r>
          </w:p>
        </w:tc>
        <w:tc>
          <w:tcPr>
            <w:tcW w:w="851" w:type="dxa"/>
            <w:tcBorders>
              <w:top w:val="nil"/>
              <w:left w:val="nil"/>
              <w:bottom w:val="nil"/>
              <w:right w:val="nil"/>
            </w:tcBorders>
            <w:textDirection w:val="lrTbV"/>
            <w:vAlign w:val="center"/>
          </w:tcPr>
          <w:p w14:paraId="6E0AABAD" w14:textId="10641E92" w:rsidR="00A10FCF" w:rsidRPr="00F00D24" w:rsidRDefault="00892209" w:rsidP="006A3B37">
            <w:pPr>
              <w:spacing w:line="276" w:lineRule="auto"/>
              <w:rPr>
                <w:lang w:val="en-US"/>
              </w:rPr>
            </w:pPr>
            <w:r w:rsidRPr="00F00D24">
              <w:rPr>
                <w:lang w:val="en-US"/>
              </w:rPr>
              <w:t>0</w:t>
            </w:r>
            <w:r w:rsidR="00A10FCF" w:rsidRPr="00F00D24">
              <w:rPr>
                <w:lang w:val="en-US"/>
              </w:rPr>
              <w:t>.04</w:t>
            </w:r>
          </w:p>
        </w:tc>
        <w:tc>
          <w:tcPr>
            <w:tcW w:w="992" w:type="dxa"/>
            <w:tcBorders>
              <w:top w:val="nil"/>
              <w:left w:val="nil"/>
              <w:bottom w:val="nil"/>
              <w:right w:val="nil"/>
            </w:tcBorders>
            <w:vAlign w:val="center"/>
          </w:tcPr>
          <w:p w14:paraId="2A68ECE2" w14:textId="77777777" w:rsidR="00A10FCF" w:rsidRPr="00F00D24" w:rsidRDefault="00A10FCF" w:rsidP="006A3B37">
            <w:pPr>
              <w:spacing w:line="276" w:lineRule="auto"/>
              <w:rPr>
                <w:lang w:val="en-US"/>
              </w:rPr>
            </w:pPr>
            <w:r w:rsidRPr="00F00D24">
              <w:rPr>
                <w:lang w:val="en-US"/>
              </w:rPr>
              <w:t>-1.25</w:t>
            </w:r>
          </w:p>
        </w:tc>
        <w:tc>
          <w:tcPr>
            <w:tcW w:w="284" w:type="dxa"/>
            <w:tcBorders>
              <w:top w:val="nil"/>
              <w:left w:val="nil"/>
              <w:bottom w:val="nil"/>
              <w:right w:val="nil"/>
            </w:tcBorders>
            <w:textDirection w:val="lrTbV"/>
            <w:vAlign w:val="center"/>
          </w:tcPr>
          <w:p w14:paraId="16546D33"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3FEE01DD" w14:textId="17788BFC"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.04</w:t>
            </w:r>
          </w:p>
        </w:tc>
        <w:tc>
          <w:tcPr>
            <w:tcW w:w="1134" w:type="dxa"/>
            <w:tcBorders>
              <w:top w:val="nil"/>
              <w:left w:val="nil"/>
              <w:bottom w:val="nil"/>
              <w:right w:val="nil"/>
            </w:tcBorders>
            <w:vAlign w:val="center"/>
          </w:tcPr>
          <w:p w14:paraId="28CA47F0" w14:textId="069F1220" w:rsidR="00A10FCF" w:rsidRPr="00F00D24" w:rsidRDefault="00892209" w:rsidP="006A3B37">
            <w:pPr>
              <w:spacing w:line="276" w:lineRule="auto"/>
              <w:rPr>
                <w:lang w:val="en-US"/>
              </w:rPr>
            </w:pPr>
            <w:r w:rsidRPr="00F00D24">
              <w:rPr>
                <w:lang w:val="en-US"/>
              </w:rPr>
              <w:t>0</w:t>
            </w:r>
            <w:r w:rsidR="00A10FCF" w:rsidRPr="00F00D24">
              <w:rPr>
                <w:lang w:val="en-US"/>
              </w:rPr>
              <w:t>.03</w:t>
            </w:r>
          </w:p>
        </w:tc>
        <w:tc>
          <w:tcPr>
            <w:tcW w:w="1134" w:type="dxa"/>
            <w:tcBorders>
              <w:top w:val="nil"/>
              <w:left w:val="nil"/>
              <w:bottom w:val="nil"/>
              <w:right w:val="nil"/>
            </w:tcBorders>
            <w:vAlign w:val="center"/>
          </w:tcPr>
          <w:p w14:paraId="7336950E" w14:textId="77777777" w:rsidR="00A10FCF" w:rsidRPr="00F00D24" w:rsidRDefault="00A10FCF" w:rsidP="006A3B37">
            <w:pPr>
              <w:spacing w:line="276" w:lineRule="auto"/>
              <w:rPr>
                <w:lang w:val="en-US"/>
              </w:rPr>
            </w:pPr>
            <w:r w:rsidRPr="00F00D24">
              <w:rPr>
                <w:lang w:val="en-US"/>
              </w:rPr>
              <w:t>-1.45</w:t>
            </w:r>
          </w:p>
        </w:tc>
        <w:tc>
          <w:tcPr>
            <w:tcW w:w="284" w:type="dxa"/>
            <w:tcBorders>
              <w:top w:val="nil"/>
              <w:left w:val="nil"/>
              <w:bottom w:val="nil"/>
              <w:right w:val="nil"/>
            </w:tcBorders>
            <w:textDirection w:val="lrTbV"/>
            <w:vAlign w:val="center"/>
          </w:tcPr>
          <w:p w14:paraId="1001363F"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198AC19E" w14:textId="796E45BC"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.03</w:t>
            </w:r>
          </w:p>
        </w:tc>
        <w:tc>
          <w:tcPr>
            <w:tcW w:w="851" w:type="dxa"/>
            <w:tcBorders>
              <w:top w:val="nil"/>
              <w:left w:val="nil"/>
              <w:bottom w:val="nil"/>
              <w:right w:val="nil"/>
            </w:tcBorders>
            <w:vAlign w:val="center"/>
          </w:tcPr>
          <w:p w14:paraId="7B327CBF" w14:textId="360A8942" w:rsidR="00A10FCF" w:rsidRPr="00F00D24" w:rsidRDefault="00892209" w:rsidP="006A3B37">
            <w:pPr>
              <w:spacing w:line="276" w:lineRule="auto"/>
              <w:rPr>
                <w:lang w:val="en-US"/>
              </w:rPr>
            </w:pPr>
            <w:r w:rsidRPr="00F00D24">
              <w:rPr>
                <w:lang w:val="en-US"/>
              </w:rPr>
              <w:t>0</w:t>
            </w:r>
            <w:r w:rsidR="00A10FCF" w:rsidRPr="00F00D24">
              <w:rPr>
                <w:lang w:val="en-US"/>
              </w:rPr>
              <w:t>.06</w:t>
            </w:r>
          </w:p>
        </w:tc>
        <w:tc>
          <w:tcPr>
            <w:tcW w:w="1134" w:type="dxa"/>
            <w:tcBorders>
              <w:top w:val="nil"/>
              <w:left w:val="nil"/>
              <w:bottom w:val="nil"/>
              <w:right w:val="nil"/>
            </w:tcBorders>
            <w:vAlign w:val="center"/>
          </w:tcPr>
          <w:p w14:paraId="5AE8ADFC" w14:textId="4A76D7C2"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.47</w:t>
            </w:r>
          </w:p>
        </w:tc>
      </w:tr>
      <w:tr w:rsidR="00F00D24" w:rsidRPr="00F00D24" w14:paraId="6D2BAD27" w14:textId="77777777" w:rsidTr="006A3B37">
        <w:trPr>
          <w:trHeight w:val="359"/>
        </w:trPr>
        <w:tc>
          <w:tcPr>
            <w:tcW w:w="3657" w:type="dxa"/>
            <w:tcBorders>
              <w:top w:val="nil"/>
              <w:bottom w:val="nil"/>
              <w:right w:val="nil"/>
            </w:tcBorders>
            <w:textDirection w:val="lrTbV"/>
            <w:vAlign w:val="center"/>
          </w:tcPr>
          <w:p w14:paraId="3EAADDCE" w14:textId="77777777" w:rsidR="00A10FCF" w:rsidRPr="00F00D24" w:rsidRDefault="00A10FCF" w:rsidP="00F00D24">
            <w:pPr>
              <w:spacing w:line="276" w:lineRule="auto"/>
              <w:rPr>
                <w:lang w:val="en-US"/>
              </w:rPr>
            </w:pPr>
            <w:r w:rsidRPr="00F00D24">
              <w:rPr>
                <w:lang w:val="en-US"/>
              </w:rPr>
              <w:t>Gender (Subordinate)</w:t>
            </w:r>
          </w:p>
        </w:tc>
        <w:tc>
          <w:tcPr>
            <w:tcW w:w="1417" w:type="dxa"/>
            <w:tcBorders>
              <w:top w:val="nil"/>
              <w:left w:val="nil"/>
              <w:bottom w:val="nil"/>
              <w:right w:val="nil"/>
            </w:tcBorders>
            <w:textDirection w:val="lrTbV"/>
            <w:vAlign w:val="center"/>
          </w:tcPr>
          <w:p w14:paraId="3C0BFDEE" w14:textId="426CF701" w:rsidR="00A10FCF" w:rsidRPr="00F00D24" w:rsidRDefault="00892209" w:rsidP="006A3B37">
            <w:pPr>
              <w:spacing w:line="276" w:lineRule="auto"/>
              <w:rPr>
                <w:lang w:val="en-US"/>
              </w:rPr>
            </w:pPr>
            <w:r w:rsidRPr="00F00D24">
              <w:rPr>
                <w:lang w:val="en-US"/>
              </w:rPr>
              <w:t>0</w:t>
            </w:r>
            <w:r w:rsidR="00A10FCF" w:rsidRPr="00F00D24">
              <w:rPr>
                <w:lang w:val="en-US"/>
              </w:rPr>
              <w:t>.44</w:t>
            </w:r>
          </w:p>
        </w:tc>
        <w:tc>
          <w:tcPr>
            <w:tcW w:w="851" w:type="dxa"/>
            <w:tcBorders>
              <w:top w:val="nil"/>
              <w:left w:val="nil"/>
              <w:bottom w:val="nil"/>
              <w:right w:val="nil"/>
            </w:tcBorders>
            <w:textDirection w:val="lrTbV"/>
            <w:vAlign w:val="center"/>
          </w:tcPr>
          <w:p w14:paraId="331961FD" w14:textId="694CCC49" w:rsidR="00A10FCF" w:rsidRPr="00F00D24" w:rsidRDefault="00892209" w:rsidP="006A3B37">
            <w:pPr>
              <w:spacing w:line="276" w:lineRule="auto"/>
              <w:rPr>
                <w:lang w:val="en-US"/>
              </w:rPr>
            </w:pPr>
            <w:r w:rsidRPr="00F00D24">
              <w:rPr>
                <w:lang w:val="en-US"/>
              </w:rPr>
              <w:t>0</w:t>
            </w:r>
            <w:r w:rsidR="00A10FCF" w:rsidRPr="00F00D24">
              <w:rPr>
                <w:lang w:val="en-US"/>
              </w:rPr>
              <w:t>.59</w:t>
            </w:r>
          </w:p>
        </w:tc>
        <w:tc>
          <w:tcPr>
            <w:tcW w:w="992" w:type="dxa"/>
            <w:tcBorders>
              <w:top w:val="nil"/>
              <w:left w:val="nil"/>
              <w:bottom w:val="nil"/>
              <w:right w:val="nil"/>
            </w:tcBorders>
            <w:vAlign w:val="center"/>
          </w:tcPr>
          <w:p w14:paraId="6FD0E82C" w14:textId="77777777" w:rsidR="00A10FCF" w:rsidRPr="00F00D24" w:rsidRDefault="00A10FCF" w:rsidP="006A3B37">
            <w:pPr>
              <w:spacing w:line="276" w:lineRule="auto"/>
              <w:rPr>
                <w:lang w:val="en-US"/>
              </w:rPr>
            </w:pPr>
            <w:r w:rsidRPr="00F00D24">
              <w:rPr>
                <w:lang w:val="en-US"/>
              </w:rPr>
              <w:t>0.75</w:t>
            </w:r>
          </w:p>
        </w:tc>
        <w:tc>
          <w:tcPr>
            <w:tcW w:w="284" w:type="dxa"/>
            <w:tcBorders>
              <w:top w:val="nil"/>
              <w:left w:val="nil"/>
              <w:bottom w:val="nil"/>
              <w:right w:val="nil"/>
            </w:tcBorders>
            <w:textDirection w:val="lrTbV"/>
            <w:vAlign w:val="center"/>
          </w:tcPr>
          <w:p w14:paraId="3C67C1D7"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738437A2" w14:textId="19E54296" w:rsidR="00A10FCF" w:rsidRPr="00F00D24" w:rsidRDefault="00892209" w:rsidP="006A3B37">
            <w:pPr>
              <w:spacing w:line="276" w:lineRule="auto"/>
              <w:rPr>
                <w:lang w:val="en-US"/>
              </w:rPr>
            </w:pPr>
            <w:r w:rsidRPr="00F00D24">
              <w:rPr>
                <w:lang w:val="en-US"/>
              </w:rPr>
              <w:t>0</w:t>
            </w:r>
            <w:r w:rsidR="00A10FCF" w:rsidRPr="00F00D24">
              <w:rPr>
                <w:lang w:val="en-US"/>
              </w:rPr>
              <w:t>.23</w:t>
            </w:r>
          </w:p>
        </w:tc>
        <w:tc>
          <w:tcPr>
            <w:tcW w:w="1134" w:type="dxa"/>
            <w:tcBorders>
              <w:top w:val="nil"/>
              <w:left w:val="nil"/>
              <w:bottom w:val="nil"/>
              <w:right w:val="nil"/>
            </w:tcBorders>
            <w:vAlign w:val="center"/>
          </w:tcPr>
          <w:p w14:paraId="32573C96" w14:textId="1F87055B" w:rsidR="00A10FCF" w:rsidRPr="00F00D24" w:rsidRDefault="00892209" w:rsidP="006A3B37">
            <w:pPr>
              <w:spacing w:line="276" w:lineRule="auto"/>
              <w:rPr>
                <w:lang w:val="en-US"/>
              </w:rPr>
            </w:pPr>
            <w:r w:rsidRPr="00F00D24">
              <w:rPr>
                <w:lang w:val="en-US"/>
              </w:rPr>
              <w:t>0</w:t>
            </w:r>
            <w:r w:rsidR="00A10FCF" w:rsidRPr="00F00D24">
              <w:rPr>
                <w:lang w:val="en-US"/>
              </w:rPr>
              <w:t>.32</w:t>
            </w:r>
          </w:p>
        </w:tc>
        <w:tc>
          <w:tcPr>
            <w:tcW w:w="1134" w:type="dxa"/>
            <w:tcBorders>
              <w:top w:val="nil"/>
              <w:left w:val="nil"/>
              <w:bottom w:val="nil"/>
              <w:right w:val="nil"/>
            </w:tcBorders>
            <w:vAlign w:val="center"/>
          </w:tcPr>
          <w:p w14:paraId="57BC0E59" w14:textId="5DC168C0" w:rsidR="00A10FCF" w:rsidRPr="00F00D24" w:rsidRDefault="00892209" w:rsidP="006A3B37">
            <w:pPr>
              <w:spacing w:line="276" w:lineRule="auto"/>
              <w:rPr>
                <w:lang w:val="en-US"/>
              </w:rPr>
            </w:pPr>
            <w:r w:rsidRPr="00F00D24">
              <w:rPr>
                <w:lang w:val="en-US"/>
              </w:rPr>
              <w:t>0</w:t>
            </w:r>
            <w:r w:rsidR="00A10FCF" w:rsidRPr="00F00D24">
              <w:rPr>
                <w:lang w:val="en-US"/>
              </w:rPr>
              <w:t>.72</w:t>
            </w:r>
          </w:p>
        </w:tc>
        <w:tc>
          <w:tcPr>
            <w:tcW w:w="284" w:type="dxa"/>
            <w:tcBorders>
              <w:top w:val="nil"/>
              <w:left w:val="nil"/>
              <w:bottom w:val="nil"/>
              <w:right w:val="nil"/>
            </w:tcBorders>
            <w:textDirection w:val="lrTbV"/>
            <w:vAlign w:val="center"/>
          </w:tcPr>
          <w:p w14:paraId="647F4D96"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02D06ADB" w14:textId="16762FB7"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.36</w:t>
            </w:r>
          </w:p>
        </w:tc>
        <w:tc>
          <w:tcPr>
            <w:tcW w:w="851" w:type="dxa"/>
            <w:tcBorders>
              <w:top w:val="nil"/>
              <w:left w:val="nil"/>
              <w:bottom w:val="nil"/>
              <w:right w:val="nil"/>
            </w:tcBorders>
            <w:vAlign w:val="center"/>
          </w:tcPr>
          <w:p w14:paraId="10A01499" w14:textId="4D4067D7" w:rsidR="00A10FCF" w:rsidRPr="00F00D24" w:rsidRDefault="00892209" w:rsidP="006A3B37">
            <w:pPr>
              <w:spacing w:line="276" w:lineRule="auto"/>
              <w:rPr>
                <w:lang w:val="en-US"/>
              </w:rPr>
            </w:pPr>
            <w:r w:rsidRPr="00F00D24">
              <w:rPr>
                <w:lang w:val="en-US"/>
              </w:rPr>
              <w:t>0</w:t>
            </w:r>
            <w:r w:rsidR="00A10FCF" w:rsidRPr="00F00D24">
              <w:rPr>
                <w:lang w:val="en-US"/>
              </w:rPr>
              <w:t>.56</w:t>
            </w:r>
          </w:p>
        </w:tc>
        <w:tc>
          <w:tcPr>
            <w:tcW w:w="1134" w:type="dxa"/>
            <w:tcBorders>
              <w:top w:val="nil"/>
              <w:left w:val="nil"/>
              <w:bottom w:val="nil"/>
              <w:right w:val="nil"/>
            </w:tcBorders>
            <w:vAlign w:val="center"/>
          </w:tcPr>
          <w:p w14:paraId="6842FE89" w14:textId="71404A7F"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.65</w:t>
            </w:r>
          </w:p>
        </w:tc>
      </w:tr>
      <w:tr w:rsidR="00F00D24" w:rsidRPr="00F00D24" w14:paraId="3ADC9AF8" w14:textId="77777777" w:rsidTr="006A3B37">
        <w:trPr>
          <w:trHeight w:val="359"/>
        </w:trPr>
        <w:tc>
          <w:tcPr>
            <w:tcW w:w="3657" w:type="dxa"/>
            <w:tcBorders>
              <w:top w:val="nil"/>
              <w:bottom w:val="nil"/>
              <w:right w:val="nil"/>
            </w:tcBorders>
            <w:textDirection w:val="lrTbV"/>
            <w:vAlign w:val="center"/>
          </w:tcPr>
          <w:p w14:paraId="3F9E93C6" w14:textId="77777777" w:rsidR="00A10FCF" w:rsidRPr="00F00D24" w:rsidRDefault="00A10FCF" w:rsidP="00F00D24">
            <w:pPr>
              <w:spacing w:line="276" w:lineRule="auto"/>
              <w:rPr>
                <w:lang w:val="en-US"/>
              </w:rPr>
            </w:pPr>
            <w:r w:rsidRPr="00F00D24">
              <w:rPr>
                <w:lang w:val="en-US"/>
              </w:rPr>
              <w:t>Tenure (Subordinate)</w:t>
            </w:r>
          </w:p>
        </w:tc>
        <w:tc>
          <w:tcPr>
            <w:tcW w:w="1417" w:type="dxa"/>
            <w:tcBorders>
              <w:top w:val="nil"/>
              <w:left w:val="nil"/>
              <w:bottom w:val="nil"/>
              <w:right w:val="nil"/>
            </w:tcBorders>
            <w:textDirection w:val="lrTbV"/>
            <w:vAlign w:val="center"/>
          </w:tcPr>
          <w:p w14:paraId="4197EE44" w14:textId="0FCB3BC7" w:rsidR="00A10FCF" w:rsidRPr="00F00D24" w:rsidRDefault="00892209" w:rsidP="006A3B37">
            <w:pPr>
              <w:spacing w:line="276" w:lineRule="auto"/>
              <w:rPr>
                <w:lang w:val="en-US"/>
              </w:rPr>
            </w:pPr>
            <w:r w:rsidRPr="00F00D24">
              <w:rPr>
                <w:lang w:val="en-US"/>
              </w:rPr>
              <w:t>0</w:t>
            </w:r>
            <w:r w:rsidR="00A10FCF" w:rsidRPr="00F00D24">
              <w:rPr>
                <w:lang w:val="en-US"/>
              </w:rPr>
              <w:t>.02</w:t>
            </w:r>
          </w:p>
        </w:tc>
        <w:tc>
          <w:tcPr>
            <w:tcW w:w="851" w:type="dxa"/>
            <w:tcBorders>
              <w:top w:val="nil"/>
              <w:left w:val="nil"/>
              <w:bottom w:val="nil"/>
              <w:right w:val="nil"/>
            </w:tcBorders>
            <w:textDirection w:val="lrTbV"/>
            <w:vAlign w:val="center"/>
          </w:tcPr>
          <w:p w14:paraId="7C9C90A6" w14:textId="4245EE14" w:rsidR="00A10FCF" w:rsidRPr="00F00D24" w:rsidRDefault="00892209" w:rsidP="006A3B37">
            <w:pPr>
              <w:spacing w:line="276" w:lineRule="auto"/>
              <w:rPr>
                <w:lang w:val="en-US"/>
              </w:rPr>
            </w:pPr>
            <w:r w:rsidRPr="00F00D24">
              <w:rPr>
                <w:lang w:val="en-US"/>
              </w:rPr>
              <w:t>0</w:t>
            </w:r>
            <w:r w:rsidR="00A10FCF" w:rsidRPr="00F00D24">
              <w:rPr>
                <w:lang w:val="en-US"/>
              </w:rPr>
              <w:t>.05</w:t>
            </w:r>
          </w:p>
        </w:tc>
        <w:tc>
          <w:tcPr>
            <w:tcW w:w="992" w:type="dxa"/>
            <w:tcBorders>
              <w:top w:val="nil"/>
              <w:left w:val="nil"/>
              <w:bottom w:val="nil"/>
              <w:right w:val="nil"/>
            </w:tcBorders>
            <w:vAlign w:val="center"/>
          </w:tcPr>
          <w:p w14:paraId="1D662A5E" w14:textId="77777777" w:rsidR="00A10FCF" w:rsidRPr="00F00D24" w:rsidRDefault="00A10FCF" w:rsidP="006A3B37">
            <w:pPr>
              <w:spacing w:line="276" w:lineRule="auto"/>
              <w:rPr>
                <w:lang w:val="en-US"/>
              </w:rPr>
            </w:pPr>
            <w:r w:rsidRPr="00F00D24">
              <w:rPr>
                <w:lang w:val="en-US"/>
              </w:rPr>
              <w:t>0.40</w:t>
            </w:r>
          </w:p>
        </w:tc>
        <w:tc>
          <w:tcPr>
            <w:tcW w:w="284" w:type="dxa"/>
            <w:tcBorders>
              <w:top w:val="nil"/>
              <w:left w:val="nil"/>
              <w:bottom w:val="nil"/>
              <w:right w:val="nil"/>
            </w:tcBorders>
            <w:textDirection w:val="lrTbV"/>
            <w:vAlign w:val="center"/>
          </w:tcPr>
          <w:p w14:paraId="73740793"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455391C8" w14:textId="0B3835C2" w:rsidR="00A10FCF" w:rsidRPr="00F00D24" w:rsidRDefault="00892209" w:rsidP="006A3B37">
            <w:pPr>
              <w:spacing w:line="276" w:lineRule="auto"/>
              <w:rPr>
                <w:lang w:val="en-US"/>
              </w:rPr>
            </w:pPr>
            <w:r w:rsidRPr="00F00D24">
              <w:rPr>
                <w:lang w:val="en-US"/>
              </w:rPr>
              <w:t>0</w:t>
            </w:r>
            <w:r w:rsidR="00A10FCF" w:rsidRPr="00F00D24">
              <w:rPr>
                <w:lang w:val="en-US"/>
              </w:rPr>
              <w:t>.03</w:t>
            </w:r>
          </w:p>
        </w:tc>
        <w:tc>
          <w:tcPr>
            <w:tcW w:w="1134" w:type="dxa"/>
            <w:tcBorders>
              <w:top w:val="nil"/>
              <w:left w:val="nil"/>
              <w:bottom w:val="nil"/>
              <w:right w:val="nil"/>
            </w:tcBorders>
            <w:vAlign w:val="center"/>
          </w:tcPr>
          <w:p w14:paraId="320C7767" w14:textId="06730EF9" w:rsidR="00A10FCF" w:rsidRPr="00F00D24" w:rsidRDefault="00892209" w:rsidP="006A3B37">
            <w:pPr>
              <w:spacing w:line="276" w:lineRule="auto"/>
              <w:rPr>
                <w:lang w:val="en-US"/>
              </w:rPr>
            </w:pPr>
            <w:r w:rsidRPr="00F00D24">
              <w:rPr>
                <w:lang w:val="en-US"/>
              </w:rPr>
              <w:t>0</w:t>
            </w:r>
            <w:r w:rsidR="00A10FCF" w:rsidRPr="00F00D24">
              <w:rPr>
                <w:lang w:val="en-US"/>
              </w:rPr>
              <w:t>.04</w:t>
            </w:r>
          </w:p>
        </w:tc>
        <w:tc>
          <w:tcPr>
            <w:tcW w:w="1134" w:type="dxa"/>
            <w:tcBorders>
              <w:top w:val="nil"/>
              <w:left w:val="nil"/>
              <w:bottom w:val="nil"/>
              <w:right w:val="nil"/>
            </w:tcBorders>
            <w:vAlign w:val="center"/>
          </w:tcPr>
          <w:p w14:paraId="234D8AC7" w14:textId="0712227A" w:rsidR="00A10FCF" w:rsidRPr="00F00D24" w:rsidRDefault="00892209" w:rsidP="006A3B37">
            <w:pPr>
              <w:spacing w:line="276" w:lineRule="auto"/>
              <w:rPr>
                <w:lang w:val="en-US"/>
              </w:rPr>
            </w:pPr>
            <w:r w:rsidRPr="00F00D24">
              <w:rPr>
                <w:lang w:val="en-US"/>
              </w:rPr>
              <w:t>0</w:t>
            </w:r>
            <w:r w:rsidR="00A10FCF" w:rsidRPr="00F00D24">
              <w:rPr>
                <w:lang w:val="en-US"/>
              </w:rPr>
              <w:t>.76</w:t>
            </w:r>
          </w:p>
        </w:tc>
        <w:tc>
          <w:tcPr>
            <w:tcW w:w="284" w:type="dxa"/>
            <w:tcBorders>
              <w:top w:val="nil"/>
              <w:left w:val="nil"/>
              <w:bottom w:val="nil"/>
              <w:right w:val="nil"/>
            </w:tcBorders>
            <w:textDirection w:val="lrTbV"/>
            <w:vAlign w:val="center"/>
          </w:tcPr>
          <w:p w14:paraId="70D1BE65"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39821B2F" w14:textId="4F11410B"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.01</w:t>
            </w:r>
          </w:p>
        </w:tc>
        <w:tc>
          <w:tcPr>
            <w:tcW w:w="851" w:type="dxa"/>
            <w:tcBorders>
              <w:top w:val="nil"/>
              <w:left w:val="nil"/>
              <w:bottom w:val="nil"/>
              <w:right w:val="nil"/>
            </w:tcBorders>
            <w:vAlign w:val="center"/>
          </w:tcPr>
          <w:p w14:paraId="4F59A287" w14:textId="3ADC8C28" w:rsidR="00A10FCF" w:rsidRPr="00F00D24" w:rsidRDefault="00892209" w:rsidP="006A3B37">
            <w:pPr>
              <w:spacing w:line="276" w:lineRule="auto"/>
              <w:rPr>
                <w:lang w:val="en-US"/>
              </w:rPr>
            </w:pPr>
            <w:r w:rsidRPr="00F00D24">
              <w:rPr>
                <w:lang w:val="en-US"/>
              </w:rPr>
              <w:t>0</w:t>
            </w:r>
            <w:r w:rsidR="00A10FCF" w:rsidRPr="00F00D24">
              <w:rPr>
                <w:lang w:val="en-US"/>
              </w:rPr>
              <w:t>.06</w:t>
            </w:r>
          </w:p>
        </w:tc>
        <w:tc>
          <w:tcPr>
            <w:tcW w:w="1134" w:type="dxa"/>
            <w:tcBorders>
              <w:top w:val="nil"/>
              <w:left w:val="nil"/>
              <w:bottom w:val="nil"/>
              <w:right w:val="nil"/>
            </w:tcBorders>
            <w:vAlign w:val="center"/>
          </w:tcPr>
          <w:p w14:paraId="3CBD07AF" w14:textId="7C15F40B"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.16</w:t>
            </w:r>
          </w:p>
        </w:tc>
      </w:tr>
      <w:tr w:rsidR="00F00D24" w:rsidRPr="00F00D24" w14:paraId="2ACAA477" w14:textId="77777777" w:rsidTr="006A3B37">
        <w:trPr>
          <w:trHeight w:val="359"/>
        </w:trPr>
        <w:tc>
          <w:tcPr>
            <w:tcW w:w="3657" w:type="dxa"/>
            <w:tcBorders>
              <w:top w:val="nil"/>
              <w:bottom w:val="nil"/>
              <w:right w:val="nil"/>
            </w:tcBorders>
            <w:textDirection w:val="lrTbV"/>
            <w:vAlign w:val="center"/>
          </w:tcPr>
          <w:p w14:paraId="3C31E021" w14:textId="77777777" w:rsidR="00A10FCF" w:rsidRPr="00F00D24" w:rsidRDefault="00A10FCF" w:rsidP="00F00D24">
            <w:pPr>
              <w:spacing w:line="276" w:lineRule="auto"/>
              <w:rPr>
                <w:lang w:val="en-US"/>
              </w:rPr>
            </w:pPr>
            <w:r w:rsidRPr="00F00D24">
              <w:rPr>
                <w:lang w:val="en-US"/>
              </w:rPr>
              <w:t>Number of Children (Subordinate)</w:t>
            </w:r>
          </w:p>
        </w:tc>
        <w:tc>
          <w:tcPr>
            <w:tcW w:w="1417" w:type="dxa"/>
            <w:tcBorders>
              <w:top w:val="nil"/>
              <w:left w:val="nil"/>
              <w:bottom w:val="nil"/>
              <w:right w:val="nil"/>
            </w:tcBorders>
            <w:textDirection w:val="lrTbV"/>
            <w:vAlign w:val="center"/>
          </w:tcPr>
          <w:p w14:paraId="60702921" w14:textId="02C0F1DA" w:rsidR="00A10FCF" w:rsidRPr="00F00D24" w:rsidRDefault="00892209" w:rsidP="006A3B37">
            <w:pPr>
              <w:spacing w:line="276" w:lineRule="auto"/>
              <w:rPr>
                <w:lang w:val="en-US"/>
              </w:rPr>
            </w:pPr>
            <w:r w:rsidRPr="00F00D24">
              <w:rPr>
                <w:lang w:val="en-US"/>
              </w:rPr>
              <w:t>0</w:t>
            </w:r>
            <w:r w:rsidR="00A10FCF" w:rsidRPr="00F00D24">
              <w:rPr>
                <w:lang w:val="en-US"/>
              </w:rPr>
              <w:t>.26</w:t>
            </w:r>
          </w:p>
        </w:tc>
        <w:tc>
          <w:tcPr>
            <w:tcW w:w="851" w:type="dxa"/>
            <w:tcBorders>
              <w:top w:val="nil"/>
              <w:left w:val="nil"/>
              <w:bottom w:val="nil"/>
              <w:right w:val="nil"/>
            </w:tcBorders>
            <w:textDirection w:val="lrTbV"/>
            <w:vAlign w:val="center"/>
          </w:tcPr>
          <w:p w14:paraId="49E6BA58" w14:textId="1F4B0AD2" w:rsidR="00A10FCF" w:rsidRPr="00F00D24" w:rsidRDefault="00892209" w:rsidP="006A3B37">
            <w:pPr>
              <w:spacing w:line="276" w:lineRule="auto"/>
              <w:rPr>
                <w:lang w:val="en-US"/>
              </w:rPr>
            </w:pPr>
            <w:r w:rsidRPr="00F00D24">
              <w:rPr>
                <w:lang w:val="en-US"/>
              </w:rPr>
              <w:t>0</w:t>
            </w:r>
            <w:r w:rsidR="00A10FCF" w:rsidRPr="00F00D24">
              <w:rPr>
                <w:lang w:val="en-US"/>
              </w:rPr>
              <w:t>.15</w:t>
            </w:r>
          </w:p>
        </w:tc>
        <w:tc>
          <w:tcPr>
            <w:tcW w:w="992" w:type="dxa"/>
            <w:tcBorders>
              <w:top w:val="nil"/>
              <w:left w:val="nil"/>
              <w:bottom w:val="nil"/>
              <w:right w:val="nil"/>
            </w:tcBorders>
            <w:vAlign w:val="center"/>
          </w:tcPr>
          <w:p w14:paraId="33879644" w14:textId="77777777" w:rsidR="00A10FCF" w:rsidRPr="00F00D24" w:rsidRDefault="00A10FCF" w:rsidP="006A3B37">
            <w:pPr>
              <w:spacing w:line="276" w:lineRule="auto"/>
              <w:rPr>
                <w:lang w:val="en-US"/>
              </w:rPr>
            </w:pPr>
            <w:r w:rsidRPr="00F00D24">
              <w:rPr>
                <w:lang w:val="en-US"/>
              </w:rPr>
              <w:t>1.73</w:t>
            </w:r>
          </w:p>
        </w:tc>
        <w:tc>
          <w:tcPr>
            <w:tcW w:w="284" w:type="dxa"/>
            <w:tcBorders>
              <w:top w:val="nil"/>
              <w:left w:val="nil"/>
              <w:bottom w:val="nil"/>
              <w:right w:val="nil"/>
            </w:tcBorders>
            <w:textDirection w:val="lrTbV"/>
            <w:vAlign w:val="center"/>
          </w:tcPr>
          <w:p w14:paraId="739C6F70"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536C197E" w14:textId="3F8A8BE3" w:rsidR="00A10FCF" w:rsidRPr="00F00D24" w:rsidRDefault="00892209" w:rsidP="006A3B37">
            <w:pPr>
              <w:spacing w:line="276" w:lineRule="auto"/>
              <w:rPr>
                <w:lang w:val="en-US"/>
              </w:rPr>
            </w:pPr>
            <w:r w:rsidRPr="00F00D24">
              <w:rPr>
                <w:lang w:val="en-US"/>
              </w:rPr>
              <w:t>0</w:t>
            </w:r>
            <w:r w:rsidR="00A10FCF" w:rsidRPr="00F00D24">
              <w:rPr>
                <w:lang w:val="en-US"/>
              </w:rPr>
              <w:t>.13</w:t>
            </w:r>
          </w:p>
        </w:tc>
        <w:tc>
          <w:tcPr>
            <w:tcW w:w="1134" w:type="dxa"/>
            <w:tcBorders>
              <w:top w:val="nil"/>
              <w:left w:val="nil"/>
              <w:bottom w:val="nil"/>
              <w:right w:val="nil"/>
            </w:tcBorders>
            <w:vAlign w:val="center"/>
          </w:tcPr>
          <w:p w14:paraId="751ACFB6" w14:textId="29C32C63" w:rsidR="00A10FCF" w:rsidRPr="00F00D24" w:rsidRDefault="00892209" w:rsidP="006A3B37">
            <w:pPr>
              <w:spacing w:line="276" w:lineRule="auto"/>
              <w:rPr>
                <w:lang w:val="en-US"/>
              </w:rPr>
            </w:pPr>
            <w:r w:rsidRPr="00F00D24">
              <w:rPr>
                <w:lang w:val="en-US"/>
              </w:rPr>
              <w:t>0</w:t>
            </w:r>
            <w:r w:rsidR="00A10FCF" w:rsidRPr="00F00D24">
              <w:rPr>
                <w:lang w:val="en-US"/>
              </w:rPr>
              <w:t>.13</w:t>
            </w:r>
          </w:p>
        </w:tc>
        <w:tc>
          <w:tcPr>
            <w:tcW w:w="1134" w:type="dxa"/>
            <w:tcBorders>
              <w:top w:val="nil"/>
              <w:left w:val="nil"/>
              <w:bottom w:val="nil"/>
              <w:right w:val="nil"/>
            </w:tcBorders>
            <w:vAlign w:val="center"/>
          </w:tcPr>
          <w:p w14:paraId="209F6A43" w14:textId="5FDC840F" w:rsidR="00A10FCF" w:rsidRPr="00F00D24" w:rsidRDefault="00892209" w:rsidP="006A3B37">
            <w:pPr>
              <w:spacing w:line="276" w:lineRule="auto"/>
              <w:rPr>
                <w:lang w:val="en-US"/>
              </w:rPr>
            </w:pPr>
            <w:r w:rsidRPr="00F00D24">
              <w:rPr>
                <w:lang w:val="en-US"/>
              </w:rPr>
              <w:t>0</w:t>
            </w:r>
            <w:r w:rsidR="00A10FCF" w:rsidRPr="00F00D24">
              <w:rPr>
                <w:lang w:val="en-US"/>
              </w:rPr>
              <w:t>.99</w:t>
            </w:r>
          </w:p>
        </w:tc>
        <w:tc>
          <w:tcPr>
            <w:tcW w:w="284" w:type="dxa"/>
            <w:tcBorders>
              <w:top w:val="nil"/>
              <w:left w:val="nil"/>
              <w:bottom w:val="nil"/>
              <w:right w:val="nil"/>
            </w:tcBorders>
            <w:textDirection w:val="lrTbV"/>
            <w:vAlign w:val="center"/>
          </w:tcPr>
          <w:p w14:paraId="1EBC4A9C" w14:textId="77777777" w:rsidR="00A10FCF" w:rsidRPr="00F00D24" w:rsidRDefault="00A10FCF" w:rsidP="006A3B37">
            <w:pPr>
              <w:spacing w:line="276" w:lineRule="auto"/>
              <w:rPr>
                <w:lang w:val="en-US"/>
              </w:rPr>
            </w:pPr>
          </w:p>
        </w:tc>
        <w:tc>
          <w:tcPr>
            <w:tcW w:w="1417" w:type="dxa"/>
            <w:tcBorders>
              <w:top w:val="nil"/>
              <w:left w:val="nil"/>
              <w:bottom w:val="nil"/>
              <w:right w:val="nil"/>
            </w:tcBorders>
            <w:vAlign w:val="center"/>
          </w:tcPr>
          <w:p w14:paraId="3886F3FA" w14:textId="63F91A5C"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.05</w:t>
            </w:r>
          </w:p>
        </w:tc>
        <w:tc>
          <w:tcPr>
            <w:tcW w:w="851" w:type="dxa"/>
            <w:tcBorders>
              <w:top w:val="nil"/>
              <w:left w:val="nil"/>
              <w:bottom w:val="nil"/>
              <w:right w:val="nil"/>
            </w:tcBorders>
            <w:vAlign w:val="center"/>
          </w:tcPr>
          <w:p w14:paraId="2C4A853A" w14:textId="481DA517" w:rsidR="00A10FCF" w:rsidRPr="00F00D24" w:rsidRDefault="00892209" w:rsidP="006A3B37">
            <w:pPr>
              <w:spacing w:line="276" w:lineRule="auto"/>
              <w:rPr>
                <w:lang w:val="en-US"/>
              </w:rPr>
            </w:pPr>
            <w:r w:rsidRPr="00F00D24">
              <w:rPr>
                <w:lang w:val="en-US"/>
              </w:rPr>
              <w:t>0</w:t>
            </w:r>
            <w:r w:rsidR="00A10FCF" w:rsidRPr="00F00D24">
              <w:rPr>
                <w:lang w:val="en-US"/>
              </w:rPr>
              <w:t>.22</w:t>
            </w:r>
          </w:p>
        </w:tc>
        <w:tc>
          <w:tcPr>
            <w:tcW w:w="1134" w:type="dxa"/>
            <w:tcBorders>
              <w:top w:val="nil"/>
              <w:left w:val="nil"/>
              <w:bottom w:val="nil"/>
              <w:right w:val="nil"/>
            </w:tcBorders>
            <w:vAlign w:val="center"/>
          </w:tcPr>
          <w:p w14:paraId="41E5DFE1" w14:textId="3453303C"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.23</w:t>
            </w:r>
          </w:p>
        </w:tc>
      </w:tr>
      <w:tr w:rsidR="00F00D24" w:rsidRPr="00F00D24" w14:paraId="0A0F52B3" w14:textId="77777777" w:rsidTr="006A3B37">
        <w:trPr>
          <w:trHeight w:val="359"/>
        </w:trPr>
        <w:tc>
          <w:tcPr>
            <w:tcW w:w="3657" w:type="dxa"/>
            <w:tcBorders>
              <w:top w:val="nil"/>
              <w:bottom w:val="nil"/>
              <w:right w:val="nil"/>
            </w:tcBorders>
            <w:vAlign w:val="center"/>
          </w:tcPr>
          <w:p w14:paraId="3B142805" w14:textId="77777777" w:rsidR="00A10FCF" w:rsidRPr="00F00D24" w:rsidRDefault="00A10FCF" w:rsidP="00F00D24">
            <w:pPr>
              <w:spacing w:line="276" w:lineRule="auto"/>
              <w:rPr>
                <w:lang w:eastAsia="zh-CN"/>
              </w:rPr>
            </w:pPr>
            <w:r w:rsidRPr="00F00D24">
              <w:t>Co-worker support</w:t>
            </w:r>
          </w:p>
        </w:tc>
        <w:tc>
          <w:tcPr>
            <w:tcW w:w="1417" w:type="dxa"/>
            <w:tcBorders>
              <w:top w:val="nil"/>
              <w:left w:val="nil"/>
              <w:bottom w:val="nil"/>
              <w:right w:val="nil"/>
            </w:tcBorders>
            <w:textDirection w:val="lrTbV"/>
            <w:vAlign w:val="center"/>
          </w:tcPr>
          <w:p w14:paraId="0F5029E7" w14:textId="3F0AE048" w:rsidR="00A10FCF" w:rsidRPr="00F00D24" w:rsidRDefault="00892209" w:rsidP="006A3B37">
            <w:pPr>
              <w:spacing w:line="276" w:lineRule="auto"/>
              <w:rPr>
                <w:lang w:val="en-US"/>
              </w:rPr>
            </w:pPr>
            <w:r w:rsidRPr="00F00D24">
              <w:rPr>
                <w:lang w:val="en-US"/>
              </w:rPr>
              <w:t>0</w:t>
            </w:r>
            <w:r w:rsidR="00A10FCF" w:rsidRPr="00F00D24">
              <w:rPr>
                <w:lang w:val="en-US"/>
              </w:rPr>
              <w:t>.15</w:t>
            </w:r>
          </w:p>
        </w:tc>
        <w:tc>
          <w:tcPr>
            <w:tcW w:w="851" w:type="dxa"/>
            <w:tcBorders>
              <w:top w:val="nil"/>
              <w:left w:val="nil"/>
              <w:bottom w:val="nil"/>
              <w:right w:val="nil"/>
            </w:tcBorders>
            <w:textDirection w:val="lrTbV"/>
            <w:vAlign w:val="center"/>
          </w:tcPr>
          <w:p w14:paraId="11642D7B" w14:textId="1CEACA8C" w:rsidR="00A10FCF" w:rsidRPr="00F00D24" w:rsidRDefault="00892209" w:rsidP="006A3B37">
            <w:pPr>
              <w:spacing w:line="276" w:lineRule="auto"/>
              <w:rPr>
                <w:lang w:val="en-US"/>
              </w:rPr>
            </w:pPr>
            <w:r w:rsidRPr="00F00D24">
              <w:rPr>
                <w:lang w:val="en-US"/>
              </w:rPr>
              <w:t>0</w:t>
            </w:r>
            <w:r w:rsidR="00A10FCF" w:rsidRPr="00F00D24">
              <w:rPr>
                <w:lang w:val="en-US"/>
              </w:rPr>
              <w:t>.12</w:t>
            </w:r>
          </w:p>
        </w:tc>
        <w:tc>
          <w:tcPr>
            <w:tcW w:w="992" w:type="dxa"/>
            <w:tcBorders>
              <w:top w:val="nil"/>
              <w:left w:val="nil"/>
              <w:bottom w:val="nil"/>
              <w:right w:val="nil"/>
            </w:tcBorders>
            <w:textDirection w:val="lrTbV"/>
            <w:vAlign w:val="center"/>
          </w:tcPr>
          <w:p w14:paraId="4B3181C1" w14:textId="77777777" w:rsidR="00A10FCF" w:rsidRPr="00F00D24" w:rsidRDefault="00A10FCF" w:rsidP="006A3B37">
            <w:pPr>
              <w:spacing w:line="276" w:lineRule="auto"/>
              <w:rPr>
                <w:lang w:val="en-US"/>
              </w:rPr>
            </w:pPr>
            <w:r w:rsidRPr="00F00D24">
              <w:rPr>
                <w:lang w:val="en-US"/>
              </w:rPr>
              <w:t>1.25</w:t>
            </w:r>
          </w:p>
        </w:tc>
        <w:tc>
          <w:tcPr>
            <w:tcW w:w="284" w:type="dxa"/>
            <w:tcBorders>
              <w:top w:val="nil"/>
              <w:left w:val="nil"/>
              <w:bottom w:val="nil"/>
              <w:right w:val="nil"/>
            </w:tcBorders>
            <w:textDirection w:val="lrTbV"/>
            <w:vAlign w:val="center"/>
          </w:tcPr>
          <w:p w14:paraId="454B9A30"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0066EB73" w14:textId="4125469A" w:rsidR="00A10FCF" w:rsidRPr="00F00D24" w:rsidRDefault="00892209" w:rsidP="006A3B37">
            <w:pPr>
              <w:spacing w:line="276" w:lineRule="auto"/>
              <w:rPr>
                <w:lang w:val="en-US"/>
              </w:rPr>
            </w:pPr>
            <w:r w:rsidRPr="00F00D24">
              <w:rPr>
                <w:lang w:val="en-US"/>
              </w:rPr>
              <w:t>0</w:t>
            </w:r>
            <w:r w:rsidR="00A10FCF" w:rsidRPr="00F00D24">
              <w:rPr>
                <w:lang w:val="en-US"/>
              </w:rPr>
              <w:t>.23</w:t>
            </w:r>
          </w:p>
        </w:tc>
        <w:tc>
          <w:tcPr>
            <w:tcW w:w="1134" w:type="dxa"/>
            <w:tcBorders>
              <w:top w:val="nil"/>
              <w:left w:val="nil"/>
              <w:bottom w:val="nil"/>
              <w:right w:val="nil"/>
            </w:tcBorders>
            <w:textDirection w:val="lrTbV"/>
            <w:vAlign w:val="center"/>
          </w:tcPr>
          <w:p w14:paraId="07633D40" w14:textId="4E125231" w:rsidR="00A10FCF" w:rsidRPr="00F00D24" w:rsidRDefault="00892209" w:rsidP="006A3B37">
            <w:pPr>
              <w:spacing w:line="276" w:lineRule="auto"/>
              <w:rPr>
                <w:lang w:val="en-US"/>
              </w:rPr>
            </w:pPr>
            <w:r w:rsidRPr="00F00D24">
              <w:rPr>
                <w:lang w:val="en-US"/>
              </w:rPr>
              <w:t>0</w:t>
            </w:r>
            <w:r w:rsidR="00A10FCF" w:rsidRPr="00F00D24">
              <w:rPr>
                <w:lang w:val="en-US"/>
              </w:rPr>
              <w:t>.12</w:t>
            </w:r>
          </w:p>
        </w:tc>
        <w:tc>
          <w:tcPr>
            <w:tcW w:w="1134" w:type="dxa"/>
            <w:tcBorders>
              <w:top w:val="nil"/>
              <w:left w:val="nil"/>
              <w:bottom w:val="nil"/>
              <w:right w:val="nil"/>
            </w:tcBorders>
            <w:textDirection w:val="lrTbV"/>
            <w:vAlign w:val="center"/>
          </w:tcPr>
          <w:p w14:paraId="053162A6" w14:textId="77777777" w:rsidR="00A10FCF" w:rsidRPr="00F00D24" w:rsidRDefault="00A10FCF" w:rsidP="006A3B37">
            <w:pPr>
              <w:spacing w:line="276" w:lineRule="auto"/>
              <w:rPr>
                <w:lang w:val="en-US"/>
              </w:rPr>
            </w:pPr>
            <w:r w:rsidRPr="00F00D24">
              <w:rPr>
                <w:lang w:val="en-US"/>
              </w:rPr>
              <w:t>1.92*</w:t>
            </w:r>
          </w:p>
        </w:tc>
        <w:tc>
          <w:tcPr>
            <w:tcW w:w="284" w:type="dxa"/>
            <w:tcBorders>
              <w:top w:val="nil"/>
              <w:left w:val="nil"/>
              <w:bottom w:val="nil"/>
              <w:right w:val="nil"/>
            </w:tcBorders>
            <w:textDirection w:val="lrTbV"/>
            <w:vAlign w:val="center"/>
          </w:tcPr>
          <w:p w14:paraId="52A2241B"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314FF807" w14:textId="667533AE" w:rsidR="00A10FCF" w:rsidRPr="00F00D24" w:rsidRDefault="00A10FCF" w:rsidP="006A3B37">
            <w:pPr>
              <w:spacing w:line="276" w:lineRule="auto"/>
              <w:rPr>
                <w:rFonts w:eastAsia="SimSun"/>
                <w:lang w:eastAsia="zh-CN"/>
              </w:rPr>
            </w:pPr>
            <w:r w:rsidRPr="00F00D24">
              <w:t>-</w:t>
            </w:r>
            <w:r w:rsidR="00892209" w:rsidRPr="00F00D24">
              <w:t>0</w:t>
            </w:r>
            <w:r w:rsidRPr="00F00D24">
              <w:t>.01</w:t>
            </w:r>
          </w:p>
        </w:tc>
        <w:tc>
          <w:tcPr>
            <w:tcW w:w="851" w:type="dxa"/>
            <w:tcBorders>
              <w:top w:val="nil"/>
              <w:left w:val="nil"/>
              <w:bottom w:val="nil"/>
              <w:right w:val="nil"/>
            </w:tcBorders>
            <w:textDirection w:val="lrTbV"/>
            <w:vAlign w:val="center"/>
          </w:tcPr>
          <w:p w14:paraId="63EAFDC8" w14:textId="394C8882" w:rsidR="00A10FCF" w:rsidRPr="00F00D24" w:rsidRDefault="00892209" w:rsidP="006A3B37">
            <w:pPr>
              <w:spacing w:line="276" w:lineRule="auto"/>
              <w:rPr>
                <w:lang w:val="en-US"/>
              </w:rPr>
            </w:pPr>
            <w:r w:rsidRPr="00F00D24">
              <w:rPr>
                <w:lang w:val="en-US"/>
              </w:rPr>
              <w:t>0</w:t>
            </w:r>
            <w:r w:rsidR="00A10FCF" w:rsidRPr="00F00D24">
              <w:rPr>
                <w:lang w:val="en-US"/>
              </w:rPr>
              <w:t>.12</w:t>
            </w:r>
          </w:p>
        </w:tc>
        <w:tc>
          <w:tcPr>
            <w:tcW w:w="1134" w:type="dxa"/>
            <w:tcBorders>
              <w:top w:val="nil"/>
              <w:left w:val="nil"/>
              <w:bottom w:val="nil"/>
              <w:right w:val="nil"/>
            </w:tcBorders>
            <w:textDirection w:val="lrTbV"/>
            <w:vAlign w:val="center"/>
          </w:tcPr>
          <w:p w14:paraId="4916C84F" w14:textId="766E2F35" w:rsidR="00A10FCF" w:rsidRPr="00F00D24" w:rsidRDefault="00A10FCF" w:rsidP="006A3B37">
            <w:pPr>
              <w:spacing w:line="276" w:lineRule="auto"/>
              <w:rPr>
                <w:lang w:val="en-US"/>
              </w:rPr>
            </w:pPr>
            <w:r w:rsidRPr="00F00D24">
              <w:rPr>
                <w:lang w:val="en-US"/>
              </w:rPr>
              <w:t>-</w:t>
            </w:r>
            <w:r w:rsidR="00892209" w:rsidRPr="00F00D24">
              <w:rPr>
                <w:lang w:val="en-US"/>
              </w:rPr>
              <w:t>0</w:t>
            </w:r>
            <w:r w:rsidRPr="00F00D24">
              <w:rPr>
                <w:lang w:val="en-US"/>
              </w:rPr>
              <w:t>.08</w:t>
            </w:r>
          </w:p>
        </w:tc>
      </w:tr>
      <w:tr w:rsidR="00F00D24" w:rsidRPr="00F00D24" w14:paraId="2630CF83" w14:textId="77777777" w:rsidTr="006A3B37">
        <w:trPr>
          <w:trHeight w:val="359"/>
        </w:trPr>
        <w:tc>
          <w:tcPr>
            <w:tcW w:w="3657" w:type="dxa"/>
            <w:tcBorders>
              <w:top w:val="nil"/>
              <w:bottom w:val="nil"/>
              <w:right w:val="nil"/>
            </w:tcBorders>
            <w:vAlign w:val="center"/>
          </w:tcPr>
          <w:p w14:paraId="08E441E5" w14:textId="77777777" w:rsidR="00A10FCF" w:rsidRPr="00F00D24" w:rsidRDefault="00A10FCF" w:rsidP="00F00D24">
            <w:pPr>
              <w:spacing w:line="276" w:lineRule="auto"/>
              <w:rPr>
                <w:b/>
                <w:bCs/>
                <w:lang w:val="en-US"/>
              </w:rPr>
            </w:pPr>
            <w:r w:rsidRPr="00F00D24">
              <w:rPr>
                <w:b/>
                <w:bCs/>
                <w:lang w:val="en-US"/>
              </w:rPr>
              <w:t>Independent Variables</w:t>
            </w:r>
          </w:p>
        </w:tc>
        <w:tc>
          <w:tcPr>
            <w:tcW w:w="1417" w:type="dxa"/>
            <w:tcBorders>
              <w:top w:val="nil"/>
              <w:left w:val="nil"/>
              <w:bottom w:val="nil"/>
              <w:right w:val="nil"/>
            </w:tcBorders>
            <w:textDirection w:val="lrTbV"/>
            <w:vAlign w:val="center"/>
          </w:tcPr>
          <w:p w14:paraId="37C0AFC1"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7623567A" w14:textId="77777777" w:rsidR="00A10FCF" w:rsidRPr="00F00D24" w:rsidRDefault="00A10FCF" w:rsidP="006A3B37">
            <w:pPr>
              <w:spacing w:line="276" w:lineRule="auto"/>
              <w:rPr>
                <w:lang w:val="en-US"/>
              </w:rPr>
            </w:pPr>
          </w:p>
        </w:tc>
        <w:tc>
          <w:tcPr>
            <w:tcW w:w="992" w:type="dxa"/>
            <w:tcBorders>
              <w:top w:val="nil"/>
              <w:left w:val="nil"/>
              <w:bottom w:val="nil"/>
              <w:right w:val="nil"/>
            </w:tcBorders>
            <w:textDirection w:val="lrTbV"/>
            <w:vAlign w:val="center"/>
          </w:tcPr>
          <w:p w14:paraId="44B97E95"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1B39E223"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16A5218C"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5804C09D"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495E2F2F"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3D450A59"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1CAABDDE"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5D42B6B4"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6367F50D" w14:textId="77777777" w:rsidR="00A10FCF" w:rsidRPr="00F00D24" w:rsidRDefault="00A10FCF" w:rsidP="006A3B37">
            <w:pPr>
              <w:spacing w:line="276" w:lineRule="auto"/>
              <w:rPr>
                <w:lang w:val="en-US"/>
              </w:rPr>
            </w:pPr>
          </w:p>
        </w:tc>
      </w:tr>
      <w:tr w:rsidR="00F00D24" w:rsidRPr="00F00D24" w14:paraId="528CF0F1" w14:textId="77777777" w:rsidTr="006A3B37">
        <w:trPr>
          <w:trHeight w:val="359"/>
        </w:trPr>
        <w:tc>
          <w:tcPr>
            <w:tcW w:w="3657" w:type="dxa"/>
            <w:tcBorders>
              <w:top w:val="nil"/>
              <w:bottom w:val="nil"/>
              <w:right w:val="nil"/>
            </w:tcBorders>
            <w:vAlign w:val="center"/>
          </w:tcPr>
          <w:p w14:paraId="39959B9F" w14:textId="77777777" w:rsidR="00A10FCF" w:rsidRPr="00F00D24" w:rsidRDefault="00A10FCF" w:rsidP="00F00D24">
            <w:pPr>
              <w:spacing w:line="276" w:lineRule="auto"/>
              <w:rPr>
                <w:lang w:val="en-US"/>
              </w:rPr>
            </w:pPr>
            <w:r w:rsidRPr="00F00D24">
              <w:rPr>
                <w:lang w:val="en-US"/>
              </w:rPr>
              <w:t>Supervisor’ spousal support</w:t>
            </w:r>
          </w:p>
        </w:tc>
        <w:tc>
          <w:tcPr>
            <w:tcW w:w="1417" w:type="dxa"/>
            <w:tcBorders>
              <w:top w:val="nil"/>
              <w:left w:val="nil"/>
              <w:bottom w:val="nil"/>
              <w:right w:val="nil"/>
            </w:tcBorders>
            <w:textDirection w:val="lrTbV"/>
            <w:vAlign w:val="center"/>
          </w:tcPr>
          <w:p w14:paraId="3B800418"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3929E4AF" w14:textId="77777777" w:rsidR="00A10FCF" w:rsidRPr="00F00D24" w:rsidRDefault="00A10FCF" w:rsidP="006A3B37">
            <w:pPr>
              <w:spacing w:line="276" w:lineRule="auto"/>
              <w:rPr>
                <w:lang w:val="en-US"/>
              </w:rPr>
            </w:pPr>
          </w:p>
        </w:tc>
        <w:tc>
          <w:tcPr>
            <w:tcW w:w="992" w:type="dxa"/>
            <w:tcBorders>
              <w:top w:val="nil"/>
              <w:left w:val="nil"/>
              <w:bottom w:val="nil"/>
              <w:right w:val="nil"/>
            </w:tcBorders>
            <w:textDirection w:val="lrTbV"/>
            <w:vAlign w:val="center"/>
          </w:tcPr>
          <w:p w14:paraId="1736F0DB"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31C2CEE3"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19879F54" w14:textId="74C410AF"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.27</w:t>
            </w:r>
          </w:p>
        </w:tc>
        <w:tc>
          <w:tcPr>
            <w:tcW w:w="1134" w:type="dxa"/>
            <w:tcBorders>
              <w:top w:val="nil"/>
              <w:left w:val="nil"/>
              <w:bottom w:val="nil"/>
              <w:right w:val="nil"/>
            </w:tcBorders>
            <w:textDirection w:val="lrTbV"/>
            <w:vAlign w:val="center"/>
          </w:tcPr>
          <w:p w14:paraId="02F80A39" w14:textId="2FE8103F" w:rsidR="00A10FCF" w:rsidRPr="00F00D24" w:rsidRDefault="00892209" w:rsidP="006A3B37">
            <w:pPr>
              <w:spacing w:line="276" w:lineRule="auto"/>
              <w:rPr>
                <w:color w:val="000000" w:themeColor="text1"/>
                <w:lang w:val="en-US" w:eastAsia="zh-CN"/>
              </w:rPr>
            </w:pPr>
            <w:r w:rsidRPr="00F00D24">
              <w:rPr>
                <w:color w:val="000000" w:themeColor="text1"/>
                <w:lang w:val="en-US"/>
              </w:rPr>
              <w:t>0</w:t>
            </w:r>
            <w:r w:rsidR="00A10FCF" w:rsidRPr="00F00D24">
              <w:rPr>
                <w:color w:val="000000" w:themeColor="text1"/>
                <w:lang w:val="en-US"/>
              </w:rPr>
              <w:t>.14</w:t>
            </w:r>
          </w:p>
        </w:tc>
        <w:tc>
          <w:tcPr>
            <w:tcW w:w="1134" w:type="dxa"/>
            <w:tcBorders>
              <w:top w:val="nil"/>
              <w:left w:val="nil"/>
              <w:bottom w:val="nil"/>
              <w:right w:val="nil"/>
            </w:tcBorders>
            <w:textDirection w:val="lrTbV"/>
            <w:vAlign w:val="center"/>
          </w:tcPr>
          <w:p w14:paraId="00ACE2BC" w14:textId="77777777" w:rsidR="00A10FCF" w:rsidRPr="00F00D24" w:rsidRDefault="00A10FCF" w:rsidP="006A3B37">
            <w:pPr>
              <w:spacing w:line="276" w:lineRule="auto"/>
              <w:rPr>
                <w:color w:val="000000" w:themeColor="text1"/>
                <w:lang w:val="en-US"/>
              </w:rPr>
            </w:pPr>
            <w:r w:rsidRPr="00F00D24">
              <w:rPr>
                <w:color w:val="000000" w:themeColor="text1"/>
                <w:lang w:val="en-US"/>
              </w:rPr>
              <w:t>2.10*</w:t>
            </w:r>
          </w:p>
        </w:tc>
        <w:tc>
          <w:tcPr>
            <w:tcW w:w="284" w:type="dxa"/>
            <w:tcBorders>
              <w:top w:val="nil"/>
              <w:left w:val="nil"/>
              <w:bottom w:val="nil"/>
              <w:right w:val="nil"/>
            </w:tcBorders>
            <w:textDirection w:val="lrTbV"/>
            <w:vAlign w:val="center"/>
          </w:tcPr>
          <w:p w14:paraId="0382F85B"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527E6C0E"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57043A38"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583A604B" w14:textId="77777777" w:rsidR="00A10FCF" w:rsidRPr="00F00D24" w:rsidRDefault="00A10FCF" w:rsidP="006A3B37">
            <w:pPr>
              <w:spacing w:line="276" w:lineRule="auto"/>
              <w:rPr>
                <w:lang w:val="en-US"/>
              </w:rPr>
            </w:pPr>
          </w:p>
        </w:tc>
      </w:tr>
      <w:tr w:rsidR="00F00D24" w:rsidRPr="00F00D24" w14:paraId="70AE06E2" w14:textId="77777777" w:rsidTr="006A3B37">
        <w:trPr>
          <w:trHeight w:val="359"/>
        </w:trPr>
        <w:tc>
          <w:tcPr>
            <w:tcW w:w="3657" w:type="dxa"/>
            <w:tcBorders>
              <w:top w:val="nil"/>
              <w:bottom w:val="nil"/>
              <w:right w:val="nil"/>
            </w:tcBorders>
            <w:textDirection w:val="lrTbV"/>
            <w:vAlign w:val="center"/>
          </w:tcPr>
          <w:p w14:paraId="04042346" w14:textId="77777777" w:rsidR="00A10FCF" w:rsidRPr="00F00D24" w:rsidRDefault="00A10FCF" w:rsidP="00F00D24">
            <w:pPr>
              <w:spacing w:line="276" w:lineRule="auto"/>
              <w:rPr>
                <w:b/>
                <w:bCs/>
                <w:lang w:val="en-US"/>
              </w:rPr>
            </w:pPr>
            <w:r w:rsidRPr="00F00D24">
              <w:rPr>
                <w:b/>
                <w:bCs/>
                <w:lang w:val="en-US"/>
              </w:rPr>
              <w:t>Mediator</w:t>
            </w:r>
          </w:p>
        </w:tc>
        <w:tc>
          <w:tcPr>
            <w:tcW w:w="1417" w:type="dxa"/>
            <w:tcBorders>
              <w:top w:val="nil"/>
              <w:left w:val="nil"/>
              <w:bottom w:val="nil"/>
              <w:right w:val="nil"/>
            </w:tcBorders>
            <w:textDirection w:val="lrTbV"/>
            <w:vAlign w:val="center"/>
          </w:tcPr>
          <w:p w14:paraId="2DC9E01D"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34A78E67" w14:textId="77777777" w:rsidR="00A10FCF" w:rsidRPr="00F00D24" w:rsidRDefault="00A10FCF" w:rsidP="006A3B37">
            <w:pPr>
              <w:spacing w:line="276" w:lineRule="auto"/>
              <w:rPr>
                <w:lang w:val="en-US"/>
              </w:rPr>
            </w:pPr>
          </w:p>
        </w:tc>
        <w:tc>
          <w:tcPr>
            <w:tcW w:w="992" w:type="dxa"/>
            <w:tcBorders>
              <w:top w:val="nil"/>
              <w:left w:val="nil"/>
              <w:bottom w:val="nil"/>
              <w:right w:val="nil"/>
            </w:tcBorders>
            <w:textDirection w:val="lrTbV"/>
            <w:vAlign w:val="center"/>
          </w:tcPr>
          <w:p w14:paraId="1B0EE567"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25836E0C"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3E217CBB"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25BAD885"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0C111DD7"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07B28B70"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679C025B"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67133F83"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6878785A" w14:textId="77777777" w:rsidR="00A10FCF" w:rsidRPr="00F00D24" w:rsidRDefault="00A10FCF" w:rsidP="006A3B37">
            <w:pPr>
              <w:spacing w:line="276" w:lineRule="auto"/>
              <w:rPr>
                <w:lang w:val="en-US"/>
              </w:rPr>
            </w:pPr>
          </w:p>
        </w:tc>
      </w:tr>
      <w:tr w:rsidR="00F00D24" w:rsidRPr="00F00D24" w14:paraId="15C2C85B" w14:textId="77777777" w:rsidTr="006A3B37">
        <w:trPr>
          <w:trHeight w:val="359"/>
        </w:trPr>
        <w:tc>
          <w:tcPr>
            <w:tcW w:w="3657" w:type="dxa"/>
            <w:tcBorders>
              <w:top w:val="nil"/>
              <w:bottom w:val="nil"/>
              <w:right w:val="nil"/>
            </w:tcBorders>
            <w:textDirection w:val="lrTbV"/>
            <w:vAlign w:val="center"/>
          </w:tcPr>
          <w:p w14:paraId="5F4B0569" w14:textId="77777777" w:rsidR="00A10FCF" w:rsidRPr="00F00D24" w:rsidRDefault="00A10FCF" w:rsidP="00F00D24">
            <w:pPr>
              <w:spacing w:line="276" w:lineRule="auto"/>
              <w:rPr>
                <w:lang w:val="en-US"/>
              </w:rPr>
            </w:pPr>
            <w:r w:rsidRPr="00F00D24">
              <w:rPr>
                <w:lang w:val="en-US"/>
              </w:rPr>
              <w:t>FSSBs (Subordinate rated)</w:t>
            </w:r>
          </w:p>
        </w:tc>
        <w:tc>
          <w:tcPr>
            <w:tcW w:w="1417" w:type="dxa"/>
            <w:tcBorders>
              <w:top w:val="nil"/>
              <w:left w:val="nil"/>
              <w:bottom w:val="nil"/>
              <w:right w:val="nil"/>
            </w:tcBorders>
            <w:textDirection w:val="lrTbV"/>
            <w:vAlign w:val="center"/>
          </w:tcPr>
          <w:p w14:paraId="5C1B69FB" w14:textId="77777777" w:rsidR="00A10FCF" w:rsidRPr="00F00D24" w:rsidRDefault="00A10FCF" w:rsidP="006A3B37">
            <w:pPr>
              <w:spacing w:line="276" w:lineRule="auto"/>
              <w:rPr>
                <w:lang w:val="en-US"/>
              </w:rPr>
            </w:pPr>
          </w:p>
        </w:tc>
        <w:tc>
          <w:tcPr>
            <w:tcW w:w="851" w:type="dxa"/>
            <w:tcBorders>
              <w:top w:val="nil"/>
              <w:left w:val="nil"/>
              <w:bottom w:val="nil"/>
              <w:right w:val="nil"/>
            </w:tcBorders>
            <w:textDirection w:val="lrTbV"/>
            <w:vAlign w:val="center"/>
          </w:tcPr>
          <w:p w14:paraId="22BD9E0C" w14:textId="77777777" w:rsidR="00A10FCF" w:rsidRPr="00F00D24" w:rsidRDefault="00A10FCF" w:rsidP="006A3B37">
            <w:pPr>
              <w:spacing w:line="276" w:lineRule="auto"/>
              <w:rPr>
                <w:lang w:val="en-US"/>
              </w:rPr>
            </w:pPr>
          </w:p>
        </w:tc>
        <w:tc>
          <w:tcPr>
            <w:tcW w:w="992" w:type="dxa"/>
            <w:tcBorders>
              <w:top w:val="nil"/>
              <w:left w:val="nil"/>
              <w:bottom w:val="nil"/>
              <w:right w:val="nil"/>
            </w:tcBorders>
            <w:textDirection w:val="lrTbV"/>
            <w:vAlign w:val="center"/>
          </w:tcPr>
          <w:p w14:paraId="5F65005C"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40CBA6A2"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5FC46D31"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0D9DD090" w14:textId="77777777" w:rsidR="00A10FCF" w:rsidRPr="00F00D24" w:rsidRDefault="00A10FCF" w:rsidP="006A3B37">
            <w:pPr>
              <w:spacing w:line="276" w:lineRule="auto"/>
              <w:rPr>
                <w:lang w:val="en-US"/>
              </w:rPr>
            </w:pPr>
          </w:p>
        </w:tc>
        <w:tc>
          <w:tcPr>
            <w:tcW w:w="1134" w:type="dxa"/>
            <w:tcBorders>
              <w:top w:val="nil"/>
              <w:left w:val="nil"/>
              <w:bottom w:val="nil"/>
              <w:right w:val="nil"/>
            </w:tcBorders>
            <w:textDirection w:val="lrTbV"/>
            <w:vAlign w:val="center"/>
          </w:tcPr>
          <w:p w14:paraId="7A56DD08" w14:textId="77777777" w:rsidR="00A10FCF" w:rsidRPr="00F00D24" w:rsidRDefault="00A10FCF" w:rsidP="006A3B37">
            <w:pPr>
              <w:spacing w:line="276" w:lineRule="auto"/>
              <w:rPr>
                <w:lang w:val="en-US"/>
              </w:rPr>
            </w:pPr>
          </w:p>
        </w:tc>
        <w:tc>
          <w:tcPr>
            <w:tcW w:w="284" w:type="dxa"/>
            <w:tcBorders>
              <w:top w:val="nil"/>
              <w:left w:val="nil"/>
              <w:bottom w:val="nil"/>
              <w:right w:val="nil"/>
            </w:tcBorders>
            <w:textDirection w:val="lrTbV"/>
            <w:vAlign w:val="center"/>
          </w:tcPr>
          <w:p w14:paraId="716A6900"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1A4B10D3" w14:textId="73C98DE0" w:rsidR="00A10FCF" w:rsidRPr="00F00D24" w:rsidRDefault="00A10FCF" w:rsidP="006A3B37">
            <w:pPr>
              <w:spacing w:line="276" w:lineRule="auto"/>
              <w:rPr>
                <w:color w:val="000000" w:themeColor="text1"/>
                <w:lang w:val="en-US"/>
              </w:rPr>
            </w:pPr>
            <w:r w:rsidRPr="00F00D24">
              <w:rPr>
                <w:color w:val="000000" w:themeColor="text1"/>
                <w:lang w:val="en-US"/>
              </w:rPr>
              <w:t>-</w:t>
            </w:r>
            <w:r w:rsidR="00892209" w:rsidRPr="00F00D24">
              <w:rPr>
                <w:color w:val="000000" w:themeColor="text1"/>
                <w:lang w:val="en-US"/>
              </w:rPr>
              <w:t>0</w:t>
            </w:r>
            <w:r w:rsidRPr="00F00D24">
              <w:rPr>
                <w:color w:val="000000" w:themeColor="text1"/>
                <w:lang w:val="en-US"/>
              </w:rPr>
              <w:t>.40</w:t>
            </w:r>
          </w:p>
        </w:tc>
        <w:tc>
          <w:tcPr>
            <w:tcW w:w="851" w:type="dxa"/>
            <w:tcBorders>
              <w:top w:val="nil"/>
              <w:left w:val="nil"/>
              <w:bottom w:val="nil"/>
              <w:right w:val="nil"/>
            </w:tcBorders>
            <w:textDirection w:val="lrTbV"/>
            <w:vAlign w:val="center"/>
          </w:tcPr>
          <w:p w14:paraId="4CD130D0" w14:textId="1654B0CE"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.11</w:t>
            </w:r>
          </w:p>
        </w:tc>
        <w:tc>
          <w:tcPr>
            <w:tcW w:w="1134" w:type="dxa"/>
            <w:tcBorders>
              <w:top w:val="nil"/>
              <w:left w:val="nil"/>
              <w:bottom w:val="nil"/>
              <w:right w:val="nil"/>
            </w:tcBorders>
            <w:textDirection w:val="lrTbV"/>
            <w:vAlign w:val="center"/>
          </w:tcPr>
          <w:p w14:paraId="104A8451" w14:textId="77777777" w:rsidR="00A10FCF" w:rsidRPr="00F00D24" w:rsidRDefault="00A10FCF" w:rsidP="006A3B37">
            <w:pPr>
              <w:spacing w:line="276" w:lineRule="auto"/>
              <w:rPr>
                <w:color w:val="000000" w:themeColor="text1"/>
                <w:lang w:val="en-US"/>
              </w:rPr>
            </w:pPr>
            <w:r w:rsidRPr="00F00D24">
              <w:rPr>
                <w:color w:val="000000" w:themeColor="text1"/>
                <w:lang w:val="en-US"/>
              </w:rPr>
              <w:t>3.63***</w:t>
            </w:r>
          </w:p>
        </w:tc>
      </w:tr>
      <w:tr w:rsidR="00F00D24" w:rsidRPr="00F00D24" w14:paraId="2410165D" w14:textId="77777777" w:rsidTr="006A3B37">
        <w:trPr>
          <w:trHeight w:val="359"/>
        </w:trPr>
        <w:tc>
          <w:tcPr>
            <w:tcW w:w="3657" w:type="dxa"/>
            <w:tcBorders>
              <w:top w:val="nil"/>
              <w:bottom w:val="nil"/>
              <w:right w:val="nil"/>
            </w:tcBorders>
            <w:textDirection w:val="lrTbV"/>
            <w:vAlign w:val="center"/>
          </w:tcPr>
          <w:p w14:paraId="6C8D15FC" w14:textId="77777777" w:rsidR="00A10FCF" w:rsidRPr="00F00D24" w:rsidRDefault="00A10FCF" w:rsidP="00F00D24">
            <w:pPr>
              <w:spacing w:line="276" w:lineRule="auto"/>
              <w:rPr>
                <w:lang w:val="en-US"/>
              </w:rPr>
            </w:pPr>
            <w:r w:rsidRPr="00F00D24">
              <w:rPr>
                <w:lang w:val="en-US"/>
              </w:rPr>
              <w:t>Level 1 intercept variance (SE)</w:t>
            </w:r>
          </w:p>
        </w:tc>
        <w:tc>
          <w:tcPr>
            <w:tcW w:w="1417" w:type="dxa"/>
            <w:tcBorders>
              <w:top w:val="nil"/>
              <w:left w:val="nil"/>
              <w:bottom w:val="nil"/>
              <w:right w:val="nil"/>
            </w:tcBorders>
            <w:textDirection w:val="lrTbV"/>
            <w:vAlign w:val="center"/>
          </w:tcPr>
          <w:p w14:paraId="7B9156F6" w14:textId="37820677" w:rsidR="00A10FCF" w:rsidRPr="00F00D24" w:rsidRDefault="00892209" w:rsidP="006A3B37">
            <w:pPr>
              <w:spacing w:line="276" w:lineRule="auto"/>
              <w:rPr>
                <w:lang w:val="en-US"/>
              </w:rPr>
            </w:pPr>
            <w:r w:rsidRPr="00F00D24">
              <w:rPr>
                <w:lang w:val="en-US"/>
              </w:rPr>
              <w:t>0</w:t>
            </w:r>
            <w:r w:rsidR="00A10FCF" w:rsidRPr="00F00D24">
              <w:rPr>
                <w:lang w:val="en-US"/>
              </w:rPr>
              <w:t>.57</w:t>
            </w:r>
          </w:p>
        </w:tc>
        <w:tc>
          <w:tcPr>
            <w:tcW w:w="851" w:type="dxa"/>
            <w:tcBorders>
              <w:top w:val="nil"/>
              <w:left w:val="nil"/>
              <w:bottom w:val="nil"/>
              <w:right w:val="nil"/>
            </w:tcBorders>
            <w:textDirection w:val="lrTbV"/>
            <w:vAlign w:val="center"/>
          </w:tcPr>
          <w:p w14:paraId="11C2034C" w14:textId="76690F6F" w:rsidR="00A10FCF" w:rsidRPr="00F00D24" w:rsidRDefault="00892209" w:rsidP="006A3B37">
            <w:pPr>
              <w:spacing w:line="276" w:lineRule="auto"/>
              <w:rPr>
                <w:lang w:val="en-US"/>
              </w:rPr>
            </w:pPr>
            <w:r w:rsidRPr="00F00D24">
              <w:rPr>
                <w:lang w:val="en-US"/>
              </w:rPr>
              <w:t>0</w:t>
            </w:r>
            <w:r w:rsidR="00A10FCF" w:rsidRPr="00F00D24">
              <w:rPr>
                <w:lang w:val="en-US"/>
              </w:rPr>
              <w:t>.10</w:t>
            </w:r>
          </w:p>
        </w:tc>
        <w:tc>
          <w:tcPr>
            <w:tcW w:w="992" w:type="dxa"/>
            <w:tcBorders>
              <w:top w:val="nil"/>
              <w:left w:val="nil"/>
              <w:bottom w:val="nil"/>
              <w:right w:val="nil"/>
            </w:tcBorders>
            <w:textDirection w:val="lrTbV"/>
            <w:vAlign w:val="center"/>
          </w:tcPr>
          <w:p w14:paraId="5B052BB0" w14:textId="77777777" w:rsidR="00A10FCF" w:rsidRPr="00F00D24" w:rsidRDefault="00A10FCF" w:rsidP="006A3B37">
            <w:pPr>
              <w:spacing w:line="276" w:lineRule="auto"/>
              <w:rPr>
                <w:lang w:val="en-US"/>
              </w:rPr>
            </w:pPr>
            <w:r w:rsidRPr="00F00D24">
              <w:rPr>
                <w:lang w:val="en-US"/>
              </w:rPr>
              <w:t>5.7***</w:t>
            </w:r>
          </w:p>
        </w:tc>
        <w:tc>
          <w:tcPr>
            <w:tcW w:w="284" w:type="dxa"/>
            <w:tcBorders>
              <w:top w:val="nil"/>
              <w:left w:val="nil"/>
              <w:bottom w:val="nil"/>
              <w:right w:val="nil"/>
            </w:tcBorders>
            <w:textDirection w:val="lrTbV"/>
            <w:vAlign w:val="center"/>
          </w:tcPr>
          <w:p w14:paraId="7069D7CD"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2788BDA6" w14:textId="534544AF" w:rsidR="00A10FCF" w:rsidRPr="00F00D24" w:rsidRDefault="00892209" w:rsidP="006A3B37">
            <w:pPr>
              <w:spacing w:line="276" w:lineRule="auto"/>
              <w:rPr>
                <w:lang w:val="en-US"/>
              </w:rPr>
            </w:pPr>
            <w:r w:rsidRPr="00F00D24">
              <w:rPr>
                <w:lang w:val="en-US"/>
              </w:rPr>
              <w:t>0</w:t>
            </w:r>
            <w:r w:rsidR="00A10FCF" w:rsidRPr="00F00D24">
              <w:rPr>
                <w:lang w:val="en-US"/>
              </w:rPr>
              <w:t>.55</w:t>
            </w:r>
          </w:p>
        </w:tc>
        <w:tc>
          <w:tcPr>
            <w:tcW w:w="1134" w:type="dxa"/>
            <w:tcBorders>
              <w:top w:val="nil"/>
              <w:left w:val="nil"/>
              <w:bottom w:val="nil"/>
              <w:right w:val="nil"/>
            </w:tcBorders>
            <w:textDirection w:val="lrTbV"/>
            <w:vAlign w:val="center"/>
          </w:tcPr>
          <w:p w14:paraId="43E04B9E" w14:textId="2368D833" w:rsidR="00A10FCF" w:rsidRPr="00F00D24" w:rsidRDefault="00892209" w:rsidP="006A3B37">
            <w:pPr>
              <w:spacing w:line="276" w:lineRule="auto"/>
              <w:rPr>
                <w:lang w:val="en-US"/>
              </w:rPr>
            </w:pPr>
            <w:r w:rsidRPr="00F00D24">
              <w:rPr>
                <w:lang w:val="en-US"/>
              </w:rPr>
              <w:t>0</w:t>
            </w:r>
            <w:r w:rsidR="00A10FCF" w:rsidRPr="00F00D24">
              <w:rPr>
                <w:lang w:val="en-US"/>
              </w:rPr>
              <w:t>.10</w:t>
            </w:r>
          </w:p>
        </w:tc>
        <w:tc>
          <w:tcPr>
            <w:tcW w:w="1134" w:type="dxa"/>
            <w:tcBorders>
              <w:top w:val="nil"/>
              <w:left w:val="nil"/>
              <w:bottom w:val="nil"/>
              <w:right w:val="nil"/>
            </w:tcBorders>
            <w:textDirection w:val="lrTbV"/>
            <w:vAlign w:val="center"/>
          </w:tcPr>
          <w:p w14:paraId="0EC1BCBA" w14:textId="77777777" w:rsidR="00A10FCF" w:rsidRPr="00F00D24" w:rsidRDefault="00A10FCF" w:rsidP="006A3B37">
            <w:pPr>
              <w:spacing w:line="276" w:lineRule="auto"/>
              <w:rPr>
                <w:lang w:val="en-US"/>
              </w:rPr>
            </w:pPr>
            <w:r w:rsidRPr="00F00D24">
              <w:rPr>
                <w:lang w:val="en-US"/>
              </w:rPr>
              <w:t>5.50***</w:t>
            </w:r>
          </w:p>
        </w:tc>
        <w:tc>
          <w:tcPr>
            <w:tcW w:w="284" w:type="dxa"/>
            <w:tcBorders>
              <w:top w:val="nil"/>
              <w:left w:val="nil"/>
              <w:bottom w:val="nil"/>
              <w:right w:val="nil"/>
            </w:tcBorders>
            <w:textDirection w:val="lrTbV"/>
            <w:vAlign w:val="center"/>
          </w:tcPr>
          <w:p w14:paraId="3971D442"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5EE8B3A7" w14:textId="074EC433"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.40</w:t>
            </w:r>
          </w:p>
        </w:tc>
        <w:tc>
          <w:tcPr>
            <w:tcW w:w="851" w:type="dxa"/>
            <w:tcBorders>
              <w:top w:val="nil"/>
              <w:left w:val="nil"/>
              <w:bottom w:val="nil"/>
              <w:right w:val="nil"/>
            </w:tcBorders>
            <w:textDirection w:val="lrTbV"/>
            <w:vAlign w:val="center"/>
          </w:tcPr>
          <w:p w14:paraId="2040F90B" w14:textId="4A0F8E00"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.07</w:t>
            </w:r>
          </w:p>
        </w:tc>
        <w:tc>
          <w:tcPr>
            <w:tcW w:w="1134" w:type="dxa"/>
            <w:tcBorders>
              <w:top w:val="nil"/>
              <w:left w:val="nil"/>
              <w:bottom w:val="nil"/>
              <w:right w:val="nil"/>
            </w:tcBorders>
            <w:textDirection w:val="lrTbV"/>
            <w:vAlign w:val="center"/>
          </w:tcPr>
          <w:p w14:paraId="779ED9A2" w14:textId="77777777" w:rsidR="00A10FCF" w:rsidRPr="00F00D24" w:rsidRDefault="00A10FCF" w:rsidP="006A3B37">
            <w:pPr>
              <w:spacing w:line="276" w:lineRule="auto"/>
              <w:rPr>
                <w:color w:val="000000" w:themeColor="text1"/>
                <w:lang w:val="en-US"/>
              </w:rPr>
            </w:pPr>
            <w:r w:rsidRPr="00F00D24">
              <w:rPr>
                <w:color w:val="000000" w:themeColor="text1"/>
                <w:lang w:val="en-US"/>
              </w:rPr>
              <w:t>5.71***</w:t>
            </w:r>
          </w:p>
        </w:tc>
      </w:tr>
      <w:tr w:rsidR="00F00D24" w:rsidRPr="00F00D24" w14:paraId="17C6674C" w14:textId="77777777" w:rsidTr="006A3B37">
        <w:trPr>
          <w:trHeight w:val="359"/>
        </w:trPr>
        <w:tc>
          <w:tcPr>
            <w:tcW w:w="3657" w:type="dxa"/>
            <w:tcBorders>
              <w:top w:val="nil"/>
              <w:bottom w:val="nil"/>
              <w:right w:val="nil"/>
            </w:tcBorders>
            <w:textDirection w:val="lrTbV"/>
            <w:vAlign w:val="center"/>
          </w:tcPr>
          <w:p w14:paraId="1836A0AA" w14:textId="77777777" w:rsidR="00A10FCF" w:rsidRPr="00F00D24" w:rsidRDefault="00A10FCF" w:rsidP="00F00D24">
            <w:pPr>
              <w:spacing w:line="276" w:lineRule="auto"/>
              <w:rPr>
                <w:lang w:val="en-US"/>
              </w:rPr>
            </w:pPr>
            <w:r w:rsidRPr="00F00D24">
              <w:rPr>
                <w:lang w:val="en-US"/>
              </w:rPr>
              <w:t>Level 2 intercept variance (SE)</w:t>
            </w:r>
          </w:p>
        </w:tc>
        <w:tc>
          <w:tcPr>
            <w:tcW w:w="1417" w:type="dxa"/>
            <w:tcBorders>
              <w:top w:val="nil"/>
              <w:left w:val="nil"/>
              <w:bottom w:val="nil"/>
              <w:right w:val="nil"/>
            </w:tcBorders>
            <w:textDirection w:val="lrTbV"/>
            <w:vAlign w:val="center"/>
          </w:tcPr>
          <w:p w14:paraId="02BE5A0D" w14:textId="123EE7DD" w:rsidR="00A10FCF" w:rsidRPr="00F00D24" w:rsidRDefault="00892209" w:rsidP="006A3B37">
            <w:pPr>
              <w:spacing w:line="276" w:lineRule="auto"/>
              <w:rPr>
                <w:lang w:val="en-US"/>
              </w:rPr>
            </w:pPr>
            <w:r w:rsidRPr="00F00D24">
              <w:rPr>
                <w:lang w:val="en-US"/>
              </w:rPr>
              <w:t>0</w:t>
            </w:r>
            <w:r w:rsidR="00A10FCF" w:rsidRPr="00F00D24">
              <w:rPr>
                <w:lang w:val="en-US"/>
              </w:rPr>
              <w:t>.10</w:t>
            </w:r>
          </w:p>
        </w:tc>
        <w:tc>
          <w:tcPr>
            <w:tcW w:w="851" w:type="dxa"/>
            <w:tcBorders>
              <w:top w:val="nil"/>
              <w:left w:val="nil"/>
              <w:bottom w:val="nil"/>
              <w:right w:val="nil"/>
            </w:tcBorders>
            <w:textDirection w:val="lrTbV"/>
            <w:vAlign w:val="center"/>
          </w:tcPr>
          <w:p w14:paraId="5B91525A" w14:textId="79A97931" w:rsidR="00A10FCF" w:rsidRPr="00F00D24" w:rsidRDefault="00892209" w:rsidP="006A3B37">
            <w:pPr>
              <w:spacing w:line="276" w:lineRule="auto"/>
              <w:rPr>
                <w:lang w:val="en-US"/>
              </w:rPr>
            </w:pPr>
            <w:r w:rsidRPr="00F00D24">
              <w:rPr>
                <w:lang w:val="en-US"/>
              </w:rPr>
              <w:t>0</w:t>
            </w:r>
            <w:r w:rsidR="00A10FCF" w:rsidRPr="00F00D24">
              <w:rPr>
                <w:lang w:val="en-US"/>
              </w:rPr>
              <w:t>.10</w:t>
            </w:r>
          </w:p>
        </w:tc>
        <w:tc>
          <w:tcPr>
            <w:tcW w:w="992" w:type="dxa"/>
            <w:tcBorders>
              <w:top w:val="nil"/>
              <w:left w:val="nil"/>
              <w:bottom w:val="nil"/>
              <w:right w:val="nil"/>
            </w:tcBorders>
            <w:textDirection w:val="lrTbV"/>
            <w:vAlign w:val="center"/>
          </w:tcPr>
          <w:p w14:paraId="71113849" w14:textId="77777777" w:rsidR="00A10FCF" w:rsidRPr="00F00D24" w:rsidRDefault="00A10FCF" w:rsidP="006A3B37">
            <w:pPr>
              <w:spacing w:line="276" w:lineRule="auto"/>
              <w:rPr>
                <w:lang w:val="en-US"/>
              </w:rPr>
            </w:pPr>
            <w:r w:rsidRPr="00F00D24">
              <w:rPr>
                <w:lang w:val="en-US"/>
              </w:rPr>
              <w:t>1.00</w:t>
            </w:r>
          </w:p>
        </w:tc>
        <w:tc>
          <w:tcPr>
            <w:tcW w:w="284" w:type="dxa"/>
            <w:tcBorders>
              <w:top w:val="nil"/>
              <w:left w:val="nil"/>
              <w:bottom w:val="nil"/>
              <w:right w:val="nil"/>
            </w:tcBorders>
            <w:textDirection w:val="lrTbV"/>
            <w:vAlign w:val="center"/>
          </w:tcPr>
          <w:p w14:paraId="3CA94773"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4526D53A" w14:textId="2FA11F94" w:rsidR="00A10FCF" w:rsidRPr="00F00D24" w:rsidRDefault="00892209" w:rsidP="006A3B37">
            <w:pPr>
              <w:spacing w:line="276" w:lineRule="auto"/>
              <w:rPr>
                <w:lang w:val="en-US"/>
              </w:rPr>
            </w:pPr>
            <w:r w:rsidRPr="00F00D24">
              <w:rPr>
                <w:lang w:val="en-US"/>
              </w:rPr>
              <w:t>0</w:t>
            </w:r>
            <w:r w:rsidR="00A10FCF" w:rsidRPr="00F00D24">
              <w:rPr>
                <w:lang w:val="en-US"/>
              </w:rPr>
              <w:t>.06</w:t>
            </w:r>
          </w:p>
        </w:tc>
        <w:tc>
          <w:tcPr>
            <w:tcW w:w="1134" w:type="dxa"/>
            <w:tcBorders>
              <w:top w:val="nil"/>
              <w:left w:val="nil"/>
              <w:bottom w:val="nil"/>
              <w:right w:val="nil"/>
            </w:tcBorders>
            <w:textDirection w:val="lrTbV"/>
            <w:vAlign w:val="center"/>
          </w:tcPr>
          <w:p w14:paraId="7DCEF2B9" w14:textId="5605089C" w:rsidR="00A10FCF" w:rsidRPr="00F00D24" w:rsidRDefault="00892209" w:rsidP="006A3B37">
            <w:pPr>
              <w:spacing w:line="276" w:lineRule="auto"/>
              <w:rPr>
                <w:lang w:val="en-US"/>
              </w:rPr>
            </w:pPr>
            <w:r w:rsidRPr="00F00D24">
              <w:rPr>
                <w:lang w:val="en-US"/>
              </w:rPr>
              <w:t>0</w:t>
            </w:r>
            <w:r w:rsidR="00A10FCF" w:rsidRPr="00F00D24">
              <w:rPr>
                <w:lang w:val="en-US"/>
              </w:rPr>
              <w:t>.07</w:t>
            </w:r>
          </w:p>
        </w:tc>
        <w:tc>
          <w:tcPr>
            <w:tcW w:w="1134" w:type="dxa"/>
            <w:tcBorders>
              <w:top w:val="nil"/>
              <w:left w:val="nil"/>
              <w:bottom w:val="nil"/>
              <w:right w:val="nil"/>
            </w:tcBorders>
            <w:textDirection w:val="lrTbV"/>
            <w:vAlign w:val="center"/>
          </w:tcPr>
          <w:p w14:paraId="0742AF8D" w14:textId="1A281E18" w:rsidR="00A10FCF" w:rsidRPr="00F00D24" w:rsidRDefault="00892209" w:rsidP="006A3B37">
            <w:pPr>
              <w:spacing w:line="276" w:lineRule="auto"/>
              <w:rPr>
                <w:lang w:val="en-US"/>
              </w:rPr>
            </w:pPr>
            <w:r w:rsidRPr="00F00D24">
              <w:rPr>
                <w:lang w:val="en-US"/>
              </w:rPr>
              <w:t>0</w:t>
            </w:r>
            <w:r w:rsidR="00A10FCF" w:rsidRPr="00F00D24">
              <w:rPr>
                <w:lang w:val="en-US"/>
              </w:rPr>
              <w:t>.86</w:t>
            </w:r>
          </w:p>
        </w:tc>
        <w:tc>
          <w:tcPr>
            <w:tcW w:w="284" w:type="dxa"/>
            <w:tcBorders>
              <w:top w:val="nil"/>
              <w:left w:val="nil"/>
              <w:bottom w:val="nil"/>
              <w:right w:val="nil"/>
            </w:tcBorders>
            <w:textDirection w:val="lrTbV"/>
            <w:vAlign w:val="center"/>
          </w:tcPr>
          <w:p w14:paraId="24556FF1" w14:textId="77777777" w:rsidR="00A10FCF" w:rsidRPr="00F00D24" w:rsidRDefault="00A10FCF" w:rsidP="006A3B37">
            <w:pPr>
              <w:spacing w:line="276" w:lineRule="auto"/>
              <w:rPr>
                <w:lang w:val="en-US"/>
              </w:rPr>
            </w:pPr>
          </w:p>
        </w:tc>
        <w:tc>
          <w:tcPr>
            <w:tcW w:w="1417" w:type="dxa"/>
            <w:tcBorders>
              <w:top w:val="nil"/>
              <w:left w:val="nil"/>
              <w:bottom w:val="nil"/>
              <w:right w:val="nil"/>
            </w:tcBorders>
            <w:textDirection w:val="lrTbV"/>
            <w:vAlign w:val="center"/>
          </w:tcPr>
          <w:p w14:paraId="7CB44178" w14:textId="6554F52E"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.17</w:t>
            </w:r>
          </w:p>
        </w:tc>
        <w:tc>
          <w:tcPr>
            <w:tcW w:w="851" w:type="dxa"/>
            <w:tcBorders>
              <w:top w:val="nil"/>
              <w:left w:val="nil"/>
              <w:bottom w:val="nil"/>
              <w:right w:val="nil"/>
            </w:tcBorders>
            <w:textDirection w:val="lrTbV"/>
            <w:vAlign w:val="center"/>
          </w:tcPr>
          <w:p w14:paraId="2A409F64" w14:textId="51C7748F"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.17</w:t>
            </w:r>
          </w:p>
        </w:tc>
        <w:tc>
          <w:tcPr>
            <w:tcW w:w="1134" w:type="dxa"/>
            <w:tcBorders>
              <w:top w:val="nil"/>
              <w:left w:val="nil"/>
              <w:bottom w:val="nil"/>
              <w:right w:val="nil"/>
            </w:tcBorders>
            <w:textDirection w:val="lrTbV"/>
            <w:vAlign w:val="center"/>
          </w:tcPr>
          <w:p w14:paraId="0C2F907B" w14:textId="77777777" w:rsidR="00A10FCF" w:rsidRPr="00F00D24" w:rsidRDefault="00A10FCF" w:rsidP="006A3B37">
            <w:pPr>
              <w:spacing w:line="276" w:lineRule="auto"/>
              <w:rPr>
                <w:color w:val="000000" w:themeColor="text1"/>
                <w:lang w:val="en-US"/>
              </w:rPr>
            </w:pPr>
            <w:r w:rsidRPr="00F00D24">
              <w:rPr>
                <w:color w:val="000000" w:themeColor="text1"/>
                <w:lang w:val="en-US"/>
              </w:rPr>
              <w:t>1.00</w:t>
            </w:r>
          </w:p>
        </w:tc>
      </w:tr>
      <w:tr w:rsidR="00F00D24" w:rsidRPr="00F00D24" w14:paraId="7AF6B0AA" w14:textId="77777777" w:rsidTr="006A3B37">
        <w:trPr>
          <w:trHeight w:val="359"/>
        </w:trPr>
        <w:tc>
          <w:tcPr>
            <w:tcW w:w="3657" w:type="dxa"/>
            <w:tcBorders>
              <w:top w:val="nil"/>
              <w:bottom w:val="single" w:sz="4" w:space="0" w:color="auto"/>
              <w:right w:val="nil"/>
            </w:tcBorders>
            <w:textDirection w:val="lrTbV"/>
            <w:vAlign w:val="center"/>
          </w:tcPr>
          <w:p w14:paraId="31759352" w14:textId="77777777" w:rsidR="00A10FCF" w:rsidRPr="00F00D24" w:rsidRDefault="00A10FCF" w:rsidP="00F00D24">
            <w:pPr>
              <w:spacing w:line="276" w:lineRule="auto"/>
              <w:rPr>
                <w:lang w:val="en-US"/>
              </w:rPr>
            </w:pPr>
            <w:r w:rsidRPr="00F00D24">
              <w:rPr>
                <w:lang w:val="en-US"/>
              </w:rPr>
              <w:t>Level 3 intercept variance (SE)</w:t>
            </w:r>
          </w:p>
        </w:tc>
        <w:tc>
          <w:tcPr>
            <w:tcW w:w="1417" w:type="dxa"/>
            <w:tcBorders>
              <w:top w:val="nil"/>
              <w:left w:val="nil"/>
              <w:bottom w:val="single" w:sz="4" w:space="0" w:color="auto"/>
              <w:right w:val="nil"/>
            </w:tcBorders>
            <w:textDirection w:val="lrTbV"/>
            <w:vAlign w:val="center"/>
          </w:tcPr>
          <w:p w14:paraId="06A179EC" w14:textId="1251BA97" w:rsidR="00A10FCF" w:rsidRPr="00F00D24" w:rsidRDefault="00892209" w:rsidP="006A3B37">
            <w:pPr>
              <w:spacing w:line="276" w:lineRule="auto"/>
              <w:rPr>
                <w:lang w:val="en-US"/>
              </w:rPr>
            </w:pPr>
            <w:r w:rsidRPr="00F00D24">
              <w:rPr>
                <w:lang w:val="en-US"/>
              </w:rPr>
              <w:t>0</w:t>
            </w:r>
            <w:r w:rsidR="00A10FCF" w:rsidRPr="00F00D24">
              <w:rPr>
                <w:lang w:val="en-US"/>
              </w:rPr>
              <w:t>.00</w:t>
            </w:r>
          </w:p>
        </w:tc>
        <w:tc>
          <w:tcPr>
            <w:tcW w:w="851" w:type="dxa"/>
            <w:tcBorders>
              <w:top w:val="nil"/>
              <w:left w:val="nil"/>
              <w:bottom w:val="single" w:sz="4" w:space="0" w:color="auto"/>
              <w:right w:val="nil"/>
            </w:tcBorders>
            <w:textDirection w:val="lrTbV"/>
            <w:vAlign w:val="center"/>
          </w:tcPr>
          <w:p w14:paraId="7BCF10FF" w14:textId="66522D87" w:rsidR="00A10FCF" w:rsidRPr="00F00D24" w:rsidRDefault="00892209" w:rsidP="006A3B37">
            <w:pPr>
              <w:spacing w:line="276" w:lineRule="auto"/>
              <w:rPr>
                <w:lang w:val="en-US"/>
              </w:rPr>
            </w:pPr>
            <w:r w:rsidRPr="00F00D24">
              <w:rPr>
                <w:lang w:val="en-US"/>
              </w:rPr>
              <w:t>0</w:t>
            </w:r>
            <w:r w:rsidR="00A10FCF" w:rsidRPr="00F00D24">
              <w:rPr>
                <w:lang w:val="en-US"/>
              </w:rPr>
              <w:t>.17</w:t>
            </w:r>
          </w:p>
        </w:tc>
        <w:tc>
          <w:tcPr>
            <w:tcW w:w="992" w:type="dxa"/>
            <w:tcBorders>
              <w:top w:val="nil"/>
              <w:left w:val="nil"/>
              <w:bottom w:val="single" w:sz="4" w:space="0" w:color="auto"/>
              <w:right w:val="nil"/>
            </w:tcBorders>
            <w:textDirection w:val="lrTbV"/>
            <w:vAlign w:val="center"/>
          </w:tcPr>
          <w:p w14:paraId="51CC04AA" w14:textId="759B553E" w:rsidR="00A10FCF" w:rsidRPr="00F00D24" w:rsidRDefault="00892209" w:rsidP="006A3B37">
            <w:pPr>
              <w:spacing w:line="276" w:lineRule="auto"/>
              <w:rPr>
                <w:lang w:val="en-US"/>
              </w:rPr>
            </w:pPr>
            <w:r w:rsidRPr="00F00D24">
              <w:rPr>
                <w:lang w:val="en-US"/>
              </w:rPr>
              <w:t>0</w:t>
            </w:r>
            <w:r w:rsidR="00A10FCF" w:rsidRPr="00F00D24">
              <w:rPr>
                <w:lang w:val="en-US"/>
              </w:rPr>
              <w:t>.02</w:t>
            </w:r>
          </w:p>
        </w:tc>
        <w:tc>
          <w:tcPr>
            <w:tcW w:w="284" w:type="dxa"/>
            <w:tcBorders>
              <w:top w:val="nil"/>
              <w:left w:val="nil"/>
              <w:bottom w:val="single" w:sz="4" w:space="0" w:color="auto"/>
              <w:right w:val="nil"/>
            </w:tcBorders>
            <w:textDirection w:val="lrTbV"/>
            <w:vAlign w:val="center"/>
          </w:tcPr>
          <w:p w14:paraId="1ADBDBAE" w14:textId="77777777" w:rsidR="00A10FCF" w:rsidRPr="00F00D24" w:rsidRDefault="00A10FCF" w:rsidP="006A3B37">
            <w:pPr>
              <w:spacing w:line="276" w:lineRule="auto"/>
              <w:rPr>
                <w:lang w:val="en-US"/>
              </w:rPr>
            </w:pPr>
          </w:p>
        </w:tc>
        <w:tc>
          <w:tcPr>
            <w:tcW w:w="1417" w:type="dxa"/>
            <w:tcBorders>
              <w:top w:val="nil"/>
              <w:left w:val="nil"/>
              <w:bottom w:val="single" w:sz="4" w:space="0" w:color="auto"/>
              <w:right w:val="nil"/>
            </w:tcBorders>
            <w:textDirection w:val="lrTbV"/>
            <w:vAlign w:val="center"/>
          </w:tcPr>
          <w:p w14:paraId="7F876797" w14:textId="632222E2" w:rsidR="00A10FCF" w:rsidRPr="00F00D24" w:rsidRDefault="00892209" w:rsidP="006A3B37">
            <w:pPr>
              <w:spacing w:line="276" w:lineRule="auto"/>
              <w:rPr>
                <w:lang w:val="en-US"/>
              </w:rPr>
            </w:pPr>
            <w:r w:rsidRPr="00F00D24">
              <w:rPr>
                <w:lang w:val="en-US"/>
              </w:rPr>
              <w:t>0</w:t>
            </w:r>
            <w:r w:rsidR="00A10FCF" w:rsidRPr="00F00D24">
              <w:rPr>
                <w:lang w:val="en-US"/>
              </w:rPr>
              <w:t>.00</w:t>
            </w:r>
          </w:p>
        </w:tc>
        <w:tc>
          <w:tcPr>
            <w:tcW w:w="1134" w:type="dxa"/>
            <w:tcBorders>
              <w:top w:val="nil"/>
              <w:left w:val="nil"/>
              <w:bottom w:val="single" w:sz="4" w:space="0" w:color="auto"/>
              <w:right w:val="nil"/>
            </w:tcBorders>
            <w:textDirection w:val="lrTbV"/>
            <w:vAlign w:val="center"/>
          </w:tcPr>
          <w:p w14:paraId="089E13B4" w14:textId="083AE237" w:rsidR="00A10FCF" w:rsidRPr="00F00D24" w:rsidRDefault="00892209" w:rsidP="006A3B37">
            <w:pPr>
              <w:spacing w:line="276" w:lineRule="auto"/>
              <w:rPr>
                <w:lang w:val="en-US"/>
              </w:rPr>
            </w:pPr>
            <w:r w:rsidRPr="00F00D24">
              <w:rPr>
                <w:lang w:val="en-US"/>
              </w:rPr>
              <w:t>0</w:t>
            </w:r>
            <w:r w:rsidR="00A10FCF" w:rsidRPr="00F00D24">
              <w:rPr>
                <w:lang w:val="en-US"/>
              </w:rPr>
              <w:t>.09</w:t>
            </w:r>
          </w:p>
        </w:tc>
        <w:tc>
          <w:tcPr>
            <w:tcW w:w="1134" w:type="dxa"/>
            <w:tcBorders>
              <w:top w:val="nil"/>
              <w:left w:val="nil"/>
              <w:bottom w:val="single" w:sz="4" w:space="0" w:color="auto"/>
              <w:right w:val="nil"/>
            </w:tcBorders>
            <w:textDirection w:val="lrTbV"/>
            <w:vAlign w:val="center"/>
          </w:tcPr>
          <w:p w14:paraId="3366A001" w14:textId="101734E5" w:rsidR="00A10FCF" w:rsidRPr="00F00D24" w:rsidRDefault="00892209" w:rsidP="006A3B37">
            <w:pPr>
              <w:spacing w:line="276" w:lineRule="auto"/>
              <w:rPr>
                <w:lang w:val="en-US"/>
              </w:rPr>
            </w:pPr>
            <w:r w:rsidRPr="00F00D24">
              <w:rPr>
                <w:lang w:val="en-US"/>
              </w:rPr>
              <w:t>0</w:t>
            </w:r>
            <w:r w:rsidR="00A10FCF" w:rsidRPr="00F00D24">
              <w:rPr>
                <w:lang w:val="en-US"/>
              </w:rPr>
              <w:t>.02</w:t>
            </w:r>
          </w:p>
        </w:tc>
        <w:tc>
          <w:tcPr>
            <w:tcW w:w="284" w:type="dxa"/>
            <w:tcBorders>
              <w:top w:val="nil"/>
              <w:left w:val="nil"/>
              <w:bottom w:val="single" w:sz="4" w:space="0" w:color="auto"/>
              <w:right w:val="nil"/>
            </w:tcBorders>
            <w:textDirection w:val="lrTbV"/>
            <w:vAlign w:val="center"/>
          </w:tcPr>
          <w:p w14:paraId="03152860" w14:textId="77777777" w:rsidR="00A10FCF" w:rsidRPr="00F00D24" w:rsidRDefault="00A10FCF" w:rsidP="006A3B37">
            <w:pPr>
              <w:spacing w:line="276" w:lineRule="auto"/>
              <w:rPr>
                <w:lang w:val="en-US"/>
              </w:rPr>
            </w:pPr>
          </w:p>
        </w:tc>
        <w:tc>
          <w:tcPr>
            <w:tcW w:w="1417" w:type="dxa"/>
            <w:tcBorders>
              <w:top w:val="nil"/>
              <w:left w:val="nil"/>
              <w:bottom w:val="single" w:sz="4" w:space="0" w:color="auto"/>
              <w:right w:val="nil"/>
            </w:tcBorders>
            <w:textDirection w:val="lrTbV"/>
            <w:vAlign w:val="center"/>
          </w:tcPr>
          <w:p w14:paraId="5DBA8E77" w14:textId="77777777" w:rsidR="00A10FCF" w:rsidRPr="00F00D24" w:rsidRDefault="00A10FCF" w:rsidP="006A3B37">
            <w:pPr>
              <w:spacing w:line="276" w:lineRule="auto"/>
              <w:rPr>
                <w:color w:val="000000" w:themeColor="text1"/>
                <w:lang w:val="en-US"/>
              </w:rPr>
            </w:pPr>
            <w:r w:rsidRPr="00F00D24">
              <w:rPr>
                <w:color w:val="000000" w:themeColor="text1"/>
                <w:lang w:val="en-US"/>
              </w:rPr>
              <w:t>1.25</w:t>
            </w:r>
          </w:p>
        </w:tc>
        <w:tc>
          <w:tcPr>
            <w:tcW w:w="851" w:type="dxa"/>
            <w:tcBorders>
              <w:top w:val="nil"/>
              <w:left w:val="nil"/>
              <w:bottom w:val="single" w:sz="4" w:space="0" w:color="auto"/>
              <w:right w:val="nil"/>
            </w:tcBorders>
            <w:textDirection w:val="lrTbV"/>
            <w:vAlign w:val="center"/>
          </w:tcPr>
          <w:p w14:paraId="58F84FC9" w14:textId="6BCF74A1" w:rsidR="00A10FCF" w:rsidRPr="00F00D24" w:rsidRDefault="00892209" w:rsidP="006A3B37">
            <w:pPr>
              <w:spacing w:line="276" w:lineRule="auto"/>
              <w:rPr>
                <w:color w:val="000000" w:themeColor="text1"/>
                <w:lang w:val="en-US"/>
              </w:rPr>
            </w:pPr>
            <w:r w:rsidRPr="00F00D24">
              <w:rPr>
                <w:color w:val="000000" w:themeColor="text1"/>
                <w:lang w:val="en-US"/>
              </w:rPr>
              <w:t>0</w:t>
            </w:r>
            <w:r w:rsidR="00A10FCF" w:rsidRPr="00F00D24">
              <w:rPr>
                <w:color w:val="000000" w:themeColor="text1"/>
                <w:lang w:val="en-US"/>
              </w:rPr>
              <w:t>.61</w:t>
            </w:r>
          </w:p>
        </w:tc>
        <w:tc>
          <w:tcPr>
            <w:tcW w:w="1134" w:type="dxa"/>
            <w:tcBorders>
              <w:top w:val="nil"/>
              <w:left w:val="nil"/>
              <w:bottom w:val="single" w:sz="4" w:space="0" w:color="auto"/>
              <w:right w:val="nil"/>
            </w:tcBorders>
            <w:textDirection w:val="lrTbV"/>
            <w:vAlign w:val="center"/>
          </w:tcPr>
          <w:p w14:paraId="4919B9B8" w14:textId="77777777" w:rsidR="00A10FCF" w:rsidRPr="00F00D24" w:rsidRDefault="00A10FCF" w:rsidP="006A3B37">
            <w:pPr>
              <w:spacing w:line="276" w:lineRule="auto"/>
              <w:rPr>
                <w:color w:val="000000" w:themeColor="text1"/>
                <w:lang w:val="en-US"/>
              </w:rPr>
            </w:pPr>
            <w:r w:rsidRPr="00F00D24">
              <w:rPr>
                <w:color w:val="000000" w:themeColor="text1"/>
                <w:lang w:val="en-US"/>
              </w:rPr>
              <w:t>2.05*</w:t>
            </w:r>
          </w:p>
        </w:tc>
      </w:tr>
    </w:tbl>
    <w:p w14:paraId="5D70FA6F" w14:textId="77777777" w:rsidR="00BE0C8B" w:rsidRPr="00071A3A" w:rsidRDefault="00BE0C8B" w:rsidP="00A10FCF">
      <w:pPr>
        <w:jc w:val="both"/>
        <w:rPr>
          <w:lang w:val="en-US"/>
        </w:rPr>
      </w:pPr>
      <w:r w:rsidRPr="00071A3A">
        <w:rPr>
          <w:color w:val="000000"/>
          <w:lang w:val="en-US"/>
        </w:rPr>
        <w:t xml:space="preserve">N: </w:t>
      </w:r>
      <w:r w:rsidRPr="00071A3A">
        <w:rPr>
          <w:lang w:val="en-US"/>
        </w:rPr>
        <w:t>25 supervisors, 68 employees over 4 weeks.</w:t>
      </w:r>
    </w:p>
    <w:p w14:paraId="52444D90" w14:textId="77777777" w:rsidR="00BE0C8B" w:rsidRDefault="00BE0C8B" w:rsidP="00071A3A">
      <w:pPr>
        <w:rPr>
          <w:lang w:val="en-US"/>
        </w:rPr>
      </w:pPr>
    </w:p>
    <w:p w14:paraId="216073F7" w14:textId="59E3C396" w:rsidR="00BE0C8B" w:rsidRPr="00A10FCF" w:rsidRDefault="00BE0C8B" w:rsidP="00A10FCF">
      <w:pPr>
        <w:spacing w:line="480" w:lineRule="auto"/>
        <w:rPr>
          <w:u w:val="single"/>
        </w:rPr>
      </w:pPr>
      <w:r w:rsidRPr="00AA01BE">
        <w:lastRenderedPageBreak/>
        <w:t xml:space="preserve">Table </w:t>
      </w:r>
      <w:r w:rsidRPr="00BA27FC">
        <w:t>3</w:t>
      </w:r>
      <w:r w:rsidRPr="00A10FCF">
        <w:t>.</w:t>
      </w:r>
      <w:r w:rsidR="00A10FCF" w:rsidRPr="00A10FCF">
        <w:t xml:space="preserve"> </w:t>
      </w:r>
      <w:r w:rsidR="00AD52D5" w:rsidRPr="00A4488F">
        <w:rPr>
          <w:lang w:val="en-US"/>
        </w:rPr>
        <w:t xml:space="preserve">Means, Standard Deviations, </w:t>
      </w:r>
      <w:r w:rsidR="003F4ACE">
        <w:rPr>
          <w:lang w:val="en-US"/>
        </w:rPr>
        <w:t>C</w:t>
      </w:r>
      <w:r w:rsidR="00AD52D5" w:rsidRPr="00A4488F">
        <w:rPr>
          <w:lang w:val="en-US"/>
        </w:rPr>
        <w:t>orrelations, and Reliabilities (on the Diagonal Between Brackets) of the Study Variables</w:t>
      </w:r>
      <w:r w:rsidR="00AD52D5" w:rsidRPr="00071A3A">
        <w:rPr>
          <w:color w:val="000000"/>
          <w:lang w:val="en-US"/>
        </w:rPr>
        <w:t xml:space="preserve"> </w:t>
      </w:r>
      <w:r w:rsidRPr="00071A3A">
        <w:rPr>
          <w:color w:val="000000"/>
          <w:lang w:val="en-US"/>
        </w:rPr>
        <w:t>(Study 2)</w:t>
      </w:r>
    </w:p>
    <w:tbl>
      <w:tblPr>
        <w:tblW w:w="14203" w:type="dxa"/>
        <w:tblBorders>
          <w:top w:val="single" w:sz="4" w:space="0" w:color="auto"/>
          <w:bottom w:val="single" w:sz="4" w:space="0" w:color="auto"/>
        </w:tblBorders>
        <w:tblLook w:val="04A0" w:firstRow="1" w:lastRow="0" w:firstColumn="1" w:lastColumn="0" w:noHBand="0" w:noVBand="1"/>
      </w:tblPr>
      <w:tblGrid>
        <w:gridCol w:w="350"/>
        <w:gridCol w:w="5021"/>
        <w:gridCol w:w="1104"/>
        <w:gridCol w:w="1104"/>
        <w:gridCol w:w="1104"/>
        <w:gridCol w:w="1104"/>
        <w:gridCol w:w="1104"/>
        <w:gridCol w:w="1104"/>
        <w:gridCol w:w="1104"/>
        <w:gridCol w:w="1104"/>
      </w:tblGrid>
      <w:tr w:rsidR="00A10FCF" w:rsidRPr="004C7B2B" w14:paraId="578A934E" w14:textId="77777777" w:rsidTr="00662134">
        <w:trPr>
          <w:trHeight w:val="505"/>
        </w:trPr>
        <w:tc>
          <w:tcPr>
            <w:tcW w:w="350" w:type="dxa"/>
            <w:shd w:val="clear" w:color="auto" w:fill="auto"/>
            <w:noWrap/>
            <w:vAlign w:val="bottom"/>
            <w:hideMark/>
          </w:tcPr>
          <w:p w14:paraId="7CA74A25" w14:textId="77777777" w:rsidR="00A10FCF" w:rsidRPr="004C7B2B" w:rsidRDefault="00A10FCF" w:rsidP="00662134">
            <w:pPr>
              <w:rPr>
                <w:color w:val="000000"/>
              </w:rPr>
            </w:pPr>
            <w:r w:rsidRPr="004C7B2B">
              <w:rPr>
                <w:color w:val="000000"/>
              </w:rPr>
              <w:t> </w:t>
            </w:r>
          </w:p>
        </w:tc>
        <w:tc>
          <w:tcPr>
            <w:tcW w:w="5021" w:type="dxa"/>
            <w:tcBorders>
              <w:top w:val="single" w:sz="4" w:space="0" w:color="auto"/>
              <w:bottom w:val="single" w:sz="4" w:space="0" w:color="auto"/>
            </w:tcBorders>
            <w:shd w:val="clear" w:color="auto" w:fill="auto"/>
            <w:noWrap/>
            <w:vAlign w:val="bottom"/>
            <w:hideMark/>
          </w:tcPr>
          <w:p w14:paraId="38D459A3" w14:textId="77777777" w:rsidR="00A10FCF" w:rsidRPr="004C7B2B" w:rsidRDefault="00A10FCF" w:rsidP="00662134">
            <w:pPr>
              <w:rPr>
                <w:b/>
                <w:bCs/>
                <w:color w:val="000000"/>
              </w:rPr>
            </w:pPr>
            <w:r w:rsidRPr="004C7B2B">
              <w:rPr>
                <w:b/>
                <w:bCs/>
                <w:color w:val="000000"/>
              </w:rPr>
              <w:t>Variables</w:t>
            </w:r>
          </w:p>
        </w:tc>
        <w:tc>
          <w:tcPr>
            <w:tcW w:w="1104" w:type="dxa"/>
            <w:tcBorders>
              <w:top w:val="single" w:sz="4" w:space="0" w:color="auto"/>
              <w:bottom w:val="single" w:sz="4" w:space="0" w:color="auto"/>
            </w:tcBorders>
            <w:shd w:val="clear" w:color="auto" w:fill="auto"/>
            <w:noWrap/>
            <w:vAlign w:val="bottom"/>
            <w:hideMark/>
          </w:tcPr>
          <w:p w14:paraId="457FA725" w14:textId="77777777" w:rsidR="00A10FCF" w:rsidRPr="004C7B2B" w:rsidRDefault="00A10FCF" w:rsidP="00662134">
            <w:pPr>
              <w:jc w:val="center"/>
              <w:rPr>
                <w:b/>
                <w:bCs/>
                <w:i/>
                <w:iCs/>
                <w:color w:val="000000"/>
              </w:rPr>
            </w:pPr>
            <w:r w:rsidRPr="004C7B2B">
              <w:rPr>
                <w:b/>
                <w:bCs/>
                <w:i/>
                <w:iCs/>
                <w:color w:val="000000"/>
              </w:rPr>
              <w:t>Mean</w:t>
            </w:r>
          </w:p>
        </w:tc>
        <w:tc>
          <w:tcPr>
            <w:tcW w:w="1104" w:type="dxa"/>
            <w:tcBorders>
              <w:top w:val="single" w:sz="4" w:space="0" w:color="auto"/>
              <w:bottom w:val="single" w:sz="4" w:space="0" w:color="auto"/>
            </w:tcBorders>
            <w:shd w:val="clear" w:color="auto" w:fill="auto"/>
            <w:noWrap/>
            <w:vAlign w:val="bottom"/>
            <w:hideMark/>
          </w:tcPr>
          <w:p w14:paraId="4D3C039E" w14:textId="77777777" w:rsidR="00A10FCF" w:rsidRPr="004C7B2B" w:rsidRDefault="00A10FCF" w:rsidP="00662134">
            <w:pPr>
              <w:jc w:val="center"/>
              <w:rPr>
                <w:b/>
                <w:bCs/>
                <w:i/>
                <w:iCs/>
                <w:color w:val="000000"/>
              </w:rPr>
            </w:pPr>
            <w:r w:rsidRPr="004C7B2B">
              <w:rPr>
                <w:b/>
                <w:bCs/>
                <w:i/>
                <w:iCs/>
                <w:color w:val="000000"/>
              </w:rPr>
              <w:t>SD</w:t>
            </w:r>
          </w:p>
        </w:tc>
        <w:tc>
          <w:tcPr>
            <w:tcW w:w="1104" w:type="dxa"/>
            <w:tcBorders>
              <w:top w:val="single" w:sz="4" w:space="0" w:color="auto"/>
              <w:bottom w:val="single" w:sz="4" w:space="0" w:color="auto"/>
            </w:tcBorders>
            <w:shd w:val="clear" w:color="auto" w:fill="auto"/>
            <w:noWrap/>
            <w:vAlign w:val="bottom"/>
            <w:hideMark/>
          </w:tcPr>
          <w:p w14:paraId="1263A1B0" w14:textId="77777777" w:rsidR="00A10FCF" w:rsidRPr="004C7B2B" w:rsidRDefault="00A10FCF" w:rsidP="00662134">
            <w:pPr>
              <w:jc w:val="center"/>
              <w:rPr>
                <w:b/>
                <w:bCs/>
                <w:i/>
                <w:iCs/>
                <w:color w:val="000000"/>
              </w:rPr>
            </w:pPr>
            <w:r w:rsidRPr="004C7B2B">
              <w:rPr>
                <w:b/>
                <w:bCs/>
                <w:i/>
                <w:iCs/>
                <w:color w:val="000000"/>
              </w:rPr>
              <w:t>1</w:t>
            </w:r>
          </w:p>
        </w:tc>
        <w:tc>
          <w:tcPr>
            <w:tcW w:w="1104" w:type="dxa"/>
            <w:tcBorders>
              <w:top w:val="single" w:sz="4" w:space="0" w:color="auto"/>
              <w:bottom w:val="single" w:sz="4" w:space="0" w:color="auto"/>
            </w:tcBorders>
            <w:shd w:val="clear" w:color="auto" w:fill="auto"/>
            <w:noWrap/>
            <w:vAlign w:val="bottom"/>
            <w:hideMark/>
          </w:tcPr>
          <w:p w14:paraId="133E95E3" w14:textId="77777777" w:rsidR="00A10FCF" w:rsidRPr="004C7B2B" w:rsidRDefault="00A10FCF" w:rsidP="00662134">
            <w:pPr>
              <w:jc w:val="center"/>
              <w:rPr>
                <w:b/>
                <w:bCs/>
                <w:i/>
                <w:iCs/>
                <w:color w:val="000000"/>
              </w:rPr>
            </w:pPr>
            <w:r w:rsidRPr="004C7B2B">
              <w:rPr>
                <w:b/>
                <w:bCs/>
                <w:i/>
                <w:iCs/>
                <w:color w:val="000000"/>
              </w:rPr>
              <w:t>2</w:t>
            </w:r>
          </w:p>
        </w:tc>
        <w:tc>
          <w:tcPr>
            <w:tcW w:w="1104" w:type="dxa"/>
            <w:tcBorders>
              <w:top w:val="single" w:sz="4" w:space="0" w:color="auto"/>
              <w:bottom w:val="single" w:sz="4" w:space="0" w:color="auto"/>
            </w:tcBorders>
            <w:shd w:val="clear" w:color="auto" w:fill="auto"/>
            <w:noWrap/>
            <w:vAlign w:val="bottom"/>
            <w:hideMark/>
          </w:tcPr>
          <w:p w14:paraId="6308DABD" w14:textId="77777777" w:rsidR="00A10FCF" w:rsidRPr="004C7B2B" w:rsidRDefault="00A10FCF" w:rsidP="00662134">
            <w:pPr>
              <w:jc w:val="center"/>
              <w:rPr>
                <w:b/>
                <w:bCs/>
                <w:i/>
                <w:iCs/>
                <w:color w:val="000000"/>
              </w:rPr>
            </w:pPr>
            <w:r w:rsidRPr="004C7B2B">
              <w:rPr>
                <w:b/>
                <w:bCs/>
                <w:i/>
                <w:iCs/>
                <w:color w:val="000000"/>
              </w:rPr>
              <w:t>3</w:t>
            </w:r>
          </w:p>
        </w:tc>
        <w:tc>
          <w:tcPr>
            <w:tcW w:w="1104" w:type="dxa"/>
            <w:tcBorders>
              <w:top w:val="single" w:sz="4" w:space="0" w:color="auto"/>
              <w:bottom w:val="single" w:sz="4" w:space="0" w:color="auto"/>
            </w:tcBorders>
            <w:shd w:val="clear" w:color="auto" w:fill="auto"/>
            <w:noWrap/>
            <w:vAlign w:val="bottom"/>
            <w:hideMark/>
          </w:tcPr>
          <w:p w14:paraId="65BC641E" w14:textId="77777777" w:rsidR="00A10FCF" w:rsidRPr="004C7B2B" w:rsidRDefault="00A10FCF" w:rsidP="00662134">
            <w:pPr>
              <w:jc w:val="center"/>
              <w:rPr>
                <w:b/>
                <w:bCs/>
                <w:i/>
                <w:iCs/>
                <w:color w:val="000000"/>
              </w:rPr>
            </w:pPr>
            <w:r w:rsidRPr="004C7B2B">
              <w:rPr>
                <w:b/>
                <w:bCs/>
                <w:i/>
                <w:iCs/>
                <w:color w:val="000000"/>
              </w:rPr>
              <w:t>4</w:t>
            </w:r>
          </w:p>
        </w:tc>
        <w:tc>
          <w:tcPr>
            <w:tcW w:w="1104" w:type="dxa"/>
            <w:tcBorders>
              <w:top w:val="single" w:sz="4" w:space="0" w:color="auto"/>
              <w:bottom w:val="single" w:sz="4" w:space="0" w:color="auto"/>
            </w:tcBorders>
            <w:shd w:val="clear" w:color="auto" w:fill="auto"/>
            <w:noWrap/>
            <w:vAlign w:val="bottom"/>
            <w:hideMark/>
          </w:tcPr>
          <w:p w14:paraId="0759BC7A" w14:textId="77777777" w:rsidR="00A10FCF" w:rsidRPr="004C7B2B" w:rsidRDefault="00A10FCF" w:rsidP="00662134">
            <w:pPr>
              <w:jc w:val="center"/>
              <w:rPr>
                <w:b/>
                <w:bCs/>
                <w:i/>
                <w:iCs/>
                <w:color w:val="000000"/>
              </w:rPr>
            </w:pPr>
            <w:r w:rsidRPr="004C7B2B">
              <w:rPr>
                <w:b/>
                <w:bCs/>
                <w:i/>
                <w:iCs/>
                <w:color w:val="000000"/>
              </w:rPr>
              <w:t>5</w:t>
            </w:r>
          </w:p>
        </w:tc>
        <w:tc>
          <w:tcPr>
            <w:tcW w:w="1104" w:type="dxa"/>
            <w:tcBorders>
              <w:top w:val="single" w:sz="4" w:space="0" w:color="auto"/>
              <w:bottom w:val="single" w:sz="4" w:space="0" w:color="auto"/>
            </w:tcBorders>
            <w:shd w:val="clear" w:color="auto" w:fill="auto"/>
            <w:noWrap/>
            <w:vAlign w:val="bottom"/>
            <w:hideMark/>
          </w:tcPr>
          <w:p w14:paraId="18A0452D" w14:textId="77777777" w:rsidR="00A10FCF" w:rsidRPr="004C7B2B" w:rsidRDefault="00A10FCF" w:rsidP="00662134">
            <w:pPr>
              <w:jc w:val="center"/>
              <w:rPr>
                <w:b/>
                <w:bCs/>
                <w:i/>
                <w:iCs/>
                <w:color w:val="000000"/>
              </w:rPr>
            </w:pPr>
            <w:r w:rsidRPr="004C7B2B">
              <w:rPr>
                <w:b/>
                <w:bCs/>
                <w:i/>
                <w:iCs/>
                <w:color w:val="000000"/>
              </w:rPr>
              <w:t>6</w:t>
            </w:r>
          </w:p>
        </w:tc>
      </w:tr>
      <w:tr w:rsidR="00A10FCF" w:rsidRPr="004C7B2B" w14:paraId="38F674BE" w14:textId="77777777" w:rsidTr="00662134">
        <w:trPr>
          <w:trHeight w:val="505"/>
        </w:trPr>
        <w:tc>
          <w:tcPr>
            <w:tcW w:w="350" w:type="dxa"/>
            <w:shd w:val="clear" w:color="auto" w:fill="auto"/>
            <w:noWrap/>
            <w:vAlign w:val="bottom"/>
            <w:hideMark/>
          </w:tcPr>
          <w:p w14:paraId="7A420DDF" w14:textId="77777777" w:rsidR="00A10FCF" w:rsidRPr="004C7B2B" w:rsidRDefault="00A10FCF" w:rsidP="00662134">
            <w:pPr>
              <w:jc w:val="right"/>
              <w:rPr>
                <w:color w:val="000000"/>
              </w:rPr>
            </w:pPr>
            <w:r w:rsidRPr="004C7B2B">
              <w:rPr>
                <w:color w:val="000000"/>
              </w:rPr>
              <w:t>1</w:t>
            </w:r>
          </w:p>
        </w:tc>
        <w:tc>
          <w:tcPr>
            <w:tcW w:w="5021" w:type="dxa"/>
            <w:tcBorders>
              <w:top w:val="single" w:sz="4" w:space="0" w:color="auto"/>
            </w:tcBorders>
            <w:shd w:val="clear" w:color="auto" w:fill="auto"/>
            <w:noWrap/>
            <w:vAlign w:val="bottom"/>
            <w:hideMark/>
          </w:tcPr>
          <w:p w14:paraId="531B0B7D" w14:textId="77777777" w:rsidR="00A10FCF" w:rsidRPr="004C7B2B" w:rsidRDefault="00A10FCF" w:rsidP="00662134">
            <w:pPr>
              <w:rPr>
                <w:color w:val="000000"/>
              </w:rPr>
            </w:pPr>
            <w:r w:rsidRPr="004C7B2B">
              <w:rPr>
                <w:color w:val="000000"/>
              </w:rPr>
              <w:t>Weeks</w:t>
            </w:r>
          </w:p>
        </w:tc>
        <w:tc>
          <w:tcPr>
            <w:tcW w:w="1104" w:type="dxa"/>
            <w:tcBorders>
              <w:top w:val="single" w:sz="4" w:space="0" w:color="auto"/>
            </w:tcBorders>
            <w:shd w:val="clear" w:color="auto" w:fill="auto"/>
            <w:noWrap/>
            <w:vAlign w:val="bottom"/>
            <w:hideMark/>
          </w:tcPr>
          <w:p w14:paraId="4F948E67" w14:textId="77777777" w:rsidR="00A10FCF" w:rsidRPr="004C7B2B" w:rsidRDefault="00A10FCF" w:rsidP="00662134">
            <w:pPr>
              <w:jc w:val="center"/>
              <w:rPr>
                <w:color w:val="000000"/>
              </w:rPr>
            </w:pPr>
            <w:r w:rsidRPr="004C7B2B">
              <w:rPr>
                <w:color w:val="000000"/>
              </w:rPr>
              <w:t>3.31</w:t>
            </w:r>
          </w:p>
        </w:tc>
        <w:tc>
          <w:tcPr>
            <w:tcW w:w="1104" w:type="dxa"/>
            <w:tcBorders>
              <w:top w:val="single" w:sz="4" w:space="0" w:color="auto"/>
            </w:tcBorders>
            <w:shd w:val="clear" w:color="auto" w:fill="auto"/>
            <w:noWrap/>
            <w:vAlign w:val="bottom"/>
            <w:hideMark/>
          </w:tcPr>
          <w:p w14:paraId="1127F703" w14:textId="77777777" w:rsidR="00A10FCF" w:rsidRPr="004C7B2B" w:rsidRDefault="00A10FCF" w:rsidP="00662134">
            <w:pPr>
              <w:jc w:val="center"/>
              <w:rPr>
                <w:color w:val="000000"/>
              </w:rPr>
            </w:pPr>
            <w:r w:rsidRPr="004C7B2B">
              <w:rPr>
                <w:color w:val="000000"/>
              </w:rPr>
              <w:t>1.18</w:t>
            </w:r>
          </w:p>
        </w:tc>
        <w:tc>
          <w:tcPr>
            <w:tcW w:w="1104" w:type="dxa"/>
            <w:tcBorders>
              <w:top w:val="single" w:sz="4" w:space="0" w:color="auto"/>
            </w:tcBorders>
            <w:shd w:val="clear" w:color="auto" w:fill="auto"/>
            <w:noWrap/>
            <w:vAlign w:val="bottom"/>
            <w:hideMark/>
          </w:tcPr>
          <w:p w14:paraId="453BEFA7" w14:textId="5524374B" w:rsidR="00A10FCF" w:rsidRPr="004C7B2B" w:rsidRDefault="00A10FCF" w:rsidP="00662134">
            <w:pPr>
              <w:jc w:val="center"/>
              <w:rPr>
                <w:color w:val="000000"/>
              </w:rPr>
            </w:pPr>
          </w:p>
        </w:tc>
        <w:tc>
          <w:tcPr>
            <w:tcW w:w="1104" w:type="dxa"/>
            <w:tcBorders>
              <w:top w:val="single" w:sz="4" w:space="0" w:color="auto"/>
            </w:tcBorders>
            <w:shd w:val="clear" w:color="auto" w:fill="auto"/>
            <w:noWrap/>
            <w:vAlign w:val="bottom"/>
            <w:hideMark/>
          </w:tcPr>
          <w:p w14:paraId="2765B109" w14:textId="77777777" w:rsidR="00A10FCF" w:rsidRPr="004C7B2B" w:rsidRDefault="00A10FCF" w:rsidP="00662134">
            <w:pPr>
              <w:jc w:val="center"/>
              <w:rPr>
                <w:color w:val="000000"/>
              </w:rPr>
            </w:pPr>
            <w:r w:rsidRPr="004C7B2B">
              <w:rPr>
                <w:color w:val="000000"/>
              </w:rPr>
              <w:t> </w:t>
            </w:r>
          </w:p>
        </w:tc>
        <w:tc>
          <w:tcPr>
            <w:tcW w:w="1104" w:type="dxa"/>
            <w:tcBorders>
              <w:top w:val="single" w:sz="4" w:space="0" w:color="auto"/>
            </w:tcBorders>
            <w:shd w:val="clear" w:color="auto" w:fill="auto"/>
            <w:noWrap/>
            <w:vAlign w:val="bottom"/>
            <w:hideMark/>
          </w:tcPr>
          <w:p w14:paraId="0345782C" w14:textId="77777777" w:rsidR="00A10FCF" w:rsidRPr="004C7B2B" w:rsidRDefault="00A10FCF" w:rsidP="00662134">
            <w:pPr>
              <w:jc w:val="center"/>
              <w:rPr>
                <w:color w:val="000000"/>
              </w:rPr>
            </w:pPr>
            <w:r w:rsidRPr="004C7B2B">
              <w:rPr>
                <w:color w:val="000000"/>
              </w:rPr>
              <w:t> </w:t>
            </w:r>
          </w:p>
        </w:tc>
        <w:tc>
          <w:tcPr>
            <w:tcW w:w="1104" w:type="dxa"/>
            <w:tcBorders>
              <w:top w:val="single" w:sz="4" w:space="0" w:color="auto"/>
            </w:tcBorders>
            <w:shd w:val="clear" w:color="auto" w:fill="auto"/>
            <w:noWrap/>
            <w:vAlign w:val="bottom"/>
            <w:hideMark/>
          </w:tcPr>
          <w:p w14:paraId="1B1FD18E" w14:textId="77777777" w:rsidR="00A10FCF" w:rsidRPr="004C7B2B" w:rsidRDefault="00A10FCF" w:rsidP="00662134">
            <w:pPr>
              <w:jc w:val="center"/>
              <w:rPr>
                <w:color w:val="000000"/>
              </w:rPr>
            </w:pPr>
            <w:r w:rsidRPr="004C7B2B">
              <w:rPr>
                <w:color w:val="000000"/>
              </w:rPr>
              <w:t> </w:t>
            </w:r>
          </w:p>
        </w:tc>
        <w:tc>
          <w:tcPr>
            <w:tcW w:w="1104" w:type="dxa"/>
            <w:tcBorders>
              <w:top w:val="single" w:sz="4" w:space="0" w:color="auto"/>
            </w:tcBorders>
            <w:shd w:val="clear" w:color="auto" w:fill="auto"/>
            <w:noWrap/>
            <w:vAlign w:val="bottom"/>
            <w:hideMark/>
          </w:tcPr>
          <w:p w14:paraId="2EB6F674" w14:textId="77777777" w:rsidR="00A10FCF" w:rsidRPr="004C7B2B" w:rsidRDefault="00A10FCF" w:rsidP="00662134">
            <w:pPr>
              <w:jc w:val="center"/>
              <w:rPr>
                <w:color w:val="000000"/>
              </w:rPr>
            </w:pPr>
            <w:r w:rsidRPr="004C7B2B">
              <w:rPr>
                <w:color w:val="000000"/>
              </w:rPr>
              <w:t> </w:t>
            </w:r>
          </w:p>
        </w:tc>
        <w:tc>
          <w:tcPr>
            <w:tcW w:w="1104" w:type="dxa"/>
            <w:tcBorders>
              <w:top w:val="single" w:sz="4" w:space="0" w:color="auto"/>
            </w:tcBorders>
            <w:shd w:val="clear" w:color="auto" w:fill="auto"/>
            <w:noWrap/>
            <w:vAlign w:val="bottom"/>
            <w:hideMark/>
          </w:tcPr>
          <w:p w14:paraId="3C197DA8" w14:textId="77777777" w:rsidR="00A10FCF" w:rsidRPr="004C7B2B" w:rsidRDefault="00A10FCF" w:rsidP="00662134">
            <w:pPr>
              <w:jc w:val="center"/>
              <w:rPr>
                <w:color w:val="000000"/>
              </w:rPr>
            </w:pPr>
            <w:r w:rsidRPr="004C7B2B">
              <w:rPr>
                <w:color w:val="000000"/>
              </w:rPr>
              <w:t> </w:t>
            </w:r>
          </w:p>
        </w:tc>
      </w:tr>
      <w:tr w:rsidR="00A10FCF" w:rsidRPr="004C7B2B" w14:paraId="55B88134" w14:textId="77777777" w:rsidTr="00662134">
        <w:trPr>
          <w:trHeight w:val="505"/>
        </w:trPr>
        <w:tc>
          <w:tcPr>
            <w:tcW w:w="350" w:type="dxa"/>
            <w:shd w:val="clear" w:color="auto" w:fill="auto"/>
            <w:noWrap/>
            <w:vAlign w:val="bottom"/>
            <w:hideMark/>
          </w:tcPr>
          <w:p w14:paraId="61E96747" w14:textId="77777777" w:rsidR="00A10FCF" w:rsidRPr="004C7B2B" w:rsidRDefault="00A10FCF" w:rsidP="00662134">
            <w:pPr>
              <w:rPr>
                <w:color w:val="000000"/>
              </w:rPr>
            </w:pPr>
            <w:r w:rsidRPr="004C7B2B">
              <w:rPr>
                <w:color w:val="000000"/>
              </w:rPr>
              <w:t> </w:t>
            </w:r>
          </w:p>
        </w:tc>
        <w:tc>
          <w:tcPr>
            <w:tcW w:w="5021" w:type="dxa"/>
            <w:shd w:val="clear" w:color="auto" w:fill="auto"/>
            <w:noWrap/>
            <w:vAlign w:val="bottom"/>
            <w:hideMark/>
          </w:tcPr>
          <w:p w14:paraId="522BE8DB" w14:textId="77777777" w:rsidR="00A10FCF" w:rsidRPr="004C7B2B" w:rsidRDefault="00A10FCF" w:rsidP="00662134">
            <w:pPr>
              <w:rPr>
                <w:b/>
                <w:bCs/>
                <w:color w:val="000000"/>
              </w:rPr>
            </w:pPr>
            <w:r w:rsidRPr="004C7B2B">
              <w:rPr>
                <w:b/>
                <w:bCs/>
                <w:color w:val="000000"/>
              </w:rPr>
              <w:t>Week Level</w:t>
            </w:r>
          </w:p>
        </w:tc>
        <w:tc>
          <w:tcPr>
            <w:tcW w:w="1104" w:type="dxa"/>
            <w:shd w:val="clear" w:color="auto" w:fill="auto"/>
            <w:noWrap/>
            <w:vAlign w:val="bottom"/>
            <w:hideMark/>
          </w:tcPr>
          <w:p w14:paraId="79910022"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4ABF0BBE"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1E324760"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09E8EF11"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482813B3"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4488A087"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48834777"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6F5973B3" w14:textId="77777777" w:rsidR="00A10FCF" w:rsidRPr="004C7B2B" w:rsidRDefault="00A10FCF" w:rsidP="00662134">
            <w:pPr>
              <w:jc w:val="center"/>
              <w:rPr>
                <w:color w:val="000000"/>
              </w:rPr>
            </w:pPr>
            <w:r w:rsidRPr="004C7B2B">
              <w:rPr>
                <w:color w:val="000000"/>
              </w:rPr>
              <w:t> </w:t>
            </w:r>
          </w:p>
        </w:tc>
      </w:tr>
      <w:tr w:rsidR="00A10FCF" w:rsidRPr="004C7B2B" w14:paraId="26AA63B3" w14:textId="77777777" w:rsidTr="00662134">
        <w:trPr>
          <w:trHeight w:val="505"/>
        </w:trPr>
        <w:tc>
          <w:tcPr>
            <w:tcW w:w="350" w:type="dxa"/>
            <w:shd w:val="clear" w:color="auto" w:fill="auto"/>
            <w:noWrap/>
            <w:vAlign w:val="bottom"/>
            <w:hideMark/>
          </w:tcPr>
          <w:p w14:paraId="22418661" w14:textId="77777777" w:rsidR="00A10FCF" w:rsidRPr="004C7B2B" w:rsidRDefault="00A10FCF" w:rsidP="00662134">
            <w:pPr>
              <w:jc w:val="right"/>
              <w:rPr>
                <w:color w:val="000000"/>
              </w:rPr>
            </w:pPr>
            <w:r w:rsidRPr="004C7B2B">
              <w:rPr>
                <w:color w:val="000000"/>
              </w:rPr>
              <w:t>2</w:t>
            </w:r>
          </w:p>
        </w:tc>
        <w:tc>
          <w:tcPr>
            <w:tcW w:w="5021" w:type="dxa"/>
            <w:shd w:val="clear" w:color="auto" w:fill="auto"/>
            <w:noWrap/>
            <w:vAlign w:val="bottom"/>
            <w:hideMark/>
          </w:tcPr>
          <w:p w14:paraId="46CCEC96" w14:textId="77777777" w:rsidR="00A10FCF" w:rsidRPr="004C7B2B" w:rsidRDefault="00A10FCF" w:rsidP="00662134">
            <w:pPr>
              <w:rPr>
                <w:color w:val="000000"/>
              </w:rPr>
            </w:pPr>
            <w:r w:rsidRPr="004C7B2B">
              <w:rPr>
                <w:color w:val="000000"/>
              </w:rPr>
              <w:t>FSSBs</w:t>
            </w:r>
          </w:p>
        </w:tc>
        <w:tc>
          <w:tcPr>
            <w:tcW w:w="1104" w:type="dxa"/>
            <w:shd w:val="clear" w:color="auto" w:fill="auto"/>
            <w:noWrap/>
            <w:vAlign w:val="bottom"/>
            <w:hideMark/>
          </w:tcPr>
          <w:p w14:paraId="3E9D1CEB" w14:textId="77777777" w:rsidR="00A10FCF" w:rsidRPr="004C7B2B" w:rsidRDefault="00A10FCF" w:rsidP="00662134">
            <w:pPr>
              <w:jc w:val="center"/>
              <w:rPr>
                <w:color w:val="000000"/>
              </w:rPr>
            </w:pPr>
            <w:r w:rsidRPr="004C7B2B">
              <w:rPr>
                <w:color w:val="000000"/>
              </w:rPr>
              <w:t>4.39</w:t>
            </w:r>
          </w:p>
        </w:tc>
        <w:tc>
          <w:tcPr>
            <w:tcW w:w="1104" w:type="dxa"/>
            <w:shd w:val="clear" w:color="auto" w:fill="auto"/>
            <w:noWrap/>
            <w:vAlign w:val="bottom"/>
            <w:hideMark/>
          </w:tcPr>
          <w:p w14:paraId="2C6B48D3" w14:textId="77777777" w:rsidR="00A10FCF" w:rsidRPr="004C7B2B" w:rsidRDefault="00A10FCF" w:rsidP="00662134">
            <w:pPr>
              <w:jc w:val="center"/>
              <w:rPr>
                <w:color w:val="000000"/>
              </w:rPr>
            </w:pPr>
            <w:r w:rsidRPr="004C7B2B">
              <w:rPr>
                <w:color w:val="000000"/>
              </w:rPr>
              <w:t>1.81</w:t>
            </w:r>
          </w:p>
        </w:tc>
        <w:tc>
          <w:tcPr>
            <w:tcW w:w="1104" w:type="dxa"/>
            <w:shd w:val="clear" w:color="auto" w:fill="auto"/>
            <w:noWrap/>
            <w:vAlign w:val="bottom"/>
            <w:hideMark/>
          </w:tcPr>
          <w:p w14:paraId="2AD59E3F" w14:textId="77777777" w:rsidR="00A10FCF" w:rsidRPr="004C7B2B" w:rsidRDefault="00A10FCF" w:rsidP="00662134">
            <w:pPr>
              <w:jc w:val="center"/>
              <w:rPr>
                <w:color w:val="000000"/>
              </w:rPr>
            </w:pPr>
            <w:r w:rsidRPr="004C7B2B">
              <w:rPr>
                <w:color w:val="000000"/>
              </w:rPr>
              <w:t>0.03</w:t>
            </w:r>
          </w:p>
        </w:tc>
        <w:tc>
          <w:tcPr>
            <w:tcW w:w="1104" w:type="dxa"/>
            <w:shd w:val="clear" w:color="auto" w:fill="auto"/>
            <w:noWrap/>
            <w:vAlign w:val="bottom"/>
            <w:hideMark/>
          </w:tcPr>
          <w:p w14:paraId="60249753" w14:textId="77777777" w:rsidR="00A10FCF" w:rsidRPr="004C7B2B" w:rsidRDefault="00A10FCF" w:rsidP="00662134">
            <w:pPr>
              <w:jc w:val="center"/>
              <w:rPr>
                <w:color w:val="000000"/>
              </w:rPr>
            </w:pPr>
            <w:r>
              <w:rPr>
                <w:color w:val="000000"/>
              </w:rPr>
              <w:t>(0.95)</w:t>
            </w:r>
          </w:p>
        </w:tc>
        <w:tc>
          <w:tcPr>
            <w:tcW w:w="1104" w:type="dxa"/>
            <w:shd w:val="clear" w:color="auto" w:fill="auto"/>
            <w:noWrap/>
            <w:vAlign w:val="bottom"/>
            <w:hideMark/>
          </w:tcPr>
          <w:p w14:paraId="76CE2D15"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5EA467FA"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6435CAA5"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7EABFA33" w14:textId="77777777" w:rsidR="00A10FCF" w:rsidRPr="004C7B2B" w:rsidRDefault="00A10FCF" w:rsidP="00662134">
            <w:pPr>
              <w:jc w:val="center"/>
              <w:rPr>
                <w:color w:val="000000"/>
              </w:rPr>
            </w:pPr>
            <w:r w:rsidRPr="004C7B2B">
              <w:rPr>
                <w:color w:val="000000"/>
              </w:rPr>
              <w:t> </w:t>
            </w:r>
          </w:p>
        </w:tc>
      </w:tr>
      <w:tr w:rsidR="00A10FCF" w:rsidRPr="004C7B2B" w14:paraId="5F920498" w14:textId="77777777" w:rsidTr="00662134">
        <w:trPr>
          <w:trHeight w:val="505"/>
        </w:trPr>
        <w:tc>
          <w:tcPr>
            <w:tcW w:w="350" w:type="dxa"/>
            <w:shd w:val="clear" w:color="auto" w:fill="auto"/>
            <w:noWrap/>
            <w:vAlign w:val="bottom"/>
            <w:hideMark/>
          </w:tcPr>
          <w:p w14:paraId="71BF9687" w14:textId="77777777" w:rsidR="00A10FCF" w:rsidRPr="004C7B2B" w:rsidRDefault="00A10FCF" w:rsidP="00662134">
            <w:pPr>
              <w:jc w:val="right"/>
              <w:rPr>
                <w:color w:val="000000"/>
              </w:rPr>
            </w:pPr>
            <w:r w:rsidRPr="004C7B2B">
              <w:rPr>
                <w:color w:val="000000"/>
              </w:rPr>
              <w:t>3</w:t>
            </w:r>
          </w:p>
        </w:tc>
        <w:tc>
          <w:tcPr>
            <w:tcW w:w="5021" w:type="dxa"/>
            <w:shd w:val="clear" w:color="auto" w:fill="auto"/>
            <w:noWrap/>
            <w:vAlign w:val="bottom"/>
            <w:hideMark/>
          </w:tcPr>
          <w:p w14:paraId="5DFEA457" w14:textId="77777777" w:rsidR="00A10FCF" w:rsidRPr="004C7B2B" w:rsidRDefault="00A10FCF" w:rsidP="00662134">
            <w:pPr>
              <w:rPr>
                <w:color w:val="000000"/>
              </w:rPr>
            </w:pPr>
            <w:r w:rsidRPr="004C7B2B">
              <w:rPr>
                <w:color w:val="000000"/>
              </w:rPr>
              <w:t xml:space="preserve">Exhaustion </w:t>
            </w:r>
          </w:p>
        </w:tc>
        <w:tc>
          <w:tcPr>
            <w:tcW w:w="1104" w:type="dxa"/>
            <w:shd w:val="clear" w:color="auto" w:fill="auto"/>
            <w:noWrap/>
            <w:vAlign w:val="bottom"/>
            <w:hideMark/>
          </w:tcPr>
          <w:p w14:paraId="0CF37BA5" w14:textId="77777777" w:rsidR="00A10FCF" w:rsidRPr="004C7B2B" w:rsidRDefault="00A10FCF" w:rsidP="00662134">
            <w:pPr>
              <w:jc w:val="center"/>
              <w:rPr>
                <w:color w:val="000000"/>
              </w:rPr>
            </w:pPr>
            <w:r w:rsidRPr="004C7B2B">
              <w:rPr>
                <w:color w:val="000000"/>
              </w:rPr>
              <w:t>3.91</w:t>
            </w:r>
          </w:p>
        </w:tc>
        <w:tc>
          <w:tcPr>
            <w:tcW w:w="1104" w:type="dxa"/>
            <w:shd w:val="clear" w:color="auto" w:fill="auto"/>
            <w:noWrap/>
            <w:vAlign w:val="bottom"/>
            <w:hideMark/>
          </w:tcPr>
          <w:p w14:paraId="73DB1AD7" w14:textId="77777777" w:rsidR="00A10FCF" w:rsidRPr="004C7B2B" w:rsidRDefault="00A10FCF" w:rsidP="00662134">
            <w:pPr>
              <w:jc w:val="center"/>
              <w:rPr>
                <w:color w:val="000000"/>
              </w:rPr>
            </w:pPr>
            <w:r w:rsidRPr="004C7B2B">
              <w:rPr>
                <w:color w:val="000000"/>
              </w:rPr>
              <w:t>1.41</w:t>
            </w:r>
          </w:p>
        </w:tc>
        <w:tc>
          <w:tcPr>
            <w:tcW w:w="1104" w:type="dxa"/>
            <w:shd w:val="clear" w:color="auto" w:fill="auto"/>
            <w:noWrap/>
            <w:vAlign w:val="bottom"/>
            <w:hideMark/>
          </w:tcPr>
          <w:p w14:paraId="37A1A942" w14:textId="77777777" w:rsidR="00A10FCF" w:rsidRPr="004C7B2B" w:rsidRDefault="00A10FCF" w:rsidP="00662134">
            <w:pPr>
              <w:jc w:val="center"/>
              <w:rPr>
                <w:color w:val="000000"/>
              </w:rPr>
            </w:pPr>
            <w:r w:rsidRPr="004C7B2B">
              <w:rPr>
                <w:color w:val="000000"/>
              </w:rPr>
              <w:t>-0.05</w:t>
            </w:r>
          </w:p>
        </w:tc>
        <w:tc>
          <w:tcPr>
            <w:tcW w:w="1104" w:type="dxa"/>
            <w:shd w:val="clear" w:color="auto" w:fill="auto"/>
            <w:noWrap/>
            <w:vAlign w:val="bottom"/>
            <w:hideMark/>
          </w:tcPr>
          <w:p w14:paraId="4FE72C42" w14:textId="77777777" w:rsidR="00A10FCF" w:rsidRPr="004C7B2B" w:rsidRDefault="00A10FCF" w:rsidP="00662134">
            <w:pPr>
              <w:jc w:val="center"/>
              <w:rPr>
                <w:color w:val="000000"/>
              </w:rPr>
            </w:pPr>
            <w:r w:rsidRPr="004C7B2B">
              <w:rPr>
                <w:color w:val="000000"/>
              </w:rPr>
              <w:t>-0.15</w:t>
            </w:r>
            <w:r>
              <w:rPr>
                <w:color w:val="000000"/>
              </w:rPr>
              <w:t>**</w:t>
            </w:r>
          </w:p>
        </w:tc>
        <w:tc>
          <w:tcPr>
            <w:tcW w:w="1104" w:type="dxa"/>
            <w:shd w:val="clear" w:color="auto" w:fill="auto"/>
            <w:noWrap/>
            <w:vAlign w:val="bottom"/>
            <w:hideMark/>
          </w:tcPr>
          <w:p w14:paraId="7299AD4D" w14:textId="77777777" w:rsidR="00A10FCF" w:rsidRPr="004C7B2B" w:rsidRDefault="00A10FCF" w:rsidP="00662134">
            <w:pPr>
              <w:jc w:val="center"/>
              <w:rPr>
                <w:color w:val="000000"/>
              </w:rPr>
            </w:pPr>
            <w:r>
              <w:rPr>
                <w:color w:val="000000"/>
              </w:rPr>
              <w:t>(0.82)</w:t>
            </w:r>
            <w:r w:rsidRPr="004C7B2B">
              <w:rPr>
                <w:color w:val="000000"/>
              </w:rPr>
              <w:t> </w:t>
            </w:r>
          </w:p>
        </w:tc>
        <w:tc>
          <w:tcPr>
            <w:tcW w:w="1104" w:type="dxa"/>
            <w:shd w:val="clear" w:color="auto" w:fill="auto"/>
            <w:noWrap/>
            <w:vAlign w:val="bottom"/>
            <w:hideMark/>
          </w:tcPr>
          <w:p w14:paraId="0C9A4E33"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16B6AB4F"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78D6B2B0" w14:textId="77777777" w:rsidR="00A10FCF" w:rsidRPr="004C7B2B" w:rsidRDefault="00A10FCF" w:rsidP="00662134">
            <w:pPr>
              <w:jc w:val="center"/>
              <w:rPr>
                <w:color w:val="000000"/>
              </w:rPr>
            </w:pPr>
            <w:r w:rsidRPr="004C7B2B">
              <w:rPr>
                <w:color w:val="000000"/>
              </w:rPr>
              <w:t> </w:t>
            </w:r>
          </w:p>
        </w:tc>
      </w:tr>
      <w:tr w:rsidR="00A10FCF" w:rsidRPr="004C7B2B" w14:paraId="39E40E15" w14:textId="77777777" w:rsidTr="00662134">
        <w:trPr>
          <w:trHeight w:val="505"/>
        </w:trPr>
        <w:tc>
          <w:tcPr>
            <w:tcW w:w="350" w:type="dxa"/>
            <w:shd w:val="clear" w:color="auto" w:fill="auto"/>
            <w:noWrap/>
            <w:vAlign w:val="bottom"/>
            <w:hideMark/>
          </w:tcPr>
          <w:p w14:paraId="7FC72264" w14:textId="77777777" w:rsidR="00A10FCF" w:rsidRPr="004C7B2B" w:rsidRDefault="00A10FCF" w:rsidP="00662134">
            <w:pPr>
              <w:jc w:val="right"/>
              <w:rPr>
                <w:color w:val="000000"/>
              </w:rPr>
            </w:pPr>
            <w:r w:rsidRPr="004C7B2B">
              <w:rPr>
                <w:color w:val="000000"/>
              </w:rPr>
              <w:t>4</w:t>
            </w:r>
          </w:p>
        </w:tc>
        <w:tc>
          <w:tcPr>
            <w:tcW w:w="5021" w:type="dxa"/>
            <w:shd w:val="clear" w:color="auto" w:fill="auto"/>
            <w:noWrap/>
            <w:vAlign w:val="bottom"/>
            <w:hideMark/>
          </w:tcPr>
          <w:p w14:paraId="157F5B1B" w14:textId="77777777" w:rsidR="00A10FCF" w:rsidRPr="004C7B2B" w:rsidRDefault="00A10FCF" w:rsidP="00662134">
            <w:pPr>
              <w:rPr>
                <w:color w:val="000000"/>
              </w:rPr>
            </w:pPr>
            <w:r w:rsidRPr="004C7B2B">
              <w:rPr>
                <w:color w:val="000000"/>
              </w:rPr>
              <w:t>Creativity</w:t>
            </w:r>
          </w:p>
        </w:tc>
        <w:tc>
          <w:tcPr>
            <w:tcW w:w="1104" w:type="dxa"/>
            <w:shd w:val="clear" w:color="auto" w:fill="auto"/>
            <w:noWrap/>
            <w:vAlign w:val="bottom"/>
            <w:hideMark/>
          </w:tcPr>
          <w:p w14:paraId="51D6C930" w14:textId="77777777" w:rsidR="00A10FCF" w:rsidRPr="004C7B2B" w:rsidRDefault="00A10FCF" w:rsidP="00662134">
            <w:pPr>
              <w:jc w:val="center"/>
              <w:rPr>
                <w:color w:val="000000"/>
              </w:rPr>
            </w:pPr>
            <w:r w:rsidRPr="004C7B2B">
              <w:rPr>
                <w:color w:val="000000"/>
              </w:rPr>
              <w:t>4.12</w:t>
            </w:r>
          </w:p>
        </w:tc>
        <w:tc>
          <w:tcPr>
            <w:tcW w:w="1104" w:type="dxa"/>
            <w:shd w:val="clear" w:color="auto" w:fill="auto"/>
            <w:noWrap/>
            <w:vAlign w:val="bottom"/>
            <w:hideMark/>
          </w:tcPr>
          <w:p w14:paraId="37F120FD" w14:textId="77777777" w:rsidR="00A10FCF" w:rsidRPr="004C7B2B" w:rsidRDefault="00A10FCF" w:rsidP="00662134">
            <w:pPr>
              <w:jc w:val="center"/>
              <w:rPr>
                <w:color w:val="000000"/>
              </w:rPr>
            </w:pPr>
            <w:r w:rsidRPr="004C7B2B">
              <w:rPr>
                <w:color w:val="000000"/>
              </w:rPr>
              <w:t>1.53</w:t>
            </w:r>
          </w:p>
        </w:tc>
        <w:tc>
          <w:tcPr>
            <w:tcW w:w="1104" w:type="dxa"/>
            <w:shd w:val="clear" w:color="auto" w:fill="auto"/>
            <w:noWrap/>
            <w:vAlign w:val="bottom"/>
            <w:hideMark/>
          </w:tcPr>
          <w:p w14:paraId="388B48A0" w14:textId="77777777" w:rsidR="00A10FCF" w:rsidRPr="004C7B2B" w:rsidRDefault="00A10FCF" w:rsidP="00662134">
            <w:pPr>
              <w:jc w:val="center"/>
              <w:rPr>
                <w:color w:val="000000"/>
              </w:rPr>
            </w:pPr>
            <w:r w:rsidRPr="004C7B2B">
              <w:rPr>
                <w:color w:val="000000"/>
              </w:rPr>
              <w:t>0.03</w:t>
            </w:r>
          </w:p>
        </w:tc>
        <w:tc>
          <w:tcPr>
            <w:tcW w:w="1104" w:type="dxa"/>
            <w:shd w:val="clear" w:color="auto" w:fill="auto"/>
            <w:noWrap/>
            <w:vAlign w:val="bottom"/>
            <w:hideMark/>
          </w:tcPr>
          <w:p w14:paraId="526DFD3D" w14:textId="77777777" w:rsidR="00A10FCF" w:rsidRPr="004C7B2B" w:rsidRDefault="00A10FCF" w:rsidP="00662134">
            <w:pPr>
              <w:jc w:val="center"/>
              <w:rPr>
                <w:color w:val="000000"/>
              </w:rPr>
            </w:pPr>
            <w:r w:rsidRPr="004C7B2B">
              <w:rPr>
                <w:color w:val="000000"/>
              </w:rPr>
              <w:t>0.35</w:t>
            </w:r>
            <w:r>
              <w:rPr>
                <w:color w:val="000000"/>
              </w:rPr>
              <w:t>**</w:t>
            </w:r>
          </w:p>
        </w:tc>
        <w:tc>
          <w:tcPr>
            <w:tcW w:w="1104" w:type="dxa"/>
            <w:shd w:val="clear" w:color="auto" w:fill="auto"/>
            <w:noWrap/>
            <w:vAlign w:val="bottom"/>
            <w:hideMark/>
          </w:tcPr>
          <w:p w14:paraId="6098E234" w14:textId="77777777" w:rsidR="00A10FCF" w:rsidRPr="004C7B2B" w:rsidRDefault="00A10FCF" w:rsidP="00662134">
            <w:pPr>
              <w:jc w:val="center"/>
              <w:rPr>
                <w:color w:val="000000"/>
              </w:rPr>
            </w:pPr>
            <w:r w:rsidRPr="004C7B2B">
              <w:rPr>
                <w:color w:val="000000"/>
              </w:rPr>
              <w:t>-0.17</w:t>
            </w:r>
            <w:r>
              <w:rPr>
                <w:color w:val="000000"/>
              </w:rPr>
              <w:t>**</w:t>
            </w:r>
          </w:p>
        </w:tc>
        <w:tc>
          <w:tcPr>
            <w:tcW w:w="1104" w:type="dxa"/>
            <w:shd w:val="clear" w:color="auto" w:fill="auto"/>
            <w:noWrap/>
            <w:vAlign w:val="bottom"/>
            <w:hideMark/>
          </w:tcPr>
          <w:p w14:paraId="642AC4F2" w14:textId="77777777" w:rsidR="00A10FCF" w:rsidRPr="004C7B2B" w:rsidRDefault="00A10FCF" w:rsidP="00662134">
            <w:pPr>
              <w:jc w:val="center"/>
              <w:rPr>
                <w:color w:val="000000"/>
              </w:rPr>
            </w:pPr>
            <w:r>
              <w:rPr>
                <w:color w:val="000000"/>
              </w:rPr>
              <w:t>(0.82)</w:t>
            </w:r>
            <w:r w:rsidRPr="004C7B2B">
              <w:rPr>
                <w:color w:val="000000"/>
              </w:rPr>
              <w:t> </w:t>
            </w:r>
          </w:p>
        </w:tc>
        <w:tc>
          <w:tcPr>
            <w:tcW w:w="1104" w:type="dxa"/>
            <w:shd w:val="clear" w:color="auto" w:fill="auto"/>
            <w:noWrap/>
            <w:vAlign w:val="bottom"/>
            <w:hideMark/>
          </w:tcPr>
          <w:p w14:paraId="57D272DF" w14:textId="77777777" w:rsidR="00A10FCF" w:rsidRPr="004C7B2B" w:rsidRDefault="00A10FCF" w:rsidP="00662134">
            <w:pPr>
              <w:jc w:val="center"/>
              <w:rPr>
                <w:color w:val="000000"/>
              </w:rPr>
            </w:pPr>
            <w:r w:rsidRPr="004C7B2B">
              <w:rPr>
                <w:color w:val="000000"/>
              </w:rPr>
              <w:t> </w:t>
            </w:r>
          </w:p>
        </w:tc>
        <w:tc>
          <w:tcPr>
            <w:tcW w:w="1104" w:type="dxa"/>
            <w:shd w:val="clear" w:color="auto" w:fill="auto"/>
            <w:noWrap/>
            <w:vAlign w:val="bottom"/>
            <w:hideMark/>
          </w:tcPr>
          <w:p w14:paraId="3F8DB1A0" w14:textId="77777777" w:rsidR="00A10FCF" w:rsidRPr="004C7B2B" w:rsidRDefault="00A10FCF" w:rsidP="00662134">
            <w:pPr>
              <w:jc w:val="center"/>
              <w:rPr>
                <w:color w:val="000000"/>
              </w:rPr>
            </w:pPr>
            <w:r w:rsidRPr="004C7B2B">
              <w:rPr>
                <w:color w:val="000000"/>
              </w:rPr>
              <w:t> </w:t>
            </w:r>
          </w:p>
        </w:tc>
      </w:tr>
      <w:tr w:rsidR="00A10FCF" w:rsidRPr="004C7B2B" w14:paraId="1122A61A" w14:textId="77777777" w:rsidTr="00662134">
        <w:trPr>
          <w:trHeight w:val="505"/>
        </w:trPr>
        <w:tc>
          <w:tcPr>
            <w:tcW w:w="350" w:type="dxa"/>
            <w:shd w:val="clear" w:color="auto" w:fill="auto"/>
            <w:noWrap/>
            <w:vAlign w:val="bottom"/>
            <w:hideMark/>
          </w:tcPr>
          <w:p w14:paraId="7CFD15FD" w14:textId="77777777" w:rsidR="00A10FCF" w:rsidRPr="004C7B2B" w:rsidRDefault="00A10FCF" w:rsidP="00662134">
            <w:pPr>
              <w:jc w:val="right"/>
              <w:rPr>
                <w:color w:val="000000"/>
              </w:rPr>
            </w:pPr>
            <w:r w:rsidRPr="004C7B2B">
              <w:rPr>
                <w:color w:val="000000"/>
              </w:rPr>
              <w:t>5</w:t>
            </w:r>
          </w:p>
        </w:tc>
        <w:tc>
          <w:tcPr>
            <w:tcW w:w="5021" w:type="dxa"/>
            <w:shd w:val="clear" w:color="auto" w:fill="auto"/>
            <w:noWrap/>
            <w:vAlign w:val="bottom"/>
            <w:hideMark/>
          </w:tcPr>
          <w:p w14:paraId="14418D5D" w14:textId="77777777" w:rsidR="00A10FCF" w:rsidRPr="004C7B2B" w:rsidRDefault="00A10FCF" w:rsidP="00662134">
            <w:pPr>
              <w:rPr>
                <w:color w:val="000000"/>
              </w:rPr>
            </w:pPr>
            <w:r w:rsidRPr="004C7B2B">
              <w:rPr>
                <w:color w:val="000000"/>
              </w:rPr>
              <w:t>Sleep quality</w:t>
            </w:r>
          </w:p>
        </w:tc>
        <w:tc>
          <w:tcPr>
            <w:tcW w:w="1104" w:type="dxa"/>
            <w:shd w:val="clear" w:color="auto" w:fill="auto"/>
            <w:noWrap/>
            <w:vAlign w:val="bottom"/>
            <w:hideMark/>
          </w:tcPr>
          <w:p w14:paraId="31D8E567" w14:textId="77777777" w:rsidR="00A10FCF" w:rsidRPr="004C7B2B" w:rsidRDefault="00A10FCF" w:rsidP="00662134">
            <w:pPr>
              <w:jc w:val="center"/>
              <w:rPr>
                <w:color w:val="000000"/>
              </w:rPr>
            </w:pPr>
            <w:r w:rsidRPr="004C7B2B">
              <w:rPr>
                <w:color w:val="000000"/>
              </w:rPr>
              <w:t>4.7</w:t>
            </w:r>
          </w:p>
        </w:tc>
        <w:tc>
          <w:tcPr>
            <w:tcW w:w="1104" w:type="dxa"/>
            <w:shd w:val="clear" w:color="auto" w:fill="auto"/>
            <w:noWrap/>
            <w:vAlign w:val="bottom"/>
            <w:hideMark/>
          </w:tcPr>
          <w:p w14:paraId="68E5783B" w14:textId="77777777" w:rsidR="00A10FCF" w:rsidRPr="004C7B2B" w:rsidRDefault="00A10FCF" w:rsidP="00662134">
            <w:pPr>
              <w:jc w:val="center"/>
              <w:rPr>
                <w:color w:val="000000"/>
              </w:rPr>
            </w:pPr>
            <w:r w:rsidRPr="004C7B2B">
              <w:rPr>
                <w:color w:val="000000"/>
              </w:rPr>
              <w:t>1.47</w:t>
            </w:r>
          </w:p>
        </w:tc>
        <w:tc>
          <w:tcPr>
            <w:tcW w:w="1104" w:type="dxa"/>
            <w:shd w:val="clear" w:color="auto" w:fill="auto"/>
            <w:noWrap/>
            <w:vAlign w:val="bottom"/>
            <w:hideMark/>
          </w:tcPr>
          <w:p w14:paraId="46426B24" w14:textId="77777777" w:rsidR="00A10FCF" w:rsidRPr="004C7B2B" w:rsidRDefault="00A10FCF" w:rsidP="00662134">
            <w:pPr>
              <w:jc w:val="center"/>
              <w:rPr>
                <w:color w:val="000000"/>
              </w:rPr>
            </w:pPr>
            <w:r w:rsidRPr="004C7B2B">
              <w:rPr>
                <w:color w:val="000000"/>
              </w:rPr>
              <w:t>0.06*</w:t>
            </w:r>
          </w:p>
        </w:tc>
        <w:tc>
          <w:tcPr>
            <w:tcW w:w="1104" w:type="dxa"/>
            <w:shd w:val="clear" w:color="auto" w:fill="auto"/>
            <w:noWrap/>
            <w:vAlign w:val="bottom"/>
            <w:hideMark/>
          </w:tcPr>
          <w:p w14:paraId="7D1519A5" w14:textId="77777777" w:rsidR="00A10FCF" w:rsidRPr="004C7B2B" w:rsidRDefault="00A10FCF" w:rsidP="00662134">
            <w:pPr>
              <w:jc w:val="center"/>
              <w:rPr>
                <w:color w:val="000000"/>
              </w:rPr>
            </w:pPr>
            <w:r w:rsidRPr="004C7B2B">
              <w:rPr>
                <w:color w:val="000000"/>
              </w:rPr>
              <w:t>0.16</w:t>
            </w:r>
            <w:r>
              <w:rPr>
                <w:color w:val="000000"/>
              </w:rPr>
              <w:t>**</w:t>
            </w:r>
          </w:p>
        </w:tc>
        <w:tc>
          <w:tcPr>
            <w:tcW w:w="1104" w:type="dxa"/>
            <w:shd w:val="clear" w:color="auto" w:fill="auto"/>
            <w:noWrap/>
            <w:vAlign w:val="bottom"/>
            <w:hideMark/>
          </w:tcPr>
          <w:p w14:paraId="2D85B96A" w14:textId="77777777" w:rsidR="00A10FCF" w:rsidRPr="004C7B2B" w:rsidRDefault="00A10FCF" w:rsidP="00662134">
            <w:pPr>
              <w:jc w:val="center"/>
              <w:rPr>
                <w:color w:val="000000"/>
              </w:rPr>
            </w:pPr>
            <w:r w:rsidRPr="004C7B2B">
              <w:rPr>
                <w:color w:val="000000"/>
              </w:rPr>
              <w:t>-0.45</w:t>
            </w:r>
            <w:r>
              <w:rPr>
                <w:color w:val="000000"/>
              </w:rPr>
              <w:t>***</w:t>
            </w:r>
          </w:p>
        </w:tc>
        <w:tc>
          <w:tcPr>
            <w:tcW w:w="1104" w:type="dxa"/>
            <w:shd w:val="clear" w:color="auto" w:fill="auto"/>
            <w:noWrap/>
            <w:vAlign w:val="bottom"/>
            <w:hideMark/>
          </w:tcPr>
          <w:p w14:paraId="7E26F5B0" w14:textId="77777777" w:rsidR="00A10FCF" w:rsidRPr="004C7B2B" w:rsidRDefault="00A10FCF" w:rsidP="00662134">
            <w:pPr>
              <w:jc w:val="center"/>
              <w:rPr>
                <w:color w:val="000000"/>
              </w:rPr>
            </w:pPr>
            <w:r w:rsidRPr="004C7B2B">
              <w:rPr>
                <w:color w:val="000000"/>
              </w:rPr>
              <w:t>0.26</w:t>
            </w:r>
            <w:r>
              <w:rPr>
                <w:color w:val="000000"/>
              </w:rPr>
              <w:t>**</w:t>
            </w:r>
          </w:p>
        </w:tc>
        <w:tc>
          <w:tcPr>
            <w:tcW w:w="1104" w:type="dxa"/>
            <w:shd w:val="clear" w:color="auto" w:fill="auto"/>
            <w:noWrap/>
            <w:vAlign w:val="bottom"/>
            <w:hideMark/>
          </w:tcPr>
          <w:p w14:paraId="37AC6D81" w14:textId="77777777" w:rsidR="00A10FCF" w:rsidRPr="004C7B2B" w:rsidRDefault="00A10FCF" w:rsidP="00662134">
            <w:pPr>
              <w:jc w:val="center"/>
              <w:rPr>
                <w:color w:val="000000"/>
              </w:rPr>
            </w:pPr>
            <w:r>
              <w:rPr>
                <w:color w:val="000000"/>
              </w:rPr>
              <w:t>(0.94)</w:t>
            </w:r>
            <w:r w:rsidRPr="004C7B2B">
              <w:rPr>
                <w:color w:val="000000"/>
              </w:rPr>
              <w:t> </w:t>
            </w:r>
          </w:p>
        </w:tc>
        <w:tc>
          <w:tcPr>
            <w:tcW w:w="1104" w:type="dxa"/>
            <w:shd w:val="clear" w:color="auto" w:fill="auto"/>
            <w:noWrap/>
            <w:vAlign w:val="bottom"/>
            <w:hideMark/>
          </w:tcPr>
          <w:p w14:paraId="6CF1BE69" w14:textId="77777777" w:rsidR="00A10FCF" w:rsidRPr="004C7B2B" w:rsidRDefault="00A10FCF" w:rsidP="00662134">
            <w:pPr>
              <w:jc w:val="center"/>
              <w:rPr>
                <w:color w:val="000000"/>
              </w:rPr>
            </w:pPr>
            <w:r w:rsidRPr="004C7B2B">
              <w:rPr>
                <w:color w:val="000000"/>
              </w:rPr>
              <w:t> </w:t>
            </w:r>
          </w:p>
        </w:tc>
      </w:tr>
      <w:tr w:rsidR="00A10FCF" w:rsidRPr="004C7B2B" w14:paraId="367F7236" w14:textId="77777777" w:rsidTr="00662134">
        <w:trPr>
          <w:trHeight w:val="505"/>
        </w:trPr>
        <w:tc>
          <w:tcPr>
            <w:tcW w:w="350" w:type="dxa"/>
            <w:shd w:val="clear" w:color="auto" w:fill="auto"/>
            <w:noWrap/>
            <w:vAlign w:val="bottom"/>
            <w:hideMark/>
          </w:tcPr>
          <w:p w14:paraId="794AF2E8" w14:textId="77777777" w:rsidR="00A10FCF" w:rsidRPr="004C7B2B" w:rsidRDefault="00A10FCF" w:rsidP="00662134">
            <w:pPr>
              <w:jc w:val="right"/>
              <w:rPr>
                <w:color w:val="000000"/>
              </w:rPr>
            </w:pPr>
            <w:r w:rsidRPr="004C7B2B">
              <w:rPr>
                <w:color w:val="000000"/>
              </w:rPr>
              <w:t>6</w:t>
            </w:r>
          </w:p>
        </w:tc>
        <w:tc>
          <w:tcPr>
            <w:tcW w:w="5021" w:type="dxa"/>
            <w:shd w:val="clear" w:color="auto" w:fill="auto"/>
            <w:noWrap/>
            <w:vAlign w:val="bottom"/>
            <w:hideMark/>
          </w:tcPr>
          <w:p w14:paraId="4B55A8B7" w14:textId="77777777" w:rsidR="00A10FCF" w:rsidRPr="004C7B2B" w:rsidRDefault="00A10FCF" w:rsidP="00662134">
            <w:pPr>
              <w:rPr>
                <w:color w:val="000000"/>
              </w:rPr>
            </w:pPr>
            <w:r w:rsidRPr="004C7B2B">
              <w:rPr>
                <w:color w:val="000000"/>
              </w:rPr>
              <w:t>Dyadic adjustment</w:t>
            </w:r>
          </w:p>
        </w:tc>
        <w:tc>
          <w:tcPr>
            <w:tcW w:w="1104" w:type="dxa"/>
            <w:shd w:val="clear" w:color="auto" w:fill="auto"/>
            <w:noWrap/>
            <w:vAlign w:val="bottom"/>
            <w:hideMark/>
          </w:tcPr>
          <w:p w14:paraId="303646D4" w14:textId="77777777" w:rsidR="00A10FCF" w:rsidRPr="004C7B2B" w:rsidRDefault="00A10FCF" w:rsidP="00662134">
            <w:pPr>
              <w:jc w:val="center"/>
              <w:rPr>
                <w:color w:val="000000"/>
              </w:rPr>
            </w:pPr>
            <w:r w:rsidRPr="004C7B2B">
              <w:rPr>
                <w:color w:val="000000"/>
              </w:rPr>
              <w:t>5.22</w:t>
            </w:r>
          </w:p>
        </w:tc>
        <w:tc>
          <w:tcPr>
            <w:tcW w:w="1104" w:type="dxa"/>
            <w:shd w:val="clear" w:color="auto" w:fill="auto"/>
            <w:noWrap/>
            <w:vAlign w:val="bottom"/>
            <w:hideMark/>
          </w:tcPr>
          <w:p w14:paraId="2D47FE65" w14:textId="77777777" w:rsidR="00A10FCF" w:rsidRPr="004C7B2B" w:rsidRDefault="00A10FCF" w:rsidP="00662134">
            <w:pPr>
              <w:jc w:val="center"/>
              <w:rPr>
                <w:color w:val="000000"/>
              </w:rPr>
            </w:pPr>
            <w:r w:rsidRPr="004C7B2B">
              <w:rPr>
                <w:color w:val="000000"/>
              </w:rPr>
              <w:t>1.35</w:t>
            </w:r>
          </w:p>
        </w:tc>
        <w:tc>
          <w:tcPr>
            <w:tcW w:w="1104" w:type="dxa"/>
            <w:shd w:val="clear" w:color="auto" w:fill="auto"/>
            <w:noWrap/>
            <w:vAlign w:val="bottom"/>
            <w:hideMark/>
          </w:tcPr>
          <w:p w14:paraId="3DF73831" w14:textId="77777777" w:rsidR="00A10FCF" w:rsidRPr="004C7B2B" w:rsidRDefault="00A10FCF" w:rsidP="00662134">
            <w:pPr>
              <w:jc w:val="center"/>
              <w:rPr>
                <w:color w:val="000000"/>
              </w:rPr>
            </w:pPr>
            <w:r w:rsidRPr="004C7B2B">
              <w:rPr>
                <w:color w:val="000000"/>
              </w:rPr>
              <w:t>0.04</w:t>
            </w:r>
          </w:p>
        </w:tc>
        <w:tc>
          <w:tcPr>
            <w:tcW w:w="1104" w:type="dxa"/>
            <w:shd w:val="clear" w:color="auto" w:fill="auto"/>
            <w:noWrap/>
            <w:vAlign w:val="bottom"/>
            <w:hideMark/>
          </w:tcPr>
          <w:p w14:paraId="50337EED" w14:textId="77777777" w:rsidR="00A10FCF" w:rsidRPr="004C7B2B" w:rsidRDefault="00A10FCF" w:rsidP="00662134">
            <w:pPr>
              <w:jc w:val="center"/>
              <w:rPr>
                <w:color w:val="000000"/>
              </w:rPr>
            </w:pPr>
            <w:r w:rsidRPr="004C7B2B">
              <w:rPr>
                <w:color w:val="000000"/>
              </w:rPr>
              <w:t>0.15</w:t>
            </w:r>
            <w:r>
              <w:rPr>
                <w:color w:val="000000"/>
              </w:rPr>
              <w:t>**</w:t>
            </w:r>
          </w:p>
        </w:tc>
        <w:tc>
          <w:tcPr>
            <w:tcW w:w="1104" w:type="dxa"/>
            <w:shd w:val="clear" w:color="auto" w:fill="auto"/>
            <w:noWrap/>
            <w:vAlign w:val="bottom"/>
            <w:hideMark/>
          </w:tcPr>
          <w:p w14:paraId="62991CBE" w14:textId="77777777" w:rsidR="00A10FCF" w:rsidRPr="004C7B2B" w:rsidRDefault="00A10FCF" w:rsidP="00662134">
            <w:pPr>
              <w:jc w:val="center"/>
              <w:rPr>
                <w:color w:val="000000"/>
              </w:rPr>
            </w:pPr>
            <w:r w:rsidRPr="004C7B2B">
              <w:rPr>
                <w:color w:val="000000"/>
              </w:rPr>
              <w:t>-0.11</w:t>
            </w:r>
            <w:r>
              <w:rPr>
                <w:color w:val="000000"/>
              </w:rPr>
              <w:t>**</w:t>
            </w:r>
          </w:p>
        </w:tc>
        <w:tc>
          <w:tcPr>
            <w:tcW w:w="1104" w:type="dxa"/>
            <w:shd w:val="clear" w:color="auto" w:fill="auto"/>
            <w:noWrap/>
            <w:vAlign w:val="bottom"/>
            <w:hideMark/>
          </w:tcPr>
          <w:p w14:paraId="26F08C47" w14:textId="77777777" w:rsidR="00A10FCF" w:rsidRPr="004C7B2B" w:rsidRDefault="00A10FCF" w:rsidP="00662134">
            <w:pPr>
              <w:jc w:val="center"/>
              <w:rPr>
                <w:color w:val="000000"/>
              </w:rPr>
            </w:pPr>
            <w:r w:rsidRPr="004C7B2B">
              <w:rPr>
                <w:color w:val="000000"/>
              </w:rPr>
              <w:t>0.22</w:t>
            </w:r>
            <w:r>
              <w:rPr>
                <w:color w:val="000000"/>
              </w:rPr>
              <w:t>**</w:t>
            </w:r>
          </w:p>
        </w:tc>
        <w:tc>
          <w:tcPr>
            <w:tcW w:w="1104" w:type="dxa"/>
            <w:shd w:val="clear" w:color="auto" w:fill="auto"/>
            <w:noWrap/>
            <w:vAlign w:val="bottom"/>
            <w:hideMark/>
          </w:tcPr>
          <w:p w14:paraId="75423ECE" w14:textId="77777777" w:rsidR="00A10FCF" w:rsidRPr="004C7B2B" w:rsidRDefault="00A10FCF" w:rsidP="00662134">
            <w:pPr>
              <w:jc w:val="center"/>
              <w:rPr>
                <w:color w:val="000000"/>
              </w:rPr>
            </w:pPr>
            <w:r w:rsidRPr="004C7B2B">
              <w:rPr>
                <w:color w:val="000000"/>
              </w:rPr>
              <w:t>0.28</w:t>
            </w:r>
            <w:r>
              <w:rPr>
                <w:color w:val="000000"/>
              </w:rPr>
              <w:t>**</w:t>
            </w:r>
          </w:p>
        </w:tc>
        <w:tc>
          <w:tcPr>
            <w:tcW w:w="1104" w:type="dxa"/>
            <w:shd w:val="clear" w:color="auto" w:fill="auto"/>
            <w:noWrap/>
            <w:vAlign w:val="bottom"/>
            <w:hideMark/>
          </w:tcPr>
          <w:p w14:paraId="09705BD3" w14:textId="77777777" w:rsidR="00A10FCF" w:rsidRPr="004C7B2B" w:rsidRDefault="00A10FCF" w:rsidP="00662134">
            <w:pPr>
              <w:jc w:val="center"/>
              <w:rPr>
                <w:color w:val="000000"/>
              </w:rPr>
            </w:pPr>
            <w:r>
              <w:rPr>
                <w:color w:val="000000"/>
              </w:rPr>
              <w:t>(0.88)</w:t>
            </w:r>
            <w:r w:rsidRPr="004C7B2B">
              <w:rPr>
                <w:color w:val="000000"/>
              </w:rPr>
              <w:t> </w:t>
            </w:r>
          </w:p>
        </w:tc>
      </w:tr>
    </w:tbl>
    <w:p w14:paraId="4C6E0853" w14:textId="10D1059B" w:rsidR="00BE0C8B" w:rsidRPr="00071A3A" w:rsidRDefault="00BE0C8B" w:rsidP="00071A3A">
      <w:pPr>
        <w:ind w:left="360"/>
        <w:jc w:val="both"/>
        <w:rPr>
          <w:rFonts w:eastAsia="MS Mincho"/>
          <w:color w:val="000000"/>
          <w:lang w:val="en-US"/>
        </w:rPr>
      </w:pPr>
      <w:r w:rsidRPr="00071A3A">
        <w:rPr>
          <w:i/>
          <w:color w:val="000000"/>
          <w:lang w:val="en-US"/>
        </w:rPr>
        <w:t>Notes.</w:t>
      </w:r>
      <w:r w:rsidRPr="00071A3A">
        <w:rPr>
          <w:color w:val="000000"/>
          <w:lang w:val="en-US"/>
        </w:rPr>
        <w:t xml:space="preserve"> </w:t>
      </w:r>
      <w:r w:rsidRPr="00071A3A">
        <w:rPr>
          <w:rFonts w:eastAsia="MS Mincho"/>
          <w:color w:val="000000"/>
          <w:lang w:val="en-US"/>
        </w:rPr>
        <w:t xml:space="preserve">*: </w:t>
      </w:r>
      <w:r w:rsidRPr="00071A3A">
        <w:rPr>
          <w:rFonts w:eastAsia="MS Mincho"/>
          <w:i/>
          <w:color w:val="000000"/>
          <w:lang w:val="en-US"/>
        </w:rPr>
        <w:t>p &lt; .</w:t>
      </w:r>
      <w:r w:rsidRPr="00071A3A">
        <w:rPr>
          <w:rFonts w:eastAsia="MS Mincho"/>
          <w:color w:val="000000"/>
          <w:lang w:val="en-US"/>
        </w:rPr>
        <w:t xml:space="preserve">05. **: </w:t>
      </w:r>
      <w:r w:rsidRPr="00071A3A">
        <w:rPr>
          <w:rFonts w:eastAsia="MS Mincho"/>
          <w:i/>
          <w:color w:val="000000"/>
          <w:lang w:val="en-US"/>
        </w:rPr>
        <w:t>p &lt; .</w:t>
      </w:r>
      <w:r w:rsidRPr="00071A3A">
        <w:rPr>
          <w:rFonts w:eastAsia="MS Mincho"/>
          <w:color w:val="000000"/>
          <w:lang w:val="en-US"/>
        </w:rPr>
        <w:t xml:space="preserve">01. ***: </w:t>
      </w:r>
      <w:r w:rsidRPr="00071A3A">
        <w:rPr>
          <w:rFonts w:eastAsia="MS Mincho"/>
          <w:i/>
          <w:color w:val="000000"/>
          <w:lang w:val="en-US"/>
        </w:rPr>
        <w:t>p &lt; .</w:t>
      </w:r>
      <w:r w:rsidRPr="00071A3A">
        <w:rPr>
          <w:rFonts w:eastAsia="MS Mincho"/>
          <w:color w:val="000000"/>
          <w:lang w:val="en-US"/>
        </w:rPr>
        <w:t xml:space="preserve">001. </w:t>
      </w:r>
    </w:p>
    <w:p w14:paraId="34424852" w14:textId="177072A3" w:rsidR="00BE0C8B" w:rsidRPr="00071A3A" w:rsidRDefault="00BE0C8B" w:rsidP="00071A3A">
      <w:pPr>
        <w:ind w:left="360"/>
        <w:jc w:val="both"/>
        <w:rPr>
          <w:b/>
          <w:bCs/>
          <w:color w:val="000000"/>
        </w:rPr>
      </w:pPr>
      <w:r w:rsidRPr="00071A3A">
        <w:rPr>
          <w:color w:val="000000"/>
          <w:lang w:val="en-US"/>
        </w:rPr>
        <w:t xml:space="preserve">N: </w:t>
      </w:r>
      <w:r w:rsidR="003A284B" w:rsidRPr="00071A3A">
        <w:rPr>
          <w:lang w:val="en-US"/>
        </w:rPr>
        <w:t>237 employees over 4 weeks</w:t>
      </w:r>
      <w:r w:rsidRPr="00071A3A">
        <w:rPr>
          <w:lang w:val="en-US"/>
        </w:rPr>
        <w:t>.</w:t>
      </w:r>
    </w:p>
    <w:p w14:paraId="6DDD4867" w14:textId="77777777" w:rsidR="00BE0C8B" w:rsidRDefault="00BE0C8B" w:rsidP="00071A3A">
      <w:pPr>
        <w:rPr>
          <w:lang w:val="en-US"/>
        </w:rPr>
      </w:pPr>
    </w:p>
    <w:p w14:paraId="5D2F96B8" w14:textId="77777777" w:rsidR="00BE0C8B" w:rsidRDefault="00BE0C8B" w:rsidP="00071A3A">
      <w:pPr>
        <w:rPr>
          <w:lang w:val="en-US"/>
        </w:rPr>
      </w:pPr>
    </w:p>
    <w:p w14:paraId="05B60210" w14:textId="77777777" w:rsidR="00BE0C8B" w:rsidRDefault="00BE0C8B" w:rsidP="00071A3A">
      <w:pPr>
        <w:rPr>
          <w:lang w:val="en-US"/>
        </w:rPr>
      </w:pPr>
    </w:p>
    <w:p w14:paraId="3279E4E6" w14:textId="77777777" w:rsidR="00BE0C8B" w:rsidRDefault="00BE0C8B" w:rsidP="00071A3A">
      <w:pPr>
        <w:rPr>
          <w:lang w:val="en-US"/>
        </w:rPr>
      </w:pPr>
    </w:p>
    <w:p w14:paraId="094F112B" w14:textId="77777777" w:rsidR="00BE0C8B" w:rsidRDefault="00BE0C8B" w:rsidP="00071A3A">
      <w:pPr>
        <w:rPr>
          <w:lang w:val="en-US"/>
        </w:rPr>
      </w:pPr>
    </w:p>
    <w:p w14:paraId="39524848" w14:textId="77777777" w:rsidR="00BE0C8B" w:rsidRDefault="00BE0C8B" w:rsidP="00071A3A">
      <w:pPr>
        <w:rPr>
          <w:lang w:val="en-US"/>
        </w:rPr>
      </w:pPr>
    </w:p>
    <w:p w14:paraId="24ABCBB3" w14:textId="77777777" w:rsidR="00BE0C8B" w:rsidRDefault="00BE0C8B" w:rsidP="00071A3A">
      <w:pPr>
        <w:rPr>
          <w:lang w:val="en-US"/>
        </w:rPr>
      </w:pPr>
    </w:p>
    <w:p w14:paraId="6DB247D3" w14:textId="77777777" w:rsidR="00BE0C8B" w:rsidRDefault="00BE0C8B" w:rsidP="00071A3A">
      <w:pPr>
        <w:rPr>
          <w:lang w:val="en-US"/>
        </w:rPr>
      </w:pPr>
    </w:p>
    <w:p w14:paraId="6B7A5386" w14:textId="77777777" w:rsidR="00BE0C8B" w:rsidRDefault="00BE0C8B" w:rsidP="00071A3A">
      <w:pPr>
        <w:rPr>
          <w:lang w:val="en-US"/>
        </w:rPr>
      </w:pPr>
    </w:p>
    <w:p w14:paraId="4EE32ED8" w14:textId="77777777" w:rsidR="00BE0C8B" w:rsidRDefault="00BE0C8B" w:rsidP="00071A3A">
      <w:pPr>
        <w:rPr>
          <w:lang w:val="en-US"/>
        </w:rPr>
      </w:pPr>
    </w:p>
    <w:p w14:paraId="7C88F559" w14:textId="77777777" w:rsidR="00BE0C8B" w:rsidRDefault="00BE0C8B" w:rsidP="00071A3A">
      <w:pPr>
        <w:rPr>
          <w:lang w:val="en-US"/>
        </w:rPr>
      </w:pPr>
    </w:p>
    <w:p w14:paraId="2D395237" w14:textId="77777777" w:rsidR="00BE0C8B" w:rsidRDefault="00BE0C8B" w:rsidP="00071A3A">
      <w:pPr>
        <w:rPr>
          <w:lang w:val="en-US"/>
        </w:rPr>
      </w:pPr>
    </w:p>
    <w:p w14:paraId="74A012A4" w14:textId="77777777" w:rsidR="00A10FCF" w:rsidRDefault="00A10FCF" w:rsidP="00A10FCF">
      <w:pPr>
        <w:spacing w:line="480" w:lineRule="auto"/>
      </w:pPr>
    </w:p>
    <w:p w14:paraId="2C6FBAE2" w14:textId="58284A23" w:rsidR="00BE0C8B" w:rsidRDefault="00701716" w:rsidP="00A10FCF">
      <w:pPr>
        <w:spacing w:line="480" w:lineRule="auto"/>
      </w:pPr>
      <w:r w:rsidRPr="00701716">
        <w:lastRenderedPageBreak/>
        <w:t>Table 4.</w:t>
      </w:r>
      <w:r w:rsidR="00BE0C8B" w:rsidRPr="00AA01BE">
        <w:t xml:space="preserve"> Direct and Indirect Associations (Study 2)</w:t>
      </w:r>
    </w:p>
    <w:tbl>
      <w:tblPr>
        <w:tblW w:w="14658" w:type="dxa"/>
        <w:tblBorders>
          <w:top w:val="single" w:sz="4" w:space="0" w:color="auto"/>
          <w:bottom w:val="single" w:sz="4" w:space="0" w:color="auto"/>
        </w:tblBorders>
        <w:tblLook w:val="04A0" w:firstRow="1" w:lastRow="0" w:firstColumn="1" w:lastColumn="0" w:noHBand="0" w:noVBand="1"/>
      </w:tblPr>
      <w:tblGrid>
        <w:gridCol w:w="2127"/>
        <w:gridCol w:w="1417"/>
        <w:gridCol w:w="992"/>
        <w:gridCol w:w="1171"/>
        <w:gridCol w:w="1150"/>
        <w:gridCol w:w="756"/>
        <w:gridCol w:w="1116"/>
        <w:gridCol w:w="1150"/>
        <w:gridCol w:w="756"/>
        <w:gridCol w:w="1131"/>
        <w:gridCol w:w="1150"/>
        <w:gridCol w:w="636"/>
        <w:gridCol w:w="1106"/>
      </w:tblGrid>
      <w:tr w:rsidR="00C91171" w:rsidRPr="00A431E0" w14:paraId="229DEBDB" w14:textId="77777777" w:rsidTr="00FF1F3E">
        <w:trPr>
          <w:trHeight w:val="372"/>
        </w:trPr>
        <w:tc>
          <w:tcPr>
            <w:tcW w:w="2127" w:type="dxa"/>
            <w:tcBorders>
              <w:top w:val="single" w:sz="4" w:space="0" w:color="auto"/>
              <w:bottom w:val="single" w:sz="4" w:space="0" w:color="auto"/>
            </w:tcBorders>
            <w:shd w:val="clear" w:color="auto" w:fill="auto"/>
            <w:noWrap/>
            <w:vAlign w:val="bottom"/>
            <w:hideMark/>
          </w:tcPr>
          <w:p w14:paraId="4D63616E" w14:textId="77777777" w:rsidR="00C91171" w:rsidRPr="00A431E0" w:rsidRDefault="00C91171" w:rsidP="00662134">
            <w:pPr>
              <w:jc w:val="center"/>
              <w:rPr>
                <w:b/>
                <w:bCs/>
                <w:color w:val="000000"/>
              </w:rPr>
            </w:pPr>
            <w:r w:rsidRPr="00A431E0">
              <w:rPr>
                <w:b/>
                <w:bCs/>
                <w:color w:val="000000"/>
              </w:rPr>
              <w:t xml:space="preserve">Names of the Variables </w:t>
            </w:r>
          </w:p>
        </w:tc>
        <w:tc>
          <w:tcPr>
            <w:tcW w:w="3580" w:type="dxa"/>
            <w:gridSpan w:val="3"/>
            <w:tcBorders>
              <w:top w:val="single" w:sz="4" w:space="0" w:color="auto"/>
              <w:bottom w:val="single" w:sz="4" w:space="0" w:color="auto"/>
            </w:tcBorders>
            <w:shd w:val="clear" w:color="auto" w:fill="auto"/>
            <w:noWrap/>
            <w:vAlign w:val="bottom"/>
            <w:hideMark/>
          </w:tcPr>
          <w:p w14:paraId="789D8C0E" w14:textId="77777777" w:rsidR="00C91171" w:rsidRPr="00A431E0" w:rsidRDefault="00C91171" w:rsidP="00662134">
            <w:pPr>
              <w:jc w:val="center"/>
              <w:rPr>
                <w:b/>
                <w:bCs/>
                <w:color w:val="000000"/>
              </w:rPr>
            </w:pPr>
            <w:r w:rsidRPr="00A431E0">
              <w:rPr>
                <w:b/>
                <w:bCs/>
                <w:color w:val="000000"/>
              </w:rPr>
              <w:t>Exhaustion</w:t>
            </w:r>
          </w:p>
        </w:tc>
        <w:tc>
          <w:tcPr>
            <w:tcW w:w="3022" w:type="dxa"/>
            <w:gridSpan w:val="3"/>
            <w:tcBorders>
              <w:top w:val="single" w:sz="4" w:space="0" w:color="auto"/>
              <w:bottom w:val="single" w:sz="4" w:space="0" w:color="auto"/>
            </w:tcBorders>
            <w:shd w:val="clear" w:color="auto" w:fill="auto"/>
            <w:noWrap/>
            <w:vAlign w:val="bottom"/>
            <w:hideMark/>
          </w:tcPr>
          <w:p w14:paraId="4F12DFC9" w14:textId="77777777" w:rsidR="00C91171" w:rsidRPr="00A431E0" w:rsidRDefault="00C91171" w:rsidP="00662134">
            <w:pPr>
              <w:jc w:val="center"/>
              <w:rPr>
                <w:b/>
                <w:bCs/>
                <w:color w:val="000000"/>
              </w:rPr>
            </w:pPr>
            <w:r w:rsidRPr="00A431E0">
              <w:rPr>
                <w:b/>
                <w:bCs/>
                <w:color w:val="000000"/>
              </w:rPr>
              <w:t>Creativity</w:t>
            </w:r>
          </w:p>
        </w:tc>
        <w:tc>
          <w:tcPr>
            <w:tcW w:w="3037" w:type="dxa"/>
            <w:gridSpan w:val="3"/>
            <w:tcBorders>
              <w:top w:val="single" w:sz="4" w:space="0" w:color="auto"/>
              <w:bottom w:val="single" w:sz="4" w:space="0" w:color="auto"/>
            </w:tcBorders>
            <w:shd w:val="clear" w:color="auto" w:fill="auto"/>
            <w:noWrap/>
            <w:vAlign w:val="bottom"/>
            <w:hideMark/>
          </w:tcPr>
          <w:p w14:paraId="221FEEAC" w14:textId="77777777" w:rsidR="00C91171" w:rsidRPr="00A431E0" w:rsidRDefault="00C91171" w:rsidP="00662134">
            <w:pPr>
              <w:jc w:val="center"/>
              <w:rPr>
                <w:b/>
                <w:bCs/>
                <w:color w:val="000000"/>
              </w:rPr>
            </w:pPr>
            <w:r w:rsidRPr="00A431E0">
              <w:rPr>
                <w:b/>
                <w:bCs/>
                <w:color w:val="000000"/>
              </w:rPr>
              <w:t>Sleep quality</w:t>
            </w:r>
          </w:p>
        </w:tc>
        <w:tc>
          <w:tcPr>
            <w:tcW w:w="2892" w:type="dxa"/>
            <w:gridSpan w:val="3"/>
            <w:tcBorders>
              <w:top w:val="single" w:sz="4" w:space="0" w:color="auto"/>
              <w:bottom w:val="single" w:sz="4" w:space="0" w:color="auto"/>
            </w:tcBorders>
            <w:shd w:val="clear" w:color="auto" w:fill="auto"/>
            <w:noWrap/>
            <w:vAlign w:val="bottom"/>
            <w:hideMark/>
          </w:tcPr>
          <w:p w14:paraId="3E140F5B" w14:textId="77777777" w:rsidR="00C91171" w:rsidRPr="00A431E0" w:rsidRDefault="00C91171" w:rsidP="00662134">
            <w:pPr>
              <w:jc w:val="center"/>
              <w:rPr>
                <w:b/>
                <w:bCs/>
                <w:color w:val="000000"/>
              </w:rPr>
            </w:pPr>
            <w:r w:rsidRPr="00A431E0">
              <w:rPr>
                <w:b/>
                <w:bCs/>
                <w:color w:val="000000"/>
              </w:rPr>
              <w:t>Dyadic adjustment</w:t>
            </w:r>
          </w:p>
        </w:tc>
      </w:tr>
      <w:tr w:rsidR="00C91171" w:rsidRPr="00A431E0" w14:paraId="5447CD5D" w14:textId="77777777" w:rsidTr="00FF1F3E">
        <w:trPr>
          <w:trHeight w:val="372"/>
        </w:trPr>
        <w:tc>
          <w:tcPr>
            <w:tcW w:w="2127" w:type="dxa"/>
            <w:tcBorders>
              <w:top w:val="single" w:sz="4" w:space="0" w:color="auto"/>
            </w:tcBorders>
            <w:shd w:val="clear" w:color="auto" w:fill="auto"/>
            <w:noWrap/>
            <w:vAlign w:val="bottom"/>
            <w:hideMark/>
          </w:tcPr>
          <w:p w14:paraId="1F6DE336" w14:textId="77777777" w:rsidR="00C91171" w:rsidRPr="00A431E0" w:rsidRDefault="00C91171" w:rsidP="00662134">
            <w:pPr>
              <w:jc w:val="center"/>
              <w:rPr>
                <w:b/>
                <w:bCs/>
                <w:color w:val="000000"/>
              </w:rPr>
            </w:pPr>
          </w:p>
        </w:tc>
        <w:tc>
          <w:tcPr>
            <w:tcW w:w="3580" w:type="dxa"/>
            <w:gridSpan w:val="3"/>
            <w:tcBorders>
              <w:top w:val="single" w:sz="4" w:space="0" w:color="auto"/>
            </w:tcBorders>
            <w:shd w:val="clear" w:color="auto" w:fill="auto"/>
            <w:noWrap/>
            <w:vAlign w:val="center"/>
            <w:hideMark/>
          </w:tcPr>
          <w:p w14:paraId="55B2605D" w14:textId="77777777" w:rsidR="00C91171" w:rsidRPr="00A431E0" w:rsidRDefault="00C91171" w:rsidP="00C91171">
            <w:pPr>
              <w:jc w:val="center"/>
              <w:rPr>
                <w:color w:val="000000"/>
              </w:rPr>
            </w:pPr>
            <w:r w:rsidRPr="00A431E0">
              <w:rPr>
                <w:color w:val="000000"/>
              </w:rPr>
              <w:t>Final Model</w:t>
            </w:r>
          </w:p>
        </w:tc>
        <w:tc>
          <w:tcPr>
            <w:tcW w:w="3022" w:type="dxa"/>
            <w:gridSpan w:val="3"/>
            <w:tcBorders>
              <w:top w:val="single" w:sz="4" w:space="0" w:color="auto"/>
            </w:tcBorders>
            <w:shd w:val="clear" w:color="auto" w:fill="auto"/>
            <w:noWrap/>
            <w:vAlign w:val="center"/>
            <w:hideMark/>
          </w:tcPr>
          <w:p w14:paraId="3727B025" w14:textId="77777777" w:rsidR="00C91171" w:rsidRPr="00A431E0" w:rsidRDefault="00C91171" w:rsidP="00C91171">
            <w:pPr>
              <w:jc w:val="center"/>
              <w:rPr>
                <w:color w:val="000000"/>
              </w:rPr>
            </w:pPr>
            <w:r w:rsidRPr="00A431E0">
              <w:rPr>
                <w:color w:val="000000"/>
              </w:rPr>
              <w:t>Final Model</w:t>
            </w:r>
          </w:p>
        </w:tc>
        <w:tc>
          <w:tcPr>
            <w:tcW w:w="3037" w:type="dxa"/>
            <w:gridSpan w:val="3"/>
            <w:tcBorders>
              <w:top w:val="single" w:sz="4" w:space="0" w:color="auto"/>
            </w:tcBorders>
            <w:shd w:val="clear" w:color="auto" w:fill="auto"/>
            <w:noWrap/>
            <w:vAlign w:val="center"/>
            <w:hideMark/>
          </w:tcPr>
          <w:p w14:paraId="089D458D" w14:textId="77777777" w:rsidR="00C91171" w:rsidRPr="00A431E0" w:rsidRDefault="00C91171" w:rsidP="00C91171">
            <w:pPr>
              <w:jc w:val="center"/>
              <w:rPr>
                <w:color w:val="000000"/>
              </w:rPr>
            </w:pPr>
            <w:r w:rsidRPr="00A431E0">
              <w:rPr>
                <w:color w:val="000000"/>
              </w:rPr>
              <w:t>Final Model</w:t>
            </w:r>
          </w:p>
        </w:tc>
        <w:tc>
          <w:tcPr>
            <w:tcW w:w="2892" w:type="dxa"/>
            <w:gridSpan w:val="3"/>
            <w:tcBorders>
              <w:top w:val="single" w:sz="4" w:space="0" w:color="auto"/>
            </w:tcBorders>
            <w:shd w:val="clear" w:color="auto" w:fill="auto"/>
            <w:noWrap/>
            <w:vAlign w:val="center"/>
            <w:hideMark/>
          </w:tcPr>
          <w:p w14:paraId="1481D7FD" w14:textId="77777777" w:rsidR="00C91171" w:rsidRPr="00A431E0" w:rsidRDefault="00C91171" w:rsidP="00C91171">
            <w:pPr>
              <w:jc w:val="center"/>
              <w:rPr>
                <w:color w:val="000000"/>
              </w:rPr>
            </w:pPr>
            <w:r w:rsidRPr="00A431E0">
              <w:rPr>
                <w:color w:val="000000"/>
              </w:rPr>
              <w:t>Final Model</w:t>
            </w:r>
          </w:p>
        </w:tc>
      </w:tr>
      <w:tr w:rsidR="00C91171" w:rsidRPr="00A431E0" w14:paraId="25766B38" w14:textId="77777777" w:rsidTr="00FF1F3E">
        <w:trPr>
          <w:trHeight w:val="372"/>
        </w:trPr>
        <w:tc>
          <w:tcPr>
            <w:tcW w:w="2127" w:type="dxa"/>
            <w:shd w:val="clear" w:color="auto" w:fill="auto"/>
            <w:noWrap/>
            <w:vAlign w:val="bottom"/>
            <w:hideMark/>
          </w:tcPr>
          <w:p w14:paraId="619E5B6C" w14:textId="77777777" w:rsidR="00C91171" w:rsidRPr="00A431E0" w:rsidRDefault="00C91171" w:rsidP="00662134">
            <w:pPr>
              <w:rPr>
                <w:color w:val="000000"/>
              </w:rPr>
            </w:pPr>
            <w:r w:rsidRPr="00A431E0">
              <w:rPr>
                <w:color w:val="000000"/>
              </w:rPr>
              <w:t>Variables</w:t>
            </w:r>
          </w:p>
        </w:tc>
        <w:tc>
          <w:tcPr>
            <w:tcW w:w="1417" w:type="dxa"/>
            <w:shd w:val="clear" w:color="auto" w:fill="auto"/>
            <w:noWrap/>
            <w:vAlign w:val="center"/>
            <w:hideMark/>
          </w:tcPr>
          <w:p w14:paraId="13263AFE" w14:textId="77777777" w:rsidR="00C91171" w:rsidRPr="00A431E0" w:rsidRDefault="00C91171" w:rsidP="00C91171">
            <w:pPr>
              <w:rPr>
                <w:color w:val="000000"/>
              </w:rPr>
            </w:pPr>
            <w:r w:rsidRPr="00A431E0">
              <w:rPr>
                <w:color w:val="000000"/>
              </w:rPr>
              <w:t>Estimates</w:t>
            </w:r>
          </w:p>
        </w:tc>
        <w:tc>
          <w:tcPr>
            <w:tcW w:w="992" w:type="dxa"/>
            <w:shd w:val="clear" w:color="auto" w:fill="auto"/>
            <w:noWrap/>
            <w:vAlign w:val="center"/>
            <w:hideMark/>
          </w:tcPr>
          <w:p w14:paraId="3CB1E64F" w14:textId="77777777" w:rsidR="00C91171" w:rsidRPr="00A431E0" w:rsidRDefault="00C91171" w:rsidP="00C91171">
            <w:pPr>
              <w:rPr>
                <w:color w:val="000000"/>
              </w:rPr>
            </w:pPr>
            <w:r w:rsidRPr="00A431E0">
              <w:rPr>
                <w:color w:val="000000"/>
              </w:rPr>
              <w:t>SE</w:t>
            </w:r>
          </w:p>
        </w:tc>
        <w:tc>
          <w:tcPr>
            <w:tcW w:w="1171" w:type="dxa"/>
            <w:shd w:val="clear" w:color="auto" w:fill="auto"/>
            <w:noWrap/>
            <w:vAlign w:val="center"/>
            <w:hideMark/>
          </w:tcPr>
          <w:p w14:paraId="0FDD3BD8" w14:textId="77777777" w:rsidR="00C91171" w:rsidRPr="00A431E0" w:rsidRDefault="00C91171" w:rsidP="00C91171">
            <w:pPr>
              <w:rPr>
                <w:color w:val="000000"/>
              </w:rPr>
            </w:pPr>
            <w:r w:rsidRPr="00A431E0">
              <w:rPr>
                <w:color w:val="000000"/>
              </w:rPr>
              <w:t>t</w:t>
            </w:r>
          </w:p>
        </w:tc>
        <w:tc>
          <w:tcPr>
            <w:tcW w:w="1150" w:type="dxa"/>
            <w:shd w:val="clear" w:color="auto" w:fill="auto"/>
            <w:noWrap/>
            <w:vAlign w:val="center"/>
            <w:hideMark/>
          </w:tcPr>
          <w:p w14:paraId="354D8A76" w14:textId="77777777" w:rsidR="00C91171" w:rsidRPr="00A431E0" w:rsidRDefault="00C91171" w:rsidP="00C91171">
            <w:pPr>
              <w:rPr>
                <w:color w:val="000000"/>
              </w:rPr>
            </w:pPr>
            <w:r w:rsidRPr="00A431E0">
              <w:rPr>
                <w:color w:val="000000"/>
              </w:rPr>
              <w:t>Estimates</w:t>
            </w:r>
          </w:p>
        </w:tc>
        <w:tc>
          <w:tcPr>
            <w:tcW w:w="756" w:type="dxa"/>
            <w:shd w:val="clear" w:color="auto" w:fill="auto"/>
            <w:noWrap/>
            <w:vAlign w:val="center"/>
            <w:hideMark/>
          </w:tcPr>
          <w:p w14:paraId="7AC5A529" w14:textId="77777777" w:rsidR="00C91171" w:rsidRPr="00A431E0" w:rsidRDefault="00C91171" w:rsidP="00C91171">
            <w:pPr>
              <w:rPr>
                <w:color w:val="000000"/>
              </w:rPr>
            </w:pPr>
            <w:r w:rsidRPr="00A431E0">
              <w:rPr>
                <w:color w:val="000000"/>
              </w:rPr>
              <w:t>SE</w:t>
            </w:r>
          </w:p>
        </w:tc>
        <w:tc>
          <w:tcPr>
            <w:tcW w:w="1116" w:type="dxa"/>
            <w:shd w:val="clear" w:color="auto" w:fill="auto"/>
            <w:noWrap/>
            <w:vAlign w:val="center"/>
            <w:hideMark/>
          </w:tcPr>
          <w:p w14:paraId="0B5DFD00" w14:textId="77777777" w:rsidR="00C91171" w:rsidRPr="00A431E0" w:rsidRDefault="00C91171" w:rsidP="00C91171">
            <w:pPr>
              <w:rPr>
                <w:color w:val="000000"/>
              </w:rPr>
            </w:pPr>
            <w:r w:rsidRPr="00A431E0">
              <w:rPr>
                <w:color w:val="000000"/>
              </w:rPr>
              <w:t>t</w:t>
            </w:r>
          </w:p>
        </w:tc>
        <w:tc>
          <w:tcPr>
            <w:tcW w:w="1150" w:type="dxa"/>
            <w:shd w:val="clear" w:color="auto" w:fill="auto"/>
            <w:noWrap/>
            <w:vAlign w:val="center"/>
            <w:hideMark/>
          </w:tcPr>
          <w:p w14:paraId="2FBF9A14" w14:textId="77777777" w:rsidR="00C91171" w:rsidRPr="00A431E0" w:rsidRDefault="00C91171" w:rsidP="00C91171">
            <w:pPr>
              <w:rPr>
                <w:color w:val="000000"/>
              </w:rPr>
            </w:pPr>
            <w:r w:rsidRPr="00A431E0">
              <w:rPr>
                <w:color w:val="000000"/>
              </w:rPr>
              <w:t>Estimates</w:t>
            </w:r>
          </w:p>
        </w:tc>
        <w:tc>
          <w:tcPr>
            <w:tcW w:w="756" w:type="dxa"/>
            <w:shd w:val="clear" w:color="auto" w:fill="auto"/>
            <w:noWrap/>
            <w:vAlign w:val="center"/>
            <w:hideMark/>
          </w:tcPr>
          <w:p w14:paraId="6486CA21" w14:textId="77777777" w:rsidR="00C91171" w:rsidRPr="00A431E0" w:rsidRDefault="00C91171" w:rsidP="00C91171">
            <w:pPr>
              <w:rPr>
                <w:color w:val="000000"/>
              </w:rPr>
            </w:pPr>
            <w:r w:rsidRPr="00A431E0">
              <w:rPr>
                <w:color w:val="000000"/>
              </w:rPr>
              <w:t>SE</w:t>
            </w:r>
          </w:p>
        </w:tc>
        <w:tc>
          <w:tcPr>
            <w:tcW w:w="1131" w:type="dxa"/>
            <w:shd w:val="clear" w:color="auto" w:fill="auto"/>
            <w:noWrap/>
            <w:vAlign w:val="center"/>
            <w:hideMark/>
          </w:tcPr>
          <w:p w14:paraId="22053E2A" w14:textId="77777777" w:rsidR="00C91171" w:rsidRPr="00A431E0" w:rsidRDefault="00C91171" w:rsidP="00C91171">
            <w:pPr>
              <w:rPr>
                <w:color w:val="000000"/>
              </w:rPr>
            </w:pPr>
            <w:r w:rsidRPr="00A431E0">
              <w:rPr>
                <w:color w:val="000000"/>
              </w:rPr>
              <w:t>t</w:t>
            </w:r>
          </w:p>
        </w:tc>
        <w:tc>
          <w:tcPr>
            <w:tcW w:w="1150" w:type="dxa"/>
            <w:shd w:val="clear" w:color="auto" w:fill="auto"/>
            <w:noWrap/>
            <w:vAlign w:val="center"/>
            <w:hideMark/>
          </w:tcPr>
          <w:p w14:paraId="3E2E937F" w14:textId="77777777" w:rsidR="00C91171" w:rsidRPr="00A431E0" w:rsidRDefault="00C91171" w:rsidP="00C91171">
            <w:pPr>
              <w:rPr>
                <w:color w:val="000000"/>
              </w:rPr>
            </w:pPr>
            <w:r w:rsidRPr="00A431E0">
              <w:rPr>
                <w:color w:val="000000"/>
              </w:rPr>
              <w:t>Estimates</w:t>
            </w:r>
          </w:p>
        </w:tc>
        <w:tc>
          <w:tcPr>
            <w:tcW w:w="636" w:type="dxa"/>
            <w:shd w:val="clear" w:color="auto" w:fill="auto"/>
            <w:noWrap/>
            <w:vAlign w:val="center"/>
            <w:hideMark/>
          </w:tcPr>
          <w:p w14:paraId="1BDD387E" w14:textId="77777777" w:rsidR="00C91171" w:rsidRPr="00A431E0" w:rsidRDefault="00C91171" w:rsidP="00C91171">
            <w:pPr>
              <w:rPr>
                <w:color w:val="000000"/>
              </w:rPr>
            </w:pPr>
            <w:r w:rsidRPr="00A431E0">
              <w:rPr>
                <w:color w:val="000000"/>
              </w:rPr>
              <w:t>SE</w:t>
            </w:r>
          </w:p>
        </w:tc>
        <w:tc>
          <w:tcPr>
            <w:tcW w:w="1106" w:type="dxa"/>
            <w:shd w:val="clear" w:color="auto" w:fill="auto"/>
            <w:noWrap/>
            <w:vAlign w:val="center"/>
            <w:hideMark/>
          </w:tcPr>
          <w:p w14:paraId="10CD0CF2" w14:textId="77777777" w:rsidR="00C91171" w:rsidRPr="00A431E0" w:rsidRDefault="00C91171" w:rsidP="00C91171">
            <w:pPr>
              <w:rPr>
                <w:color w:val="000000"/>
              </w:rPr>
            </w:pPr>
            <w:r w:rsidRPr="00A431E0">
              <w:rPr>
                <w:color w:val="000000"/>
              </w:rPr>
              <w:t>t</w:t>
            </w:r>
          </w:p>
        </w:tc>
      </w:tr>
      <w:tr w:rsidR="00C91171" w:rsidRPr="00A431E0" w14:paraId="03BBDA7F" w14:textId="77777777" w:rsidTr="00FF1F3E">
        <w:trPr>
          <w:trHeight w:val="372"/>
        </w:trPr>
        <w:tc>
          <w:tcPr>
            <w:tcW w:w="2127" w:type="dxa"/>
            <w:shd w:val="clear" w:color="auto" w:fill="auto"/>
            <w:noWrap/>
            <w:vAlign w:val="bottom"/>
            <w:hideMark/>
          </w:tcPr>
          <w:p w14:paraId="4AFC0BE0" w14:textId="77777777" w:rsidR="00C91171" w:rsidRPr="00A431E0" w:rsidRDefault="00C91171" w:rsidP="00662134">
            <w:pPr>
              <w:rPr>
                <w:color w:val="000000"/>
              </w:rPr>
            </w:pPr>
            <w:r w:rsidRPr="00A431E0">
              <w:rPr>
                <w:color w:val="000000"/>
              </w:rPr>
              <w:t>Intercept</w:t>
            </w:r>
          </w:p>
        </w:tc>
        <w:tc>
          <w:tcPr>
            <w:tcW w:w="1417" w:type="dxa"/>
            <w:shd w:val="clear" w:color="auto" w:fill="auto"/>
            <w:noWrap/>
            <w:vAlign w:val="center"/>
            <w:hideMark/>
          </w:tcPr>
          <w:p w14:paraId="4260639F" w14:textId="77777777" w:rsidR="00C91171" w:rsidRPr="00A431E0" w:rsidRDefault="00C91171" w:rsidP="00C91171">
            <w:pPr>
              <w:rPr>
                <w:color w:val="000000"/>
              </w:rPr>
            </w:pPr>
            <w:r w:rsidRPr="00A431E0">
              <w:rPr>
                <w:color w:val="000000"/>
              </w:rPr>
              <w:t>3.91</w:t>
            </w:r>
          </w:p>
        </w:tc>
        <w:tc>
          <w:tcPr>
            <w:tcW w:w="992" w:type="dxa"/>
            <w:shd w:val="clear" w:color="auto" w:fill="auto"/>
            <w:noWrap/>
            <w:vAlign w:val="center"/>
            <w:hideMark/>
          </w:tcPr>
          <w:p w14:paraId="06DA9D09" w14:textId="77777777" w:rsidR="00C91171" w:rsidRPr="00A431E0" w:rsidRDefault="00C91171" w:rsidP="00C91171">
            <w:pPr>
              <w:rPr>
                <w:color w:val="000000"/>
              </w:rPr>
            </w:pPr>
            <w:r w:rsidRPr="00A431E0">
              <w:rPr>
                <w:color w:val="000000"/>
              </w:rPr>
              <w:t>0.04</w:t>
            </w:r>
          </w:p>
        </w:tc>
        <w:tc>
          <w:tcPr>
            <w:tcW w:w="1171" w:type="dxa"/>
            <w:shd w:val="clear" w:color="auto" w:fill="auto"/>
            <w:noWrap/>
            <w:vAlign w:val="center"/>
            <w:hideMark/>
          </w:tcPr>
          <w:p w14:paraId="0BC726AF" w14:textId="77777777" w:rsidR="00C91171" w:rsidRPr="00A431E0" w:rsidRDefault="00C91171" w:rsidP="00C91171">
            <w:pPr>
              <w:rPr>
                <w:color w:val="000000"/>
              </w:rPr>
            </w:pPr>
            <w:r w:rsidRPr="00A431E0">
              <w:rPr>
                <w:color w:val="000000"/>
              </w:rPr>
              <w:t>97.75</w:t>
            </w:r>
          </w:p>
        </w:tc>
        <w:tc>
          <w:tcPr>
            <w:tcW w:w="1150" w:type="dxa"/>
            <w:shd w:val="clear" w:color="auto" w:fill="auto"/>
            <w:noWrap/>
            <w:vAlign w:val="center"/>
            <w:hideMark/>
          </w:tcPr>
          <w:p w14:paraId="7223B4D4" w14:textId="77777777" w:rsidR="00C91171" w:rsidRPr="00A431E0" w:rsidRDefault="00C91171" w:rsidP="00C91171">
            <w:pPr>
              <w:rPr>
                <w:color w:val="000000"/>
              </w:rPr>
            </w:pPr>
            <w:r w:rsidRPr="00A431E0">
              <w:rPr>
                <w:color w:val="000000"/>
              </w:rPr>
              <w:t>4.12</w:t>
            </w:r>
          </w:p>
        </w:tc>
        <w:tc>
          <w:tcPr>
            <w:tcW w:w="756" w:type="dxa"/>
            <w:shd w:val="clear" w:color="auto" w:fill="auto"/>
            <w:noWrap/>
            <w:vAlign w:val="center"/>
            <w:hideMark/>
          </w:tcPr>
          <w:p w14:paraId="5EDD1E21" w14:textId="77777777" w:rsidR="00C91171" w:rsidRPr="00A431E0" w:rsidRDefault="00C91171" w:rsidP="00C91171">
            <w:pPr>
              <w:rPr>
                <w:color w:val="000000"/>
              </w:rPr>
            </w:pPr>
            <w:r w:rsidRPr="00A431E0">
              <w:rPr>
                <w:color w:val="000000"/>
              </w:rPr>
              <w:t>0.04</w:t>
            </w:r>
          </w:p>
        </w:tc>
        <w:tc>
          <w:tcPr>
            <w:tcW w:w="1116" w:type="dxa"/>
            <w:shd w:val="clear" w:color="auto" w:fill="auto"/>
            <w:noWrap/>
            <w:vAlign w:val="center"/>
            <w:hideMark/>
          </w:tcPr>
          <w:p w14:paraId="63D9AE3B" w14:textId="77777777" w:rsidR="00C91171" w:rsidRPr="00A431E0" w:rsidRDefault="00C91171" w:rsidP="00C91171">
            <w:pPr>
              <w:rPr>
                <w:color w:val="000000"/>
              </w:rPr>
            </w:pPr>
            <w:r w:rsidRPr="00A431E0">
              <w:rPr>
                <w:color w:val="000000"/>
              </w:rPr>
              <w:t>103</w:t>
            </w:r>
          </w:p>
        </w:tc>
        <w:tc>
          <w:tcPr>
            <w:tcW w:w="1150" w:type="dxa"/>
            <w:shd w:val="clear" w:color="auto" w:fill="auto"/>
            <w:noWrap/>
            <w:vAlign w:val="center"/>
            <w:hideMark/>
          </w:tcPr>
          <w:p w14:paraId="30FDE9E5" w14:textId="77777777" w:rsidR="00C91171" w:rsidRPr="00A431E0" w:rsidRDefault="00C91171" w:rsidP="00C91171">
            <w:pPr>
              <w:rPr>
                <w:color w:val="000000"/>
              </w:rPr>
            </w:pPr>
            <w:r w:rsidRPr="00A431E0">
              <w:rPr>
                <w:color w:val="000000"/>
              </w:rPr>
              <w:t>4.73</w:t>
            </w:r>
          </w:p>
        </w:tc>
        <w:tc>
          <w:tcPr>
            <w:tcW w:w="756" w:type="dxa"/>
            <w:shd w:val="clear" w:color="auto" w:fill="auto"/>
            <w:noWrap/>
            <w:vAlign w:val="center"/>
            <w:hideMark/>
          </w:tcPr>
          <w:p w14:paraId="1802D594" w14:textId="77777777" w:rsidR="00C91171" w:rsidRPr="00A431E0" w:rsidRDefault="00C91171" w:rsidP="00C91171">
            <w:pPr>
              <w:rPr>
                <w:color w:val="000000"/>
              </w:rPr>
            </w:pPr>
            <w:r w:rsidRPr="00A431E0">
              <w:rPr>
                <w:color w:val="000000"/>
              </w:rPr>
              <w:t>0.04</w:t>
            </w:r>
          </w:p>
        </w:tc>
        <w:tc>
          <w:tcPr>
            <w:tcW w:w="1131" w:type="dxa"/>
            <w:shd w:val="clear" w:color="auto" w:fill="auto"/>
            <w:noWrap/>
            <w:vAlign w:val="center"/>
            <w:hideMark/>
          </w:tcPr>
          <w:p w14:paraId="3FC84B02" w14:textId="77777777" w:rsidR="00C91171" w:rsidRPr="00A431E0" w:rsidRDefault="00C91171" w:rsidP="00C91171">
            <w:pPr>
              <w:rPr>
                <w:color w:val="000000"/>
              </w:rPr>
            </w:pPr>
            <w:r w:rsidRPr="00A431E0">
              <w:rPr>
                <w:color w:val="000000"/>
              </w:rPr>
              <w:t>118.25</w:t>
            </w:r>
          </w:p>
        </w:tc>
        <w:tc>
          <w:tcPr>
            <w:tcW w:w="1150" w:type="dxa"/>
            <w:shd w:val="clear" w:color="auto" w:fill="auto"/>
            <w:noWrap/>
            <w:vAlign w:val="center"/>
            <w:hideMark/>
          </w:tcPr>
          <w:p w14:paraId="01F26711" w14:textId="77777777" w:rsidR="00C91171" w:rsidRPr="00A431E0" w:rsidRDefault="00C91171" w:rsidP="00C91171">
            <w:pPr>
              <w:rPr>
                <w:color w:val="000000"/>
              </w:rPr>
            </w:pPr>
            <w:r w:rsidRPr="00A431E0">
              <w:rPr>
                <w:color w:val="000000"/>
              </w:rPr>
              <w:t>5.25</w:t>
            </w:r>
          </w:p>
        </w:tc>
        <w:tc>
          <w:tcPr>
            <w:tcW w:w="636" w:type="dxa"/>
            <w:shd w:val="clear" w:color="auto" w:fill="auto"/>
            <w:noWrap/>
            <w:vAlign w:val="center"/>
            <w:hideMark/>
          </w:tcPr>
          <w:p w14:paraId="4B68BAC3" w14:textId="77777777" w:rsidR="00C91171" w:rsidRPr="00A431E0" w:rsidRDefault="00C91171" w:rsidP="00C91171">
            <w:pPr>
              <w:rPr>
                <w:color w:val="000000"/>
              </w:rPr>
            </w:pPr>
            <w:r w:rsidRPr="00A431E0">
              <w:rPr>
                <w:color w:val="000000"/>
              </w:rPr>
              <w:t>0.41</w:t>
            </w:r>
          </w:p>
        </w:tc>
        <w:tc>
          <w:tcPr>
            <w:tcW w:w="1106" w:type="dxa"/>
            <w:shd w:val="clear" w:color="auto" w:fill="auto"/>
            <w:noWrap/>
            <w:vAlign w:val="center"/>
            <w:hideMark/>
          </w:tcPr>
          <w:p w14:paraId="0BD19E8A" w14:textId="77777777" w:rsidR="00C91171" w:rsidRPr="00A431E0" w:rsidRDefault="00C91171" w:rsidP="00C91171">
            <w:pPr>
              <w:rPr>
                <w:color w:val="000000"/>
              </w:rPr>
            </w:pPr>
            <w:r w:rsidRPr="00A431E0">
              <w:rPr>
                <w:color w:val="000000"/>
              </w:rPr>
              <w:t>12.80</w:t>
            </w:r>
          </w:p>
        </w:tc>
      </w:tr>
      <w:tr w:rsidR="00C91171" w:rsidRPr="00A431E0" w14:paraId="6EFC02CB" w14:textId="77777777" w:rsidTr="00FF1F3E">
        <w:trPr>
          <w:trHeight w:val="372"/>
        </w:trPr>
        <w:tc>
          <w:tcPr>
            <w:tcW w:w="2127" w:type="dxa"/>
            <w:shd w:val="clear" w:color="auto" w:fill="auto"/>
            <w:noWrap/>
            <w:vAlign w:val="bottom"/>
            <w:hideMark/>
          </w:tcPr>
          <w:p w14:paraId="58B9DCC1" w14:textId="77777777" w:rsidR="00C91171" w:rsidRPr="00A431E0" w:rsidRDefault="00C91171" w:rsidP="00662134">
            <w:pPr>
              <w:rPr>
                <w:color w:val="000000"/>
              </w:rPr>
            </w:pPr>
            <w:r w:rsidRPr="00A431E0">
              <w:rPr>
                <w:color w:val="000000"/>
              </w:rPr>
              <w:t>Weeks</w:t>
            </w:r>
          </w:p>
        </w:tc>
        <w:tc>
          <w:tcPr>
            <w:tcW w:w="1417" w:type="dxa"/>
            <w:shd w:val="clear" w:color="auto" w:fill="auto"/>
            <w:noWrap/>
            <w:vAlign w:val="center"/>
            <w:hideMark/>
          </w:tcPr>
          <w:p w14:paraId="6D56AECE" w14:textId="77777777" w:rsidR="00C91171" w:rsidRPr="00A431E0" w:rsidRDefault="00C91171" w:rsidP="00C91171">
            <w:pPr>
              <w:rPr>
                <w:color w:val="000000"/>
              </w:rPr>
            </w:pPr>
            <w:r>
              <w:rPr>
                <w:color w:val="000000"/>
              </w:rPr>
              <w:t>-</w:t>
            </w:r>
            <w:r w:rsidRPr="00A431E0">
              <w:rPr>
                <w:color w:val="000000"/>
              </w:rPr>
              <w:t>0.0</w:t>
            </w:r>
            <w:r>
              <w:rPr>
                <w:color w:val="000000"/>
              </w:rPr>
              <w:t>5</w:t>
            </w:r>
          </w:p>
        </w:tc>
        <w:tc>
          <w:tcPr>
            <w:tcW w:w="992" w:type="dxa"/>
            <w:shd w:val="clear" w:color="auto" w:fill="auto"/>
            <w:noWrap/>
            <w:vAlign w:val="center"/>
            <w:hideMark/>
          </w:tcPr>
          <w:p w14:paraId="317CF4BF" w14:textId="77777777" w:rsidR="00C91171" w:rsidRPr="00A431E0" w:rsidRDefault="00C91171" w:rsidP="00C91171">
            <w:pPr>
              <w:rPr>
                <w:color w:val="000000"/>
              </w:rPr>
            </w:pPr>
            <w:r w:rsidRPr="00A431E0">
              <w:rPr>
                <w:color w:val="000000"/>
              </w:rPr>
              <w:t>0.0</w:t>
            </w:r>
            <w:r>
              <w:rPr>
                <w:color w:val="000000"/>
              </w:rPr>
              <w:t>4</w:t>
            </w:r>
          </w:p>
        </w:tc>
        <w:tc>
          <w:tcPr>
            <w:tcW w:w="1171" w:type="dxa"/>
            <w:shd w:val="clear" w:color="auto" w:fill="auto"/>
            <w:noWrap/>
            <w:vAlign w:val="center"/>
            <w:hideMark/>
          </w:tcPr>
          <w:p w14:paraId="21C60A0C" w14:textId="77777777" w:rsidR="00C91171" w:rsidRPr="00A431E0" w:rsidRDefault="00C91171" w:rsidP="00C91171">
            <w:pPr>
              <w:rPr>
                <w:color w:val="000000"/>
              </w:rPr>
            </w:pPr>
            <w:r>
              <w:rPr>
                <w:color w:val="000000"/>
              </w:rPr>
              <w:t>0</w:t>
            </w:r>
            <w:r w:rsidRPr="00A431E0">
              <w:rPr>
                <w:color w:val="000000"/>
              </w:rPr>
              <w:t>.</w:t>
            </w:r>
            <w:r>
              <w:rPr>
                <w:color w:val="000000"/>
              </w:rPr>
              <w:t>013</w:t>
            </w:r>
          </w:p>
        </w:tc>
        <w:tc>
          <w:tcPr>
            <w:tcW w:w="1150" w:type="dxa"/>
            <w:shd w:val="clear" w:color="auto" w:fill="auto"/>
            <w:noWrap/>
            <w:vAlign w:val="center"/>
            <w:hideMark/>
          </w:tcPr>
          <w:p w14:paraId="457C2CD9" w14:textId="77777777" w:rsidR="00C91171" w:rsidRPr="00A431E0" w:rsidRDefault="00C91171" w:rsidP="00C91171">
            <w:pPr>
              <w:rPr>
                <w:color w:val="000000"/>
              </w:rPr>
            </w:pPr>
            <w:r w:rsidRPr="00A431E0">
              <w:rPr>
                <w:color w:val="000000"/>
              </w:rPr>
              <w:t>0.0</w:t>
            </w:r>
            <w:r>
              <w:rPr>
                <w:color w:val="000000"/>
              </w:rPr>
              <w:t>1</w:t>
            </w:r>
          </w:p>
        </w:tc>
        <w:tc>
          <w:tcPr>
            <w:tcW w:w="756" w:type="dxa"/>
            <w:shd w:val="clear" w:color="auto" w:fill="auto"/>
            <w:noWrap/>
            <w:vAlign w:val="center"/>
            <w:hideMark/>
          </w:tcPr>
          <w:p w14:paraId="47D16D67" w14:textId="77777777" w:rsidR="00C91171" w:rsidRPr="00A431E0" w:rsidRDefault="00C91171" w:rsidP="00C91171">
            <w:pPr>
              <w:rPr>
                <w:color w:val="000000"/>
              </w:rPr>
            </w:pPr>
            <w:r w:rsidRPr="00A431E0">
              <w:rPr>
                <w:color w:val="000000"/>
              </w:rPr>
              <w:t>0.0</w:t>
            </w:r>
            <w:r>
              <w:rPr>
                <w:color w:val="000000"/>
              </w:rPr>
              <w:t>4</w:t>
            </w:r>
          </w:p>
        </w:tc>
        <w:tc>
          <w:tcPr>
            <w:tcW w:w="1116" w:type="dxa"/>
            <w:shd w:val="clear" w:color="auto" w:fill="auto"/>
            <w:noWrap/>
            <w:vAlign w:val="center"/>
            <w:hideMark/>
          </w:tcPr>
          <w:p w14:paraId="485EE9D3" w14:textId="77777777" w:rsidR="00C91171" w:rsidRPr="00A431E0" w:rsidRDefault="00C91171" w:rsidP="00C91171">
            <w:pPr>
              <w:rPr>
                <w:color w:val="000000"/>
              </w:rPr>
            </w:pPr>
            <w:r>
              <w:rPr>
                <w:color w:val="000000"/>
              </w:rPr>
              <w:t>0.25</w:t>
            </w:r>
          </w:p>
        </w:tc>
        <w:tc>
          <w:tcPr>
            <w:tcW w:w="1150" w:type="dxa"/>
            <w:shd w:val="clear" w:color="auto" w:fill="auto"/>
            <w:noWrap/>
            <w:vAlign w:val="center"/>
            <w:hideMark/>
          </w:tcPr>
          <w:p w14:paraId="7C3D2295" w14:textId="77777777" w:rsidR="00C91171" w:rsidRPr="00A431E0" w:rsidRDefault="00C91171" w:rsidP="00C91171">
            <w:pPr>
              <w:rPr>
                <w:color w:val="000000"/>
              </w:rPr>
            </w:pPr>
            <w:r w:rsidRPr="00A431E0">
              <w:rPr>
                <w:color w:val="000000"/>
              </w:rPr>
              <w:t>0.0</w:t>
            </w:r>
            <w:r>
              <w:rPr>
                <w:color w:val="000000"/>
              </w:rPr>
              <w:t>4</w:t>
            </w:r>
          </w:p>
        </w:tc>
        <w:tc>
          <w:tcPr>
            <w:tcW w:w="756" w:type="dxa"/>
            <w:shd w:val="clear" w:color="auto" w:fill="auto"/>
            <w:noWrap/>
            <w:vAlign w:val="center"/>
            <w:hideMark/>
          </w:tcPr>
          <w:p w14:paraId="5064B3A7" w14:textId="77777777" w:rsidR="00C91171" w:rsidRPr="00A431E0" w:rsidRDefault="00C91171" w:rsidP="00C91171">
            <w:pPr>
              <w:rPr>
                <w:color w:val="000000"/>
              </w:rPr>
            </w:pPr>
            <w:r w:rsidRPr="00A431E0">
              <w:rPr>
                <w:color w:val="000000"/>
              </w:rPr>
              <w:t>0.0</w:t>
            </w:r>
            <w:r>
              <w:rPr>
                <w:color w:val="000000"/>
              </w:rPr>
              <w:t>4</w:t>
            </w:r>
          </w:p>
        </w:tc>
        <w:tc>
          <w:tcPr>
            <w:tcW w:w="1131" w:type="dxa"/>
            <w:shd w:val="clear" w:color="auto" w:fill="auto"/>
            <w:noWrap/>
            <w:vAlign w:val="center"/>
            <w:hideMark/>
          </w:tcPr>
          <w:p w14:paraId="424CDB85" w14:textId="77777777" w:rsidR="00C91171" w:rsidRPr="00A431E0" w:rsidRDefault="00C91171" w:rsidP="00C91171">
            <w:pPr>
              <w:rPr>
                <w:color w:val="000000"/>
              </w:rPr>
            </w:pPr>
            <w:r>
              <w:rPr>
                <w:color w:val="000000"/>
              </w:rPr>
              <w:t>1</w:t>
            </w:r>
            <w:r w:rsidRPr="00A431E0">
              <w:rPr>
                <w:color w:val="000000"/>
              </w:rPr>
              <w:t>.</w:t>
            </w:r>
            <w:r>
              <w:rPr>
                <w:color w:val="000000"/>
              </w:rPr>
              <w:t>00</w:t>
            </w:r>
          </w:p>
        </w:tc>
        <w:tc>
          <w:tcPr>
            <w:tcW w:w="1150" w:type="dxa"/>
            <w:shd w:val="clear" w:color="auto" w:fill="auto"/>
            <w:noWrap/>
            <w:vAlign w:val="center"/>
            <w:hideMark/>
          </w:tcPr>
          <w:p w14:paraId="198E4C98" w14:textId="77777777" w:rsidR="00C91171" w:rsidRPr="00A431E0" w:rsidRDefault="00C91171" w:rsidP="00C91171">
            <w:pPr>
              <w:rPr>
                <w:color w:val="000000"/>
              </w:rPr>
            </w:pPr>
            <w:r w:rsidRPr="00A431E0">
              <w:rPr>
                <w:color w:val="000000"/>
              </w:rPr>
              <w:t>0.0</w:t>
            </w:r>
            <w:r>
              <w:rPr>
                <w:color w:val="000000"/>
              </w:rPr>
              <w:t>4</w:t>
            </w:r>
          </w:p>
        </w:tc>
        <w:tc>
          <w:tcPr>
            <w:tcW w:w="636" w:type="dxa"/>
            <w:shd w:val="clear" w:color="auto" w:fill="auto"/>
            <w:noWrap/>
            <w:vAlign w:val="center"/>
            <w:hideMark/>
          </w:tcPr>
          <w:p w14:paraId="031D1D71" w14:textId="77777777" w:rsidR="00C91171" w:rsidRPr="00A431E0" w:rsidRDefault="00C91171" w:rsidP="00C91171">
            <w:pPr>
              <w:rPr>
                <w:color w:val="000000"/>
              </w:rPr>
            </w:pPr>
            <w:r w:rsidRPr="00A431E0">
              <w:rPr>
                <w:color w:val="000000"/>
              </w:rPr>
              <w:t>0.0</w:t>
            </w:r>
            <w:r>
              <w:rPr>
                <w:color w:val="000000"/>
              </w:rPr>
              <w:t>3</w:t>
            </w:r>
          </w:p>
        </w:tc>
        <w:tc>
          <w:tcPr>
            <w:tcW w:w="1106" w:type="dxa"/>
            <w:shd w:val="clear" w:color="auto" w:fill="auto"/>
            <w:noWrap/>
            <w:vAlign w:val="center"/>
            <w:hideMark/>
          </w:tcPr>
          <w:p w14:paraId="0EFF30B3" w14:textId="77777777" w:rsidR="00C91171" w:rsidRPr="00A431E0" w:rsidRDefault="00C91171" w:rsidP="00C91171">
            <w:pPr>
              <w:rPr>
                <w:color w:val="000000"/>
              </w:rPr>
            </w:pPr>
            <w:r>
              <w:rPr>
                <w:color w:val="000000"/>
              </w:rPr>
              <w:t>1</w:t>
            </w:r>
            <w:r w:rsidRPr="00A431E0">
              <w:rPr>
                <w:color w:val="000000"/>
              </w:rPr>
              <w:t>.</w:t>
            </w:r>
            <w:r>
              <w:rPr>
                <w:color w:val="000000"/>
              </w:rPr>
              <w:t>33</w:t>
            </w:r>
          </w:p>
        </w:tc>
      </w:tr>
      <w:tr w:rsidR="00C91171" w:rsidRPr="00A431E0" w14:paraId="22908BFA" w14:textId="77777777" w:rsidTr="00FF1F3E">
        <w:trPr>
          <w:trHeight w:val="372"/>
        </w:trPr>
        <w:tc>
          <w:tcPr>
            <w:tcW w:w="2127" w:type="dxa"/>
            <w:shd w:val="clear" w:color="auto" w:fill="auto"/>
            <w:noWrap/>
            <w:vAlign w:val="bottom"/>
            <w:hideMark/>
          </w:tcPr>
          <w:p w14:paraId="55040654" w14:textId="77777777" w:rsidR="00C91171" w:rsidRPr="00A431E0" w:rsidRDefault="00C91171" w:rsidP="00662134">
            <w:pPr>
              <w:rPr>
                <w:color w:val="000000"/>
              </w:rPr>
            </w:pPr>
            <w:r w:rsidRPr="00A431E0">
              <w:rPr>
                <w:color w:val="000000"/>
              </w:rPr>
              <w:t>FSSBs</w:t>
            </w:r>
          </w:p>
        </w:tc>
        <w:tc>
          <w:tcPr>
            <w:tcW w:w="1417" w:type="dxa"/>
            <w:shd w:val="clear" w:color="auto" w:fill="auto"/>
            <w:noWrap/>
            <w:vAlign w:val="center"/>
            <w:hideMark/>
          </w:tcPr>
          <w:p w14:paraId="1673A39A" w14:textId="77777777" w:rsidR="00C91171" w:rsidRPr="00A431E0" w:rsidRDefault="00C91171" w:rsidP="00C91171">
            <w:pPr>
              <w:rPr>
                <w:color w:val="000000"/>
              </w:rPr>
            </w:pPr>
            <w:r w:rsidRPr="00A431E0">
              <w:rPr>
                <w:color w:val="000000"/>
              </w:rPr>
              <w:t>-0.1</w:t>
            </w:r>
            <w:r>
              <w:rPr>
                <w:color w:val="000000"/>
              </w:rPr>
              <w:t>4</w:t>
            </w:r>
          </w:p>
        </w:tc>
        <w:tc>
          <w:tcPr>
            <w:tcW w:w="992" w:type="dxa"/>
            <w:shd w:val="clear" w:color="auto" w:fill="auto"/>
            <w:noWrap/>
            <w:vAlign w:val="center"/>
            <w:hideMark/>
          </w:tcPr>
          <w:p w14:paraId="6D5811AD" w14:textId="77777777" w:rsidR="00C91171" w:rsidRPr="00A431E0" w:rsidRDefault="00C91171" w:rsidP="00C91171">
            <w:pPr>
              <w:rPr>
                <w:color w:val="000000"/>
              </w:rPr>
            </w:pPr>
            <w:r w:rsidRPr="00A431E0">
              <w:rPr>
                <w:color w:val="000000"/>
              </w:rPr>
              <w:t>0.0</w:t>
            </w:r>
            <w:r>
              <w:rPr>
                <w:color w:val="000000"/>
              </w:rPr>
              <w:t>3</w:t>
            </w:r>
          </w:p>
        </w:tc>
        <w:tc>
          <w:tcPr>
            <w:tcW w:w="1171" w:type="dxa"/>
            <w:shd w:val="clear" w:color="auto" w:fill="auto"/>
            <w:noWrap/>
            <w:vAlign w:val="center"/>
            <w:hideMark/>
          </w:tcPr>
          <w:p w14:paraId="66AB05AB" w14:textId="77777777" w:rsidR="00C91171" w:rsidRPr="00A431E0" w:rsidRDefault="00C91171" w:rsidP="00C91171">
            <w:pPr>
              <w:rPr>
                <w:color w:val="000000"/>
              </w:rPr>
            </w:pPr>
            <w:r w:rsidRPr="00A431E0">
              <w:rPr>
                <w:color w:val="000000"/>
              </w:rPr>
              <w:t>-</w:t>
            </w:r>
            <w:r>
              <w:rPr>
                <w:color w:val="000000"/>
              </w:rPr>
              <w:t>4</w:t>
            </w:r>
            <w:r w:rsidRPr="00A431E0">
              <w:rPr>
                <w:color w:val="000000"/>
              </w:rPr>
              <w:t>.</w:t>
            </w:r>
            <w:r>
              <w:rPr>
                <w:color w:val="000000"/>
              </w:rPr>
              <w:t>67</w:t>
            </w:r>
            <w:r w:rsidRPr="00A431E0">
              <w:rPr>
                <w:color w:val="000000"/>
              </w:rPr>
              <w:t>***</w:t>
            </w:r>
          </w:p>
        </w:tc>
        <w:tc>
          <w:tcPr>
            <w:tcW w:w="1150" w:type="dxa"/>
            <w:shd w:val="clear" w:color="auto" w:fill="auto"/>
            <w:noWrap/>
            <w:vAlign w:val="center"/>
            <w:hideMark/>
          </w:tcPr>
          <w:p w14:paraId="4A0559A5" w14:textId="77777777" w:rsidR="00C91171" w:rsidRPr="00A431E0" w:rsidRDefault="00C91171" w:rsidP="00C91171">
            <w:pPr>
              <w:rPr>
                <w:color w:val="000000"/>
              </w:rPr>
            </w:pPr>
            <w:r w:rsidRPr="00A431E0">
              <w:rPr>
                <w:color w:val="000000"/>
              </w:rPr>
              <w:t>0.</w:t>
            </w:r>
            <w:r>
              <w:rPr>
                <w:color w:val="000000"/>
              </w:rPr>
              <w:t>31</w:t>
            </w:r>
          </w:p>
        </w:tc>
        <w:tc>
          <w:tcPr>
            <w:tcW w:w="756" w:type="dxa"/>
            <w:shd w:val="clear" w:color="auto" w:fill="auto"/>
            <w:noWrap/>
            <w:vAlign w:val="center"/>
            <w:hideMark/>
          </w:tcPr>
          <w:p w14:paraId="4A4CF7B1" w14:textId="77777777" w:rsidR="00C91171" w:rsidRPr="00A431E0" w:rsidRDefault="00C91171" w:rsidP="00C91171">
            <w:pPr>
              <w:rPr>
                <w:color w:val="000000"/>
              </w:rPr>
            </w:pPr>
            <w:r w:rsidRPr="00A431E0">
              <w:rPr>
                <w:color w:val="000000"/>
              </w:rPr>
              <w:t>0.03</w:t>
            </w:r>
          </w:p>
        </w:tc>
        <w:tc>
          <w:tcPr>
            <w:tcW w:w="1116" w:type="dxa"/>
            <w:shd w:val="clear" w:color="auto" w:fill="auto"/>
            <w:noWrap/>
            <w:vAlign w:val="center"/>
            <w:hideMark/>
          </w:tcPr>
          <w:p w14:paraId="05C71899" w14:textId="77777777" w:rsidR="00C91171" w:rsidRPr="00A431E0" w:rsidRDefault="00C91171" w:rsidP="00C91171">
            <w:pPr>
              <w:rPr>
                <w:color w:val="000000"/>
              </w:rPr>
            </w:pPr>
            <w:r>
              <w:rPr>
                <w:color w:val="000000"/>
              </w:rPr>
              <w:t>10</w:t>
            </w:r>
            <w:r w:rsidRPr="00A431E0">
              <w:rPr>
                <w:color w:val="000000"/>
              </w:rPr>
              <w:t>.</w:t>
            </w:r>
            <w:r>
              <w:rPr>
                <w:color w:val="000000"/>
              </w:rPr>
              <w:t>33</w:t>
            </w:r>
            <w:r w:rsidRPr="00A431E0">
              <w:rPr>
                <w:color w:val="000000"/>
              </w:rPr>
              <w:t>***</w:t>
            </w:r>
          </w:p>
        </w:tc>
        <w:tc>
          <w:tcPr>
            <w:tcW w:w="1150" w:type="dxa"/>
            <w:shd w:val="clear" w:color="auto" w:fill="auto"/>
            <w:noWrap/>
            <w:vAlign w:val="center"/>
            <w:hideMark/>
          </w:tcPr>
          <w:p w14:paraId="42074A26" w14:textId="77777777" w:rsidR="00C91171" w:rsidRPr="00A431E0" w:rsidRDefault="00C91171" w:rsidP="00C91171">
            <w:pPr>
              <w:rPr>
                <w:color w:val="000000"/>
              </w:rPr>
            </w:pPr>
            <w:r w:rsidRPr="00A431E0">
              <w:rPr>
                <w:color w:val="000000"/>
              </w:rPr>
              <w:t>0.08</w:t>
            </w:r>
          </w:p>
        </w:tc>
        <w:tc>
          <w:tcPr>
            <w:tcW w:w="756" w:type="dxa"/>
            <w:shd w:val="clear" w:color="auto" w:fill="auto"/>
            <w:noWrap/>
            <w:vAlign w:val="center"/>
            <w:hideMark/>
          </w:tcPr>
          <w:p w14:paraId="2CB45FDC" w14:textId="77777777" w:rsidR="00C91171" w:rsidRPr="00A431E0" w:rsidRDefault="00C91171" w:rsidP="00C91171">
            <w:pPr>
              <w:rPr>
                <w:color w:val="000000"/>
              </w:rPr>
            </w:pPr>
            <w:r w:rsidRPr="00A431E0">
              <w:rPr>
                <w:color w:val="000000"/>
              </w:rPr>
              <w:t>0.02</w:t>
            </w:r>
          </w:p>
        </w:tc>
        <w:tc>
          <w:tcPr>
            <w:tcW w:w="1131" w:type="dxa"/>
            <w:shd w:val="clear" w:color="auto" w:fill="auto"/>
            <w:noWrap/>
            <w:vAlign w:val="center"/>
            <w:hideMark/>
          </w:tcPr>
          <w:p w14:paraId="1ECE3C69" w14:textId="77777777" w:rsidR="00C91171" w:rsidRPr="00A431E0" w:rsidRDefault="00C91171" w:rsidP="00C91171">
            <w:pPr>
              <w:rPr>
                <w:color w:val="000000"/>
              </w:rPr>
            </w:pPr>
            <w:r w:rsidRPr="00A431E0">
              <w:rPr>
                <w:color w:val="000000"/>
              </w:rPr>
              <w:t>4.00***</w:t>
            </w:r>
          </w:p>
        </w:tc>
        <w:tc>
          <w:tcPr>
            <w:tcW w:w="1150" w:type="dxa"/>
            <w:shd w:val="clear" w:color="auto" w:fill="auto"/>
            <w:noWrap/>
            <w:vAlign w:val="center"/>
            <w:hideMark/>
          </w:tcPr>
          <w:p w14:paraId="68F0588A" w14:textId="77777777" w:rsidR="00C91171" w:rsidRPr="00A431E0" w:rsidRDefault="00C91171" w:rsidP="00C91171">
            <w:pPr>
              <w:rPr>
                <w:color w:val="000000"/>
              </w:rPr>
            </w:pPr>
            <w:r w:rsidRPr="00A431E0">
              <w:rPr>
                <w:color w:val="000000"/>
              </w:rPr>
              <w:t>0.1</w:t>
            </w:r>
            <w:r>
              <w:rPr>
                <w:color w:val="000000"/>
              </w:rPr>
              <w:t>2</w:t>
            </w:r>
          </w:p>
        </w:tc>
        <w:tc>
          <w:tcPr>
            <w:tcW w:w="636" w:type="dxa"/>
            <w:shd w:val="clear" w:color="auto" w:fill="auto"/>
            <w:noWrap/>
            <w:vAlign w:val="center"/>
            <w:hideMark/>
          </w:tcPr>
          <w:p w14:paraId="6781A283" w14:textId="77777777" w:rsidR="00C91171" w:rsidRPr="00A431E0" w:rsidRDefault="00C91171" w:rsidP="00C91171">
            <w:pPr>
              <w:rPr>
                <w:color w:val="000000"/>
              </w:rPr>
            </w:pPr>
            <w:r w:rsidRPr="00A431E0">
              <w:rPr>
                <w:color w:val="000000"/>
              </w:rPr>
              <w:t>0.0</w:t>
            </w:r>
            <w:r>
              <w:rPr>
                <w:color w:val="000000"/>
              </w:rPr>
              <w:t>3</w:t>
            </w:r>
          </w:p>
        </w:tc>
        <w:tc>
          <w:tcPr>
            <w:tcW w:w="1106" w:type="dxa"/>
            <w:shd w:val="clear" w:color="auto" w:fill="auto"/>
            <w:noWrap/>
            <w:vAlign w:val="center"/>
            <w:hideMark/>
          </w:tcPr>
          <w:p w14:paraId="73446982" w14:textId="77777777" w:rsidR="00C91171" w:rsidRPr="00A431E0" w:rsidRDefault="00C91171" w:rsidP="00C91171">
            <w:pPr>
              <w:rPr>
                <w:color w:val="000000"/>
              </w:rPr>
            </w:pPr>
            <w:r>
              <w:rPr>
                <w:color w:val="000000"/>
              </w:rPr>
              <w:t>4</w:t>
            </w:r>
            <w:r w:rsidRPr="00A431E0">
              <w:rPr>
                <w:color w:val="000000"/>
              </w:rPr>
              <w:t>.00***</w:t>
            </w:r>
          </w:p>
        </w:tc>
      </w:tr>
      <w:tr w:rsidR="00C91171" w:rsidRPr="00A431E0" w14:paraId="0674C5A2" w14:textId="77777777" w:rsidTr="00FF1F3E">
        <w:trPr>
          <w:trHeight w:val="372"/>
        </w:trPr>
        <w:tc>
          <w:tcPr>
            <w:tcW w:w="2127" w:type="dxa"/>
            <w:shd w:val="clear" w:color="auto" w:fill="auto"/>
            <w:noWrap/>
            <w:vAlign w:val="bottom"/>
            <w:hideMark/>
          </w:tcPr>
          <w:p w14:paraId="1E56B117" w14:textId="77777777" w:rsidR="00C91171" w:rsidRPr="00A431E0" w:rsidRDefault="00C91171" w:rsidP="00662134">
            <w:pPr>
              <w:rPr>
                <w:color w:val="000000"/>
              </w:rPr>
            </w:pPr>
            <w:r w:rsidRPr="00A431E0">
              <w:rPr>
                <w:color w:val="000000"/>
              </w:rPr>
              <w:t xml:space="preserve">Exhaustion </w:t>
            </w:r>
          </w:p>
        </w:tc>
        <w:tc>
          <w:tcPr>
            <w:tcW w:w="1417" w:type="dxa"/>
            <w:shd w:val="clear" w:color="auto" w:fill="auto"/>
            <w:noWrap/>
            <w:vAlign w:val="center"/>
            <w:hideMark/>
          </w:tcPr>
          <w:p w14:paraId="7ED48CD4" w14:textId="77777777" w:rsidR="00C91171" w:rsidRPr="00A431E0" w:rsidRDefault="00C91171" w:rsidP="00C91171">
            <w:pPr>
              <w:rPr>
                <w:color w:val="000000"/>
              </w:rPr>
            </w:pPr>
          </w:p>
        </w:tc>
        <w:tc>
          <w:tcPr>
            <w:tcW w:w="992" w:type="dxa"/>
            <w:shd w:val="clear" w:color="auto" w:fill="auto"/>
            <w:noWrap/>
            <w:vAlign w:val="center"/>
            <w:hideMark/>
          </w:tcPr>
          <w:p w14:paraId="3B2B9A2D" w14:textId="77777777" w:rsidR="00C91171" w:rsidRPr="00A431E0" w:rsidRDefault="00C91171" w:rsidP="00C91171"/>
        </w:tc>
        <w:tc>
          <w:tcPr>
            <w:tcW w:w="1171" w:type="dxa"/>
            <w:shd w:val="clear" w:color="auto" w:fill="auto"/>
            <w:noWrap/>
            <w:vAlign w:val="center"/>
            <w:hideMark/>
          </w:tcPr>
          <w:p w14:paraId="12C67F40" w14:textId="77777777" w:rsidR="00C91171" w:rsidRPr="00A431E0" w:rsidRDefault="00C91171" w:rsidP="00C91171"/>
        </w:tc>
        <w:tc>
          <w:tcPr>
            <w:tcW w:w="1150" w:type="dxa"/>
            <w:shd w:val="clear" w:color="auto" w:fill="auto"/>
            <w:noWrap/>
            <w:vAlign w:val="center"/>
            <w:hideMark/>
          </w:tcPr>
          <w:p w14:paraId="640C77FD" w14:textId="77777777" w:rsidR="00C91171" w:rsidRPr="00A431E0" w:rsidRDefault="00C91171" w:rsidP="00C91171">
            <w:pPr>
              <w:rPr>
                <w:color w:val="000000"/>
              </w:rPr>
            </w:pPr>
            <w:r w:rsidRPr="00A431E0">
              <w:rPr>
                <w:color w:val="000000"/>
              </w:rPr>
              <w:t>-0.1</w:t>
            </w:r>
            <w:r>
              <w:rPr>
                <w:color w:val="000000"/>
              </w:rPr>
              <w:t>4</w:t>
            </w:r>
          </w:p>
        </w:tc>
        <w:tc>
          <w:tcPr>
            <w:tcW w:w="756" w:type="dxa"/>
            <w:shd w:val="clear" w:color="auto" w:fill="auto"/>
            <w:noWrap/>
            <w:vAlign w:val="center"/>
            <w:hideMark/>
          </w:tcPr>
          <w:p w14:paraId="4D641886" w14:textId="77777777" w:rsidR="00C91171" w:rsidRPr="00A431E0" w:rsidRDefault="00C91171" w:rsidP="00C91171">
            <w:pPr>
              <w:rPr>
                <w:color w:val="000000"/>
              </w:rPr>
            </w:pPr>
            <w:r w:rsidRPr="00A431E0">
              <w:rPr>
                <w:color w:val="000000"/>
              </w:rPr>
              <w:t>0.03</w:t>
            </w:r>
          </w:p>
        </w:tc>
        <w:tc>
          <w:tcPr>
            <w:tcW w:w="1116" w:type="dxa"/>
            <w:shd w:val="clear" w:color="auto" w:fill="auto"/>
            <w:noWrap/>
            <w:vAlign w:val="center"/>
            <w:hideMark/>
          </w:tcPr>
          <w:p w14:paraId="140DB0F0" w14:textId="77777777" w:rsidR="00C91171" w:rsidRPr="00A431E0" w:rsidRDefault="00C91171" w:rsidP="00C91171">
            <w:pPr>
              <w:rPr>
                <w:color w:val="000000"/>
              </w:rPr>
            </w:pPr>
            <w:r w:rsidRPr="00A431E0">
              <w:rPr>
                <w:color w:val="000000"/>
              </w:rPr>
              <w:t>-4.</w:t>
            </w:r>
            <w:r>
              <w:rPr>
                <w:color w:val="000000"/>
              </w:rPr>
              <w:t>67</w:t>
            </w:r>
            <w:r w:rsidRPr="00A431E0">
              <w:rPr>
                <w:color w:val="000000"/>
              </w:rPr>
              <w:t>***</w:t>
            </w:r>
          </w:p>
        </w:tc>
        <w:tc>
          <w:tcPr>
            <w:tcW w:w="1150" w:type="dxa"/>
            <w:shd w:val="clear" w:color="auto" w:fill="auto"/>
            <w:noWrap/>
            <w:vAlign w:val="center"/>
            <w:hideMark/>
          </w:tcPr>
          <w:p w14:paraId="6C499C02" w14:textId="77777777" w:rsidR="00C91171" w:rsidRPr="00A431E0" w:rsidRDefault="00C91171" w:rsidP="00C91171">
            <w:pPr>
              <w:rPr>
                <w:color w:val="000000"/>
              </w:rPr>
            </w:pPr>
            <w:r w:rsidRPr="00A431E0">
              <w:rPr>
                <w:color w:val="000000"/>
              </w:rPr>
              <w:t>-0.4</w:t>
            </w:r>
            <w:r>
              <w:rPr>
                <w:color w:val="000000"/>
              </w:rPr>
              <w:t>5</w:t>
            </w:r>
          </w:p>
        </w:tc>
        <w:tc>
          <w:tcPr>
            <w:tcW w:w="756" w:type="dxa"/>
            <w:shd w:val="clear" w:color="auto" w:fill="auto"/>
            <w:noWrap/>
            <w:vAlign w:val="center"/>
            <w:hideMark/>
          </w:tcPr>
          <w:p w14:paraId="5EF2FB1A" w14:textId="77777777" w:rsidR="00C91171" w:rsidRPr="00A431E0" w:rsidRDefault="00C91171" w:rsidP="00C91171">
            <w:pPr>
              <w:rPr>
                <w:color w:val="000000"/>
              </w:rPr>
            </w:pPr>
            <w:r w:rsidRPr="00A431E0">
              <w:rPr>
                <w:color w:val="000000"/>
              </w:rPr>
              <w:t>0.0</w:t>
            </w:r>
            <w:r>
              <w:rPr>
                <w:color w:val="000000"/>
              </w:rPr>
              <w:t>3</w:t>
            </w:r>
          </w:p>
        </w:tc>
        <w:tc>
          <w:tcPr>
            <w:tcW w:w="1131" w:type="dxa"/>
            <w:shd w:val="clear" w:color="auto" w:fill="auto"/>
            <w:noWrap/>
            <w:vAlign w:val="center"/>
            <w:hideMark/>
          </w:tcPr>
          <w:p w14:paraId="2A97F062" w14:textId="77777777" w:rsidR="00C91171" w:rsidRPr="00A431E0" w:rsidRDefault="00C91171" w:rsidP="00C91171">
            <w:pPr>
              <w:rPr>
                <w:color w:val="000000"/>
              </w:rPr>
            </w:pPr>
            <w:r w:rsidRPr="00A431E0">
              <w:rPr>
                <w:color w:val="000000"/>
              </w:rPr>
              <w:t>-</w:t>
            </w:r>
            <w:r>
              <w:rPr>
                <w:color w:val="000000"/>
              </w:rPr>
              <w:t>15</w:t>
            </w:r>
            <w:r w:rsidRPr="00A431E0">
              <w:rPr>
                <w:color w:val="000000"/>
              </w:rPr>
              <w:t>.0***</w:t>
            </w:r>
          </w:p>
        </w:tc>
        <w:tc>
          <w:tcPr>
            <w:tcW w:w="1150" w:type="dxa"/>
            <w:shd w:val="clear" w:color="auto" w:fill="auto"/>
            <w:noWrap/>
            <w:vAlign w:val="center"/>
            <w:hideMark/>
          </w:tcPr>
          <w:p w14:paraId="21EDB493" w14:textId="77777777" w:rsidR="00C91171" w:rsidRPr="00A431E0" w:rsidRDefault="00C91171" w:rsidP="00C91171">
            <w:pPr>
              <w:rPr>
                <w:color w:val="000000"/>
              </w:rPr>
            </w:pPr>
            <w:r w:rsidRPr="00A431E0">
              <w:rPr>
                <w:color w:val="000000"/>
              </w:rPr>
              <w:t>-0.09</w:t>
            </w:r>
          </w:p>
        </w:tc>
        <w:tc>
          <w:tcPr>
            <w:tcW w:w="636" w:type="dxa"/>
            <w:shd w:val="clear" w:color="auto" w:fill="auto"/>
            <w:noWrap/>
            <w:vAlign w:val="center"/>
            <w:hideMark/>
          </w:tcPr>
          <w:p w14:paraId="37351E21" w14:textId="77777777" w:rsidR="00C91171" w:rsidRPr="00A431E0" w:rsidRDefault="00C91171" w:rsidP="00C91171">
            <w:pPr>
              <w:rPr>
                <w:color w:val="000000"/>
              </w:rPr>
            </w:pPr>
            <w:r w:rsidRPr="00A431E0">
              <w:rPr>
                <w:color w:val="000000"/>
              </w:rPr>
              <w:t>0.03</w:t>
            </w:r>
          </w:p>
        </w:tc>
        <w:tc>
          <w:tcPr>
            <w:tcW w:w="1106" w:type="dxa"/>
            <w:shd w:val="clear" w:color="auto" w:fill="auto"/>
            <w:noWrap/>
            <w:vAlign w:val="center"/>
            <w:hideMark/>
          </w:tcPr>
          <w:p w14:paraId="0BD1B0B5" w14:textId="77777777" w:rsidR="00C91171" w:rsidRPr="00A431E0" w:rsidRDefault="00C91171" w:rsidP="00C91171">
            <w:pPr>
              <w:rPr>
                <w:color w:val="000000"/>
              </w:rPr>
            </w:pPr>
            <w:r w:rsidRPr="00A431E0">
              <w:rPr>
                <w:color w:val="000000"/>
              </w:rPr>
              <w:t>-3.00**</w:t>
            </w:r>
          </w:p>
        </w:tc>
      </w:tr>
      <w:tr w:rsidR="00C91171" w:rsidRPr="00A431E0" w14:paraId="6EDFE1FE" w14:textId="77777777" w:rsidTr="00FF1F3E">
        <w:trPr>
          <w:trHeight w:val="384"/>
        </w:trPr>
        <w:tc>
          <w:tcPr>
            <w:tcW w:w="2127" w:type="dxa"/>
            <w:shd w:val="clear" w:color="auto" w:fill="auto"/>
            <w:noWrap/>
            <w:vAlign w:val="bottom"/>
            <w:hideMark/>
          </w:tcPr>
          <w:p w14:paraId="48CE7BF7" w14:textId="77777777" w:rsidR="00C91171" w:rsidRPr="00A431E0" w:rsidRDefault="00C91171" w:rsidP="00662134">
            <w:pPr>
              <w:jc w:val="right"/>
              <w:rPr>
                <w:color w:val="000000"/>
              </w:rPr>
            </w:pPr>
          </w:p>
        </w:tc>
        <w:tc>
          <w:tcPr>
            <w:tcW w:w="1417" w:type="dxa"/>
            <w:shd w:val="clear" w:color="auto" w:fill="auto"/>
            <w:noWrap/>
            <w:vAlign w:val="center"/>
            <w:hideMark/>
          </w:tcPr>
          <w:p w14:paraId="3476A1B3" w14:textId="77777777" w:rsidR="00C91171" w:rsidRPr="00A431E0" w:rsidRDefault="00C91171" w:rsidP="00C91171"/>
        </w:tc>
        <w:tc>
          <w:tcPr>
            <w:tcW w:w="992" w:type="dxa"/>
            <w:shd w:val="clear" w:color="auto" w:fill="auto"/>
            <w:noWrap/>
            <w:vAlign w:val="center"/>
            <w:hideMark/>
          </w:tcPr>
          <w:p w14:paraId="46262A3E" w14:textId="77777777" w:rsidR="00C91171" w:rsidRPr="00A431E0" w:rsidRDefault="00C91171" w:rsidP="00C91171"/>
        </w:tc>
        <w:tc>
          <w:tcPr>
            <w:tcW w:w="1171" w:type="dxa"/>
            <w:shd w:val="clear" w:color="auto" w:fill="auto"/>
            <w:noWrap/>
            <w:vAlign w:val="center"/>
            <w:hideMark/>
          </w:tcPr>
          <w:p w14:paraId="412F5AAD" w14:textId="77777777" w:rsidR="00C91171" w:rsidRPr="00A431E0" w:rsidRDefault="00C91171" w:rsidP="00C91171"/>
        </w:tc>
        <w:tc>
          <w:tcPr>
            <w:tcW w:w="1150" w:type="dxa"/>
            <w:shd w:val="clear" w:color="auto" w:fill="auto"/>
            <w:noWrap/>
            <w:vAlign w:val="center"/>
            <w:hideMark/>
          </w:tcPr>
          <w:p w14:paraId="50B663A2" w14:textId="77777777" w:rsidR="00C91171" w:rsidRPr="00A431E0" w:rsidRDefault="00C91171" w:rsidP="00C91171"/>
        </w:tc>
        <w:tc>
          <w:tcPr>
            <w:tcW w:w="756" w:type="dxa"/>
            <w:shd w:val="clear" w:color="auto" w:fill="auto"/>
            <w:noWrap/>
            <w:vAlign w:val="center"/>
            <w:hideMark/>
          </w:tcPr>
          <w:p w14:paraId="00190DF4" w14:textId="77777777" w:rsidR="00C91171" w:rsidRPr="00A431E0" w:rsidRDefault="00C91171" w:rsidP="00C91171"/>
        </w:tc>
        <w:tc>
          <w:tcPr>
            <w:tcW w:w="1116" w:type="dxa"/>
            <w:shd w:val="clear" w:color="auto" w:fill="auto"/>
            <w:noWrap/>
            <w:vAlign w:val="center"/>
            <w:hideMark/>
          </w:tcPr>
          <w:p w14:paraId="5C3903C9" w14:textId="77777777" w:rsidR="00C91171" w:rsidRPr="00A431E0" w:rsidRDefault="00C91171" w:rsidP="00C91171"/>
        </w:tc>
        <w:tc>
          <w:tcPr>
            <w:tcW w:w="1150" w:type="dxa"/>
            <w:shd w:val="clear" w:color="auto" w:fill="auto"/>
            <w:noWrap/>
            <w:vAlign w:val="center"/>
            <w:hideMark/>
          </w:tcPr>
          <w:p w14:paraId="12530E11" w14:textId="77777777" w:rsidR="00C91171" w:rsidRPr="00A431E0" w:rsidRDefault="00C91171" w:rsidP="00C91171"/>
        </w:tc>
        <w:tc>
          <w:tcPr>
            <w:tcW w:w="756" w:type="dxa"/>
            <w:shd w:val="clear" w:color="auto" w:fill="auto"/>
            <w:noWrap/>
            <w:vAlign w:val="center"/>
            <w:hideMark/>
          </w:tcPr>
          <w:p w14:paraId="174F4D56" w14:textId="77777777" w:rsidR="00C91171" w:rsidRPr="00A431E0" w:rsidRDefault="00C91171" w:rsidP="00C91171"/>
        </w:tc>
        <w:tc>
          <w:tcPr>
            <w:tcW w:w="1131" w:type="dxa"/>
            <w:shd w:val="clear" w:color="auto" w:fill="auto"/>
            <w:noWrap/>
            <w:vAlign w:val="center"/>
            <w:hideMark/>
          </w:tcPr>
          <w:p w14:paraId="5856A7B2" w14:textId="77777777" w:rsidR="00C91171" w:rsidRPr="00A431E0" w:rsidRDefault="00C91171" w:rsidP="00C91171"/>
        </w:tc>
        <w:tc>
          <w:tcPr>
            <w:tcW w:w="1150" w:type="dxa"/>
            <w:shd w:val="clear" w:color="auto" w:fill="auto"/>
            <w:noWrap/>
            <w:vAlign w:val="center"/>
            <w:hideMark/>
          </w:tcPr>
          <w:p w14:paraId="0F6C2E22" w14:textId="77777777" w:rsidR="00C91171" w:rsidRPr="00A431E0" w:rsidRDefault="00C91171" w:rsidP="00C91171"/>
        </w:tc>
        <w:tc>
          <w:tcPr>
            <w:tcW w:w="636" w:type="dxa"/>
            <w:shd w:val="clear" w:color="auto" w:fill="auto"/>
            <w:noWrap/>
            <w:vAlign w:val="center"/>
            <w:hideMark/>
          </w:tcPr>
          <w:p w14:paraId="4432995B" w14:textId="77777777" w:rsidR="00C91171" w:rsidRPr="00A431E0" w:rsidRDefault="00C91171" w:rsidP="00C91171"/>
        </w:tc>
        <w:tc>
          <w:tcPr>
            <w:tcW w:w="1106" w:type="dxa"/>
            <w:shd w:val="clear" w:color="auto" w:fill="auto"/>
            <w:noWrap/>
            <w:vAlign w:val="center"/>
            <w:hideMark/>
          </w:tcPr>
          <w:p w14:paraId="64320B14" w14:textId="77777777" w:rsidR="00C91171" w:rsidRPr="00A431E0" w:rsidRDefault="00C91171" w:rsidP="00C91171"/>
        </w:tc>
      </w:tr>
      <w:tr w:rsidR="00C91171" w:rsidRPr="00A431E0" w14:paraId="108CE33A" w14:textId="77777777" w:rsidTr="00FF1F3E">
        <w:trPr>
          <w:trHeight w:val="372"/>
        </w:trPr>
        <w:tc>
          <w:tcPr>
            <w:tcW w:w="2127" w:type="dxa"/>
            <w:shd w:val="clear" w:color="auto" w:fill="auto"/>
            <w:noWrap/>
            <w:vAlign w:val="bottom"/>
            <w:hideMark/>
          </w:tcPr>
          <w:p w14:paraId="1DEDC469" w14:textId="77777777" w:rsidR="00C91171" w:rsidRPr="00A431E0" w:rsidRDefault="00C91171" w:rsidP="00662134">
            <w:pPr>
              <w:rPr>
                <w:color w:val="000000"/>
              </w:rPr>
            </w:pPr>
            <w:r w:rsidRPr="00A431E0">
              <w:rPr>
                <w:color w:val="000000"/>
              </w:rPr>
              <w:t>Level 1 intercept variance (SE)</w:t>
            </w:r>
          </w:p>
        </w:tc>
        <w:tc>
          <w:tcPr>
            <w:tcW w:w="1417" w:type="dxa"/>
            <w:shd w:val="clear" w:color="auto" w:fill="auto"/>
            <w:noWrap/>
            <w:vAlign w:val="center"/>
            <w:hideMark/>
          </w:tcPr>
          <w:p w14:paraId="4594C2CA" w14:textId="77777777" w:rsidR="00C91171" w:rsidRPr="00A431E0" w:rsidRDefault="00C91171" w:rsidP="00C91171">
            <w:pPr>
              <w:rPr>
                <w:color w:val="000000"/>
              </w:rPr>
            </w:pPr>
            <w:r w:rsidRPr="00A431E0">
              <w:rPr>
                <w:color w:val="000000"/>
              </w:rPr>
              <w:t>0.85</w:t>
            </w:r>
          </w:p>
        </w:tc>
        <w:tc>
          <w:tcPr>
            <w:tcW w:w="992" w:type="dxa"/>
            <w:shd w:val="clear" w:color="auto" w:fill="auto"/>
            <w:noWrap/>
            <w:vAlign w:val="center"/>
            <w:hideMark/>
          </w:tcPr>
          <w:p w14:paraId="7701A6A2" w14:textId="77777777" w:rsidR="00C91171" w:rsidRPr="00A431E0" w:rsidRDefault="00C91171" w:rsidP="00C91171">
            <w:pPr>
              <w:rPr>
                <w:color w:val="000000"/>
              </w:rPr>
            </w:pPr>
            <w:r w:rsidRPr="00A431E0">
              <w:rPr>
                <w:color w:val="000000"/>
              </w:rPr>
              <w:t>0.55</w:t>
            </w:r>
          </w:p>
        </w:tc>
        <w:tc>
          <w:tcPr>
            <w:tcW w:w="1171" w:type="dxa"/>
            <w:shd w:val="clear" w:color="auto" w:fill="auto"/>
            <w:noWrap/>
            <w:vAlign w:val="center"/>
            <w:hideMark/>
          </w:tcPr>
          <w:p w14:paraId="15627A3C" w14:textId="77777777" w:rsidR="00C91171" w:rsidRPr="00A431E0" w:rsidRDefault="00C91171" w:rsidP="00C91171">
            <w:pPr>
              <w:rPr>
                <w:color w:val="000000"/>
              </w:rPr>
            </w:pPr>
          </w:p>
        </w:tc>
        <w:tc>
          <w:tcPr>
            <w:tcW w:w="1150" w:type="dxa"/>
            <w:shd w:val="clear" w:color="auto" w:fill="auto"/>
            <w:noWrap/>
            <w:vAlign w:val="center"/>
            <w:hideMark/>
          </w:tcPr>
          <w:p w14:paraId="7DF7FA21" w14:textId="77777777" w:rsidR="00C91171" w:rsidRPr="00A431E0" w:rsidRDefault="00C91171" w:rsidP="00C91171">
            <w:pPr>
              <w:rPr>
                <w:color w:val="000000"/>
              </w:rPr>
            </w:pPr>
            <w:r w:rsidRPr="00A431E0">
              <w:rPr>
                <w:color w:val="000000"/>
              </w:rPr>
              <w:t>1.1</w:t>
            </w:r>
          </w:p>
        </w:tc>
        <w:tc>
          <w:tcPr>
            <w:tcW w:w="756" w:type="dxa"/>
            <w:shd w:val="clear" w:color="auto" w:fill="auto"/>
            <w:noWrap/>
            <w:vAlign w:val="center"/>
            <w:hideMark/>
          </w:tcPr>
          <w:p w14:paraId="2D43B5E1" w14:textId="77777777" w:rsidR="00C91171" w:rsidRPr="00A431E0" w:rsidRDefault="00C91171" w:rsidP="00C91171">
            <w:pPr>
              <w:rPr>
                <w:color w:val="000000"/>
              </w:rPr>
            </w:pPr>
            <w:r w:rsidRPr="00A431E0">
              <w:rPr>
                <w:color w:val="000000"/>
              </w:rPr>
              <w:t>0.48</w:t>
            </w:r>
          </w:p>
        </w:tc>
        <w:tc>
          <w:tcPr>
            <w:tcW w:w="1116" w:type="dxa"/>
            <w:shd w:val="clear" w:color="auto" w:fill="auto"/>
            <w:noWrap/>
            <w:vAlign w:val="center"/>
            <w:hideMark/>
          </w:tcPr>
          <w:p w14:paraId="19A5562D" w14:textId="77777777" w:rsidR="00C91171" w:rsidRPr="00A431E0" w:rsidRDefault="00C91171" w:rsidP="00C91171">
            <w:pPr>
              <w:rPr>
                <w:color w:val="000000"/>
              </w:rPr>
            </w:pPr>
          </w:p>
        </w:tc>
        <w:tc>
          <w:tcPr>
            <w:tcW w:w="1150" w:type="dxa"/>
            <w:shd w:val="clear" w:color="auto" w:fill="auto"/>
            <w:noWrap/>
            <w:vAlign w:val="center"/>
            <w:hideMark/>
          </w:tcPr>
          <w:p w14:paraId="76E7C33A" w14:textId="77777777" w:rsidR="00C91171" w:rsidRPr="00A431E0" w:rsidRDefault="00C91171" w:rsidP="00C91171">
            <w:pPr>
              <w:rPr>
                <w:color w:val="000000"/>
              </w:rPr>
            </w:pPr>
            <w:r w:rsidRPr="00A431E0">
              <w:rPr>
                <w:color w:val="000000"/>
              </w:rPr>
              <w:t>0.35</w:t>
            </w:r>
          </w:p>
        </w:tc>
        <w:tc>
          <w:tcPr>
            <w:tcW w:w="756" w:type="dxa"/>
            <w:shd w:val="clear" w:color="auto" w:fill="auto"/>
            <w:noWrap/>
            <w:vAlign w:val="center"/>
            <w:hideMark/>
          </w:tcPr>
          <w:p w14:paraId="343981D4" w14:textId="77777777" w:rsidR="00C91171" w:rsidRPr="00A431E0" w:rsidRDefault="00C91171" w:rsidP="00C91171">
            <w:pPr>
              <w:rPr>
                <w:color w:val="000000"/>
              </w:rPr>
            </w:pPr>
            <w:r w:rsidRPr="00A431E0">
              <w:rPr>
                <w:color w:val="000000"/>
              </w:rPr>
              <w:t>0.61</w:t>
            </w:r>
          </w:p>
        </w:tc>
        <w:tc>
          <w:tcPr>
            <w:tcW w:w="1131" w:type="dxa"/>
            <w:shd w:val="clear" w:color="auto" w:fill="auto"/>
            <w:noWrap/>
            <w:vAlign w:val="center"/>
            <w:hideMark/>
          </w:tcPr>
          <w:p w14:paraId="1D36824D" w14:textId="77777777" w:rsidR="00C91171" w:rsidRPr="00A431E0" w:rsidRDefault="00C91171" w:rsidP="00C91171">
            <w:pPr>
              <w:rPr>
                <w:color w:val="000000"/>
              </w:rPr>
            </w:pPr>
          </w:p>
        </w:tc>
        <w:tc>
          <w:tcPr>
            <w:tcW w:w="1150" w:type="dxa"/>
            <w:shd w:val="clear" w:color="auto" w:fill="auto"/>
            <w:noWrap/>
            <w:vAlign w:val="center"/>
            <w:hideMark/>
          </w:tcPr>
          <w:p w14:paraId="4F31871C" w14:textId="77777777" w:rsidR="00C91171" w:rsidRPr="00A431E0" w:rsidRDefault="00C91171" w:rsidP="00C91171">
            <w:pPr>
              <w:rPr>
                <w:color w:val="000000"/>
              </w:rPr>
            </w:pPr>
            <w:r w:rsidRPr="00A431E0">
              <w:rPr>
                <w:color w:val="000000"/>
              </w:rPr>
              <w:t>1.36</w:t>
            </w:r>
          </w:p>
        </w:tc>
        <w:tc>
          <w:tcPr>
            <w:tcW w:w="636" w:type="dxa"/>
            <w:shd w:val="clear" w:color="auto" w:fill="auto"/>
            <w:noWrap/>
            <w:vAlign w:val="center"/>
            <w:hideMark/>
          </w:tcPr>
          <w:p w14:paraId="3A190D6C" w14:textId="77777777" w:rsidR="00C91171" w:rsidRPr="00A431E0" w:rsidRDefault="00C91171" w:rsidP="00C91171">
            <w:pPr>
              <w:rPr>
                <w:color w:val="000000"/>
              </w:rPr>
            </w:pPr>
            <w:r w:rsidRPr="00A431E0">
              <w:rPr>
                <w:color w:val="000000"/>
              </w:rPr>
              <w:t>0.23</w:t>
            </w:r>
          </w:p>
        </w:tc>
        <w:tc>
          <w:tcPr>
            <w:tcW w:w="1106" w:type="dxa"/>
            <w:shd w:val="clear" w:color="auto" w:fill="auto"/>
            <w:noWrap/>
            <w:vAlign w:val="center"/>
            <w:hideMark/>
          </w:tcPr>
          <w:p w14:paraId="6E24B050" w14:textId="77777777" w:rsidR="00C91171" w:rsidRPr="00A431E0" w:rsidRDefault="00C91171" w:rsidP="00C91171">
            <w:pPr>
              <w:rPr>
                <w:color w:val="000000"/>
              </w:rPr>
            </w:pPr>
          </w:p>
        </w:tc>
      </w:tr>
      <w:tr w:rsidR="00C91171" w:rsidRPr="00A431E0" w14:paraId="6D0F29BE" w14:textId="77777777" w:rsidTr="00FF1F3E">
        <w:trPr>
          <w:trHeight w:val="372"/>
        </w:trPr>
        <w:tc>
          <w:tcPr>
            <w:tcW w:w="2127" w:type="dxa"/>
            <w:shd w:val="clear" w:color="auto" w:fill="auto"/>
            <w:noWrap/>
            <w:vAlign w:val="bottom"/>
            <w:hideMark/>
          </w:tcPr>
          <w:p w14:paraId="07F5ECC9" w14:textId="77777777" w:rsidR="00C91171" w:rsidRPr="00A431E0" w:rsidRDefault="00C91171" w:rsidP="00662134">
            <w:pPr>
              <w:rPr>
                <w:color w:val="000000"/>
              </w:rPr>
            </w:pPr>
            <w:r w:rsidRPr="00A431E0">
              <w:rPr>
                <w:color w:val="000000"/>
              </w:rPr>
              <w:t>Level 2 intercept variance (SE)</w:t>
            </w:r>
          </w:p>
        </w:tc>
        <w:tc>
          <w:tcPr>
            <w:tcW w:w="1417" w:type="dxa"/>
            <w:shd w:val="clear" w:color="auto" w:fill="auto"/>
            <w:noWrap/>
            <w:vAlign w:val="center"/>
            <w:hideMark/>
          </w:tcPr>
          <w:p w14:paraId="00897DCA" w14:textId="77777777" w:rsidR="00C91171" w:rsidRPr="00A431E0" w:rsidRDefault="00C91171" w:rsidP="00C91171">
            <w:pPr>
              <w:rPr>
                <w:color w:val="000000"/>
              </w:rPr>
            </w:pPr>
            <w:r w:rsidRPr="00A431E0">
              <w:rPr>
                <w:color w:val="000000"/>
              </w:rPr>
              <w:t>1.11</w:t>
            </w:r>
          </w:p>
        </w:tc>
        <w:tc>
          <w:tcPr>
            <w:tcW w:w="992" w:type="dxa"/>
            <w:shd w:val="clear" w:color="auto" w:fill="auto"/>
            <w:noWrap/>
            <w:vAlign w:val="center"/>
            <w:hideMark/>
          </w:tcPr>
          <w:p w14:paraId="35AB6CA6" w14:textId="77777777" w:rsidR="00C91171" w:rsidRPr="00A431E0" w:rsidRDefault="00C91171" w:rsidP="00C91171">
            <w:pPr>
              <w:rPr>
                <w:color w:val="000000"/>
              </w:rPr>
            </w:pPr>
            <w:r w:rsidRPr="00A431E0">
              <w:rPr>
                <w:color w:val="000000"/>
              </w:rPr>
              <w:t>0.54</w:t>
            </w:r>
          </w:p>
        </w:tc>
        <w:tc>
          <w:tcPr>
            <w:tcW w:w="1171" w:type="dxa"/>
            <w:shd w:val="clear" w:color="auto" w:fill="auto"/>
            <w:noWrap/>
            <w:vAlign w:val="center"/>
            <w:hideMark/>
          </w:tcPr>
          <w:p w14:paraId="0C73F3FA" w14:textId="77777777" w:rsidR="00C91171" w:rsidRPr="00A431E0" w:rsidRDefault="00C91171" w:rsidP="00C91171">
            <w:pPr>
              <w:rPr>
                <w:color w:val="000000"/>
              </w:rPr>
            </w:pPr>
          </w:p>
        </w:tc>
        <w:tc>
          <w:tcPr>
            <w:tcW w:w="1150" w:type="dxa"/>
            <w:shd w:val="clear" w:color="auto" w:fill="auto"/>
            <w:noWrap/>
            <w:vAlign w:val="center"/>
            <w:hideMark/>
          </w:tcPr>
          <w:p w14:paraId="57636A54" w14:textId="77777777" w:rsidR="00C91171" w:rsidRPr="00A431E0" w:rsidRDefault="00C91171" w:rsidP="00C91171">
            <w:pPr>
              <w:rPr>
                <w:color w:val="000000"/>
              </w:rPr>
            </w:pPr>
            <w:r w:rsidRPr="00A431E0">
              <w:rPr>
                <w:color w:val="000000"/>
              </w:rPr>
              <w:t>0.93</w:t>
            </w:r>
          </w:p>
        </w:tc>
        <w:tc>
          <w:tcPr>
            <w:tcW w:w="756" w:type="dxa"/>
            <w:shd w:val="clear" w:color="auto" w:fill="auto"/>
            <w:noWrap/>
            <w:vAlign w:val="center"/>
            <w:hideMark/>
          </w:tcPr>
          <w:p w14:paraId="1BF2EE50" w14:textId="77777777" w:rsidR="00C91171" w:rsidRPr="00A431E0" w:rsidRDefault="00C91171" w:rsidP="00C91171">
            <w:pPr>
              <w:rPr>
                <w:color w:val="000000"/>
              </w:rPr>
            </w:pPr>
            <w:r w:rsidRPr="00A431E0">
              <w:rPr>
                <w:color w:val="000000"/>
              </w:rPr>
              <w:t>0.48</w:t>
            </w:r>
          </w:p>
        </w:tc>
        <w:tc>
          <w:tcPr>
            <w:tcW w:w="1116" w:type="dxa"/>
            <w:shd w:val="clear" w:color="auto" w:fill="auto"/>
            <w:noWrap/>
            <w:vAlign w:val="center"/>
            <w:hideMark/>
          </w:tcPr>
          <w:p w14:paraId="51AD25B7" w14:textId="77777777" w:rsidR="00C91171" w:rsidRPr="00A431E0" w:rsidRDefault="00C91171" w:rsidP="00C91171">
            <w:pPr>
              <w:rPr>
                <w:color w:val="000000"/>
              </w:rPr>
            </w:pPr>
          </w:p>
        </w:tc>
        <w:tc>
          <w:tcPr>
            <w:tcW w:w="1150" w:type="dxa"/>
            <w:shd w:val="clear" w:color="auto" w:fill="auto"/>
            <w:noWrap/>
            <w:vAlign w:val="center"/>
            <w:hideMark/>
          </w:tcPr>
          <w:p w14:paraId="7A8CAF39" w14:textId="77777777" w:rsidR="00C91171" w:rsidRPr="00A431E0" w:rsidRDefault="00C91171" w:rsidP="00C91171">
            <w:pPr>
              <w:rPr>
                <w:color w:val="000000"/>
              </w:rPr>
            </w:pPr>
            <w:r w:rsidRPr="00A431E0">
              <w:rPr>
                <w:color w:val="000000"/>
              </w:rPr>
              <w:t>1.33</w:t>
            </w:r>
          </w:p>
        </w:tc>
        <w:tc>
          <w:tcPr>
            <w:tcW w:w="756" w:type="dxa"/>
            <w:shd w:val="clear" w:color="auto" w:fill="auto"/>
            <w:noWrap/>
            <w:vAlign w:val="center"/>
            <w:hideMark/>
          </w:tcPr>
          <w:p w14:paraId="022B246F" w14:textId="77777777" w:rsidR="00C91171" w:rsidRPr="00A431E0" w:rsidRDefault="00C91171" w:rsidP="00C91171">
            <w:pPr>
              <w:rPr>
                <w:color w:val="000000"/>
              </w:rPr>
            </w:pPr>
            <w:r w:rsidRPr="00A431E0">
              <w:rPr>
                <w:color w:val="000000"/>
              </w:rPr>
              <w:t>0.61</w:t>
            </w:r>
          </w:p>
        </w:tc>
        <w:tc>
          <w:tcPr>
            <w:tcW w:w="1131" w:type="dxa"/>
            <w:shd w:val="clear" w:color="auto" w:fill="auto"/>
            <w:noWrap/>
            <w:vAlign w:val="center"/>
            <w:hideMark/>
          </w:tcPr>
          <w:p w14:paraId="4C215A37" w14:textId="77777777" w:rsidR="00C91171" w:rsidRPr="00A431E0" w:rsidRDefault="00C91171" w:rsidP="00C91171">
            <w:pPr>
              <w:rPr>
                <w:color w:val="000000"/>
              </w:rPr>
            </w:pPr>
          </w:p>
        </w:tc>
        <w:tc>
          <w:tcPr>
            <w:tcW w:w="1150" w:type="dxa"/>
            <w:shd w:val="clear" w:color="auto" w:fill="auto"/>
            <w:noWrap/>
            <w:vAlign w:val="center"/>
            <w:hideMark/>
          </w:tcPr>
          <w:p w14:paraId="368ECA0C" w14:textId="77777777" w:rsidR="00C91171" w:rsidRPr="00A431E0" w:rsidRDefault="00C91171" w:rsidP="00C91171">
            <w:pPr>
              <w:rPr>
                <w:color w:val="000000"/>
              </w:rPr>
            </w:pPr>
            <w:r w:rsidRPr="00A431E0">
              <w:rPr>
                <w:color w:val="000000"/>
              </w:rPr>
              <w:t>0.41</w:t>
            </w:r>
          </w:p>
        </w:tc>
        <w:tc>
          <w:tcPr>
            <w:tcW w:w="636" w:type="dxa"/>
            <w:shd w:val="clear" w:color="auto" w:fill="auto"/>
            <w:noWrap/>
            <w:vAlign w:val="center"/>
            <w:hideMark/>
          </w:tcPr>
          <w:p w14:paraId="1EEA0594" w14:textId="77777777" w:rsidR="00C91171" w:rsidRPr="00A431E0" w:rsidRDefault="00C91171" w:rsidP="00C91171">
            <w:pPr>
              <w:rPr>
                <w:color w:val="000000"/>
              </w:rPr>
            </w:pPr>
            <w:r w:rsidRPr="00A431E0">
              <w:rPr>
                <w:color w:val="000000"/>
              </w:rPr>
              <w:t>0.22</w:t>
            </w:r>
          </w:p>
        </w:tc>
        <w:tc>
          <w:tcPr>
            <w:tcW w:w="1106" w:type="dxa"/>
            <w:shd w:val="clear" w:color="auto" w:fill="auto"/>
            <w:noWrap/>
            <w:vAlign w:val="center"/>
            <w:hideMark/>
          </w:tcPr>
          <w:p w14:paraId="12E4C2BB" w14:textId="77777777" w:rsidR="00C91171" w:rsidRPr="00A431E0" w:rsidRDefault="00C91171" w:rsidP="00C91171">
            <w:pPr>
              <w:rPr>
                <w:color w:val="000000"/>
              </w:rPr>
            </w:pPr>
          </w:p>
        </w:tc>
      </w:tr>
    </w:tbl>
    <w:p w14:paraId="1536714A" w14:textId="77777777" w:rsidR="00BE0C8B" w:rsidRPr="00071A3A" w:rsidRDefault="00BE0C8B" w:rsidP="00C91171">
      <w:pPr>
        <w:jc w:val="both"/>
        <w:rPr>
          <w:color w:val="000000"/>
          <w:lang w:val="en-US"/>
        </w:rPr>
      </w:pPr>
      <w:r w:rsidRPr="00071A3A">
        <w:rPr>
          <w:i/>
          <w:color w:val="000000"/>
          <w:lang w:val="en-US"/>
        </w:rPr>
        <w:t>Notes.</w:t>
      </w:r>
      <w:r w:rsidRPr="00071A3A">
        <w:rPr>
          <w:color w:val="000000"/>
          <w:lang w:val="en-US"/>
        </w:rPr>
        <w:t xml:space="preserve"> </w:t>
      </w:r>
      <w:r w:rsidRPr="00071A3A">
        <w:rPr>
          <w:rFonts w:eastAsia="MS Mincho"/>
          <w:color w:val="000000"/>
          <w:lang w:val="en-US"/>
        </w:rPr>
        <w:t xml:space="preserve">*: </w:t>
      </w:r>
      <w:r w:rsidRPr="00071A3A">
        <w:rPr>
          <w:rFonts w:eastAsia="MS Mincho"/>
          <w:i/>
          <w:color w:val="000000"/>
          <w:lang w:val="en-US"/>
        </w:rPr>
        <w:t>p &lt; .</w:t>
      </w:r>
      <w:r w:rsidRPr="00071A3A">
        <w:rPr>
          <w:rFonts w:eastAsia="MS Mincho"/>
          <w:color w:val="000000"/>
          <w:lang w:val="en-US"/>
        </w:rPr>
        <w:t xml:space="preserve">05. **: </w:t>
      </w:r>
      <w:r w:rsidRPr="00071A3A">
        <w:rPr>
          <w:rFonts w:eastAsia="MS Mincho"/>
          <w:i/>
          <w:color w:val="000000"/>
          <w:lang w:val="en-US"/>
        </w:rPr>
        <w:t>p &lt; .</w:t>
      </w:r>
      <w:r w:rsidRPr="00071A3A">
        <w:rPr>
          <w:rFonts w:eastAsia="MS Mincho"/>
          <w:color w:val="000000"/>
          <w:lang w:val="en-US"/>
        </w:rPr>
        <w:t xml:space="preserve">01. ***: </w:t>
      </w:r>
      <w:r w:rsidRPr="00071A3A">
        <w:rPr>
          <w:rFonts w:eastAsia="MS Mincho"/>
          <w:i/>
          <w:color w:val="000000"/>
          <w:lang w:val="en-US"/>
        </w:rPr>
        <w:t>p &lt; .</w:t>
      </w:r>
      <w:r w:rsidRPr="00071A3A">
        <w:rPr>
          <w:rFonts w:eastAsia="MS Mincho"/>
          <w:color w:val="000000"/>
          <w:lang w:val="en-US"/>
        </w:rPr>
        <w:t>001.</w:t>
      </w:r>
    </w:p>
    <w:p w14:paraId="7AE361DB" w14:textId="66210126" w:rsidR="003A284B" w:rsidRPr="00071A3A" w:rsidRDefault="00C91171" w:rsidP="00C91171">
      <w:pPr>
        <w:jc w:val="both"/>
        <w:rPr>
          <w:b/>
          <w:bCs/>
          <w:color w:val="000000"/>
        </w:rPr>
      </w:pPr>
      <w:r>
        <w:rPr>
          <w:color w:val="000000"/>
          <w:lang w:val="en-US"/>
        </w:rPr>
        <w:t xml:space="preserve">N: </w:t>
      </w:r>
      <w:r w:rsidR="003A284B" w:rsidRPr="00071A3A">
        <w:rPr>
          <w:lang w:val="en-US"/>
        </w:rPr>
        <w:t>237 employees over 4 weeks.</w:t>
      </w:r>
    </w:p>
    <w:p w14:paraId="236AF026" w14:textId="77777777" w:rsidR="00BE0C8B" w:rsidRPr="00C633C6" w:rsidRDefault="00BE0C8B" w:rsidP="00071A3A">
      <w:pPr>
        <w:rPr>
          <w:lang w:val="en-US"/>
        </w:rPr>
      </w:pPr>
    </w:p>
    <w:p w14:paraId="5D79D232" w14:textId="77777777" w:rsidR="00BD371A" w:rsidRDefault="00BD371A" w:rsidP="00071A3A">
      <w:pPr>
        <w:spacing w:line="480" w:lineRule="auto"/>
        <w:contextualSpacing/>
        <w:rPr>
          <w:bCs/>
        </w:rPr>
      </w:pPr>
    </w:p>
    <w:p w14:paraId="7CDCC7BE" w14:textId="041BD8E9" w:rsidR="00BD371A" w:rsidRDefault="00BD371A" w:rsidP="00071A3A">
      <w:pPr>
        <w:spacing w:line="480" w:lineRule="auto"/>
        <w:contextualSpacing/>
        <w:rPr>
          <w:bCs/>
        </w:rPr>
      </w:pPr>
    </w:p>
    <w:p w14:paraId="3B5D0E2E" w14:textId="77777777" w:rsidR="00900626" w:rsidRDefault="00900626" w:rsidP="00071A3A">
      <w:pPr>
        <w:spacing w:line="480" w:lineRule="auto"/>
        <w:contextualSpacing/>
        <w:rPr>
          <w:bCs/>
        </w:rPr>
      </w:pPr>
    </w:p>
    <w:p w14:paraId="4E9C54C7" w14:textId="01F52C7F" w:rsidR="00E25B16" w:rsidRDefault="00E25B16" w:rsidP="00071A3A">
      <w:pPr>
        <w:spacing w:line="480" w:lineRule="auto"/>
        <w:contextualSpacing/>
      </w:pPr>
      <w:bookmarkStart w:id="4" w:name="_Hlk102592615"/>
    </w:p>
    <w:p w14:paraId="35B8B451" w14:textId="77777777" w:rsidR="00701716" w:rsidRPr="00281AA8" w:rsidRDefault="00701716" w:rsidP="00071A3A">
      <w:pPr>
        <w:spacing w:line="480" w:lineRule="auto"/>
        <w:contextualSpacing/>
      </w:pPr>
    </w:p>
    <w:p w14:paraId="52A11039" w14:textId="77777777" w:rsidR="00C91171" w:rsidRDefault="00C91171" w:rsidP="00A10FCF">
      <w:pPr>
        <w:spacing w:line="480" w:lineRule="auto"/>
        <w:rPr>
          <w:bCs/>
          <w:lang w:val="en-US"/>
        </w:rPr>
      </w:pPr>
    </w:p>
    <w:p w14:paraId="1A732F14" w14:textId="531E75FB" w:rsidR="004C4906" w:rsidRPr="00071A3A" w:rsidRDefault="004C4906" w:rsidP="00A10FCF">
      <w:pPr>
        <w:spacing w:line="480" w:lineRule="auto"/>
        <w:rPr>
          <w:b/>
          <w:lang w:val="en-US"/>
        </w:rPr>
      </w:pPr>
      <w:r w:rsidRPr="00071A3A">
        <w:rPr>
          <w:bCs/>
          <w:lang w:val="en-US"/>
        </w:rPr>
        <w:lastRenderedPageBreak/>
        <w:t xml:space="preserve">Figure </w:t>
      </w:r>
      <w:r w:rsidR="00847A6A" w:rsidRPr="00071A3A">
        <w:rPr>
          <w:bCs/>
          <w:lang w:val="en-US"/>
        </w:rPr>
        <w:t>1</w:t>
      </w:r>
      <w:r w:rsidRPr="00071A3A">
        <w:rPr>
          <w:bCs/>
          <w:lang w:val="en-US"/>
        </w:rPr>
        <w:t>.</w:t>
      </w:r>
      <w:r w:rsidRPr="00071A3A">
        <w:rPr>
          <w:bCs/>
          <w:i/>
          <w:lang w:val="en-US"/>
        </w:rPr>
        <w:t xml:space="preserve"> </w:t>
      </w:r>
      <w:r w:rsidR="00900626" w:rsidRPr="00071A3A">
        <w:rPr>
          <w:bCs/>
          <w:lang w:val="en-US"/>
        </w:rPr>
        <w:t>Conceptual Model</w:t>
      </w:r>
      <w:r w:rsidRPr="00071A3A">
        <w:rPr>
          <w:bCs/>
          <w:lang w:val="en-US"/>
        </w:rPr>
        <w:t xml:space="preserve"> of Study 1</w:t>
      </w:r>
      <w:r w:rsidRPr="00071A3A">
        <w:rPr>
          <w:b/>
          <w:lang w:val="en-US"/>
        </w:rPr>
        <w:t xml:space="preserve"> </w:t>
      </w:r>
    </w:p>
    <w:p w14:paraId="4B47CC19" w14:textId="5B9D8BDC" w:rsidR="00847A6A" w:rsidRPr="00071A3A" w:rsidRDefault="00B87651" w:rsidP="00071A3A">
      <w:pPr>
        <w:spacing w:line="480" w:lineRule="auto"/>
        <w:ind w:left="360"/>
        <w:rPr>
          <w:i/>
          <w:lang w:val="en-US"/>
        </w:rPr>
      </w:pPr>
      <w:r>
        <w:rPr>
          <w:noProof/>
        </w:rPr>
        <w:drawing>
          <wp:inline distT="0" distB="0" distL="0" distR="0" wp14:anchorId="103C9AD1" wp14:editId="13112E82">
            <wp:extent cx="7288769" cy="3542877"/>
            <wp:effectExtent l="0" t="0" r="1270" b="6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312038" cy="3554188"/>
                    </a:xfrm>
                    <a:prstGeom prst="rect">
                      <a:avLst/>
                    </a:prstGeom>
                  </pic:spPr>
                </pic:pic>
              </a:graphicData>
            </a:graphic>
          </wp:inline>
        </w:drawing>
      </w:r>
    </w:p>
    <w:p w14:paraId="27D33A17" w14:textId="157F37D9" w:rsidR="00847A6A" w:rsidRDefault="00847A6A" w:rsidP="00071A3A">
      <w:pPr>
        <w:spacing w:line="480" w:lineRule="auto"/>
        <w:contextualSpacing/>
        <w:rPr>
          <w:i/>
          <w:lang w:val="en-US"/>
        </w:rPr>
      </w:pPr>
    </w:p>
    <w:bookmarkEnd w:id="4"/>
    <w:p w14:paraId="70D09890" w14:textId="54AE018C" w:rsidR="00847A6A" w:rsidRDefault="00847A6A" w:rsidP="00071A3A">
      <w:pPr>
        <w:spacing w:line="480" w:lineRule="auto"/>
        <w:contextualSpacing/>
        <w:jc w:val="both"/>
        <w:rPr>
          <w:color w:val="000000"/>
          <w:lang w:val="en-US"/>
        </w:rPr>
      </w:pPr>
    </w:p>
    <w:p w14:paraId="327E4482" w14:textId="3116F13D" w:rsidR="00C17407" w:rsidRDefault="00C17407" w:rsidP="00071A3A">
      <w:pPr>
        <w:spacing w:line="480" w:lineRule="auto"/>
        <w:contextualSpacing/>
        <w:jc w:val="both"/>
        <w:rPr>
          <w:color w:val="000000"/>
          <w:lang w:val="en-US"/>
        </w:rPr>
      </w:pPr>
    </w:p>
    <w:p w14:paraId="58318BF9" w14:textId="77777777" w:rsidR="00C17407" w:rsidRPr="00E25B16" w:rsidRDefault="00C17407" w:rsidP="00071A3A">
      <w:pPr>
        <w:spacing w:line="480" w:lineRule="auto"/>
        <w:contextualSpacing/>
        <w:jc w:val="both"/>
        <w:rPr>
          <w:color w:val="000000"/>
          <w:lang w:val="en-US"/>
        </w:rPr>
      </w:pPr>
    </w:p>
    <w:p w14:paraId="74B06FC4" w14:textId="77777777" w:rsidR="00B87651" w:rsidRDefault="00B87651" w:rsidP="00071A3A">
      <w:pPr>
        <w:spacing w:line="480" w:lineRule="auto"/>
        <w:contextualSpacing/>
        <w:rPr>
          <w:bCs/>
          <w:color w:val="000000"/>
          <w:lang w:val="en-US"/>
        </w:rPr>
      </w:pPr>
    </w:p>
    <w:p w14:paraId="1F181D4A" w14:textId="0DC87256" w:rsidR="00E25B16" w:rsidRPr="00071A3A" w:rsidRDefault="002439BA" w:rsidP="0057181E">
      <w:pPr>
        <w:spacing w:line="480" w:lineRule="auto"/>
        <w:rPr>
          <w:bCs/>
          <w:lang w:val="en-US"/>
        </w:rPr>
      </w:pPr>
      <w:r w:rsidRPr="00071A3A">
        <w:rPr>
          <w:bCs/>
          <w:color w:val="000000"/>
          <w:lang w:val="en-US"/>
        </w:rPr>
        <w:lastRenderedPageBreak/>
        <w:t>F</w:t>
      </w:r>
      <w:r w:rsidR="00E25B16" w:rsidRPr="00071A3A">
        <w:rPr>
          <w:bCs/>
          <w:color w:val="000000"/>
          <w:lang w:val="en-US"/>
        </w:rPr>
        <w:t xml:space="preserve">igure </w:t>
      </w:r>
      <w:r w:rsidR="00847A6A" w:rsidRPr="00071A3A">
        <w:rPr>
          <w:bCs/>
          <w:color w:val="000000"/>
          <w:lang w:val="en-US"/>
        </w:rPr>
        <w:t>2</w:t>
      </w:r>
      <w:r w:rsidR="00E25B16" w:rsidRPr="00071A3A">
        <w:rPr>
          <w:bCs/>
          <w:color w:val="000000"/>
          <w:lang w:val="en-US"/>
        </w:rPr>
        <w:t xml:space="preserve">. </w:t>
      </w:r>
      <w:r w:rsidR="00847A6A" w:rsidRPr="00071A3A">
        <w:rPr>
          <w:bCs/>
          <w:lang w:val="en-US"/>
        </w:rPr>
        <w:t>Results of Study 1</w:t>
      </w:r>
    </w:p>
    <w:p w14:paraId="0A3AACCA" w14:textId="11159B4F" w:rsidR="00900626" w:rsidRPr="00071A3A" w:rsidRDefault="00AD52D5" w:rsidP="00071A3A">
      <w:pPr>
        <w:spacing w:line="480" w:lineRule="auto"/>
        <w:ind w:left="360"/>
        <w:rPr>
          <w:i/>
          <w:lang w:val="en-US"/>
        </w:rPr>
      </w:pPr>
      <w:r>
        <w:rPr>
          <w:i/>
          <w:noProof/>
          <w:lang w:val="en-US"/>
        </w:rPr>
        <w:drawing>
          <wp:inline distT="0" distB="0" distL="0" distR="0" wp14:anchorId="04F3E4F1" wp14:editId="16A75705">
            <wp:extent cx="6981245" cy="3475665"/>
            <wp:effectExtent l="0" t="0" r="3810" b="444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998874" cy="3484442"/>
                    </a:xfrm>
                    <a:prstGeom prst="rect">
                      <a:avLst/>
                    </a:prstGeom>
                  </pic:spPr>
                </pic:pic>
              </a:graphicData>
            </a:graphic>
          </wp:inline>
        </w:drawing>
      </w:r>
    </w:p>
    <w:p w14:paraId="0D79B045" w14:textId="3962D50C" w:rsidR="00847A6A" w:rsidRPr="00071A3A" w:rsidRDefault="00847A6A" w:rsidP="00071A3A">
      <w:pPr>
        <w:spacing w:line="480" w:lineRule="auto"/>
        <w:ind w:left="360"/>
        <w:rPr>
          <w:bCs/>
          <w:color w:val="000000"/>
          <w:lang w:val="en-US"/>
        </w:rPr>
      </w:pPr>
      <w:r w:rsidRPr="00071A3A">
        <w:rPr>
          <w:i/>
          <w:lang w:val="en-US"/>
        </w:rPr>
        <w:t>Notes.</w:t>
      </w:r>
      <w:r w:rsidRPr="00071A3A">
        <w:rPr>
          <w:lang w:val="en-US"/>
        </w:rPr>
        <w:t xml:space="preserve"> </w:t>
      </w:r>
      <w:r w:rsidRPr="00071A3A">
        <w:rPr>
          <w:shd w:val="clear" w:color="auto" w:fill="FFFFFF"/>
          <w:lang w:val="en-US"/>
        </w:rPr>
        <w:t xml:space="preserve">* </w:t>
      </w:r>
      <w:r w:rsidRPr="00071A3A">
        <w:rPr>
          <w:lang w:val="en-US"/>
        </w:rPr>
        <w:t xml:space="preserve">p &lt;.05; ** p &lt;.01; *** p &lt;.001. </w:t>
      </w:r>
      <w:r w:rsidRPr="00E25B16">
        <w:t>Standard errors are between parentheses.</w:t>
      </w:r>
    </w:p>
    <w:p w14:paraId="106C0689" w14:textId="77777777" w:rsidR="00847A6A" w:rsidRPr="00071A3A" w:rsidRDefault="00847A6A" w:rsidP="00071A3A">
      <w:pPr>
        <w:spacing w:line="480" w:lineRule="auto"/>
        <w:ind w:left="360"/>
        <w:jc w:val="both"/>
        <w:rPr>
          <w:color w:val="000000"/>
          <w:lang w:val="en-US"/>
        </w:rPr>
      </w:pPr>
      <w:r w:rsidRPr="00071A3A">
        <w:rPr>
          <w:color w:val="000000"/>
          <w:lang w:val="en-US"/>
        </w:rPr>
        <w:t xml:space="preserve">N: </w:t>
      </w:r>
      <w:r w:rsidRPr="00071A3A">
        <w:rPr>
          <w:lang w:val="en-US"/>
        </w:rPr>
        <w:t>25 supervisors, 68 employees over 4 weeks.</w:t>
      </w:r>
    </w:p>
    <w:p w14:paraId="454BD763" w14:textId="0A6EC9B4" w:rsidR="00E25B16" w:rsidRDefault="00E25B16" w:rsidP="00071A3A">
      <w:pPr>
        <w:spacing w:line="480" w:lineRule="auto"/>
        <w:contextualSpacing/>
        <w:jc w:val="center"/>
        <w:rPr>
          <w:color w:val="000000"/>
          <w:lang w:val="en-US"/>
        </w:rPr>
      </w:pPr>
    </w:p>
    <w:p w14:paraId="1AC238AD" w14:textId="66CE2B17" w:rsidR="00847A6A" w:rsidRDefault="00847A6A" w:rsidP="00071A3A">
      <w:pPr>
        <w:spacing w:line="480" w:lineRule="auto"/>
        <w:contextualSpacing/>
        <w:jc w:val="center"/>
        <w:rPr>
          <w:color w:val="000000"/>
          <w:lang w:val="en-US"/>
        </w:rPr>
      </w:pPr>
    </w:p>
    <w:p w14:paraId="0E57F264" w14:textId="5EFAA26B" w:rsidR="00847A6A" w:rsidRDefault="00847A6A" w:rsidP="00071A3A">
      <w:pPr>
        <w:spacing w:line="480" w:lineRule="auto"/>
        <w:contextualSpacing/>
        <w:jc w:val="center"/>
        <w:rPr>
          <w:color w:val="000000"/>
          <w:lang w:val="en-US"/>
        </w:rPr>
      </w:pPr>
    </w:p>
    <w:p w14:paraId="4FA54374" w14:textId="287CED00" w:rsidR="00847A6A" w:rsidRPr="00071A3A" w:rsidRDefault="00C718DE" w:rsidP="0057181E">
      <w:pPr>
        <w:spacing w:line="480" w:lineRule="auto"/>
        <w:rPr>
          <w:bCs/>
        </w:rPr>
      </w:pPr>
      <w:r w:rsidRPr="00071A3A">
        <w:rPr>
          <w:bCs/>
        </w:rPr>
        <w:lastRenderedPageBreak/>
        <w:t xml:space="preserve">Figure </w:t>
      </w:r>
      <w:r w:rsidR="00847A6A" w:rsidRPr="00071A3A">
        <w:rPr>
          <w:bCs/>
        </w:rPr>
        <w:t>3</w:t>
      </w:r>
      <w:r w:rsidRPr="00071A3A">
        <w:rPr>
          <w:bCs/>
        </w:rPr>
        <w:t>. Conceptual model of Study 2</w:t>
      </w:r>
      <w:r w:rsidR="00C05E12" w:rsidRPr="00071A3A">
        <w:rPr>
          <w:color w:val="000000"/>
        </w:rPr>
        <w:br w:type="textWrapping" w:clear="all"/>
      </w:r>
    </w:p>
    <w:p w14:paraId="3A6D04DA" w14:textId="2042A104" w:rsidR="00847A6A" w:rsidRDefault="00B87651" w:rsidP="00071A3A">
      <w:pPr>
        <w:spacing w:line="480" w:lineRule="auto"/>
        <w:ind w:left="360"/>
      </w:pPr>
      <w:r>
        <w:rPr>
          <w:noProof/>
        </w:rPr>
        <w:drawing>
          <wp:inline distT="0" distB="0" distL="0" distR="0" wp14:anchorId="75F5DBCC" wp14:editId="71A96A24">
            <wp:extent cx="6180666" cy="4014511"/>
            <wp:effectExtent l="0" t="0" r="444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99026" cy="4026436"/>
                    </a:xfrm>
                    <a:prstGeom prst="rect">
                      <a:avLst/>
                    </a:prstGeom>
                  </pic:spPr>
                </pic:pic>
              </a:graphicData>
            </a:graphic>
          </wp:inline>
        </w:drawing>
      </w:r>
    </w:p>
    <w:p w14:paraId="7F431CD5" w14:textId="38BDCB5B" w:rsidR="00C718DE" w:rsidRDefault="00C718DE" w:rsidP="00071A3A">
      <w:pPr>
        <w:spacing w:line="480" w:lineRule="auto"/>
        <w:ind w:left="360"/>
      </w:pPr>
      <w:r w:rsidRPr="00281AA8">
        <w:t>Note. Dotted lines denote mediatio</w:t>
      </w:r>
      <w:r>
        <w:t>n.</w:t>
      </w:r>
    </w:p>
    <w:p w14:paraId="642F35E7" w14:textId="509E06DF" w:rsidR="00006273" w:rsidRDefault="00006273" w:rsidP="00071A3A">
      <w:pPr>
        <w:spacing w:line="480" w:lineRule="auto"/>
        <w:contextualSpacing/>
      </w:pPr>
    </w:p>
    <w:p w14:paraId="68F1FDFC" w14:textId="4A74518D" w:rsidR="00006273" w:rsidRPr="00071A3A" w:rsidRDefault="00006273" w:rsidP="00AD52D5">
      <w:pPr>
        <w:spacing w:line="480" w:lineRule="auto"/>
        <w:rPr>
          <w:i/>
          <w:lang w:val="en-US"/>
        </w:rPr>
      </w:pPr>
      <w:r w:rsidRPr="00071A3A">
        <w:rPr>
          <w:bCs/>
          <w:lang w:val="en-US"/>
        </w:rPr>
        <w:lastRenderedPageBreak/>
        <w:t>Figure 4.</w:t>
      </w:r>
      <w:r w:rsidRPr="00071A3A">
        <w:rPr>
          <w:bCs/>
          <w:i/>
          <w:lang w:val="en-US"/>
        </w:rPr>
        <w:t xml:space="preserve"> </w:t>
      </w:r>
      <w:r w:rsidR="00892209" w:rsidRPr="00892209">
        <w:rPr>
          <w:bCs/>
          <w:iCs/>
          <w:lang w:val="en-US"/>
        </w:rPr>
        <w:t>Model</w:t>
      </w:r>
      <w:r w:rsidR="00892209">
        <w:rPr>
          <w:bCs/>
          <w:i/>
          <w:lang w:val="en-US"/>
        </w:rPr>
        <w:t xml:space="preserve"> </w:t>
      </w:r>
      <w:r w:rsidRPr="00071A3A">
        <w:rPr>
          <w:bCs/>
          <w:lang w:val="en-US"/>
        </w:rPr>
        <w:t>Results of Study 2</w:t>
      </w:r>
      <w:r w:rsidRPr="00071A3A">
        <w:rPr>
          <w:b/>
          <w:lang w:val="en-US"/>
        </w:rPr>
        <w:t xml:space="preserve"> </w:t>
      </w:r>
      <w:r w:rsidRPr="00071A3A">
        <w:rPr>
          <w:i/>
          <w:lang w:val="en-US"/>
        </w:rPr>
        <w:br/>
      </w:r>
      <w:r w:rsidR="00AD52D5">
        <w:rPr>
          <w:i/>
          <w:noProof/>
          <w:lang w:val="en-US"/>
        </w:rPr>
        <w:drawing>
          <wp:inline distT="0" distB="0" distL="0" distR="0" wp14:anchorId="556A3E46" wp14:editId="7ADB3222">
            <wp:extent cx="6551875" cy="4185114"/>
            <wp:effectExtent l="0" t="0" r="1905"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562866" cy="4192135"/>
                    </a:xfrm>
                    <a:prstGeom prst="rect">
                      <a:avLst/>
                    </a:prstGeom>
                  </pic:spPr>
                </pic:pic>
              </a:graphicData>
            </a:graphic>
          </wp:inline>
        </w:drawing>
      </w:r>
    </w:p>
    <w:p w14:paraId="26A99A05" w14:textId="461F49E6" w:rsidR="00006273" w:rsidRPr="00071A3A" w:rsidRDefault="00006273" w:rsidP="00071A3A">
      <w:pPr>
        <w:ind w:left="360"/>
        <w:rPr>
          <w:lang w:val="en-US"/>
        </w:rPr>
      </w:pPr>
      <w:r w:rsidRPr="00071A3A">
        <w:rPr>
          <w:i/>
          <w:lang w:val="en-US"/>
        </w:rPr>
        <w:t>Notes.</w:t>
      </w:r>
      <w:r w:rsidRPr="00071A3A">
        <w:rPr>
          <w:lang w:val="en-US"/>
        </w:rPr>
        <w:t xml:space="preserve"> </w:t>
      </w:r>
      <w:r w:rsidRPr="00071A3A">
        <w:rPr>
          <w:shd w:val="clear" w:color="auto" w:fill="FFFFFF"/>
          <w:lang w:val="en-US"/>
        </w:rPr>
        <w:t xml:space="preserve">* </w:t>
      </w:r>
      <w:r w:rsidRPr="00071A3A">
        <w:rPr>
          <w:lang w:val="en-US"/>
        </w:rPr>
        <w:t xml:space="preserve">p &lt;.05; ** p &lt;.01; *** p &lt;.001. </w:t>
      </w:r>
      <w:r w:rsidRPr="00E25B16">
        <w:t>Standard errors are between parentheses.</w:t>
      </w:r>
    </w:p>
    <w:p w14:paraId="61536AA6" w14:textId="1FA0D839" w:rsidR="00A8297A" w:rsidRPr="00071A3A" w:rsidRDefault="00006273" w:rsidP="00071A3A">
      <w:pPr>
        <w:ind w:left="360"/>
        <w:jc w:val="both"/>
        <w:rPr>
          <w:b/>
          <w:bCs/>
          <w:color w:val="000000"/>
        </w:rPr>
      </w:pPr>
      <w:r w:rsidRPr="00071A3A">
        <w:rPr>
          <w:color w:val="000000"/>
          <w:lang w:val="en-US"/>
        </w:rPr>
        <w:t xml:space="preserve">N: </w:t>
      </w:r>
      <w:r w:rsidR="003A284B" w:rsidRPr="00071A3A">
        <w:rPr>
          <w:lang w:val="en-US"/>
        </w:rPr>
        <w:t>237</w:t>
      </w:r>
      <w:r w:rsidRPr="00071A3A">
        <w:rPr>
          <w:lang w:val="en-US"/>
        </w:rPr>
        <w:t xml:space="preserve"> employees over 4 weeks.</w:t>
      </w:r>
    </w:p>
    <w:sectPr w:rsidR="00A8297A" w:rsidRPr="00071A3A" w:rsidSect="00E25B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9DF4" w14:textId="77777777" w:rsidR="00F669E3" w:rsidRDefault="00F669E3" w:rsidP="0044235A">
      <w:r>
        <w:separator/>
      </w:r>
    </w:p>
  </w:endnote>
  <w:endnote w:type="continuationSeparator" w:id="0">
    <w:p w14:paraId="21BB1504" w14:textId="77777777" w:rsidR="00F669E3" w:rsidRDefault="00F669E3" w:rsidP="0044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Arial"/>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0483285"/>
      <w:docPartObj>
        <w:docPartGallery w:val="Page Numbers (Bottom of Page)"/>
        <w:docPartUnique/>
      </w:docPartObj>
    </w:sdtPr>
    <w:sdtContent>
      <w:p w14:paraId="00CDFE05" w14:textId="28184F5C" w:rsidR="001E1BFC" w:rsidRDefault="001E1BFC" w:rsidP="00EF65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7B23F" w14:textId="77777777" w:rsidR="001E1BFC" w:rsidRDefault="001E1BFC" w:rsidP="004423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F52" w14:textId="520AF72E" w:rsidR="001E1BFC" w:rsidRDefault="001E1BFC" w:rsidP="00EF65AA">
    <w:pPr>
      <w:pStyle w:val="Footer"/>
      <w:framePr w:wrap="none" w:vAnchor="text" w:hAnchor="margin" w:xAlign="right" w:y="1"/>
      <w:rPr>
        <w:rStyle w:val="PageNumber"/>
      </w:rPr>
    </w:pPr>
  </w:p>
  <w:p w14:paraId="10AAB0FF" w14:textId="77777777" w:rsidR="001E1BFC" w:rsidRDefault="001E1BFC" w:rsidP="004423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9AAF" w14:textId="77777777" w:rsidR="00F669E3" w:rsidRDefault="00F669E3" w:rsidP="0044235A">
      <w:r>
        <w:separator/>
      </w:r>
    </w:p>
  </w:footnote>
  <w:footnote w:type="continuationSeparator" w:id="0">
    <w:p w14:paraId="74864C38" w14:textId="77777777" w:rsidR="00F669E3" w:rsidRDefault="00F669E3" w:rsidP="0044235A">
      <w:r>
        <w:continuationSeparator/>
      </w:r>
    </w:p>
  </w:footnote>
  <w:footnote w:id="1">
    <w:p w14:paraId="1B06FD30" w14:textId="38A3EA17" w:rsidR="0052009C" w:rsidRDefault="0052009C">
      <w:pPr>
        <w:pStyle w:val="FootnoteText"/>
      </w:pPr>
      <w:r>
        <w:rPr>
          <w:rStyle w:val="FootnoteReference"/>
        </w:rPr>
        <w:footnoteRef/>
      </w:r>
      <w:r>
        <w:t xml:space="preserve"> Further information on the reasoning of control variables can be solicited from the first author.</w:t>
      </w:r>
    </w:p>
  </w:footnote>
  <w:footnote w:id="2">
    <w:p w14:paraId="5CB5178A" w14:textId="657DF63C" w:rsidR="0052009C" w:rsidRDefault="0052009C">
      <w:pPr>
        <w:pStyle w:val="FootnoteText"/>
      </w:pPr>
      <w:r>
        <w:rPr>
          <w:rStyle w:val="FootnoteReference"/>
        </w:rPr>
        <w:footnoteRef/>
      </w:r>
      <w:r>
        <w:t xml:space="preserve"> Detailed information on the procedures and the codes of the analyses can be obtained from the first author.</w:t>
      </w:r>
    </w:p>
  </w:footnote>
  <w:footnote w:id="3">
    <w:p w14:paraId="7188BEA8" w14:textId="354C653A" w:rsidR="0052009C" w:rsidRDefault="0052009C">
      <w:pPr>
        <w:pStyle w:val="FootnoteText"/>
      </w:pPr>
      <w:r>
        <w:rPr>
          <w:rStyle w:val="FootnoteReference"/>
        </w:rPr>
        <w:footnoteRef/>
      </w:r>
      <w:r>
        <w:t xml:space="preserve"> In support of our proposed model, we conducted some additional analyses, which can be provided upon request.</w:t>
      </w:r>
    </w:p>
  </w:footnote>
  <w:footnote w:id="4">
    <w:p w14:paraId="49B47348" w14:textId="40FBED72" w:rsidR="0052009C" w:rsidRDefault="0052009C">
      <w:pPr>
        <w:pStyle w:val="FootnoteText"/>
      </w:pPr>
      <w:r>
        <w:rPr>
          <w:rStyle w:val="FootnoteReference"/>
        </w:rPr>
        <w:footnoteRef/>
      </w:r>
      <w:r>
        <w:t xml:space="preserve"> Further information on the choice and justification of the weekly diary design can be obtained from the first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345589"/>
      <w:docPartObj>
        <w:docPartGallery w:val="Page Numbers (Top of Page)"/>
        <w:docPartUnique/>
      </w:docPartObj>
    </w:sdtPr>
    <w:sdtContent>
      <w:p w14:paraId="310F6AB7" w14:textId="6BB1A03E" w:rsidR="001E1BFC" w:rsidRDefault="001E1BFC" w:rsidP="008A20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7597E3" w14:textId="77777777" w:rsidR="001E1BFC" w:rsidRDefault="001E1BFC" w:rsidP="005F1B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8632735"/>
      <w:docPartObj>
        <w:docPartGallery w:val="Page Numbers (Top of Page)"/>
        <w:docPartUnique/>
      </w:docPartObj>
    </w:sdtPr>
    <w:sdtContent>
      <w:p w14:paraId="3C5841AB" w14:textId="0F4A920C" w:rsidR="001E1BFC" w:rsidRDefault="001E1BFC" w:rsidP="008A20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2500">
          <w:rPr>
            <w:rStyle w:val="PageNumber"/>
            <w:noProof/>
          </w:rPr>
          <w:t>26</w:t>
        </w:r>
        <w:r>
          <w:rPr>
            <w:rStyle w:val="PageNumber"/>
          </w:rPr>
          <w:fldChar w:fldCharType="end"/>
        </w:r>
      </w:p>
    </w:sdtContent>
  </w:sdt>
  <w:p w14:paraId="6B3204A3" w14:textId="66332223" w:rsidR="001E1BFC" w:rsidRDefault="00014B6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397B"/>
    <w:multiLevelType w:val="hybridMultilevel"/>
    <w:tmpl w:val="0A98C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F87EA0"/>
    <w:multiLevelType w:val="hybridMultilevel"/>
    <w:tmpl w:val="1400A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3614BA"/>
    <w:multiLevelType w:val="hybridMultilevel"/>
    <w:tmpl w:val="B4FEF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5766022">
    <w:abstractNumId w:val="1"/>
  </w:num>
  <w:num w:numId="2" w16cid:durableId="1013263962">
    <w:abstractNumId w:val="2"/>
  </w:num>
  <w:num w:numId="3" w16cid:durableId="2537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NzI1NDG1MDEwNTNQ0lEKTi0uzszPAykwqwUA/jHpzywAAAA="/>
  </w:docVars>
  <w:rsids>
    <w:rsidRoot w:val="00176BF9"/>
    <w:rsid w:val="00006273"/>
    <w:rsid w:val="000121C6"/>
    <w:rsid w:val="00014B6C"/>
    <w:rsid w:val="00020F01"/>
    <w:rsid w:val="0003026E"/>
    <w:rsid w:val="0003706F"/>
    <w:rsid w:val="0004030D"/>
    <w:rsid w:val="0005739F"/>
    <w:rsid w:val="00057F32"/>
    <w:rsid w:val="00060214"/>
    <w:rsid w:val="00071A3A"/>
    <w:rsid w:val="0008317E"/>
    <w:rsid w:val="000855A3"/>
    <w:rsid w:val="00092644"/>
    <w:rsid w:val="00093498"/>
    <w:rsid w:val="000953FA"/>
    <w:rsid w:val="000A29C2"/>
    <w:rsid w:val="000A672C"/>
    <w:rsid w:val="000B3CBA"/>
    <w:rsid w:val="000B7AEC"/>
    <w:rsid w:val="000C1C0C"/>
    <w:rsid w:val="000C7ECE"/>
    <w:rsid w:val="000D1A7A"/>
    <w:rsid w:val="000D288E"/>
    <w:rsid w:val="000F40DF"/>
    <w:rsid w:val="000F65D9"/>
    <w:rsid w:val="001033FB"/>
    <w:rsid w:val="00103E27"/>
    <w:rsid w:val="00105006"/>
    <w:rsid w:val="00105E6C"/>
    <w:rsid w:val="00113198"/>
    <w:rsid w:val="00116392"/>
    <w:rsid w:val="00126280"/>
    <w:rsid w:val="001457EB"/>
    <w:rsid w:val="00150257"/>
    <w:rsid w:val="001514C3"/>
    <w:rsid w:val="0015364A"/>
    <w:rsid w:val="001569DB"/>
    <w:rsid w:val="00176BF9"/>
    <w:rsid w:val="00186AA8"/>
    <w:rsid w:val="00191E4F"/>
    <w:rsid w:val="00192F14"/>
    <w:rsid w:val="00193A17"/>
    <w:rsid w:val="00196E81"/>
    <w:rsid w:val="00197801"/>
    <w:rsid w:val="001A567B"/>
    <w:rsid w:val="001A5A5E"/>
    <w:rsid w:val="001B1046"/>
    <w:rsid w:val="001B7816"/>
    <w:rsid w:val="001C1210"/>
    <w:rsid w:val="001C1C48"/>
    <w:rsid w:val="001C450B"/>
    <w:rsid w:val="001C56C8"/>
    <w:rsid w:val="001C624C"/>
    <w:rsid w:val="001D1808"/>
    <w:rsid w:val="001D1980"/>
    <w:rsid w:val="001D2F5B"/>
    <w:rsid w:val="001D3EE2"/>
    <w:rsid w:val="001D590D"/>
    <w:rsid w:val="001E1BFC"/>
    <w:rsid w:val="001E287C"/>
    <w:rsid w:val="001F261B"/>
    <w:rsid w:val="001F5D08"/>
    <w:rsid w:val="002003BC"/>
    <w:rsid w:val="00200BCB"/>
    <w:rsid w:val="0020214E"/>
    <w:rsid w:val="00204A94"/>
    <w:rsid w:val="00211611"/>
    <w:rsid w:val="0021571B"/>
    <w:rsid w:val="002165FC"/>
    <w:rsid w:val="002207A0"/>
    <w:rsid w:val="00222868"/>
    <w:rsid w:val="002267A4"/>
    <w:rsid w:val="00231518"/>
    <w:rsid w:val="00236417"/>
    <w:rsid w:val="00242350"/>
    <w:rsid w:val="002439BA"/>
    <w:rsid w:val="00245BE0"/>
    <w:rsid w:val="002469EC"/>
    <w:rsid w:val="00252503"/>
    <w:rsid w:val="00255277"/>
    <w:rsid w:val="00260B24"/>
    <w:rsid w:val="002641D1"/>
    <w:rsid w:val="002700A5"/>
    <w:rsid w:val="002723AB"/>
    <w:rsid w:val="002803D2"/>
    <w:rsid w:val="002811E7"/>
    <w:rsid w:val="00281AA8"/>
    <w:rsid w:val="00285CAC"/>
    <w:rsid w:val="002B4B6A"/>
    <w:rsid w:val="002B592C"/>
    <w:rsid w:val="002C1E7E"/>
    <w:rsid w:val="002D3001"/>
    <w:rsid w:val="002D549A"/>
    <w:rsid w:val="002D7835"/>
    <w:rsid w:val="002E024D"/>
    <w:rsid w:val="002E1C8D"/>
    <w:rsid w:val="002E3E8B"/>
    <w:rsid w:val="002F3393"/>
    <w:rsid w:val="003014EC"/>
    <w:rsid w:val="003110CF"/>
    <w:rsid w:val="00315775"/>
    <w:rsid w:val="003250A5"/>
    <w:rsid w:val="00327D75"/>
    <w:rsid w:val="00331036"/>
    <w:rsid w:val="00335671"/>
    <w:rsid w:val="0034384E"/>
    <w:rsid w:val="00343C9C"/>
    <w:rsid w:val="00346C97"/>
    <w:rsid w:val="00352391"/>
    <w:rsid w:val="003547CA"/>
    <w:rsid w:val="003557FE"/>
    <w:rsid w:val="0037520D"/>
    <w:rsid w:val="00375AC1"/>
    <w:rsid w:val="003900EA"/>
    <w:rsid w:val="003935B4"/>
    <w:rsid w:val="003941E7"/>
    <w:rsid w:val="00395B27"/>
    <w:rsid w:val="00396165"/>
    <w:rsid w:val="003A284B"/>
    <w:rsid w:val="003A31C2"/>
    <w:rsid w:val="003A448F"/>
    <w:rsid w:val="003A72A8"/>
    <w:rsid w:val="003B079C"/>
    <w:rsid w:val="003B2228"/>
    <w:rsid w:val="003C58BC"/>
    <w:rsid w:val="003C77CA"/>
    <w:rsid w:val="003D10CA"/>
    <w:rsid w:val="003D4A7D"/>
    <w:rsid w:val="003D769F"/>
    <w:rsid w:val="003E470F"/>
    <w:rsid w:val="003E533F"/>
    <w:rsid w:val="003E781E"/>
    <w:rsid w:val="003F4ACE"/>
    <w:rsid w:val="00400B69"/>
    <w:rsid w:val="00401E16"/>
    <w:rsid w:val="00424C69"/>
    <w:rsid w:val="00426966"/>
    <w:rsid w:val="0043673E"/>
    <w:rsid w:val="004369DD"/>
    <w:rsid w:val="0044235A"/>
    <w:rsid w:val="00447D0B"/>
    <w:rsid w:val="00461195"/>
    <w:rsid w:val="00463F32"/>
    <w:rsid w:val="0046747F"/>
    <w:rsid w:val="004676A4"/>
    <w:rsid w:val="004714AD"/>
    <w:rsid w:val="00472D7D"/>
    <w:rsid w:val="004837A7"/>
    <w:rsid w:val="00483F0A"/>
    <w:rsid w:val="00485A89"/>
    <w:rsid w:val="00486267"/>
    <w:rsid w:val="00486E10"/>
    <w:rsid w:val="004926E8"/>
    <w:rsid w:val="00495CF4"/>
    <w:rsid w:val="00497D4B"/>
    <w:rsid w:val="004A1411"/>
    <w:rsid w:val="004A585C"/>
    <w:rsid w:val="004C1650"/>
    <w:rsid w:val="004C28B9"/>
    <w:rsid w:val="004C4906"/>
    <w:rsid w:val="004C4F94"/>
    <w:rsid w:val="004C7B2B"/>
    <w:rsid w:val="004D3643"/>
    <w:rsid w:val="004D589A"/>
    <w:rsid w:val="004E5011"/>
    <w:rsid w:val="004E5CB0"/>
    <w:rsid w:val="004E6194"/>
    <w:rsid w:val="004F2795"/>
    <w:rsid w:val="004F4521"/>
    <w:rsid w:val="004F5251"/>
    <w:rsid w:val="00500615"/>
    <w:rsid w:val="00504697"/>
    <w:rsid w:val="00510173"/>
    <w:rsid w:val="0051328F"/>
    <w:rsid w:val="0051719B"/>
    <w:rsid w:val="0052009C"/>
    <w:rsid w:val="00520747"/>
    <w:rsid w:val="0052355C"/>
    <w:rsid w:val="005239A9"/>
    <w:rsid w:val="0053732E"/>
    <w:rsid w:val="00545B68"/>
    <w:rsid w:val="005649B8"/>
    <w:rsid w:val="0057181E"/>
    <w:rsid w:val="0057673F"/>
    <w:rsid w:val="00581F1F"/>
    <w:rsid w:val="005827D3"/>
    <w:rsid w:val="0058334C"/>
    <w:rsid w:val="00584812"/>
    <w:rsid w:val="005A782E"/>
    <w:rsid w:val="005C0B66"/>
    <w:rsid w:val="005C32C5"/>
    <w:rsid w:val="005C3A9E"/>
    <w:rsid w:val="005D207C"/>
    <w:rsid w:val="005D214A"/>
    <w:rsid w:val="005E0875"/>
    <w:rsid w:val="005E0EC0"/>
    <w:rsid w:val="005E1185"/>
    <w:rsid w:val="005E1939"/>
    <w:rsid w:val="005E5B8B"/>
    <w:rsid w:val="005F160A"/>
    <w:rsid w:val="005F1B98"/>
    <w:rsid w:val="005F6F50"/>
    <w:rsid w:val="006034E9"/>
    <w:rsid w:val="00605590"/>
    <w:rsid w:val="00607686"/>
    <w:rsid w:val="00611FCF"/>
    <w:rsid w:val="006128AB"/>
    <w:rsid w:val="006152D0"/>
    <w:rsid w:val="006167B2"/>
    <w:rsid w:val="0062074F"/>
    <w:rsid w:val="0062115C"/>
    <w:rsid w:val="006219CD"/>
    <w:rsid w:val="0063511F"/>
    <w:rsid w:val="0063663E"/>
    <w:rsid w:val="006373B1"/>
    <w:rsid w:val="00641C17"/>
    <w:rsid w:val="006429F2"/>
    <w:rsid w:val="006440A6"/>
    <w:rsid w:val="006541E1"/>
    <w:rsid w:val="006557DB"/>
    <w:rsid w:val="00655EE3"/>
    <w:rsid w:val="006562D7"/>
    <w:rsid w:val="00662134"/>
    <w:rsid w:val="00663887"/>
    <w:rsid w:val="00673C78"/>
    <w:rsid w:val="00674EB8"/>
    <w:rsid w:val="00686DAC"/>
    <w:rsid w:val="00687DA3"/>
    <w:rsid w:val="0069178C"/>
    <w:rsid w:val="0069667F"/>
    <w:rsid w:val="006A3B37"/>
    <w:rsid w:val="006B66F1"/>
    <w:rsid w:val="006B7A2E"/>
    <w:rsid w:val="006C6253"/>
    <w:rsid w:val="006C7959"/>
    <w:rsid w:val="006C7C80"/>
    <w:rsid w:val="006D3C6D"/>
    <w:rsid w:val="006D3E42"/>
    <w:rsid w:val="006D4025"/>
    <w:rsid w:val="006D66FE"/>
    <w:rsid w:val="006E0C50"/>
    <w:rsid w:val="006E758A"/>
    <w:rsid w:val="0070007F"/>
    <w:rsid w:val="007005C9"/>
    <w:rsid w:val="00700745"/>
    <w:rsid w:val="00701716"/>
    <w:rsid w:val="00703C51"/>
    <w:rsid w:val="007129A4"/>
    <w:rsid w:val="00713990"/>
    <w:rsid w:val="00717816"/>
    <w:rsid w:val="007211E9"/>
    <w:rsid w:val="0072627F"/>
    <w:rsid w:val="00726774"/>
    <w:rsid w:val="00726933"/>
    <w:rsid w:val="00726BFC"/>
    <w:rsid w:val="0073108F"/>
    <w:rsid w:val="00731346"/>
    <w:rsid w:val="00734976"/>
    <w:rsid w:val="00740D25"/>
    <w:rsid w:val="00746F7A"/>
    <w:rsid w:val="00747D7C"/>
    <w:rsid w:val="0076193B"/>
    <w:rsid w:val="00761AE9"/>
    <w:rsid w:val="007644F9"/>
    <w:rsid w:val="007649CB"/>
    <w:rsid w:val="007739E5"/>
    <w:rsid w:val="0077716B"/>
    <w:rsid w:val="0078087E"/>
    <w:rsid w:val="00781520"/>
    <w:rsid w:val="0078645B"/>
    <w:rsid w:val="00791D9B"/>
    <w:rsid w:val="00792F65"/>
    <w:rsid w:val="00797DCF"/>
    <w:rsid w:val="007A34DB"/>
    <w:rsid w:val="007A69F3"/>
    <w:rsid w:val="007B05B8"/>
    <w:rsid w:val="007C0323"/>
    <w:rsid w:val="007C5138"/>
    <w:rsid w:val="007C6DDE"/>
    <w:rsid w:val="007C7387"/>
    <w:rsid w:val="007E3B0A"/>
    <w:rsid w:val="007E499D"/>
    <w:rsid w:val="007F5D92"/>
    <w:rsid w:val="00803348"/>
    <w:rsid w:val="00805BD5"/>
    <w:rsid w:val="00815EB1"/>
    <w:rsid w:val="00816923"/>
    <w:rsid w:val="00816A1E"/>
    <w:rsid w:val="00817228"/>
    <w:rsid w:val="00824573"/>
    <w:rsid w:val="00830248"/>
    <w:rsid w:val="00840890"/>
    <w:rsid w:val="0084203D"/>
    <w:rsid w:val="00842708"/>
    <w:rsid w:val="00847A6A"/>
    <w:rsid w:val="0085310F"/>
    <w:rsid w:val="0085460E"/>
    <w:rsid w:val="008625FD"/>
    <w:rsid w:val="0086643E"/>
    <w:rsid w:val="00870653"/>
    <w:rsid w:val="00870B2B"/>
    <w:rsid w:val="00872A7A"/>
    <w:rsid w:val="00890B8C"/>
    <w:rsid w:val="00890CF8"/>
    <w:rsid w:val="008914DB"/>
    <w:rsid w:val="00892209"/>
    <w:rsid w:val="00892597"/>
    <w:rsid w:val="00894EEF"/>
    <w:rsid w:val="00895698"/>
    <w:rsid w:val="008A2053"/>
    <w:rsid w:val="008A4FF4"/>
    <w:rsid w:val="008A6D0C"/>
    <w:rsid w:val="008A7C9D"/>
    <w:rsid w:val="008C21F8"/>
    <w:rsid w:val="008C2998"/>
    <w:rsid w:val="008D6B7B"/>
    <w:rsid w:val="008E1A64"/>
    <w:rsid w:val="008E3DCF"/>
    <w:rsid w:val="008E6BAD"/>
    <w:rsid w:val="008E6D22"/>
    <w:rsid w:val="00900327"/>
    <w:rsid w:val="00900626"/>
    <w:rsid w:val="00901D09"/>
    <w:rsid w:val="0090659D"/>
    <w:rsid w:val="009072EE"/>
    <w:rsid w:val="00915260"/>
    <w:rsid w:val="0092123E"/>
    <w:rsid w:val="00921F32"/>
    <w:rsid w:val="00930024"/>
    <w:rsid w:val="0093221F"/>
    <w:rsid w:val="00933D52"/>
    <w:rsid w:val="00933DF8"/>
    <w:rsid w:val="00934486"/>
    <w:rsid w:val="00934702"/>
    <w:rsid w:val="0094324D"/>
    <w:rsid w:val="00945BB7"/>
    <w:rsid w:val="0095117B"/>
    <w:rsid w:val="00952022"/>
    <w:rsid w:val="009572D9"/>
    <w:rsid w:val="009572F7"/>
    <w:rsid w:val="009667FC"/>
    <w:rsid w:val="00970EDE"/>
    <w:rsid w:val="0097312D"/>
    <w:rsid w:val="009778BE"/>
    <w:rsid w:val="009811E3"/>
    <w:rsid w:val="009845A2"/>
    <w:rsid w:val="00985C50"/>
    <w:rsid w:val="00991A9E"/>
    <w:rsid w:val="009941B7"/>
    <w:rsid w:val="00995FBA"/>
    <w:rsid w:val="009A2B20"/>
    <w:rsid w:val="009A53E0"/>
    <w:rsid w:val="009C32B5"/>
    <w:rsid w:val="009C3B0E"/>
    <w:rsid w:val="009C3BD6"/>
    <w:rsid w:val="009C5513"/>
    <w:rsid w:val="009C6081"/>
    <w:rsid w:val="009C63D3"/>
    <w:rsid w:val="009D7061"/>
    <w:rsid w:val="009E08E4"/>
    <w:rsid w:val="009E14CE"/>
    <w:rsid w:val="009E56C3"/>
    <w:rsid w:val="009E7489"/>
    <w:rsid w:val="00A06A42"/>
    <w:rsid w:val="00A0783C"/>
    <w:rsid w:val="00A10C83"/>
    <w:rsid w:val="00A10FCF"/>
    <w:rsid w:val="00A13A8A"/>
    <w:rsid w:val="00A16B36"/>
    <w:rsid w:val="00A17B96"/>
    <w:rsid w:val="00A35F87"/>
    <w:rsid w:val="00A371A3"/>
    <w:rsid w:val="00A431E0"/>
    <w:rsid w:val="00A44B34"/>
    <w:rsid w:val="00A55203"/>
    <w:rsid w:val="00A5544F"/>
    <w:rsid w:val="00A563C6"/>
    <w:rsid w:val="00A60572"/>
    <w:rsid w:val="00A70977"/>
    <w:rsid w:val="00A769C2"/>
    <w:rsid w:val="00A8297A"/>
    <w:rsid w:val="00A84388"/>
    <w:rsid w:val="00A85893"/>
    <w:rsid w:val="00A9410F"/>
    <w:rsid w:val="00A9466A"/>
    <w:rsid w:val="00AA01BE"/>
    <w:rsid w:val="00AA7F7D"/>
    <w:rsid w:val="00AB1463"/>
    <w:rsid w:val="00AB3478"/>
    <w:rsid w:val="00AB3E30"/>
    <w:rsid w:val="00AB5E3D"/>
    <w:rsid w:val="00AB759D"/>
    <w:rsid w:val="00AC15D0"/>
    <w:rsid w:val="00AC169F"/>
    <w:rsid w:val="00AC3C31"/>
    <w:rsid w:val="00AC7090"/>
    <w:rsid w:val="00AD1C3F"/>
    <w:rsid w:val="00AD52D5"/>
    <w:rsid w:val="00AD5EAE"/>
    <w:rsid w:val="00AD7C90"/>
    <w:rsid w:val="00AE2A92"/>
    <w:rsid w:val="00AE56A7"/>
    <w:rsid w:val="00AF09A5"/>
    <w:rsid w:val="00AF56F6"/>
    <w:rsid w:val="00AF664A"/>
    <w:rsid w:val="00B010CB"/>
    <w:rsid w:val="00B01F94"/>
    <w:rsid w:val="00B06686"/>
    <w:rsid w:val="00B075D9"/>
    <w:rsid w:val="00B201A4"/>
    <w:rsid w:val="00B21F15"/>
    <w:rsid w:val="00B35C12"/>
    <w:rsid w:val="00B45D55"/>
    <w:rsid w:val="00B47884"/>
    <w:rsid w:val="00B47A60"/>
    <w:rsid w:val="00B515C4"/>
    <w:rsid w:val="00B713E5"/>
    <w:rsid w:val="00B73F61"/>
    <w:rsid w:val="00B80BB2"/>
    <w:rsid w:val="00B8264A"/>
    <w:rsid w:val="00B87651"/>
    <w:rsid w:val="00B87975"/>
    <w:rsid w:val="00B9133D"/>
    <w:rsid w:val="00B922E4"/>
    <w:rsid w:val="00B93048"/>
    <w:rsid w:val="00B95D4E"/>
    <w:rsid w:val="00B96DDE"/>
    <w:rsid w:val="00BA29E8"/>
    <w:rsid w:val="00BA4E49"/>
    <w:rsid w:val="00BB137B"/>
    <w:rsid w:val="00BB2AC8"/>
    <w:rsid w:val="00BB5FC3"/>
    <w:rsid w:val="00BB6B6E"/>
    <w:rsid w:val="00BB710E"/>
    <w:rsid w:val="00BC2500"/>
    <w:rsid w:val="00BC2A61"/>
    <w:rsid w:val="00BC548F"/>
    <w:rsid w:val="00BC77FA"/>
    <w:rsid w:val="00BD0C2E"/>
    <w:rsid w:val="00BD371A"/>
    <w:rsid w:val="00BE0816"/>
    <w:rsid w:val="00BE0C8B"/>
    <w:rsid w:val="00BE1443"/>
    <w:rsid w:val="00BE4AB4"/>
    <w:rsid w:val="00BE5E63"/>
    <w:rsid w:val="00BF1DD0"/>
    <w:rsid w:val="00BF3568"/>
    <w:rsid w:val="00BF4529"/>
    <w:rsid w:val="00BF6099"/>
    <w:rsid w:val="00C031BD"/>
    <w:rsid w:val="00C03241"/>
    <w:rsid w:val="00C05E12"/>
    <w:rsid w:val="00C07B29"/>
    <w:rsid w:val="00C1311F"/>
    <w:rsid w:val="00C17407"/>
    <w:rsid w:val="00C23217"/>
    <w:rsid w:val="00C27089"/>
    <w:rsid w:val="00C31205"/>
    <w:rsid w:val="00C3372A"/>
    <w:rsid w:val="00C33920"/>
    <w:rsid w:val="00C52B5E"/>
    <w:rsid w:val="00C67C5E"/>
    <w:rsid w:val="00C70F9D"/>
    <w:rsid w:val="00C718DE"/>
    <w:rsid w:val="00C74AD5"/>
    <w:rsid w:val="00C77FF4"/>
    <w:rsid w:val="00C818AB"/>
    <w:rsid w:val="00C863C7"/>
    <w:rsid w:val="00C91171"/>
    <w:rsid w:val="00C935B7"/>
    <w:rsid w:val="00C9377F"/>
    <w:rsid w:val="00C938AE"/>
    <w:rsid w:val="00C9442D"/>
    <w:rsid w:val="00CA1170"/>
    <w:rsid w:val="00CC70A1"/>
    <w:rsid w:val="00CC7E5A"/>
    <w:rsid w:val="00CE00B1"/>
    <w:rsid w:val="00CE14DE"/>
    <w:rsid w:val="00D12517"/>
    <w:rsid w:val="00D13758"/>
    <w:rsid w:val="00D16184"/>
    <w:rsid w:val="00D23920"/>
    <w:rsid w:val="00D342FF"/>
    <w:rsid w:val="00D406AF"/>
    <w:rsid w:val="00D47C2B"/>
    <w:rsid w:val="00D544D6"/>
    <w:rsid w:val="00D572C7"/>
    <w:rsid w:val="00D576F5"/>
    <w:rsid w:val="00D57B04"/>
    <w:rsid w:val="00D6661B"/>
    <w:rsid w:val="00D75F8A"/>
    <w:rsid w:val="00D77B80"/>
    <w:rsid w:val="00D80717"/>
    <w:rsid w:val="00D82F70"/>
    <w:rsid w:val="00D92E78"/>
    <w:rsid w:val="00D94146"/>
    <w:rsid w:val="00DA2EC7"/>
    <w:rsid w:val="00DA78A1"/>
    <w:rsid w:val="00DB6FBF"/>
    <w:rsid w:val="00DC46E3"/>
    <w:rsid w:val="00DD7CEF"/>
    <w:rsid w:val="00DE21F0"/>
    <w:rsid w:val="00DE3780"/>
    <w:rsid w:val="00DE4330"/>
    <w:rsid w:val="00DE5578"/>
    <w:rsid w:val="00E12240"/>
    <w:rsid w:val="00E17A58"/>
    <w:rsid w:val="00E20E4A"/>
    <w:rsid w:val="00E25B16"/>
    <w:rsid w:val="00E2721A"/>
    <w:rsid w:val="00E30C3E"/>
    <w:rsid w:val="00E358A3"/>
    <w:rsid w:val="00E42615"/>
    <w:rsid w:val="00E43E63"/>
    <w:rsid w:val="00E53DFA"/>
    <w:rsid w:val="00E606BE"/>
    <w:rsid w:val="00E62BF4"/>
    <w:rsid w:val="00E661FA"/>
    <w:rsid w:val="00E714C2"/>
    <w:rsid w:val="00E72B83"/>
    <w:rsid w:val="00E76095"/>
    <w:rsid w:val="00E7620F"/>
    <w:rsid w:val="00E840DB"/>
    <w:rsid w:val="00E85C8A"/>
    <w:rsid w:val="00E95CF0"/>
    <w:rsid w:val="00EA037D"/>
    <w:rsid w:val="00EB0215"/>
    <w:rsid w:val="00EB193E"/>
    <w:rsid w:val="00EB1A09"/>
    <w:rsid w:val="00EC0141"/>
    <w:rsid w:val="00EC5698"/>
    <w:rsid w:val="00ED4D58"/>
    <w:rsid w:val="00ED6A94"/>
    <w:rsid w:val="00EE0E64"/>
    <w:rsid w:val="00EE2FA1"/>
    <w:rsid w:val="00EF04E1"/>
    <w:rsid w:val="00EF5335"/>
    <w:rsid w:val="00EF65AA"/>
    <w:rsid w:val="00F00D24"/>
    <w:rsid w:val="00F0101A"/>
    <w:rsid w:val="00F10008"/>
    <w:rsid w:val="00F148FD"/>
    <w:rsid w:val="00F154F1"/>
    <w:rsid w:val="00F20952"/>
    <w:rsid w:val="00F246C7"/>
    <w:rsid w:val="00F36A02"/>
    <w:rsid w:val="00F4303E"/>
    <w:rsid w:val="00F447B7"/>
    <w:rsid w:val="00F44D81"/>
    <w:rsid w:val="00F53C0A"/>
    <w:rsid w:val="00F53C75"/>
    <w:rsid w:val="00F55BBE"/>
    <w:rsid w:val="00F561A4"/>
    <w:rsid w:val="00F57236"/>
    <w:rsid w:val="00F6326C"/>
    <w:rsid w:val="00F6461F"/>
    <w:rsid w:val="00F65417"/>
    <w:rsid w:val="00F669E3"/>
    <w:rsid w:val="00F67CB1"/>
    <w:rsid w:val="00F85042"/>
    <w:rsid w:val="00F939AD"/>
    <w:rsid w:val="00F94137"/>
    <w:rsid w:val="00F9447A"/>
    <w:rsid w:val="00F95397"/>
    <w:rsid w:val="00FA125D"/>
    <w:rsid w:val="00FA287A"/>
    <w:rsid w:val="00FA5E09"/>
    <w:rsid w:val="00FB44E7"/>
    <w:rsid w:val="00FB72CE"/>
    <w:rsid w:val="00FC5950"/>
    <w:rsid w:val="00FC6BB7"/>
    <w:rsid w:val="00FC776D"/>
    <w:rsid w:val="00FE348C"/>
    <w:rsid w:val="00FE4C72"/>
    <w:rsid w:val="00FE68C9"/>
    <w:rsid w:val="00FE78F1"/>
    <w:rsid w:val="00FF1F3E"/>
    <w:rsid w:val="00FF433E"/>
    <w:rsid w:val="00FF5055"/>
    <w:rsid w:val="00FF53CB"/>
    <w:rsid w:val="00FF790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F375"/>
  <w15:docId w15:val="{5C8C7EC5-96D1-47E0-A248-5DC217A9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tr-T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3F"/>
    <w:pPr>
      <w:spacing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4C490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235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235A"/>
    <w:rPr>
      <w:lang w:val="en-GB"/>
    </w:rPr>
  </w:style>
  <w:style w:type="character" w:styleId="PageNumber">
    <w:name w:val="page number"/>
    <w:basedOn w:val="DefaultParagraphFont"/>
    <w:uiPriority w:val="99"/>
    <w:semiHidden/>
    <w:unhideWhenUsed/>
    <w:rsid w:val="0044235A"/>
  </w:style>
  <w:style w:type="character" w:customStyle="1" w:styleId="apple-converted-space">
    <w:name w:val="apple-converted-space"/>
    <w:basedOn w:val="DefaultParagraphFont"/>
    <w:rsid w:val="00EF5335"/>
  </w:style>
  <w:style w:type="character" w:styleId="CommentReference">
    <w:name w:val="annotation reference"/>
    <w:basedOn w:val="DefaultParagraphFont"/>
    <w:uiPriority w:val="99"/>
    <w:semiHidden/>
    <w:unhideWhenUsed/>
    <w:rsid w:val="00C33920"/>
    <w:rPr>
      <w:sz w:val="16"/>
      <w:szCs w:val="16"/>
    </w:rPr>
  </w:style>
  <w:style w:type="paragraph" w:styleId="CommentText">
    <w:name w:val="annotation text"/>
    <w:basedOn w:val="Normal"/>
    <w:link w:val="CommentTextChar"/>
    <w:uiPriority w:val="99"/>
    <w:unhideWhenUsed/>
    <w:rsid w:val="00C3392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33920"/>
    <w:rPr>
      <w:sz w:val="20"/>
      <w:szCs w:val="20"/>
      <w:lang w:val="en-GB"/>
    </w:rPr>
  </w:style>
  <w:style w:type="paragraph" w:styleId="CommentSubject">
    <w:name w:val="annotation subject"/>
    <w:basedOn w:val="CommentText"/>
    <w:next w:val="CommentText"/>
    <w:link w:val="CommentSubjectChar"/>
    <w:uiPriority w:val="99"/>
    <w:semiHidden/>
    <w:unhideWhenUsed/>
    <w:rsid w:val="00C33920"/>
    <w:rPr>
      <w:b/>
      <w:bCs/>
    </w:rPr>
  </w:style>
  <w:style w:type="character" w:customStyle="1" w:styleId="CommentSubjectChar">
    <w:name w:val="Comment Subject Char"/>
    <w:basedOn w:val="CommentTextChar"/>
    <w:link w:val="CommentSubject"/>
    <w:uiPriority w:val="99"/>
    <w:semiHidden/>
    <w:rsid w:val="00C33920"/>
    <w:rPr>
      <w:b/>
      <w:bCs/>
      <w:sz w:val="20"/>
      <w:szCs w:val="20"/>
      <w:lang w:val="en-GB"/>
    </w:rPr>
  </w:style>
  <w:style w:type="paragraph" w:styleId="BalloonText">
    <w:name w:val="Balloon Text"/>
    <w:basedOn w:val="Normal"/>
    <w:link w:val="BalloonTextChar"/>
    <w:uiPriority w:val="99"/>
    <w:semiHidden/>
    <w:unhideWhenUsed/>
    <w:rsid w:val="00C33920"/>
    <w:rPr>
      <w:rFonts w:eastAsiaTheme="minorHAnsi"/>
      <w:sz w:val="18"/>
      <w:szCs w:val="18"/>
    </w:rPr>
  </w:style>
  <w:style w:type="character" w:customStyle="1" w:styleId="BalloonTextChar">
    <w:name w:val="Balloon Text Char"/>
    <w:basedOn w:val="DefaultParagraphFont"/>
    <w:link w:val="BalloonText"/>
    <w:uiPriority w:val="99"/>
    <w:semiHidden/>
    <w:rsid w:val="00C33920"/>
    <w:rPr>
      <w:rFonts w:ascii="Times New Roman" w:hAnsi="Times New Roman" w:cs="Times New Roman"/>
      <w:sz w:val="18"/>
      <w:szCs w:val="18"/>
      <w:lang w:val="en-GB"/>
    </w:rPr>
  </w:style>
  <w:style w:type="paragraph" w:styleId="NormalWeb">
    <w:name w:val="Normal (Web)"/>
    <w:basedOn w:val="Normal"/>
    <w:uiPriority w:val="99"/>
    <w:unhideWhenUsed/>
    <w:rsid w:val="00A431E0"/>
    <w:pPr>
      <w:spacing w:before="100" w:beforeAutospacing="1" w:after="100" w:afterAutospacing="1"/>
    </w:pPr>
  </w:style>
  <w:style w:type="character" w:customStyle="1" w:styleId="hilite">
    <w:name w:val="hilite"/>
    <w:basedOn w:val="DefaultParagraphFont"/>
    <w:rsid w:val="00F95397"/>
  </w:style>
  <w:style w:type="character" w:styleId="Emphasis">
    <w:name w:val="Emphasis"/>
    <w:basedOn w:val="DefaultParagraphFont"/>
    <w:uiPriority w:val="20"/>
    <w:qFormat/>
    <w:rsid w:val="00F95397"/>
    <w:rPr>
      <w:i/>
      <w:iCs/>
    </w:rPr>
  </w:style>
  <w:style w:type="paragraph" w:styleId="Header">
    <w:name w:val="header"/>
    <w:basedOn w:val="Normal"/>
    <w:link w:val="HeaderChar"/>
    <w:uiPriority w:val="99"/>
    <w:unhideWhenUsed/>
    <w:rsid w:val="005F6F50"/>
    <w:pPr>
      <w:tabs>
        <w:tab w:val="center" w:pos="4680"/>
        <w:tab w:val="right" w:pos="9360"/>
      </w:tabs>
    </w:pPr>
  </w:style>
  <w:style w:type="character" w:customStyle="1" w:styleId="HeaderChar">
    <w:name w:val="Header Char"/>
    <w:basedOn w:val="DefaultParagraphFont"/>
    <w:link w:val="Header"/>
    <w:uiPriority w:val="99"/>
    <w:rsid w:val="005F6F50"/>
    <w:rPr>
      <w:rFonts w:ascii="Times New Roman" w:eastAsia="Times New Roman" w:hAnsi="Times New Roman" w:cs="Times New Roman"/>
      <w:sz w:val="24"/>
      <w:szCs w:val="24"/>
      <w:lang w:val="en-GB"/>
    </w:rPr>
  </w:style>
  <w:style w:type="character" w:customStyle="1" w:styleId="ms-button-flexcontainer">
    <w:name w:val="ms-button-flexcontainer"/>
    <w:basedOn w:val="DefaultParagraphFont"/>
    <w:rsid w:val="004C4906"/>
  </w:style>
  <w:style w:type="character" w:customStyle="1" w:styleId="ms-button-label">
    <w:name w:val="ms-button-label"/>
    <w:basedOn w:val="DefaultParagraphFont"/>
    <w:rsid w:val="004C4906"/>
  </w:style>
  <w:style w:type="character" w:customStyle="1" w:styleId="Heading1Char">
    <w:name w:val="Heading 1 Char"/>
    <w:basedOn w:val="DefaultParagraphFont"/>
    <w:link w:val="Heading1"/>
    <w:uiPriority w:val="9"/>
    <w:rsid w:val="004C4906"/>
    <w:rPr>
      <w:rFonts w:ascii="Times New Roman" w:eastAsia="Times New Roman" w:hAnsi="Times New Roman" w:cs="Times New Roman"/>
      <w:b/>
      <w:bCs/>
      <w:kern w:val="36"/>
      <w:sz w:val="48"/>
      <w:szCs w:val="48"/>
      <w:lang w:val="en-GB"/>
    </w:rPr>
  </w:style>
  <w:style w:type="character" w:customStyle="1" w:styleId="title-text">
    <w:name w:val="title-text"/>
    <w:basedOn w:val="DefaultParagraphFont"/>
    <w:rsid w:val="004C4906"/>
  </w:style>
  <w:style w:type="character" w:styleId="Hyperlink">
    <w:name w:val="Hyperlink"/>
    <w:basedOn w:val="DefaultParagraphFont"/>
    <w:uiPriority w:val="99"/>
    <w:unhideWhenUsed/>
    <w:rsid w:val="004C4906"/>
    <w:rPr>
      <w:color w:val="0000FF"/>
      <w:u w:val="single"/>
    </w:rPr>
  </w:style>
  <w:style w:type="character" w:customStyle="1" w:styleId="zmlenmeyenBahsetme1">
    <w:name w:val="Çözümlenmeyen Bahsetme1"/>
    <w:basedOn w:val="DefaultParagraphFont"/>
    <w:uiPriority w:val="99"/>
    <w:semiHidden/>
    <w:unhideWhenUsed/>
    <w:rsid w:val="00E72B83"/>
    <w:rPr>
      <w:color w:val="605E5C"/>
      <w:shd w:val="clear" w:color="auto" w:fill="E1DFDD"/>
    </w:rPr>
  </w:style>
  <w:style w:type="paragraph" w:styleId="Revision">
    <w:name w:val="Revision"/>
    <w:hidden/>
    <w:uiPriority w:val="99"/>
    <w:semiHidden/>
    <w:rsid w:val="001D590D"/>
    <w:pPr>
      <w:spacing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BD37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009C"/>
    <w:rPr>
      <w:sz w:val="20"/>
      <w:szCs w:val="20"/>
    </w:rPr>
  </w:style>
  <w:style w:type="character" w:customStyle="1" w:styleId="FootnoteTextChar">
    <w:name w:val="Footnote Text Char"/>
    <w:basedOn w:val="DefaultParagraphFont"/>
    <w:link w:val="FootnoteText"/>
    <w:uiPriority w:val="99"/>
    <w:semiHidden/>
    <w:rsid w:val="0052009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2009C"/>
    <w:rPr>
      <w:vertAlign w:val="superscript"/>
    </w:rPr>
  </w:style>
  <w:style w:type="paragraph" w:styleId="ListParagraph">
    <w:name w:val="List Paragraph"/>
    <w:basedOn w:val="Normal"/>
    <w:uiPriority w:val="34"/>
    <w:qFormat/>
    <w:rsid w:val="00071A3A"/>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63">
      <w:bodyDiv w:val="1"/>
      <w:marLeft w:val="0"/>
      <w:marRight w:val="0"/>
      <w:marTop w:val="0"/>
      <w:marBottom w:val="0"/>
      <w:divBdr>
        <w:top w:val="none" w:sz="0" w:space="0" w:color="auto"/>
        <w:left w:val="none" w:sz="0" w:space="0" w:color="auto"/>
        <w:bottom w:val="none" w:sz="0" w:space="0" w:color="auto"/>
        <w:right w:val="none" w:sz="0" w:space="0" w:color="auto"/>
      </w:divBdr>
      <w:divsChild>
        <w:div w:id="1594245892">
          <w:marLeft w:val="0"/>
          <w:marRight w:val="0"/>
          <w:marTop w:val="0"/>
          <w:marBottom w:val="0"/>
          <w:divBdr>
            <w:top w:val="none" w:sz="0" w:space="0" w:color="auto"/>
            <w:left w:val="none" w:sz="0" w:space="0" w:color="auto"/>
            <w:bottom w:val="none" w:sz="0" w:space="0" w:color="auto"/>
            <w:right w:val="none" w:sz="0" w:space="0" w:color="auto"/>
          </w:divBdr>
          <w:divsChild>
            <w:div w:id="812910248">
              <w:marLeft w:val="0"/>
              <w:marRight w:val="0"/>
              <w:marTop w:val="0"/>
              <w:marBottom w:val="0"/>
              <w:divBdr>
                <w:top w:val="none" w:sz="0" w:space="0" w:color="auto"/>
                <w:left w:val="none" w:sz="0" w:space="0" w:color="auto"/>
                <w:bottom w:val="none" w:sz="0" w:space="0" w:color="auto"/>
                <w:right w:val="none" w:sz="0" w:space="0" w:color="auto"/>
              </w:divBdr>
              <w:divsChild>
                <w:div w:id="13693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2572">
      <w:bodyDiv w:val="1"/>
      <w:marLeft w:val="0"/>
      <w:marRight w:val="0"/>
      <w:marTop w:val="0"/>
      <w:marBottom w:val="0"/>
      <w:divBdr>
        <w:top w:val="none" w:sz="0" w:space="0" w:color="auto"/>
        <w:left w:val="none" w:sz="0" w:space="0" w:color="auto"/>
        <w:bottom w:val="none" w:sz="0" w:space="0" w:color="auto"/>
        <w:right w:val="none" w:sz="0" w:space="0" w:color="auto"/>
      </w:divBdr>
      <w:divsChild>
        <w:div w:id="1709642110">
          <w:marLeft w:val="0"/>
          <w:marRight w:val="0"/>
          <w:marTop w:val="0"/>
          <w:marBottom w:val="0"/>
          <w:divBdr>
            <w:top w:val="none" w:sz="0" w:space="0" w:color="auto"/>
            <w:left w:val="none" w:sz="0" w:space="0" w:color="auto"/>
            <w:bottom w:val="none" w:sz="0" w:space="0" w:color="auto"/>
            <w:right w:val="none" w:sz="0" w:space="0" w:color="auto"/>
          </w:divBdr>
          <w:divsChild>
            <w:div w:id="893659755">
              <w:marLeft w:val="0"/>
              <w:marRight w:val="0"/>
              <w:marTop w:val="0"/>
              <w:marBottom w:val="0"/>
              <w:divBdr>
                <w:top w:val="none" w:sz="0" w:space="0" w:color="auto"/>
                <w:left w:val="none" w:sz="0" w:space="0" w:color="auto"/>
                <w:bottom w:val="none" w:sz="0" w:space="0" w:color="auto"/>
                <w:right w:val="none" w:sz="0" w:space="0" w:color="auto"/>
              </w:divBdr>
              <w:divsChild>
                <w:div w:id="1273585245">
                  <w:marLeft w:val="0"/>
                  <w:marRight w:val="0"/>
                  <w:marTop w:val="0"/>
                  <w:marBottom w:val="0"/>
                  <w:divBdr>
                    <w:top w:val="none" w:sz="0" w:space="0" w:color="auto"/>
                    <w:left w:val="none" w:sz="0" w:space="0" w:color="auto"/>
                    <w:bottom w:val="none" w:sz="0" w:space="0" w:color="auto"/>
                    <w:right w:val="none" w:sz="0" w:space="0" w:color="auto"/>
                  </w:divBdr>
                  <w:divsChild>
                    <w:div w:id="6878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0512">
      <w:bodyDiv w:val="1"/>
      <w:marLeft w:val="0"/>
      <w:marRight w:val="0"/>
      <w:marTop w:val="0"/>
      <w:marBottom w:val="0"/>
      <w:divBdr>
        <w:top w:val="none" w:sz="0" w:space="0" w:color="auto"/>
        <w:left w:val="none" w:sz="0" w:space="0" w:color="auto"/>
        <w:bottom w:val="none" w:sz="0" w:space="0" w:color="auto"/>
        <w:right w:val="none" w:sz="0" w:space="0" w:color="auto"/>
      </w:divBdr>
      <w:divsChild>
        <w:div w:id="1091926278">
          <w:marLeft w:val="0"/>
          <w:marRight w:val="0"/>
          <w:marTop w:val="0"/>
          <w:marBottom w:val="0"/>
          <w:divBdr>
            <w:top w:val="none" w:sz="0" w:space="0" w:color="auto"/>
            <w:left w:val="none" w:sz="0" w:space="0" w:color="auto"/>
            <w:bottom w:val="none" w:sz="0" w:space="0" w:color="auto"/>
            <w:right w:val="none" w:sz="0" w:space="0" w:color="auto"/>
          </w:divBdr>
        </w:div>
      </w:divsChild>
    </w:div>
    <w:div w:id="437063439">
      <w:bodyDiv w:val="1"/>
      <w:marLeft w:val="0"/>
      <w:marRight w:val="0"/>
      <w:marTop w:val="0"/>
      <w:marBottom w:val="0"/>
      <w:divBdr>
        <w:top w:val="none" w:sz="0" w:space="0" w:color="auto"/>
        <w:left w:val="none" w:sz="0" w:space="0" w:color="auto"/>
        <w:bottom w:val="none" w:sz="0" w:space="0" w:color="auto"/>
        <w:right w:val="none" w:sz="0" w:space="0" w:color="auto"/>
      </w:divBdr>
    </w:div>
    <w:div w:id="512455866">
      <w:bodyDiv w:val="1"/>
      <w:marLeft w:val="0"/>
      <w:marRight w:val="0"/>
      <w:marTop w:val="0"/>
      <w:marBottom w:val="0"/>
      <w:divBdr>
        <w:top w:val="none" w:sz="0" w:space="0" w:color="auto"/>
        <w:left w:val="none" w:sz="0" w:space="0" w:color="auto"/>
        <w:bottom w:val="none" w:sz="0" w:space="0" w:color="auto"/>
        <w:right w:val="none" w:sz="0" w:space="0" w:color="auto"/>
      </w:divBdr>
    </w:div>
    <w:div w:id="605237442">
      <w:bodyDiv w:val="1"/>
      <w:marLeft w:val="0"/>
      <w:marRight w:val="0"/>
      <w:marTop w:val="0"/>
      <w:marBottom w:val="0"/>
      <w:divBdr>
        <w:top w:val="none" w:sz="0" w:space="0" w:color="auto"/>
        <w:left w:val="none" w:sz="0" w:space="0" w:color="auto"/>
        <w:bottom w:val="none" w:sz="0" w:space="0" w:color="auto"/>
        <w:right w:val="none" w:sz="0" w:space="0" w:color="auto"/>
      </w:divBdr>
      <w:divsChild>
        <w:div w:id="1054962774">
          <w:marLeft w:val="0"/>
          <w:marRight w:val="0"/>
          <w:marTop w:val="0"/>
          <w:marBottom w:val="0"/>
          <w:divBdr>
            <w:top w:val="none" w:sz="0" w:space="0" w:color="auto"/>
            <w:left w:val="none" w:sz="0" w:space="0" w:color="auto"/>
            <w:bottom w:val="none" w:sz="0" w:space="0" w:color="auto"/>
            <w:right w:val="none" w:sz="0" w:space="0" w:color="auto"/>
          </w:divBdr>
          <w:divsChild>
            <w:div w:id="1602952476">
              <w:marLeft w:val="0"/>
              <w:marRight w:val="0"/>
              <w:marTop w:val="0"/>
              <w:marBottom w:val="0"/>
              <w:divBdr>
                <w:top w:val="none" w:sz="0" w:space="0" w:color="auto"/>
                <w:left w:val="none" w:sz="0" w:space="0" w:color="auto"/>
                <w:bottom w:val="none" w:sz="0" w:space="0" w:color="auto"/>
                <w:right w:val="none" w:sz="0" w:space="0" w:color="auto"/>
              </w:divBdr>
              <w:divsChild>
                <w:div w:id="1210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7008">
      <w:bodyDiv w:val="1"/>
      <w:marLeft w:val="0"/>
      <w:marRight w:val="0"/>
      <w:marTop w:val="0"/>
      <w:marBottom w:val="0"/>
      <w:divBdr>
        <w:top w:val="none" w:sz="0" w:space="0" w:color="auto"/>
        <w:left w:val="none" w:sz="0" w:space="0" w:color="auto"/>
        <w:bottom w:val="none" w:sz="0" w:space="0" w:color="auto"/>
        <w:right w:val="none" w:sz="0" w:space="0" w:color="auto"/>
      </w:divBdr>
    </w:div>
    <w:div w:id="772238621">
      <w:bodyDiv w:val="1"/>
      <w:marLeft w:val="0"/>
      <w:marRight w:val="0"/>
      <w:marTop w:val="0"/>
      <w:marBottom w:val="0"/>
      <w:divBdr>
        <w:top w:val="none" w:sz="0" w:space="0" w:color="auto"/>
        <w:left w:val="none" w:sz="0" w:space="0" w:color="auto"/>
        <w:bottom w:val="none" w:sz="0" w:space="0" w:color="auto"/>
        <w:right w:val="none" w:sz="0" w:space="0" w:color="auto"/>
      </w:divBdr>
      <w:divsChild>
        <w:div w:id="352802266">
          <w:marLeft w:val="0"/>
          <w:marRight w:val="0"/>
          <w:marTop w:val="0"/>
          <w:marBottom w:val="0"/>
          <w:divBdr>
            <w:top w:val="none" w:sz="0" w:space="0" w:color="auto"/>
            <w:left w:val="none" w:sz="0" w:space="0" w:color="auto"/>
            <w:bottom w:val="none" w:sz="0" w:space="0" w:color="auto"/>
            <w:right w:val="none" w:sz="0" w:space="0" w:color="auto"/>
          </w:divBdr>
          <w:divsChild>
            <w:div w:id="1896358388">
              <w:marLeft w:val="0"/>
              <w:marRight w:val="0"/>
              <w:marTop w:val="0"/>
              <w:marBottom w:val="0"/>
              <w:divBdr>
                <w:top w:val="none" w:sz="0" w:space="0" w:color="auto"/>
                <w:left w:val="none" w:sz="0" w:space="0" w:color="auto"/>
                <w:bottom w:val="none" w:sz="0" w:space="0" w:color="auto"/>
                <w:right w:val="none" w:sz="0" w:space="0" w:color="auto"/>
              </w:divBdr>
              <w:divsChild>
                <w:div w:id="1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80395">
      <w:bodyDiv w:val="1"/>
      <w:marLeft w:val="0"/>
      <w:marRight w:val="0"/>
      <w:marTop w:val="0"/>
      <w:marBottom w:val="0"/>
      <w:divBdr>
        <w:top w:val="none" w:sz="0" w:space="0" w:color="auto"/>
        <w:left w:val="none" w:sz="0" w:space="0" w:color="auto"/>
        <w:bottom w:val="none" w:sz="0" w:space="0" w:color="auto"/>
        <w:right w:val="none" w:sz="0" w:space="0" w:color="auto"/>
      </w:divBdr>
    </w:div>
    <w:div w:id="843864404">
      <w:bodyDiv w:val="1"/>
      <w:marLeft w:val="0"/>
      <w:marRight w:val="0"/>
      <w:marTop w:val="0"/>
      <w:marBottom w:val="0"/>
      <w:divBdr>
        <w:top w:val="none" w:sz="0" w:space="0" w:color="auto"/>
        <w:left w:val="none" w:sz="0" w:space="0" w:color="auto"/>
        <w:bottom w:val="none" w:sz="0" w:space="0" w:color="auto"/>
        <w:right w:val="none" w:sz="0" w:space="0" w:color="auto"/>
      </w:divBdr>
    </w:div>
    <w:div w:id="853765543">
      <w:bodyDiv w:val="1"/>
      <w:marLeft w:val="0"/>
      <w:marRight w:val="0"/>
      <w:marTop w:val="0"/>
      <w:marBottom w:val="0"/>
      <w:divBdr>
        <w:top w:val="none" w:sz="0" w:space="0" w:color="auto"/>
        <w:left w:val="none" w:sz="0" w:space="0" w:color="auto"/>
        <w:bottom w:val="none" w:sz="0" w:space="0" w:color="auto"/>
        <w:right w:val="none" w:sz="0" w:space="0" w:color="auto"/>
      </w:divBdr>
      <w:divsChild>
        <w:div w:id="1227258029">
          <w:marLeft w:val="0"/>
          <w:marRight w:val="0"/>
          <w:marTop w:val="0"/>
          <w:marBottom w:val="0"/>
          <w:divBdr>
            <w:top w:val="none" w:sz="0" w:space="0" w:color="auto"/>
            <w:left w:val="none" w:sz="0" w:space="0" w:color="auto"/>
            <w:bottom w:val="none" w:sz="0" w:space="0" w:color="auto"/>
            <w:right w:val="none" w:sz="0" w:space="0" w:color="auto"/>
          </w:divBdr>
          <w:divsChild>
            <w:div w:id="10574890">
              <w:marLeft w:val="0"/>
              <w:marRight w:val="0"/>
              <w:marTop w:val="0"/>
              <w:marBottom w:val="0"/>
              <w:divBdr>
                <w:top w:val="none" w:sz="0" w:space="0" w:color="auto"/>
                <w:left w:val="none" w:sz="0" w:space="0" w:color="auto"/>
                <w:bottom w:val="none" w:sz="0" w:space="0" w:color="auto"/>
                <w:right w:val="none" w:sz="0" w:space="0" w:color="auto"/>
              </w:divBdr>
              <w:divsChild>
                <w:div w:id="357857682">
                  <w:marLeft w:val="0"/>
                  <w:marRight w:val="0"/>
                  <w:marTop w:val="0"/>
                  <w:marBottom w:val="0"/>
                  <w:divBdr>
                    <w:top w:val="none" w:sz="0" w:space="0" w:color="auto"/>
                    <w:left w:val="none" w:sz="0" w:space="0" w:color="auto"/>
                    <w:bottom w:val="none" w:sz="0" w:space="0" w:color="auto"/>
                    <w:right w:val="none" w:sz="0" w:space="0" w:color="auto"/>
                  </w:divBdr>
                  <w:divsChild>
                    <w:div w:id="2080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88925">
      <w:bodyDiv w:val="1"/>
      <w:marLeft w:val="0"/>
      <w:marRight w:val="0"/>
      <w:marTop w:val="0"/>
      <w:marBottom w:val="0"/>
      <w:divBdr>
        <w:top w:val="none" w:sz="0" w:space="0" w:color="auto"/>
        <w:left w:val="none" w:sz="0" w:space="0" w:color="auto"/>
        <w:bottom w:val="none" w:sz="0" w:space="0" w:color="auto"/>
        <w:right w:val="none" w:sz="0" w:space="0" w:color="auto"/>
      </w:divBdr>
    </w:div>
    <w:div w:id="986131629">
      <w:bodyDiv w:val="1"/>
      <w:marLeft w:val="0"/>
      <w:marRight w:val="0"/>
      <w:marTop w:val="0"/>
      <w:marBottom w:val="0"/>
      <w:divBdr>
        <w:top w:val="none" w:sz="0" w:space="0" w:color="auto"/>
        <w:left w:val="none" w:sz="0" w:space="0" w:color="auto"/>
        <w:bottom w:val="none" w:sz="0" w:space="0" w:color="auto"/>
        <w:right w:val="none" w:sz="0" w:space="0" w:color="auto"/>
      </w:divBdr>
      <w:divsChild>
        <w:div w:id="1326057631">
          <w:marLeft w:val="0"/>
          <w:marRight w:val="0"/>
          <w:marTop w:val="0"/>
          <w:marBottom w:val="0"/>
          <w:divBdr>
            <w:top w:val="none" w:sz="0" w:space="0" w:color="auto"/>
            <w:left w:val="none" w:sz="0" w:space="0" w:color="auto"/>
            <w:bottom w:val="none" w:sz="0" w:space="0" w:color="auto"/>
            <w:right w:val="none" w:sz="0" w:space="0" w:color="auto"/>
          </w:divBdr>
          <w:divsChild>
            <w:div w:id="1735810193">
              <w:marLeft w:val="0"/>
              <w:marRight w:val="0"/>
              <w:marTop w:val="0"/>
              <w:marBottom w:val="0"/>
              <w:divBdr>
                <w:top w:val="none" w:sz="0" w:space="0" w:color="auto"/>
                <w:left w:val="none" w:sz="0" w:space="0" w:color="auto"/>
                <w:bottom w:val="none" w:sz="0" w:space="0" w:color="auto"/>
                <w:right w:val="none" w:sz="0" w:space="0" w:color="auto"/>
              </w:divBdr>
              <w:divsChild>
                <w:div w:id="985865504">
                  <w:marLeft w:val="0"/>
                  <w:marRight w:val="0"/>
                  <w:marTop w:val="0"/>
                  <w:marBottom w:val="0"/>
                  <w:divBdr>
                    <w:top w:val="none" w:sz="0" w:space="0" w:color="auto"/>
                    <w:left w:val="none" w:sz="0" w:space="0" w:color="auto"/>
                    <w:bottom w:val="none" w:sz="0" w:space="0" w:color="auto"/>
                    <w:right w:val="none" w:sz="0" w:space="0" w:color="auto"/>
                  </w:divBdr>
                  <w:divsChild>
                    <w:div w:id="2556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6757">
      <w:bodyDiv w:val="1"/>
      <w:marLeft w:val="0"/>
      <w:marRight w:val="0"/>
      <w:marTop w:val="0"/>
      <w:marBottom w:val="0"/>
      <w:divBdr>
        <w:top w:val="none" w:sz="0" w:space="0" w:color="auto"/>
        <w:left w:val="none" w:sz="0" w:space="0" w:color="auto"/>
        <w:bottom w:val="none" w:sz="0" w:space="0" w:color="auto"/>
        <w:right w:val="none" w:sz="0" w:space="0" w:color="auto"/>
      </w:divBdr>
      <w:divsChild>
        <w:div w:id="299581853">
          <w:marLeft w:val="0"/>
          <w:marRight w:val="0"/>
          <w:marTop w:val="0"/>
          <w:marBottom w:val="0"/>
          <w:divBdr>
            <w:top w:val="none" w:sz="0" w:space="0" w:color="auto"/>
            <w:left w:val="none" w:sz="0" w:space="0" w:color="auto"/>
            <w:bottom w:val="none" w:sz="0" w:space="0" w:color="auto"/>
            <w:right w:val="none" w:sz="0" w:space="0" w:color="auto"/>
          </w:divBdr>
          <w:divsChild>
            <w:div w:id="965045002">
              <w:marLeft w:val="0"/>
              <w:marRight w:val="0"/>
              <w:marTop w:val="0"/>
              <w:marBottom w:val="0"/>
              <w:divBdr>
                <w:top w:val="none" w:sz="0" w:space="0" w:color="auto"/>
                <w:left w:val="none" w:sz="0" w:space="0" w:color="auto"/>
                <w:bottom w:val="none" w:sz="0" w:space="0" w:color="auto"/>
                <w:right w:val="none" w:sz="0" w:space="0" w:color="auto"/>
              </w:divBdr>
              <w:divsChild>
                <w:div w:id="7499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0609">
      <w:bodyDiv w:val="1"/>
      <w:marLeft w:val="0"/>
      <w:marRight w:val="0"/>
      <w:marTop w:val="0"/>
      <w:marBottom w:val="0"/>
      <w:divBdr>
        <w:top w:val="none" w:sz="0" w:space="0" w:color="auto"/>
        <w:left w:val="none" w:sz="0" w:space="0" w:color="auto"/>
        <w:bottom w:val="none" w:sz="0" w:space="0" w:color="auto"/>
        <w:right w:val="none" w:sz="0" w:space="0" w:color="auto"/>
      </w:divBdr>
    </w:div>
    <w:div w:id="1386830891">
      <w:bodyDiv w:val="1"/>
      <w:marLeft w:val="0"/>
      <w:marRight w:val="0"/>
      <w:marTop w:val="0"/>
      <w:marBottom w:val="0"/>
      <w:divBdr>
        <w:top w:val="none" w:sz="0" w:space="0" w:color="auto"/>
        <w:left w:val="none" w:sz="0" w:space="0" w:color="auto"/>
        <w:bottom w:val="none" w:sz="0" w:space="0" w:color="auto"/>
        <w:right w:val="none" w:sz="0" w:space="0" w:color="auto"/>
      </w:divBdr>
      <w:divsChild>
        <w:div w:id="669216461">
          <w:marLeft w:val="0"/>
          <w:marRight w:val="0"/>
          <w:marTop w:val="0"/>
          <w:marBottom w:val="0"/>
          <w:divBdr>
            <w:top w:val="none" w:sz="0" w:space="0" w:color="auto"/>
            <w:left w:val="none" w:sz="0" w:space="0" w:color="auto"/>
            <w:bottom w:val="none" w:sz="0" w:space="0" w:color="auto"/>
            <w:right w:val="none" w:sz="0" w:space="0" w:color="auto"/>
          </w:divBdr>
          <w:divsChild>
            <w:div w:id="1403286043">
              <w:marLeft w:val="0"/>
              <w:marRight w:val="0"/>
              <w:marTop w:val="0"/>
              <w:marBottom w:val="0"/>
              <w:divBdr>
                <w:top w:val="none" w:sz="0" w:space="0" w:color="auto"/>
                <w:left w:val="none" w:sz="0" w:space="0" w:color="auto"/>
                <w:bottom w:val="none" w:sz="0" w:space="0" w:color="auto"/>
                <w:right w:val="none" w:sz="0" w:space="0" w:color="auto"/>
              </w:divBdr>
              <w:divsChild>
                <w:div w:id="13995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5264">
      <w:bodyDiv w:val="1"/>
      <w:marLeft w:val="0"/>
      <w:marRight w:val="0"/>
      <w:marTop w:val="0"/>
      <w:marBottom w:val="0"/>
      <w:divBdr>
        <w:top w:val="none" w:sz="0" w:space="0" w:color="auto"/>
        <w:left w:val="none" w:sz="0" w:space="0" w:color="auto"/>
        <w:bottom w:val="none" w:sz="0" w:space="0" w:color="auto"/>
        <w:right w:val="none" w:sz="0" w:space="0" w:color="auto"/>
      </w:divBdr>
      <w:divsChild>
        <w:div w:id="420685506">
          <w:marLeft w:val="0"/>
          <w:marRight w:val="0"/>
          <w:marTop w:val="0"/>
          <w:marBottom w:val="0"/>
          <w:divBdr>
            <w:top w:val="none" w:sz="0" w:space="0" w:color="auto"/>
            <w:left w:val="none" w:sz="0" w:space="0" w:color="auto"/>
            <w:bottom w:val="none" w:sz="0" w:space="0" w:color="auto"/>
            <w:right w:val="none" w:sz="0" w:space="0" w:color="auto"/>
          </w:divBdr>
          <w:divsChild>
            <w:div w:id="1586064736">
              <w:marLeft w:val="0"/>
              <w:marRight w:val="0"/>
              <w:marTop w:val="0"/>
              <w:marBottom w:val="0"/>
              <w:divBdr>
                <w:top w:val="none" w:sz="0" w:space="0" w:color="auto"/>
                <w:left w:val="none" w:sz="0" w:space="0" w:color="auto"/>
                <w:bottom w:val="none" w:sz="0" w:space="0" w:color="auto"/>
                <w:right w:val="none" w:sz="0" w:space="0" w:color="auto"/>
              </w:divBdr>
              <w:divsChild>
                <w:div w:id="1948803571">
                  <w:marLeft w:val="0"/>
                  <w:marRight w:val="0"/>
                  <w:marTop w:val="0"/>
                  <w:marBottom w:val="0"/>
                  <w:divBdr>
                    <w:top w:val="none" w:sz="0" w:space="0" w:color="auto"/>
                    <w:left w:val="none" w:sz="0" w:space="0" w:color="auto"/>
                    <w:bottom w:val="none" w:sz="0" w:space="0" w:color="auto"/>
                    <w:right w:val="none" w:sz="0" w:space="0" w:color="auto"/>
                  </w:divBdr>
                  <w:divsChild>
                    <w:div w:id="1317222994">
                      <w:marLeft w:val="120"/>
                      <w:marRight w:val="300"/>
                      <w:marTop w:val="0"/>
                      <w:marBottom w:val="120"/>
                      <w:divBdr>
                        <w:top w:val="none" w:sz="0" w:space="0" w:color="auto"/>
                        <w:left w:val="none" w:sz="0" w:space="0" w:color="auto"/>
                        <w:bottom w:val="none" w:sz="0" w:space="0" w:color="auto"/>
                        <w:right w:val="none" w:sz="0" w:space="0" w:color="auto"/>
                      </w:divBdr>
                      <w:divsChild>
                        <w:div w:id="586963982">
                          <w:marLeft w:val="0"/>
                          <w:marRight w:val="0"/>
                          <w:marTop w:val="0"/>
                          <w:marBottom w:val="0"/>
                          <w:divBdr>
                            <w:top w:val="none" w:sz="0" w:space="0" w:color="auto"/>
                            <w:left w:val="none" w:sz="0" w:space="0" w:color="auto"/>
                            <w:bottom w:val="none" w:sz="0" w:space="0" w:color="auto"/>
                            <w:right w:val="none" w:sz="0" w:space="0" w:color="auto"/>
                          </w:divBdr>
                        </w:div>
                        <w:div w:id="650141453">
                          <w:marLeft w:val="0"/>
                          <w:marRight w:val="0"/>
                          <w:marTop w:val="0"/>
                          <w:marBottom w:val="0"/>
                          <w:divBdr>
                            <w:top w:val="none" w:sz="0" w:space="0" w:color="auto"/>
                            <w:left w:val="none" w:sz="0" w:space="0" w:color="auto"/>
                            <w:bottom w:val="none" w:sz="0" w:space="0" w:color="auto"/>
                            <w:right w:val="none" w:sz="0" w:space="0" w:color="auto"/>
                          </w:divBdr>
                          <w:divsChild>
                            <w:div w:id="868760845">
                              <w:marLeft w:val="780"/>
                              <w:marRight w:val="240"/>
                              <w:marTop w:val="180"/>
                              <w:marBottom w:val="0"/>
                              <w:divBdr>
                                <w:top w:val="none" w:sz="0" w:space="0" w:color="auto"/>
                                <w:left w:val="none" w:sz="0" w:space="0" w:color="auto"/>
                                <w:bottom w:val="none" w:sz="0" w:space="0" w:color="auto"/>
                                <w:right w:val="none" w:sz="0" w:space="0" w:color="auto"/>
                              </w:divBdr>
                              <w:divsChild>
                                <w:div w:id="179854420">
                                  <w:marLeft w:val="0"/>
                                  <w:marRight w:val="0"/>
                                  <w:marTop w:val="0"/>
                                  <w:marBottom w:val="0"/>
                                  <w:divBdr>
                                    <w:top w:val="none" w:sz="0" w:space="0" w:color="auto"/>
                                    <w:left w:val="none" w:sz="0" w:space="0" w:color="auto"/>
                                    <w:bottom w:val="none" w:sz="0" w:space="0" w:color="auto"/>
                                    <w:right w:val="none" w:sz="0" w:space="0" w:color="auto"/>
                                  </w:divBdr>
                                  <w:divsChild>
                                    <w:div w:id="844635955">
                                      <w:marLeft w:val="0"/>
                                      <w:marRight w:val="0"/>
                                      <w:marTop w:val="0"/>
                                      <w:marBottom w:val="0"/>
                                      <w:divBdr>
                                        <w:top w:val="none" w:sz="0" w:space="0" w:color="auto"/>
                                        <w:left w:val="none" w:sz="0" w:space="0" w:color="auto"/>
                                        <w:bottom w:val="none" w:sz="0" w:space="0" w:color="auto"/>
                                        <w:right w:val="none" w:sz="0" w:space="0" w:color="auto"/>
                                      </w:divBdr>
                                      <w:divsChild>
                                        <w:div w:id="2126339130">
                                          <w:marLeft w:val="0"/>
                                          <w:marRight w:val="0"/>
                                          <w:marTop w:val="0"/>
                                          <w:marBottom w:val="0"/>
                                          <w:divBdr>
                                            <w:top w:val="none" w:sz="0" w:space="0" w:color="auto"/>
                                            <w:left w:val="none" w:sz="0" w:space="0" w:color="auto"/>
                                            <w:bottom w:val="none" w:sz="0" w:space="0" w:color="auto"/>
                                            <w:right w:val="none" w:sz="0" w:space="0" w:color="auto"/>
                                          </w:divBdr>
                                          <w:divsChild>
                                            <w:div w:id="1607611425">
                                              <w:marLeft w:val="0"/>
                                              <w:marRight w:val="0"/>
                                              <w:marTop w:val="0"/>
                                              <w:marBottom w:val="0"/>
                                              <w:divBdr>
                                                <w:top w:val="none" w:sz="0" w:space="0" w:color="auto"/>
                                                <w:left w:val="none" w:sz="0" w:space="0" w:color="auto"/>
                                                <w:bottom w:val="none" w:sz="0" w:space="0" w:color="auto"/>
                                                <w:right w:val="none" w:sz="0" w:space="0" w:color="auto"/>
                                              </w:divBdr>
                                              <w:divsChild>
                                                <w:div w:id="412359027">
                                                  <w:marLeft w:val="0"/>
                                                  <w:marRight w:val="0"/>
                                                  <w:marTop w:val="0"/>
                                                  <w:marBottom w:val="0"/>
                                                  <w:divBdr>
                                                    <w:top w:val="none" w:sz="0" w:space="0" w:color="auto"/>
                                                    <w:left w:val="none" w:sz="0" w:space="0" w:color="auto"/>
                                                    <w:bottom w:val="none" w:sz="0" w:space="0" w:color="auto"/>
                                                    <w:right w:val="none" w:sz="0" w:space="0" w:color="auto"/>
                                                  </w:divBdr>
                                                  <w:divsChild>
                                                    <w:div w:id="2584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338148">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96362845">
          <w:marLeft w:val="0"/>
          <w:marRight w:val="0"/>
          <w:marTop w:val="0"/>
          <w:marBottom w:val="0"/>
          <w:divBdr>
            <w:top w:val="none" w:sz="0" w:space="0" w:color="auto"/>
            <w:left w:val="none" w:sz="0" w:space="0" w:color="auto"/>
            <w:bottom w:val="none" w:sz="0" w:space="0" w:color="auto"/>
            <w:right w:val="none" w:sz="0" w:space="0" w:color="auto"/>
          </w:divBdr>
          <w:divsChild>
            <w:div w:id="1701665070">
              <w:marLeft w:val="0"/>
              <w:marRight w:val="0"/>
              <w:marTop w:val="0"/>
              <w:marBottom w:val="0"/>
              <w:divBdr>
                <w:top w:val="none" w:sz="0" w:space="0" w:color="auto"/>
                <w:left w:val="none" w:sz="0" w:space="0" w:color="auto"/>
                <w:bottom w:val="none" w:sz="0" w:space="0" w:color="auto"/>
                <w:right w:val="none" w:sz="0" w:space="0" w:color="auto"/>
              </w:divBdr>
              <w:divsChild>
                <w:div w:id="590815333">
                  <w:marLeft w:val="0"/>
                  <w:marRight w:val="0"/>
                  <w:marTop w:val="0"/>
                  <w:marBottom w:val="0"/>
                  <w:divBdr>
                    <w:top w:val="none" w:sz="0" w:space="0" w:color="auto"/>
                    <w:left w:val="none" w:sz="0" w:space="0" w:color="auto"/>
                    <w:bottom w:val="none" w:sz="0" w:space="0" w:color="auto"/>
                    <w:right w:val="none" w:sz="0" w:space="0" w:color="auto"/>
                  </w:divBdr>
                  <w:divsChild>
                    <w:div w:id="1430855369">
                      <w:marLeft w:val="120"/>
                      <w:marRight w:val="300"/>
                      <w:marTop w:val="120"/>
                      <w:marBottom w:val="120"/>
                      <w:divBdr>
                        <w:top w:val="none" w:sz="0" w:space="0" w:color="auto"/>
                        <w:left w:val="none" w:sz="0" w:space="0" w:color="auto"/>
                        <w:bottom w:val="none" w:sz="0" w:space="0" w:color="auto"/>
                        <w:right w:val="none" w:sz="0" w:space="0" w:color="auto"/>
                      </w:divBdr>
                      <w:divsChild>
                        <w:div w:id="1169754578">
                          <w:marLeft w:val="0"/>
                          <w:marRight w:val="0"/>
                          <w:marTop w:val="0"/>
                          <w:marBottom w:val="0"/>
                          <w:divBdr>
                            <w:top w:val="none" w:sz="0" w:space="0" w:color="auto"/>
                            <w:left w:val="none" w:sz="0" w:space="0" w:color="auto"/>
                            <w:bottom w:val="none" w:sz="0" w:space="0" w:color="auto"/>
                            <w:right w:val="none" w:sz="0" w:space="0" w:color="auto"/>
                          </w:divBdr>
                          <w:divsChild>
                            <w:div w:id="2049379457">
                              <w:marLeft w:val="0"/>
                              <w:marRight w:val="0"/>
                              <w:marTop w:val="0"/>
                              <w:marBottom w:val="0"/>
                              <w:divBdr>
                                <w:top w:val="none" w:sz="0" w:space="0" w:color="auto"/>
                                <w:left w:val="none" w:sz="0" w:space="0" w:color="auto"/>
                                <w:bottom w:val="none" w:sz="0" w:space="0" w:color="auto"/>
                                <w:right w:val="none" w:sz="0" w:space="0" w:color="auto"/>
                              </w:divBdr>
                              <w:divsChild>
                                <w:div w:id="305935220">
                                  <w:marLeft w:val="0"/>
                                  <w:marRight w:val="120"/>
                                  <w:marTop w:val="0"/>
                                  <w:marBottom w:val="0"/>
                                  <w:divBdr>
                                    <w:top w:val="none" w:sz="0" w:space="0" w:color="auto"/>
                                    <w:left w:val="none" w:sz="0" w:space="0" w:color="auto"/>
                                    <w:bottom w:val="none" w:sz="0" w:space="0" w:color="auto"/>
                                    <w:right w:val="none" w:sz="0" w:space="0" w:color="auto"/>
                                  </w:divBdr>
                                  <w:divsChild>
                                    <w:div w:id="1417510538">
                                      <w:marLeft w:val="0"/>
                                      <w:marRight w:val="0"/>
                                      <w:marTop w:val="0"/>
                                      <w:marBottom w:val="0"/>
                                      <w:divBdr>
                                        <w:top w:val="none" w:sz="0" w:space="0" w:color="auto"/>
                                        <w:left w:val="none" w:sz="0" w:space="0" w:color="auto"/>
                                        <w:bottom w:val="none" w:sz="0" w:space="0" w:color="auto"/>
                                        <w:right w:val="none" w:sz="0" w:space="0" w:color="auto"/>
                                      </w:divBdr>
                                      <w:divsChild>
                                        <w:div w:id="696220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294880">
      <w:bodyDiv w:val="1"/>
      <w:marLeft w:val="0"/>
      <w:marRight w:val="0"/>
      <w:marTop w:val="0"/>
      <w:marBottom w:val="0"/>
      <w:divBdr>
        <w:top w:val="none" w:sz="0" w:space="0" w:color="auto"/>
        <w:left w:val="none" w:sz="0" w:space="0" w:color="auto"/>
        <w:bottom w:val="none" w:sz="0" w:space="0" w:color="auto"/>
        <w:right w:val="none" w:sz="0" w:space="0" w:color="auto"/>
      </w:divBdr>
      <w:divsChild>
        <w:div w:id="204949855">
          <w:marLeft w:val="0"/>
          <w:marRight w:val="0"/>
          <w:marTop w:val="0"/>
          <w:marBottom w:val="0"/>
          <w:divBdr>
            <w:top w:val="none" w:sz="0" w:space="0" w:color="auto"/>
            <w:left w:val="none" w:sz="0" w:space="0" w:color="auto"/>
            <w:bottom w:val="none" w:sz="0" w:space="0" w:color="auto"/>
            <w:right w:val="none" w:sz="0" w:space="0" w:color="auto"/>
          </w:divBdr>
          <w:divsChild>
            <w:div w:id="62483978">
              <w:marLeft w:val="0"/>
              <w:marRight w:val="0"/>
              <w:marTop w:val="0"/>
              <w:marBottom w:val="0"/>
              <w:divBdr>
                <w:top w:val="none" w:sz="0" w:space="0" w:color="auto"/>
                <w:left w:val="none" w:sz="0" w:space="0" w:color="auto"/>
                <w:bottom w:val="none" w:sz="0" w:space="0" w:color="auto"/>
                <w:right w:val="none" w:sz="0" w:space="0" w:color="auto"/>
              </w:divBdr>
              <w:divsChild>
                <w:div w:id="20014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1997">
      <w:bodyDiv w:val="1"/>
      <w:marLeft w:val="0"/>
      <w:marRight w:val="0"/>
      <w:marTop w:val="0"/>
      <w:marBottom w:val="0"/>
      <w:divBdr>
        <w:top w:val="none" w:sz="0" w:space="0" w:color="auto"/>
        <w:left w:val="none" w:sz="0" w:space="0" w:color="auto"/>
        <w:bottom w:val="none" w:sz="0" w:space="0" w:color="auto"/>
        <w:right w:val="none" w:sz="0" w:space="0" w:color="auto"/>
      </w:divBdr>
    </w:div>
    <w:div w:id="1726836847">
      <w:bodyDiv w:val="1"/>
      <w:marLeft w:val="0"/>
      <w:marRight w:val="0"/>
      <w:marTop w:val="0"/>
      <w:marBottom w:val="0"/>
      <w:divBdr>
        <w:top w:val="none" w:sz="0" w:space="0" w:color="auto"/>
        <w:left w:val="none" w:sz="0" w:space="0" w:color="auto"/>
        <w:bottom w:val="none" w:sz="0" w:space="0" w:color="auto"/>
        <w:right w:val="none" w:sz="0" w:space="0" w:color="auto"/>
      </w:divBdr>
    </w:div>
    <w:div w:id="1888251478">
      <w:bodyDiv w:val="1"/>
      <w:marLeft w:val="0"/>
      <w:marRight w:val="0"/>
      <w:marTop w:val="0"/>
      <w:marBottom w:val="0"/>
      <w:divBdr>
        <w:top w:val="none" w:sz="0" w:space="0" w:color="auto"/>
        <w:left w:val="none" w:sz="0" w:space="0" w:color="auto"/>
        <w:bottom w:val="none" w:sz="0" w:space="0" w:color="auto"/>
        <w:right w:val="none" w:sz="0" w:space="0" w:color="auto"/>
      </w:divBdr>
    </w:div>
    <w:div w:id="1950114820">
      <w:bodyDiv w:val="1"/>
      <w:marLeft w:val="0"/>
      <w:marRight w:val="0"/>
      <w:marTop w:val="0"/>
      <w:marBottom w:val="0"/>
      <w:divBdr>
        <w:top w:val="none" w:sz="0" w:space="0" w:color="auto"/>
        <w:left w:val="none" w:sz="0" w:space="0" w:color="auto"/>
        <w:bottom w:val="none" w:sz="0" w:space="0" w:color="auto"/>
        <w:right w:val="none" w:sz="0" w:space="0" w:color="auto"/>
      </w:divBdr>
    </w:div>
    <w:div w:id="1955744851">
      <w:bodyDiv w:val="1"/>
      <w:marLeft w:val="0"/>
      <w:marRight w:val="0"/>
      <w:marTop w:val="0"/>
      <w:marBottom w:val="0"/>
      <w:divBdr>
        <w:top w:val="none" w:sz="0" w:space="0" w:color="auto"/>
        <w:left w:val="none" w:sz="0" w:space="0" w:color="auto"/>
        <w:bottom w:val="none" w:sz="0" w:space="0" w:color="auto"/>
        <w:right w:val="none" w:sz="0" w:space="0" w:color="auto"/>
      </w:divBdr>
      <w:divsChild>
        <w:div w:id="1988701981">
          <w:marLeft w:val="0"/>
          <w:marRight w:val="0"/>
          <w:marTop w:val="0"/>
          <w:marBottom w:val="0"/>
          <w:divBdr>
            <w:top w:val="none" w:sz="0" w:space="0" w:color="auto"/>
            <w:left w:val="none" w:sz="0" w:space="0" w:color="auto"/>
            <w:bottom w:val="none" w:sz="0" w:space="0" w:color="auto"/>
            <w:right w:val="none" w:sz="0" w:space="0" w:color="auto"/>
          </w:divBdr>
          <w:divsChild>
            <w:div w:id="929578198">
              <w:marLeft w:val="0"/>
              <w:marRight w:val="0"/>
              <w:marTop w:val="0"/>
              <w:marBottom w:val="0"/>
              <w:divBdr>
                <w:top w:val="none" w:sz="0" w:space="0" w:color="auto"/>
                <w:left w:val="none" w:sz="0" w:space="0" w:color="auto"/>
                <w:bottom w:val="none" w:sz="0" w:space="0" w:color="auto"/>
                <w:right w:val="none" w:sz="0" w:space="0" w:color="auto"/>
              </w:divBdr>
              <w:divsChild>
                <w:div w:id="21710754">
                  <w:marLeft w:val="0"/>
                  <w:marRight w:val="0"/>
                  <w:marTop w:val="0"/>
                  <w:marBottom w:val="0"/>
                  <w:divBdr>
                    <w:top w:val="none" w:sz="0" w:space="0" w:color="auto"/>
                    <w:left w:val="none" w:sz="0" w:space="0" w:color="auto"/>
                    <w:bottom w:val="none" w:sz="0" w:space="0" w:color="auto"/>
                    <w:right w:val="none" w:sz="0" w:space="0" w:color="auto"/>
                  </w:divBdr>
                  <w:divsChild>
                    <w:div w:id="20514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75566">
      <w:bodyDiv w:val="1"/>
      <w:marLeft w:val="0"/>
      <w:marRight w:val="0"/>
      <w:marTop w:val="0"/>
      <w:marBottom w:val="0"/>
      <w:divBdr>
        <w:top w:val="none" w:sz="0" w:space="0" w:color="auto"/>
        <w:left w:val="none" w:sz="0" w:space="0" w:color="auto"/>
        <w:bottom w:val="none" w:sz="0" w:space="0" w:color="auto"/>
        <w:right w:val="none" w:sz="0" w:space="0" w:color="auto"/>
      </w:divBdr>
      <w:divsChild>
        <w:div w:id="65736321">
          <w:marLeft w:val="0"/>
          <w:marRight w:val="0"/>
          <w:marTop w:val="0"/>
          <w:marBottom w:val="0"/>
          <w:divBdr>
            <w:top w:val="none" w:sz="0" w:space="0" w:color="auto"/>
            <w:left w:val="none" w:sz="0" w:space="0" w:color="auto"/>
            <w:bottom w:val="none" w:sz="0" w:space="0" w:color="auto"/>
            <w:right w:val="none" w:sz="0" w:space="0" w:color="auto"/>
          </w:divBdr>
          <w:divsChild>
            <w:div w:id="1406027291">
              <w:marLeft w:val="0"/>
              <w:marRight w:val="0"/>
              <w:marTop w:val="0"/>
              <w:marBottom w:val="0"/>
              <w:divBdr>
                <w:top w:val="none" w:sz="0" w:space="0" w:color="auto"/>
                <w:left w:val="none" w:sz="0" w:space="0" w:color="auto"/>
                <w:bottom w:val="none" w:sz="0" w:space="0" w:color="auto"/>
                <w:right w:val="none" w:sz="0" w:space="0" w:color="auto"/>
              </w:divBdr>
              <w:divsChild>
                <w:div w:id="7296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4229">
      <w:bodyDiv w:val="1"/>
      <w:marLeft w:val="0"/>
      <w:marRight w:val="0"/>
      <w:marTop w:val="0"/>
      <w:marBottom w:val="0"/>
      <w:divBdr>
        <w:top w:val="none" w:sz="0" w:space="0" w:color="auto"/>
        <w:left w:val="none" w:sz="0" w:space="0" w:color="auto"/>
        <w:bottom w:val="none" w:sz="0" w:space="0" w:color="auto"/>
        <w:right w:val="none" w:sz="0" w:space="0" w:color="auto"/>
      </w:divBdr>
    </w:div>
    <w:div w:id="210976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rofcanin@bath.ac.uk" TargetMode="External"/><Relationship Id="rId13" Type="http://schemas.openxmlformats.org/officeDocument/2006/relationships/hyperlink" Target="mailto:Aykut.Berber@uwe.ac.uk" TargetMode="External"/><Relationship Id="rId18" Type="http://schemas.openxmlformats.org/officeDocument/2006/relationships/hyperlink" Target="https://doi.org/10.1080/17439760903509606"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mjbosch.ese@uandes.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ker@essb.eur.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sw783@bath.ac.uk"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barraza@iese.edu" TargetMode="External"/><Relationship Id="rId14" Type="http://schemas.openxmlformats.org/officeDocument/2006/relationships/header" Target="header1.xml"/><Relationship Id="rId22"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1AE3-4CA8-448E-B0F1-7BAFA231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11090</Words>
  <Characters>63219</Characters>
  <Application>Microsoft Office Word</Application>
  <DocSecurity>0</DocSecurity>
  <Lines>526</Lines>
  <Paragraphs>148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Ererdi</dc:creator>
  <cp:keywords/>
  <dc:description/>
  <cp:lastModifiedBy>Aykut Berber</cp:lastModifiedBy>
  <cp:revision>3</cp:revision>
  <dcterms:created xsi:type="dcterms:W3CDTF">2023-04-27T15:08:00Z</dcterms:created>
  <dcterms:modified xsi:type="dcterms:W3CDTF">2023-04-27T15:16:00Z</dcterms:modified>
</cp:coreProperties>
</file>