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37A0" w14:textId="771F8744" w:rsidR="00D5576B" w:rsidRPr="00D5576B" w:rsidRDefault="00D5576B" w:rsidP="009C4A24">
      <w:pPr>
        <w:spacing w:line="276" w:lineRule="auto"/>
        <w:jc w:val="both"/>
        <w:rPr>
          <w:rFonts w:ascii="Calibri" w:hAnsi="Calibri" w:cs="Calibri"/>
          <w:b/>
          <w:bCs/>
          <w:color w:val="000000"/>
          <w:sz w:val="28"/>
          <w:szCs w:val="28"/>
          <w:shd w:val="clear" w:color="auto" w:fill="FFFFFF"/>
        </w:rPr>
      </w:pPr>
      <w:r w:rsidRPr="00D5576B">
        <w:rPr>
          <w:rFonts w:ascii="Calibri" w:hAnsi="Calibri" w:cs="Calibri"/>
          <w:b/>
          <w:bCs/>
          <w:color w:val="000000"/>
          <w:sz w:val="28"/>
          <w:szCs w:val="28"/>
          <w:shd w:val="clear" w:color="auto" w:fill="FFFFFF"/>
        </w:rPr>
        <w:t xml:space="preserve">Imagine you </w:t>
      </w:r>
      <w:r w:rsidR="00070E96">
        <w:rPr>
          <w:rFonts w:ascii="Calibri" w:hAnsi="Calibri" w:cs="Calibri"/>
          <w:b/>
          <w:bCs/>
          <w:color w:val="000000"/>
          <w:sz w:val="28"/>
          <w:szCs w:val="28"/>
          <w:shd w:val="clear" w:color="auto" w:fill="FFFFFF"/>
        </w:rPr>
        <w:t>W</w:t>
      </w:r>
      <w:r w:rsidRPr="00D5576B">
        <w:rPr>
          <w:rFonts w:ascii="Calibri" w:hAnsi="Calibri" w:cs="Calibri"/>
          <w:b/>
          <w:bCs/>
          <w:color w:val="000000"/>
          <w:sz w:val="28"/>
          <w:szCs w:val="28"/>
          <w:shd w:val="clear" w:color="auto" w:fill="FFFFFF"/>
        </w:rPr>
        <w:t xml:space="preserve">ere a </w:t>
      </w:r>
      <w:r>
        <w:rPr>
          <w:rFonts w:ascii="Calibri" w:hAnsi="Calibri" w:cs="Calibri"/>
          <w:b/>
          <w:bCs/>
          <w:color w:val="000000"/>
          <w:sz w:val="28"/>
          <w:szCs w:val="28"/>
          <w:shd w:val="clear" w:color="auto" w:fill="FFFFFF"/>
        </w:rPr>
        <w:t>J</w:t>
      </w:r>
      <w:r w:rsidRPr="00D5576B">
        <w:rPr>
          <w:rFonts w:ascii="Calibri" w:hAnsi="Calibri" w:cs="Calibri"/>
          <w:b/>
          <w:bCs/>
          <w:color w:val="000000"/>
          <w:sz w:val="28"/>
          <w:szCs w:val="28"/>
          <w:shd w:val="clear" w:color="auto" w:fill="FFFFFF"/>
        </w:rPr>
        <w:t xml:space="preserve">udge of the Nuremberg </w:t>
      </w:r>
      <w:proofErr w:type="gramStart"/>
      <w:r>
        <w:rPr>
          <w:rFonts w:ascii="Calibri" w:hAnsi="Calibri" w:cs="Calibri"/>
          <w:b/>
          <w:bCs/>
          <w:color w:val="000000"/>
          <w:sz w:val="28"/>
          <w:szCs w:val="28"/>
          <w:shd w:val="clear" w:color="auto" w:fill="FFFFFF"/>
        </w:rPr>
        <w:t>T</w:t>
      </w:r>
      <w:r w:rsidRPr="00D5576B">
        <w:rPr>
          <w:rFonts w:ascii="Calibri" w:hAnsi="Calibri" w:cs="Calibri"/>
          <w:b/>
          <w:bCs/>
          <w:color w:val="000000"/>
          <w:sz w:val="28"/>
          <w:szCs w:val="28"/>
          <w:shd w:val="clear" w:color="auto" w:fill="FFFFFF"/>
        </w:rPr>
        <w:t>rials</w:t>
      </w:r>
      <w:proofErr w:type="gramEnd"/>
      <w:r w:rsidRPr="00D5576B">
        <w:rPr>
          <w:rFonts w:ascii="Calibri" w:hAnsi="Calibri" w:cs="Calibri"/>
          <w:b/>
          <w:bCs/>
          <w:color w:val="000000"/>
          <w:sz w:val="28"/>
          <w:szCs w:val="28"/>
          <w:shd w:val="clear" w:color="auto" w:fill="FFFFFF"/>
        </w:rPr>
        <w:t xml:space="preserve"> and you</w:t>
      </w:r>
      <w:r w:rsidR="00070E96">
        <w:rPr>
          <w:rFonts w:ascii="Calibri" w:hAnsi="Calibri" w:cs="Calibri"/>
          <w:b/>
          <w:bCs/>
          <w:color w:val="000000"/>
          <w:sz w:val="28"/>
          <w:szCs w:val="28"/>
          <w:shd w:val="clear" w:color="auto" w:fill="FFFFFF"/>
        </w:rPr>
        <w:t xml:space="preserve"> W</w:t>
      </w:r>
      <w:r w:rsidRPr="00D5576B">
        <w:rPr>
          <w:rFonts w:ascii="Calibri" w:hAnsi="Calibri" w:cs="Calibri"/>
          <w:b/>
          <w:bCs/>
          <w:color w:val="000000"/>
          <w:sz w:val="28"/>
          <w:szCs w:val="28"/>
          <w:shd w:val="clear" w:color="auto" w:fill="FFFFFF"/>
        </w:rPr>
        <w:t xml:space="preserve">ere </w:t>
      </w:r>
      <w:r>
        <w:rPr>
          <w:rFonts w:ascii="Calibri" w:hAnsi="Calibri" w:cs="Calibri"/>
          <w:b/>
          <w:bCs/>
          <w:color w:val="000000"/>
          <w:sz w:val="28"/>
          <w:szCs w:val="28"/>
          <w:shd w:val="clear" w:color="auto" w:fill="FFFFFF"/>
        </w:rPr>
        <w:t>S</w:t>
      </w:r>
      <w:r w:rsidRPr="00D5576B">
        <w:rPr>
          <w:rFonts w:ascii="Calibri" w:hAnsi="Calibri" w:cs="Calibri"/>
          <w:b/>
          <w:bCs/>
          <w:color w:val="000000"/>
          <w:sz w:val="28"/>
          <w:szCs w:val="28"/>
          <w:shd w:val="clear" w:color="auto" w:fill="FFFFFF"/>
        </w:rPr>
        <w:t>ent to</w:t>
      </w:r>
      <w:r>
        <w:rPr>
          <w:rFonts w:ascii="Calibri" w:hAnsi="Calibri" w:cs="Calibri"/>
          <w:b/>
          <w:bCs/>
          <w:color w:val="000000"/>
          <w:sz w:val="28"/>
          <w:szCs w:val="28"/>
          <w:shd w:val="clear" w:color="auto" w:fill="FFFFFF"/>
        </w:rPr>
        <w:t xml:space="preserve"> the ICC in</w:t>
      </w:r>
      <w:r w:rsidRPr="00D5576B">
        <w:rPr>
          <w:rFonts w:ascii="Calibri" w:hAnsi="Calibri" w:cs="Calibri"/>
          <w:b/>
          <w:bCs/>
          <w:color w:val="000000"/>
          <w:sz w:val="28"/>
          <w:szCs w:val="28"/>
          <w:shd w:val="clear" w:color="auto" w:fill="FFFFFF"/>
        </w:rPr>
        <w:t xml:space="preserve"> 2020</w:t>
      </w:r>
    </w:p>
    <w:p w14:paraId="322A0ED7" w14:textId="77777777" w:rsidR="00D5576B" w:rsidRDefault="00D5576B" w:rsidP="009C4A24">
      <w:pPr>
        <w:spacing w:line="276" w:lineRule="auto"/>
        <w:jc w:val="both"/>
        <w:rPr>
          <w:rFonts w:ascii="Calibri" w:hAnsi="Calibri" w:cs="Calibri"/>
          <w:color w:val="000000"/>
          <w:sz w:val="24"/>
          <w:szCs w:val="24"/>
          <w:shd w:val="clear" w:color="auto" w:fill="FFFFFF"/>
        </w:rPr>
      </w:pPr>
    </w:p>
    <w:p w14:paraId="3B4DA1EE" w14:textId="34150C74" w:rsidR="009C4A24" w:rsidRDefault="00D5576B" w:rsidP="009C4A24">
      <w:pPr>
        <w:spacing w:line="276" w:lineRule="auto"/>
        <w:jc w:val="both"/>
        <w:rPr>
          <w:rFonts w:ascii="Calibri" w:hAnsi="Calibri" w:cs="Calibri"/>
          <w:color w:val="000000"/>
          <w:sz w:val="24"/>
          <w:szCs w:val="24"/>
          <w:shd w:val="clear" w:color="auto" w:fill="FFFFFF"/>
        </w:rPr>
      </w:pPr>
      <w:r w:rsidRPr="00D5576B">
        <w:rPr>
          <w:rFonts w:ascii="Calibri" w:hAnsi="Calibri" w:cs="Calibri"/>
          <w:color w:val="000000"/>
          <w:sz w:val="24"/>
          <w:szCs w:val="24"/>
          <w:u w:val="single"/>
          <w:shd w:val="clear" w:color="auto" w:fill="FFFFFF"/>
        </w:rPr>
        <w:t>Presentation for the Panel</w:t>
      </w:r>
      <w:r>
        <w:rPr>
          <w:rFonts w:ascii="Calibri" w:hAnsi="Calibri" w:cs="Calibri"/>
          <w:color w:val="000000"/>
          <w:sz w:val="24"/>
          <w:szCs w:val="24"/>
          <w:shd w:val="clear" w:color="auto" w:fill="FFFFFF"/>
        </w:rPr>
        <w:t>: Criminalization of War Crimes and Current International Humanitarian Law Approaches Drawn from the Nuremberg Principles</w:t>
      </w:r>
    </w:p>
    <w:p w14:paraId="268B86E6" w14:textId="3FA767AA" w:rsidR="00D5576B" w:rsidRDefault="00D5576B" w:rsidP="009C4A24">
      <w:pPr>
        <w:spacing w:line="276" w:lineRule="auto"/>
        <w:jc w:val="both"/>
        <w:rPr>
          <w:rFonts w:ascii="Calibri" w:hAnsi="Calibri" w:cs="Calibri"/>
          <w:color w:val="000000"/>
          <w:sz w:val="24"/>
          <w:szCs w:val="24"/>
          <w:shd w:val="clear" w:color="auto" w:fill="FFFFFF"/>
        </w:rPr>
      </w:pPr>
      <w:r w:rsidRPr="00D5576B">
        <w:rPr>
          <w:rFonts w:ascii="Calibri" w:hAnsi="Calibri" w:cs="Calibri"/>
          <w:color w:val="000000"/>
          <w:sz w:val="24"/>
          <w:szCs w:val="24"/>
          <w:u w:val="single"/>
          <w:shd w:val="clear" w:color="auto" w:fill="FFFFFF"/>
        </w:rPr>
        <w:t>Conference</w:t>
      </w:r>
      <w:r>
        <w:rPr>
          <w:rFonts w:ascii="Calibri" w:hAnsi="Calibri" w:cs="Calibri"/>
          <w:color w:val="000000"/>
          <w:sz w:val="24"/>
          <w:szCs w:val="24"/>
          <w:shd w:val="clear" w:color="auto" w:fill="FFFFFF"/>
        </w:rPr>
        <w:t>: The Nuremberg Principles: The Contemporary Challenges</w:t>
      </w:r>
    </w:p>
    <w:p w14:paraId="2AB40017" w14:textId="77777777" w:rsidR="009C4A24" w:rsidRDefault="009C4A24" w:rsidP="009C4A24">
      <w:pPr>
        <w:spacing w:line="276" w:lineRule="auto"/>
        <w:jc w:val="both"/>
        <w:rPr>
          <w:rFonts w:ascii="Calibri" w:hAnsi="Calibri" w:cs="Calibri"/>
          <w:color w:val="000000"/>
          <w:sz w:val="24"/>
          <w:szCs w:val="24"/>
          <w:shd w:val="clear" w:color="auto" w:fill="FFFFFF"/>
        </w:rPr>
      </w:pPr>
    </w:p>
    <w:p w14:paraId="01D9998B" w14:textId="2C49EA73" w:rsidR="00661F27" w:rsidRPr="009C4A24" w:rsidRDefault="00661F27" w:rsidP="009C4A24">
      <w:pPr>
        <w:spacing w:line="276" w:lineRule="auto"/>
        <w:jc w:val="both"/>
        <w:rPr>
          <w:sz w:val="24"/>
          <w:szCs w:val="24"/>
        </w:rPr>
      </w:pPr>
      <w:r w:rsidRPr="009C4A24">
        <w:rPr>
          <w:rFonts w:ascii="Calibri" w:hAnsi="Calibri" w:cs="Calibri"/>
          <w:color w:val="000000"/>
          <w:sz w:val="24"/>
          <w:szCs w:val="24"/>
          <w:shd w:val="clear" w:color="auto" w:fill="FFFFFF"/>
        </w:rPr>
        <w:t xml:space="preserve">The premise of my </w:t>
      </w:r>
      <w:r w:rsidR="00381AC8" w:rsidRPr="009C4A24">
        <w:rPr>
          <w:rFonts w:ascii="Calibri" w:hAnsi="Calibri" w:cs="Calibri"/>
          <w:color w:val="000000"/>
          <w:sz w:val="24"/>
          <w:szCs w:val="24"/>
          <w:shd w:val="clear" w:color="auto" w:fill="FFFFFF"/>
        </w:rPr>
        <w:t>presentation today</w:t>
      </w:r>
      <w:r w:rsidRPr="009C4A24">
        <w:rPr>
          <w:rFonts w:ascii="Calibri" w:hAnsi="Calibri" w:cs="Calibri"/>
          <w:color w:val="000000"/>
          <w:sz w:val="24"/>
          <w:szCs w:val="24"/>
          <w:shd w:val="clear" w:color="auto" w:fill="FFFFFF"/>
        </w:rPr>
        <w:t xml:space="preserve"> is that the definition of war crimes in the Nuremberg Principles is a </w:t>
      </w:r>
      <w:r w:rsidR="007C2F4B" w:rsidRPr="009C4A24">
        <w:rPr>
          <w:rFonts w:ascii="Calibri" w:hAnsi="Calibri" w:cs="Calibri"/>
          <w:color w:val="000000"/>
          <w:sz w:val="24"/>
          <w:szCs w:val="24"/>
          <w:shd w:val="clear" w:color="auto" w:fill="FFFFFF"/>
        </w:rPr>
        <w:t>‘</w:t>
      </w:r>
      <w:r w:rsidRPr="009C4A24">
        <w:rPr>
          <w:rFonts w:ascii="Calibri" w:hAnsi="Calibri" w:cs="Calibri"/>
          <w:color w:val="000000"/>
          <w:sz w:val="24"/>
          <w:szCs w:val="24"/>
          <w:shd w:val="clear" w:color="auto" w:fill="FFFFFF"/>
        </w:rPr>
        <w:t>mother</w:t>
      </w:r>
      <w:r w:rsidR="007C2F4B" w:rsidRPr="009C4A24">
        <w:rPr>
          <w:rFonts w:ascii="Calibri" w:hAnsi="Calibri" w:cs="Calibri"/>
          <w:color w:val="000000"/>
          <w:sz w:val="24"/>
          <w:szCs w:val="24"/>
          <w:shd w:val="clear" w:color="auto" w:fill="FFFFFF"/>
        </w:rPr>
        <w:t>’</w:t>
      </w:r>
      <w:r w:rsidRPr="009C4A24">
        <w:rPr>
          <w:rFonts w:ascii="Calibri" w:hAnsi="Calibri" w:cs="Calibri"/>
          <w:color w:val="000000"/>
          <w:sz w:val="24"/>
          <w:szCs w:val="24"/>
          <w:shd w:val="clear" w:color="auto" w:fill="FFFFFF"/>
        </w:rPr>
        <w:t xml:space="preserve"> definition, one that can lead to the criminalisation of further violations of </w:t>
      </w:r>
      <w:r w:rsidR="007C2F4B" w:rsidRPr="009C4A24">
        <w:rPr>
          <w:rFonts w:ascii="Calibri" w:hAnsi="Calibri" w:cs="Calibri"/>
          <w:color w:val="000000"/>
          <w:sz w:val="24"/>
          <w:szCs w:val="24"/>
          <w:shd w:val="clear" w:color="auto" w:fill="FFFFFF"/>
        </w:rPr>
        <w:t>international humanitarian law</w:t>
      </w:r>
      <w:r w:rsidR="00381AC8" w:rsidRPr="009C4A24">
        <w:rPr>
          <w:rFonts w:ascii="Calibri" w:hAnsi="Calibri" w:cs="Calibri"/>
          <w:color w:val="000000"/>
          <w:sz w:val="24"/>
          <w:szCs w:val="24"/>
          <w:shd w:val="clear" w:color="auto" w:fill="FFFFFF"/>
        </w:rPr>
        <w:t>. After all,</w:t>
      </w:r>
      <w:r w:rsidR="00B20D5A" w:rsidRPr="009C4A24">
        <w:rPr>
          <w:rFonts w:ascii="Calibri" w:hAnsi="Calibri" w:cs="Calibri"/>
          <w:color w:val="000000"/>
          <w:sz w:val="24"/>
          <w:szCs w:val="24"/>
          <w:shd w:val="clear" w:color="auto" w:fill="FFFFFF"/>
        </w:rPr>
        <w:t xml:space="preserve"> P</w:t>
      </w:r>
      <w:r w:rsidR="00381AC8" w:rsidRPr="009C4A24">
        <w:rPr>
          <w:rFonts w:ascii="Calibri" w:hAnsi="Calibri" w:cs="Calibri"/>
          <w:color w:val="000000"/>
          <w:sz w:val="24"/>
          <w:szCs w:val="24"/>
          <w:shd w:val="clear" w:color="auto" w:fill="FFFFFF"/>
        </w:rPr>
        <w:t>rinciple VI(b) on war crimes starts with ‘[v]</w:t>
      </w:r>
      <w:proofErr w:type="spellStart"/>
      <w:r w:rsidR="00381AC8" w:rsidRPr="009C4A24">
        <w:rPr>
          <w:rFonts w:ascii="Calibri" w:hAnsi="Calibri" w:cs="Calibri"/>
          <w:color w:val="000000"/>
          <w:sz w:val="24"/>
          <w:szCs w:val="24"/>
          <w:shd w:val="clear" w:color="auto" w:fill="FFFFFF"/>
        </w:rPr>
        <w:t>iolations</w:t>
      </w:r>
      <w:proofErr w:type="spellEnd"/>
      <w:r w:rsidR="00381AC8" w:rsidRPr="009C4A24">
        <w:rPr>
          <w:rFonts w:ascii="Calibri" w:hAnsi="Calibri" w:cs="Calibri"/>
          <w:color w:val="000000"/>
          <w:sz w:val="24"/>
          <w:szCs w:val="24"/>
          <w:shd w:val="clear" w:color="auto" w:fill="FFFFFF"/>
        </w:rPr>
        <w:t xml:space="preserve"> of the laws or customs of war which </w:t>
      </w:r>
      <w:proofErr w:type="gramStart"/>
      <w:r w:rsidR="00381AC8" w:rsidRPr="009C4A24">
        <w:rPr>
          <w:rFonts w:ascii="Calibri" w:hAnsi="Calibri" w:cs="Calibri"/>
          <w:color w:val="000000"/>
          <w:sz w:val="24"/>
          <w:szCs w:val="24"/>
          <w:shd w:val="clear" w:color="auto" w:fill="FFFFFF"/>
        </w:rPr>
        <w:t>include, but</w:t>
      </w:r>
      <w:proofErr w:type="gramEnd"/>
      <w:r w:rsidR="00381AC8" w:rsidRPr="009C4A24">
        <w:rPr>
          <w:rFonts w:ascii="Calibri" w:hAnsi="Calibri" w:cs="Calibri"/>
          <w:color w:val="000000"/>
          <w:sz w:val="24"/>
          <w:szCs w:val="24"/>
          <w:shd w:val="clear" w:color="auto" w:fill="FFFFFF"/>
        </w:rPr>
        <w:t xml:space="preserve"> are not limited to’</w:t>
      </w:r>
      <w:r w:rsidR="009F1913" w:rsidRPr="009C4A24">
        <w:rPr>
          <w:rStyle w:val="FootnoteReference"/>
          <w:rFonts w:ascii="Calibri" w:hAnsi="Calibri" w:cs="Calibri"/>
          <w:color w:val="000000"/>
          <w:sz w:val="24"/>
          <w:szCs w:val="24"/>
          <w:shd w:val="clear" w:color="auto" w:fill="FFFFFF"/>
        </w:rPr>
        <w:footnoteReference w:id="1"/>
      </w:r>
      <w:r w:rsidR="00272456" w:rsidRPr="009C4A24">
        <w:rPr>
          <w:rFonts w:ascii="Calibri" w:hAnsi="Calibri" w:cs="Calibri"/>
          <w:color w:val="000000"/>
          <w:sz w:val="24"/>
          <w:szCs w:val="24"/>
          <w:shd w:val="clear" w:color="auto" w:fill="FFFFFF"/>
        </w:rPr>
        <w:t xml:space="preserve"> and is follow</w:t>
      </w:r>
      <w:r w:rsidR="00771E7E" w:rsidRPr="009C4A24">
        <w:rPr>
          <w:rFonts w:ascii="Calibri" w:hAnsi="Calibri" w:cs="Calibri"/>
          <w:color w:val="000000"/>
          <w:sz w:val="24"/>
          <w:szCs w:val="24"/>
          <w:shd w:val="clear" w:color="auto" w:fill="FFFFFF"/>
        </w:rPr>
        <w:t xml:space="preserve">ed </w:t>
      </w:r>
      <w:r w:rsidR="00272456" w:rsidRPr="009C4A24">
        <w:rPr>
          <w:rFonts w:ascii="Calibri" w:hAnsi="Calibri" w:cs="Calibri"/>
          <w:color w:val="000000"/>
          <w:sz w:val="24"/>
          <w:szCs w:val="24"/>
          <w:shd w:val="clear" w:color="auto" w:fill="FFFFFF"/>
        </w:rPr>
        <w:t>by several examples of such crimes</w:t>
      </w:r>
      <w:r w:rsidR="00381AC8" w:rsidRPr="009C4A24">
        <w:rPr>
          <w:rFonts w:ascii="Calibri" w:hAnsi="Calibri" w:cs="Calibri"/>
          <w:color w:val="000000"/>
          <w:sz w:val="24"/>
          <w:szCs w:val="24"/>
          <w:shd w:val="clear" w:color="auto" w:fill="FFFFFF"/>
        </w:rPr>
        <w:t xml:space="preserve">. In other words, </w:t>
      </w:r>
      <w:r w:rsidR="00272456" w:rsidRPr="009C4A24">
        <w:rPr>
          <w:rFonts w:ascii="Calibri" w:hAnsi="Calibri" w:cs="Calibri"/>
          <w:color w:val="000000"/>
          <w:sz w:val="24"/>
          <w:szCs w:val="24"/>
          <w:shd w:val="clear" w:color="auto" w:fill="FFFFFF"/>
        </w:rPr>
        <w:t xml:space="preserve">to be war crimes, </w:t>
      </w:r>
      <w:r w:rsidR="00B20D5A" w:rsidRPr="009C4A24">
        <w:rPr>
          <w:rFonts w:ascii="Calibri" w:hAnsi="Calibri" w:cs="Calibri"/>
          <w:color w:val="000000"/>
          <w:sz w:val="24"/>
          <w:szCs w:val="24"/>
          <w:shd w:val="clear" w:color="auto" w:fill="FFFFFF"/>
        </w:rPr>
        <w:t>acts either fall explicitly in one of these</w:t>
      </w:r>
      <w:r w:rsidR="00272456" w:rsidRPr="009C4A24">
        <w:rPr>
          <w:rFonts w:ascii="Calibri" w:hAnsi="Calibri" w:cs="Calibri"/>
          <w:color w:val="000000"/>
          <w:sz w:val="24"/>
          <w:szCs w:val="24"/>
          <w:shd w:val="clear" w:color="auto" w:fill="FFFFFF"/>
        </w:rPr>
        <w:t xml:space="preserve"> listed</w:t>
      </w:r>
      <w:r w:rsidR="00B20D5A" w:rsidRPr="009C4A24">
        <w:rPr>
          <w:rFonts w:ascii="Calibri" w:hAnsi="Calibri" w:cs="Calibri"/>
          <w:color w:val="000000"/>
          <w:sz w:val="24"/>
          <w:szCs w:val="24"/>
          <w:shd w:val="clear" w:color="auto" w:fill="FFFFFF"/>
        </w:rPr>
        <w:t xml:space="preserve"> categories or are similar </w:t>
      </w:r>
      <w:r w:rsidR="003218A6" w:rsidRPr="009C4A24">
        <w:rPr>
          <w:rFonts w:ascii="Calibri" w:hAnsi="Calibri" w:cs="Calibri"/>
          <w:color w:val="000000"/>
          <w:sz w:val="24"/>
          <w:szCs w:val="24"/>
          <w:shd w:val="clear" w:color="auto" w:fill="FFFFFF"/>
        </w:rPr>
        <w:t>enough to amount to war crimes. I believe that this list can</w:t>
      </w:r>
      <w:r w:rsidRPr="009C4A24">
        <w:rPr>
          <w:rFonts w:ascii="Calibri" w:hAnsi="Calibri" w:cs="Calibri"/>
          <w:color w:val="000000"/>
          <w:sz w:val="24"/>
          <w:szCs w:val="24"/>
          <w:shd w:val="clear" w:color="auto" w:fill="FFFFFF"/>
        </w:rPr>
        <w:t xml:space="preserve"> adapt itself</w:t>
      </w:r>
      <w:r w:rsidR="003218A6" w:rsidRPr="009C4A24">
        <w:rPr>
          <w:rFonts w:ascii="Calibri" w:hAnsi="Calibri" w:cs="Calibri"/>
          <w:color w:val="000000"/>
          <w:sz w:val="24"/>
          <w:szCs w:val="24"/>
          <w:shd w:val="clear" w:color="auto" w:fill="FFFFFF"/>
        </w:rPr>
        <w:t xml:space="preserve"> and easily embrace</w:t>
      </w:r>
      <w:r w:rsidRPr="009C4A24">
        <w:rPr>
          <w:rFonts w:ascii="Calibri" w:hAnsi="Calibri" w:cs="Calibri"/>
          <w:color w:val="000000"/>
          <w:sz w:val="24"/>
          <w:szCs w:val="24"/>
          <w:shd w:val="clear" w:color="auto" w:fill="FFFFFF"/>
        </w:rPr>
        <w:t xml:space="preserve"> a new </w:t>
      </w:r>
      <w:r w:rsidRPr="009C4A24">
        <w:rPr>
          <w:rFonts w:ascii="Calibri" w:hAnsi="Calibri" w:cs="Calibri"/>
          <w:i/>
          <w:iCs/>
          <w:color w:val="000000"/>
          <w:sz w:val="24"/>
          <w:szCs w:val="24"/>
          <w:shd w:val="clear" w:color="auto" w:fill="FFFFFF"/>
        </w:rPr>
        <w:t>Weltanschauung</w:t>
      </w:r>
      <w:r w:rsidRPr="009C4A24">
        <w:rPr>
          <w:rFonts w:ascii="Calibri" w:hAnsi="Calibri" w:cs="Calibri"/>
          <w:color w:val="000000"/>
          <w:sz w:val="24"/>
          <w:szCs w:val="24"/>
          <w:shd w:val="clear" w:color="auto" w:fill="FFFFFF"/>
        </w:rPr>
        <w:t>. </w:t>
      </w:r>
      <w:r w:rsidR="003218A6" w:rsidRPr="009C4A24">
        <w:rPr>
          <w:rFonts w:ascii="Calibri" w:hAnsi="Calibri" w:cs="Calibri"/>
          <w:color w:val="000000"/>
          <w:sz w:val="24"/>
          <w:szCs w:val="24"/>
          <w:shd w:val="clear" w:color="auto" w:fill="FFFFFF"/>
        </w:rPr>
        <w:t xml:space="preserve">To demonstrate this, I </w:t>
      </w:r>
      <w:r w:rsidR="007C2F4B" w:rsidRPr="009C4A24">
        <w:rPr>
          <w:rFonts w:ascii="Calibri" w:hAnsi="Calibri" w:cs="Calibri"/>
          <w:color w:val="000000"/>
          <w:sz w:val="24"/>
          <w:szCs w:val="24"/>
          <w:shd w:val="clear" w:color="auto" w:fill="FFFFFF"/>
        </w:rPr>
        <w:t>pose a</w:t>
      </w:r>
      <w:r w:rsidR="003218A6" w:rsidRPr="009C4A24">
        <w:rPr>
          <w:rFonts w:ascii="Calibri" w:hAnsi="Calibri" w:cs="Calibri"/>
          <w:color w:val="000000"/>
          <w:sz w:val="24"/>
          <w:szCs w:val="24"/>
          <w:shd w:val="clear" w:color="auto" w:fill="FFFFFF"/>
        </w:rPr>
        <w:t xml:space="preserve"> thought experiment. </w:t>
      </w:r>
    </w:p>
    <w:p w14:paraId="2CAF695B" w14:textId="493799DA" w:rsidR="001D438B" w:rsidRPr="009C4A24" w:rsidRDefault="0091252B" w:rsidP="009C4A24">
      <w:pPr>
        <w:spacing w:line="276" w:lineRule="auto"/>
        <w:jc w:val="both"/>
        <w:rPr>
          <w:sz w:val="24"/>
          <w:szCs w:val="24"/>
        </w:rPr>
      </w:pPr>
      <w:r w:rsidRPr="009C4A24">
        <w:rPr>
          <w:sz w:val="24"/>
          <w:szCs w:val="24"/>
        </w:rPr>
        <w:t>Imagine being a judge at the Nuremberg trials</w:t>
      </w:r>
      <w:r w:rsidR="00F70770" w:rsidRPr="009C4A24">
        <w:rPr>
          <w:sz w:val="24"/>
          <w:szCs w:val="24"/>
        </w:rPr>
        <w:t xml:space="preserve">. </w:t>
      </w:r>
      <w:r w:rsidRPr="009C4A24">
        <w:rPr>
          <w:sz w:val="24"/>
          <w:szCs w:val="24"/>
        </w:rPr>
        <w:t>The</w:t>
      </w:r>
      <w:r w:rsidR="00F70770" w:rsidRPr="009C4A24">
        <w:rPr>
          <w:sz w:val="24"/>
          <w:szCs w:val="24"/>
        </w:rPr>
        <w:t xml:space="preserve"> war</w:t>
      </w:r>
      <w:r w:rsidRPr="009C4A24">
        <w:rPr>
          <w:sz w:val="24"/>
          <w:szCs w:val="24"/>
        </w:rPr>
        <w:t xml:space="preserve"> </w:t>
      </w:r>
      <w:r w:rsidR="00220BFF" w:rsidRPr="009C4A24">
        <w:rPr>
          <w:sz w:val="24"/>
          <w:szCs w:val="24"/>
        </w:rPr>
        <w:t>crimes</w:t>
      </w:r>
      <w:r w:rsidRPr="009C4A24">
        <w:rPr>
          <w:sz w:val="24"/>
          <w:szCs w:val="24"/>
        </w:rPr>
        <w:t xml:space="preserve"> you are judging relat</w:t>
      </w:r>
      <w:r w:rsidR="00220BFF" w:rsidRPr="009C4A24">
        <w:rPr>
          <w:sz w:val="24"/>
          <w:szCs w:val="24"/>
        </w:rPr>
        <w:t>e</w:t>
      </w:r>
      <w:r w:rsidRPr="009C4A24">
        <w:rPr>
          <w:sz w:val="24"/>
          <w:szCs w:val="24"/>
        </w:rPr>
        <w:t xml:space="preserve"> mostly to the treatment of prisoners of war, </w:t>
      </w:r>
      <w:r w:rsidR="00F70770" w:rsidRPr="009C4A24">
        <w:rPr>
          <w:sz w:val="24"/>
          <w:szCs w:val="24"/>
        </w:rPr>
        <w:t>the murder of civilians, the plunder of occupied territories</w:t>
      </w:r>
      <w:r w:rsidR="00312365" w:rsidRPr="009C4A24">
        <w:rPr>
          <w:sz w:val="24"/>
          <w:szCs w:val="24"/>
        </w:rPr>
        <w:t>, forced labour, human experimentation, deportation and so on</w:t>
      </w:r>
      <w:r w:rsidRPr="009C4A24">
        <w:rPr>
          <w:sz w:val="24"/>
          <w:szCs w:val="24"/>
        </w:rPr>
        <w:t>. Now</w:t>
      </w:r>
      <w:r w:rsidR="00312365" w:rsidRPr="009C4A24">
        <w:rPr>
          <w:sz w:val="24"/>
          <w:szCs w:val="24"/>
        </w:rPr>
        <w:t>,</w:t>
      </w:r>
      <w:r w:rsidRPr="009C4A24">
        <w:rPr>
          <w:sz w:val="24"/>
          <w:szCs w:val="24"/>
        </w:rPr>
        <w:t xml:space="preserve"> imagine you </w:t>
      </w:r>
      <w:r w:rsidR="00312365" w:rsidRPr="009C4A24">
        <w:rPr>
          <w:sz w:val="24"/>
          <w:szCs w:val="24"/>
        </w:rPr>
        <w:t xml:space="preserve">are </w:t>
      </w:r>
      <w:r w:rsidRPr="009C4A24">
        <w:rPr>
          <w:sz w:val="24"/>
          <w:szCs w:val="24"/>
        </w:rPr>
        <w:t xml:space="preserve">taking a travel machine and you arrive in </w:t>
      </w:r>
      <w:r w:rsidR="007F2F6B" w:rsidRPr="009C4A24">
        <w:rPr>
          <w:sz w:val="24"/>
          <w:szCs w:val="24"/>
        </w:rPr>
        <w:t>2020</w:t>
      </w:r>
      <w:r w:rsidR="00312365" w:rsidRPr="009C4A24">
        <w:rPr>
          <w:sz w:val="24"/>
          <w:szCs w:val="24"/>
        </w:rPr>
        <w:t xml:space="preserve"> </w:t>
      </w:r>
      <w:r w:rsidR="007C2F4B" w:rsidRPr="009C4A24">
        <w:rPr>
          <w:sz w:val="24"/>
          <w:szCs w:val="24"/>
        </w:rPr>
        <w:t>and you are</w:t>
      </w:r>
      <w:r w:rsidR="00312365" w:rsidRPr="009C4A24">
        <w:rPr>
          <w:sz w:val="24"/>
          <w:szCs w:val="24"/>
        </w:rPr>
        <w:t xml:space="preserve"> a judge</w:t>
      </w:r>
      <w:r w:rsidRPr="009C4A24">
        <w:rPr>
          <w:sz w:val="24"/>
          <w:szCs w:val="24"/>
        </w:rPr>
        <w:t xml:space="preserve"> at the International Criminal Court.</w:t>
      </w:r>
      <w:r w:rsidR="00821DE7">
        <w:rPr>
          <w:rStyle w:val="FootnoteReference"/>
          <w:sz w:val="24"/>
          <w:szCs w:val="24"/>
        </w:rPr>
        <w:footnoteReference w:id="2"/>
      </w:r>
      <w:r w:rsidRPr="009C4A24">
        <w:rPr>
          <w:sz w:val="24"/>
          <w:szCs w:val="24"/>
        </w:rPr>
        <w:t xml:space="preserve"> Unlike one of the previous speakers</w:t>
      </w:r>
      <w:r w:rsidR="00312365" w:rsidRPr="009C4A24">
        <w:rPr>
          <w:sz w:val="24"/>
          <w:szCs w:val="24"/>
        </w:rPr>
        <w:t>, Mr</w:t>
      </w:r>
      <w:r w:rsidRPr="009C4A24">
        <w:rPr>
          <w:sz w:val="24"/>
          <w:szCs w:val="24"/>
        </w:rPr>
        <w:t xml:space="preserve"> Benjamin </w:t>
      </w:r>
      <w:proofErr w:type="spellStart"/>
      <w:r w:rsidR="00220BFF" w:rsidRPr="009C4A24">
        <w:rPr>
          <w:sz w:val="24"/>
          <w:szCs w:val="24"/>
        </w:rPr>
        <w:t>F</w:t>
      </w:r>
      <w:r w:rsidRPr="009C4A24">
        <w:rPr>
          <w:sz w:val="24"/>
          <w:szCs w:val="24"/>
        </w:rPr>
        <w:t>erencz</w:t>
      </w:r>
      <w:proofErr w:type="spellEnd"/>
      <w:r w:rsidR="00312365" w:rsidRPr="009C4A24">
        <w:rPr>
          <w:sz w:val="24"/>
          <w:szCs w:val="24"/>
        </w:rPr>
        <w:t>,</w:t>
      </w:r>
      <w:r w:rsidRPr="009C4A24">
        <w:rPr>
          <w:sz w:val="24"/>
          <w:szCs w:val="24"/>
        </w:rPr>
        <w:t xml:space="preserve"> you do</w:t>
      </w:r>
      <w:r w:rsidR="00D5576B">
        <w:rPr>
          <w:sz w:val="24"/>
          <w:szCs w:val="24"/>
        </w:rPr>
        <w:t xml:space="preserve"> </w:t>
      </w:r>
      <w:r w:rsidRPr="009C4A24">
        <w:rPr>
          <w:sz w:val="24"/>
          <w:szCs w:val="24"/>
        </w:rPr>
        <w:t>n</w:t>
      </w:r>
      <w:r w:rsidR="00D5576B">
        <w:rPr>
          <w:sz w:val="24"/>
          <w:szCs w:val="24"/>
        </w:rPr>
        <w:t>o</w:t>
      </w:r>
      <w:r w:rsidRPr="009C4A24">
        <w:rPr>
          <w:sz w:val="24"/>
          <w:szCs w:val="24"/>
        </w:rPr>
        <w:t xml:space="preserve">t have the privilege to have seen the fantastic evolution of </w:t>
      </w:r>
      <w:r w:rsidR="00312365" w:rsidRPr="009C4A24">
        <w:rPr>
          <w:sz w:val="24"/>
          <w:szCs w:val="24"/>
        </w:rPr>
        <w:t>i</w:t>
      </w:r>
      <w:r w:rsidRPr="009C4A24">
        <w:rPr>
          <w:sz w:val="24"/>
          <w:szCs w:val="24"/>
        </w:rPr>
        <w:t xml:space="preserve">nternational </w:t>
      </w:r>
      <w:r w:rsidR="00312365" w:rsidRPr="009C4A24">
        <w:rPr>
          <w:sz w:val="24"/>
          <w:szCs w:val="24"/>
        </w:rPr>
        <w:t>c</w:t>
      </w:r>
      <w:r w:rsidRPr="009C4A24">
        <w:rPr>
          <w:sz w:val="24"/>
          <w:szCs w:val="24"/>
        </w:rPr>
        <w:t xml:space="preserve">riminal </w:t>
      </w:r>
      <w:r w:rsidR="00312365" w:rsidRPr="009C4A24">
        <w:rPr>
          <w:sz w:val="24"/>
          <w:szCs w:val="24"/>
        </w:rPr>
        <w:t>l</w:t>
      </w:r>
      <w:r w:rsidRPr="009C4A24">
        <w:rPr>
          <w:sz w:val="24"/>
          <w:szCs w:val="24"/>
        </w:rPr>
        <w:t xml:space="preserve">aw. </w:t>
      </w:r>
      <w:r w:rsidR="00312365" w:rsidRPr="009C4A24">
        <w:rPr>
          <w:sz w:val="24"/>
          <w:szCs w:val="24"/>
        </w:rPr>
        <w:t>Y</w:t>
      </w:r>
      <w:r w:rsidRPr="009C4A24">
        <w:rPr>
          <w:sz w:val="24"/>
          <w:szCs w:val="24"/>
        </w:rPr>
        <w:t xml:space="preserve">ou also have your </w:t>
      </w:r>
      <w:r w:rsidR="008550A6" w:rsidRPr="009C4A24">
        <w:rPr>
          <w:sz w:val="24"/>
          <w:szCs w:val="24"/>
        </w:rPr>
        <w:t>post-WWII</w:t>
      </w:r>
      <w:r w:rsidR="007F2F6B" w:rsidRPr="009C4A24">
        <w:rPr>
          <w:sz w:val="24"/>
          <w:szCs w:val="24"/>
        </w:rPr>
        <w:t xml:space="preserve"> </w:t>
      </w:r>
      <w:r w:rsidR="007F2F6B" w:rsidRPr="009C4A24">
        <w:rPr>
          <w:i/>
          <w:iCs/>
          <w:sz w:val="24"/>
          <w:szCs w:val="24"/>
        </w:rPr>
        <w:t>Weltanschauung</w:t>
      </w:r>
      <w:r w:rsidR="007C2F4B" w:rsidRPr="00D5576B">
        <w:rPr>
          <w:sz w:val="24"/>
          <w:szCs w:val="24"/>
        </w:rPr>
        <w:t>;</w:t>
      </w:r>
      <w:r w:rsidR="007C2F4B" w:rsidRPr="009C4A24">
        <w:rPr>
          <w:i/>
          <w:iCs/>
          <w:sz w:val="24"/>
          <w:szCs w:val="24"/>
        </w:rPr>
        <w:t xml:space="preserve"> </w:t>
      </w:r>
      <w:r w:rsidR="007C2F4B" w:rsidRPr="009C4A24">
        <w:rPr>
          <w:sz w:val="24"/>
          <w:szCs w:val="24"/>
        </w:rPr>
        <w:t>you view the world</w:t>
      </w:r>
      <w:r w:rsidR="00272456" w:rsidRPr="009C4A24">
        <w:rPr>
          <w:sz w:val="24"/>
          <w:szCs w:val="24"/>
        </w:rPr>
        <w:t xml:space="preserve"> and society</w:t>
      </w:r>
      <w:r w:rsidR="007C2F4B" w:rsidRPr="009C4A24">
        <w:rPr>
          <w:sz w:val="24"/>
          <w:szCs w:val="24"/>
        </w:rPr>
        <w:t xml:space="preserve"> in a certain way</w:t>
      </w:r>
      <w:r w:rsidRPr="009C4A24">
        <w:rPr>
          <w:sz w:val="24"/>
          <w:szCs w:val="24"/>
        </w:rPr>
        <w:t>.</w:t>
      </w:r>
      <w:r w:rsidR="00272456" w:rsidRPr="009C4A24">
        <w:rPr>
          <w:sz w:val="24"/>
          <w:szCs w:val="24"/>
        </w:rPr>
        <w:t xml:space="preserve"> </w:t>
      </w:r>
      <w:r w:rsidRPr="009C4A24">
        <w:rPr>
          <w:sz w:val="24"/>
          <w:szCs w:val="24"/>
        </w:rPr>
        <w:t xml:space="preserve">The person in front of you to be </w:t>
      </w:r>
      <w:r w:rsidR="007F2F6B" w:rsidRPr="009C4A24">
        <w:rPr>
          <w:sz w:val="24"/>
          <w:szCs w:val="24"/>
        </w:rPr>
        <w:t>tried</w:t>
      </w:r>
      <w:r w:rsidRPr="009C4A24">
        <w:rPr>
          <w:sz w:val="24"/>
          <w:szCs w:val="24"/>
        </w:rPr>
        <w:t xml:space="preserve"> is Dominic </w:t>
      </w:r>
      <w:proofErr w:type="spellStart"/>
      <w:r w:rsidRPr="009C4A24">
        <w:rPr>
          <w:sz w:val="24"/>
          <w:szCs w:val="24"/>
        </w:rPr>
        <w:t>Ongwen</w:t>
      </w:r>
      <w:proofErr w:type="spellEnd"/>
      <w:r w:rsidRPr="009C4A24">
        <w:rPr>
          <w:sz w:val="24"/>
          <w:szCs w:val="24"/>
        </w:rPr>
        <w:t xml:space="preserve">. </w:t>
      </w:r>
      <w:r w:rsidR="007C2F4B" w:rsidRPr="009C4A24">
        <w:rPr>
          <w:sz w:val="24"/>
          <w:szCs w:val="24"/>
        </w:rPr>
        <w:t xml:space="preserve">I know we have just talked about him in a previous panel but try to ignore that. </w:t>
      </w:r>
    </w:p>
    <w:p w14:paraId="34A09B6B" w14:textId="7E87CC29" w:rsidR="00C779F1" w:rsidRPr="009C4A24" w:rsidRDefault="001D438B" w:rsidP="009C4A24">
      <w:pPr>
        <w:spacing w:line="276" w:lineRule="auto"/>
        <w:jc w:val="both"/>
        <w:rPr>
          <w:sz w:val="24"/>
          <w:szCs w:val="24"/>
        </w:rPr>
      </w:pPr>
      <w:r w:rsidRPr="009C4A24">
        <w:rPr>
          <w:sz w:val="24"/>
          <w:szCs w:val="24"/>
        </w:rPr>
        <w:t>First, t</w:t>
      </w:r>
      <w:r w:rsidR="007C2F4B" w:rsidRPr="009C4A24">
        <w:rPr>
          <w:sz w:val="24"/>
          <w:szCs w:val="24"/>
        </w:rPr>
        <w:t>he man in front of you is from Uganda</w:t>
      </w:r>
      <w:r w:rsidR="00B023CF" w:rsidRPr="009C4A24">
        <w:rPr>
          <w:sz w:val="24"/>
          <w:szCs w:val="24"/>
        </w:rPr>
        <w:t xml:space="preserve">. </w:t>
      </w:r>
      <w:r w:rsidR="0091252B" w:rsidRPr="009C4A24">
        <w:rPr>
          <w:sz w:val="24"/>
          <w:szCs w:val="24"/>
        </w:rPr>
        <w:t xml:space="preserve">You might be shocked </w:t>
      </w:r>
      <w:r w:rsidR="007F2F6B" w:rsidRPr="009C4A24">
        <w:rPr>
          <w:sz w:val="24"/>
          <w:szCs w:val="24"/>
        </w:rPr>
        <w:t>though probably</w:t>
      </w:r>
      <w:r w:rsidR="0091252B" w:rsidRPr="009C4A24">
        <w:rPr>
          <w:sz w:val="24"/>
          <w:szCs w:val="24"/>
        </w:rPr>
        <w:t xml:space="preserve"> pleased to see that </w:t>
      </w:r>
      <w:r w:rsidR="007F2F6B" w:rsidRPr="009C4A24">
        <w:rPr>
          <w:sz w:val="24"/>
          <w:szCs w:val="24"/>
        </w:rPr>
        <w:t>i</w:t>
      </w:r>
      <w:r w:rsidR="0091252B" w:rsidRPr="009C4A24">
        <w:rPr>
          <w:sz w:val="24"/>
          <w:szCs w:val="24"/>
        </w:rPr>
        <w:t xml:space="preserve">nternational </w:t>
      </w:r>
      <w:r w:rsidR="007F2F6B" w:rsidRPr="009C4A24">
        <w:rPr>
          <w:sz w:val="24"/>
          <w:szCs w:val="24"/>
        </w:rPr>
        <w:t>c</w:t>
      </w:r>
      <w:r w:rsidR="0091252B" w:rsidRPr="009C4A24">
        <w:rPr>
          <w:sz w:val="24"/>
          <w:szCs w:val="24"/>
        </w:rPr>
        <w:t>riminal justice is now administered across the world and that the norms you have drafted are universally applied. After all</w:t>
      </w:r>
      <w:r w:rsidR="007F2F6B" w:rsidRPr="009C4A24">
        <w:rPr>
          <w:sz w:val="24"/>
          <w:szCs w:val="24"/>
        </w:rPr>
        <w:t>,</w:t>
      </w:r>
      <w:r w:rsidR="0091252B" w:rsidRPr="009C4A24">
        <w:rPr>
          <w:sz w:val="24"/>
          <w:szCs w:val="24"/>
        </w:rPr>
        <w:t xml:space="preserve"> you are one of the inventors of the principle of individual criminal liability. </w:t>
      </w:r>
      <w:r w:rsidR="00C779F1" w:rsidRPr="009C4A24">
        <w:rPr>
          <w:sz w:val="24"/>
          <w:szCs w:val="24"/>
        </w:rPr>
        <w:t xml:space="preserve">Nowhere did you </w:t>
      </w:r>
      <w:r w:rsidR="00682FD5" w:rsidRPr="009C4A24">
        <w:rPr>
          <w:sz w:val="24"/>
          <w:szCs w:val="24"/>
        </w:rPr>
        <w:t>confine</w:t>
      </w:r>
      <w:r w:rsidR="00C779F1" w:rsidRPr="009C4A24">
        <w:rPr>
          <w:sz w:val="24"/>
          <w:szCs w:val="24"/>
        </w:rPr>
        <w:t xml:space="preserve"> </w:t>
      </w:r>
      <w:r w:rsidR="001277FB" w:rsidRPr="009C4A24">
        <w:rPr>
          <w:sz w:val="24"/>
          <w:szCs w:val="24"/>
        </w:rPr>
        <w:t>the application of the principle of individual criminal liability</w:t>
      </w:r>
      <w:r w:rsidR="006D48FB" w:rsidRPr="009C4A24">
        <w:rPr>
          <w:sz w:val="24"/>
          <w:szCs w:val="24"/>
        </w:rPr>
        <w:t xml:space="preserve"> to the European continent or German nationals</w:t>
      </w:r>
      <w:r w:rsidR="001277FB" w:rsidRPr="009C4A24">
        <w:rPr>
          <w:sz w:val="24"/>
          <w:szCs w:val="24"/>
        </w:rPr>
        <w:t>.</w:t>
      </w:r>
      <w:r w:rsidR="00682FD5" w:rsidRPr="009C4A24">
        <w:rPr>
          <w:sz w:val="24"/>
          <w:szCs w:val="24"/>
        </w:rPr>
        <w:t xml:space="preserve"> No doubt, the Nuremberg trials did not look into the war crimes committed by the Allies</w:t>
      </w:r>
      <w:r w:rsidR="001C66E3" w:rsidRPr="009C4A24">
        <w:rPr>
          <w:sz w:val="24"/>
          <w:szCs w:val="24"/>
        </w:rPr>
        <w:t xml:space="preserve"> despite the defendants attempting to use the </w:t>
      </w:r>
      <w:proofErr w:type="spellStart"/>
      <w:r w:rsidR="001C66E3" w:rsidRPr="009C4A24">
        <w:rPr>
          <w:i/>
          <w:iCs/>
          <w:sz w:val="24"/>
          <w:szCs w:val="24"/>
        </w:rPr>
        <w:t>tu</w:t>
      </w:r>
      <w:proofErr w:type="spellEnd"/>
      <w:r w:rsidR="001C66E3" w:rsidRPr="009C4A24">
        <w:rPr>
          <w:i/>
          <w:iCs/>
          <w:sz w:val="24"/>
          <w:szCs w:val="24"/>
        </w:rPr>
        <w:t xml:space="preserve"> quoque</w:t>
      </w:r>
      <w:r w:rsidR="00682FD5" w:rsidRPr="009C4A24">
        <w:rPr>
          <w:sz w:val="24"/>
          <w:szCs w:val="24"/>
        </w:rPr>
        <w:t xml:space="preserve"> </w:t>
      </w:r>
      <w:r w:rsidR="001C66E3" w:rsidRPr="009C4A24">
        <w:rPr>
          <w:sz w:val="24"/>
          <w:szCs w:val="24"/>
        </w:rPr>
        <w:t xml:space="preserve">defence, </w:t>
      </w:r>
      <w:r w:rsidR="00682FD5" w:rsidRPr="009C4A24">
        <w:rPr>
          <w:sz w:val="24"/>
          <w:szCs w:val="24"/>
        </w:rPr>
        <w:t xml:space="preserve">but that does not mean that the principle of individual criminal liability was </w:t>
      </w:r>
      <w:r w:rsidR="00F63E42" w:rsidRPr="009C4A24">
        <w:rPr>
          <w:sz w:val="24"/>
          <w:szCs w:val="24"/>
        </w:rPr>
        <w:t xml:space="preserve">solely reserved for a particular set of individuals! </w:t>
      </w:r>
    </w:p>
    <w:p w14:paraId="6100543E" w14:textId="28CBD22A" w:rsidR="001D438B" w:rsidRPr="009C4A24" w:rsidRDefault="00C779F1" w:rsidP="009C4A24">
      <w:pPr>
        <w:spacing w:line="276" w:lineRule="auto"/>
        <w:jc w:val="both"/>
        <w:rPr>
          <w:sz w:val="24"/>
          <w:szCs w:val="24"/>
        </w:rPr>
      </w:pPr>
      <w:r w:rsidRPr="009C4A24">
        <w:rPr>
          <w:sz w:val="24"/>
          <w:szCs w:val="24"/>
        </w:rPr>
        <w:lastRenderedPageBreak/>
        <w:t>Second, you</w:t>
      </w:r>
      <w:r w:rsidR="00FA602F" w:rsidRPr="009C4A24">
        <w:rPr>
          <w:sz w:val="24"/>
          <w:szCs w:val="24"/>
        </w:rPr>
        <w:t xml:space="preserve"> look at the 2016 confirmation of charges</w:t>
      </w:r>
      <w:r w:rsidR="00F63E42" w:rsidRPr="009C4A24">
        <w:rPr>
          <w:sz w:val="24"/>
          <w:szCs w:val="24"/>
        </w:rPr>
        <w:t xml:space="preserve"> against </w:t>
      </w:r>
      <w:proofErr w:type="spellStart"/>
      <w:r w:rsidR="00F63E42" w:rsidRPr="009C4A24">
        <w:rPr>
          <w:sz w:val="24"/>
          <w:szCs w:val="24"/>
        </w:rPr>
        <w:t>Ongwen</w:t>
      </w:r>
      <w:proofErr w:type="spellEnd"/>
      <w:r w:rsidR="009F1913" w:rsidRPr="009C4A24">
        <w:rPr>
          <w:rStyle w:val="FootnoteReference"/>
          <w:sz w:val="24"/>
          <w:szCs w:val="24"/>
        </w:rPr>
        <w:footnoteReference w:id="3"/>
      </w:r>
      <w:r w:rsidR="00FA602F" w:rsidRPr="009C4A24">
        <w:rPr>
          <w:sz w:val="24"/>
          <w:szCs w:val="24"/>
        </w:rPr>
        <w:t xml:space="preserve"> and you are undoubtedly surprised. </w:t>
      </w:r>
    </w:p>
    <w:p w14:paraId="6D49C83F" w14:textId="02947601" w:rsidR="00FA602F" w:rsidRPr="009C4A24" w:rsidRDefault="00C779F1" w:rsidP="009C4A24">
      <w:pPr>
        <w:spacing w:line="276" w:lineRule="auto"/>
        <w:jc w:val="both"/>
        <w:rPr>
          <w:sz w:val="24"/>
          <w:szCs w:val="24"/>
        </w:rPr>
      </w:pPr>
      <w:r w:rsidRPr="009C4A24">
        <w:rPr>
          <w:sz w:val="24"/>
          <w:szCs w:val="24"/>
        </w:rPr>
        <w:t>Y</w:t>
      </w:r>
      <w:r w:rsidR="00FA602F" w:rsidRPr="009C4A24">
        <w:rPr>
          <w:sz w:val="24"/>
          <w:szCs w:val="24"/>
        </w:rPr>
        <w:t xml:space="preserve">ou realise that the acts to be judged were committed in a non-international armed conflict. That is certainly new! </w:t>
      </w:r>
      <w:r w:rsidR="00DF080F" w:rsidRPr="009C4A24">
        <w:rPr>
          <w:sz w:val="24"/>
          <w:szCs w:val="24"/>
        </w:rPr>
        <w:t>Whilst war crimes perpetrated in a civil war had been prosecuted on the national level</w:t>
      </w:r>
      <w:r w:rsidR="00D5576B">
        <w:rPr>
          <w:sz w:val="24"/>
          <w:szCs w:val="24"/>
        </w:rPr>
        <w:t xml:space="preserve"> and the Lieber Code</w:t>
      </w:r>
      <w:r w:rsidR="00821DE7">
        <w:rPr>
          <w:rStyle w:val="FootnoteReference"/>
          <w:sz w:val="24"/>
          <w:szCs w:val="24"/>
        </w:rPr>
        <w:footnoteReference w:id="4"/>
      </w:r>
      <w:r w:rsidR="00D5576B">
        <w:rPr>
          <w:sz w:val="24"/>
          <w:szCs w:val="24"/>
        </w:rPr>
        <w:t xml:space="preserve"> is a testament to the early codification of international humanitarian law in non-international armed conflict</w:t>
      </w:r>
      <w:r w:rsidR="00DF080F" w:rsidRPr="009C4A24">
        <w:rPr>
          <w:sz w:val="24"/>
          <w:szCs w:val="24"/>
        </w:rPr>
        <w:t xml:space="preserve">, the international community had never cast its eyes </w:t>
      </w:r>
      <w:r w:rsidR="00057DEF" w:rsidRPr="009C4A24">
        <w:rPr>
          <w:sz w:val="24"/>
          <w:szCs w:val="24"/>
        </w:rPr>
        <w:t>on crimes perpetrated in a non-international armed conflict</w:t>
      </w:r>
      <w:r w:rsidR="00DF080F" w:rsidRPr="009C4A24">
        <w:rPr>
          <w:sz w:val="24"/>
          <w:szCs w:val="24"/>
        </w:rPr>
        <w:t xml:space="preserve">. </w:t>
      </w:r>
      <w:r w:rsidR="001D438B" w:rsidRPr="009C4A24">
        <w:rPr>
          <w:sz w:val="24"/>
          <w:szCs w:val="24"/>
        </w:rPr>
        <w:t>Yet, you should not be that surprised because Nuremberg was the beginning of the end of sovereignty</w:t>
      </w:r>
      <w:r w:rsidR="00F63E42" w:rsidRPr="009C4A24">
        <w:rPr>
          <w:sz w:val="24"/>
          <w:szCs w:val="24"/>
        </w:rPr>
        <w:t xml:space="preserve"> as you knew it at the time</w:t>
      </w:r>
      <w:r w:rsidR="001D438B" w:rsidRPr="009C4A24">
        <w:rPr>
          <w:sz w:val="24"/>
          <w:szCs w:val="24"/>
        </w:rPr>
        <w:t xml:space="preserve">. As the </w:t>
      </w:r>
      <w:r w:rsidR="00821DE7">
        <w:rPr>
          <w:sz w:val="24"/>
          <w:szCs w:val="24"/>
        </w:rPr>
        <w:t>International Criminal Tribunal for the Former Yugoslavia</w:t>
      </w:r>
      <w:r w:rsidR="00821DE7">
        <w:rPr>
          <w:rStyle w:val="FootnoteReference"/>
          <w:sz w:val="24"/>
          <w:szCs w:val="24"/>
        </w:rPr>
        <w:footnoteReference w:id="5"/>
      </w:r>
      <w:r w:rsidR="001D438B" w:rsidRPr="009C4A24">
        <w:rPr>
          <w:sz w:val="24"/>
          <w:szCs w:val="24"/>
        </w:rPr>
        <w:t xml:space="preserve"> reminded us in the 1995 Interlocutory Appeal on Jurisdiction ‘[a] State-sovereignty-oriented approach has been gradually supplanted by a human-being-oriented approach’</w:t>
      </w:r>
      <w:r w:rsidR="002354FB" w:rsidRPr="009C4A24">
        <w:rPr>
          <w:sz w:val="24"/>
          <w:szCs w:val="24"/>
        </w:rPr>
        <w:t>.</w:t>
      </w:r>
      <w:r w:rsidR="009F1913" w:rsidRPr="009C4A24">
        <w:rPr>
          <w:rStyle w:val="FootnoteReference"/>
          <w:sz w:val="24"/>
          <w:szCs w:val="24"/>
        </w:rPr>
        <w:footnoteReference w:id="6"/>
      </w:r>
      <w:r w:rsidR="00D42485" w:rsidRPr="009C4A24">
        <w:rPr>
          <w:sz w:val="24"/>
          <w:szCs w:val="24"/>
        </w:rPr>
        <w:t xml:space="preserve"> T</w:t>
      </w:r>
      <w:r w:rsidR="002354FB" w:rsidRPr="009C4A24">
        <w:rPr>
          <w:sz w:val="24"/>
          <w:szCs w:val="24"/>
        </w:rPr>
        <w:t>hat a person</w:t>
      </w:r>
      <w:r w:rsidR="00D42485" w:rsidRPr="009C4A24">
        <w:rPr>
          <w:sz w:val="24"/>
          <w:szCs w:val="24"/>
        </w:rPr>
        <w:t xml:space="preserve">’s dignity be attacked in an international or non-international armed conflict should not matter. You, the Nuremberg judge, would certainly agree with this statement. </w:t>
      </w:r>
    </w:p>
    <w:p w14:paraId="1829F609" w14:textId="52D8385A" w:rsidR="00BD2B9C" w:rsidRPr="009C4A24" w:rsidRDefault="00D42485" w:rsidP="009C4A24">
      <w:pPr>
        <w:spacing w:line="276" w:lineRule="auto"/>
        <w:jc w:val="both"/>
        <w:rPr>
          <w:sz w:val="24"/>
          <w:szCs w:val="24"/>
        </w:rPr>
      </w:pPr>
      <w:r w:rsidRPr="009C4A24">
        <w:rPr>
          <w:sz w:val="24"/>
          <w:szCs w:val="24"/>
        </w:rPr>
        <w:t xml:space="preserve">Now, you look at the charges, </w:t>
      </w:r>
      <w:r w:rsidR="001D438B" w:rsidRPr="009C4A24">
        <w:rPr>
          <w:sz w:val="24"/>
          <w:szCs w:val="24"/>
        </w:rPr>
        <w:t>and this will be the focus of my presentation, t</w:t>
      </w:r>
      <w:r w:rsidR="00DC74FE" w:rsidRPr="009C4A24">
        <w:rPr>
          <w:sz w:val="24"/>
          <w:szCs w:val="24"/>
        </w:rPr>
        <w:t>here is a long</w:t>
      </w:r>
      <w:r w:rsidR="0091252B" w:rsidRPr="009C4A24">
        <w:rPr>
          <w:sz w:val="24"/>
          <w:szCs w:val="24"/>
        </w:rPr>
        <w:t xml:space="preserve"> section</w:t>
      </w:r>
      <w:r w:rsidR="00DC74FE" w:rsidRPr="009C4A24">
        <w:rPr>
          <w:sz w:val="24"/>
          <w:szCs w:val="24"/>
        </w:rPr>
        <w:t xml:space="preserve"> of 20 pages</w:t>
      </w:r>
      <w:r w:rsidR="0091252B" w:rsidRPr="009C4A24">
        <w:rPr>
          <w:sz w:val="24"/>
          <w:szCs w:val="24"/>
        </w:rPr>
        <w:t xml:space="preserve"> </w:t>
      </w:r>
      <w:r w:rsidR="00DC74FE" w:rsidRPr="009C4A24">
        <w:rPr>
          <w:sz w:val="24"/>
          <w:szCs w:val="24"/>
        </w:rPr>
        <w:t>called</w:t>
      </w:r>
      <w:r w:rsidR="0091252B" w:rsidRPr="009C4A24">
        <w:rPr>
          <w:sz w:val="24"/>
          <w:szCs w:val="24"/>
        </w:rPr>
        <w:t xml:space="preserve"> </w:t>
      </w:r>
      <w:r w:rsidR="00817DCF" w:rsidRPr="009C4A24">
        <w:rPr>
          <w:sz w:val="24"/>
          <w:szCs w:val="24"/>
        </w:rPr>
        <w:t>‘</w:t>
      </w:r>
      <w:r w:rsidR="0091252B" w:rsidRPr="009C4A24">
        <w:rPr>
          <w:sz w:val="24"/>
          <w:szCs w:val="24"/>
        </w:rPr>
        <w:t xml:space="preserve">sexual and </w:t>
      </w:r>
      <w:r w:rsidR="005962F4" w:rsidRPr="009C4A24">
        <w:rPr>
          <w:sz w:val="24"/>
          <w:szCs w:val="24"/>
        </w:rPr>
        <w:t>gender-based</w:t>
      </w:r>
      <w:r w:rsidR="0091252B" w:rsidRPr="009C4A24">
        <w:rPr>
          <w:sz w:val="24"/>
          <w:szCs w:val="24"/>
        </w:rPr>
        <w:t xml:space="preserve"> crimes</w:t>
      </w:r>
      <w:r w:rsidR="00817DCF" w:rsidRPr="009C4A24">
        <w:rPr>
          <w:sz w:val="24"/>
          <w:szCs w:val="24"/>
        </w:rPr>
        <w:t>’,</w:t>
      </w:r>
      <w:r w:rsidR="0091252B" w:rsidRPr="009C4A24">
        <w:rPr>
          <w:sz w:val="24"/>
          <w:szCs w:val="24"/>
        </w:rPr>
        <w:t xml:space="preserve"> </w:t>
      </w:r>
      <w:r w:rsidR="00817DCF" w:rsidRPr="009C4A24">
        <w:rPr>
          <w:sz w:val="24"/>
          <w:szCs w:val="24"/>
        </w:rPr>
        <w:t>and</w:t>
      </w:r>
      <w:r w:rsidR="0091252B" w:rsidRPr="009C4A24">
        <w:rPr>
          <w:sz w:val="24"/>
          <w:szCs w:val="24"/>
        </w:rPr>
        <w:t xml:space="preserve"> another</w:t>
      </w:r>
      <w:r w:rsidR="00BD2B9C" w:rsidRPr="009C4A24">
        <w:rPr>
          <w:sz w:val="24"/>
          <w:szCs w:val="24"/>
        </w:rPr>
        <w:t>, shorter,</w:t>
      </w:r>
      <w:r w:rsidR="0091252B" w:rsidRPr="009C4A24">
        <w:rPr>
          <w:sz w:val="24"/>
          <w:szCs w:val="24"/>
        </w:rPr>
        <w:t xml:space="preserve"> </w:t>
      </w:r>
      <w:r w:rsidR="00817DCF" w:rsidRPr="009C4A24">
        <w:rPr>
          <w:sz w:val="24"/>
          <w:szCs w:val="24"/>
        </w:rPr>
        <w:t>one on ‘</w:t>
      </w:r>
      <w:r w:rsidR="0091252B" w:rsidRPr="009C4A24">
        <w:rPr>
          <w:sz w:val="24"/>
          <w:szCs w:val="24"/>
        </w:rPr>
        <w:t>conscription an</w:t>
      </w:r>
      <w:r w:rsidR="00817DCF" w:rsidRPr="009C4A24">
        <w:rPr>
          <w:sz w:val="24"/>
          <w:szCs w:val="24"/>
        </w:rPr>
        <w:t>d</w:t>
      </w:r>
      <w:r w:rsidR="0091252B" w:rsidRPr="009C4A24">
        <w:rPr>
          <w:sz w:val="24"/>
          <w:szCs w:val="24"/>
        </w:rPr>
        <w:t xml:space="preserve"> us</w:t>
      </w:r>
      <w:r w:rsidR="00817DCF" w:rsidRPr="009C4A24">
        <w:rPr>
          <w:sz w:val="24"/>
          <w:szCs w:val="24"/>
        </w:rPr>
        <w:t xml:space="preserve">e </w:t>
      </w:r>
      <w:r w:rsidR="0091252B" w:rsidRPr="009C4A24">
        <w:rPr>
          <w:sz w:val="24"/>
          <w:szCs w:val="24"/>
        </w:rPr>
        <w:t>in hostilities of children under the age of 15</w:t>
      </w:r>
      <w:r w:rsidR="00817DCF" w:rsidRPr="009C4A24">
        <w:rPr>
          <w:sz w:val="24"/>
          <w:szCs w:val="24"/>
        </w:rPr>
        <w:t>’</w:t>
      </w:r>
      <w:r w:rsidR="0091252B" w:rsidRPr="009C4A24">
        <w:rPr>
          <w:sz w:val="24"/>
          <w:szCs w:val="24"/>
        </w:rPr>
        <w:t>.</w:t>
      </w:r>
      <w:r w:rsidR="00817DCF" w:rsidRPr="009C4A24">
        <w:rPr>
          <w:sz w:val="24"/>
          <w:szCs w:val="24"/>
        </w:rPr>
        <w:t xml:space="preserve"> These are certainly not crimes you </w:t>
      </w:r>
      <w:r w:rsidR="005962F4" w:rsidRPr="009C4A24">
        <w:rPr>
          <w:sz w:val="24"/>
          <w:szCs w:val="24"/>
        </w:rPr>
        <w:t>recognise</w:t>
      </w:r>
      <w:r w:rsidR="00661F27" w:rsidRPr="009C4A24">
        <w:rPr>
          <w:sz w:val="24"/>
          <w:szCs w:val="24"/>
        </w:rPr>
        <w:t xml:space="preserve"> but</w:t>
      </w:r>
      <w:r w:rsidR="006F583C" w:rsidRPr="009C4A24">
        <w:rPr>
          <w:sz w:val="24"/>
          <w:szCs w:val="24"/>
        </w:rPr>
        <w:t xml:space="preserve"> </w:t>
      </w:r>
      <w:r w:rsidR="00661F27" w:rsidRPr="009C4A24">
        <w:rPr>
          <w:sz w:val="24"/>
          <w:szCs w:val="24"/>
        </w:rPr>
        <w:t xml:space="preserve">you would not feel uncomfortable with them because </w:t>
      </w:r>
      <w:r w:rsidR="00381AC8" w:rsidRPr="009C4A24">
        <w:rPr>
          <w:sz w:val="24"/>
          <w:szCs w:val="24"/>
        </w:rPr>
        <w:t>they fall within categories you are familiar with</w:t>
      </w:r>
      <w:r w:rsidR="009F1913" w:rsidRPr="009C4A24">
        <w:rPr>
          <w:sz w:val="24"/>
          <w:szCs w:val="24"/>
        </w:rPr>
        <w:t xml:space="preserve"> and</w:t>
      </w:r>
      <w:r w:rsidR="00D5576B">
        <w:rPr>
          <w:sz w:val="24"/>
          <w:szCs w:val="24"/>
        </w:rPr>
        <w:t>, quite remarkably,</w:t>
      </w:r>
      <w:r w:rsidR="009F1913" w:rsidRPr="009C4A24">
        <w:rPr>
          <w:sz w:val="24"/>
          <w:szCs w:val="24"/>
        </w:rPr>
        <w:t xml:space="preserve"> the facts are not unknown to you</w:t>
      </w:r>
      <w:r w:rsidR="00817DCF" w:rsidRPr="009C4A24">
        <w:rPr>
          <w:sz w:val="24"/>
          <w:szCs w:val="24"/>
        </w:rPr>
        <w:t xml:space="preserve">. </w:t>
      </w:r>
    </w:p>
    <w:p w14:paraId="216A0ED7" w14:textId="5C2D61D1" w:rsidR="009F1913" w:rsidRPr="009C4A24" w:rsidRDefault="00D42485" w:rsidP="009C4A24">
      <w:pPr>
        <w:spacing w:line="276" w:lineRule="auto"/>
        <w:jc w:val="both"/>
        <w:rPr>
          <w:sz w:val="24"/>
          <w:szCs w:val="24"/>
        </w:rPr>
      </w:pPr>
      <w:r w:rsidRPr="009C4A24">
        <w:rPr>
          <w:sz w:val="24"/>
          <w:szCs w:val="24"/>
        </w:rPr>
        <w:t xml:space="preserve">Let us start with sexual and gender-based crimes. </w:t>
      </w:r>
      <w:r w:rsidR="001C66E3" w:rsidRPr="009C4A24">
        <w:rPr>
          <w:sz w:val="24"/>
          <w:szCs w:val="24"/>
        </w:rPr>
        <w:t xml:space="preserve">As a matter of fact, you, the Nuremberg judge would not be that surprised because both the French and Soviet prosecutors introduced evidence of rape </w:t>
      </w:r>
      <w:r w:rsidR="00817DCF" w:rsidRPr="009C4A24">
        <w:rPr>
          <w:sz w:val="24"/>
          <w:szCs w:val="24"/>
        </w:rPr>
        <w:t>at the Nuremberg trial</w:t>
      </w:r>
      <w:r w:rsidR="001C66E3" w:rsidRPr="009C4A24">
        <w:rPr>
          <w:sz w:val="24"/>
          <w:szCs w:val="24"/>
        </w:rPr>
        <w:t>.</w:t>
      </w:r>
      <w:r w:rsidR="009F1913" w:rsidRPr="009C4A24">
        <w:rPr>
          <w:rStyle w:val="FootnoteReference"/>
          <w:sz w:val="24"/>
          <w:szCs w:val="24"/>
        </w:rPr>
        <w:footnoteReference w:id="7"/>
      </w:r>
      <w:r w:rsidR="001C66E3" w:rsidRPr="009C4A24">
        <w:rPr>
          <w:sz w:val="24"/>
          <w:szCs w:val="24"/>
        </w:rPr>
        <w:t xml:space="preserve"> There was </w:t>
      </w:r>
      <w:r w:rsidR="006F583C" w:rsidRPr="009C4A24">
        <w:rPr>
          <w:sz w:val="24"/>
          <w:szCs w:val="24"/>
        </w:rPr>
        <w:t xml:space="preserve">a </w:t>
      </w:r>
      <w:r w:rsidR="001C66E3" w:rsidRPr="009C4A24">
        <w:rPr>
          <w:sz w:val="24"/>
          <w:szCs w:val="24"/>
        </w:rPr>
        <w:t>great</w:t>
      </w:r>
      <w:r w:rsidRPr="009C4A24">
        <w:rPr>
          <w:sz w:val="24"/>
          <w:szCs w:val="24"/>
        </w:rPr>
        <w:t xml:space="preserve"> aware</w:t>
      </w:r>
      <w:r w:rsidR="001C66E3" w:rsidRPr="009C4A24">
        <w:rPr>
          <w:sz w:val="24"/>
          <w:szCs w:val="24"/>
        </w:rPr>
        <w:t>ness</w:t>
      </w:r>
      <w:r w:rsidRPr="009C4A24">
        <w:rPr>
          <w:sz w:val="24"/>
          <w:szCs w:val="24"/>
        </w:rPr>
        <w:t xml:space="preserve"> of</w:t>
      </w:r>
      <w:r w:rsidR="00817DCF" w:rsidRPr="009C4A24">
        <w:rPr>
          <w:sz w:val="24"/>
          <w:szCs w:val="24"/>
        </w:rPr>
        <w:t xml:space="preserve"> the sexual violence that </w:t>
      </w:r>
      <w:r w:rsidRPr="009C4A24">
        <w:rPr>
          <w:sz w:val="24"/>
          <w:szCs w:val="24"/>
        </w:rPr>
        <w:t xml:space="preserve">Soviet, in fact Ukrainian, </w:t>
      </w:r>
      <w:r w:rsidR="00817DCF" w:rsidRPr="009C4A24">
        <w:rPr>
          <w:sz w:val="24"/>
          <w:szCs w:val="24"/>
        </w:rPr>
        <w:t>women</w:t>
      </w:r>
      <w:r w:rsidR="001C66E3" w:rsidRPr="009C4A24">
        <w:rPr>
          <w:sz w:val="24"/>
          <w:szCs w:val="24"/>
        </w:rPr>
        <w:t xml:space="preserve"> had</w:t>
      </w:r>
      <w:r w:rsidR="00817DCF" w:rsidRPr="009C4A24">
        <w:rPr>
          <w:sz w:val="24"/>
          <w:szCs w:val="24"/>
        </w:rPr>
        <w:t xml:space="preserve"> suffered at the hands of the German forces. </w:t>
      </w:r>
      <w:r w:rsidR="001C66E3" w:rsidRPr="009C4A24">
        <w:rPr>
          <w:sz w:val="24"/>
          <w:szCs w:val="24"/>
        </w:rPr>
        <w:t>Yet, the word rape does not occur a single time in the judgment.</w:t>
      </w:r>
      <w:r w:rsidR="00817DCF" w:rsidRPr="009C4A24">
        <w:rPr>
          <w:sz w:val="24"/>
          <w:szCs w:val="24"/>
        </w:rPr>
        <w:t xml:space="preserve"> </w:t>
      </w:r>
      <w:r w:rsidR="007F2F6B" w:rsidRPr="009C4A24">
        <w:rPr>
          <w:sz w:val="24"/>
          <w:szCs w:val="24"/>
        </w:rPr>
        <w:t>C</w:t>
      </w:r>
      <w:r w:rsidR="00817DCF" w:rsidRPr="009C4A24">
        <w:rPr>
          <w:sz w:val="24"/>
          <w:szCs w:val="24"/>
        </w:rPr>
        <w:t>rimes against women or crimes of a sexual nature were not deemed important</w:t>
      </w:r>
      <w:r w:rsidR="00057DEF" w:rsidRPr="009C4A24">
        <w:rPr>
          <w:sz w:val="24"/>
          <w:szCs w:val="24"/>
        </w:rPr>
        <w:t xml:space="preserve"> and </w:t>
      </w:r>
      <w:r w:rsidR="00D5576B">
        <w:rPr>
          <w:sz w:val="24"/>
          <w:szCs w:val="24"/>
        </w:rPr>
        <w:t xml:space="preserve">were </w:t>
      </w:r>
      <w:r w:rsidR="00057DEF" w:rsidRPr="009C4A24">
        <w:rPr>
          <w:sz w:val="24"/>
          <w:szCs w:val="24"/>
        </w:rPr>
        <w:t>often</w:t>
      </w:r>
      <w:r w:rsidR="00817DCF" w:rsidRPr="009C4A24">
        <w:rPr>
          <w:sz w:val="24"/>
          <w:szCs w:val="24"/>
        </w:rPr>
        <w:t xml:space="preserve"> mischaracterised as private </w:t>
      </w:r>
      <w:r w:rsidR="00D5576B">
        <w:rPr>
          <w:sz w:val="24"/>
          <w:szCs w:val="24"/>
        </w:rPr>
        <w:t>matters</w:t>
      </w:r>
      <w:r w:rsidR="00817DCF" w:rsidRPr="009C4A24">
        <w:rPr>
          <w:sz w:val="24"/>
          <w:szCs w:val="24"/>
        </w:rPr>
        <w:t xml:space="preserve">, unrelated to the </w:t>
      </w:r>
      <w:r w:rsidR="007F2F6B" w:rsidRPr="009C4A24">
        <w:rPr>
          <w:sz w:val="24"/>
          <w:szCs w:val="24"/>
        </w:rPr>
        <w:t xml:space="preserve">armed </w:t>
      </w:r>
      <w:r w:rsidR="00817DCF" w:rsidRPr="009C4A24">
        <w:rPr>
          <w:sz w:val="24"/>
          <w:szCs w:val="24"/>
        </w:rPr>
        <w:t xml:space="preserve">conflict. </w:t>
      </w:r>
      <w:r w:rsidR="007F2F6B" w:rsidRPr="009C4A24">
        <w:rPr>
          <w:sz w:val="24"/>
          <w:szCs w:val="24"/>
        </w:rPr>
        <w:t>You, the</w:t>
      </w:r>
      <w:r w:rsidR="00817DCF" w:rsidRPr="009C4A24">
        <w:rPr>
          <w:sz w:val="24"/>
          <w:szCs w:val="24"/>
        </w:rPr>
        <w:t xml:space="preserve"> Nuremberg judge</w:t>
      </w:r>
      <w:r w:rsidR="007F2F6B" w:rsidRPr="009C4A24">
        <w:rPr>
          <w:sz w:val="24"/>
          <w:szCs w:val="24"/>
        </w:rPr>
        <w:t>,</w:t>
      </w:r>
      <w:r w:rsidR="00817DCF" w:rsidRPr="009C4A24">
        <w:rPr>
          <w:sz w:val="24"/>
          <w:szCs w:val="24"/>
        </w:rPr>
        <w:t xml:space="preserve"> would </w:t>
      </w:r>
      <w:r w:rsidR="009F1913" w:rsidRPr="009C4A24">
        <w:rPr>
          <w:sz w:val="24"/>
          <w:szCs w:val="24"/>
        </w:rPr>
        <w:t>have to understand this change in mentality. Nowadays we understand that sexual violence in armed conflict is not a by-product of war, it is not anymore ‘regarded as being no more than an inevitable consequence of war’.</w:t>
      </w:r>
      <w:r w:rsidR="009F1913" w:rsidRPr="009C4A24">
        <w:rPr>
          <w:rStyle w:val="FootnoteReference"/>
          <w:sz w:val="24"/>
          <w:szCs w:val="24"/>
        </w:rPr>
        <w:footnoteReference w:id="8"/>
      </w:r>
      <w:r w:rsidR="009F1913" w:rsidRPr="009C4A24">
        <w:rPr>
          <w:sz w:val="24"/>
          <w:szCs w:val="24"/>
        </w:rPr>
        <w:t xml:space="preserve"> It is often ‘a weapon of war’.</w:t>
      </w:r>
      <w:r w:rsidR="00C35B25">
        <w:rPr>
          <w:rStyle w:val="FootnoteReference"/>
          <w:sz w:val="24"/>
          <w:szCs w:val="24"/>
        </w:rPr>
        <w:footnoteReference w:id="9"/>
      </w:r>
      <w:r w:rsidR="009F1913" w:rsidRPr="009C4A24">
        <w:rPr>
          <w:sz w:val="24"/>
          <w:szCs w:val="24"/>
        </w:rPr>
        <w:t xml:space="preserve"> </w:t>
      </w:r>
      <w:r w:rsidR="00465125" w:rsidRPr="009C4A24">
        <w:rPr>
          <w:sz w:val="24"/>
          <w:szCs w:val="24"/>
        </w:rPr>
        <w:t xml:space="preserve">The case of </w:t>
      </w:r>
      <w:r w:rsidR="00465125" w:rsidRPr="009C4A24">
        <w:rPr>
          <w:i/>
          <w:iCs/>
          <w:sz w:val="24"/>
          <w:szCs w:val="24"/>
        </w:rPr>
        <w:t xml:space="preserve">Bemba </w:t>
      </w:r>
      <w:r w:rsidR="00465125" w:rsidRPr="009C4A24">
        <w:rPr>
          <w:sz w:val="24"/>
          <w:szCs w:val="24"/>
        </w:rPr>
        <w:t>before the ICC illustrates the point. First, it acknowledged that s</w:t>
      </w:r>
      <w:r w:rsidR="009F1913" w:rsidRPr="009C4A24">
        <w:rPr>
          <w:sz w:val="24"/>
          <w:szCs w:val="24"/>
        </w:rPr>
        <w:t xml:space="preserve">exual violence does not only affect women but also men. </w:t>
      </w:r>
      <w:r w:rsidR="006F583C" w:rsidRPr="009C4A24">
        <w:rPr>
          <w:sz w:val="24"/>
          <w:szCs w:val="24"/>
        </w:rPr>
        <w:t>T</w:t>
      </w:r>
      <w:r w:rsidR="009F1913" w:rsidRPr="009C4A24">
        <w:rPr>
          <w:sz w:val="24"/>
          <w:szCs w:val="24"/>
        </w:rPr>
        <w:t xml:space="preserve">he ICC heard testimonies about men being raped, thereby emphasising that </w:t>
      </w:r>
      <w:r w:rsidR="009F1913" w:rsidRPr="009C4A24">
        <w:rPr>
          <w:sz w:val="24"/>
          <w:szCs w:val="24"/>
        </w:rPr>
        <w:lastRenderedPageBreak/>
        <w:t>sexual violence is a gender-neutral crime.</w:t>
      </w:r>
      <w:r w:rsidR="00465125" w:rsidRPr="009C4A24">
        <w:rPr>
          <w:sz w:val="24"/>
          <w:szCs w:val="24"/>
        </w:rPr>
        <w:t xml:space="preserve"> </w:t>
      </w:r>
      <w:r w:rsidR="006F583C" w:rsidRPr="009C4A24">
        <w:rPr>
          <w:sz w:val="24"/>
          <w:szCs w:val="24"/>
        </w:rPr>
        <w:t>The Court</w:t>
      </w:r>
      <w:r w:rsidR="00DB6A0D" w:rsidRPr="009C4A24">
        <w:rPr>
          <w:sz w:val="24"/>
          <w:szCs w:val="24"/>
        </w:rPr>
        <w:t xml:space="preserve"> noted that such crimes were committed ‘without regard for age, gender or social status’.</w:t>
      </w:r>
      <w:r w:rsidR="00DB6A0D" w:rsidRPr="009C4A24">
        <w:rPr>
          <w:rStyle w:val="FootnoteReference"/>
          <w:sz w:val="24"/>
          <w:szCs w:val="24"/>
        </w:rPr>
        <w:footnoteReference w:id="10"/>
      </w:r>
      <w:r w:rsidR="00DB6A0D" w:rsidRPr="009C4A24">
        <w:rPr>
          <w:sz w:val="24"/>
          <w:szCs w:val="24"/>
        </w:rPr>
        <w:t xml:space="preserve"> </w:t>
      </w:r>
      <w:r w:rsidR="00465125" w:rsidRPr="009C4A24">
        <w:rPr>
          <w:sz w:val="24"/>
          <w:szCs w:val="24"/>
        </w:rPr>
        <w:t>Second, the Court discussed in great depth the long-term effects of the rapes; not only did it mention the various psychological and physical consequences of these crimes but also the social impact and legacy they had</w:t>
      </w:r>
      <w:r w:rsidR="00DB6A0D" w:rsidRPr="009C4A24">
        <w:rPr>
          <w:sz w:val="24"/>
          <w:szCs w:val="24"/>
        </w:rPr>
        <w:t>.</w:t>
      </w:r>
      <w:r w:rsidR="00465125" w:rsidRPr="009C4A24">
        <w:rPr>
          <w:rStyle w:val="FootnoteReference"/>
          <w:rFonts w:ascii="Open Sans" w:hAnsi="Open Sans" w:cs="Open Sans"/>
          <w:color w:val="58595B"/>
          <w:sz w:val="24"/>
          <w:szCs w:val="24"/>
        </w:rPr>
        <w:footnoteReference w:id="11"/>
      </w:r>
      <w:r w:rsidR="00DB6A0D" w:rsidRPr="009C4A24">
        <w:rPr>
          <w:sz w:val="24"/>
          <w:szCs w:val="24"/>
        </w:rPr>
        <w:t xml:space="preserve"> And third, the Court set out the various reasons why sexual violence is committed</w:t>
      </w:r>
      <w:r w:rsidR="00C9112E" w:rsidRPr="009C4A24">
        <w:rPr>
          <w:sz w:val="24"/>
          <w:szCs w:val="24"/>
        </w:rPr>
        <w:t>.</w:t>
      </w:r>
      <w:r w:rsidR="00C9112E" w:rsidRPr="009C4A24">
        <w:rPr>
          <w:rStyle w:val="FootnoteReference"/>
          <w:sz w:val="24"/>
          <w:szCs w:val="24"/>
        </w:rPr>
        <w:footnoteReference w:id="12"/>
      </w:r>
      <w:r w:rsidR="00C9112E" w:rsidRPr="009C4A24">
        <w:rPr>
          <w:sz w:val="24"/>
          <w:szCs w:val="24"/>
        </w:rPr>
        <w:t xml:space="preserve"> Clearly</w:t>
      </w:r>
      <w:r w:rsidR="006F583C" w:rsidRPr="009C4A24">
        <w:rPr>
          <w:sz w:val="24"/>
          <w:szCs w:val="24"/>
        </w:rPr>
        <w:t>,</w:t>
      </w:r>
      <w:r w:rsidR="00C9112E" w:rsidRPr="009C4A24">
        <w:rPr>
          <w:sz w:val="24"/>
          <w:szCs w:val="24"/>
        </w:rPr>
        <w:t xml:space="preserve"> the rapes were</w:t>
      </w:r>
      <w:r w:rsidR="008550A6" w:rsidRPr="009C4A24">
        <w:rPr>
          <w:sz w:val="24"/>
          <w:szCs w:val="24"/>
        </w:rPr>
        <w:t>/are</w:t>
      </w:r>
      <w:r w:rsidR="00C9112E" w:rsidRPr="009C4A24">
        <w:rPr>
          <w:sz w:val="24"/>
          <w:szCs w:val="24"/>
        </w:rPr>
        <w:t xml:space="preserve"> not a private matter.</w:t>
      </w:r>
    </w:p>
    <w:p w14:paraId="751DCCDA" w14:textId="06790E7B" w:rsidR="00C9112E" w:rsidRPr="009C4A24" w:rsidRDefault="009F1913" w:rsidP="009C4A24">
      <w:pPr>
        <w:spacing w:line="276" w:lineRule="auto"/>
        <w:jc w:val="both"/>
        <w:rPr>
          <w:sz w:val="24"/>
          <w:szCs w:val="24"/>
        </w:rPr>
      </w:pPr>
      <w:r w:rsidRPr="009C4A24">
        <w:rPr>
          <w:sz w:val="24"/>
          <w:szCs w:val="24"/>
        </w:rPr>
        <w:t>You</w:t>
      </w:r>
      <w:r w:rsidR="00C9112E" w:rsidRPr="009C4A24">
        <w:rPr>
          <w:sz w:val="24"/>
          <w:szCs w:val="24"/>
        </w:rPr>
        <w:t>, the Nuremberg judge,</w:t>
      </w:r>
      <w:r w:rsidRPr="009C4A24">
        <w:rPr>
          <w:sz w:val="24"/>
          <w:szCs w:val="24"/>
        </w:rPr>
        <w:t xml:space="preserve"> would be even more surprised</w:t>
      </w:r>
      <w:r w:rsidR="00817DCF" w:rsidRPr="009C4A24">
        <w:rPr>
          <w:sz w:val="24"/>
          <w:szCs w:val="24"/>
        </w:rPr>
        <w:t xml:space="preserve"> </w:t>
      </w:r>
      <w:r w:rsidR="008550A6" w:rsidRPr="009C4A24">
        <w:rPr>
          <w:sz w:val="24"/>
          <w:szCs w:val="24"/>
        </w:rPr>
        <w:t>by</w:t>
      </w:r>
      <w:r w:rsidR="00057DEF" w:rsidRPr="009C4A24">
        <w:rPr>
          <w:sz w:val="24"/>
          <w:szCs w:val="24"/>
        </w:rPr>
        <w:t xml:space="preserve"> the</w:t>
      </w:r>
      <w:r w:rsidR="007F2F6B" w:rsidRPr="009C4A24">
        <w:rPr>
          <w:sz w:val="24"/>
          <w:szCs w:val="24"/>
        </w:rPr>
        <w:t xml:space="preserve"> </w:t>
      </w:r>
      <w:r w:rsidR="00817DCF" w:rsidRPr="009C4A24">
        <w:rPr>
          <w:sz w:val="24"/>
          <w:szCs w:val="24"/>
        </w:rPr>
        <w:t xml:space="preserve">rich jurisprudence </w:t>
      </w:r>
      <w:r w:rsidR="007F2F6B" w:rsidRPr="009C4A24">
        <w:rPr>
          <w:sz w:val="24"/>
          <w:szCs w:val="24"/>
        </w:rPr>
        <w:t>stemming from t</w:t>
      </w:r>
      <w:r w:rsidR="00817DCF" w:rsidRPr="009C4A24">
        <w:rPr>
          <w:sz w:val="24"/>
          <w:szCs w:val="24"/>
        </w:rPr>
        <w:t xml:space="preserve">he </w:t>
      </w:r>
      <w:r w:rsidR="00821DE7">
        <w:rPr>
          <w:sz w:val="24"/>
          <w:szCs w:val="24"/>
        </w:rPr>
        <w:t>International Criminal Tribunal for the Former Yugoslavia</w:t>
      </w:r>
      <w:r w:rsidR="00817DCF" w:rsidRPr="009C4A24">
        <w:rPr>
          <w:sz w:val="24"/>
          <w:szCs w:val="24"/>
        </w:rPr>
        <w:t xml:space="preserve"> and the </w:t>
      </w:r>
      <w:r w:rsidR="00821DE7">
        <w:rPr>
          <w:sz w:val="24"/>
          <w:szCs w:val="24"/>
        </w:rPr>
        <w:t>International Criminal Tribunal for Rwanda</w:t>
      </w:r>
      <w:r w:rsidR="00817DCF" w:rsidRPr="009C4A24">
        <w:rPr>
          <w:sz w:val="24"/>
          <w:szCs w:val="24"/>
        </w:rPr>
        <w:t xml:space="preserve">. </w:t>
      </w:r>
      <w:r w:rsidR="00E507F3" w:rsidRPr="009C4A24">
        <w:rPr>
          <w:sz w:val="24"/>
          <w:szCs w:val="24"/>
        </w:rPr>
        <w:t>E</w:t>
      </w:r>
      <w:r w:rsidR="00817DCF" w:rsidRPr="009C4A24">
        <w:rPr>
          <w:sz w:val="24"/>
          <w:szCs w:val="24"/>
        </w:rPr>
        <w:t>ntire cases</w:t>
      </w:r>
      <w:r w:rsidR="00E507F3" w:rsidRPr="009C4A24">
        <w:rPr>
          <w:sz w:val="24"/>
          <w:szCs w:val="24"/>
        </w:rPr>
        <w:t xml:space="preserve"> </w:t>
      </w:r>
      <w:r w:rsidR="007F2F6B" w:rsidRPr="009C4A24">
        <w:rPr>
          <w:sz w:val="24"/>
          <w:szCs w:val="24"/>
        </w:rPr>
        <w:t xml:space="preserve">in fact </w:t>
      </w:r>
      <w:r w:rsidR="00E507F3" w:rsidRPr="009C4A24">
        <w:rPr>
          <w:sz w:val="24"/>
          <w:szCs w:val="24"/>
        </w:rPr>
        <w:t>focused on</w:t>
      </w:r>
      <w:r w:rsidR="00817DCF" w:rsidRPr="009C4A24">
        <w:rPr>
          <w:sz w:val="24"/>
          <w:szCs w:val="24"/>
        </w:rPr>
        <w:t xml:space="preserve"> sexual violence. </w:t>
      </w:r>
      <w:r w:rsidR="005447D8">
        <w:rPr>
          <w:sz w:val="24"/>
          <w:szCs w:val="24"/>
        </w:rPr>
        <w:t>Remember t</w:t>
      </w:r>
      <w:r w:rsidR="005447D8" w:rsidRPr="005962F4">
        <w:rPr>
          <w:sz w:val="24"/>
          <w:szCs w:val="24"/>
        </w:rPr>
        <w:t xml:space="preserve">he </w:t>
      </w:r>
      <w:proofErr w:type="spellStart"/>
      <w:r w:rsidR="005447D8" w:rsidRPr="007F2F6B">
        <w:rPr>
          <w:i/>
          <w:iCs/>
          <w:sz w:val="24"/>
          <w:szCs w:val="24"/>
        </w:rPr>
        <w:t>Kunarac</w:t>
      </w:r>
      <w:proofErr w:type="spellEnd"/>
      <w:r w:rsidR="005447D8">
        <w:rPr>
          <w:i/>
          <w:iCs/>
          <w:sz w:val="24"/>
          <w:szCs w:val="24"/>
        </w:rPr>
        <w:t xml:space="preserve"> and others </w:t>
      </w:r>
      <w:r w:rsidR="005447D8">
        <w:rPr>
          <w:sz w:val="24"/>
          <w:szCs w:val="24"/>
        </w:rPr>
        <w:t>case</w:t>
      </w:r>
      <w:r w:rsidR="005447D8" w:rsidRPr="005962F4">
        <w:rPr>
          <w:sz w:val="24"/>
          <w:szCs w:val="24"/>
        </w:rPr>
        <w:t xml:space="preserve">, </w:t>
      </w:r>
      <w:r w:rsidR="005447D8">
        <w:rPr>
          <w:sz w:val="24"/>
          <w:szCs w:val="24"/>
        </w:rPr>
        <w:t>known</w:t>
      </w:r>
      <w:r w:rsidR="005447D8" w:rsidRPr="005962F4">
        <w:rPr>
          <w:sz w:val="24"/>
          <w:szCs w:val="24"/>
        </w:rPr>
        <w:t xml:space="preserve"> as the </w:t>
      </w:r>
      <w:proofErr w:type="spellStart"/>
      <w:r w:rsidR="005447D8" w:rsidRPr="00220BFF">
        <w:rPr>
          <w:i/>
          <w:iCs/>
          <w:sz w:val="24"/>
          <w:szCs w:val="24"/>
        </w:rPr>
        <w:t>Foca</w:t>
      </w:r>
      <w:proofErr w:type="spellEnd"/>
      <w:r w:rsidR="005447D8" w:rsidRPr="005962F4">
        <w:rPr>
          <w:sz w:val="24"/>
          <w:szCs w:val="24"/>
        </w:rPr>
        <w:t xml:space="preserve"> trial</w:t>
      </w:r>
      <w:r w:rsidR="005447D8">
        <w:rPr>
          <w:sz w:val="24"/>
          <w:szCs w:val="24"/>
        </w:rPr>
        <w:t>,</w:t>
      </w:r>
      <w:r w:rsidRPr="009C4A24">
        <w:rPr>
          <w:rStyle w:val="FootnoteReference"/>
          <w:sz w:val="24"/>
          <w:szCs w:val="24"/>
        </w:rPr>
        <w:footnoteReference w:id="13"/>
      </w:r>
      <w:r w:rsidR="00BD2B9C" w:rsidRPr="009C4A24">
        <w:rPr>
          <w:sz w:val="24"/>
          <w:szCs w:val="24"/>
        </w:rPr>
        <w:t xml:space="preserve"> </w:t>
      </w:r>
      <w:r w:rsidR="00C9112E" w:rsidRPr="009C4A24">
        <w:rPr>
          <w:sz w:val="24"/>
          <w:szCs w:val="24"/>
        </w:rPr>
        <w:t xml:space="preserve">that </w:t>
      </w:r>
      <w:r w:rsidR="00BD2B9C" w:rsidRPr="009C4A24">
        <w:rPr>
          <w:sz w:val="24"/>
          <w:szCs w:val="24"/>
        </w:rPr>
        <w:t xml:space="preserve">dealt with </w:t>
      </w:r>
      <w:proofErr w:type="spellStart"/>
      <w:r w:rsidR="00BD2B9C" w:rsidRPr="009C4A24">
        <w:rPr>
          <w:sz w:val="24"/>
          <w:szCs w:val="24"/>
        </w:rPr>
        <w:t>Bosniak</w:t>
      </w:r>
      <w:proofErr w:type="spellEnd"/>
      <w:r w:rsidR="00BD2B9C" w:rsidRPr="009C4A24">
        <w:rPr>
          <w:sz w:val="24"/>
          <w:szCs w:val="24"/>
        </w:rPr>
        <w:t xml:space="preserve"> women kept in detention centres and repeatedly raped</w:t>
      </w:r>
      <w:r w:rsidR="006F583C" w:rsidRPr="009C4A24">
        <w:rPr>
          <w:sz w:val="24"/>
          <w:szCs w:val="24"/>
        </w:rPr>
        <w:t>, some even sold</w:t>
      </w:r>
      <w:r w:rsidR="00BD2B9C" w:rsidRPr="009C4A24">
        <w:rPr>
          <w:sz w:val="24"/>
          <w:szCs w:val="24"/>
        </w:rPr>
        <w:t xml:space="preserve">. </w:t>
      </w:r>
      <w:r w:rsidR="00C9112E" w:rsidRPr="009C4A24">
        <w:rPr>
          <w:sz w:val="24"/>
          <w:szCs w:val="24"/>
        </w:rPr>
        <w:t xml:space="preserve">Various forms of sexual violence have been </w:t>
      </w:r>
      <w:r w:rsidR="00057DEF" w:rsidRPr="009C4A24">
        <w:rPr>
          <w:sz w:val="24"/>
          <w:szCs w:val="24"/>
        </w:rPr>
        <w:t>successfully</w:t>
      </w:r>
      <w:r w:rsidR="00C9112E" w:rsidRPr="009C4A24">
        <w:rPr>
          <w:sz w:val="24"/>
          <w:szCs w:val="24"/>
        </w:rPr>
        <w:t xml:space="preserve"> prosecuted, ranging from </w:t>
      </w:r>
      <w:r w:rsidR="00E507F3" w:rsidRPr="009C4A24">
        <w:rPr>
          <w:sz w:val="24"/>
          <w:szCs w:val="24"/>
        </w:rPr>
        <w:t xml:space="preserve">forcing a woman to </w:t>
      </w:r>
      <w:r w:rsidR="005447D8">
        <w:rPr>
          <w:sz w:val="24"/>
          <w:szCs w:val="24"/>
        </w:rPr>
        <w:t>do gymnastics</w:t>
      </w:r>
      <w:r w:rsidR="00E507F3" w:rsidRPr="009C4A24">
        <w:rPr>
          <w:sz w:val="24"/>
          <w:szCs w:val="24"/>
        </w:rPr>
        <w:t xml:space="preserve"> naked</w:t>
      </w:r>
      <w:r w:rsidRPr="009C4A24">
        <w:rPr>
          <w:rStyle w:val="FootnoteReference"/>
          <w:sz w:val="24"/>
          <w:szCs w:val="24"/>
        </w:rPr>
        <w:footnoteReference w:id="14"/>
      </w:r>
      <w:r w:rsidR="00C9112E" w:rsidRPr="009C4A24">
        <w:rPr>
          <w:sz w:val="24"/>
          <w:szCs w:val="24"/>
        </w:rPr>
        <w:t xml:space="preserve"> to sexual slavery.</w:t>
      </w:r>
      <w:r w:rsidR="00E507F3" w:rsidRPr="009C4A24">
        <w:rPr>
          <w:sz w:val="24"/>
          <w:szCs w:val="24"/>
        </w:rPr>
        <w:t xml:space="preserve"> </w:t>
      </w:r>
      <w:r w:rsidR="008550A6" w:rsidRPr="009C4A24">
        <w:rPr>
          <w:sz w:val="24"/>
          <w:szCs w:val="24"/>
        </w:rPr>
        <w:t>The ICC Statute</w:t>
      </w:r>
      <w:r w:rsidR="00E507F3" w:rsidRPr="009C4A24">
        <w:rPr>
          <w:sz w:val="24"/>
          <w:szCs w:val="24"/>
        </w:rPr>
        <w:t xml:space="preserve"> specifically refer</w:t>
      </w:r>
      <w:r w:rsidR="008550A6" w:rsidRPr="009C4A24">
        <w:rPr>
          <w:sz w:val="24"/>
          <w:szCs w:val="24"/>
        </w:rPr>
        <w:t>s</w:t>
      </w:r>
      <w:r w:rsidR="00E507F3" w:rsidRPr="009C4A24">
        <w:rPr>
          <w:sz w:val="24"/>
          <w:szCs w:val="24"/>
        </w:rPr>
        <w:t xml:space="preserve"> to ‘rape, sexual slavery, enforced prostitution, forced pregnancy, enforced sterilization, or any other form of sexual violence’ as a grave breach of the Geneva Conventions</w:t>
      </w:r>
      <w:r w:rsidR="005447D8">
        <w:rPr>
          <w:rStyle w:val="FootnoteReference"/>
          <w:sz w:val="24"/>
          <w:szCs w:val="24"/>
        </w:rPr>
        <w:footnoteReference w:id="15"/>
      </w:r>
      <w:r w:rsidR="00E507F3" w:rsidRPr="009C4A24">
        <w:rPr>
          <w:sz w:val="24"/>
          <w:szCs w:val="24"/>
        </w:rPr>
        <w:t xml:space="preserve"> or a serious violation of </w:t>
      </w:r>
      <w:r w:rsidR="008550A6" w:rsidRPr="009C4A24">
        <w:rPr>
          <w:sz w:val="24"/>
          <w:szCs w:val="24"/>
        </w:rPr>
        <w:t>Common A</w:t>
      </w:r>
      <w:r w:rsidR="00E507F3" w:rsidRPr="009C4A24">
        <w:rPr>
          <w:sz w:val="24"/>
          <w:szCs w:val="24"/>
        </w:rPr>
        <w:t xml:space="preserve">rticle 3 </w:t>
      </w:r>
      <w:r w:rsidR="008550A6" w:rsidRPr="009C4A24">
        <w:rPr>
          <w:sz w:val="24"/>
          <w:szCs w:val="24"/>
        </w:rPr>
        <w:t xml:space="preserve">to </w:t>
      </w:r>
      <w:r w:rsidR="00E507F3" w:rsidRPr="009C4A24">
        <w:rPr>
          <w:sz w:val="24"/>
          <w:szCs w:val="24"/>
        </w:rPr>
        <w:t>the Geneva Conventions</w:t>
      </w:r>
      <w:r w:rsidR="005447D8">
        <w:rPr>
          <w:rStyle w:val="FootnoteReference"/>
          <w:sz w:val="24"/>
          <w:szCs w:val="24"/>
        </w:rPr>
        <w:footnoteReference w:id="16"/>
      </w:r>
      <w:r w:rsidR="00E507F3" w:rsidRPr="009C4A24">
        <w:rPr>
          <w:sz w:val="24"/>
          <w:szCs w:val="24"/>
        </w:rPr>
        <w:t xml:space="preserve">. </w:t>
      </w:r>
    </w:p>
    <w:p w14:paraId="37266D3C" w14:textId="3FC64673" w:rsidR="009D503D" w:rsidRPr="009C4A24" w:rsidRDefault="00E507F3" w:rsidP="009C4A24">
      <w:pPr>
        <w:spacing w:line="276" w:lineRule="auto"/>
        <w:jc w:val="both"/>
        <w:rPr>
          <w:sz w:val="24"/>
          <w:szCs w:val="24"/>
        </w:rPr>
      </w:pPr>
      <w:r w:rsidRPr="009C4A24">
        <w:rPr>
          <w:sz w:val="24"/>
          <w:szCs w:val="24"/>
        </w:rPr>
        <w:t xml:space="preserve">Sexual violence is now an established </w:t>
      </w:r>
      <w:r w:rsidR="005962F4" w:rsidRPr="009C4A24">
        <w:rPr>
          <w:sz w:val="24"/>
          <w:szCs w:val="24"/>
        </w:rPr>
        <w:t>war</w:t>
      </w:r>
      <w:r w:rsidRPr="009C4A24">
        <w:rPr>
          <w:sz w:val="24"/>
          <w:szCs w:val="24"/>
        </w:rPr>
        <w:t xml:space="preserve"> crime. </w:t>
      </w:r>
      <w:r w:rsidR="007F2F6B" w:rsidRPr="009C4A24">
        <w:rPr>
          <w:sz w:val="24"/>
          <w:szCs w:val="24"/>
        </w:rPr>
        <w:t>W</w:t>
      </w:r>
      <w:r w:rsidR="005962F4" w:rsidRPr="009C4A24">
        <w:rPr>
          <w:sz w:val="24"/>
          <w:szCs w:val="24"/>
        </w:rPr>
        <w:t xml:space="preserve">e have come a long way but not so much because the Nuremberg principles would not have allowed </w:t>
      </w:r>
      <w:r w:rsidR="005447D8">
        <w:rPr>
          <w:sz w:val="24"/>
          <w:szCs w:val="24"/>
        </w:rPr>
        <w:t>you, the Nuremberg judge,</w:t>
      </w:r>
      <w:r w:rsidR="005962F4" w:rsidRPr="009C4A24">
        <w:rPr>
          <w:sz w:val="24"/>
          <w:szCs w:val="24"/>
        </w:rPr>
        <w:t xml:space="preserve"> to prosecute such crimes</w:t>
      </w:r>
      <w:r w:rsidR="007F2F6B" w:rsidRPr="009C4A24">
        <w:rPr>
          <w:sz w:val="24"/>
          <w:szCs w:val="24"/>
        </w:rPr>
        <w:t xml:space="preserve"> b</w:t>
      </w:r>
      <w:r w:rsidR="005962F4" w:rsidRPr="009C4A24">
        <w:rPr>
          <w:sz w:val="24"/>
          <w:szCs w:val="24"/>
        </w:rPr>
        <w:t xml:space="preserve">ut simply because at that time </w:t>
      </w:r>
      <w:r w:rsidR="005447D8">
        <w:rPr>
          <w:sz w:val="24"/>
          <w:szCs w:val="24"/>
        </w:rPr>
        <w:t>you, and the society,</w:t>
      </w:r>
      <w:r w:rsidR="005962F4" w:rsidRPr="009C4A24">
        <w:rPr>
          <w:sz w:val="24"/>
          <w:szCs w:val="24"/>
        </w:rPr>
        <w:t xml:space="preserve"> did</w:t>
      </w:r>
      <w:r w:rsidR="005447D8">
        <w:rPr>
          <w:sz w:val="24"/>
          <w:szCs w:val="24"/>
        </w:rPr>
        <w:t xml:space="preserve"> </w:t>
      </w:r>
      <w:r w:rsidR="005962F4" w:rsidRPr="009C4A24">
        <w:rPr>
          <w:sz w:val="24"/>
          <w:szCs w:val="24"/>
        </w:rPr>
        <w:t>n</w:t>
      </w:r>
      <w:r w:rsidR="005447D8">
        <w:rPr>
          <w:sz w:val="24"/>
          <w:szCs w:val="24"/>
        </w:rPr>
        <w:t>o</w:t>
      </w:r>
      <w:r w:rsidR="005962F4" w:rsidRPr="009C4A24">
        <w:rPr>
          <w:sz w:val="24"/>
          <w:szCs w:val="24"/>
        </w:rPr>
        <w:t xml:space="preserve">t want to see these </w:t>
      </w:r>
      <w:r w:rsidR="007A5240" w:rsidRPr="009C4A24">
        <w:rPr>
          <w:sz w:val="24"/>
          <w:szCs w:val="24"/>
        </w:rPr>
        <w:t xml:space="preserve">acts as </w:t>
      </w:r>
      <w:r w:rsidR="005447D8">
        <w:rPr>
          <w:sz w:val="24"/>
          <w:szCs w:val="24"/>
        </w:rPr>
        <w:t xml:space="preserve">international </w:t>
      </w:r>
      <w:r w:rsidR="007A5240" w:rsidRPr="009C4A24">
        <w:rPr>
          <w:sz w:val="24"/>
          <w:szCs w:val="24"/>
        </w:rPr>
        <w:t>crimes</w:t>
      </w:r>
      <w:r w:rsidR="005962F4" w:rsidRPr="009C4A24">
        <w:rPr>
          <w:sz w:val="24"/>
          <w:szCs w:val="24"/>
        </w:rPr>
        <w:t>.</w:t>
      </w:r>
      <w:r w:rsidR="00C9112E" w:rsidRPr="009C4A24">
        <w:rPr>
          <w:sz w:val="24"/>
          <w:szCs w:val="24"/>
        </w:rPr>
        <w:t xml:space="preserve"> In other words, it was only your </w:t>
      </w:r>
      <w:r w:rsidR="00C9112E" w:rsidRPr="009C4A24">
        <w:rPr>
          <w:i/>
          <w:iCs/>
          <w:sz w:val="24"/>
          <w:szCs w:val="24"/>
        </w:rPr>
        <w:t>Weltanschauung</w:t>
      </w:r>
      <w:r w:rsidR="00C9112E" w:rsidRPr="009C4A24">
        <w:rPr>
          <w:sz w:val="24"/>
          <w:szCs w:val="24"/>
        </w:rPr>
        <w:t xml:space="preserve"> and your lack of understanding of the crime, that prevented you, the Nuremberg judge, to condemn sexual violence.</w:t>
      </w:r>
    </w:p>
    <w:p w14:paraId="6B9472AE" w14:textId="04348FBE" w:rsidR="00F25C0C" w:rsidRPr="009C4A24" w:rsidRDefault="00C9112E" w:rsidP="009C4A24">
      <w:pPr>
        <w:spacing w:line="276" w:lineRule="auto"/>
        <w:jc w:val="both"/>
        <w:rPr>
          <w:rFonts w:cstheme="minorHAnsi"/>
          <w:sz w:val="24"/>
          <w:szCs w:val="24"/>
        </w:rPr>
      </w:pPr>
      <w:r w:rsidRPr="009C4A24">
        <w:rPr>
          <w:sz w:val="24"/>
          <w:szCs w:val="24"/>
        </w:rPr>
        <w:t xml:space="preserve">The second charge, that </w:t>
      </w:r>
      <w:r w:rsidR="005962F4" w:rsidRPr="009C4A24">
        <w:rPr>
          <w:sz w:val="24"/>
          <w:szCs w:val="24"/>
        </w:rPr>
        <w:t>of conscription and use in hostilities of children under the age of 15</w:t>
      </w:r>
      <w:r w:rsidR="005447D8">
        <w:rPr>
          <w:sz w:val="24"/>
          <w:szCs w:val="24"/>
        </w:rPr>
        <w:t xml:space="preserve"> years</w:t>
      </w:r>
      <w:r w:rsidR="005962F4" w:rsidRPr="009C4A24">
        <w:rPr>
          <w:sz w:val="24"/>
          <w:szCs w:val="24"/>
        </w:rPr>
        <w:t xml:space="preserve"> would surprise you</w:t>
      </w:r>
      <w:r w:rsidR="007F2F6B" w:rsidRPr="009C4A24">
        <w:rPr>
          <w:sz w:val="24"/>
          <w:szCs w:val="24"/>
        </w:rPr>
        <w:t>,</w:t>
      </w:r>
      <w:r w:rsidR="005962F4" w:rsidRPr="009C4A24">
        <w:rPr>
          <w:sz w:val="24"/>
          <w:szCs w:val="24"/>
        </w:rPr>
        <w:t xml:space="preserve"> the Nuremberg judge. </w:t>
      </w:r>
      <w:r w:rsidR="00057DEF" w:rsidRPr="009C4A24">
        <w:rPr>
          <w:sz w:val="24"/>
          <w:szCs w:val="24"/>
        </w:rPr>
        <w:t xml:space="preserve">You are </w:t>
      </w:r>
      <w:r w:rsidR="00DD6D6F" w:rsidRPr="009C4A24">
        <w:rPr>
          <w:sz w:val="24"/>
          <w:szCs w:val="24"/>
        </w:rPr>
        <w:t>however</w:t>
      </w:r>
      <w:r w:rsidR="00057DEF" w:rsidRPr="009C4A24">
        <w:rPr>
          <w:sz w:val="24"/>
          <w:szCs w:val="24"/>
        </w:rPr>
        <w:t xml:space="preserve"> not unfamiliar with the act</w:t>
      </w:r>
      <w:r w:rsidR="005962F4" w:rsidRPr="009C4A24">
        <w:rPr>
          <w:sz w:val="24"/>
          <w:szCs w:val="24"/>
        </w:rPr>
        <w:t xml:space="preserve">. </w:t>
      </w:r>
      <w:r w:rsidR="007F2F6B" w:rsidRPr="009C4A24">
        <w:rPr>
          <w:sz w:val="24"/>
          <w:szCs w:val="24"/>
        </w:rPr>
        <w:t>A</w:t>
      </w:r>
      <w:r w:rsidR="005962F4" w:rsidRPr="009C4A24">
        <w:rPr>
          <w:sz w:val="24"/>
          <w:szCs w:val="24"/>
        </w:rPr>
        <w:t>fter all</w:t>
      </w:r>
      <w:r w:rsidR="008550A6" w:rsidRPr="009C4A24">
        <w:rPr>
          <w:sz w:val="24"/>
          <w:szCs w:val="24"/>
        </w:rPr>
        <w:t>,</w:t>
      </w:r>
      <w:r w:rsidR="005962F4" w:rsidRPr="009C4A24">
        <w:rPr>
          <w:sz w:val="24"/>
          <w:szCs w:val="24"/>
        </w:rPr>
        <w:t xml:space="preserve"> </w:t>
      </w:r>
      <w:r w:rsidR="008550A6" w:rsidRPr="009C4A24">
        <w:rPr>
          <w:sz w:val="24"/>
          <w:szCs w:val="24"/>
        </w:rPr>
        <w:t>there was a</w:t>
      </w:r>
      <w:r w:rsidR="005962F4" w:rsidRPr="009C4A24">
        <w:rPr>
          <w:rFonts w:cstheme="minorHAnsi"/>
          <w:sz w:val="24"/>
          <w:szCs w:val="24"/>
        </w:rPr>
        <w:t xml:space="preserve"> Waffen-SS division called ‘</w:t>
      </w:r>
      <w:proofErr w:type="spellStart"/>
      <w:r w:rsidR="005962F4" w:rsidRPr="009C4A24">
        <w:rPr>
          <w:rFonts w:cstheme="minorHAnsi"/>
          <w:sz w:val="24"/>
          <w:szCs w:val="24"/>
        </w:rPr>
        <w:t>Hitlerjugend</w:t>
      </w:r>
      <w:proofErr w:type="spellEnd"/>
      <w:r w:rsidR="005962F4" w:rsidRPr="009C4A24">
        <w:rPr>
          <w:rFonts w:cstheme="minorHAnsi"/>
          <w:sz w:val="24"/>
          <w:szCs w:val="24"/>
        </w:rPr>
        <w:t>’ drawn from the youth organisation of the Nazi party composed of children aged 14 to 18</w:t>
      </w:r>
      <w:r w:rsidR="005447D8">
        <w:rPr>
          <w:rFonts w:cstheme="minorHAnsi"/>
          <w:sz w:val="24"/>
          <w:szCs w:val="24"/>
        </w:rPr>
        <w:t xml:space="preserve">. </w:t>
      </w:r>
      <w:r w:rsidR="005447D8" w:rsidRPr="005962F4">
        <w:rPr>
          <w:rFonts w:cstheme="minorHAnsi"/>
          <w:sz w:val="24"/>
          <w:szCs w:val="24"/>
        </w:rPr>
        <w:t>Later, as manpower was being depleted owing to military losses, 12-year-old Hitler Youth members were drafted into the ranks of this division.</w:t>
      </w:r>
      <w:r w:rsidR="005447D8">
        <w:rPr>
          <w:rFonts w:cstheme="minorHAnsi"/>
          <w:sz w:val="24"/>
          <w:szCs w:val="24"/>
        </w:rPr>
        <w:t xml:space="preserve"> </w:t>
      </w:r>
      <w:r w:rsidR="008550A6" w:rsidRPr="009C4A24">
        <w:rPr>
          <w:rFonts w:cstheme="minorHAnsi"/>
          <w:sz w:val="24"/>
          <w:szCs w:val="24"/>
        </w:rPr>
        <w:t xml:space="preserve"> </w:t>
      </w:r>
      <w:r w:rsidR="007F2F6B" w:rsidRPr="009C4A24">
        <w:rPr>
          <w:rFonts w:cstheme="minorHAnsi"/>
          <w:sz w:val="24"/>
          <w:szCs w:val="24"/>
        </w:rPr>
        <w:t>Yet,</w:t>
      </w:r>
      <w:r w:rsidR="005962F4" w:rsidRPr="009C4A24">
        <w:rPr>
          <w:rFonts w:cstheme="minorHAnsi"/>
          <w:sz w:val="24"/>
          <w:szCs w:val="24"/>
        </w:rPr>
        <w:t xml:space="preserve"> </w:t>
      </w:r>
      <w:r w:rsidR="00F25C0C" w:rsidRPr="009C4A24">
        <w:rPr>
          <w:sz w:val="24"/>
          <w:szCs w:val="24"/>
        </w:rPr>
        <w:t xml:space="preserve">this act was never presented by the prosecution, notably because </w:t>
      </w:r>
      <w:r w:rsidR="005962F4" w:rsidRPr="009C4A24">
        <w:rPr>
          <w:rFonts w:cstheme="minorHAnsi"/>
          <w:sz w:val="24"/>
          <w:szCs w:val="24"/>
        </w:rPr>
        <w:t xml:space="preserve">at the time recruiting and using children in an armed conflict was not a crime. </w:t>
      </w:r>
    </w:p>
    <w:p w14:paraId="026A04AC" w14:textId="35353CD3" w:rsidR="005247A9" w:rsidRPr="009C4A24" w:rsidRDefault="005962F4" w:rsidP="009C4A24">
      <w:pPr>
        <w:spacing w:line="276" w:lineRule="auto"/>
        <w:jc w:val="both"/>
        <w:rPr>
          <w:rFonts w:cstheme="minorHAnsi"/>
          <w:sz w:val="24"/>
          <w:szCs w:val="24"/>
        </w:rPr>
      </w:pPr>
      <w:r w:rsidRPr="009C4A24">
        <w:rPr>
          <w:rFonts w:cstheme="minorHAnsi"/>
          <w:sz w:val="24"/>
          <w:szCs w:val="24"/>
        </w:rPr>
        <w:t xml:space="preserve">In </w:t>
      </w:r>
      <w:r w:rsidR="00220BFF" w:rsidRPr="009C4A24">
        <w:rPr>
          <w:rFonts w:cstheme="minorHAnsi"/>
          <w:sz w:val="24"/>
          <w:szCs w:val="24"/>
        </w:rPr>
        <w:t>fact,</w:t>
      </w:r>
      <w:r w:rsidRPr="009C4A24">
        <w:rPr>
          <w:rFonts w:cstheme="minorHAnsi"/>
          <w:sz w:val="24"/>
          <w:szCs w:val="24"/>
        </w:rPr>
        <w:t xml:space="preserve"> it took a long time to become one.</w:t>
      </w:r>
      <w:r w:rsidR="00220BFF" w:rsidRPr="009C4A24">
        <w:rPr>
          <w:rFonts w:cstheme="minorHAnsi"/>
          <w:sz w:val="24"/>
          <w:szCs w:val="24"/>
        </w:rPr>
        <w:t xml:space="preserve"> </w:t>
      </w:r>
      <w:r w:rsidR="005247A9" w:rsidRPr="009C4A24">
        <w:rPr>
          <w:rStyle w:val="apple-style-span"/>
          <w:rFonts w:cstheme="minorHAnsi"/>
          <w:sz w:val="24"/>
          <w:szCs w:val="24"/>
        </w:rPr>
        <w:t>It was not until the negotiations of the Additional Protocols to the Geneva Conventions in the mid-1970s that the phenomenon of child soldiers drew the attention of States. The ICRC had first-hand experience of seeing ‘</w:t>
      </w:r>
      <w:r w:rsidR="005247A9" w:rsidRPr="009C4A24">
        <w:rPr>
          <w:rFonts w:cstheme="minorHAnsi"/>
          <w:sz w:val="24"/>
          <w:szCs w:val="24"/>
          <w:shd w:val="clear" w:color="auto" w:fill="FFFFFF"/>
        </w:rPr>
        <w:t xml:space="preserve">the harrowing spectacle of boys, who have barely left childhood behind them, brandishing rifles and machine-guns and ready to shoot indiscriminately at anything that moves’, thus expressing that participation in hostilities ‘should come </w:t>
      </w:r>
      <w:r w:rsidR="005247A9" w:rsidRPr="009C4A24">
        <w:rPr>
          <w:rFonts w:cstheme="minorHAnsi"/>
          <w:sz w:val="24"/>
          <w:szCs w:val="24"/>
          <w:shd w:val="clear" w:color="auto" w:fill="FFFFFF"/>
        </w:rPr>
        <w:lastRenderedPageBreak/>
        <w:t>to an end.</w:t>
      </w:r>
      <w:r w:rsidR="005247A9" w:rsidRPr="009C4A24">
        <w:rPr>
          <w:rStyle w:val="apple-style-span"/>
          <w:rFonts w:cstheme="minorHAnsi"/>
          <w:sz w:val="24"/>
          <w:szCs w:val="24"/>
        </w:rPr>
        <w:t>’</w:t>
      </w:r>
      <w:r w:rsidR="005247A9" w:rsidRPr="009C4A24">
        <w:rPr>
          <w:rStyle w:val="FootnoteReference"/>
          <w:rFonts w:cstheme="minorHAnsi"/>
          <w:sz w:val="24"/>
          <w:szCs w:val="24"/>
        </w:rPr>
        <w:footnoteReference w:id="17"/>
      </w:r>
      <w:r w:rsidR="005247A9" w:rsidRPr="009C4A24">
        <w:rPr>
          <w:rStyle w:val="apple-style-span"/>
          <w:rFonts w:cstheme="minorHAnsi"/>
          <w:sz w:val="24"/>
          <w:szCs w:val="24"/>
        </w:rPr>
        <w:t xml:space="preserve"> Yet, States were neither ready for a complete ban nor willing to undertake unconditional obligations.</w:t>
      </w:r>
      <w:r w:rsidR="005247A9" w:rsidRPr="009C4A24">
        <w:rPr>
          <w:rStyle w:val="FootnoteReference"/>
          <w:rFonts w:cstheme="minorHAnsi"/>
          <w:sz w:val="24"/>
          <w:szCs w:val="24"/>
        </w:rPr>
        <w:footnoteReference w:id="18"/>
      </w:r>
      <w:r w:rsidR="005247A9" w:rsidRPr="009C4A24">
        <w:rPr>
          <w:rStyle w:val="apple-style-span"/>
          <w:rFonts w:cstheme="minorHAnsi"/>
          <w:sz w:val="24"/>
          <w:szCs w:val="24"/>
        </w:rPr>
        <w:t xml:space="preserve"> </w:t>
      </w:r>
      <w:r w:rsidR="00220BFF" w:rsidRPr="009C4A24">
        <w:rPr>
          <w:rFonts w:cstheme="minorHAnsi"/>
          <w:sz w:val="24"/>
          <w:szCs w:val="24"/>
        </w:rPr>
        <w:t xml:space="preserve">Whereas Additional Protocol II </w:t>
      </w:r>
      <w:r w:rsidR="007F2F6B" w:rsidRPr="009C4A24">
        <w:rPr>
          <w:rFonts w:cstheme="minorHAnsi"/>
          <w:sz w:val="24"/>
          <w:szCs w:val="24"/>
        </w:rPr>
        <w:t xml:space="preserve">to the Geneva Conventions </w:t>
      </w:r>
      <w:r w:rsidR="00220BFF" w:rsidRPr="009C4A24">
        <w:rPr>
          <w:rFonts w:cstheme="minorHAnsi"/>
          <w:sz w:val="24"/>
          <w:szCs w:val="24"/>
        </w:rPr>
        <w:t>that pertains to non-international armed conflict bans the recruitment and participation of children in armed hostilities,</w:t>
      </w:r>
      <w:r w:rsidR="00F25C0C" w:rsidRPr="009C4A24">
        <w:rPr>
          <w:rStyle w:val="FootnoteReference"/>
          <w:rFonts w:cstheme="minorHAnsi"/>
          <w:sz w:val="24"/>
          <w:szCs w:val="24"/>
        </w:rPr>
        <w:footnoteReference w:id="19"/>
      </w:r>
      <w:r w:rsidR="00220BFF" w:rsidRPr="009C4A24">
        <w:rPr>
          <w:rFonts w:cstheme="minorHAnsi"/>
          <w:sz w:val="24"/>
          <w:szCs w:val="24"/>
        </w:rPr>
        <w:t xml:space="preserve"> Additional Protocol I technically allows for the</w:t>
      </w:r>
      <w:r w:rsidR="007A5240" w:rsidRPr="009C4A24">
        <w:rPr>
          <w:rFonts w:cstheme="minorHAnsi"/>
          <w:sz w:val="24"/>
          <w:szCs w:val="24"/>
        </w:rPr>
        <w:t>ir</w:t>
      </w:r>
      <w:r w:rsidR="00220BFF" w:rsidRPr="009C4A24">
        <w:rPr>
          <w:rFonts w:cstheme="minorHAnsi"/>
          <w:sz w:val="24"/>
          <w:szCs w:val="24"/>
        </w:rPr>
        <w:t xml:space="preserve"> </w:t>
      </w:r>
      <w:r w:rsidR="007A5240" w:rsidRPr="009C4A24">
        <w:rPr>
          <w:rFonts w:cstheme="minorHAnsi"/>
          <w:sz w:val="24"/>
          <w:szCs w:val="24"/>
        </w:rPr>
        <w:t>participation in hostilities, provided it is not in direct form</w:t>
      </w:r>
      <w:r w:rsidR="00F25C0C" w:rsidRPr="009C4A24">
        <w:rPr>
          <w:rStyle w:val="FootnoteReference"/>
          <w:rFonts w:cstheme="minorHAnsi"/>
          <w:sz w:val="24"/>
          <w:szCs w:val="24"/>
        </w:rPr>
        <w:footnoteReference w:id="20"/>
      </w:r>
      <w:r w:rsidR="007A5240" w:rsidRPr="009C4A24">
        <w:rPr>
          <w:rFonts w:cstheme="minorHAnsi"/>
          <w:sz w:val="24"/>
          <w:szCs w:val="24"/>
        </w:rPr>
        <w:t xml:space="preserve"> and the official Commentary acknowledges that voluntary recruitment is not prohibited</w:t>
      </w:r>
      <w:r w:rsidR="00D35E39" w:rsidRPr="009C4A24">
        <w:rPr>
          <w:rFonts w:cstheme="minorHAnsi"/>
          <w:sz w:val="24"/>
          <w:szCs w:val="24"/>
        </w:rPr>
        <w:t xml:space="preserve"> though the ICRC clearly disapproves of this weakness in terminology</w:t>
      </w:r>
      <w:r w:rsidR="00220BFF" w:rsidRPr="009C4A24">
        <w:rPr>
          <w:rFonts w:cstheme="minorHAnsi"/>
          <w:sz w:val="24"/>
          <w:szCs w:val="24"/>
        </w:rPr>
        <w:t>.</w:t>
      </w:r>
      <w:r w:rsidR="00D35E39" w:rsidRPr="009C4A24">
        <w:rPr>
          <w:rStyle w:val="FootnoteReference"/>
          <w:rFonts w:cstheme="minorHAnsi"/>
          <w:sz w:val="24"/>
          <w:szCs w:val="24"/>
        </w:rPr>
        <w:footnoteReference w:id="21"/>
      </w:r>
      <w:r w:rsidR="00220BFF" w:rsidRPr="009C4A24">
        <w:rPr>
          <w:rFonts w:cstheme="minorHAnsi"/>
          <w:sz w:val="24"/>
          <w:szCs w:val="24"/>
        </w:rPr>
        <w:t xml:space="preserve"> Pressure mounted to change this. </w:t>
      </w:r>
      <w:r w:rsidR="005247A9" w:rsidRPr="009C4A24">
        <w:rPr>
          <w:rFonts w:cstheme="minorHAnsi"/>
          <w:sz w:val="24"/>
          <w:szCs w:val="24"/>
        </w:rPr>
        <w:t>Disappointingly, t</w:t>
      </w:r>
      <w:r w:rsidR="00D35E39" w:rsidRPr="009C4A24">
        <w:rPr>
          <w:rFonts w:cstheme="minorHAnsi"/>
          <w:sz w:val="24"/>
          <w:szCs w:val="24"/>
        </w:rPr>
        <w:t xml:space="preserve">he United Nations Convention on the Rights of the Child repeated language </w:t>
      </w:r>
      <w:r w:rsidR="005247A9" w:rsidRPr="009C4A24">
        <w:rPr>
          <w:rFonts w:cstheme="minorHAnsi"/>
          <w:sz w:val="24"/>
          <w:szCs w:val="24"/>
        </w:rPr>
        <w:t xml:space="preserve">similar to the one used under the relevant </w:t>
      </w:r>
      <w:r w:rsidR="00057DEF" w:rsidRPr="009C4A24">
        <w:rPr>
          <w:rFonts w:cstheme="minorHAnsi"/>
          <w:sz w:val="24"/>
          <w:szCs w:val="24"/>
        </w:rPr>
        <w:t>IHL</w:t>
      </w:r>
      <w:r w:rsidR="005247A9" w:rsidRPr="009C4A24">
        <w:rPr>
          <w:rFonts w:cstheme="minorHAnsi"/>
          <w:sz w:val="24"/>
          <w:szCs w:val="24"/>
        </w:rPr>
        <w:t xml:space="preserve"> instruments.</w:t>
      </w:r>
      <w:r w:rsidR="005247A9" w:rsidRPr="009C4A24">
        <w:rPr>
          <w:rStyle w:val="FootnoteReference"/>
          <w:rFonts w:cstheme="minorHAnsi"/>
          <w:sz w:val="24"/>
          <w:szCs w:val="24"/>
        </w:rPr>
        <w:footnoteReference w:id="22"/>
      </w:r>
      <w:r w:rsidR="005247A9" w:rsidRPr="009C4A24">
        <w:rPr>
          <w:rFonts w:cstheme="minorHAnsi"/>
          <w:sz w:val="24"/>
          <w:szCs w:val="24"/>
        </w:rPr>
        <w:t xml:space="preserve"> </w:t>
      </w:r>
    </w:p>
    <w:p w14:paraId="5A2F1F97" w14:textId="411C424A" w:rsidR="008B6BDB" w:rsidRPr="009C4A24" w:rsidRDefault="005247A9" w:rsidP="009C4A24">
      <w:pPr>
        <w:spacing w:line="276" w:lineRule="auto"/>
        <w:jc w:val="both"/>
        <w:rPr>
          <w:rFonts w:cstheme="minorHAnsi"/>
          <w:sz w:val="24"/>
          <w:szCs w:val="24"/>
        </w:rPr>
      </w:pPr>
      <w:r w:rsidRPr="009C4A24">
        <w:rPr>
          <w:rStyle w:val="apple-style-span"/>
          <w:rFonts w:cstheme="minorHAnsi"/>
          <w:sz w:val="24"/>
          <w:szCs w:val="24"/>
        </w:rPr>
        <w:t>Two key developments prompting a radical change in mainstream perceptions of child soldiering were</w:t>
      </w:r>
      <w:r w:rsidR="005447D8">
        <w:rPr>
          <w:rStyle w:val="apple-style-span"/>
          <w:rFonts w:cstheme="minorHAnsi"/>
          <w:sz w:val="24"/>
          <w:szCs w:val="24"/>
        </w:rPr>
        <w:t>,</w:t>
      </w:r>
      <w:r w:rsidRPr="009C4A24">
        <w:rPr>
          <w:rStyle w:val="apple-style-span"/>
          <w:rFonts w:cstheme="minorHAnsi"/>
          <w:sz w:val="24"/>
          <w:szCs w:val="24"/>
        </w:rPr>
        <w:t xml:space="preserve"> </w:t>
      </w:r>
      <w:r w:rsidR="005447D8">
        <w:rPr>
          <w:rStyle w:val="apple-style-span"/>
          <w:rFonts w:cstheme="minorHAnsi"/>
          <w:sz w:val="24"/>
          <w:szCs w:val="24"/>
        </w:rPr>
        <w:t xml:space="preserve">first, </w:t>
      </w:r>
      <w:r w:rsidRPr="009C4A24">
        <w:rPr>
          <w:rStyle w:val="apple-style-span"/>
          <w:rFonts w:cstheme="minorHAnsi"/>
          <w:sz w:val="24"/>
          <w:szCs w:val="24"/>
        </w:rPr>
        <w:t>the emergence and</w:t>
      </w:r>
      <w:r w:rsidR="005447D8">
        <w:rPr>
          <w:rStyle w:val="apple-style-span"/>
          <w:rFonts w:cstheme="minorHAnsi"/>
          <w:sz w:val="24"/>
          <w:szCs w:val="24"/>
        </w:rPr>
        <w:t xml:space="preserve"> </w:t>
      </w:r>
      <w:r w:rsidR="006B3D35">
        <w:rPr>
          <w:rStyle w:val="apple-style-span"/>
          <w:rFonts w:cstheme="minorHAnsi"/>
          <w:sz w:val="24"/>
          <w:szCs w:val="24"/>
        </w:rPr>
        <w:t xml:space="preserve">the </w:t>
      </w:r>
      <w:r w:rsidRPr="009C4A24">
        <w:rPr>
          <w:rStyle w:val="apple-style-span"/>
          <w:rFonts w:cstheme="minorHAnsi"/>
          <w:sz w:val="24"/>
          <w:szCs w:val="24"/>
        </w:rPr>
        <w:t>subsequent proliferation of so-called ‘new wars’ and</w:t>
      </w:r>
      <w:r w:rsidR="006B3D35">
        <w:rPr>
          <w:rStyle w:val="apple-style-span"/>
          <w:rFonts w:cstheme="minorHAnsi"/>
          <w:sz w:val="24"/>
          <w:szCs w:val="24"/>
        </w:rPr>
        <w:t>, second,</w:t>
      </w:r>
      <w:r w:rsidRPr="009C4A24">
        <w:rPr>
          <w:rStyle w:val="apple-style-span"/>
          <w:rFonts w:cstheme="minorHAnsi"/>
          <w:sz w:val="24"/>
          <w:szCs w:val="24"/>
        </w:rPr>
        <w:t xml:space="preserve"> the ‘human-</w:t>
      </w:r>
      <w:proofErr w:type="spellStart"/>
      <w:r w:rsidRPr="009C4A24">
        <w:rPr>
          <w:rStyle w:val="apple-style-span"/>
          <w:rFonts w:cstheme="minorHAnsi"/>
          <w:sz w:val="24"/>
          <w:szCs w:val="24"/>
        </w:rPr>
        <w:t>rightisation</w:t>
      </w:r>
      <w:proofErr w:type="spellEnd"/>
      <w:r w:rsidRPr="009C4A24">
        <w:rPr>
          <w:rStyle w:val="apple-style-span"/>
          <w:rFonts w:cstheme="minorHAnsi"/>
          <w:sz w:val="24"/>
          <w:szCs w:val="24"/>
        </w:rPr>
        <w:t>’ of the child soldier phenomenon.</w:t>
      </w:r>
      <w:r w:rsidR="005A4395" w:rsidRPr="009C4A24">
        <w:rPr>
          <w:rStyle w:val="apple-style-span"/>
          <w:rFonts w:cstheme="minorHAnsi"/>
          <w:sz w:val="24"/>
          <w:szCs w:val="24"/>
        </w:rPr>
        <w:t xml:space="preserve"> Most importantly, the </w:t>
      </w:r>
      <w:r w:rsidR="005A4395" w:rsidRPr="009C4A24">
        <w:rPr>
          <w:rFonts w:cstheme="minorHAnsi"/>
          <w:sz w:val="24"/>
          <w:szCs w:val="24"/>
        </w:rPr>
        <w:t>first comprehensive report on the plight of children in armed conflict penned by Graça Machel</w:t>
      </w:r>
      <w:r w:rsidR="005A4395" w:rsidRPr="009C4A24">
        <w:rPr>
          <w:rStyle w:val="FootnoteReference"/>
          <w:rFonts w:cstheme="minorHAnsi"/>
          <w:sz w:val="24"/>
          <w:szCs w:val="24"/>
        </w:rPr>
        <w:footnoteReference w:id="23"/>
      </w:r>
      <w:r w:rsidR="005A4395" w:rsidRPr="009C4A24">
        <w:rPr>
          <w:rFonts w:cstheme="minorHAnsi"/>
          <w:sz w:val="24"/>
          <w:szCs w:val="24"/>
        </w:rPr>
        <w:t xml:space="preserve"> led to a discourse in which ‘child soldiering is an unambiguous violation of universal children’s rights.’</w:t>
      </w:r>
      <w:r w:rsidR="005A4395" w:rsidRPr="009C4A24">
        <w:rPr>
          <w:rStyle w:val="FootnoteReference"/>
          <w:rFonts w:cstheme="minorHAnsi"/>
          <w:sz w:val="24"/>
          <w:szCs w:val="24"/>
        </w:rPr>
        <w:footnoteReference w:id="24"/>
      </w:r>
      <w:r w:rsidR="00992305" w:rsidRPr="009C4A24">
        <w:rPr>
          <w:rFonts w:cstheme="minorHAnsi"/>
          <w:sz w:val="24"/>
          <w:szCs w:val="24"/>
        </w:rPr>
        <w:t xml:space="preserve"> F</w:t>
      </w:r>
      <w:r w:rsidR="005A4395" w:rsidRPr="009C4A24">
        <w:rPr>
          <w:rFonts w:cstheme="minorHAnsi"/>
          <w:sz w:val="24"/>
          <w:szCs w:val="24"/>
        </w:rPr>
        <w:t>rom then on, it was through international human rights law that the agenda against child soldiering was driven. The adoption of the Optional Protocol on the Involvement of Children in Armed Conflict</w:t>
      </w:r>
      <w:r w:rsidR="005A4395" w:rsidRPr="009C4A24">
        <w:rPr>
          <w:rStyle w:val="FootnoteReference"/>
          <w:rFonts w:cstheme="minorHAnsi"/>
          <w:sz w:val="24"/>
          <w:szCs w:val="24"/>
        </w:rPr>
        <w:footnoteReference w:id="25"/>
      </w:r>
      <w:r w:rsidR="005A4395" w:rsidRPr="009C4A24">
        <w:rPr>
          <w:rFonts w:cstheme="minorHAnsi"/>
          <w:sz w:val="24"/>
          <w:szCs w:val="24"/>
        </w:rPr>
        <w:t xml:space="preserve"> made some progress in that regard</w:t>
      </w:r>
      <w:r w:rsidR="006B3D35">
        <w:rPr>
          <w:rFonts w:cstheme="minorHAnsi"/>
          <w:sz w:val="24"/>
          <w:szCs w:val="24"/>
        </w:rPr>
        <w:t xml:space="preserve"> though it is not entirely satisfactory either</w:t>
      </w:r>
      <w:r w:rsidR="005A4395" w:rsidRPr="009C4A24">
        <w:rPr>
          <w:rFonts w:cstheme="minorHAnsi"/>
          <w:sz w:val="24"/>
          <w:szCs w:val="24"/>
        </w:rPr>
        <w:t>.</w:t>
      </w:r>
    </w:p>
    <w:p w14:paraId="67627782" w14:textId="106F0118" w:rsidR="00F25C0C" w:rsidRPr="009C4A24" w:rsidRDefault="007A5240" w:rsidP="009C4A24">
      <w:pPr>
        <w:spacing w:line="276" w:lineRule="auto"/>
        <w:jc w:val="both"/>
        <w:rPr>
          <w:rFonts w:cstheme="minorHAnsi"/>
          <w:sz w:val="24"/>
          <w:szCs w:val="24"/>
        </w:rPr>
      </w:pPr>
      <w:r w:rsidRPr="009C4A24">
        <w:rPr>
          <w:rFonts w:cstheme="minorHAnsi"/>
          <w:sz w:val="24"/>
          <w:szCs w:val="24"/>
        </w:rPr>
        <w:t xml:space="preserve">Nevertheless, </w:t>
      </w:r>
      <w:r w:rsidR="008B6BDB" w:rsidRPr="009C4A24">
        <w:rPr>
          <w:rFonts w:cstheme="minorHAnsi"/>
          <w:sz w:val="24"/>
          <w:szCs w:val="24"/>
        </w:rPr>
        <w:t xml:space="preserve">from an international criminal law perspective, </w:t>
      </w:r>
      <w:r w:rsidRPr="009C4A24">
        <w:rPr>
          <w:rFonts w:cstheme="minorHAnsi"/>
          <w:sz w:val="24"/>
          <w:szCs w:val="24"/>
        </w:rPr>
        <w:t>w</w:t>
      </w:r>
      <w:r w:rsidR="00220BFF" w:rsidRPr="009C4A24">
        <w:rPr>
          <w:rFonts w:cstheme="minorHAnsi"/>
          <w:sz w:val="24"/>
          <w:szCs w:val="24"/>
        </w:rPr>
        <w:t xml:space="preserve">e had to wait for the </w:t>
      </w:r>
      <w:r w:rsidRPr="009C4A24">
        <w:rPr>
          <w:rFonts w:cstheme="minorHAnsi"/>
          <w:sz w:val="24"/>
          <w:szCs w:val="24"/>
        </w:rPr>
        <w:t>S</w:t>
      </w:r>
      <w:r w:rsidR="00220BFF" w:rsidRPr="009C4A24">
        <w:rPr>
          <w:rFonts w:cstheme="minorHAnsi"/>
          <w:sz w:val="24"/>
          <w:szCs w:val="24"/>
        </w:rPr>
        <w:t xml:space="preserve">pecial </w:t>
      </w:r>
      <w:r w:rsidRPr="009C4A24">
        <w:rPr>
          <w:rFonts w:cstheme="minorHAnsi"/>
          <w:sz w:val="24"/>
          <w:szCs w:val="24"/>
        </w:rPr>
        <w:t>C</w:t>
      </w:r>
      <w:r w:rsidR="00220BFF" w:rsidRPr="009C4A24">
        <w:rPr>
          <w:rFonts w:cstheme="minorHAnsi"/>
          <w:sz w:val="24"/>
          <w:szCs w:val="24"/>
        </w:rPr>
        <w:t xml:space="preserve">ourt for Sierra Leone in the </w:t>
      </w:r>
      <w:r w:rsidR="00220BFF" w:rsidRPr="009C4A24">
        <w:rPr>
          <w:rFonts w:cstheme="minorHAnsi"/>
          <w:i/>
          <w:iCs/>
          <w:sz w:val="24"/>
          <w:szCs w:val="24"/>
        </w:rPr>
        <w:t>Norman</w:t>
      </w:r>
      <w:r w:rsidR="00220BFF" w:rsidRPr="009C4A24">
        <w:rPr>
          <w:rFonts w:cstheme="minorHAnsi"/>
          <w:sz w:val="24"/>
          <w:szCs w:val="24"/>
        </w:rPr>
        <w:t xml:space="preserve"> case to ascertain that the prohibition of recruitment and use of children in active hostilities </w:t>
      </w:r>
      <w:r w:rsidRPr="009C4A24">
        <w:rPr>
          <w:rFonts w:cstheme="minorHAnsi"/>
          <w:sz w:val="24"/>
          <w:szCs w:val="24"/>
        </w:rPr>
        <w:t>h</w:t>
      </w:r>
      <w:r w:rsidR="00220BFF" w:rsidRPr="009C4A24">
        <w:rPr>
          <w:rFonts w:cstheme="minorHAnsi"/>
          <w:sz w:val="24"/>
          <w:szCs w:val="24"/>
        </w:rPr>
        <w:t>ad become a crime entailing individual criminal liability from 1996 onwards.</w:t>
      </w:r>
      <w:r w:rsidR="00F25C0C" w:rsidRPr="009C4A24">
        <w:rPr>
          <w:rStyle w:val="FootnoteReference"/>
          <w:rFonts w:cstheme="minorHAnsi"/>
          <w:sz w:val="24"/>
          <w:szCs w:val="24"/>
        </w:rPr>
        <w:footnoteReference w:id="26"/>
      </w:r>
      <w:r w:rsidR="00220BFF" w:rsidRPr="009C4A24">
        <w:rPr>
          <w:rFonts w:cstheme="minorHAnsi"/>
          <w:sz w:val="24"/>
          <w:szCs w:val="24"/>
        </w:rPr>
        <w:t xml:space="preserve"> Many cases followed. In fact</w:t>
      </w:r>
      <w:r w:rsidRPr="009C4A24">
        <w:rPr>
          <w:rFonts w:cstheme="minorHAnsi"/>
          <w:sz w:val="24"/>
          <w:szCs w:val="24"/>
        </w:rPr>
        <w:t>,</w:t>
      </w:r>
      <w:r w:rsidR="00220BFF" w:rsidRPr="009C4A24">
        <w:rPr>
          <w:rFonts w:cstheme="minorHAnsi"/>
          <w:sz w:val="24"/>
          <w:szCs w:val="24"/>
        </w:rPr>
        <w:t xml:space="preserve"> all cases dealt with by the </w:t>
      </w:r>
      <w:r w:rsidRPr="009C4A24">
        <w:rPr>
          <w:rFonts w:cstheme="minorHAnsi"/>
          <w:sz w:val="24"/>
          <w:szCs w:val="24"/>
        </w:rPr>
        <w:t>S</w:t>
      </w:r>
      <w:r w:rsidR="00220BFF" w:rsidRPr="009C4A24">
        <w:rPr>
          <w:rFonts w:cstheme="minorHAnsi"/>
          <w:sz w:val="24"/>
          <w:szCs w:val="24"/>
        </w:rPr>
        <w:t xml:space="preserve">pecial </w:t>
      </w:r>
      <w:r w:rsidRPr="009C4A24">
        <w:rPr>
          <w:rFonts w:cstheme="minorHAnsi"/>
          <w:sz w:val="24"/>
          <w:szCs w:val="24"/>
        </w:rPr>
        <w:t>C</w:t>
      </w:r>
      <w:r w:rsidR="00220BFF" w:rsidRPr="009C4A24">
        <w:rPr>
          <w:rFonts w:cstheme="minorHAnsi"/>
          <w:sz w:val="24"/>
          <w:szCs w:val="24"/>
        </w:rPr>
        <w:t>ourt for Sierra Leone included the charges of conscripting or enlisting children under the age of 15 or using them to participate actively in hostilities.</w:t>
      </w:r>
      <w:r w:rsidR="00F25C0C" w:rsidRPr="009C4A24">
        <w:rPr>
          <w:rStyle w:val="FootnoteReference"/>
          <w:rFonts w:cstheme="minorHAnsi"/>
          <w:sz w:val="24"/>
          <w:szCs w:val="24"/>
        </w:rPr>
        <w:footnoteReference w:id="27"/>
      </w:r>
      <w:r w:rsidR="00220BFF" w:rsidRPr="009C4A24">
        <w:rPr>
          <w:rFonts w:cstheme="minorHAnsi"/>
          <w:sz w:val="24"/>
          <w:szCs w:val="24"/>
        </w:rPr>
        <w:t xml:space="preserve"> </w:t>
      </w:r>
      <w:r w:rsidR="008B6BDB" w:rsidRPr="009C4A24">
        <w:rPr>
          <w:rFonts w:cstheme="minorHAnsi"/>
          <w:sz w:val="24"/>
          <w:szCs w:val="24"/>
        </w:rPr>
        <w:t xml:space="preserve">The Rome Statute was the first legal instrument to codify the crimes of recruiting and </w:t>
      </w:r>
      <w:r w:rsidR="008B6BDB" w:rsidRPr="009C4A24">
        <w:rPr>
          <w:rFonts w:cstheme="minorHAnsi"/>
          <w:sz w:val="24"/>
          <w:szCs w:val="24"/>
        </w:rPr>
        <w:lastRenderedPageBreak/>
        <w:t>using children in hostilities.</w:t>
      </w:r>
      <w:r w:rsidR="008B6BDB" w:rsidRPr="009C4A24">
        <w:rPr>
          <w:rStyle w:val="FootnoteReference"/>
          <w:rFonts w:cstheme="minorHAnsi"/>
          <w:sz w:val="24"/>
          <w:szCs w:val="24"/>
        </w:rPr>
        <w:footnoteReference w:id="28"/>
      </w:r>
      <w:r w:rsidR="008B6BDB" w:rsidRPr="009C4A24">
        <w:rPr>
          <w:rFonts w:cstheme="minorHAnsi"/>
          <w:sz w:val="24"/>
          <w:szCs w:val="24"/>
        </w:rPr>
        <w:t xml:space="preserve"> It clearly spells out that recruitment and use are considered war crimes</w:t>
      </w:r>
      <w:r w:rsidR="00992305" w:rsidRPr="009C4A24">
        <w:rPr>
          <w:rFonts w:cstheme="minorHAnsi"/>
          <w:sz w:val="24"/>
          <w:szCs w:val="24"/>
        </w:rPr>
        <w:t xml:space="preserve"> and t</w:t>
      </w:r>
      <w:r w:rsidR="00220BFF" w:rsidRPr="009C4A24">
        <w:rPr>
          <w:rFonts w:cstheme="minorHAnsi"/>
          <w:sz w:val="24"/>
          <w:szCs w:val="24"/>
        </w:rPr>
        <w:t xml:space="preserve">he very first case dealt with by the </w:t>
      </w:r>
      <w:r w:rsidR="00057DEF" w:rsidRPr="009C4A24">
        <w:rPr>
          <w:rFonts w:cstheme="minorHAnsi"/>
          <w:sz w:val="24"/>
          <w:szCs w:val="24"/>
        </w:rPr>
        <w:t>ICC</w:t>
      </w:r>
      <w:r w:rsidRPr="009C4A24">
        <w:rPr>
          <w:rFonts w:cstheme="minorHAnsi"/>
          <w:sz w:val="24"/>
          <w:szCs w:val="24"/>
        </w:rPr>
        <w:t>,</w:t>
      </w:r>
      <w:r w:rsidR="00220BFF" w:rsidRPr="009C4A24">
        <w:rPr>
          <w:rFonts w:cstheme="minorHAnsi"/>
          <w:sz w:val="24"/>
          <w:szCs w:val="24"/>
        </w:rPr>
        <w:t xml:space="preserve"> that against Lubanga</w:t>
      </w:r>
      <w:r w:rsidRPr="009C4A24">
        <w:rPr>
          <w:rFonts w:cstheme="minorHAnsi"/>
          <w:sz w:val="24"/>
          <w:szCs w:val="24"/>
        </w:rPr>
        <w:t>,</w:t>
      </w:r>
      <w:r w:rsidR="00220BFF" w:rsidRPr="009C4A24">
        <w:rPr>
          <w:rFonts w:cstheme="minorHAnsi"/>
          <w:sz w:val="24"/>
          <w:szCs w:val="24"/>
        </w:rPr>
        <w:t xml:space="preserve"> </w:t>
      </w:r>
      <w:r w:rsidR="00F70770" w:rsidRPr="009C4A24">
        <w:rPr>
          <w:rFonts w:cstheme="minorHAnsi"/>
          <w:sz w:val="24"/>
          <w:szCs w:val="24"/>
        </w:rPr>
        <w:t>was entirely focused on this crime.</w:t>
      </w:r>
      <w:r w:rsidR="00F25C0C" w:rsidRPr="009C4A24">
        <w:rPr>
          <w:rStyle w:val="FootnoteReference"/>
          <w:rFonts w:cstheme="minorHAnsi"/>
          <w:sz w:val="24"/>
          <w:szCs w:val="24"/>
        </w:rPr>
        <w:footnoteReference w:id="29"/>
      </w:r>
      <w:r w:rsidR="00F70770" w:rsidRPr="009C4A24">
        <w:rPr>
          <w:rFonts w:cstheme="minorHAnsi"/>
          <w:sz w:val="24"/>
          <w:szCs w:val="24"/>
        </w:rPr>
        <w:t xml:space="preserve"> </w:t>
      </w:r>
    </w:p>
    <w:p w14:paraId="73801DB1" w14:textId="32BAC3E2" w:rsidR="005A4395" w:rsidRPr="009C4A24" w:rsidRDefault="00803701" w:rsidP="009C4A24">
      <w:pPr>
        <w:spacing w:line="276" w:lineRule="auto"/>
        <w:jc w:val="both"/>
        <w:rPr>
          <w:sz w:val="24"/>
          <w:szCs w:val="24"/>
        </w:rPr>
      </w:pPr>
      <w:r w:rsidRPr="009C4A24">
        <w:rPr>
          <w:rFonts w:cstheme="minorHAnsi"/>
          <w:sz w:val="24"/>
          <w:szCs w:val="24"/>
        </w:rPr>
        <w:t>Again,</w:t>
      </w:r>
      <w:r w:rsidR="00F70770" w:rsidRPr="009C4A24">
        <w:rPr>
          <w:rFonts w:cstheme="minorHAnsi"/>
          <w:sz w:val="24"/>
          <w:szCs w:val="24"/>
        </w:rPr>
        <w:t xml:space="preserve"> this is a crime that</w:t>
      </w:r>
      <w:r w:rsidR="006B3D35">
        <w:rPr>
          <w:rFonts w:cstheme="minorHAnsi"/>
          <w:sz w:val="24"/>
          <w:szCs w:val="24"/>
        </w:rPr>
        <w:t xml:space="preserve"> you, the Nuremberg judge,</w:t>
      </w:r>
      <w:r w:rsidR="00F70770" w:rsidRPr="009C4A24">
        <w:rPr>
          <w:rFonts w:cstheme="minorHAnsi"/>
          <w:sz w:val="24"/>
          <w:szCs w:val="24"/>
        </w:rPr>
        <w:t xml:space="preserve"> could have been prosecuted </w:t>
      </w:r>
      <w:proofErr w:type="gramStart"/>
      <w:r w:rsidR="00F70770" w:rsidRPr="009C4A24">
        <w:rPr>
          <w:rFonts w:cstheme="minorHAnsi"/>
          <w:sz w:val="24"/>
          <w:szCs w:val="24"/>
        </w:rPr>
        <w:t>on the basis of</w:t>
      </w:r>
      <w:proofErr w:type="gramEnd"/>
      <w:r w:rsidR="00F70770" w:rsidRPr="009C4A24">
        <w:rPr>
          <w:rFonts w:cstheme="minorHAnsi"/>
          <w:sz w:val="24"/>
          <w:szCs w:val="24"/>
        </w:rPr>
        <w:t xml:space="preserve"> the </w:t>
      </w:r>
      <w:r w:rsidR="007A5240" w:rsidRPr="009C4A24">
        <w:rPr>
          <w:rFonts w:cstheme="minorHAnsi"/>
          <w:sz w:val="24"/>
          <w:szCs w:val="24"/>
        </w:rPr>
        <w:t>Nuremberg</w:t>
      </w:r>
      <w:r w:rsidR="00F70770" w:rsidRPr="009C4A24">
        <w:rPr>
          <w:rFonts w:cstheme="minorHAnsi"/>
          <w:sz w:val="24"/>
          <w:szCs w:val="24"/>
        </w:rPr>
        <w:t xml:space="preserve"> principles </w:t>
      </w:r>
      <w:r w:rsidR="007A5240" w:rsidRPr="009C4A24">
        <w:rPr>
          <w:rFonts w:cstheme="minorHAnsi"/>
          <w:sz w:val="24"/>
          <w:szCs w:val="24"/>
        </w:rPr>
        <w:t>as ill-treatment</w:t>
      </w:r>
      <w:r w:rsidR="00F25C0C" w:rsidRPr="009C4A24">
        <w:rPr>
          <w:rFonts w:cstheme="minorHAnsi"/>
          <w:sz w:val="24"/>
          <w:szCs w:val="24"/>
        </w:rPr>
        <w:t xml:space="preserve">. </w:t>
      </w:r>
      <w:r w:rsidR="007A5240" w:rsidRPr="009C4A24">
        <w:rPr>
          <w:rFonts w:cstheme="minorHAnsi"/>
          <w:sz w:val="24"/>
          <w:szCs w:val="24"/>
        </w:rPr>
        <w:t xml:space="preserve">I grant you the caveat that it is not </w:t>
      </w:r>
      <w:r w:rsidR="00F25C0C" w:rsidRPr="009C4A24">
        <w:rPr>
          <w:rFonts w:cstheme="minorHAnsi"/>
          <w:sz w:val="24"/>
          <w:szCs w:val="24"/>
        </w:rPr>
        <w:t xml:space="preserve">the ill-treatment </w:t>
      </w:r>
      <w:r w:rsidR="007A5240" w:rsidRPr="009C4A24">
        <w:rPr>
          <w:rFonts w:cstheme="minorHAnsi"/>
          <w:sz w:val="24"/>
          <w:szCs w:val="24"/>
        </w:rPr>
        <w:t>of civilians in or of occupied territories</w:t>
      </w:r>
      <w:r w:rsidR="00F25C0C" w:rsidRPr="009C4A24">
        <w:rPr>
          <w:rFonts w:cstheme="minorHAnsi"/>
          <w:sz w:val="24"/>
          <w:szCs w:val="24"/>
        </w:rPr>
        <w:t xml:space="preserve"> but remember that the list in Principle VI(b) is illustrative </w:t>
      </w:r>
      <w:r w:rsidR="008B6BDB" w:rsidRPr="009C4A24">
        <w:rPr>
          <w:rFonts w:cstheme="minorHAnsi"/>
          <w:sz w:val="24"/>
          <w:szCs w:val="24"/>
        </w:rPr>
        <w:t>(‘but are not limited to’)</w:t>
      </w:r>
      <w:r w:rsidR="00D35E39" w:rsidRPr="009C4A24">
        <w:rPr>
          <w:rFonts w:cstheme="minorHAnsi"/>
          <w:sz w:val="24"/>
          <w:szCs w:val="24"/>
        </w:rPr>
        <w:t xml:space="preserve"> and so this crime</w:t>
      </w:r>
      <w:r w:rsidR="005A4395" w:rsidRPr="009C4A24">
        <w:rPr>
          <w:rFonts w:cstheme="minorHAnsi"/>
          <w:sz w:val="24"/>
          <w:szCs w:val="24"/>
        </w:rPr>
        <w:t xml:space="preserve"> could fall within the definition</w:t>
      </w:r>
      <w:r w:rsidR="007A5240" w:rsidRPr="009C4A24">
        <w:rPr>
          <w:rFonts w:cstheme="minorHAnsi"/>
          <w:sz w:val="24"/>
          <w:szCs w:val="24"/>
        </w:rPr>
        <w:t xml:space="preserve">. </w:t>
      </w:r>
      <w:r w:rsidR="0043202C" w:rsidRPr="009C4A24">
        <w:rPr>
          <w:rFonts w:cstheme="minorHAnsi"/>
          <w:sz w:val="24"/>
          <w:szCs w:val="24"/>
        </w:rPr>
        <w:t>There was no prosecution because</w:t>
      </w:r>
      <w:r w:rsidR="00F70770" w:rsidRPr="009C4A24">
        <w:rPr>
          <w:rFonts w:cstheme="minorHAnsi"/>
          <w:sz w:val="24"/>
          <w:szCs w:val="24"/>
        </w:rPr>
        <w:t xml:space="preserve"> </w:t>
      </w:r>
      <w:r w:rsidR="005A4395" w:rsidRPr="009C4A24">
        <w:rPr>
          <w:rFonts w:cstheme="minorHAnsi"/>
          <w:sz w:val="24"/>
          <w:szCs w:val="24"/>
        </w:rPr>
        <w:t>you, the Nuremberg judge but also the society of the time,</w:t>
      </w:r>
      <w:r w:rsidR="00F70770" w:rsidRPr="009C4A24">
        <w:rPr>
          <w:rFonts w:cstheme="minorHAnsi"/>
          <w:sz w:val="24"/>
          <w:szCs w:val="24"/>
        </w:rPr>
        <w:t xml:space="preserve"> did</w:t>
      </w:r>
      <w:r w:rsidR="005A4395" w:rsidRPr="009C4A24">
        <w:rPr>
          <w:rFonts w:cstheme="minorHAnsi"/>
          <w:sz w:val="24"/>
          <w:szCs w:val="24"/>
        </w:rPr>
        <w:t xml:space="preserve"> </w:t>
      </w:r>
      <w:r w:rsidR="00F70770" w:rsidRPr="009C4A24">
        <w:rPr>
          <w:rFonts w:cstheme="minorHAnsi"/>
          <w:sz w:val="24"/>
          <w:szCs w:val="24"/>
        </w:rPr>
        <w:t>n</w:t>
      </w:r>
      <w:r w:rsidR="005A4395" w:rsidRPr="009C4A24">
        <w:rPr>
          <w:rFonts w:cstheme="minorHAnsi"/>
          <w:sz w:val="24"/>
          <w:szCs w:val="24"/>
        </w:rPr>
        <w:t>o</w:t>
      </w:r>
      <w:r w:rsidR="00F70770" w:rsidRPr="009C4A24">
        <w:rPr>
          <w:rFonts w:cstheme="minorHAnsi"/>
          <w:sz w:val="24"/>
          <w:szCs w:val="24"/>
        </w:rPr>
        <w:t xml:space="preserve">t consider the recruitment and use of children in </w:t>
      </w:r>
      <w:r w:rsidR="0043202C" w:rsidRPr="009C4A24">
        <w:rPr>
          <w:rFonts w:cstheme="minorHAnsi"/>
          <w:sz w:val="24"/>
          <w:szCs w:val="24"/>
        </w:rPr>
        <w:t>hostilities</w:t>
      </w:r>
      <w:r w:rsidR="00F70770" w:rsidRPr="009C4A24">
        <w:rPr>
          <w:rFonts w:cstheme="minorHAnsi"/>
          <w:sz w:val="24"/>
          <w:szCs w:val="24"/>
        </w:rPr>
        <w:t xml:space="preserve"> as problematic. </w:t>
      </w:r>
      <w:r w:rsidR="007A5240" w:rsidRPr="009C4A24">
        <w:rPr>
          <w:rFonts w:cstheme="minorHAnsi"/>
          <w:sz w:val="24"/>
          <w:szCs w:val="24"/>
        </w:rPr>
        <w:t>Again,</w:t>
      </w:r>
      <w:r w:rsidR="00F70770" w:rsidRPr="009C4A24">
        <w:rPr>
          <w:rFonts w:cstheme="minorHAnsi"/>
          <w:sz w:val="24"/>
          <w:szCs w:val="24"/>
        </w:rPr>
        <w:t xml:space="preserve"> it was </w:t>
      </w:r>
      <w:r w:rsidR="005A4395" w:rsidRPr="009C4A24">
        <w:rPr>
          <w:rFonts w:cstheme="minorHAnsi"/>
          <w:sz w:val="24"/>
          <w:szCs w:val="24"/>
        </w:rPr>
        <w:t>your</w:t>
      </w:r>
      <w:r w:rsidR="00F70770" w:rsidRPr="009C4A24">
        <w:rPr>
          <w:rFonts w:cstheme="minorHAnsi"/>
          <w:sz w:val="24"/>
          <w:szCs w:val="24"/>
        </w:rPr>
        <w:t xml:space="preserve"> </w:t>
      </w:r>
      <w:r w:rsidR="005A4395" w:rsidRPr="009C4A24">
        <w:rPr>
          <w:i/>
          <w:iCs/>
          <w:sz w:val="24"/>
          <w:szCs w:val="24"/>
        </w:rPr>
        <w:t>Weltanschauung</w:t>
      </w:r>
      <w:r w:rsidR="005A4395" w:rsidRPr="009C4A24">
        <w:rPr>
          <w:sz w:val="24"/>
          <w:szCs w:val="24"/>
        </w:rPr>
        <w:t xml:space="preserve"> and your lack of understanding of the crime, that prevented you</w:t>
      </w:r>
      <w:r w:rsidR="0043202C" w:rsidRPr="009C4A24">
        <w:rPr>
          <w:sz w:val="24"/>
          <w:szCs w:val="24"/>
        </w:rPr>
        <w:t xml:space="preserve"> from </w:t>
      </w:r>
      <w:r w:rsidR="005A4395" w:rsidRPr="009C4A24">
        <w:rPr>
          <w:sz w:val="24"/>
          <w:szCs w:val="24"/>
        </w:rPr>
        <w:t>condemn</w:t>
      </w:r>
      <w:r w:rsidR="0043202C" w:rsidRPr="009C4A24">
        <w:rPr>
          <w:sz w:val="24"/>
          <w:szCs w:val="24"/>
        </w:rPr>
        <w:t>ing</w:t>
      </w:r>
      <w:r w:rsidR="005A4395" w:rsidRPr="009C4A24">
        <w:rPr>
          <w:sz w:val="24"/>
          <w:szCs w:val="24"/>
        </w:rPr>
        <w:t xml:space="preserve"> </w:t>
      </w:r>
      <w:r w:rsidR="0043202C" w:rsidRPr="009C4A24">
        <w:rPr>
          <w:sz w:val="24"/>
          <w:szCs w:val="24"/>
        </w:rPr>
        <w:t>such acts</w:t>
      </w:r>
      <w:r w:rsidR="005A4395" w:rsidRPr="009C4A24">
        <w:rPr>
          <w:sz w:val="24"/>
          <w:szCs w:val="24"/>
        </w:rPr>
        <w:t>.</w:t>
      </w:r>
    </w:p>
    <w:p w14:paraId="76C85D15" w14:textId="7661BF64" w:rsidR="00C326C7" w:rsidRPr="009C4A24" w:rsidRDefault="00803701" w:rsidP="009C4A24">
      <w:pPr>
        <w:spacing w:line="276" w:lineRule="auto"/>
        <w:jc w:val="both"/>
        <w:rPr>
          <w:sz w:val="24"/>
          <w:szCs w:val="24"/>
        </w:rPr>
      </w:pPr>
      <w:r w:rsidRPr="009C4A24">
        <w:rPr>
          <w:rFonts w:cstheme="minorHAnsi"/>
          <w:sz w:val="24"/>
          <w:szCs w:val="24"/>
        </w:rPr>
        <w:t xml:space="preserve">There is no doubt that the way we look at the world has undoubtedly changed and </w:t>
      </w:r>
      <w:r w:rsidR="007B7953" w:rsidRPr="009C4A24">
        <w:rPr>
          <w:rFonts w:cstheme="minorHAnsi"/>
          <w:sz w:val="24"/>
          <w:szCs w:val="24"/>
        </w:rPr>
        <w:t xml:space="preserve">so has our conception of war crimes. In his Dissenting Opinion in the </w:t>
      </w:r>
      <w:r w:rsidR="007B7953" w:rsidRPr="009C4A24">
        <w:rPr>
          <w:rFonts w:cstheme="minorHAnsi"/>
          <w:i/>
          <w:iCs/>
          <w:sz w:val="24"/>
          <w:szCs w:val="24"/>
        </w:rPr>
        <w:t xml:space="preserve">Norman </w:t>
      </w:r>
      <w:r w:rsidR="007B7953" w:rsidRPr="009C4A24">
        <w:rPr>
          <w:rFonts w:cstheme="minorHAnsi"/>
          <w:sz w:val="24"/>
          <w:szCs w:val="24"/>
        </w:rPr>
        <w:t>case Justice Robertson reminds us that ‘international criminal law is reserved for the very worst abuses of power’</w:t>
      </w:r>
      <w:r w:rsidR="006B3D35">
        <w:rPr>
          <w:rStyle w:val="FootnoteReference"/>
          <w:rFonts w:cstheme="minorHAnsi"/>
          <w:sz w:val="24"/>
          <w:szCs w:val="24"/>
        </w:rPr>
        <w:footnoteReference w:id="30"/>
      </w:r>
      <w:r w:rsidR="007B7953" w:rsidRPr="009C4A24">
        <w:rPr>
          <w:rFonts w:cstheme="minorHAnsi"/>
          <w:sz w:val="24"/>
          <w:szCs w:val="24"/>
        </w:rPr>
        <w:t xml:space="preserve"> and not every breach of international humanitarian law is an offence under international criminal law.</w:t>
      </w:r>
      <w:r w:rsidR="00373949" w:rsidRPr="009C4A24">
        <w:rPr>
          <w:rFonts w:cstheme="minorHAnsi"/>
          <w:sz w:val="24"/>
          <w:szCs w:val="24"/>
        </w:rPr>
        <w:t xml:space="preserve"> We need to demonstrate ‘</w:t>
      </w:r>
      <w:r w:rsidR="00373949" w:rsidRPr="009C4A24">
        <w:rPr>
          <w:sz w:val="24"/>
          <w:szCs w:val="24"/>
        </w:rPr>
        <w:t>the consensus of the international community that they are so destructive of the dignity of humankind that individuals accused of committing them must be put on trial, if necessary in international courts.’</w:t>
      </w:r>
      <w:r w:rsidR="006B3D35">
        <w:rPr>
          <w:rStyle w:val="FootnoteReference"/>
          <w:sz w:val="24"/>
          <w:szCs w:val="24"/>
        </w:rPr>
        <w:footnoteReference w:id="31"/>
      </w:r>
      <w:r w:rsidR="00373949" w:rsidRPr="009C4A24">
        <w:rPr>
          <w:sz w:val="24"/>
          <w:szCs w:val="24"/>
        </w:rPr>
        <w:t xml:space="preserve"> Now the consensus is that sexual violence and the recruitment and use of children in hostilities are ‘so destructive of the dignity of humankind’ that they are crimes under international criminal law.</w:t>
      </w:r>
    </w:p>
    <w:sectPr w:rsidR="00C326C7" w:rsidRPr="009C4A24" w:rsidSect="006B380F">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EA98C" w14:textId="77777777" w:rsidR="00941209" w:rsidRDefault="00941209" w:rsidP="001C66E3">
      <w:pPr>
        <w:spacing w:after="0" w:line="240" w:lineRule="auto"/>
      </w:pPr>
      <w:r>
        <w:separator/>
      </w:r>
    </w:p>
  </w:endnote>
  <w:endnote w:type="continuationSeparator" w:id="0">
    <w:p w14:paraId="6DFAEBEA" w14:textId="77777777" w:rsidR="00941209" w:rsidRDefault="00941209" w:rsidP="001C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EF96" w14:textId="77777777" w:rsidR="00941209" w:rsidRDefault="00941209" w:rsidP="001C66E3">
      <w:pPr>
        <w:spacing w:after="0" w:line="240" w:lineRule="auto"/>
      </w:pPr>
      <w:r>
        <w:separator/>
      </w:r>
    </w:p>
  </w:footnote>
  <w:footnote w:type="continuationSeparator" w:id="0">
    <w:p w14:paraId="131E6163" w14:textId="77777777" w:rsidR="00941209" w:rsidRDefault="00941209" w:rsidP="001C66E3">
      <w:pPr>
        <w:spacing w:after="0" w:line="240" w:lineRule="auto"/>
      </w:pPr>
      <w:r>
        <w:continuationSeparator/>
      </w:r>
    </w:p>
  </w:footnote>
  <w:footnote w:id="1">
    <w:p w14:paraId="2A1A9317" w14:textId="491F605A" w:rsidR="009F1913" w:rsidRPr="006B3D35" w:rsidRDefault="009F1913"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Principles of </w:t>
      </w:r>
      <w:r w:rsidR="00D5576B" w:rsidRPr="006B3D35">
        <w:rPr>
          <w:rFonts w:cstheme="minorHAnsi"/>
        </w:rPr>
        <w:t xml:space="preserve">International Law Recognized in the Charter of the </w:t>
      </w:r>
      <w:r w:rsidR="00D5576B" w:rsidRPr="006B3D35">
        <w:rPr>
          <w:rFonts w:cstheme="minorHAnsi"/>
        </w:rPr>
        <w:t>Nürnberg Tribunal and in the Judgment of the Tribunal</w:t>
      </w:r>
      <w:r w:rsidR="00D5576B" w:rsidRPr="006B3D35">
        <w:rPr>
          <w:rFonts w:cstheme="minorHAnsi"/>
        </w:rPr>
        <w:t xml:space="preserve"> (1950) Yearbook of the International Law Commission, Vol II,</w:t>
      </w:r>
      <w:r w:rsidR="00D5576B" w:rsidRPr="006B3D35">
        <w:rPr>
          <w:rFonts w:cstheme="minorHAnsi"/>
          <w:i/>
          <w:iCs/>
        </w:rPr>
        <w:t xml:space="preserve"> </w:t>
      </w:r>
      <w:r w:rsidR="00D5576B" w:rsidRPr="006B3D35">
        <w:rPr>
          <w:rFonts w:cstheme="minorHAnsi"/>
        </w:rPr>
        <w:t>para</w:t>
      </w:r>
      <w:r w:rsidR="00D5576B" w:rsidRPr="006B3D35">
        <w:rPr>
          <w:rFonts w:cstheme="minorHAnsi"/>
          <w:i/>
          <w:iCs/>
        </w:rPr>
        <w:t xml:space="preserve"> </w:t>
      </w:r>
      <w:r w:rsidR="00D5576B" w:rsidRPr="006B3D35">
        <w:rPr>
          <w:rFonts w:cstheme="minorHAnsi"/>
        </w:rPr>
        <w:t>97, available at &lt;</w:t>
      </w:r>
      <w:hyperlink r:id="rId1" w:history="1">
        <w:r w:rsidR="00D5576B" w:rsidRPr="006B3D35">
          <w:rPr>
            <w:rStyle w:val="Hyperlink"/>
            <w:rFonts w:cstheme="minorHAnsi"/>
          </w:rPr>
          <w:t>http:</w:t>
        </w:r>
        <w:r w:rsidR="00D5576B" w:rsidRPr="006B3D35">
          <w:rPr>
            <w:rStyle w:val="Hyperlink"/>
            <w:rFonts w:cstheme="minorHAnsi"/>
          </w:rPr>
          <w:t>//www.nurembergacademy.org/fileadmin/media/pdf/The_Nuremberg_Principles_International_Law_Commission_7_1_1950.pdf</w:t>
        </w:r>
      </w:hyperlink>
      <w:r w:rsidR="00D5576B" w:rsidRPr="006B3D35">
        <w:rPr>
          <w:rFonts w:cstheme="minorHAnsi"/>
        </w:rPr>
        <w:t xml:space="preserve">&gt;, 20 March 2023.   </w:t>
      </w:r>
    </w:p>
  </w:footnote>
  <w:footnote w:id="2">
    <w:p w14:paraId="751629D7" w14:textId="25142A05" w:rsidR="00821DE7" w:rsidRPr="006B3D35" w:rsidRDefault="00821DE7"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bookmarkStart w:id="0" w:name="_Hlk128755858"/>
      <w:r w:rsidRPr="006B3D35">
        <w:rPr>
          <w:rFonts w:cstheme="minorHAnsi"/>
        </w:rPr>
        <w:t xml:space="preserve">Rome Statute of the International Criminal Court (adopted 17 </w:t>
      </w:r>
      <w:r w:rsidRPr="006B3D35">
        <w:rPr>
          <w:rStyle w:val="apple-style-span"/>
          <w:rFonts w:cstheme="minorHAnsi"/>
          <w:shd w:val="clear" w:color="auto" w:fill="FFFFFF"/>
        </w:rPr>
        <w:t>July 1998,</w:t>
      </w:r>
      <w:r w:rsidRPr="006B3D35">
        <w:rPr>
          <w:rStyle w:val="apple-converted-space"/>
          <w:rFonts w:cstheme="minorHAnsi"/>
          <w:shd w:val="clear" w:color="auto" w:fill="FFFFFF"/>
        </w:rPr>
        <w:t xml:space="preserve"> entered into f</w:t>
      </w:r>
      <w:r w:rsidRPr="006B3D35">
        <w:rPr>
          <w:rStyle w:val="apple-style-span"/>
          <w:rFonts w:cstheme="minorHAnsi"/>
          <w:shd w:val="clear" w:color="auto" w:fill="FFFFFF"/>
        </w:rPr>
        <w:t>orce 1 July 2002), A/CONF.183/9</w:t>
      </w:r>
      <w:r w:rsidRPr="006B3D35">
        <w:rPr>
          <w:rFonts w:cstheme="minorHAnsi"/>
        </w:rPr>
        <w:t>.</w:t>
      </w:r>
      <w:bookmarkEnd w:id="0"/>
    </w:p>
  </w:footnote>
  <w:footnote w:id="3">
    <w:p w14:paraId="2E4A650F" w14:textId="03434DD0" w:rsidR="009F1913" w:rsidRPr="006B3D35" w:rsidRDefault="009F1913"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ICC, </w:t>
      </w:r>
      <w:r w:rsidRPr="006B3D35">
        <w:rPr>
          <w:rFonts w:cstheme="minorHAnsi"/>
          <w:i/>
          <w:iCs/>
        </w:rPr>
        <w:t xml:space="preserve">Situation in Uganda in the Case of the Prosecutor v Dominic </w:t>
      </w:r>
      <w:proofErr w:type="spellStart"/>
      <w:r w:rsidRPr="006B3D35">
        <w:rPr>
          <w:rFonts w:cstheme="minorHAnsi"/>
          <w:i/>
          <w:iCs/>
        </w:rPr>
        <w:t>Ongwen</w:t>
      </w:r>
      <w:proofErr w:type="spellEnd"/>
      <w:r w:rsidRPr="006B3D35">
        <w:rPr>
          <w:rFonts w:cstheme="minorHAnsi"/>
          <w:i/>
          <w:iCs/>
        </w:rPr>
        <w:t xml:space="preserve">, </w:t>
      </w:r>
      <w:r w:rsidRPr="006B3D35">
        <w:rPr>
          <w:rFonts w:cstheme="minorHAnsi"/>
        </w:rPr>
        <w:t xml:space="preserve">Decision on the Confirmation of Charges against Dominic </w:t>
      </w:r>
      <w:proofErr w:type="spellStart"/>
      <w:r w:rsidRPr="006B3D35">
        <w:rPr>
          <w:rFonts w:cstheme="minorHAnsi"/>
        </w:rPr>
        <w:t>Ongwen</w:t>
      </w:r>
      <w:proofErr w:type="spellEnd"/>
      <w:r w:rsidRPr="006B3D35">
        <w:rPr>
          <w:rFonts w:cstheme="minorHAnsi"/>
        </w:rPr>
        <w:t>, Pre-Trial Chamber II, ICC-02/04-01/15, 23 March 2016</w:t>
      </w:r>
      <w:r w:rsidR="00821DE7" w:rsidRPr="006B3D35">
        <w:rPr>
          <w:rFonts w:cstheme="minorHAnsi"/>
        </w:rPr>
        <w:t>.</w:t>
      </w:r>
    </w:p>
  </w:footnote>
  <w:footnote w:id="4">
    <w:p w14:paraId="183029EA" w14:textId="2B2597AC" w:rsidR="00821DE7" w:rsidRPr="006B3D35" w:rsidRDefault="00821DE7"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r w:rsidRPr="006B3D35">
        <w:rPr>
          <w:rFonts w:cstheme="minorHAnsi"/>
          <w:color w:val="242424"/>
          <w:shd w:val="clear" w:color="auto" w:fill="FFFFFF"/>
        </w:rPr>
        <w:t>General Orders No. 100: Instructions for the Government of the Armies of the United States in the Field</w:t>
      </w:r>
      <w:r w:rsidRPr="006B3D35">
        <w:rPr>
          <w:rFonts w:cstheme="minorHAnsi"/>
          <w:color w:val="242424"/>
          <w:shd w:val="clear" w:color="auto" w:fill="FFFFFF"/>
        </w:rPr>
        <w:t xml:space="preserve"> (Lieber Code), 24 April 1863, available at &lt;</w:t>
      </w:r>
      <w:hyperlink r:id="rId2" w:history="1">
        <w:r w:rsidRPr="006B3D35">
          <w:rPr>
            <w:rStyle w:val="Hyperlink"/>
            <w:rFonts w:cstheme="minorHAnsi"/>
            <w:shd w:val="clear" w:color="auto" w:fill="FFFFFF"/>
          </w:rPr>
          <w:t>https://ihl-databases.icrc.org/assets/treaties/110-IHL-L-Code-EN.pdf</w:t>
        </w:r>
      </w:hyperlink>
      <w:r w:rsidRPr="006B3D35">
        <w:rPr>
          <w:rFonts w:cstheme="minorHAnsi"/>
          <w:color w:val="242424"/>
          <w:shd w:val="clear" w:color="auto" w:fill="FFFFFF"/>
        </w:rPr>
        <w:t xml:space="preserve">&gt;, 20 March 2023. </w:t>
      </w:r>
    </w:p>
  </w:footnote>
  <w:footnote w:id="5">
    <w:p w14:paraId="147FB2F9" w14:textId="17C2615C" w:rsidR="00821DE7" w:rsidRPr="006B3D35" w:rsidRDefault="00821DE7"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United Nations Security Council, Resolution 827 (1993), UN Doc S/RES/827 (1993), 25 May 1993; </w:t>
      </w:r>
      <w:r w:rsidRPr="006B3D35">
        <w:rPr>
          <w:rFonts w:cstheme="minorHAnsi"/>
        </w:rPr>
        <w:t>Statute for the International Criminal Tribunal for the Former Yugoslavia (ICTY Statute) 1993, 32 ILM 1159 (1993)</w:t>
      </w:r>
      <w:r w:rsidRPr="006B3D35">
        <w:rPr>
          <w:rFonts w:cstheme="minorHAnsi"/>
        </w:rPr>
        <w:t>, available at &lt;</w:t>
      </w:r>
      <w:hyperlink r:id="rId3" w:history="1">
        <w:r w:rsidRPr="006B3D35">
          <w:rPr>
            <w:rStyle w:val="Hyperlink"/>
            <w:rFonts w:cstheme="minorHAnsi"/>
          </w:rPr>
          <w:t>https://www.icty.org/x/file/Legal%20Library/Statute/statute_sept09_en.pdf</w:t>
        </w:r>
      </w:hyperlink>
      <w:r w:rsidRPr="006B3D35">
        <w:rPr>
          <w:rFonts w:cstheme="minorHAnsi"/>
          <w:color w:val="242424"/>
          <w:shd w:val="clear" w:color="auto" w:fill="FFFFFF"/>
        </w:rPr>
        <w:t xml:space="preserve">&gt;, 20 March 2023. </w:t>
      </w:r>
      <w:r w:rsidRPr="006B3D35">
        <w:rPr>
          <w:rFonts w:cstheme="minorHAnsi"/>
        </w:rPr>
        <w:t xml:space="preserve"> </w:t>
      </w:r>
    </w:p>
  </w:footnote>
  <w:footnote w:id="6">
    <w:p w14:paraId="5429D1AB" w14:textId="32530BB6" w:rsidR="009F1913" w:rsidRPr="006B3D35" w:rsidRDefault="009F1913"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ICTY, </w:t>
      </w:r>
      <w:r w:rsidRPr="006B3D35">
        <w:rPr>
          <w:rFonts w:cstheme="minorHAnsi"/>
          <w:i/>
          <w:iCs/>
        </w:rPr>
        <w:t>Prosecutor v</w:t>
      </w:r>
      <w:r w:rsidR="005447D8" w:rsidRPr="006B3D35">
        <w:rPr>
          <w:rFonts w:cstheme="minorHAnsi"/>
          <w:i/>
          <w:iCs/>
        </w:rPr>
        <w:t xml:space="preserve"> </w:t>
      </w:r>
      <w:proofErr w:type="spellStart"/>
      <w:r w:rsidR="005447D8" w:rsidRPr="006B3D35">
        <w:rPr>
          <w:rFonts w:cstheme="minorHAnsi"/>
          <w:i/>
          <w:iCs/>
        </w:rPr>
        <w:t>Duško</w:t>
      </w:r>
      <w:proofErr w:type="spellEnd"/>
      <w:r w:rsidRPr="006B3D35">
        <w:rPr>
          <w:rFonts w:cstheme="minorHAnsi"/>
          <w:i/>
          <w:iCs/>
        </w:rPr>
        <w:t xml:space="preserve"> </w:t>
      </w:r>
      <w:proofErr w:type="spellStart"/>
      <w:r w:rsidRPr="006B3D35">
        <w:rPr>
          <w:rFonts w:cstheme="minorHAnsi"/>
          <w:i/>
          <w:iCs/>
        </w:rPr>
        <w:t>Tadi</w:t>
      </w:r>
      <w:r w:rsidR="005447D8" w:rsidRPr="006B3D35">
        <w:rPr>
          <w:rFonts w:cstheme="minorHAnsi"/>
          <w:i/>
          <w:iCs/>
        </w:rPr>
        <w:t>ć</w:t>
      </w:r>
      <w:proofErr w:type="spellEnd"/>
      <w:r w:rsidRPr="006B3D35">
        <w:rPr>
          <w:rFonts w:cstheme="minorHAnsi"/>
        </w:rPr>
        <w:t xml:space="preserve">, </w:t>
      </w:r>
      <w:r w:rsidR="00D5576B" w:rsidRPr="006B3D35">
        <w:rPr>
          <w:rFonts w:cstheme="minorHAnsi"/>
        </w:rPr>
        <w:t xml:space="preserve">Decision on the Defence Motion for </w:t>
      </w:r>
      <w:r w:rsidRPr="006B3D35">
        <w:rPr>
          <w:rFonts w:cstheme="minorHAnsi"/>
        </w:rPr>
        <w:t>Interlocutory Appeal on Jurisdiction,</w:t>
      </w:r>
      <w:r w:rsidR="00821DE7" w:rsidRPr="006B3D35">
        <w:rPr>
          <w:rFonts w:cstheme="minorHAnsi"/>
        </w:rPr>
        <w:t xml:space="preserve"> Appeals Chamber</w:t>
      </w:r>
      <w:r w:rsidR="001E5EB0" w:rsidRPr="006B3D35">
        <w:rPr>
          <w:rFonts w:cstheme="minorHAnsi"/>
        </w:rPr>
        <w:t xml:space="preserve">, </w:t>
      </w:r>
      <w:r w:rsidR="00821DE7" w:rsidRPr="006B3D35">
        <w:rPr>
          <w:rFonts w:cstheme="minorHAnsi"/>
        </w:rPr>
        <w:t>IT-94-1</w:t>
      </w:r>
      <w:r w:rsidR="001E5EB0" w:rsidRPr="006B3D35">
        <w:rPr>
          <w:rFonts w:cstheme="minorHAnsi"/>
        </w:rPr>
        <w:t xml:space="preserve">, </w:t>
      </w:r>
      <w:r w:rsidR="00D5576B" w:rsidRPr="006B3D35">
        <w:rPr>
          <w:rFonts w:cstheme="minorHAnsi"/>
        </w:rPr>
        <w:t xml:space="preserve">2 October </w:t>
      </w:r>
      <w:r w:rsidRPr="006B3D35">
        <w:rPr>
          <w:rFonts w:cstheme="minorHAnsi"/>
        </w:rPr>
        <w:t>1995</w:t>
      </w:r>
      <w:r w:rsidR="00821DE7" w:rsidRPr="006B3D35">
        <w:rPr>
          <w:rFonts w:cstheme="minorHAnsi"/>
        </w:rPr>
        <w:t>.</w:t>
      </w:r>
    </w:p>
  </w:footnote>
  <w:footnote w:id="7">
    <w:p w14:paraId="0B01C430" w14:textId="4308E42A" w:rsidR="009F1913" w:rsidRPr="006B3D35" w:rsidRDefault="009F1913"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RJ Goldstone, ‘Prosecuting Rape as a War Crime’ (2002) 34(3) </w:t>
      </w:r>
      <w:r w:rsidRPr="006B3D35">
        <w:rPr>
          <w:rFonts w:cstheme="minorHAnsi"/>
          <w:i/>
          <w:iCs/>
        </w:rPr>
        <w:t xml:space="preserve">Case Western Reserve Journal of International Law </w:t>
      </w:r>
      <w:r w:rsidRPr="006B3D35">
        <w:rPr>
          <w:rFonts w:cstheme="minorHAnsi"/>
        </w:rPr>
        <w:t>277, 279.</w:t>
      </w:r>
    </w:p>
  </w:footnote>
  <w:footnote w:id="8">
    <w:p w14:paraId="01A7BF79" w14:textId="6AEC7120" w:rsidR="009F1913" w:rsidRPr="006B3D35" w:rsidRDefault="009F1913"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r w:rsidR="00C35B25" w:rsidRPr="006B3D35">
        <w:rPr>
          <w:rFonts w:cstheme="minorHAnsi"/>
          <w:i/>
          <w:iCs/>
        </w:rPr>
        <w:t>ibid</w:t>
      </w:r>
      <w:r w:rsidRPr="006B3D35">
        <w:rPr>
          <w:rFonts w:cstheme="minorHAnsi"/>
        </w:rPr>
        <w:t xml:space="preserve"> 279.</w:t>
      </w:r>
    </w:p>
  </w:footnote>
  <w:footnote w:id="9">
    <w:p w14:paraId="540E6BFC" w14:textId="06E3ACCB" w:rsidR="00C35B25" w:rsidRPr="006B3D35" w:rsidRDefault="00C35B25"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See background information in L Smith-Spark, ‘How Did Rape Become a Weapon of War?’, </w:t>
      </w:r>
      <w:r w:rsidRPr="006B3D35">
        <w:rPr>
          <w:rFonts w:cstheme="minorHAnsi"/>
          <w:i/>
          <w:iCs/>
        </w:rPr>
        <w:t xml:space="preserve">BBC News, </w:t>
      </w:r>
      <w:r w:rsidRPr="006B3D35">
        <w:rPr>
          <w:rFonts w:cstheme="minorHAnsi"/>
        </w:rPr>
        <w:t>8 December 2004, available at &lt;</w:t>
      </w:r>
      <w:hyperlink r:id="rId4" w:history="1">
        <w:r w:rsidRPr="006B3D35">
          <w:rPr>
            <w:rStyle w:val="Hyperlink"/>
            <w:rFonts w:cstheme="minorHAnsi"/>
          </w:rPr>
          <w:t>http://news.bbc.co.uk/1/hi/4078677.stm</w:t>
        </w:r>
      </w:hyperlink>
      <w:r w:rsidRPr="006B3D35">
        <w:rPr>
          <w:rFonts w:cstheme="minorHAnsi"/>
        </w:rPr>
        <w:t xml:space="preserve">&gt;, 20 March 2023. </w:t>
      </w:r>
    </w:p>
  </w:footnote>
  <w:footnote w:id="10">
    <w:p w14:paraId="34D08871" w14:textId="1A5656E1" w:rsidR="00DB6A0D" w:rsidRPr="006B3D35" w:rsidRDefault="00DB6A0D"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ICC, </w:t>
      </w:r>
      <w:r w:rsidRPr="006B3D35">
        <w:rPr>
          <w:rFonts w:cstheme="minorHAnsi"/>
          <w:i/>
          <w:iCs/>
        </w:rPr>
        <w:t xml:space="preserve">Situation in the Central African Republic in the Case of the Prosecutor v Jean-Pierre Bemba </w:t>
      </w:r>
      <w:proofErr w:type="spellStart"/>
      <w:r w:rsidRPr="006B3D35">
        <w:rPr>
          <w:rFonts w:cstheme="minorHAnsi"/>
          <w:i/>
          <w:iCs/>
        </w:rPr>
        <w:t>Gombo</w:t>
      </w:r>
      <w:proofErr w:type="spellEnd"/>
      <w:r w:rsidRPr="006B3D35">
        <w:rPr>
          <w:rFonts w:cstheme="minorHAnsi"/>
          <w:i/>
          <w:iCs/>
        </w:rPr>
        <w:t xml:space="preserve">, </w:t>
      </w:r>
      <w:r w:rsidRPr="006B3D35">
        <w:rPr>
          <w:rFonts w:cstheme="minorHAnsi"/>
        </w:rPr>
        <w:t>Decision on Sentence Pursuant to Article 76 of the Statute, Trial Chamber III, ICC-01/05-01/08, 21 June 2016, para 44.</w:t>
      </w:r>
    </w:p>
  </w:footnote>
  <w:footnote w:id="11">
    <w:p w14:paraId="0B896E76" w14:textId="299C16FE" w:rsidR="00465125" w:rsidRPr="006B3D35" w:rsidRDefault="00465125"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r w:rsidR="006B3D35">
        <w:rPr>
          <w:rFonts w:cstheme="minorHAnsi"/>
          <w:i/>
          <w:iCs/>
        </w:rPr>
        <w:t>I</w:t>
      </w:r>
      <w:r w:rsidR="00C35B25" w:rsidRPr="006B3D35">
        <w:rPr>
          <w:rFonts w:cstheme="minorHAnsi"/>
          <w:i/>
          <w:iCs/>
        </w:rPr>
        <w:t>bid</w:t>
      </w:r>
      <w:r w:rsidR="00C35B25" w:rsidRPr="006B3D35">
        <w:rPr>
          <w:rFonts w:cstheme="minorHAnsi"/>
        </w:rPr>
        <w:t xml:space="preserve"> </w:t>
      </w:r>
      <w:r w:rsidRPr="006B3D35">
        <w:rPr>
          <w:rFonts w:cstheme="minorHAnsi"/>
        </w:rPr>
        <w:t>para</w:t>
      </w:r>
      <w:r w:rsidR="00DB6A0D" w:rsidRPr="006B3D35">
        <w:rPr>
          <w:rFonts w:cstheme="minorHAnsi"/>
        </w:rPr>
        <w:t>s 36-</w:t>
      </w:r>
      <w:r w:rsidRPr="006B3D35">
        <w:rPr>
          <w:rFonts w:cstheme="minorHAnsi"/>
        </w:rPr>
        <w:t>39.</w:t>
      </w:r>
    </w:p>
  </w:footnote>
  <w:footnote w:id="12">
    <w:p w14:paraId="7CE80580" w14:textId="5D3430EA" w:rsidR="00C9112E" w:rsidRPr="006B3D35" w:rsidRDefault="00C9112E"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r w:rsidR="006B3D35" w:rsidRPr="006B3D35">
        <w:rPr>
          <w:rFonts w:cstheme="minorHAnsi"/>
          <w:i/>
          <w:iCs/>
        </w:rPr>
        <w:t>I</w:t>
      </w:r>
      <w:r w:rsidR="00C35B25" w:rsidRPr="006B3D35">
        <w:rPr>
          <w:rFonts w:cstheme="minorHAnsi"/>
          <w:i/>
          <w:iCs/>
        </w:rPr>
        <w:t>bid</w:t>
      </w:r>
      <w:r w:rsidR="00C35B25" w:rsidRPr="006B3D35">
        <w:rPr>
          <w:rFonts w:cstheme="minorHAnsi"/>
        </w:rPr>
        <w:t xml:space="preserve"> </w:t>
      </w:r>
      <w:r w:rsidRPr="006B3D35">
        <w:rPr>
          <w:rFonts w:cstheme="minorHAnsi"/>
        </w:rPr>
        <w:t>para 47.</w:t>
      </w:r>
    </w:p>
  </w:footnote>
  <w:footnote w:id="13">
    <w:p w14:paraId="20630486" w14:textId="3A5008C2" w:rsidR="009F1913" w:rsidRPr="006B3D35" w:rsidRDefault="009F1913"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r w:rsidR="005A4395" w:rsidRPr="006B3D35">
        <w:rPr>
          <w:rFonts w:cstheme="minorHAnsi"/>
        </w:rPr>
        <w:t xml:space="preserve">ICTY, </w:t>
      </w:r>
      <w:r w:rsidR="005A4395" w:rsidRPr="006B3D35">
        <w:rPr>
          <w:rFonts w:cstheme="minorHAnsi"/>
          <w:i/>
        </w:rPr>
        <w:t xml:space="preserve">Prosecutor v </w:t>
      </w:r>
      <w:r w:rsidR="005447D8" w:rsidRPr="006B3D35">
        <w:rPr>
          <w:rFonts w:cstheme="minorHAnsi"/>
          <w:i/>
        </w:rPr>
        <w:t xml:space="preserve">Dragoljub </w:t>
      </w:r>
      <w:proofErr w:type="spellStart"/>
      <w:r w:rsidR="005A4395" w:rsidRPr="006B3D35">
        <w:rPr>
          <w:rFonts w:cstheme="minorHAnsi"/>
          <w:bCs/>
          <w:i/>
        </w:rPr>
        <w:t>Kunarac</w:t>
      </w:r>
      <w:proofErr w:type="spellEnd"/>
      <w:r w:rsidR="005A4395" w:rsidRPr="006B3D35">
        <w:rPr>
          <w:rFonts w:cstheme="minorHAnsi"/>
          <w:i/>
        </w:rPr>
        <w:t xml:space="preserve"> et al, </w:t>
      </w:r>
      <w:r w:rsidR="005A4395" w:rsidRPr="006B3D35">
        <w:rPr>
          <w:rFonts w:cstheme="minorHAnsi"/>
          <w:iCs/>
        </w:rPr>
        <w:t>Judgment,</w:t>
      </w:r>
      <w:r w:rsidR="005A4395" w:rsidRPr="006B3D35">
        <w:rPr>
          <w:rFonts w:cstheme="minorHAnsi"/>
        </w:rPr>
        <w:t xml:space="preserve"> </w:t>
      </w:r>
      <w:r w:rsidR="005447D8" w:rsidRPr="006B3D35">
        <w:rPr>
          <w:rFonts w:cstheme="minorHAnsi"/>
        </w:rPr>
        <w:t>Trial Chamber II,</w:t>
      </w:r>
      <w:r w:rsidR="005A4395" w:rsidRPr="006B3D35">
        <w:rPr>
          <w:rFonts w:cstheme="minorHAnsi"/>
        </w:rPr>
        <w:t xml:space="preserve"> IT-96-23-T and IT-96-23/1-T, 22 February 2001.</w:t>
      </w:r>
    </w:p>
  </w:footnote>
  <w:footnote w:id="14">
    <w:p w14:paraId="17EE98F4" w14:textId="1FB646F9" w:rsidR="009F1913" w:rsidRPr="006B3D35" w:rsidRDefault="009F1913"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ICTR, </w:t>
      </w:r>
      <w:r w:rsidR="005A4395" w:rsidRPr="006B3D35">
        <w:rPr>
          <w:rFonts w:cstheme="minorHAnsi"/>
          <w:i/>
          <w:iCs/>
        </w:rPr>
        <w:t xml:space="preserve">Prosecutor v </w:t>
      </w:r>
      <w:r w:rsidR="005447D8" w:rsidRPr="006B3D35">
        <w:rPr>
          <w:rFonts w:cstheme="minorHAnsi"/>
          <w:i/>
          <w:iCs/>
        </w:rPr>
        <w:t xml:space="preserve">Jean-Paul </w:t>
      </w:r>
      <w:proofErr w:type="spellStart"/>
      <w:r w:rsidRPr="006B3D35">
        <w:rPr>
          <w:rFonts w:cstheme="minorHAnsi"/>
          <w:i/>
          <w:iCs/>
        </w:rPr>
        <w:t>Akayesu</w:t>
      </w:r>
      <w:proofErr w:type="spellEnd"/>
      <w:r w:rsidR="005A4395" w:rsidRPr="006B3D35">
        <w:rPr>
          <w:rFonts w:cstheme="minorHAnsi"/>
          <w:i/>
          <w:iCs/>
        </w:rPr>
        <w:t xml:space="preserve">, </w:t>
      </w:r>
      <w:r w:rsidR="005A4395" w:rsidRPr="006B3D35">
        <w:rPr>
          <w:rFonts w:cstheme="minorHAnsi"/>
        </w:rPr>
        <w:t xml:space="preserve">Judgment, </w:t>
      </w:r>
      <w:r w:rsidR="005447D8" w:rsidRPr="006B3D35">
        <w:rPr>
          <w:rFonts w:cstheme="minorHAnsi"/>
        </w:rPr>
        <w:t>Chamber I,</w:t>
      </w:r>
      <w:r w:rsidR="005A4395" w:rsidRPr="006B3D35">
        <w:rPr>
          <w:rFonts w:cstheme="minorHAnsi"/>
        </w:rPr>
        <w:t xml:space="preserve"> ICTR-96-4-T, 2 September 1998, para </w:t>
      </w:r>
      <w:r w:rsidR="005447D8" w:rsidRPr="006B3D35">
        <w:rPr>
          <w:rFonts w:cstheme="minorHAnsi"/>
        </w:rPr>
        <w:t>688</w:t>
      </w:r>
      <w:r w:rsidR="005A4395" w:rsidRPr="006B3D35">
        <w:rPr>
          <w:rFonts w:cstheme="minorHAnsi"/>
        </w:rPr>
        <w:t>.</w:t>
      </w:r>
    </w:p>
  </w:footnote>
  <w:footnote w:id="15">
    <w:p w14:paraId="5AF7D714" w14:textId="6AC8BCF9" w:rsidR="005447D8" w:rsidRPr="006B3D35" w:rsidRDefault="005447D8"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r w:rsidRPr="006B3D35">
        <w:rPr>
          <w:rFonts w:cstheme="minorHAnsi"/>
        </w:rPr>
        <w:t>Art 8(2)(b)(xxii)</w:t>
      </w:r>
      <w:r w:rsidRPr="006B3D35">
        <w:rPr>
          <w:rFonts w:cstheme="minorHAnsi"/>
        </w:rPr>
        <w:t xml:space="preserve"> ICC Statute (n 5).</w:t>
      </w:r>
    </w:p>
  </w:footnote>
  <w:footnote w:id="16">
    <w:p w14:paraId="6D2D46D8" w14:textId="083D4165" w:rsidR="005447D8" w:rsidRPr="006B3D35" w:rsidRDefault="005447D8"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r w:rsidRPr="006B3D35">
        <w:rPr>
          <w:rFonts w:cstheme="minorHAnsi"/>
        </w:rPr>
        <w:t>Art 8(2)(d)(vi)</w:t>
      </w:r>
      <w:r w:rsidRPr="006B3D35">
        <w:rPr>
          <w:rFonts w:cstheme="minorHAnsi"/>
        </w:rPr>
        <w:t xml:space="preserve"> ICC Statute (n 5).</w:t>
      </w:r>
    </w:p>
  </w:footnote>
  <w:footnote w:id="17">
    <w:p w14:paraId="2C54A62C" w14:textId="3A1D4864" w:rsidR="005247A9" w:rsidRPr="006B3D35" w:rsidRDefault="005247A9"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Y Sandoz, C </w:t>
      </w:r>
      <w:proofErr w:type="spellStart"/>
      <w:proofErr w:type="gramStart"/>
      <w:r w:rsidRPr="006B3D35">
        <w:rPr>
          <w:rFonts w:cstheme="minorHAnsi"/>
        </w:rPr>
        <w:t>Swinarski</w:t>
      </w:r>
      <w:proofErr w:type="spellEnd"/>
      <w:proofErr w:type="gramEnd"/>
      <w:r w:rsidRPr="006B3D35">
        <w:rPr>
          <w:rFonts w:cstheme="minorHAnsi"/>
        </w:rPr>
        <w:t xml:space="preserve"> and B Zimmermann (eds), </w:t>
      </w:r>
      <w:r w:rsidRPr="006B3D35">
        <w:rPr>
          <w:rFonts w:cstheme="minorHAnsi"/>
          <w:i/>
        </w:rPr>
        <w:t>Commentary on the Additional Protocols to the Geneva Conventions</w:t>
      </w:r>
      <w:r w:rsidRPr="006B3D35">
        <w:rPr>
          <w:rFonts w:cstheme="minorHAnsi"/>
        </w:rPr>
        <w:t xml:space="preserve"> (ICRC 1987) para 3183.</w:t>
      </w:r>
    </w:p>
  </w:footnote>
  <w:footnote w:id="18">
    <w:p w14:paraId="26DAADED" w14:textId="0AF2645F" w:rsidR="005247A9" w:rsidRPr="006B3D35" w:rsidRDefault="005247A9"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r w:rsidR="005447D8" w:rsidRPr="006B3D35">
        <w:rPr>
          <w:rFonts w:cstheme="minorHAnsi"/>
          <w:i/>
          <w:iCs/>
        </w:rPr>
        <w:t>Ibid</w:t>
      </w:r>
      <w:r w:rsidR="005447D8" w:rsidRPr="006B3D35">
        <w:rPr>
          <w:rFonts w:cstheme="minorHAnsi"/>
        </w:rPr>
        <w:t>,</w:t>
      </w:r>
      <w:r w:rsidRPr="006B3D35">
        <w:rPr>
          <w:rFonts w:cstheme="minorHAnsi"/>
        </w:rPr>
        <w:t xml:space="preserve"> para 3184.</w:t>
      </w:r>
    </w:p>
  </w:footnote>
  <w:footnote w:id="19">
    <w:p w14:paraId="78E71FAF" w14:textId="4F4F9FEC" w:rsidR="00F25C0C" w:rsidRPr="006B3D35" w:rsidRDefault="00F25C0C"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r w:rsidRPr="006B3D35">
        <w:rPr>
          <w:rFonts w:eastAsia="Times New Roman" w:cstheme="minorHAnsi"/>
        </w:rPr>
        <w:t>Protocol Additional to the Geneva Conventions of 12 August 1949, and Relating to the Protection of Victims of Non-International Armed Conflicts (APII) 1977, 1125 UNTS 609</w:t>
      </w:r>
      <w:r w:rsidR="00D35E39" w:rsidRPr="006B3D35">
        <w:rPr>
          <w:rFonts w:eastAsia="Times New Roman" w:cstheme="minorHAnsi"/>
        </w:rPr>
        <w:t xml:space="preserve">, Art 4. </w:t>
      </w:r>
    </w:p>
  </w:footnote>
  <w:footnote w:id="20">
    <w:p w14:paraId="742AC65A" w14:textId="731DA918" w:rsidR="00F25C0C" w:rsidRPr="006B3D35" w:rsidRDefault="00F25C0C"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r w:rsidRPr="006B3D35">
        <w:rPr>
          <w:rFonts w:eastAsia="Times New Roman" w:cstheme="minorHAnsi"/>
        </w:rPr>
        <w:t>Protocol Additional to the Geneva Conventions of 12 August 1949, and Relating to the Protection of Victims of International Armed Conflicts (API) 1977, 1125 UNTS 3</w:t>
      </w:r>
      <w:r w:rsidR="00D35E39" w:rsidRPr="006B3D35">
        <w:rPr>
          <w:rFonts w:eastAsia="Times New Roman" w:cstheme="minorHAnsi"/>
        </w:rPr>
        <w:t>, Art 77.</w:t>
      </w:r>
    </w:p>
  </w:footnote>
  <w:footnote w:id="21">
    <w:p w14:paraId="302D0199" w14:textId="1619B9DB" w:rsidR="00D35E39" w:rsidRPr="006B3D35" w:rsidRDefault="00D35E39"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Sandoz</w:t>
      </w:r>
      <w:r w:rsidR="006B3D35" w:rsidRPr="006B3D35">
        <w:rPr>
          <w:rFonts w:cstheme="minorHAnsi"/>
        </w:rPr>
        <w:t xml:space="preserve"> </w:t>
      </w:r>
      <w:r w:rsidR="006B3D35" w:rsidRPr="006B3D35">
        <w:rPr>
          <w:rFonts w:cstheme="minorHAnsi"/>
          <w:i/>
          <w:iCs/>
        </w:rPr>
        <w:t xml:space="preserve">et al </w:t>
      </w:r>
      <w:r w:rsidR="006B3D35" w:rsidRPr="006B3D35">
        <w:rPr>
          <w:rFonts w:cstheme="minorHAnsi"/>
        </w:rPr>
        <w:t>(n 17)</w:t>
      </w:r>
      <w:r w:rsidRPr="006B3D35">
        <w:rPr>
          <w:rFonts w:cstheme="minorHAnsi"/>
        </w:rPr>
        <w:t xml:space="preserve"> para 3184</w:t>
      </w:r>
      <w:r w:rsidR="006B3D35">
        <w:rPr>
          <w:rFonts w:cstheme="minorHAnsi"/>
        </w:rPr>
        <w:t>.</w:t>
      </w:r>
    </w:p>
  </w:footnote>
  <w:footnote w:id="22">
    <w:p w14:paraId="01692DE9" w14:textId="1767599F" w:rsidR="005247A9" w:rsidRPr="006B3D35" w:rsidRDefault="005247A9"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United Nations General Assembly, Resolution 44/25: </w:t>
      </w:r>
      <w:r w:rsidRPr="006B3D35">
        <w:rPr>
          <w:rFonts w:eastAsia="Times New Roman" w:cstheme="minorHAnsi"/>
        </w:rPr>
        <w:t>Convention on the Rights of the Child (UNCRC) (adopted 20 November 1989, entered into force 2 September 1990) 1577 UNTS 3, Article 38.</w:t>
      </w:r>
    </w:p>
  </w:footnote>
  <w:footnote w:id="23">
    <w:p w14:paraId="502E2CFF" w14:textId="77777777" w:rsidR="005A4395" w:rsidRPr="006B3D35" w:rsidRDefault="005A4395"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r w:rsidRPr="006B3D35">
        <w:rPr>
          <w:rStyle w:val="apple-style-span"/>
          <w:rFonts w:cstheme="minorHAnsi"/>
          <w:bCs/>
          <w:shd w:val="clear" w:color="auto" w:fill="FFFFFF"/>
        </w:rPr>
        <w:t>G</w:t>
      </w:r>
      <w:r w:rsidRPr="006B3D35">
        <w:rPr>
          <w:rStyle w:val="apple-converted-space"/>
          <w:rFonts w:cstheme="minorHAnsi"/>
          <w:shd w:val="clear" w:color="auto" w:fill="FFFFFF"/>
        </w:rPr>
        <w:t> </w:t>
      </w:r>
      <w:r w:rsidRPr="006B3D35">
        <w:rPr>
          <w:rStyle w:val="apple-style-span"/>
          <w:rFonts w:cstheme="minorHAnsi"/>
          <w:bCs/>
          <w:shd w:val="clear" w:color="auto" w:fill="FFFFFF"/>
        </w:rPr>
        <w:t>Machel</w:t>
      </w:r>
      <w:r w:rsidRPr="006B3D35">
        <w:rPr>
          <w:rStyle w:val="apple-style-span"/>
          <w:rFonts w:cstheme="minorHAnsi"/>
          <w:shd w:val="clear" w:color="auto" w:fill="FFFFFF"/>
        </w:rPr>
        <w:t xml:space="preserve">, </w:t>
      </w:r>
      <w:r w:rsidRPr="006B3D35">
        <w:rPr>
          <w:rStyle w:val="apple-style-span"/>
          <w:rFonts w:cstheme="minorHAnsi"/>
          <w:i/>
          <w:iCs/>
          <w:shd w:val="clear" w:color="auto" w:fill="FFFFFF"/>
        </w:rPr>
        <w:t>Study of the Impact of</w:t>
      </w:r>
      <w:r w:rsidRPr="006B3D35">
        <w:rPr>
          <w:rFonts w:cstheme="minorHAnsi"/>
          <w:i/>
          <w:iCs/>
          <w:shd w:val="clear" w:color="auto" w:fill="FFFFFF"/>
        </w:rPr>
        <w:t xml:space="preserve"> </w:t>
      </w:r>
      <w:r w:rsidRPr="006B3D35">
        <w:rPr>
          <w:rStyle w:val="apple-style-span"/>
          <w:rFonts w:cstheme="minorHAnsi"/>
          <w:i/>
          <w:iCs/>
          <w:shd w:val="clear" w:color="auto" w:fill="FFFFFF"/>
        </w:rPr>
        <w:t>Armed Conflict on</w:t>
      </w:r>
      <w:r w:rsidRPr="006B3D35">
        <w:rPr>
          <w:rStyle w:val="apple-converted-space"/>
          <w:rFonts w:cstheme="minorHAnsi"/>
          <w:i/>
          <w:iCs/>
          <w:shd w:val="clear" w:color="auto" w:fill="FFFFFF"/>
        </w:rPr>
        <w:t> </w:t>
      </w:r>
      <w:r w:rsidRPr="006B3D35">
        <w:rPr>
          <w:rStyle w:val="apple-style-span"/>
          <w:rFonts w:cstheme="minorHAnsi"/>
          <w:bCs/>
          <w:i/>
          <w:iCs/>
          <w:shd w:val="clear" w:color="auto" w:fill="FFFFFF"/>
        </w:rPr>
        <w:t>Children</w:t>
      </w:r>
      <w:r w:rsidRPr="006B3D35">
        <w:rPr>
          <w:rStyle w:val="apple-style-span"/>
          <w:rFonts w:cstheme="minorHAnsi"/>
          <w:shd w:val="clear" w:color="auto" w:fill="FFFFFF"/>
        </w:rPr>
        <w:t>, UN Doc A/51/306, 26 August 1996</w:t>
      </w:r>
      <w:r w:rsidRPr="006B3D35">
        <w:rPr>
          <w:rFonts w:cstheme="minorHAnsi"/>
        </w:rPr>
        <w:t>.</w:t>
      </w:r>
    </w:p>
  </w:footnote>
  <w:footnote w:id="24">
    <w:p w14:paraId="6FC9E5E3" w14:textId="7EA95C6C" w:rsidR="005A4395" w:rsidRPr="006B3D35" w:rsidRDefault="005A4395"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r w:rsidR="001E5EB0" w:rsidRPr="006B3D35">
        <w:rPr>
          <w:rFonts w:cstheme="minorHAnsi"/>
        </w:rPr>
        <w:t xml:space="preserve">Ah Ah-Jung Lee, </w:t>
      </w:r>
      <w:r w:rsidR="001E5EB0" w:rsidRPr="006B3D35">
        <w:rPr>
          <w:rFonts w:cstheme="minorHAnsi"/>
          <w:i/>
        </w:rPr>
        <w:t xml:space="preserve">Understanding and Addressing the Phenomenon of “Child Soldiers”: The Gap Between the Global Humanitarian Discourse and the Local Understandings and Experiences of Young People’s Military Recruitment, </w:t>
      </w:r>
      <w:r w:rsidR="001E5EB0" w:rsidRPr="006B3D35">
        <w:rPr>
          <w:rFonts w:cstheme="minorHAnsi"/>
        </w:rPr>
        <w:t xml:space="preserve">Refugee Studies Centre, Working Paper Series No. 52, January 2009, </w:t>
      </w:r>
      <w:r w:rsidRPr="006B3D35">
        <w:rPr>
          <w:rFonts w:cstheme="minorHAnsi"/>
        </w:rPr>
        <w:t>3.</w:t>
      </w:r>
    </w:p>
  </w:footnote>
  <w:footnote w:id="25">
    <w:p w14:paraId="0D78F0A2" w14:textId="73FBCC50" w:rsidR="005A4395" w:rsidRPr="006B3D35" w:rsidRDefault="005A4395"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United Nations General Assembly, Resolution 54/263, Optional Protocol to the Convention on the Rights of the Child on the Involvement of Children in Armed Conflict (OPAC), UN Doc A/54/RES/263, 16 March 2001</w:t>
      </w:r>
      <w:r w:rsidR="006B3D35">
        <w:rPr>
          <w:rFonts w:cstheme="minorHAnsi"/>
        </w:rPr>
        <w:t>.</w:t>
      </w:r>
    </w:p>
  </w:footnote>
  <w:footnote w:id="26">
    <w:p w14:paraId="61F7E757" w14:textId="1B25B9DF" w:rsidR="00F25C0C" w:rsidRPr="006B3D35" w:rsidRDefault="00F25C0C"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SCSL, </w:t>
      </w:r>
      <w:r w:rsidRPr="006B3D35">
        <w:rPr>
          <w:rFonts w:cstheme="minorHAnsi"/>
          <w:i/>
          <w:iCs/>
        </w:rPr>
        <w:t xml:space="preserve">Prosecutor v Sam </w:t>
      </w:r>
      <w:proofErr w:type="spellStart"/>
      <w:r w:rsidRPr="006B3D35">
        <w:rPr>
          <w:rFonts w:cstheme="minorHAnsi"/>
          <w:i/>
          <w:iCs/>
        </w:rPr>
        <w:t>Hinga</w:t>
      </w:r>
      <w:proofErr w:type="spellEnd"/>
      <w:r w:rsidRPr="006B3D35">
        <w:rPr>
          <w:rFonts w:cstheme="minorHAnsi"/>
          <w:i/>
          <w:iCs/>
        </w:rPr>
        <w:t xml:space="preserve"> Norman</w:t>
      </w:r>
      <w:r w:rsidRPr="006B3D35">
        <w:rPr>
          <w:rFonts w:cstheme="minorHAnsi"/>
        </w:rPr>
        <w:t xml:space="preserve">, Decision on Preliminary Motion Based on Lack of Jurisdiction (Child Recruitment), Appeals Chamber, </w:t>
      </w:r>
      <w:r w:rsidRPr="006B3D35">
        <w:rPr>
          <w:rFonts w:cstheme="minorHAnsi"/>
          <w:color w:val="000000"/>
          <w:shd w:val="clear" w:color="auto" w:fill="FFFFFF"/>
        </w:rPr>
        <w:t>SCSL-2004-14-AR72(E),</w:t>
      </w:r>
      <w:r w:rsidRPr="006B3D35">
        <w:rPr>
          <w:rFonts w:cstheme="minorHAnsi"/>
        </w:rPr>
        <w:t xml:space="preserve"> 31 May 2004, para 53.</w:t>
      </w:r>
    </w:p>
  </w:footnote>
  <w:footnote w:id="27">
    <w:p w14:paraId="446B823B" w14:textId="36260480" w:rsidR="00F25C0C" w:rsidRPr="006B3D35" w:rsidRDefault="00F25C0C"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bookmarkStart w:id="1" w:name="_Hlk128932406"/>
      <w:r w:rsidRPr="006B3D35">
        <w:rPr>
          <w:rFonts w:cstheme="minorHAnsi"/>
        </w:rPr>
        <w:t xml:space="preserve">SCSL, </w:t>
      </w:r>
      <w:r w:rsidRPr="006B3D35">
        <w:rPr>
          <w:rFonts w:cstheme="minorHAnsi"/>
          <w:i/>
          <w:iCs/>
        </w:rPr>
        <w:t xml:space="preserve">Prosecutor v Alex </w:t>
      </w:r>
      <w:proofErr w:type="spellStart"/>
      <w:r w:rsidRPr="006B3D35">
        <w:rPr>
          <w:rFonts w:cstheme="minorHAnsi"/>
          <w:i/>
          <w:iCs/>
        </w:rPr>
        <w:t>Tamba</w:t>
      </w:r>
      <w:proofErr w:type="spellEnd"/>
      <w:r w:rsidRPr="006B3D35">
        <w:rPr>
          <w:rFonts w:cstheme="minorHAnsi"/>
          <w:i/>
          <w:iCs/>
        </w:rPr>
        <w:t xml:space="preserve"> </w:t>
      </w:r>
      <w:proofErr w:type="spellStart"/>
      <w:r w:rsidRPr="006B3D35">
        <w:rPr>
          <w:rFonts w:cstheme="minorHAnsi"/>
          <w:i/>
          <w:iCs/>
        </w:rPr>
        <w:t>Brima</w:t>
      </w:r>
      <w:proofErr w:type="spellEnd"/>
      <w:r w:rsidRPr="006B3D35">
        <w:rPr>
          <w:rFonts w:cstheme="minorHAnsi"/>
          <w:i/>
          <w:iCs/>
        </w:rPr>
        <w:t xml:space="preserve">, </w:t>
      </w:r>
      <w:proofErr w:type="spellStart"/>
      <w:r w:rsidRPr="006B3D35">
        <w:rPr>
          <w:rFonts w:cstheme="minorHAnsi"/>
          <w:i/>
          <w:iCs/>
        </w:rPr>
        <w:t>Brima</w:t>
      </w:r>
      <w:proofErr w:type="spellEnd"/>
      <w:r w:rsidRPr="006B3D35">
        <w:rPr>
          <w:rFonts w:cstheme="minorHAnsi"/>
          <w:i/>
          <w:iCs/>
        </w:rPr>
        <w:t xml:space="preserve"> </w:t>
      </w:r>
      <w:proofErr w:type="spellStart"/>
      <w:r w:rsidRPr="006B3D35">
        <w:rPr>
          <w:rFonts w:cstheme="minorHAnsi"/>
          <w:i/>
          <w:iCs/>
        </w:rPr>
        <w:t>Bazzy</w:t>
      </w:r>
      <w:proofErr w:type="spellEnd"/>
      <w:r w:rsidRPr="006B3D35">
        <w:rPr>
          <w:rFonts w:cstheme="minorHAnsi"/>
          <w:i/>
          <w:iCs/>
        </w:rPr>
        <w:t xml:space="preserve"> Kamara and </w:t>
      </w:r>
      <w:proofErr w:type="spellStart"/>
      <w:r w:rsidRPr="006B3D35">
        <w:rPr>
          <w:rFonts w:cstheme="minorHAnsi"/>
          <w:i/>
          <w:iCs/>
        </w:rPr>
        <w:t>Santigie</w:t>
      </w:r>
      <w:proofErr w:type="spellEnd"/>
      <w:r w:rsidRPr="006B3D35">
        <w:rPr>
          <w:rFonts w:cstheme="minorHAnsi"/>
          <w:i/>
          <w:iCs/>
        </w:rPr>
        <w:t xml:space="preserve"> </w:t>
      </w:r>
      <w:proofErr w:type="spellStart"/>
      <w:r w:rsidRPr="006B3D35">
        <w:rPr>
          <w:rFonts w:cstheme="minorHAnsi"/>
          <w:i/>
          <w:iCs/>
        </w:rPr>
        <w:t>Borbor</w:t>
      </w:r>
      <w:proofErr w:type="spellEnd"/>
      <w:r w:rsidRPr="006B3D35">
        <w:rPr>
          <w:rFonts w:cstheme="minorHAnsi"/>
          <w:i/>
          <w:iCs/>
        </w:rPr>
        <w:t xml:space="preserve"> Kanu</w:t>
      </w:r>
      <w:r w:rsidRPr="006B3D35">
        <w:rPr>
          <w:rFonts w:cstheme="minorHAnsi"/>
        </w:rPr>
        <w:t>, Judgment, Trial Chamber II, SCSL-2004-16-T, 20 June 2007</w:t>
      </w:r>
      <w:bookmarkEnd w:id="1"/>
      <w:r w:rsidRPr="006B3D35">
        <w:rPr>
          <w:rFonts w:cstheme="minorHAnsi"/>
        </w:rPr>
        <w:t>; SCSL,</w:t>
      </w:r>
      <w:r w:rsidRPr="006B3D35">
        <w:rPr>
          <w:rFonts w:cstheme="minorHAnsi"/>
          <w:i/>
          <w:iCs/>
        </w:rPr>
        <w:t xml:space="preserve"> Prosecutor v Charles</w:t>
      </w:r>
      <w:r w:rsidRPr="006B3D35">
        <w:rPr>
          <w:rFonts w:cstheme="minorHAnsi"/>
          <w:i/>
        </w:rPr>
        <w:t xml:space="preserve"> </w:t>
      </w:r>
      <w:proofErr w:type="spellStart"/>
      <w:r w:rsidRPr="006B3D35">
        <w:rPr>
          <w:rFonts w:cstheme="minorHAnsi"/>
          <w:i/>
          <w:iCs/>
          <w:color w:val="3F3F3F"/>
        </w:rPr>
        <w:t>Ghankay</w:t>
      </w:r>
      <w:proofErr w:type="spellEnd"/>
      <w:r w:rsidRPr="006B3D35">
        <w:rPr>
          <w:rFonts w:cstheme="minorHAnsi"/>
          <w:i/>
          <w:iCs/>
          <w:color w:val="3F3F3F"/>
        </w:rPr>
        <w:t> </w:t>
      </w:r>
      <w:r w:rsidRPr="006B3D35">
        <w:rPr>
          <w:rFonts w:cstheme="minorHAnsi"/>
          <w:i/>
        </w:rPr>
        <w:t xml:space="preserve">Taylor, </w:t>
      </w:r>
      <w:r w:rsidRPr="006B3D35">
        <w:rPr>
          <w:rFonts w:cstheme="minorHAnsi"/>
        </w:rPr>
        <w:t xml:space="preserve">Judgment, Trial Chamber II, SCSL-03-01-T, 18 May 2012; SCSL, </w:t>
      </w:r>
      <w:r w:rsidRPr="006B3D35">
        <w:rPr>
          <w:rFonts w:cstheme="minorHAnsi"/>
          <w:i/>
          <w:iCs/>
        </w:rPr>
        <w:t xml:space="preserve">Prosecutor v </w:t>
      </w:r>
      <w:proofErr w:type="spellStart"/>
      <w:r w:rsidRPr="006B3D35">
        <w:rPr>
          <w:rFonts w:cstheme="minorHAnsi"/>
          <w:i/>
          <w:iCs/>
        </w:rPr>
        <w:t>Moinina</w:t>
      </w:r>
      <w:proofErr w:type="spellEnd"/>
      <w:r w:rsidRPr="006B3D35">
        <w:rPr>
          <w:rFonts w:cstheme="minorHAnsi"/>
          <w:i/>
          <w:iCs/>
        </w:rPr>
        <w:t xml:space="preserve"> Fofana and </w:t>
      </w:r>
      <w:proofErr w:type="spellStart"/>
      <w:r w:rsidRPr="006B3D35">
        <w:rPr>
          <w:rFonts w:cstheme="minorHAnsi"/>
          <w:i/>
          <w:iCs/>
        </w:rPr>
        <w:t>Allieu</w:t>
      </w:r>
      <w:proofErr w:type="spellEnd"/>
      <w:r w:rsidRPr="006B3D35">
        <w:rPr>
          <w:rFonts w:cstheme="minorHAnsi"/>
          <w:i/>
          <w:iCs/>
        </w:rPr>
        <w:t xml:space="preserve"> </w:t>
      </w:r>
      <w:proofErr w:type="spellStart"/>
      <w:r w:rsidRPr="006B3D35">
        <w:rPr>
          <w:rFonts w:cstheme="minorHAnsi"/>
          <w:i/>
          <w:iCs/>
        </w:rPr>
        <w:t>Kondewa</w:t>
      </w:r>
      <w:proofErr w:type="spellEnd"/>
      <w:r w:rsidRPr="006B3D35">
        <w:rPr>
          <w:rFonts w:cstheme="minorHAnsi"/>
        </w:rPr>
        <w:t xml:space="preserve">, Appeals Chamber, SCSL-04-14-A, 28 May 2008; </w:t>
      </w:r>
      <w:bookmarkStart w:id="2" w:name="_Hlk129187975"/>
      <w:r w:rsidRPr="006B3D35">
        <w:rPr>
          <w:rFonts w:cstheme="minorHAnsi"/>
          <w:shd w:val="clear" w:color="auto" w:fill="FFFFFF"/>
        </w:rPr>
        <w:t>SCSL,</w:t>
      </w:r>
      <w:r w:rsidRPr="006B3D35">
        <w:rPr>
          <w:rFonts w:cstheme="minorHAnsi"/>
          <w:i/>
          <w:iCs/>
          <w:shd w:val="clear" w:color="auto" w:fill="FFFFFF"/>
        </w:rPr>
        <w:t xml:space="preserve"> Prosecutor v Issa Hassan Sesay, Morris </w:t>
      </w:r>
      <w:proofErr w:type="spellStart"/>
      <w:r w:rsidRPr="006B3D35">
        <w:rPr>
          <w:rFonts w:cstheme="minorHAnsi"/>
          <w:i/>
          <w:iCs/>
          <w:shd w:val="clear" w:color="auto" w:fill="FFFFFF"/>
        </w:rPr>
        <w:t>Kallon</w:t>
      </w:r>
      <w:proofErr w:type="spellEnd"/>
      <w:r w:rsidRPr="006B3D35">
        <w:rPr>
          <w:rFonts w:cstheme="minorHAnsi"/>
          <w:i/>
          <w:iCs/>
          <w:shd w:val="clear" w:color="auto" w:fill="FFFFFF"/>
        </w:rPr>
        <w:t xml:space="preserve"> and Augustine </w:t>
      </w:r>
      <w:proofErr w:type="spellStart"/>
      <w:r w:rsidRPr="006B3D35">
        <w:rPr>
          <w:rFonts w:cstheme="minorHAnsi"/>
          <w:i/>
          <w:iCs/>
          <w:shd w:val="clear" w:color="auto" w:fill="FFFFFF"/>
        </w:rPr>
        <w:t>Gbao</w:t>
      </w:r>
      <w:proofErr w:type="spellEnd"/>
      <w:r w:rsidRPr="006B3D35">
        <w:rPr>
          <w:rFonts w:cstheme="minorHAnsi"/>
          <w:i/>
          <w:iCs/>
          <w:shd w:val="clear" w:color="auto" w:fill="FFFFFF"/>
        </w:rPr>
        <w:t xml:space="preserve">, </w:t>
      </w:r>
      <w:r w:rsidRPr="006B3D35">
        <w:rPr>
          <w:rFonts w:cstheme="minorHAnsi"/>
          <w:shd w:val="clear" w:color="auto" w:fill="FFFFFF"/>
        </w:rPr>
        <w:t>Judgement, Trial Chamber I, SCSL-04-15-T, 2 March 2009</w:t>
      </w:r>
      <w:bookmarkEnd w:id="2"/>
      <w:r w:rsidRPr="006B3D35">
        <w:rPr>
          <w:rFonts w:cstheme="minorHAnsi"/>
          <w:shd w:val="clear" w:color="auto" w:fill="FFFFFF"/>
        </w:rPr>
        <w:t>.</w:t>
      </w:r>
    </w:p>
  </w:footnote>
  <w:footnote w:id="28">
    <w:p w14:paraId="14A72163" w14:textId="716A1EC0" w:rsidR="008B6BDB" w:rsidRPr="006B3D35" w:rsidRDefault="008B6BDB"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bookmarkStart w:id="3" w:name="_Hlk128927881"/>
      <w:r w:rsidRPr="006B3D35">
        <w:rPr>
          <w:rFonts w:cstheme="minorHAnsi"/>
        </w:rPr>
        <w:t xml:space="preserve">SCSL, </w:t>
      </w:r>
      <w:r w:rsidRPr="006B3D35">
        <w:rPr>
          <w:rFonts w:cstheme="minorHAnsi"/>
          <w:i/>
          <w:iCs/>
        </w:rPr>
        <w:t xml:space="preserve">Prosecutor v Sam </w:t>
      </w:r>
      <w:proofErr w:type="spellStart"/>
      <w:r w:rsidRPr="006B3D35">
        <w:rPr>
          <w:rFonts w:cstheme="minorHAnsi"/>
          <w:i/>
          <w:iCs/>
        </w:rPr>
        <w:t>Hinga</w:t>
      </w:r>
      <w:proofErr w:type="spellEnd"/>
      <w:r w:rsidRPr="006B3D35">
        <w:rPr>
          <w:rFonts w:cstheme="minorHAnsi"/>
          <w:i/>
          <w:iCs/>
        </w:rPr>
        <w:t xml:space="preserve"> Norman</w:t>
      </w:r>
      <w:r w:rsidRPr="006B3D35">
        <w:rPr>
          <w:rFonts w:cstheme="minorHAnsi"/>
        </w:rPr>
        <w:t>, Decision on Preliminary Motion Based on Lack of Jurisdiction (Child Recruitment), Appeals Chamber, Dissenting Opinion of Justice Robertson,</w:t>
      </w:r>
      <w:r w:rsidRPr="006B3D35">
        <w:rPr>
          <w:rFonts w:cstheme="minorHAnsi"/>
          <w:color w:val="000000"/>
          <w:shd w:val="clear" w:color="auto" w:fill="FFFFFF"/>
        </w:rPr>
        <w:t xml:space="preserve"> SCSL-2004-14-AR72(E),</w:t>
      </w:r>
      <w:r w:rsidRPr="006B3D35">
        <w:rPr>
          <w:rFonts w:cstheme="minorHAnsi"/>
        </w:rPr>
        <w:t xml:space="preserve"> 31 May 2004, para </w:t>
      </w:r>
      <w:bookmarkEnd w:id="3"/>
      <w:r w:rsidRPr="006B3D35">
        <w:rPr>
          <w:rFonts w:cstheme="minorHAnsi"/>
        </w:rPr>
        <w:t xml:space="preserve">38; </w:t>
      </w:r>
      <w:r w:rsidR="006B3D35" w:rsidRPr="006B3D35">
        <w:rPr>
          <w:rFonts w:cstheme="minorHAnsi"/>
        </w:rPr>
        <w:t xml:space="preserve">See also </w:t>
      </w:r>
      <w:r w:rsidRPr="006B3D35">
        <w:rPr>
          <w:rFonts w:cstheme="minorHAnsi"/>
        </w:rPr>
        <w:t xml:space="preserve">I </w:t>
      </w:r>
      <w:proofErr w:type="spellStart"/>
      <w:r w:rsidRPr="006B3D35">
        <w:rPr>
          <w:rFonts w:cstheme="minorHAnsi"/>
        </w:rPr>
        <w:t>Topa</w:t>
      </w:r>
      <w:proofErr w:type="spellEnd"/>
      <w:r w:rsidRPr="006B3D35">
        <w:rPr>
          <w:rFonts w:cstheme="minorHAnsi"/>
        </w:rPr>
        <w:t xml:space="preserve">, ‘Prohibition of Child Soldiering – International Legislation and Prosecution of Perpetrators’ (2007) 3(1) </w:t>
      </w:r>
      <w:r w:rsidRPr="006B3D35">
        <w:rPr>
          <w:rFonts w:cstheme="minorHAnsi"/>
          <w:i/>
        </w:rPr>
        <w:t>Hanse Law Review</w:t>
      </w:r>
      <w:r w:rsidRPr="006B3D35">
        <w:rPr>
          <w:rFonts w:cstheme="minorHAnsi"/>
        </w:rPr>
        <w:t xml:space="preserve"> 105, 113.</w:t>
      </w:r>
    </w:p>
  </w:footnote>
  <w:footnote w:id="29">
    <w:p w14:paraId="10EB0D49" w14:textId="1DDA1D63" w:rsidR="00F25C0C" w:rsidRPr="006B3D35" w:rsidRDefault="00F25C0C"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bookmarkStart w:id="4" w:name="_Hlk128931692"/>
      <w:r w:rsidRPr="006B3D35">
        <w:rPr>
          <w:rFonts w:cstheme="minorHAnsi"/>
          <w:iCs/>
        </w:rPr>
        <w:t xml:space="preserve">ICC, </w:t>
      </w:r>
      <w:r w:rsidRPr="006B3D35">
        <w:rPr>
          <w:rFonts w:cstheme="minorHAnsi"/>
          <w:i/>
        </w:rPr>
        <w:t xml:space="preserve">Situation in the Democratic Republic of the Congo in the Case of the Prosecutor v Thomas Lubanga </w:t>
      </w:r>
      <w:proofErr w:type="spellStart"/>
      <w:r w:rsidRPr="006B3D35">
        <w:rPr>
          <w:rFonts w:cstheme="minorHAnsi"/>
          <w:i/>
        </w:rPr>
        <w:t>Dyilo</w:t>
      </w:r>
      <w:proofErr w:type="spellEnd"/>
      <w:r w:rsidRPr="006B3D35">
        <w:rPr>
          <w:rFonts w:cstheme="minorHAnsi"/>
          <w:i/>
        </w:rPr>
        <w:t xml:space="preserve">, </w:t>
      </w:r>
      <w:r w:rsidRPr="006B3D35">
        <w:rPr>
          <w:rFonts w:cstheme="minorHAnsi"/>
        </w:rPr>
        <w:t>Judgment, Trial Chamber, ICC-01/04-01/06, 14 March 2012</w:t>
      </w:r>
      <w:bookmarkEnd w:id="4"/>
      <w:r w:rsidR="006B3D35">
        <w:rPr>
          <w:rFonts w:cstheme="minorHAnsi"/>
        </w:rPr>
        <w:t>.</w:t>
      </w:r>
    </w:p>
  </w:footnote>
  <w:footnote w:id="30">
    <w:p w14:paraId="0FA66A42" w14:textId="1FD98220" w:rsidR="006B3D35" w:rsidRPr="006B3D35" w:rsidRDefault="006B3D35" w:rsidP="006B3D35">
      <w:pPr>
        <w:pStyle w:val="FootnoteText"/>
        <w:jc w:val="both"/>
        <w:rPr>
          <w:rFonts w:cstheme="minorHAnsi"/>
        </w:rPr>
      </w:pPr>
      <w:r w:rsidRPr="006B3D35">
        <w:rPr>
          <w:rStyle w:val="FootnoteReference"/>
          <w:rFonts w:cstheme="minorHAnsi"/>
        </w:rPr>
        <w:footnoteRef/>
      </w:r>
      <w:r w:rsidRPr="006B3D35">
        <w:rPr>
          <w:rFonts w:cstheme="minorHAnsi"/>
        </w:rPr>
        <w:t xml:space="preserve"> </w:t>
      </w:r>
      <w:r w:rsidRPr="006B3D35">
        <w:rPr>
          <w:rFonts w:cstheme="minorHAnsi"/>
        </w:rPr>
        <w:t>SCSL</w:t>
      </w:r>
      <w:r w:rsidRPr="006B3D35">
        <w:rPr>
          <w:rFonts w:cstheme="minorHAnsi"/>
        </w:rPr>
        <w:t xml:space="preserve"> </w:t>
      </w:r>
      <w:r w:rsidRPr="006B3D35">
        <w:rPr>
          <w:rFonts w:cstheme="minorHAnsi"/>
          <w:i/>
          <w:iCs/>
        </w:rPr>
        <w:t xml:space="preserve">Norman </w:t>
      </w:r>
      <w:r w:rsidRPr="006B3D35">
        <w:rPr>
          <w:rFonts w:cstheme="minorHAnsi"/>
        </w:rPr>
        <w:t>Dissenting Opinion (n 28), para 33.</w:t>
      </w:r>
    </w:p>
  </w:footnote>
  <w:footnote w:id="31">
    <w:p w14:paraId="1EF86142" w14:textId="74651497" w:rsidR="006B3D35" w:rsidRPr="006B3D35" w:rsidRDefault="006B3D35" w:rsidP="006B3D35">
      <w:pPr>
        <w:pStyle w:val="FootnoteText"/>
        <w:jc w:val="both"/>
        <w:rPr>
          <w:rFonts w:cstheme="minorHAnsi"/>
          <w:i/>
          <w:iCs/>
        </w:rPr>
      </w:pPr>
      <w:r w:rsidRPr="006B3D35">
        <w:rPr>
          <w:rStyle w:val="FootnoteReference"/>
          <w:rFonts w:cstheme="minorHAnsi"/>
        </w:rPr>
        <w:footnoteRef/>
      </w:r>
      <w:r w:rsidRPr="006B3D35">
        <w:rPr>
          <w:rFonts w:cstheme="minorHAnsi"/>
        </w:rPr>
        <w:t xml:space="preserve"> </w:t>
      </w:r>
      <w:r w:rsidRPr="006B3D35">
        <w:rPr>
          <w:rFonts w:cstheme="minorHAnsi"/>
          <w:i/>
          <w:iCs/>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788075"/>
      <w:docPartObj>
        <w:docPartGallery w:val="Page Numbers (Top of Page)"/>
        <w:docPartUnique/>
      </w:docPartObj>
    </w:sdtPr>
    <w:sdtEndPr>
      <w:rPr>
        <w:noProof/>
      </w:rPr>
    </w:sdtEndPr>
    <w:sdtContent>
      <w:p w14:paraId="374B4B4D" w14:textId="034E843E" w:rsidR="00DD6D6F" w:rsidRDefault="00DD6D6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2F6A04C" w14:textId="77777777" w:rsidR="00DD6D6F" w:rsidRDefault="00DD6D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2B"/>
    <w:rsid w:val="00057DEF"/>
    <w:rsid w:val="00070E96"/>
    <w:rsid w:val="001277FB"/>
    <w:rsid w:val="001501D6"/>
    <w:rsid w:val="001C66E3"/>
    <w:rsid w:val="001D438B"/>
    <w:rsid w:val="001E5EB0"/>
    <w:rsid w:val="00220BFF"/>
    <w:rsid w:val="002354FB"/>
    <w:rsid w:val="00272456"/>
    <w:rsid w:val="002C36E9"/>
    <w:rsid w:val="00312365"/>
    <w:rsid w:val="003218A6"/>
    <w:rsid w:val="00373949"/>
    <w:rsid w:val="00381AC8"/>
    <w:rsid w:val="0043202C"/>
    <w:rsid w:val="00465125"/>
    <w:rsid w:val="0047553E"/>
    <w:rsid w:val="005247A9"/>
    <w:rsid w:val="005447D8"/>
    <w:rsid w:val="00590397"/>
    <w:rsid w:val="005962F4"/>
    <w:rsid w:val="005A4395"/>
    <w:rsid w:val="00661F27"/>
    <w:rsid w:val="00682FD5"/>
    <w:rsid w:val="006B380F"/>
    <w:rsid w:val="006B3D35"/>
    <w:rsid w:val="006D48FB"/>
    <w:rsid w:val="006F583C"/>
    <w:rsid w:val="00771E7E"/>
    <w:rsid w:val="007A1EEC"/>
    <w:rsid w:val="007A5240"/>
    <w:rsid w:val="007B7953"/>
    <w:rsid w:val="007C2F4B"/>
    <w:rsid w:val="007F2F6B"/>
    <w:rsid w:val="00803701"/>
    <w:rsid w:val="00817DCF"/>
    <w:rsid w:val="00821DE7"/>
    <w:rsid w:val="008550A6"/>
    <w:rsid w:val="008A1B2B"/>
    <w:rsid w:val="008B6BDB"/>
    <w:rsid w:val="0091252B"/>
    <w:rsid w:val="00941209"/>
    <w:rsid w:val="00992305"/>
    <w:rsid w:val="009C4A24"/>
    <w:rsid w:val="009D503D"/>
    <w:rsid w:val="009F1913"/>
    <w:rsid w:val="009F74C8"/>
    <w:rsid w:val="00AC1559"/>
    <w:rsid w:val="00B023CF"/>
    <w:rsid w:val="00B20D5A"/>
    <w:rsid w:val="00BD2B9C"/>
    <w:rsid w:val="00C326C7"/>
    <w:rsid w:val="00C35B25"/>
    <w:rsid w:val="00C779F1"/>
    <w:rsid w:val="00C9112E"/>
    <w:rsid w:val="00CA0042"/>
    <w:rsid w:val="00D35E39"/>
    <w:rsid w:val="00D42485"/>
    <w:rsid w:val="00D43B22"/>
    <w:rsid w:val="00D5576B"/>
    <w:rsid w:val="00DB6A0D"/>
    <w:rsid w:val="00DC74FE"/>
    <w:rsid w:val="00DD6D6F"/>
    <w:rsid w:val="00DF080F"/>
    <w:rsid w:val="00E372AD"/>
    <w:rsid w:val="00E507F3"/>
    <w:rsid w:val="00E56B6B"/>
    <w:rsid w:val="00EE6AC9"/>
    <w:rsid w:val="00F25C0C"/>
    <w:rsid w:val="00F63E42"/>
    <w:rsid w:val="00F70770"/>
    <w:rsid w:val="00F73528"/>
    <w:rsid w:val="00FA602F"/>
    <w:rsid w:val="00FF3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C7CDB"/>
  <w15:chartTrackingRefBased/>
  <w15:docId w15:val="{6A19E522-0243-45AB-910A-655F386B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9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nhideWhenUsed/>
    <w:rsid w:val="001C66E3"/>
    <w:pPr>
      <w:spacing w:after="0" w:line="240" w:lineRule="auto"/>
    </w:pPr>
    <w:rPr>
      <w:sz w:val="20"/>
      <w:szCs w:val="20"/>
    </w:rPr>
  </w:style>
  <w:style w:type="character" w:customStyle="1" w:styleId="FootnoteTextChar">
    <w:name w:val="Footnote Text Char"/>
    <w:basedOn w:val="DefaultParagraphFont"/>
    <w:link w:val="FootnoteText"/>
    <w:rsid w:val="001C66E3"/>
    <w:rPr>
      <w:sz w:val="20"/>
      <w:szCs w:val="20"/>
    </w:rPr>
  </w:style>
  <w:style w:type="character" w:styleId="FootnoteReference">
    <w:name w:val="footnote reference"/>
    <w:basedOn w:val="DefaultParagraphFont"/>
    <w:semiHidden/>
    <w:unhideWhenUsed/>
    <w:rsid w:val="001C66E3"/>
    <w:rPr>
      <w:vertAlign w:val="superscript"/>
    </w:rPr>
  </w:style>
  <w:style w:type="character" w:customStyle="1" w:styleId="apple-style-span">
    <w:name w:val="apple-style-span"/>
    <w:basedOn w:val="DefaultParagraphFont"/>
    <w:rsid w:val="008B6BDB"/>
  </w:style>
  <w:style w:type="character" w:customStyle="1" w:styleId="apple-converted-space">
    <w:name w:val="apple-converted-space"/>
    <w:basedOn w:val="DefaultParagraphFont"/>
    <w:rsid w:val="008B6BDB"/>
  </w:style>
  <w:style w:type="character" w:styleId="Emphasis">
    <w:name w:val="Emphasis"/>
    <w:basedOn w:val="DefaultParagraphFont"/>
    <w:uiPriority w:val="20"/>
    <w:qFormat/>
    <w:rsid w:val="005A4395"/>
    <w:rPr>
      <w:i/>
      <w:iCs/>
    </w:rPr>
  </w:style>
  <w:style w:type="paragraph" w:styleId="Header">
    <w:name w:val="header"/>
    <w:basedOn w:val="Normal"/>
    <w:link w:val="HeaderChar"/>
    <w:uiPriority w:val="99"/>
    <w:unhideWhenUsed/>
    <w:rsid w:val="00DD6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D6F"/>
  </w:style>
  <w:style w:type="paragraph" w:styleId="Footer">
    <w:name w:val="footer"/>
    <w:basedOn w:val="Normal"/>
    <w:link w:val="FooterChar"/>
    <w:uiPriority w:val="99"/>
    <w:unhideWhenUsed/>
    <w:rsid w:val="00DD6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D6F"/>
  </w:style>
  <w:style w:type="character" w:styleId="Hyperlink">
    <w:name w:val="Hyperlink"/>
    <w:basedOn w:val="DefaultParagraphFont"/>
    <w:uiPriority w:val="99"/>
    <w:unhideWhenUsed/>
    <w:rsid w:val="00D5576B"/>
    <w:rPr>
      <w:color w:val="0563C1" w:themeColor="hyperlink"/>
      <w:u w:val="single"/>
    </w:rPr>
  </w:style>
  <w:style w:type="character" w:styleId="UnresolvedMention">
    <w:name w:val="Unresolved Mention"/>
    <w:basedOn w:val="DefaultParagraphFont"/>
    <w:uiPriority w:val="99"/>
    <w:semiHidden/>
    <w:unhideWhenUsed/>
    <w:rsid w:val="00D5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07190">
      <w:bodyDiv w:val="1"/>
      <w:marLeft w:val="0"/>
      <w:marRight w:val="0"/>
      <w:marTop w:val="0"/>
      <w:marBottom w:val="0"/>
      <w:divBdr>
        <w:top w:val="none" w:sz="0" w:space="0" w:color="auto"/>
        <w:left w:val="none" w:sz="0" w:space="0" w:color="auto"/>
        <w:bottom w:val="none" w:sz="0" w:space="0" w:color="auto"/>
        <w:right w:val="none" w:sz="0" w:space="0" w:color="auto"/>
      </w:divBdr>
    </w:div>
    <w:div w:id="146107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cty.org/x/file/Legal%20Library/Statute/statute_sept09_en.pdf" TargetMode="External"/><Relationship Id="rId2" Type="http://schemas.openxmlformats.org/officeDocument/2006/relationships/hyperlink" Target="https://ihl-databases.icrc.org/assets/treaties/110-IHL-L-Code-EN.pdf" TargetMode="External"/><Relationship Id="rId1" Type="http://schemas.openxmlformats.org/officeDocument/2006/relationships/hyperlink" Target="http://www.nurembergacademy.org/fileadmin/media/pdf/The_Nuremberg_Principles_International_Law_Commission_7_1_1950.pdf" TargetMode="External"/><Relationship Id="rId4" Type="http://schemas.openxmlformats.org/officeDocument/2006/relationships/hyperlink" Target="http://news.bbc.co.uk/1/hi/4078677.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B9FA2-93E9-43E7-A46B-90882B1F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Quenivet</dc:creator>
  <cp:keywords/>
  <dc:description/>
  <cp:lastModifiedBy>Noelle Quenivet</cp:lastModifiedBy>
  <cp:revision>8</cp:revision>
  <cp:lastPrinted>2023-03-18T08:23:00Z</cp:lastPrinted>
  <dcterms:created xsi:type="dcterms:W3CDTF">2023-03-15T16:42:00Z</dcterms:created>
  <dcterms:modified xsi:type="dcterms:W3CDTF">2023-03-31T13:08:00Z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d575aeab5779de7375f5c57bf00cdda5aceba2654a5e375d954ea1ffb413da8a</vt:lpwstr>
  </property>
</Properties>
</file>