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93F32" w14:textId="49EF8D19" w:rsidR="00074D09" w:rsidRPr="00B673A4" w:rsidRDefault="00074D09" w:rsidP="00B673A4">
      <w:pPr>
        <w:spacing w:line="360" w:lineRule="auto"/>
        <w:jc w:val="center"/>
        <w:rPr>
          <w:b/>
          <w:sz w:val="28"/>
          <w:szCs w:val="28"/>
        </w:rPr>
      </w:pPr>
      <w:r w:rsidRPr="00B673A4">
        <w:rPr>
          <w:b/>
          <w:sz w:val="28"/>
          <w:szCs w:val="28"/>
        </w:rPr>
        <w:t>Afterword</w:t>
      </w:r>
    </w:p>
    <w:p w14:paraId="0604DB24" w14:textId="7A82DE4B" w:rsidR="00074D09" w:rsidRPr="00B673A4" w:rsidRDefault="00B673A4" w:rsidP="00B673A4">
      <w:pPr>
        <w:spacing w:line="360" w:lineRule="auto"/>
        <w:jc w:val="center"/>
        <w:rPr>
          <w:b/>
          <w:sz w:val="28"/>
          <w:szCs w:val="28"/>
        </w:rPr>
      </w:pPr>
      <w:r w:rsidRPr="00B673A4">
        <w:rPr>
          <w:b/>
          <w:sz w:val="28"/>
          <w:szCs w:val="28"/>
        </w:rPr>
        <w:t>Mark Reeves</w:t>
      </w:r>
    </w:p>
    <w:p w14:paraId="0996EEB1" w14:textId="77777777" w:rsidR="00B673A4" w:rsidRDefault="00B673A4" w:rsidP="00074D09">
      <w:pPr>
        <w:rPr>
          <w:bCs/>
        </w:rPr>
      </w:pPr>
    </w:p>
    <w:p w14:paraId="6A6AFC4B" w14:textId="428FCB5D" w:rsidR="001D3F75" w:rsidRPr="001357EF" w:rsidRDefault="004D2CFE" w:rsidP="00B673A4">
      <w:pPr>
        <w:spacing w:line="360" w:lineRule="auto"/>
        <w:ind w:firstLine="720"/>
        <w:rPr>
          <w:bCs/>
        </w:rPr>
      </w:pPr>
      <w:r w:rsidRPr="001357EF">
        <w:rPr>
          <w:bCs/>
        </w:rPr>
        <w:t xml:space="preserve">As sites of British imperial state-making and resistance to colonial power, India and the United States have found themselves entangled since the late eighteenth century. </w:t>
      </w:r>
      <w:r w:rsidR="00C2011D" w:rsidRPr="001357EF">
        <w:rPr>
          <w:bCs/>
        </w:rPr>
        <w:t xml:space="preserve">To choose a paradigmatic moment, the dumping of East India Company tea into Boston Harbour in 1773 offers </w:t>
      </w:r>
      <w:r w:rsidR="003F2048">
        <w:rPr>
          <w:bCs/>
        </w:rPr>
        <w:t xml:space="preserve">a view onto </w:t>
      </w:r>
      <w:r w:rsidR="00C2011D" w:rsidRPr="001357EF">
        <w:rPr>
          <w:bCs/>
        </w:rPr>
        <w:t>multiple levels of this entanglement</w:t>
      </w:r>
      <w:r w:rsidR="00D6248D">
        <w:rPr>
          <w:bCs/>
        </w:rPr>
        <w:t>. T</w:t>
      </w:r>
      <w:r w:rsidR="00C2011D" w:rsidRPr="001357EF">
        <w:rPr>
          <w:bCs/>
        </w:rPr>
        <w:t xml:space="preserve">he cargo </w:t>
      </w:r>
      <w:r w:rsidR="00D6248D">
        <w:rPr>
          <w:bCs/>
        </w:rPr>
        <w:t>and</w:t>
      </w:r>
      <w:r w:rsidR="00C2011D" w:rsidRPr="001357EF">
        <w:rPr>
          <w:bCs/>
        </w:rPr>
        <w:t xml:space="preserve"> the participants</w:t>
      </w:r>
      <w:r w:rsidR="00D6248D">
        <w:rPr>
          <w:bCs/>
        </w:rPr>
        <w:t xml:space="preserve"> –</w:t>
      </w:r>
      <w:r w:rsidR="00C2011D" w:rsidRPr="001357EF">
        <w:rPr>
          <w:bCs/>
        </w:rPr>
        <w:t xml:space="preserve"> white</w:t>
      </w:r>
      <w:r w:rsidR="00D6248D">
        <w:rPr>
          <w:bCs/>
        </w:rPr>
        <w:t xml:space="preserve"> </w:t>
      </w:r>
      <w:r w:rsidR="00C2011D" w:rsidRPr="001357EF">
        <w:rPr>
          <w:bCs/>
        </w:rPr>
        <w:t>settlers who adopted a pretended Indigenous “costume” to claim a native identity as “Indians”</w:t>
      </w:r>
      <w:r w:rsidR="00D6248D">
        <w:rPr>
          <w:bCs/>
        </w:rPr>
        <w:t xml:space="preserve"> – </w:t>
      </w:r>
      <w:r w:rsidR="00C2011D" w:rsidRPr="001357EF">
        <w:rPr>
          <w:bCs/>
        </w:rPr>
        <w:t>reflect</w:t>
      </w:r>
      <w:r w:rsidR="003F2048">
        <w:rPr>
          <w:bCs/>
        </w:rPr>
        <w:t>ed</w:t>
      </w:r>
      <w:r w:rsidR="00D6248D">
        <w:rPr>
          <w:bCs/>
        </w:rPr>
        <w:t xml:space="preserve"> </w:t>
      </w:r>
      <w:r w:rsidR="00C2011D" w:rsidRPr="001357EF">
        <w:rPr>
          <w:bCs/>
        </w:rPr>
        <w:t xml:space="preserve">the discursive entanglement of the Americas with South Asia </w:t>
      </w:r>
      <w:r w:rsidR="00D000FB" w:rsidRPr="001357EF">
        <w:rPr>
          <w:bCs/>
        </w:rPr>
        <w:t xml:space="preserve">in European thought </w:t>
      </w:r>
      <w:r w:rsidR="00C2011D" w:rsidRPr="001357EF">
        <w:rPr>
          <w:bCs/>
        </w:rPr>
        <w:t>going back to Columbus.</w:t>
      </w:r>
      <w:r w:rsidR="009D336F">
        <w:rPr>
          <w:bCs/>
        </w:rPr>
        <w:t xml:space="preserve"> </w:t>
      </w:r>
      <w:r w:rsidR="001D3F75" w:rsidRPr="001357EF">
        <w:rPr>
          <w:bCs/>
        </w:rPr>
        <w:t>Yet, to say that India and the United States have been entangled for centuries raises more interesting questions: what is this unit called “India”? Or “the United States”? What might it mean for such units to be “entangled”? And, crucially, wh</w:t>
      </w:r>
      <w:r w:rsidR="00C4256D" w:rsidRPr="001357EF">
        <w:rPr>
          <w:bCs/>
        </w:rPr>
        <w:t>o</w:t>
      </w:r>
      <w:r w:rsidR="001D3F75" w:rsidRPr="001357EF">
        <w:rPr>
          <w:bCs/>
        </w:rPr>
        <w:t xml:space="preserve"> </w:t>
      </w:r>
      <w:r w:rsidR="00C4256D" w:rsidRPr="001357EF">
        <w:rPr>
          <w:bCs/>
        </w:rPr>
        <w:t>are</w:t>
      </w:r>
      <w:r w:rsidR="001D3F75" w:rsidRPr="001357EF">
        <w:rPr>
          <w:bCs/>
        </w:rPr>
        <w:t xml:space="preserve"> the agent</w:t>
      </w:r>
      <w:r w:rsidR="00C4256D" w:rsidRPr="001357EF">
        <w:rPr>
          <w:bCs/>
        </w:rPr>
        <w:t>s</w:t>
      </w:r>
      <w:r w:rsidR="001D3F75" w:rsidRPr="001357EF">
        <w:rPr>
          <w:bCs/>
        </w:rPr>
        <w:t xml:space="preserve"> of this entanglement? </w:t>
      </w:r>
      <w:r w:rsidR="00682F2A" w:rsidRPr="001357EF">
        <w:rPr>
          <w:bCs/>
        </w:rPr>
        <w:t>What</w:t>
      </w:r>
      <w:r w:rsidR="001D3F75" w:rsidRPr="001357EF">
        <w:rPr>
          <w:bCs/>
        </w:rPr>
        <w:t xml:space="preserve"> is being entangled, </w:t>
      </w:r>
      <w:r w:rsidR="00682F2A" w:rsidRPr="001357EF">
        <w:rPr>
          <w:bCs/>
        </w:rPr>
        <w:t xml:space="preserve">where does this entanglement happen, </w:t>
      </w:r>
      <w:r w:rsidR="001D3F75" w:rsidRPr="001357EF">
        <w:rPr>
          <w:bCs/>
        </w:rPr>
        <w:t xml:space="preserve">and </w:t>
      </w:r>
      <w:r w:rsidR="00682F2A" w:rsidRPr="001357EF">
        <w:rPr>
          <w:bCs/>
        </w:rPr>
        <w:t>who is doing the entangling?</w:t>
      </w:r>
    </w:p>
    <w:p w14:paraId="5DD4B327" w14:textId="2B487D48" w:rsidR="00476A01" w:rsidRDefault="00E23B2A" w:rsidP="00B96E26">
      <w:pPr>
        <w:spacing w:line="360" w:lineRule="auto"/>
        <w:ind w:firstLine="720"/>
        <w:rPr>
          <w:bCs/>
        </w:rPr>
      </w:pPr>
      <w:r w:rsidRPr="001357EF">
        <w:rPr>
          <w:bCs/>
        </w:rPr>
        <w:t>The chapters in this volume address these questions concretely</w:t>
      </w:r>
      <w:r w:rsidR="007B054D">
        <w:rPr>
          <w:bCs/>
        </w:rPr>
        <w:t>. Chapters</w:t>
      </w:r>
      <w:r w:rsidRPr="001357EF">
        <w:rPr>
          <w:bCs/>
        </w:rPr>
        <w:t xml:space="preserve"> </w:t>
      </w:r>
      <w:r w:rsidR="00B51CBD">
        <w:rPr>
          <w:bCs/>
        </w:rPr>
        <w:t>track people-in-motion, things-in-motion, ideas-in-motion, and practices-in-motion</w:t>
      </w:r>
      <w:r w:rsidR="00105852">
        <w:rPr>
          <w:bCs/>
        </w:rPr>
        <w:t>, with each line of motion also a vector</w:t>
      </w:r>
      <w:r w:rsidR="007E590E">
        <w:rPr>
          <w:bCs/>
        </w:rPr>
        <w:t xml:space="preserve"> – vectors </w:t>
      </w:r>
      <w:r w:rsidR="00105852">
        <w:rPr>
          <w:bCs/>
        </w:rPr>
        <w:t xml:space="preserve">carrying </w:t>
      </w:r>
      <w:r w:rsidR="007B054D">
        <w:rPr>
          <w:bCs/>
        </w:rPr>
        <w:t>magnitude</w:t>
      </w:r>
      <w:r w:rsidR="00105852">
        <w:rPr>
          <w:bCs/>
        </w:rPr>
        <w:t>, leaving residue, and creating memory, like so many shoelaces criss-crossed over time and space</w:t>
      </w:r>
      <w:r w:rsidR="00B51CBD">
        <w:rPr>
          <w:bCs/>
        </w:rPr>
        <w:t xml:space="preserve">. </w:t>
      </w:r>
      <w:r w:rsidR="002175AD">
        <w:rPr>
          <w:bCs/>
        </w:rPr>
        <w:t xml:space="preserve">This motion </w:t>
      </w:r>
      <w:r w:rsidR="00E7213B">
        <w:rPr>
          <w:bCs/>
        </w:rPr>
        <w:t>went</w:t>
      </w:r>
      <w:r w:rsidR="002175AD">
        <w:rPr>
          <w:bCs/>
        </w:rPr>
        <w:t xml:space="preserve"> </w:t>
      </w:r>
      <w:r w:rsidR="002C1064">
        <w:rPr>
          <w:bCs/>
        </w:rPr>
        <w:t xml:space="preserve">to, from, and within Bombay, </w:t>
      </w:r>
      <w:r w:rsidR="00DD6E5F">
        <w:rPr>
          <w:bCs/>
        </w:rPr>
        <w:t xml:space="preserve">Boston, </w:t>
      </w:r>
      <w:r w:rsidR="002C1064">
        <w:rPr>
          <w:bCs/>
        </w:rPr>
        <w:t xml:space="preserve">Calcutta, </w:t>
      </w:r>
      <w:r w:rsidR="00DD6E5F">
        <w:rPr>
          <w:bCs/>
        </w:rPr>
        <w:t xml:space="preserve">Delhi, Hartford, </w:t>
      </w:r>
      <w:r w:rsidR="002C1064">
        <w:rPr>
          <w:bCs/>
        </w:rPr>
        <w:t xml:space="preserve">Hawaii, London, </w:t>
      </w:r>
      <w:r w:rsidR="00DD6E5F">
        <w:rPr>
          <w:bCs/>
        </w:rPr>
        <w:t xml:space="preserve">New York, </w:t>
      </w:r>
      <w:r w:rsidR="009E4E6C">
        <w:rPr>
          <w:bCs/>
        </w:rPr>
        <w:t xml:space="preserve">Philadelphia, </w:t>
      </w:r>
      <w:proofErr w:type="spellStart"/>
      <w:r w:rsidR="00E7213B">
        <w:rPr>
          <w:bCs/>
        </w:rPr>
        <w:t>Rudragar</w:t>
      </w:r>
      <w:proofErr w:type="spellEnd"/>
      <w:r w:rsidR="00E7213B">
        <w:rPr>
          <w:bCs/>
        </w:rPr>
        <w:t xml:space="preserve"> (</w:t>
      </w:r>
      <w:proofErr w:type="spellStart"/>
      <w:r w:rsidR="00E7213B">
        <w:rPr>
          <w:bCs/>
        </w:rPr>
        <w:t>Pantagar</w:t>
      </w:r>
      <w:proofErr w:type="spellEnd"/>
      <w:r w:rsidR="00E7213B">
        <w:rPr>
          <w:bCs/>
        </w:rPr>
        <w:t xml:space="preserve">), </w:t>
      </w:r>
      <w:r w:rsidR="00DD6E5F">
        <w:rPr>
          <w:bCs/>
        </w:rPr>
        <w:t>San Francisco, Tasmania, and countless other places</w:t>
      </w:r>
      <w:r w:rsidR="00F235BD">
        <w:rPr>
          <w:bCs/>
        </w:rPr>
        <w:t>. P</w:t>
      </w:r>
      <w:r w:rsidR="002C1064">
        <w:rPr>
          <w:bCs/>
        </w:rPr>
        <w:t xml:space="preserve">eople, things, ideas, and practices moved </w:t>
      </w:r>
      <w:r w:rsidR="00476A01">
        <w:rPr>
          <w:bCs/>
        </w:rPr>
        <w:t>representationally through newspapers, theatres, sheet music, colleges, and motion pictures, but all these were transported by train and steamship or communicated by telegraph</w:t>
      </w:r>
      <w:r w:rsidR="007E775C">
        <w:rPr>
          <w:bCs/>
        </w:rPr>
        <w:t xml:space="preserve"> – for example, the Kansas grain shipped to India in 1897 and 1900, using funds mobilized through the New York </w:t>
      </w:r>
      <w:r w:rsidR="007E775C">
        <w:rPr>
          <w:bCs/>
          <w:i/>
          <w:iCs/>
        </w:rPr>
        <w:t>Christian Herald</w:t>
      </w:r>
      <w:r w:rsidR="0094499B">
        <w:rPr>
          <w:bCs/>
        </w:rPr>
        <w:t>,</w:t>
      </w:r>
      <w:r w:rsidR="0094499B">
        <w:rPr>
          <w:bCs/>
          <w:i/>
          <w:iCs/>
        </w:rPr>
        <w:t xml:space="preserve"> </w:t>
      </w:r>
      <w:r w:rsidR="0094499B">
        <w:rPr>
          <w:bCs/>
        </w:rPr>
        <w:t xml:space="preserve">as described by Joanna </w:t>
      </w:r>
      <w:proofErr w:type="spellStart"/>
      <w:r w:rsidR="0094499B">
        <w:rPr>
          <w:bCs/>
        </w:rPr>
        <w:t>Simonow</w:t>
      </w:r>
      <w:proofErr w:type="spellEnd"/>
      <w:r w:rsidR="0094499B">
        <w:rPr>
          <w:bCs/>
        </w:rPr>
        <w:t xml:space="preserve"> in Chapter 4</w:t>
      </w:r>
      <w:r w:rsidR="00476A01">
        <w:rPr>
          <w:bCs/>
        </w:rPr>
        <w:t xml:space="preserve">. </w:t>
      </w:r>
      <w:r w:rsidR="007F360C">
        <w:rPr>
          <w:bCs/>
        </w:rPr>
        <w:t xml:space="preserve">The specific dependence on these nineteenth-century technologies places the Indo-U.S. entanglement within a certain moment of global history, </w:t>
      </w:r>
      <w:r w:rsidR="005F5D1E">
        <w:rPr>
          <w:bCs/>
        </w:rPr>
        <w:t>a moment which enabled the emergence of coherent units to correspond to the labels “India” and the “United States.”</w:t>
      </w:r>
    </w:p>
    <w:p w14:paraId="52253FA9" w14:textId="0C851BEC" w:rsidR="00C35F97" w:rsidRDefault="007E590E" w:rsidP="005F5D1E">
      <w:pPr>
        <w:spacing w:line="360" w:lineRule="auto"/>
        <w:ind w:firstLine="720"/>
        <w:rPr>
          <w:bCs/>
        </w:rPr>
      </w:pPr>
      <w:r>
        <w:rPr>
          <w:bCs/>
        </w:rPr>
        <w:t>A</w:t>
      </w:r>
      <w:r w:rsidR="005F5D1E">
        <w:rPr>
          <w:bCs/>
        </w:rPr>
        <w:t xml:space="preserve">ll the movement described in this volume took place </w:t>
      </w:r>
      <w:r w:rsidR="00824C07">
        <w:rPr>
          <w:bCs/>
        </w:rPr>
        <w:t>in the aftermath of the dawning age of steam</w:t>
      </w:r>
      <w:r w:rsidR="00B96E26">
        <w:rPr>
          <w:bCs/>
        </w:rPr>
        <w:t xml:space="preserve"> from the mid-nineteenth century</w:t>
      </w:r>
      <w:r w:rsidR="00824C07">
        <w:rPr>
          <w:bCs/>
        </w:rPr>
        <w:t xml:space="preserve">, when railroads – and then steamships and the telegraph – would accelerate motion across vast space, </w:t>
      </w:r>
      <w:r w:rsidR="00514B0B">
        <w:rPr>
          <w:bCs/>
        </w:rPr>
        <w:t xml:space="preserve">prompting </w:t>
      </w:r>
      <w:r w:rsidR="00657F1E">
        <w:rPr>
          <w:bCs/>
        </w:rPr>
        <w:t>the</w:t>
      </w:r>
      <w:r w:rsidR="00514B0B">
        <w:rPr>
          <w:bCs/>
        </w:rPr>
        <w:t xml:space="preserve"> consolidat</w:t>
      </w:r>
      <w:r w:rsidR="00657F1E">
        <w:rPr>
          <w:bCs/>
        </w:rPr>
        <w:t>ion of</w:t>
      </w:r>
      <w:r w:rsidR="00514B0B">
        <w:rPr>
          <w:bCs/>
        </w:rPr>
        <w:t xml:space="preserve"> </w:t>
      </w:r>
      <w:r w:rsidR="000C6A2F">
        <w:rPr>
          <w:bCs/>
        </w:rPr>
        <w:t>territories. These holdings</w:t>
      </w:r>
      <w:r w:rsidR="00552D3A">
        <w:rPr>
          <w:bCs/>
        </w:rPr>
        <w:t xml:space="preserve"> </w:t>
      </w:r>
      <w:r w:rsidR="000C6A2F">
        <w:rPr>
          <w:bCs/>
        </w:rPr>
        <w:t xml:space="preserve">were “battered, shaken, and undermined” by the “invincible force” </w:t>
      </w:r>
      <w:r w:rsidR="000C6A2F">
        <w:rPr>
          <w:bCs/>
        </w:rPr>
        <w:lastRenderedPageBreak/>
        <w:t>of steam and its technological progeny.</w:t>
      </w:r>
      <w:r w:rsidR="00854CB0">
        <w:rPr>
          <w:rStyle w:val="FootnoteReference"/>
          <w:bCs/>
        </w:rPr>
        <w:footnoteReference w:id="1"/>
      </w:r>
      <w:r w:rsidR="000C6A2F">
        <w:rPr>
          <w:bCs/>
        </w:rPr>
        <w:t xml:space="preserve"> </w:t>
      </w:r>
      <w:r w:rsidR="00094D89" w:rsidRPr="001357EF">
        <w:rPr>
          <w:bCs/>
        </w:rPr>
        <w:t xml:space="preserve">Thus, </w:t>
      </w:r>
      <w:r w:rsidR="00B96E26">
        <w:rPr>
          <w:bCs/>
        </w:rPr>
        <w:t xml:space="preserve">as Susan Ryan points out in Chapter 2, in 1871 Walt </w:t>
      </w:r>
      <w:r w:rsidR="00094D89" w:rsidRPr="001357EF">
        <w:rPr>
          <w:bCs/>
        </w:rPr>
        <w:t xml:space="preserve">Whitman </w:t>
      </w:r>
      <w:r w:rsidR="00B96E26">
        <w:rPr>
          <w:bCs/>
        </w:rPr>
        <w:t xml:space="preserve">could </w:t>
      </w:r>
      <w:r w:rsidR="00094D89" w:rsidRPr="001357EF">
        <w:rPr>
          <w:bCs/>
        </w:rPr>
        <w:t>exult in “the great achievements of the present, / Singing the strong light works of engineers” (</w:t>
      </w:r>
      <w:r w:rsidR="00B96E26">
        <w:rPr>
          <w:bCs/>
        </w:rPr>
        <w:t xml:space="preserve">“Passage to India,” </w:t>
      </w:r>
      <w:r w:rsidR="00094D89" w:rsidRPr="001357EF">
        <w:rPr>
          <w:bCs/>
        </w:rPr>
        <w:t xml:space="preserve">stanza 1) at Suez and across the North American West, delighting in “God’s purpose from the first[,] / The earth to be </w:t>
      </w:r>
      <w:proofErr w:type="spellStart"/>
      <w:r w:rsidR="00094D89" w:rsidRPr="001357EF">
        <w:rPr>
          <w:bCs/>
        </w:rPr>
        <w:t>spann’d</w:t>
      </w:r>
      <w:proofErr w:type="spellEnd"/>
      <w:r w:rsidR="00094D89" w:rsidRPr="001357EF">
        <w:rPr>
          <w:bCs/>
        </w:rPr>
        <w:t xml:space="preserve">, connected by network” (stanza 2). </w:t>
      </w:r>
    </w:p>
    <w:p w14:paraId="17A13413" w14:textId="3BE633C0" w:rsidR="00B96E26" w:rsidRDefault="00B96E26" w:rsidP="005F5D1E">
      <w:pPr>
        <w:spacing w:line="360" w:lineRule="auto"/>
        <w:ind w:firstLine="720"/>
        <w:rPr>
          <w:bCs/>
        </w:rPr>
      </w:pPr>
      <w:r>
        <w:rPr>
          <w:bCs/>
        </w:rPr>
        <w:t>By this point in the 1870s, along with the global technological innovations Whitman narrates, specific crises in South Asia and North America had produced the two spaces</w:t>
      </w:r>
      <w:r w:rsidR="002A3B88">
        <w:rPr>
          <w:bCs/>
        </w:rPr>
        <w:t xml:space="preserve"> of this book’s title: </w:t>
      </w:r>
      <w:r w:rsidRPr="001357EF">
        <w:rPr>
          <w:bCs/>
        </w:rPr>
        <w:t xml:space="preserve">one, a federation of self-governing provinces shaped by the British settler projects of the seventeenth century; </w:t>
      </w:r>
      <w:r w:rsidR="007E590E">
        <w:rPr>
          <w:bCs/>
        </w:rPr>
        <w:t>the other</w:t>
      </w:r>
      <w:r w:rsidRPr="001357EF">
        <w:rPr>
          <w:bCs/>
        </w:rPr>
        <w:t>, an amalgamation of British protectorates and provinces formed out of the rubble of a company-state which had</w:t>
      </w:r>
      <w:r w:rsidR="00657F1E">
        <w:rPr>
          <w:bCs/>
        </w:rPr>
        <w:t xml:space="preserve"> in turn</w:t>
      </w:r>
      <w:r w:rsidRPr="001357EF">
        <w:rPr>
          <w:bCs/>
        </w:rPr>
        <w:t xml:space="preserve"> built itself on the r</w:t>
      </w:r>
      <w:r w:rsidR="007E590E">
        <w:rPr>
          <w:bCs/>
        </w:rPr>
        <w:t>emains</w:t>
      </w:r>
      <w:r w:rsidRPr="001357EF">
        <w:rPr>
          <w:bCs/>
        </w:rPr>
        <w:t xml:space="preserve"> of the Mughal Empire and a multitude of other regional principalities. In short, as they emerged from the tumult of the American Civil War and the 1857 Mutiny, “the United States” and “India” became metonyms for complex and overlapping regimes of governance covering continental stretches of space. As a global age dawned, both “the United States” and “India” became emblems of unifying space – the U.S. stretching from sea to shining sea, and India labelled a “sub-continent” – even as they were unified by the profoundly divisive forces of racialisation in white supremacy and settler colonialism.</w:t>
      </w:r>
    </w:p>
    <w:p w14:paraId="15E06445" w14:textId="553ABF93" w:rsidR="003117A5" w:rsidRPr="00393695" w:rsidRDefault="007B054D" w:rsidP="005F5D1E">
      <w:pPr>
        <w:spacing w:line="360" w:lineRule="auto"/>
        <w:ind w:firstLine="720"/>
        <w:rPr>
          <w:bCs/>
        </w:rPr>
      </w:pPr>
      <w:r>
        <w:rPr>
          <w:bCs/>
        </w:rPr>
        <w:t xml:space="preserve">In Part 1, Bradley Shope, Susan Ryan, and Philip </w:t>
      </w:r>
      <w:proofErr w:type="spellStart"/>
      <w:r>
        <w:rPr>
          <w:bCs/>
        </w:rPr>
        <w:t>Deslippe</w:t>
      </w:r>
      <w:proofErr w:type="spellEnd"/>
      <w:r>
        <w:rPr>
          <w:bCs/>
        </w:rPr>
        <w:t xml:space="preserve"> trace these processes of racialisation operating within and between the nascent places “India” and the “United States.” In Chapter 1, </w:t>
      </w:r>
      <w:r w:rsidR="00C10A24">
        <w:rPr>
          <w:bCs/>
        </w:rPr>
        <w:t xml:space="preserve">blackface </w:t>
      </w:r>
      <w:r w:rsidR="00F356BD">
        <w:rPr>
          <w:bCs/>
        </w:rPr>
        <w:t xml:space="preserve">minstrelsy in India operated within a complex racial hierarchy, reinforcing both localised </w:t>
      </w:r>
      <w:r w:rsidR="007E590E">
        <w:rPr>
          <w:bCs/>
        </w:rPr>
        <w:t xml:space="preserve">East India </w:t>
      </w:r>
      <w:r w:rsidR="00F356BD">
        <w:rPr>
          <w:bCs/>
        </w:rPr>
        <w:t xml:space="preserve">Company-led white supremacy within India and a globalised </w:t>
      </w:r>
      <w:r w:rsidR="003120B5">
        <w:rPr>
          <w:bCs/>
        </w:rPr>
        <w:t xml:space="preserve">hierarchy of whiteness over non-whiteness, with the performance of blackface shows allowing “audiences [to conflate] divergent categories of race into an essentialised classification…and [ascribe] to that classification a subordinate status.” </w:t>
      </w:r>
      <w:r w:rsidR="00D44EAE">
        <w:rPr>
          <w:bCs/>
        </w:rPr>
        <w:t xml:space="preserve">Performing the subordination of enslaved Blacks in the United States displaced the localised racial conflicts of Bombay and Calcutta onto a different hierarchy to which white and non-white audiences could see themselves as superior. As Shope shows, the </w:t>
      </w:r>
      <w:r w:rsidR="00D44EAE">
        <w:rPr>
          <w:bCs/>
          <w:i/>
          <w:iCs/>
        </w:rPr>
        <w:t xml:space="preserve">Bombay Gazette </w:t>
      </w:r>
      <w:r w:rsidR="00D44EAE">
        <w:rPr>
          <w:bCs/>
        </w:rPr>
        <w:t xml:space="preserve">made this explicit in 1852, </w:t>
      </w:r>
      <w:r w:rsidR="00D94FCC">
        <w:rPr>
          <w:bCs/>
        </w:rPr>
        <w:t xml:space="preserve">asking if these degrading performances “are, unconsciously, extending a livelier sympathy for a cruelly depressed race?” </w:t>
      </w:r>
      <w:r w:rsidR="004E0499">
        <w:rPr>
          <w:bCs/>
        </w:rPr>
        <w:t xml:space="preserve">Minstrel performances around the same time in South Africa did not </w:t>
      </w:r>
      <w:r w:rsidR="00393695">
        <w:rPr>
          <w:bCs/>
        </w:rPr>
        <w:t xml:space="preserve">have the same goal, with the Confederate warship </w:t>
      </w:r>
      <w:r w:rsidR="00393695">
        <w:rPr>
          <w:bCs/>
          <w:i/>
          <w:iCs/>
        </w:rPr>
        <w:t xml:space="preserve">Alabama </w:t>
      </w:r>
      <w:r w:rsidR="00393695">
        <w:rPr>
          <w:bCs/>
        </w:rPr>
        <w:t xml:space="preserve">docking in </w:t>
      </w:r>
      <w:r w:rsidR="00393695">
        <w:rPr>
          <w:bCs/>
        </w:rPr>
        <w:lastRenderedPageBreak/>
        <w:t>Cape Colony in 1862, where enslaved Black men “performed minstrel shows for white South Africans sympathetic to the Confederate cause and bitter about Britain’s ending of slavery in the Cape Colony.”</w:t>
      </w:r>
      <w:r w:rsidR="00393695">
        <w:rPr>
          <w:rStyle w:val="FootnoteReference"/>
          <w:bCs/>
        </w:rPr>
        <w:footnoteReference w:id="2"/>
      </w:r>
      <w:r w:rsidR="00F45973">
        <w:rPr>
          <w:bCs/>
        </w:rPr>
        <w:t xml:space="preserve"> From Hawaii to Bombay, and from New Orleans to Cape Town, the entanglement of white supremacy in </w:t>
      </w:r>
      <w:r w:rsidR="001E033B">
        <w:rPr>
          <w:bCs/>
        </w:rPr>
        <w:t xml:space="preserve">blackface </w:t>
      </w:r>
      <w:r w:rsidR="00F45973">
        <w:rPr>
          <w:bCs/>
        </w:rPr>
        <w:t xml:space="preserve">performance </w:t>
      </w:r>
      <w:r w:rsidR="003268F7">
        <w:rPr>
          <w:bCs/>
        </w:rPr>
        <w:t>circled the globe</w:t>
      </w:r>
      <w:r w:rsidR="001E033B">
        <w:rPr>
          <w:bCs/>
        </w:rPr>
        <w:t xml:space="preserve"> under steam</w:t>
      </w:r>
      <w:r w:rsidR="003F6B69">
        <w:rPr>
          <w:bCs/>
        </w:rPr>
        <w:t xml:space="preserve"> in the 1850s and 1860s, albeit with different valences for each audience.</w:t>
      </w:r>
    </w:p>
    <w:p w14:paraId="188E6D30" w14:textId="55A72BFF" w:rsidR="007B054D" w:rsidRPr="009E2A7A" w:rsidRDefault="00F44997" w:rsidP="005F5D1E">
      <w:pPr>
        <w:spacing w:line="360" w:lineRule="auto"/>
        <w:ind w:firstLine="720"/>
        <w:rPr>
          <w:bCs/>
        </w:rPr>
      </w:pPr>
      <w:r>
        <w:rPr>
          <w:bCs/>
        </w:rPr>
        <w:t xml:space="preserve">Susan Ryan’s reading of </w:t>
      </w:r>
      <w:r>
        <w:rPr>
          <w:bCs/>
          <w:i/>
          <w:iCs/>
        </w:rPr>
        <w:t>Jessie Brown</w:t>
      </w:r>
      <w:r>
        <w:rPr>
          <w:bCs/>
        </w:rPr>
        <w:t xml:space="preserve">, staged in New York only seven years after the New York Serenaders visited India, reverses the flow of racialised displacement, </w:t>
      </w:r>
      <w:r w:rsidR="007E590E">
        <w:rPr>
          <w:bCs/>
        </w:rPr>
        <w:t>transposing</w:t>
      </w:r>
      <w:r>
        <w:rPr>
          <w:bCs/>
        </w:rPr>
        <w:t xml:space="preserve"> the complex conflicts of the 1857 Mutiny onto the hierarchies of the United States</w:t>
      </w:r>
      <w:r w:rsidR="00BD0542">
        <w:rPr>
          <w:bCs/>
        </w:rPr>
        <w:t xml:space="preserve"> through the invocations of slavery and the potential for slave revolt.</w:t>
      </w:r>
      <w:r>
        <w:rPr>
          <w:bCs/>
        </w:rPr>
        <w:t xml:space="preserve"> </w:t>
      </w:r>
      <w:r w:rsidR="00BD0542">
        <w:rPr>
          <w:bCs/>
        </w:rPr>
        <w:t xml:space="preserve">Philip </w:t>
      </w:r>
      <w:proofErr w:type="spellStart"/>
      <w:r w:rsidR="00BD0542">
        <w:rPr>
          <w:bCs/>
        </w:rPr>
        <w:t>Deslippe’s</w:t>
      </w:r>
      <w:proofErr w:type="spellEnd"/>
      <w:r w:rsidR="00BD0542">
        <w:rPr>
          <w:bCs/>
        </w:rPr>
        <w:t xml:space="preserve"> account of the discursive career of “fakir” in Chapter 3 also speaks to the confusion many Americans grappled with in representing India, much like </w:t>
      </w:r>
      <w:r w:rsidR="00BD0542">
        <w:rPr>
          <w:bCs/>
          <w:i/>
          <w:iCs/>
        </w:rPr>
        <w:t>Jessie Brown</w:t>
      </w:r>
      <w:r w:rsidR="00BD0542">
        <w:rPr>
          <w:bCs/>
        </w:rPr>
        <w:t xml:space="preserve">’s confusion of mosques and temples. </w:t>
      </w:r>
      <w:r w:rsidR="009E2A7A">
        <w:rPr>
          <w:bCs/>
        </w:rPr>
        <w:t xml:space="preserve">Through its adoption in performances by magicians such as Isaiah Harris Hughes (“the Fakir of Ava”), and through its confusion with yogic practices, in the United States “fakir” transformed from its South Asian meaning of Islamic ascetic into a common huckster by the 1870s. As with </w:t>
      </w:r>
      <w:r w:rsidR="009E2A7A">
        <w:rPr>
          <w:bCs/>
          <w:i/>
          <w:iCs/>
        </w:rPr>
        <w:t>Jessie Brown</w:t>
      </w:r>
      <w:r w:rsidR="009E2A7A">
        <w:rPr>
          <w:bCs/>
        </w:rPr>
        <w:t>, the Mutiny seems to have been a turning point</w:t>
      </w:r>
      <w:r w:rsidR="00E72978">
        <w:rPr>
          <w:bCs/>
        </w:rPr>
        <w:t xml:space="preserve"> (Hughes debuted his “gift shows” in 1857)</w:t>
      </w:r>
      <w:r w:rsidR="009E2A7A">
        <w:rPr>
          <w:bCs/>
        </w:rPr>
        <w:t>, elevating India in the U.S. public mind without providing much clarity or understanding of the subcontinent.</w:t>
      </w:r>
    </w:p>
    <w:p w14:paraId="593EA0E8" w14:textId="5272FCD3" w:rsidR="00CE5C27" w:rsidRDefault="00251FA9" w:rsidP="00B96E26">
      <w:pPr>
        <w:spacing w:line="360" w:lineRule="auto"/>
        <w:ind w:firstLine="720"/>
        <w:rPr>
          <w:bCs/>
        </w:rPr>
      </w:pPr>
      <w:r>
        <w:rPr>
          <w:bCs/>
        </w:rPr>
        <w:t>The 1850s and 1860s were confusing times around the world, but especially in North America and South Asia, and these decades were the moment when the units of Indo-U.S. entanglement – “the United States” and “India” as places – took political shape</w:t>
      </w:r>
      <w:r w:rsidR="00CD6D70">
        <w:rPr>
          <w:bCs/>
        </w:rPr>
        <w:t xml:space="preserve"> as unified spaces. Yet the notion of either North America or South Asia cohering into unified spaces implies a trilateral beyond the “Indo-U.S.” bilateral, adding to the dyad another space which is notoriously difficult to define: “Britain,” or even more loosely, “the British Empire.”</w:t>
      </w:r>
      <w:r w:rsidR="00740CE8">
        <w:rPr>
          <w:rStyle w:val="FootnoteReference"/>
          <w:bCs/>
        </w:rPr>
        <w:footnoteReference w:id="3"/>
      </w:r>
      <w:r w:rsidR="00CD6D70">
        <w:rPr>
          <w:bCs/>
        </w:rPr>
        <w:t xml:space="preserve"> </w:t>
      </w:r>
      <w:r w:rsidR="00B96E26">
        <w:rPr>
          <w:bCs/>
        </w:rPr>
        <w:t>The logic of spatial and racial unification and division accompanying the creation of “the United States” and “India” as places originated from British imperial practices, though</w:t>
      </w:r>
      <w:r w:rsidR="00CE5C27">
        <w:rPr>
          <w:bCs/>
        </w:rPr>
        <w:t xml:space="preserve"> the</w:t>
      </w:r>
      <w:r w:rsidR="00B96E26">
        <w:rPr>
          <w:bCs/>
        </w:rPr>
        <w:t xml:space="preserve"> entanglement of space, power, and race long pre-dated the rise of British sea power in the eighteenth century.</w:t>
      </w:r>
      <w:r w:rsidR="006C186C">
        <w:rPr>
          <w:rStyle w:val="FootnoteReference"/>
          <w:bCs/>
        </w:rPr>
        <w:footnoteReference w:id="4"/>
      </w:r>
      <w:r w:rsidR="00C35F97">
        <w:rPr>
          <w:b/>
        </w:rPr>
        <w:t xml:space="preserve"> </w:t>
      </w:r>
      <w:r w:rsidR="00B96E26">
        <w:rPr>
          <w:bCs/>
        </w:rPr>
        <w:t xml:space="preserve">Likewise, the English language carried by British settlers and colonial </w:t>
      </w:r>
      <w:r w:rsidR="00B96E26">
        <w:rPr>
          <w:bCs/>
        </w:rPr>
        <w:lastRenderedPageBreak/>
        <w:t xml:space="preserve">agents facilitated the Indo-U.S. entanglements described in this volume, in some cases through specific words adapted, translated, and mis-translated from South Asian contexts such as </w:t>
      </w:r>
      <w:r w:rsidR="00B96E26">
        <w:rPr>
          <w:bCs/>
          <w:i/>
          <w:iCs/>
        </w:rPr>
        <w:t>fakir</w:t>
      </w:r>
      <w:r w:rsidR="00B96E26">
        <w:rPr>
          <w:bCs/>
        </w:rPr>
        <w:t xml:space="preserve">. </w:t>
      </w:r>
    </w:p>
    <w:p w14:paraId="1D1B91CA" w14:textId="7E6C250E" w:rsidR="006F7D2D" w:rsidRDefault="002E2482" w:rsidP="006F7D2D">
      <w:pPr>
        <w:spacing w:line="360" w:lineRule="auto"/>
        <w:ind w:firstLine="720"/>
        <w:rPr>
          <w:bCs/>
        </w:rPr>
      </w:pPr>
      <w:r>
        <w:rPr>
          <w:bCs/>
        </w:rPr>
        <w:t xml:space="preserve">So far, I have described in part the “how,” “when,” and “where” of Indo-U.S. entanglement, but what was in motion, or who was entangled? The chapters in this volume demonstrate the great diversity of “what” and “who” Indo-U.S. entanglement entailed, especially in Part 2. </w:t>
      </w:r>
      <w:r w:rsidR="006067B2">
        <w:rPr>
          <w:bCs/>
        </w:rPr>
        <w:t xml:space="preserve">In Chapters 4 and 5, Joanna </w:t>
      </w:r>
      <w:proofErr w:type="spellStart"/>
      <w:r w:rsidR="006067B2">
        <w:rPr>
          <w:bCs/>
        </w:rPr>
        <w:t>Simonow</w:t>
      </w:r>
      <w:proofErr w:type="spellEnd"/>
      <w:r w:rsidR="006067B2">
        <w:rPr>
          <w:bCs/>
        </w:rPr>
        <w:t xml:space="preserve"> and Harald Fischer-</w:t>
      </w:r>
      <w:proofErr w:type="spellStart"/>
      <w:r w:rsidR="006067B2">
        <w:rPr>
          <w:bCs/>
        </w:rPr>
        <w:t>Tiné</w:t>
      </w:r>
      <w:proofErr w:type="spellEnd"/>
      <w:r w:rsidR="006067B2">
        <w:rPr>
          <w:bCs/>
        </w:rPr>
        <w:t xml:space="preserve"> demonstrate the ways that Protestant missionary endeavour and the trans-Atlantic circulation of Progressive ideas further entrenched the overlapping of U.S. and British interests in India before 1947. </w:t>
      </w:r>
      <w:proofErr w:type="spellStart"/>
      <w:r w:rsidR="006F7D2D">
        <w:rPr>
          <w:bCs/>
        </w:rPr>
        <w:t>Simonow</w:t>
      </w:r>
      <w:proofErr w:type="spellEnd"/>
      <w:r w:rsidR="006F7D2D">
        <w:rPr>
          <w:bCs/>
        </w:rPr>
        <w:t xml:space="preserve"> reconstructs numerous Indo-Anglo-American links through figures such as Robert Allen Hume, the American missionary awarded the </w:t>
      </w:r>
      <w:r w:rsidR="006F7D2D">
        <w:rPr>
          <w:bCs/>
          <w:i/>
          <w:iCs/>
        </w:rPr>
        <w:t>Kaisar-</w:t>
      </w:r>
      <w:proofErr w:type="spellStart"/>
      <w:r w:rsidR="006F7D2D">
        <w:rPr>
          <w:bCs/>
          <w:i/>
          <w:iCs/>
        </w:rPr>
        <w:t>i</w:t>
      </w:r>
      <w:proofErr w:type="spellEnd"/>
      <w:r w:rsidR="006F7D2D">
        <w:rPr>
          <w:bCs/>
          <w:i/>
          <w:iCs/>
        </w:rPr>
        <w:t>-Hind</w:t>
      </w:r>
      <w:r w:rsidR="006F7D2D">
        <w:rPr>
          <w:bCs/>
        </w:rPr>
        <w:t xml:space="preserve">, the editors of the </w:t>
      </w:r>
      <w:r w:rsidR="006F7D2D">
        <w:rPr>
          <w:bCs/>
          <w:i/>
          <w:iCs/>
        </w:rPr>
        <w:t>Christian Herald</w:t>
      </w:r>
      <w:r w:rsidR="006F7D2D">
        <w:rPr>
          <w:bCs/>
        </w:rPr>
        <w:t>, women such as Abbie Child, or returning missionaries like Henry Potter and Justin Abbott, who smoothed over fin-de-siècle Anglo-American tensions by focusing on the common effort of famine relief in India.</w:t>
      </w:r>
      <w:r w:rsidR="006F7D2D">
        <w:rPr>
          <w:bCs/>
          <w:i/>
          <w:iCs/>
        </w:rPr>
        <w:t xml:space="preserve"> </w:t>
      </w:r>
      <w:r w:rsidR="006F7D2D">
        <w:rPr>
          <w:bCs/>
        </w:rPr>
        <w:t xml:space="preserve">In parallel with this explicitly Christian world, </w:t>
      </w:r>
      <w:r w:rsidR="00997993">
        <w:rPr>
          <w:bCs/>
        </w:rPr>
        <w:t>Fischer-</w:t>
      </w:r>
      <w:proofErr w:type="spellStart"/>
      <w:r w:rsidR="00997993">
        <w:rPr>
          <w:bCs/>
        </w:rPr>
        <w:t>Tiné</w:t>
      </w:r>
      <w:proofErr w:type="spellEnd"/>
      <w:r w:rsidR="00997993">
        <w:rPr>
          <w:bCs/>
        </w:rPr>
        <w:t xml:space="preserve"> focuses on the secularised language of “</w:t>
      </w:r>
      <w:proofErr w:type="spellStart"/>
      <w:r w:rsidR="00997993">
        <w:rPr>
          <w:bCs/>
        </w:rPr>
        <w:t>boyology</w:t>
      </w:r>
      <w:proofErr w:type="spellEnd"/>
      <w:r w:rsidR="00EA5C49">
        <w:rPr>
          <w:bCs/>
        </w:rPr>
        <w:t>,</w:t>
      </w:r>
      <w:r w:rsidR="00997993">
        <w:rPr>
          <w:bCs/>
        </w:rPr>
        <w:t>”</w:t>
      </w:r>
      <w:r w:rsidR="00EA5C49">
        <w:rPr>
          <w:bCs/>
        </w:rPr>
        <w:t xml:space="preserve"> which the YMCA shared with the Boys Brigade, the Scouting movement, and broader turn-of-the-century Anglo-American anxieties about white masculinity. </w:t>
      </w:r>
      <w:r w:rsidR="00332B02">
        <w:rPr>
          <w:bCs/>
        </w:rPr>
        <w:t xml:space="preserve">As with the missionaries profiled by </w:t>
      </w:r>
      <w:proofErr w:type="spellStart"/>
      <w:r w:rsidR="00332B02">
        <w:rPr>
          <w:bCs/>
        </w:rPr>
        <w:t>Simonow</w:t>
      </w:r>
      <w:proofErr w:type="spellEnd"/>
      <w:r w:rsidR="00332B02">
        <w:rPr>
          <w:bCs/>
        </w:rPr>
        <w:t>, the Y’s “</w:t>
      </w:r>
      <w:proofErr w:type="spellStart"/>
      <w:r w:rsidR="00332B02">
        <w:rPr>
          <w:bCs/>
        </w:rPr>
        <w:t>boyologists</w:t>
      </w:r>
      <w:proofErr w:type="spellEnd"/>
      <w:r w:rsidR="00332B02">
        <w:rPr>
          <w:bCs/>
        </w:rPr>
        <w:t xml:space="preserve">” did not replicate or enact British imperial policy, but operated in a milieu </w:t>
      </w:r>
      <w:r w:rsidR="003860FE">
        <w:rPr>
          <w:bCs/>
        </w:rPr>
        <w:t xml:space="preserve">associating progress, development, and growth with </w:t>
      </w:r>
      <w:r w:rsidR="009A7A92">
        <w:rPr>
          <w:bCs/>
        </w:rPr>
        <w:t xml:space="preserve">whiteness, such that Calcutta’s Y secretary H.G. </w:t>
      </w:r>
      <w:proofErr w:type="spellStart"/>
      <w:r w:rsidR="009A7A92">
        <w:rPr>
          <w:bCs/>
        </w:rPr>
        <w:t>Banurji</w:t>
      </w:r>
      <w:proofErr w:type="spellEnd"/>
      <w:r w:rsidR="009A7A92">
        <w:rPr>
          <w:bCs/>
        </w:rPr>
        <w:t xml:space="preserve"> had to insist on Bengali boys sharing “the same boyish elasticity and impressionableness of character that are so common in other lands and climes” in 1907</w:t>
      </w:r>
      <w:r w:rsidR="003860FE">
        <w:rPr>
          <w:bCs/>
        </w:rPr>
        <w:t>.</w:t>
      </w:r>
      <w:r w:rsidR="00997993">
        <w:rPr>
          <w:bCs/>
        </w:rPr>
        <w:t xml:space="preserve"> </w:t>
      </w:r>
      <w:r w:rsidR="00E11817">
        <w:rPr>
          <w:bCs/>
        </w:rPr>
        <w:t xml:space="preserve">Room for manoeuvre within Anglo-American institutions could </w:t>
      </w:r>
      <w:r w:rsidR="003F09A2">
        <w:rPr>
          <w:bCs/>
        </w:rPr>
        <w:t>open</w:t>
      </w:r>
      <w:r w:rsidR="00E11817">
        <w:rPr>
          <w:bCs/>
        </w:rPr>
        <w:t xml:space="preserve">, though. </w:t>
      </w:r>
      <w:r w:rsidR="006041AE">
        <w:rPr>
          <w:bCs/>
        </w:rPr>
        <w:t xml:space="preserve">Unlike the strictly segregated Boy Scouts Association of India, the Y’s Scout troops “knew no racial barriers,” per Daniel </w:t>
      </w:r>
      <w:proofErr w:type="spellStart"/>
      <w:r w:rsidR="006041AE">
        <w:rPr>
          <w:bCs/>
        </w:rPr>
        <w:t>Swamidoss</w:t>
      </w:r>
      <w:proofErr w:type="spellEnd"/>
      <w:r w:rsidR="006041AE">
        <w:rPr>
          <w:bCs/>
        </w:rPr>
        <w:t xml:space="preserve"> speaking to an international YMCA gathering in Austria in 1923.</w:t>
      </w:r>
    </w:p>
    <w:p w14:paraId="15D68725" w14:textId="28DC82F0" w:rsidR="003F09A2" w:rsidRDefault="003F09A2" w:rsidP="006F7D2D">
      <w:pPr>
        <w:spacing w:line="360" w:lineRule="auto"/>
        <w:ind w:firstLine="720"/>
        <w:rPr>
          <w:bCs/>
        </w:rPr>
      </w:pPr>
      <w:r>
        <w:rPr>
          <w:bCs/>
        </w:rPr>
        <w:t xml:space="preserve">Up to this point, this discussion of people-in-motion has concentrated on </w:t>
      </w:r>
      <w:r w:rsidR="00AD76CE">
        <w:rPr>
          <w:bCs/>
        </w:rPr>
        <w:t xml:space="preserve">Americans moving to India, or observing India, but the nineteenth and early twentieth centuries also saw many Indians entangle themselves with the United States. Chapter 4 tells the story of </w:t>
      </w:r>
      <w:proofErr w:type="spellStart"/>
      <w:r w:rsidR="00AD76CE">
        <w:rPr>
          <w:bCs/>
        </w:rPr>
        <w:t>Sumantrao</w:t>
      </w:r>
      <w:proofErr w:type="spellEnd"/>
      <w:r w:rsidR="00AD76CE">
        <w:rPr>
          <w:bCs/>
        </w:rPr>
        <w:t xml:space="preserve"> and </w:t>
      </w:r>
      <w:proofErr w:type="spellStart"/>
      <w:r w:rsidR="00AD76CE">
        <w:rPr>
          <w:bCs/>
        </w:rPr>
        <w:t>Gurubai</w:t>
      </w:r>
      <w:proofErr w:type="spellEnd"/>
      <w:r w:rsidR="00AD76CE">
        <w:rPr>
          <w:bCs/>
        </w:rPr>
        <w:t xml:space="preserve"> Karmarkar, who travelled to North America in 1888, where they both took degrees from north-eastern universities before returning to India in 1893, where they joined the YMCA and YWCA movements, linking </w:t>
      </w:r>
      <w:proofErr w:type="spellStart"/>
      <w:r w:rsidR="00F1337F">
        <w:rPr>
          <w:bCs/>
        </w:rPr>
        <w:t>Simonow</w:t>
      </w:r>
      <w:proofErr w:type="spellEnd"/>
      <w:r w:rsidR="00F1337F">
        <w:rPr>
          <w:bCs/>
        </w:rPr>
        <w:t xml:space="preserve"> and Fischer-</w:t>
      </w:r>
      <w:proofErr w:type="spellStart"/>
      <w:r w:rsidR="00F1337F">
        <w:rPr>
          <w:bCs/>
        </w:rPr>
        <w:t>Tiné’s</w:t>
      </w:r>
      <w:proofErr w:type="spellEnd"/>
      <w:r w:rsidR="00F1337F">
        <w:rPr>
          <w:bCs/>
        </w:rPr>
        <w:t xml:space="preserve"> chapters. </w:t>
      </w:r>
      <w:proofErr w:type="spellStart"/>
      <w:r w:rsidR="009E20B9">
        <w:rPr>
          <w:bCs/>
        </w:rPr>
        <w:t>Sumantrao</w:t>
      </w:r>
      <w:proofErr w:type="spellEnd"/>
      <w:r w:rsidR="009E20B9">
        <w:rPr>
          <w:bCs/>
        </w:rPr>
        <w:t xml:space="preserve"> Karmarkar brought a stereopticon back from the United States and integrated it into proselytization, </w:t>
      </w:r>
      <w:r w:rsidR="00CE4BA6">
        <w:rPr>
          <w:bCs/>
        </w:rPr>
        <w:t>at the exact moment Swami Vivekananda crossed to Chicago for his major introduction of Indian religious traditions to American audiences.</w:t>
      </w:r>
      <w:r w:rsidR="005C63B7">
        <w:rPr>
          <w:bCs/>
        </w:rPr>
        <w:t xml:space="preserve"> </w:t>
      </w:r>
      <w:r w:rsidR="005C63B7">
        <w:rPr>
          <w:bCs/>
        </w:rPr>
        <w:lastRenderedPageBreak/>
        <w:t xml:space="preserve">Another entangling crossing emerged from the Karmarkar family through their adopted son </w:t>
      </w:r>
      <w:proofErr w:type="spellStart"/>
      <w:r w:rsidR="005C63B7">
        <w:rPr>
          <w:bCs/>
        </w:rPr>
        <w:t>Vishvasrao</w:t>
      </w:r>
      <w:proofErr w:type="spellEnd"/>
      <w:r w:rsidR="005C63B7">
        <w:rPr>
          <w:bCs/>
        </w:rPr>
        <w:t xml:space="preserve">, who followed in his adopted parents’ footsteps to seek education in the United States, where he lost his life serving Americans </w:t>
      </w:r>
      <w:r w:rsidR="00BF4433">
        <w:rPr>
          <w:bCs/>
        </w:rPr>
        <w:t>during</w:t>
      </w:r>
      <w:r w:rsidR="005C63B7">
        <w:rPr>
          <w:bCs/>
        </w:rPr>
        <w:t xml:space="preserve"> the devastation of the influenza pandemic of 1918.</w:t>
      </w:r>
    </w:p>
    <w:p w14:paraId="57ED477A" w14:textId="77777777" w:rsidR="004369D7" w:rsidRDefault="002650C5" w:rsidP="00D24477">
      <w:pPr>
        <w:spacing w:line="360" w:lineRule="auto"/>
        <w:ind w:firstLine="720"/>
        <w:rPr>
          <w:bCs/>
        </w:rPr>
      </w:pPr>
      <w:r>
        <w:rPr>
          <w:bCs/>
        </w:rPr>
        <w:t>Another Indian journey across the Atlantic would cast a long shadow for Indo-U.S. entanglements: Lala Lajpat Rai’s second visit to the United States, from 1914 to 1915.</w:t>
      </w:r>
      <w:r>
        <w:rPr>
          <w:rStyle w:val="FootnoteReference"/>
          <w:bCs/>
        </w:rPr>
        <w:footnoteReference w:id="5"/>
      </w:r>
      <w:r w:rsidR="00B51DD6">
        <w:rPr>
          <w:bCs/>
        </w:rPr>
        <w:t xml:space="preserve"> Lajpat Rai took an intense interest in the struggles of Black Americans, </w:t>
      </w:r>
      <w:r w:rsidR="00677E64">
        <w:rPr>
          <w:bCs/>
        </w:rPr>
        <w:t xml:space="preserve">as W.E.B. Du </w:t>
      </w:r>
      <w:proofErr w:type="spellStart"/>
      <w:r w:rsidR="00677E64">
        <w:rPr>
          <w:bCs/>
        </w:rPr>
        <w:t>Bois</w:t>
      </w:r>
      <w:proofErr w:type="spellEnd"/>
      <w:r w:rsidR="00677E64">
        <w:rPr>
          <w:bCs/>
        </w:rPr>
        <w:t xml:space="preserve"> noted in a </w:t>
      </w:r>
      <w:r w:rsidR="002D4B02">
        <w:rPr>
          <w:bCs/>
        </w:rPr>
        <w:t xml:space="preserve">1935 article for </w:t>
      </w:r>
      <w:r w:rsidR="002D4B02">
        <w:rPr>
          <w:bCs/>
          <w:i/>
          <w:iCs/>
        </w:rPr>
        <w:t>Aryan Path</w:t>
      </w:r>
      <w:r w:rsidR="002D4B02">
        <w:rPr>
          <w:bCs/>
        </w:rPr>
        <w:t>.</w:t>
      </w:r>
      <w:r w:rsidR="002D4B02">
        <w:rPr>
          <w:rStyle w:val="FootnoteReference"/>
          <w:bCs/>
        </w:rPr>
        <w:footnoteReference w:id="6"/>
      </w:r>
      <w:r w:rsidR="00D24477">
        <w:rPr>
          <w:bCs/>
        </w:rPr>
        <w:t xml:space="preserve"> As Nico Slate recounts in Chapter 8, this article prompted Rammanohar Lohia to write to Du </w:t>
      </w:r>
      <w:proofErr w:type="spellStart"/>
      <w:r w:rsidR="00D24477">
        <w:rPr>
          <w:bCs/>
        </w:rPr>
        <w:t>Bois</w:t>
      </w:r>
      <w:proofErr w:type="spellEnd"/>
      <w:r w:rsidR="00D24477">
        <w:rPr>
          <w:bCs/>
        </w:rPr>
        <w:t xml:space="preserve"> in 1936</w:t>
      </w:r>
      <w:r w:rsidR="005D1207">
        <w:rPr>
          <w:bCs/>
        </w:rPr>
        <w:t xml:space="preserve">, to </w:t>
      </w:r>
      <w:r w:rsidR="00B763BD">
        <w:rPr>
          <w:bCs/>
        </w:rPr>
        <w:t>strengthen Indo-Black solidarity.</w:t>
      </w:r>
      <w:r w:rsidR="009A220C">
        <w:rPr>
          <w:bCs/>
        </w:rPr>
        <w:t xml:space="preserve"> In Chapter 7, Neilesh Bose also follows a notable individual whose movement entangled India and the United States, the activist and writer Taraknath Das.</w:t>
      </w:r>
      <w:r w:rsidR="005E43F5">
        <w:rPr>
          <w:bCs/>
        </w:rPr>
        <w:t xml:space="preserve"> </w:t>
      </w:r>
    </w:p>
    <w:p w14:paraId="2AA343B0" w14:textId="1E85A6F6" w:rsidR="005E43F5" w:rsidRDefault="005E43F5" w:rsidP="00D24477">
      <w:pPr>
        <w:spacing w:line="360" w:lineRule="auto"/>
        <w:ind w:firstLine="720"/>
        <w:rPr>
          <w:bCs/>
        </w:rPr>
      </w:pPr>
      <w:r>
        <w:rPr>
          <w:bCs/>
        </w:rPr>
        <w:t xml:space="preserve">The shift from Das and Lohia’s outreach to the United States before India’s independence, to the criss-crossing journeys Nicole </w:t>
      </w:r>
      <w:proofErr w:type="spellStart"/>
      <w:r>
        <w:rPr>
          <w:bCs/>
        </w:rPr>
        <w:t>Sackley</w:t>
      </w:r>
      <w:proofErr w:type="spellEnd"/>
      <w:r>
        <w:rPr>
          <w:bCs/>
        </w:rPr>
        <w:t xml:space="preserve"> narrates in Chapter 10, is striking. Between Das’s Pacific crossing to Seattle via Japan in 1906, to </w:t>
      </w:r>
      <w:proofErr w:type="spellStart"/>
      <w:r>
        <w:rPr>
          <w:bCs/>
        </w:rPr>
        <w:t>Pupul</w:t>
      </w:r>
      <w:proofErr w:type="spellEnd"/>
      <w:r>
        <w:rPr>
          <w:bCs/>
        </w:rPr>
        <w:t xml:space="preserve"> Jayakar opening the Sona handicrafts boutique in New York in 1965, </w:t>
      </w:r>
      <w:r w:rsidR="004369D7">
        <w:rPr>
          <w:bCs/>
        </w:rPr>
        <w:t>we can see</w:t>
      </w:r>
      <w:r>
        <w:rPr>
          <w:bCs/>
        </w:rPr>
        <w:t xml:space="preserve"> how </w:t>
      </w:r>
      <w:r w:rsidR="004369D7">
        <w:rPr>
          <w:bCs/>
        </w:rPr>
        <w:t xml:space="preserve">Walt </w:t>
      </w:r>
      <w:r>
        <w:rPr>
          <w:bCs/>
        </w:rPr>
        <w:t>Whitman’s vision of progress narrated in 1871 had radically shifted one hundred years later.</w:t>
      </w:r>
      <w:r w:rsidRPr="00E81416">
        <w:rPr>
          <w:bCs/>
        </w:rPr>
        <w:t xml:space="preserve"> </w:t>
      </w:r>
      <w:r>
        <w:rPr>
          <w:bCs/>
        </w:rPr>
        <w:t>While Das passed from Bengal to North America via Asia rather than Europe, his early activism in Canada had to navigate the Eurocentric pan-Britannic racial segregation system making journeys like his difficult and discriminatory.</w:t>
      </w:r>
      <w:r>
        <w:rPr>
          <w:rStyle w:val="FootnoteReference"/>
          <w:bCs/>
        </w:rPr>
        <w:footnoteReference w:id="7"/>
      </w:r>
      <w:r>
        <w:rPr>
          <w:bCs/>
        </w:rPr>
        <w:t xml:space="preserve"> His work with the Ghadar movement had British rule as its target, a British rule sharing an outlook with U.S. expansion, exemplified </w:t>
      </w:r>
      <w:r w:rsidR="004369D7">
        <w:rPr>
          <w:bCs/>
        </w:rPr>
        <w:t xml:space="preserve">in 1871 </w:t>
      </w:r>
      <w:r>
        <w:rPr>
          <w:bCs/>
        </w:rPr>
        <w:t xml:space="preserve">by </w:t>
      </w:r>
      <w:r w:rsidR="004369D7">
        <w:rPr>
          <w:bCs/>
        </w:rPr>
        <w:t xml:space="preserve">Whitman paralleling </w:t>
      </w:r>
      <w:r w:rsidRPr="001357EF">
        <w:rPr>
          <w:bCs/>
        </w:rPr>
        <w:t xml:space="preserve">“the procession of steamships” down the Canal and the “continual trains of cars winding across the Platte,” </w:t>
      </w:r>
      <w:r>
        <w:rPr>
          <w:bCs/>
        </w:rPr>
        <w:t>without a place</w:t>
      </w:r>
      <w:r w:rsidRPr="001357EF">
        <w:rPr>
          <w:bCs/>
        </w:rPr>
        <w:t xml:space="preserve"> for the people whose lands and labour were seized to create these wonders (</w:t>
      </w:r>
      <w:r>
        <w:rPr>
          <w:bCs/>
        </w:rPr>
        <w:t xml:space="preserve">“Passage to India,” </w:t>
      </w:r>
      <w:r w:rsidRPr="001357EF">
        <w:rPr>
          <w:bCs/>
        </w:rPr>
        <w:t>stanza 3).</w:t>
      </w:r>
      <w:r>
        <w:rPr>
          <w:bCs/>
        </w:rPr>
        <w:t xml:space="preserve"> Das challenged this omission forty years after Whitman, and thirty years after Das’</w:t>
      </w:r>
      <w:r w:rsidR="004369D7">
        <w:rPr>
          <w:bCs/>
        </w:rPr>
        <w:t>s</w:t>
      </w:r>
      <w:r>
        <w:rPr>
          <w:bCs/>
        </w:rPr>
        <w:t xml:space="preserve"> Ghadar work, Lohia could tour the United States focused on the wider problem of imperialism and racism at local and global scales, rather than a specific malady afflicting “India” or “Indians.” </w:t>
      </w:r>
    </w:p>
    <w:p w14:paraId="45CE1AEB" w14:textId="2371630A" w:rsidR="00D66B61" w:rsidRDefault="005E43F5" w:rsidP="00D24477">
      <w:pPr>
        <w:spacing w:line="360" w:lineRule="auto"/>
        <w:ind w:firstLine="720"/>
        <w:rPr>
          <w:bCs/>
        </w:rPr>
      </w:pPr>
      <w:r>
        <w:rPr>
          <w:bCs/>
        </w:rPr>
        <w:lastRenderedPageBreak/>
        <w:t xml:space="preserve">For both India and the United States, the two World Wars truly changed everything, like Whitman’s “great achievements of the present” (stanza 1). </w:t>
      </w:r>
      <w:r w:rsidR="00726081">
        <w:rPr>
          <w:bCs/>
        </w:rPr>
        <w:t xml:space="preserve">The chapters in Part 3 describe </w:t>
      </w:r>
      <w:r w:rsidR="004369D7">
        <w:rPr>
          <w:bCs/>
        </w:rPr>
        <w:t>the aftermath of</w:t>
      </w:r>
      <w:r w:rsidR="00726081">
        <w:rPr>
          <w:bCs/>
        </w:rPr>
        <w:t xml:space="preserve"> </w:t>
      </w:r>
      <w:r w:rsidR="0024456C">
        <w:rPr>
          <w:bCs/>
        </w:rPr>
        <w:t xml:space="preserve">the collapse of British power during the </w:t>
      </w:r>
      <w:r w:rsidR="004369D7">
        <w:rPr>
          <w:bCs/>
        </w:rPr>
        <w:t xml:space="preserve">Second World </w:t>
      </w:r>
      <w:r w:rsidR="0024456C">
        <w:rPr>
          <w:bCs/>
        </w:rPr>
        <w:t>War</w:t>
      </w:r>
      <w:r w:rsidR="004369D7">
        <w:rPr>
          <w:bCs/>
        </w:rPr>
        <w:t>, which</w:t>
      </w:r>
      <w:r w:rsidR="0024456C">
        <w:rPr>
          <w:bCs/>
        </w:rPr>
        <w:t xml:space="preserve"> enabled U.S. hegemony to fill the vacuum in India – and elsewhere – albeit in </w:t>
      </w:r>
      <w:r w:rsidR="004369D7">
        <w:rPr>
          <w:bCs/>
        </w:rPr>
        <w:t>particular</w:t>
      </w:r>
      <w:r w:rsidR="0024456C">
        <w:rPr>
          <w:bCs/>
        </w:rPr>
        <w:t xml:space="preserve"> way</w:t>
      </w:r>
      <w:r w:rsidR="004369D7">
        <w:rPr>
          <w:bCs/>
        </w:rPr>
        <w:t>s</w:t>
      </w:r>
      <w:r w:rsidR="0024456C">
        <w:rPr>
          <w:bCs/>
        </w:rPr>
        <w:t xml:space="preserve">, accommodating and even seeing </w:t>
      </w:r>
      <w:r w:rsidR="004369D7">
        <w:rPr>
          <w:bCs/>
        </w:rPr>
        <w:t>U.S. power</w:t>
      </w:r>
      <w:r w:rsidR="0024456C">
        <w:rPr>
          <w:bCs/>
        </w:rPr>
        <w:t xml:space="preserve"> supported in </w:t>
      </w:r>
      <w:r w:rsidR="001C42C0">
        <w:rPr>
          <w:bCs/>
        </w:rPr>
        <w:t>the assertion of an independent India.</w:t>
      </w:r>
      <w:r w:rsidR="00313882">
        <w:rPr>
          <w:rStyle w:val="FootnoteReference"/>
          <w:bCs/>
        </w:rPr>
        <w:footnoteReference w:id="8"/>
      </w:r>
      <w:r w:rsidR="001C42C0">
        <w:rPr>
          <w:bCs/>
        </w:rPr>
        <w:t xml:space="preserve"> </w:t>
      </w:r>
      <w:r w:rsidR="00C82013">
        <w:rPr>
          <w:bCs/>
        </w:rPr>
        <w:t xml:space="preserve">In Chapter 8, Sujeet George </w:t>
      </w:r>
      <w:r w:rsidR="004369D7">
        <w:rPr>
          <w:bCs/>
        </w:rPr>
        <w:t>shows</w:t>
      </w:r>
      <w:r w:rsidR="00C82013">
        <w:rPr>
          <w:bCs/>
        </w:rPr>
        <w:t xml:space="preserve"> how generational wealth amassed during the U.S. age of steam, now channelled into philanthropy in the form of Ford and Rockefeller Foundations, </w:t>
      </w:r>
      <w:r w:rsidR="004C50CE">
        <w:rPr>
          <w:bCs/>
        </w:rPr>
        <w:t>went toward studying India to project U.S. influence.</w:t>
      </w:r>
      <w:r w:rsidR="00AB281D">
        <w:rPr>
          <w:rStyle w:val="FootnoteReference"/>
          <w:bCs/>
        </w:rPr>
        <w:footnoteReference w:id="9"/>
      </w:r>
      <w:r w:rsidR="004C50CE">
        <w:rPr>
          <w:bCs/>
        </w:rPr>
        <w:t xml:space="preserve"> </w:t>
      </w:r>
      <w:r w:rsidR="001011A4">
        <w:rPr>
          <w:bCs/>
        </w:rPr>
        <w:t xml:space="preserve">This new entanglement </w:t>
      </w:r>
      <w:r w:rsidR="005F7EFA">
        <w:rPr>
          <w:bCs/>
        </w:rPr>
        <w:t>built on old ones, as seen in the career</w:t>
      </w:r>
      <w:r w:rsidR="00AE2FEC">
        <w:rPr>
          <w:bCs/>
        </w:rPr>
        <w:t>s</w:t>
      </w:r>
      <w:r w:rsidR="005F7EFA">
        <w:rPr>
          <w:bCs/>
        </w:rPr>
        <w:t xml:space="preserve"> of </w:t>
      </w:r>
      <w:r w:rsidR="00AE2FEC">
        <w:rPr>
          <w:bCs/>
        </w:rPr>
        <w:t xml:space="preserve">William and Charlotte V. Wiser, who passed from the explicitly Christian “ecumenical Protestantism” of missionary </w:t>
      </w:r>
      <w:r w:rsidR="004369D7">
        <w:rPr>
          <w:bCs/>
        </w:rPr>
        <w:t>group</w:t>
      </w:r>
      <w:r w:rsidR="00AE2FEC">
        <w:rPr>
          <w:bCs/>
        </w:rPr>
        <w:t xml:space="preserve">s like </w:t>
      </w:r>
      <w:r w:rsidR="00F64E29">
        <w:rPr>
          <w:bCs/>
        </w:rPr>
        <w:t xml:space="preserve">the American Marathi Mission (and, in its religious functions, the YMCA) to the </w:t>
      </w:r>
      <w:r w:rsidR="00E4016F">
        <w:rPr>
          <w:bCs/>
        </w:rPr>
        <w:t>academically oriented and foundation-funded</w:t>
      </w:r>
      <w:r w:rsidR="00A27BA2">
        <w:rPr>
          <w:bCs/>
        </w:rPr>
        <w:t xml:space="preserve"> work of “village studies.” </w:t>
      </w:r>
      <w:r w:rsidR="00493BBE">
        <w:rPr>
          <w:bCs/>
        </w:rPr>
        <w:t>As with the earlier missions, this was not a simple imposition of U.S. power – Indian sociologists such as M.N. Srinivas blended his training from Oxford and the work of his Chicago colleagues to forge his distinctive “Indian sociology” focused on the village.</w:t>
      </w:r>
      <w:r w:rsidR="00DC27C2">
        <w:rPr>
          <w:bCs/>
        </w:rPr>
        <w:t xml:space="preserve"> </w:t>
      </w:r>
    </w:p>
    <w:p w14:paraId="5461235A" w14:textId="26812018" w:rsidR="0098570C" w:rsidRDefault="00DC27C2" w:rsidP="0098570C">
      <w:pPr>
        <w:spacing w:line="360" w:lineRule="auto"/>
        <w:ind w:firstLine="720"/>
        <w:rPr>
          <w:bCs/>
        </w:rPr>
      </w:pPr>
      <w:r>
        <w:rPr>
          <w:bCs/>
        </w:rPr>
        <w:t xml:space="preserve">Likewise, the development of Uttar Pradesh Agricultural University, narrated by Prakash Kumar in Chapter 9, </w:t>
      </w:r>
      <w:r w:rsidR="00F751B5">
        <w:rPr>
          <w:bCs/>
        </w:rPr>
        <w:t>flowed (unevenly) out of</w:t>
      </w:r>
      <w:r w:rsidR="00237A81">
        <w:rPr>
          <w:bCs/>
        </w:rPr>
        <w:t xml:space="preserve"> the </w:t>
      </w:r>
      <w:r w:rsidR="00F751B5">
        <w:rPr>
          <w:bCs/>
        </w:rPr>
        <w:t>Radhakrishnan</w:t>
      </w:r>
      <w:r w:rsidR="00237A81">
        <w:rPr>
          <w:bCs/>
        </w:rPr>
        <w:t xml:space="preserve"> Commission</w:t>
      </w:r>
      <w:r w:rsidR="00DE767F">
        <w:rPr>
          <w:bCs/>
        </w:rPr>
        <w:t xml:space="preserve"> of 1948</w:t>
      </w:r>
      <w:r w:rsidR="00237A81">
        <w:rPr>
          <w:bCs/>
        </w:rPr>
        <w:t>, which invited two Americans to join its deliberations to build on New Deal-era reforms</w:t>
      </w:r>
      <w:r w:rsidR="00DE767F">
        <w:rPr>
          <w:bCs/>
        </w:rPr>
        <w:t>, as well as the enthusiasm for U.S.-style land grant universities in the 1950s</w:t>
      </w:r>
      <w:r w:rsidR="00237A81">
        <w:rPr>
          <w:bCs/>
        </w:rPr>
        <w:t>.</w:t>
      </w:r>
      <w:r w:rsidR="008C1B38">
        <w:rPr>
          <w:rStyle w:val="FootnoteReference"/>
          <w:bCs/>
        </w:rPr>
        <w:footnoteReference w:id="10"/>
      </w:r>
      <w:r w:rsidR="005C5A55">
        <w:rPr>
          <w:bCs/>
        </w:rPr>
        <w:t xml:space="preserve"> </w:t>
      </w:r>
      <w:r w:rsidR="00996757">
        <w:rPr>
          <w:bCs/>
        </w:rPr>
        <w:t xml:space="preserve">As Tim Livsey has shown, </w:t>
      </w:r>
      <w:r w:rsidR="00C62404">
        <w:rPr>
          <w:bCs/>
        </w:rPr>
        <w:t>the 1950s also saw a “university age” in Britain’s (after 1947) largest colony, Nigeria, including the development of the University of Nigeria, Nsukka, on the model of the land grant college</w:t>
      </w:r>
      <w:r w:rsidR="00D66B61">
        <w:rPr>
          <w:bCs/>
        </w:rPr>
        <w:t xml:space="preserve"> with the support of the Carnegie Foundation</w:t>
      </w:r>
      <w:r w:rsidR="00C62404">
        <w:rPr>
          <w:bCs/>
        </w:rPr>
        <w:t>.</w:t>
      </w:r>
      <w:r w:rsidR="00C62404">
        <w:rPr>
          <w:rStyle w:val="FootnoteReference"/>
          <w:bCs/>
        </w:rPr>
        <w:footnoteReference w:id="11"/>
      </w:r>
      <w:r w:rsidR="00D66B61">
        <w:rPr>
          <w:bCs/>
        </w:rPr>
        <w:t xml:space="preserve"> </w:t>
      </w:r>
      <w:r w:rsidR="0098570C">
        <w:rPr>
          <w:bCs/>
        </w:rPr>
        <w:t>The Rockefeller Foundation played an important role in the journeys traced by</w:t>
      </w:r>
      <w:r w:rsidR="00237A81">
        <w:rPr>
          <w:bCs/>
        </w:rPr>
        <w:t xml:space="preserve"> </w:t>
      </w:r>
      <w:r w:rsidR="0098570C">
        <w:rPr>
          <w:bCs/>
        </w:rPr>
        <w:t xml:space="preserve">Nicole </w:t>
      </w:r>
      <w:proofErr w:type="spellStart"/>
      <w:r w:rsidR="0098570C">
        <w:rPr>
          <w:bCs/>
        </w:rPr>
        <w:t>Sackley</w:t>
      </w:r>
      <w:proofErr w:type="spellEnd"/>
      <w:r w:rsidR="0098570C">
        <w:rPr>
          <w:bCs/>
        </w:rPr>
        <w:t xml:space="preserve"> in Chapter 10, as Kamaladevi Chattopadhyay, </w:t>
      </w:r>
      <w:proofErr w:type="spellStart"/>
      <w:r w:rsidR="0098570C">
        <w:rPr>
          <w:bCs/>
        </w:rPr>
        <w:t>Fori</w:t>
      </w:r>
      <w:proofErr w:type="spellEnd"/>
      <w:r w:rsidR="0098570C">
        <w:rPr>
          <w:bCs/>
        </w:rPr>
        <w:t xml:space="preserve"> Nehru, Kitty Shiva Rao, and </w:t>
      </w:r>
      <w:proofErr w:type="spellStart"/>
      <w:r w:rsidR="0098570C">
        <w:rPr>
          <w:bCs/>
        </w:rPr>
        <w:t>Pupul</w:t>
      </w:r>
      <w:proofErr w:type="spellEnd"/>
      <w:r w:rsidR="0098570C">
        <w:rPr>
          <w:bCs/>
        </w:rPr>
        <w:t xml:space="preserve"> Jayakar </w:t>
      </w:r>
      <w:r w:rsidR="0098570C">
        <w:rPr>
          <w:bCs/>
        </w:rPr>
        <w:lastRenderedPageBreak/>
        <w:t>went back and forth across the Atlantic and Indian Oceans to bring Indian handicrafts to U.S. consumers.</w:t>
      </w:r>
    </w:p>
    <w:p w14:paraId="0922DC43" w14:textId="4627E91F" w:rsidR="00E81416" w:rsidRDefault="00E81416" w:rsidP="00E81416">
      <w:pPr>
        <w:spacing w:line="360" w:lineRule="auto"/>
        <w:ind w:firstLine="720"/>
        <w:rPr>
          <w:bCs/>
        </w:rPr>
      </w:pPr>
      <w:r>
        <w:rPr>
          <w:bCs/>
        </w:rPr>
        <w:t xml:space="preserve">Indians like </w:t>
      </w:r>
      <w:r w:rsidR="009113FF">
        <w:rPr>
          <w:bCs/>
        </w:rPr>
        <w:t>Kamaladevi and Jayakar</w:t>
      </w:r>
      <w:r>
        <w:rPr>
          <w:bCs/>
        </w:rPr>
        <w:t xml:space="preserve"> could adopt such a posture in world affairs – India could take its place in world politics, as </w:t>
      </w:r>
      <w:r w:rsidR="009113FF">
        <w:rPr>
          <w:bCs/>
        </w:rPr>
        <w:t xml:space="preserve">Taraknath </w:t>
      </w:r>
      <w:r>
        <w:rPr>
          <w:bCs/>
        </w:rPr>
        <w:t xml:space="preserve">Das had dreamed in 1925 – because of the independence won in 1947. </w:t>
      </w:r>
      <w:r w:rsidR="00F26EFF">
        <w:rPr>
          <w:bCs/>
        </w:rPr>
        <w:t>Likewise</w:t>
      </w:r>
      <w:r>
        <w:rPr>
          <w:bCs/>
        </w:rPr>
        <w:t xml:space="preserve">, </w:t>
      </w:r>
      <w:r w:rsidR="00F26EFF">
        <w:rPr>
          <w:bCs/>
        </w:rPr>
        <w:t xml:space="preserve">Rammanohar </w:t>
      </w:r>
      <w:r>
        <w:rPr>
          <w:bCs/>
        </w:rPr>
        <w:t xml:space="preserve">Lohia could travel to the United States in 1951, not settle for correspondence with W.E.B. Du </w:t>
      </w:r>
      <w:proofErr w:type="spellStart"/>
      <w:r>
        <w:rPr>
          <w:bCs/>
        </w:rPr>
        <w:t>Bois</w:t>
      </w:r>
      <w:proofErr w:type="spellEnd"/>
      <w:r>
        <w:rPr>
          <w:bCs/>
        </w:rPr>
        <w:t xml:space="preserve">, as in 1936. However, he travelled as a citizen not of the “India” of 1857, or even 1946, but a partitioned space known from 1950 as the “Republic of India,” as against the “Dominion of Pakistan.” One of the last, and most lasting, British bequests to India, Partition presents another question for Indo-U.S. entanglement. By its very name, “the United States” attests to its </w:t>
      </w:r>
      <w:r>
        <w:rPr>
          <w:bCs/>
          <w:i/>
          <w:iCs/>
        </w:rPr>
        <w:t>non</w:t>
      </w:r>
      <w:r>
        <w:rPr>
          <w:bCs/>
        </w:rPr>
        <w:t>-partition twice over – first in the eighteenth century, when the colonial union held, and second in the 1860s, when the American states briefly, and nearly permanently, partitioned themselves. As the U.S. Revolutionary and Civil Wars (not to mention the numerous U.S. wars of expansion) show, unity can be bloody, just as Partition was and is bloody in India.</w:t>
      </w:r>
    </w:p>
    <w:p w14:paraId="1968B728" w14:textId="520EA3DE" w:rsidR="00E81416" w:rsidRDefault="00E81416" w:rsidP="00E81416">
      <w:pPr>
        <w:spacing w:line="360" w:lineRule="auto"/>
        <w:ind w:firstLine="720"/>
        <w:rPr>
          <w:bCs/>
        </w:rPr>
      </w:pPr>
      <w:r>
        <w:rPr>
          <w:bCs/>
        </w:rPr>
        <w:t>To return to the opening observation, then: two specific spatial-political configurations, the United States and India, became entangled over a specific chronology</w:t>
      </w:r>
      <w:r w:rsidR="004369D7">
        <w:rPr>
          <w:bCs/>
        </w:rPr>
        <w:t xml:space="preserve">. This chronology, from 1850 forward, </w:t>
      </w:r>
      <w:r>
        <w:rPr>
          <w:bCs/>
        </w:rPr>
        <w:t>roughly correspond</w:t>
      </w:r>
      <w:r w:rsidR="004369D7">
        <w:rPr>
          <w:bCs/>
        </w:rPr>
        <w:t>ed</w:t>
      </w:r>
      <w:r>
        <w:rPr>
          <w:bCs/>
        </w:rPr>
        <w:t xml:space="preserve"> to the unification of space around the world under political regimes shaped by European colonialism</w:t>
      </w:r>
      <w:r w:rsidR="004369D7">
        <w:rPr>
          <w:bCs/>
        </w:rPr>
        <w:t xml:space="preserve"> – </w:t>
      </w:r>
      <w:r>
        <w:rPr>
          <w:bCs/>
        </w:rPr>
        <w:t>and</w:t>
      </w:r>
      <w:r w:rsidR="004369D7">
        <w:rPr>
          <w:bCs/>
        </w:rPr>
        <w:t xml:space="preserve"> </w:t>
      </w:r>
      <w:r>
        <w:rPr>
          <w:bCs/>
        </w:rPr>
        <w:t xml:space="preserve">in these two cases, specifically British and </w:t>
      </w:r>
      <w:r w:rsidR="004369D7">
        <w:rPr>
          <w:bCs/>
        </w:rPr>
        <w:t>Britannic</w:t>
      </w:r>
      <w:r>
        <w:rPr>
          <w:bCs/>
        </w:rPr>
        <w:t xml:space="preserve"> settler colonialism. The technological changes accompanying and enabling the creation of these spaces as discrete units – wh</w:t>
      </w:r>
      <w:r w:rsidR="004369D7">
        <w:rPr>
          <w:bCs/>
        </w:rPr>
        <w:t>ich</w:t>
      </w:r>
      <w:r>
        <w:rPr>
          <w:bCs/>
        </w:rPr>
        <w:t xml:space="preserve"> came to be naturalized as “nations” over the nineteenth and twentieth centuries – also facilitated their inter-connection, </w:t>
      </w:r>
      <w:r w:rsidR="004369D7">
        <w:rPr>
          <w:bCs/>
        </w:rPr>
        <w:t>with greater numbers of</w:t>
      </w:r>
      <w:r>
        <w:rPr>
          <w:bCs/>
        </w:rPr>
        <w:t xml:space="preserve"> people, things, and ideas flow</w:t>
      </w:r>
      <w:r w:rsidR="004369D7">
        <w:rPr>
          <w:bCs/>
        </w:rPr>
        <w:t>ing</w:t>
      </w:r>
      <w:r>
        <w:rPr>
          <w:bCs/>
        </w:rPr>
        <w:t xml:space="preserve"> from one to the other </w:t>
      </w:r>
      <w:r w:rsidR="004369D7">
        <w:rPr>
          <w:bCs/>
        </w:rPr>
        <w:t>as the intermediary layer of British imperialism receded</w:t>
      </w:r>
      <w:r>
        <w:rPr>
          <w:bCs/>
        </w:rPr>
        <w:t xml:space="preserve">. </w:t>
      </w:r>
    </w:p>
    <w:p w14:paraId="25CB9031" w14:textId="53E642AE" w:rsidR="00492AB3" w:rsidRDefault="00217E25" w:rsidP="00F26EFF">
      <w:pPr>
        <w:spacing w:line="360" w:lineRule="auto"/>
        <w:ind w:firstLine="720"/>
        <w:rPr>
          <w:bCs/>
        </w:rPr>
      </w:pPr>
      <w:r>
        <w:rPr>
          <w:bCs/>
        </w:rPr>
        <w:t>I</w:t>
      </w:r>
      <w:r w:rsidR="00DD3EBE">
        <w:rPr>
          <w:bCs/>
        </w:rPr>
        <w:t xml:space="preserve">mperial power, especially British power, created the spaces to entangle, but it was people </w:t>
      </w:r>
      <w:r w:rsidR="00B80DD2">
        <w:rPr>
          <w:bCs/>
        </w:rPr>
        <w:t xml:space="preserve">themselves who moved within and across those spaces to </w:t>
      </w:r>
      <w:proofErr w:type="gramStart"/>
      <w:r w:rsidR="00B80DD2">
        <w:rPr>
          <w:bCs/>
        </w:rPr>
        <w:t>actually do</w:t>
      </w:r>
      <w:proofErr w:type="gramEnd"/>
      <w:r w:rsidR="00B80DD2">
        <w:rPr>
          <w:bCs/>
        </w:rPr>
        <w:t xml:space="preserve"> the entangling. As </w:t>
      </w:r>
      <w:r w:rsidR="00F26EFF">
        <w:rPr>
          <w:bCs/>
        </w:rPr>
        <w:t xml:space="preserve">Michael </w:t>
      </w:r>
      <w:r w:rsidR="00B80DD2">
        <w:rPr>
          <w:bCs/>
        </w:rPr>
        <w:t xml:space="preserve">Geyer and </w:t>
      </w:r>
      <w:r w:rsidR="00F26EFF">
        <w:rPr>
          <w:bCs/>
        </w:rPr>
        <w:t xml:space="preserve">Charles </w:t>
      </w:r>
      <w:r w:rsidR="00B80DD2">
        <w:rPr>
          <w:bCs/>
        </w:rPr>
        <w:t xml:space="preserve">Bright emphasize, </w:t>
      </w:r>
      <w:r w:rsidR="00F26EFF">
        <w:rPr>
          <w:bCs/>
        </w:rPr>
        <w:t>in describing these processes,</w:t>
      </w:r>
      <w:r w:rsidR="00B80DD2">
        <w:rPr>
          <w:bCs/>
        </w:rPr>
        <w:t xml:space="preserve"> “the metaphors matter here: this was no longer quite a ‘thrust’ or ‘projection’ of force but an exercise in ‘webbing’ or ‘enveloping.’”</w:t>
      </w:r>
      <w:r w:rsidR="00B80DD2">
        <w:rPr>
          <w:rStyle w:val="FootnoteReference"/>
          <w:bCs/>
        </w:rPr>
        <w:footnoteReference w:id="12"/>
      </w:r>
      <w:r w:rsidR="009F09DC">
        <w:rPr>
          <w:bCs/>
        </w:rPr>
        <w:t xml:space="preserve"> The strength of these webs and envelopments is demonstrated in the acceleration of Indo-U.S. entanglement in the years after the rapid decline of British imperial power in the 1940s. </w:t>
      </w:r>
      <w:r w:rsidR="001365B7">
        <w:rPr>
          <w:bCs/>
        </w:rPr>
        <w:t>Even though t</w:t>
      </w:r>
      <w:r w:rsidR="009F09DC">
        <w:rPr>
          <w:bCs/>
        </w:rPr>
        <w:t>he trellis of Britain’s “</w:t>
      </w:r>
      <w:r w:rsidR="009F09DC" w:rsidRPr="009F09DC">
        <w:rPr>
          <w:bCs/>
        </w:rPr>
        <w:t>complex patchwork of interacting and dynamic agencies and locations”</w:t>
      </w:r>
      <w:r w:rsidR="001365B7">
        <w:rPr>
          <w:bCs/>
        </w:rPr>
        <w:t xml:space="preserve"> (</w:t>
      </w:r>
      <w:r w:rsidR="00F26EFF">
        <w:rPr>
          <w:bCs/>
        </w:rPr>
        <w:t>to use Shope’s phrase</w:t>
      </w:r>
      <w:r>
        <w:rPr>
          <w:bCs/>
        </w:rPr>
        <w:t xml:space="preserve"> from </w:t>
      </w:r>
      <w:r>
        <w:rPr>
          <w:bCs/>
        </w:rPr>
        <w:lastRenderedPageBreak/>
        <w:t>Chapter 1</w:t>
      </w:r>
      <w:r w:rsidR="001365B7">
        <w:rPr>
          <w:bCs/>
        </w:rPr>
        <w:t xml:space="preserve">) rotted and collapsed, vines of motion across </w:t>
      </w:r>
      <w:r w:rsidR="00C1160B">
        <w:rPr>
          <w:bCs/>
        </w:rPr>
        <w:t xml:space="preserve">the newly traversable spans of global space meant that Indo-U.S. entanglement survived and intensified despite the end of their original </w:t>
      </w:r>
      <w:r w:rsidR="00CA7957">
        <w:rPr>
          <w:bCs/>
        </w:rPr>
        <w:t>context</w:t>
      </w:r>
      <w:r w:rsidR="00C1160B">
        <w:rPr>
          <w:bCs/>
        </w:rPr>
        <w:t>.</w:t>
      </w:r>
      <w:r w:rsidR="00752B52">
        <w:rPr>
          <w:bCs/>
        </w:rPr>
        <w:t xml:space="preserve"> </w:t>
      </w:r>
    </w:p>
    <w:p w14:paraId="3976FE04" w14:textId="0FB21A4A" w:rsidR="00C4256D" w:rsidRDefault="00217E25" w:rsidP="00F26EFF">
      <w:pPr>
        <w:spacing w:line="360" w:lineRule="auto"/>
        <w:ind w:firstLine="720"/>
        <w:rPr>
          <w:bCs/>
        </w:rPr>
      </w:pPr>
      <w:r>
        <w:rPr>
          <w:bCs/>
        </w:rPr>
        <w:t>As Britain’s global power dimmed,</w:t>
      </w:r>
      <w:r w:rsidR="00752B52">
        <w:rPr>
          <w:bCs/>
        </w:rPr>
        <w:t xml:space="preserve"> M</w:t>
      </w:r>
      <w:r w:rsidR="00591E55">
        <w:rPr>
          <w:bCs/>
        </w:rPr>
        <w:t xml:space="preserve">ohandas </w:t>
      </w:r>
      <w:r w:rsidR="00752B52">
        <w:rPr>
          <w:bCs/>
        </w:rPr>
        <w:t xml:space="preserve">Gandhi and Jawaharlal Nehru </w:t>
      </w:r>
      <w:r>
        <w:rPr>
          <w:bCs/>
        </w:rPr>
        <w:t xml:space="preserve">turned to the United States to imagine a new world, at least terminologically: both </w:t>
      </w:r>
      <w:r w:rsidR="00752B52">
        <w:rPr>
          <w:bCs/>
        </w:rPr>
        <w:t xml:space="preserve">used the failed U.S. presidential candidate Wendell Willkie’s slogan, “One World,” to describe their goal for </w:t>
      </w:r>
      <w:r>
        <w:rPr>
          <w:bCs/>
        </w:rPr>
        <w:t>a postcolonial world order.</w:t>
      </w:r>
      <w:r w:rsidR="00736156">
        <w:rPr>
          <w:rStyle w:val="FootnoteReference"/>
          <w:bCs/>
        </w:rPr>
        <w:footnoteReference w:id="13"/>
      </w:r>
      <w:r w:rsidR="00591E55">
        <w:rPr>
          <w:bCs/>
        </w:rPr>
        <w:t xml:space="preserve"> In the 1960s, S. Radhakrishnan, then President of India, and Kamaladevi Chattopadhyay, who represented India on the UN Human Rights Commission in the </w:t>
      </w:r>
      <w:r>
        <w:rPr>
          <w:bCs/>
        </w:rPr>
        <w:t>mid-</w:t>
      </w:r>
      <w:r w:rsidR="00591E55">
        <w:rPr>
          <w:bCs/>
        </w:rPr>
        <w:t>1960s, both articulated their vision of India in the world as the pursuit of “One World.”</w:t>
      </w:r>
      <w:r w:rsidR="00EF7F65">
        <w:rPr>
          <w:rStyle w:val="FootnoteReference"/>
          <w:bCs/>
        </w:rPr>
        <w:footnoteReference w:id="14"/>
      </w:r>
      <w:r w:rsidR="00EF7F65">
        <w:rPr>
          <w:bCs/>
        </w:rPr>
        <w:t xml:space="preserve"> As early as the 1940s, through to the 1960s, and certainly today, Indo-U.S. entanglements </w:t>
      </w:r>
      <w:r>
        <w:rPr>
          <w:bCs/>
        </w:rPr>
        <w:t>have been</w:t>
      </w:r>
      <w:r w:rsidR="00EF7F65">
        <w:rPr>
          <w:bCs/>
        </w:rPr>
        <w:t xml:space="preserve"> only one facet of a deeper global process of entanglements linking each part of the globe to the rest. But as this volume shows, there is something particular to be gleaned from examining </w:t>
      </w:r>
      <w:r w:rsidR="00492AB3">
        <w:rPr>
          <w:bCs/>
        </w:rPr>
        <w:t xml:space="preserve">Indo-U.S. links in focus. </w:t>
      </w:r>
      <w:r w:rsidR="0054542F">
        <w:rPr>
          <w:bCs/>
        </w:rPr>
        <w:t xml:space="preserve">Forged in the fire of British imperial state-making, </w:t>
      </w:r>
      <w:r w:rsidR="00B10C68">
        <w:rPr>
          <w:bCs/>
        </w:rPr>
        <w:t xml:space="preserve">the United States and India </w:t>
      </w:r>
      <w:r w:rsidR="00537507">
        <w:rPr>
          <w:bCs/>
        </w:rPr>
        <w:t>have connected along lines dictated by that original connection, while also transcending the connection, albeit in ways that place</w:t>
      </w:r>
      <w:r>
        <w:rPr>
          <w:bCs/>
        </w:rPr>
        <w:t>d</w:t>
      </w:r>
      <w:r w:rsidR="00537507">
        <w:rPr>
          <w:bCs/>
        </w:rPr>
        <w:t xml:space="preserve"> the United States in </w:t>
      </w:r>
      <w:r>
        <w:rPr>
          <w:bCs/>
        </w:rPr>
        <w:t>a new</w:t>
      </w:r>
      <w:r w:rsidR="00537507">
        <w:rPr>
          <w:bCs/>
        </w:rPr>
        <w:t xml:space="preserve"> hegemonic role, with all </w:t>
      </w:r>
      <w:r w:rsidR="005575F7">
        <w:rPr>
          <w:bCs/>
        </w:rPr>
        <w:t>that role’s</w:t>
      </w:r>
      <w:r w:rsidR="00537507">
        <w:rPr>
          <w:bCs/>
        </w:rPr>
        <w:t xml:space="preserve"> complexit</w:t>
      </w:r>
      <w:r w:rsidR="005575F7">
        <w:rPr>
          <w:bCs/>
        </w:rPr>
        <w:t>ies</w:t>
      </w:r>
      <w:r w:rsidR="00537507">
        <w:rPr>
          <w:bCs/>
        </w:rPr>
        <w:t xml:space="preserve"> and ambiguit</w:t>
      </w:r>
      <w:r w:rsidR="005575F7">
        <w:rPr>
          <w:bCs/>
        </w:rPr>
        <w:t>ies</w:t>
      </w:r>
      <w:r w:rsidR="00537507">
        <w:rPr>
          <w:bCs/>
        </w:rPr>
        <w:t>.</w:t>
      </w:r>
    </w:p>
    <w:p w14:paraId="7506D091" w14:textId="747A4882" w:rsidR="006C5FA9" w:rsidRDefault="00A4342B" w:rsidP="00B673A4">
      <w:pPr>
        <w:spacing w:line="360" w:lineRule="auto"/>
        <w:ind w:firstLine="720"/>
        <w:rPr>
          <w:bCs/>
        </w:rPr>
      </w:pPr>
      <w:r>
        <w:rPr>
          <w:bCs/>
        </w:rPr>
        <w:t xml:space="preserve">Where this tangled story </w:t>
      </w:r>
      <w:r w:rsidR="00053A13">
        <w:rPr>
          <w:bCs/>
        </w:rPr>
        <w:t xml:space="preserve">will </w:t>
      </w:r>
      <w:r>
        <w:rPr>
          <w:bCs/>
        </w:rPr>
        <w:t xml:space="preserve">proceed is a question hanging over </w:t>
      </w:r>
      <w:r w:rsidR="00EF31CF">
        <w:rPr>
          <w:bCs/>
        </w:rPr>
        <w:t>Asian and international affairs</w:t>
      </w:r>
      <w:r w:rsidR="002765FF">
        <w:rPr>
          <w:bCs/>
        </w:rPr>
        <w:t>, especially as India and the United States join Australia and Japan in an anti-China club, “the Quad</w:t>
      </w:r>
      <w:r w:rsidR="0086286E">
        <w:rPr>
          <w:bCs/>
        </w:rPr>
        <w:t>,</w:t>
      </w:r>
      <w:r w:rsidR="002765FF">
        <w:rPr>
          <w:bCs/>
        </w:rPr>
        <w:t>”</w:t>
      </w:r>
      <w:r w:rsidR="0086286E">
        <w:rPr>
          <w:bCs/>
        </w:rPr>
        <w:t xml:space="preserve"> framed around a relatively new </w:t>
      </w:r>
      <w:r w:rsidR="00053A13">
        <w:rPr>
          <w:bCs/>
        </w:rPr>
        <w:t>geopolitical</w:t>
      </w:r>
      <w:r w:rsidR="0086286E">
        <w:rPr>
          <w:bCs/>
        </w:rPr>
        <w:t xml:space="preserve"> concept, the “Indo-Pacific.”</w:t>
      </w:r>
      <w:r w:rsidR="00252254">
        <w:rPr>
          <w:bCs/>
        </w:rPr>
        <w:t xml:space="preserve"> </w:t>
      </w:r>
      <w:r w:rsidR="00BB2ACD">
        <w:rPr>
          <w:bCs/>
        </w:rPr>
        <w:t xml:space="preserve">While the Quad appears new, as an alliance oriented against the People’s Republic of China, it reflects the deeper Indo-U.S. connections described in this volume. Japanese Prime Minister Shinzo Abe popularized the Indo-Pacific as a geopolitical concept during his </w:t>
      </w:r>
      <w:r w:rsidR="009804F0">
        <w:rPr>
          <w:bCs/>
        </w:rPr>
        <w:t>2007 visit to India, quoting from Swami Vivekananda’s 1893 address to the Chicago Parliament of Religions</w:t>
      </w:r>
      <w:r w:rsidR="00F147B9">
        <w:rPr>
          <w:bCs/>
        </w:rPr>
        <w:t>.</w:t>
      </w:r>
      <w:r w:rsidR="00F147B9">
        <w:rPr>
          <w:rStyle w:val="FootnoteReference"/>
          <w:bCs/>
        </w:rPr>
        <w:footnoteReference w:id="15"/>
      </w:r>
      <w:r w:rsidR="00F147B9">
        <w:rPr>
          <w:bCs/>
        </w:rPr>
        <w:t xml:space="preserve"> Hence, the Indo-Pacific returns via Chicago</w:t>
      </w:r>
      <w:r w:rsidR="006D7EE0">
        <w:rPr>
          <w:bCs/>
        </w:rPr>
        <w:t xml:space="preserve">, and ten years </w:t>
      </w:r>
      <w:r w:rsidR="00217E25">
        <w:rPr>
          <w:bCs/>
        </w:rPr>
        <w:t>after Abe’s address</w:t>
      </w:r>
      <w:r w:rsidR="006D7EE0">
        <w:rPr>
          <w:bCs/>
        </w:rPr>
        <w:t xml:space="preserve"> it would circulate through Washington and back to the sea: i</w:t>
      </w:r>
      <w:r w:rsidR="001921AF">
        <w:rPr>
          <w:bCs/>
        </w:rPr>
        <w:t xml:space="preserve">n adopting this concept as a part of U.S. national security policy, </w:t>
      </w:r>
      <w:r w:rsidR="006D7EE0">
        <w:rPr>
          <w:bCs/>
        </w:rPr>
        <w:t>President Trump’s White House</w:t>
      </w:r>
      <w:r w:rsidR="001921AF">
        <w:rPr>
          <w:bCs/>
        </w:rPr>
        <w:t xml:space="preserve"> defined the Indo-Pacific as “the region, which stretches from the west coast of India to the western shores of the United States,” explicitly entangling California and Kerala, </w:t>
      </w:r>
      <w:r w:rsidR="00430BD6">
        <w:rPr>
          <w:bCs/>
        </w:rPr>
        <w:t>Maharashtra</w:t>
      </w:r>
      <w:r w:rsidR="001921AF">
        <w:rPr>
          <w:bCs/>
        </w:rPr>
        <w:t xml:space="preserve"> and Alaska</w:t>
      </w:r>
      <w:r w:rsidR="00E734F3">
        <w:rPr>
          <w:bCs/>
        </w:rPr>
        <w:t xml:space="preserve"> </w:t>
      </w:r>
      <w:r w:rsidR="00E734F3">
        <w:rPr>
          <w:bCs/>
        </w:rPr>
        <w:lastRenderedPageBreak/>
        <w:t>across and through oceanic expanses.</w:t>
      </w:r>
      <w:r w:rsidR="00AD3F96">
        <w:rPr>
          <w:rStyle w:val="FootnoteReference"/>
          <w:bCs/>
        </w:rPr>
        <w:footnoteReference w:id="16"/>
      </w:r>
      <w:r w:rsidR="00B13CED">
        <w:rPr>
          <w:bCs/>
        </w:rPr>
        <w:t xml:space="preserve"> </w:t>
      </w:r>
      <w:r w:rsidR="006D7EE0">
        <w:rPr>
          <w:bCs/>
        </w:rPr>
        <w:t xml:space="preserve">By bringing Australia into the Indo-Pacific club along with Japan, </w:t>
      </w:r>
      <w:r w:rsidR="00CC7D5D">
        <w:rPr>
          <w:bCs/>
        </w:rPr>
        <w:t>India and the United States are tied to a country shaped by British colonialism</w:t>
      </w:r>
      <w:r w:rsidR="002946B3">
        <w:rPr>
          <w:bCs/>
        </w:rPr>
        <w:t>, even as the entanglements of Japan with India and the United States go back to the same moment of their own formation as singular units, in the 1850s.</w:t>
      </w:r>
      <w:r w:rsidR="003625EF">
        <w:rPr>
          <w:bCs/>
        </w:rPr>
        <w:t xml:space="preserve"> </w:t>
      </w:r>
    </w:p>
    <w:p w14:paraId="3D9AF77A" w14:textId="11373108" w:rsidR="00187853" w:rsidRPr="006D6673" w:rsidRDefault="003625EF" w:rsidP="00552D3A">
      <w:pPr>
        <w:spacing w:line="360" w:lineRule="auto"/>
        <w:ind w:firstLine="720"/>
        <w:rPr>
          <w:bCs/>
        </w:rPr>
      </w:pPr>
      <w:r>
        <w:rPr>
          <w:bCs/>
        </w:rPr>
        <w:t xml:space="preserve">In this sense, the “long twentieth century” starting in the 1850s continues into the present: Indo-U.S. entanglements are not only deepening, </w:t>
      </w:r>
      <w:r w:rsidR="006C5FA9">
        <w:rPr>
          <w:bCs/>
        </w:rPr>
        <w:t>but they are also</w:t>
      </w:r>
      <w:r>
        <w:rPr>
          <w:bCs/>
        </w:rPr>
        <w:t xml:space="preserve"> widening</w:t>
      </w:r>
      <w:r w:rsidR="00FD5283">
        <w:rPr>
          <w:bCs/>
        </w:rPr>
        <w:t>, “both in the Indo-Pacific and beyond</w:t>
      </w:r>
      <w:r>
        <w:rPr>
          <w:bCs/>
        </w:rPr>
        <w:t>.</w:t>
      </w:r>
      <w:r w:rsidR="00FD5283">
        <w:rPr>
          <w:bCs/>
        </w:rPr>
        <w:t>”</w:t>
      </w:r>
      <w:r w:rsidR="00FD5283">
        <w:rPr>
          <w:rStyle w:val="FootnoteReference"/>
          <w:bCs/>
        </w:rPr>
        <w:footnoteReference w:id="17"/>
      </w:r>
      <w:r w:rsidR="006C5FA9">
        <w:rPr>
          <w:bCs/>
        </w:rPr>
        <w:t xml:space="preserve"> As </w:t>
      </w:r>
      <w:r w:rsidR="008E302A">
        <w:rPr>
          <w:bCs/>
        </w:rPr>
        <w:t xml:space="preserve">planetary crises compound </w:t>
      </w:r>
      <w:r w:rsidR="006C5FA9">
        <w:rPr>
          <w:bCs/>
        </w:rPr>
        <w:t>regional crises</w:t>
      </w:r>
      <w:r w:rsidR="008E302A">
        <w:rPr>
          <w:bCs/>
        </w:rPr>
        <w:t xml:space="preserve"> </w:t>
      </w:r>
      <w:r w:rsidR="006C5FA9">
        <w:rPr>
          <w:bCs/>
        </w:rPr>
        <w:t>in the coming decades, perhaps a new era of spatial reconfiguration will disrupt this entanglement</w:t>
      </w:r>
      <w:r w:rsidR="00D83932">
        <w:rPr>
          <w:bCs/>
        </w:rPr>
        <w:t xml:space="preserve"> as it exists today, but otherwise, the practices of people-in-motion, things-in-motion, and ideas-in-motion will doubtless continue to link South Asia and North America in webs woven by many hands</w:t>
      </w:r>
      <w:r w:rsidR="006D6673">
        <w:rPr>
          <w:bCs/>
        </w:rPr>
        <w:t>.</w:t>
      </w:r>
    </w:p>
    <w:sectPr w:rsidR="00187853" w:rsidRPr="006D6673" w:rsidSect="00901208">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2591C" w14:textId="77777777" w:rsidR="00A753D6" w:rsidRDefault="00A753D6">
      <w:r>
        <w:separator/>
      </w:r>
    </w:p>
  </w:endnote>
  <w:endnote w:type="continuationSeparator" w:id="0">
    <w:p w14:paraId="5E91BBC1" w14:textId="77777777" w:rsidR="00A753D6" w:rsidRDefault="00A75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6B75" w14:textId="77777777" w:rsidR="000075E9" w:rsidRDefault="000075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EA75DF" w14:textId="77777777" w:rsidR="000075E9" w:rsidRDefault="000075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852" w14:textId="77777777" w:rsidR="000075E9" w:rsidRDefault="000075E9">
    <w:pPr>
      <w:pStyle w:val="Footer"/>
      <w:framePr w:wrap="around" w:vAnchor="text" w:hAnchor="margin" w:xAlign="right" w:y="1"/>
      <w:rPr>
        <w:rStyle w:val="PageNumber"/>
        <w:rFonts w:ascii="Garamond" w:hAnsi="Garamond"/>
        <w:sz w:val="20"/>
        <w:szCs w:val="20"/>
      </w:rPr>
    </w:pPr>
    <w:r>
      <w:rPr>
        <w:rStyle w:val="PageNumber"/>
        <w:rFonts w:ascii="Garamond" w:hAnsi="Garamond"/>
        <w:sz w:val="20"/>
        <w:szCs w:val="20"/>
      </w:rPr>
      <w:fldChar w:fldCharType="begin"/>
    </w:r>
    <w:r>
      <w:rPr>
        <w:rStyle w:val="PageNumber"/>
        <w:rFonts w:ascii="Garamond" w:hAnsi="Garamond"/>
        <w:sz w:val="20"/>
        <w:szCs w:val="20"/>
      </w:rPr>
      <w:instrText xml:space="preserve">PAGE  </w:instrText>
    </w:r>
    <w:r>
      <w:rPr>
        <w:rStyle w:val="PageNumber"/>
        <w:rFonts w:ascii="Garamond" w:hAnsi="Garamond"/>
        <w:sz w:val="20"/>
        <w:szCs w:val="20"/>
      </w:rPr>
      <w:fldChar w:fldCharType="separate"/>
    </w:r>
    <w:r w:rsidR="00023D82">
      <w:rPr>
        <w:rStyle w:val="PageNumber"/>
        <w:rFonts w:ascii="Garamond" w:hAnsi="Garamond"/>
        <w:noProof/>
        <w:sz w:val="20"/>
        <w:szCs w:val="20"/>
      </w:rPr>
      <w:t>1</w:t>
    </w:r>
    <w:r>
      <w:rPr>
        <w:rStyle w:val="PageNumber"/>
        <w:rFonts w:ascii="Garamond" w:hAnsi="Garamond"/>
        <w:sz w:val="20"/>
        <w:szCs w:val="20"/>
      </w:rPr>
      <w:fldChar w:fldCharType="end"/>
    </w:r>
    <w:r>
      <w:rPr>
        <w:rStyle w:val="PageNumber"/>
        <w:rFonts w:ascii="Garamond" w:hAnsi="Garamond"/>
        <w:sz w:val="20"/>
        <w:szCs w:val="20"/>
      </w:rPr>
      <w:t>/</w:t>
    </w:r>
    <w:r>
      <w:rPr>
        <w:rStyle w:val="PageNumber"/>
        <w:rFonts w:ascii="Garamond" w:hAnsi="Garamond"/>
        <w:sz w:val="20"/>
        <w:szCs w:val="20"/>
      </w:rPr>
      <w:fldChar w:fldCharType="begin"/>
    </w:r>
    <w:r>
      <w:rPr>
        <w:rStyle w:val="PageNumber"/>
        <w:rFonts w:ascii="Garamond" w:hAnsi="Garamond"/>
        <w:sz w:val="20"/>
        <w:szCs w:val="20"/>
      </w:rPr>
      <w:instrText xml:space="preserve"> NUMPAGES </w:instrText>
    </w:r>
    <w:r>
      <w:rPr>
        <w:rStyle w:val="PageNumber"/>
        <w:rFonts w:ascii="Garamond" w:hAnsi="Garamond"/>
        <w:sz w:val="20"/>
        <w:szCs w:val="20"/>
      </w:rPr>
      <w:fldChar w:fldCharType="separate"/>
    </w:r>
    <w:r w:rsidR="00023D82">
      <w:rPr>
        <w:rStyle w:val="PageNumber"/>
        <w:rFonts w:ascii="Garamond" w:hAnsi="Garamond"/>
        <w:noProof/>
        <w:sz w:val="20"/>
        <w:szCs w:val="20"/>
      </w:rPr>
      <w:t>5</w:t>
    </w:r>
    <w:r>
      <w:rPr>
        <w:rStyle w:val="PageNumber"/>
        <w:rFonts w:ascii="Garamond" w:hAnsi="Garamond"/>
        <w:sz w:val="20"/>
        <w:szCs w:val="20"/>
      </w:rPr>
      <w:fldChar w:fldCharType="end"/>
    </w:r>
  </w:p>
  <w:p w14:paraId="064CE076" w14:textId="77777777" w:rsidR="000075E9" w:rsidRDefault="000075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E1C90" w14:textId="77777777" w:rsidR="00A753D6" w:rsidRDefault="00A753D6">
      <w:r>
        <w:separator/>
      </w:r>
    </w:p>
  </w:footnote>
  <w:footnote w:type="continuationSeparator" w:id="0">
    <w:p w14:paraId="78616D1C" w14:textId="77777777" w:rsidR="00A753D6" w:rsidRDefault="00A753D6">
      <w:r>
        <w:continuationSeparator/>
      </w:r>
    </w:p>
  </w:footnote>
  <w:footnote w:id="1">
    <w:p w14:paraId="448E7FC2" w14:textId="344ED7D8" w:rsidR="00854CB0" w:rsidRPr="00854CB0" w:rsidRDefault="00854CB0">
      <w:pPr>
        <w:pStyle w:val="FootnoteText"/>
        <w:rPr>
          <w:lang w:val="en-US"/>
        </w:rPr>
      </w:pPr>
      <w:r>
        <w:rPr>
          <w:rStyle w:val="FootnoteReference"/>
        </w:rPr>
        <w:footnoteRef/>
      </w:r>
      <w:r>
        <w:t xml:space="preserve"> </w:t>
      </w:r>
      <w:r>
        <w:rPr>
          <w:lang w:val="en-US"/>
        </w:rPr>
        <w:t xml:space="preserve">Michel Chevalier, 1838, quoted in Charles S. Maier, </w:t>
      </w:r>
      <w:r>
        <w:rPr>
          <w:i/>
          <w:iCs/>
          <w:lang w:val="en-US"/>
        </w:rPr>
        <w:t xml:space="preserve">Once Within Borders: Territories of Power, Wealth, and Belonging since 1500 </w:t>
      </w:r>
      <w:r>
        <w:rPr>
          <w:lang w:val="en-US"/>
        </w:rPr>
        <w:t>(Cambridge, Mass.: Belknap Press of Harvard University Press, 2016), 185</w:t>
      </w:r>
      <w:r w:rsidR="00303CB8">
        <w:rPr>
          <w:lang w:val="en-US"/>
        </w:rPr>
        <w:t>; Maier’s pp. 185-195 provide a fuller account of how these technologies rendered territory a space to be filled rather than simply bordered.</w:t>
      </w:r>
    </w:p>
  </w:footnote>
  <w:footnote w:id="2">
    <w:p w14:paraId="50F49179" w14:textId="04800403" w:rsidR="00393695" w:rsidRPr="00393695" w:rsidRDefault="00393695">
      <w:pPr>
        <w:pStyle w:val="FootnoteText"/>
        <w:rPr>
          <w:lang w:val="en-US"/>
        </w:rPr>
      </w:pPr>
      <w:r>
        <w:rPr>
          <w:rStyle w:val="FootnoteReference"/>
        </w:rPr>
        <w:footnoteRef/>
      </w:r>
      <w:r>
        <w:t xml:space="preserve"> </w:t>
      </w:r>
      <w:r>
        <w:rPr>
          <w:lang w:val="en-US"/>
        </w:rPr>
        <w:t xml:space="preserve">Robert Trent Vinson, </w:t>
      </w:r>
      <w:r>
        <w:rPr>
          <w:i/>
          <w:iCs/>
          <w:lang w:val="en-US"/>
        </w:rPr>
        <w:t xml:space="preserve">The Americans Are Coming! Dreams of African American Liberation in Segregationist South Africa </w:t>
      </w:r>
      <w:r>
        <w:rPr>
          <w:lang w:val="en-US"/>
        </w:rPr>
        <w:t>(Athens, Ohio: Ohio University Press, 2012), 14.</w:t>
      </w:r>
    </w:p>
  </w:footnote>
  <w:footnote w:id="3">
    <w:p w14:paraId="3FE13151" w14:textId="434543E9" w:rsidR="00740CE8" w:rsidRPr="00740CE8" w:rsidRDefault="00740CE8">
      <w:pPr>
        <w:pStyle w:val="FootnoteText"/>
        <w:rPr>
          <w:lang w:val="en-US"/>
        </w:rPr>
      </w:pPr>
      <w:r>
        <w:rPr>
          <w:rStyle w:val="FootnoteReference"/>
        </w:rPr>
        <w:footnoteRef/>
      </w:r>
      <w:r>
        <w:t xml:space="preserve"> For the complexity of defining a unit called “Britain” or “the British Empire,” see Linda Colley, </w:t>
      </w:r>
      <w:r>
        <w:rPr>
          <w:i/>
          <w:iCs/>
        </w:rPr>
        <w:t xml:space="preserve">Britons: Forging the Nation, 1707-1837 </w:t>
      </w:r>
      <w:r>
        <w:t xml:space="preserve">(New Haven: Yale University Press, 1992), 4-9; </w:t>
      </w:r>
      <w:r w:rsidR="00273C31">
        <w:t xml:space="preserve">Colin Kidd, </w:t>
      </w:r>
      <w:r w:rsidR="00273C31">
        <w:rPr>
          <w:i/>
          <w:iCs/>
        </w:rPr>
        <w:t xml:space="preserve">Union and Unionisms: Political Thought in Scotland, 1500-2000 </w:t>
      </w:r>
      <w:r w:rsidR="00273C31">
        <w:t xml:space="preserve">(Cambridge: Cambridge University Press, 2008), 5-9 on the Scottish dimension complicating “Britishness”; and </w:t>
      </w:r>
      <w:r>
        <w:rPr>
          <w:lang w:val="en-US"/>
        </w:rPr>
        <w:t xml:space="preserve">John Darwin, </w:t>
      </w:r>
      <w:r>
        <w:rPr>
          <w:i/>
          <w:iCs/>
          <w:lang w:val="en-US"/>
        </w:rPr>
        <w:t xml:space="preserve">The Empire Project: The Rise and Fall of the British World-System, 1830-1970 </w:t>
      </w:r>
      <w:r>
        <w:rPr>
          <w:lang w:val="en-US"/>
        </w:rPr>
        <w:t xml:space="preserve">(New York: Cambridge University Press, 2009), </w:t>
      </w:r>
      <w:r w:rsidR="00273C31">
        <w:rPr>
          <w:lang w:val="en-US"/>
        </w:rPr>
        <w:t>2-12.</w:t>
      </w:r>
    </w:p>
  </w:footnote>
  <w:footnote w:id="4">
    <w:p w14:paraId="5AF2A34A" w14:textId="2ABFB2FD" w:rsidR="006C186C" w:rsidRPr="006C186C" w:rsidRDefault="006C186C">
      <w:pPr>
        <w:pStyle w:val="FootnoteText"/>
        <w:rPr>
          <w:lang w:val="en-US"/>
        </w:rPr>
      </w:pPr>
      <w:r>
        <w:rPr>
          <w:rStyle w:val="FootnoteReference"/>
        </w:rPr>
        <w:footnoteRef/>
      </w:r>
      <w:r>
        <w:t xml:space="preserve"> </w:t>
      </w:r>
      <w:r>
        <w:rPr>
          <w:lang w:val="en-US"/>
        </w:rPr>
        <w:t xml:space="preserve">On the U.S. inheritance of specifically British military-fiscal imperatives in the late eighteenth century, see A.G. Hopkins, </w:t>
      </w:r>
      <w:r>
        <w:rPr>
          <w:i/>
          <w:iCs/>
          <w:lang w:val="en-US"/>
        </w:rPr>
        <w:t xml:space="preserve">American Empire: A Global History </w:t>
      </w:r>
      <w:r>
        <w:rPr>
          <w:lang w:val="en-US"/>
        </w:rPr>
        <w:t>(Princeton: Princeton University Press, 2018), 45-94</w:t>
      </w:r>
      <w:r w:rsidR="00512400">
        <w:rPr>
          <w:lang w:val="en-US"/>
        </w:rPr>
        <w:t>—and on the specific dynamic tying the American Revolution to East India Company policies, 105-107.</w:t>
      </w:r>
      <w:r>
        <w:rPr>
          <w:lang w:val="en-US"/>
        </w:rPr>
        <w:t xml:space="preserve"> </w:t>
      </w:r>
    </w:p>
  </w:footnote>
  <w:footnote w:id="5">
    <w:p w14:paraId="5A7163A6" w14:textId="33D5ACA7" w:rsidR="002650C5" w:rsidRPr="00DE6D1C" w:rsidRDefault="002650C5">
      <w:pPr>
        <w:pStyle w:val="FootnoteText"/>
        <w:rPr>
          <w:lang w:val="en-US"/>
        </w:rPr>
      </w:pPr>
      <w:r>
        <w:rPr>
          <w:rStyle w:val="FootnoteReference"/>
        </w:rPr>
        <w:footnoteRef/>
      </w:r>
      <w:r>
        <w:t xml:space="preserve"> Lala </w:t>
      </w:r>
      <w:r>
        <w:rPr>
          <w:lang w:val="en-US"/>
        </w:rPr>
        <w:t xml:space="preserve">Lajpat Rai, </w:t>
      </w:r>
      <w:r>
        <w:rPr>
          <w:i/>
          <w:iCs/>
          <w:lang w:val="en-US"/>
        </w:rPr>
        <w:t xml:space="preserve">The United States of America: A Hindu’s Impressions and a Study </w:t>
      </w:r>
      <w:r>
        <w:rPr>
          <w:lang w:val="en-US"/>
        </w:rPr>
        <w:t xml:space="preserve">(Calcutta: R. Chatterjee, 1916), iii-iv. (His first visit was a brief one in 1905.) </w:t>
      </w:r>
      <w:r w:rsidR="00DE6D1C">
        <w:rPr>
          <w:lang w:val="en-US"/>
        </w:rPr>
        <w:t xml:space="preserve">Lajpat Rai quotes extensively from Du </w:t>
      </w:r>
      <w:proofErr w:type="spellStart"/>
      <w:r w:rsidR="00DE6D1C">
        <w:rPr>
          <w:lang w:val="en-US"/>
        </w:rPr>
        <w:t>Bois’s</w:t>
      </w:r>
      <w:proofErr w:type="spellEnd"/>
      <w:r w:rsidR="00DE6D1C">
        <w:rPr>
          <w:lang w:val="en-US"/>
        </w:rPr>
        <w:t xml:space="preserve"> </w:t>
      </w:r>
      <w:r w:rsidR="00DE6D1C">
        <w:rPr>
          <w:i/>
          <w:iCs/>
          <w:lang w:val="en-US"/>
        </w:rPr>
        <w:t xml:space="preserve">Souls of Black Folk </w:t>
      </w:r>
      <w:r w:rsidR="00DE6D1C">
        <w:rPr>
          <w:lang w:val="en-US"/>
        </w:rPr>
        <w:t xml:space="preserve">(pp. </w:t>
      </w:r>
      <w:r w:rsidR="001C7D97">
        <w:rPr>
          <w:lang w:val="en-US"/>
        </w:rPr>
        <w:t>157-161, 167-172).</w:t>
      </w:r>
    </w:p>
  </w:footnote>
  <w:footnote w:id="6">
    <w:p w14:paraId="690B7AF6" w14:textId="2AB0B925" w:rsidR="002D4B02" w:rsidRPr="002D4B02" w:rsidRDefault="002D4B02">
      <w:pPr>
        <w:pStyle w:val="FootnoteText"/>
        <w:rPr>
          <w:lang w:val="en-US"/>
        </w:rPr>
      </w:pPr>
      <w:r>
        <w:rPr>
          <w:rStyle w:val="FootnoteReference"/>
        </w:rPr>
        <w:footnoteRef/>
      </w:r>
      <w:r>
        <w:t xml:space="preserve"> </w:t>
      </w:r>
      <w:r>
        <w:rPr>
          <w:lang w:val="en-US"/>
        </w:rPr>
        <w:t xml:space="preserve">W.E.B. Du </w:t>
      </w:r>
      <w:proofErr w:type="spellStart"/>
      <w:r>
        <w:rPr>
          <w:lang w:val="en-US"/>
        </w:rPr>
        <w:t>Bois</w:t>
      </w:r>
      <w:proofErr w:type="spellEnd"/>
      <w:r>
        <w:rPr>
          <w:lang w:val="en-US"/>
        </w:rPr>
        <w:t xml:space="preserve">, “Indians and American Negroes,” published as “The Clash of </w:t>
      </w:r>
      <w:proofErr w:type="spellStart"/>
      <w:r>
        <w:rPr>
          <w:lang w:val="en-US"/>
        </w:rPr>
        <w:t>Colour</w:t>
      </w:r>
      <w:proofErr w:type="spellEnd"/>
      <w:r>
        <w:rPr>
          <w:lang w:val="en-US"/>
        </w:rPr>
        <w:t xml:space="preserve">,” </w:t>
      </w:r>
      <w:r w:rsidR="00D24477">
        <w:rPr>
          <w:lang w:val="en-US"/>
        </w:rPr>
        <w:t xml:space="preserve">circa March 1936, </w:t>
      </w:r>
      <w:r>
        <w:rPr>
          <w:lang w:val="en-US"/>
        </w:rPr>
        <w:t xml:space="preserve">p. 2, </w:t>
      </w:r>
      <w:r w:rsidR="00D24477" w:rsidRPr="00D24477">
        <w:rPr>
          <w:lang w:val="en-US"/>
        </w:rPr>
        <w:t xml:space="preserve">W.E.B. Du </w:t>
      </w:r>
      <w:proofErr w:type="spellStart"/>
      <w:r w:rsidR="00D24477" w:rsidRPr="00D24477">
        <w:rPr>
          <w:lang w:val="en-US"/>
        </w:rPr>
        <w:t>Bois</w:t>
      </w:r>
      <w:proofErr w:type="spellEnd"/>
      <w:r w:rsidR="00D24477" w:rsidRPr="00D24477">
        <w:rPr>
          <w:lang w:val="en-US"/>
        </w:rPr>
        <w:t xml:space="preserve"> Papers (MS 312). Special Collections and University Archives, University of Massachusetts Amherst Libraries</w:t>
      </w:r>
      <w:r w:rsidR="00D24477">
        <w:rPr>
          <w:lang w:val="en-US"/>
        </w:rPr>
        <w:t xml:space="preserve">, </w:t>
      </w:r>
      <w:hyperlink r:id="rId1" w:history="1">
        <w:r w:rsidR="00D24477" w:rsidRPr="00D24477">
          <w:rPr>
            <w:rStyle w:val="Hyperlink"/>
          </w:rPr>
          <w:t>http://credo.library.umass.edu/view/full/mums312-b209-i028</w:t>
        </w:r>
      </w:hyperlink>
      <w:r w:rsidR="00D24477">
        <w:rPr>
          <w:lang w:val="en-US"/>
        </w:rPr>
        <w:t>.</w:t>
      </w:r>
    </w:p>
  </w:footnote>
  <w:footnote w:id="7">
    <w:p w14:paraId="6EE6A11A" w14:textId="77777777" w:rsidR="005E43F5" w:rsidRPr="00740CE8" w:rsidRDefault="005E43F5" w:rsidP="005E43F5">
      <w:pPr>
        <w:pStyle w:val="FootnoteText"/>
        <w:rPr>
          <w:lang w:val="en-US"/>
        </w:rPr>
      </w:pPr>
      <w:r>
        <w:rPr>
          <w:rStyle w:val="FootnoteReference"/>
        </w:rPr>
        <w:footnoteRef/>
      </w:r>
      <w:r>
        <w:t xml:space="preserve"> </w:t>
      </w:r>
      <w:r>
        <w:rPr>
          <w:lang w:val="en-US"/>
        </w:rPr>
        <w:t xml:space="preserve">For the pan-Britannic background of the Vancouver Riots, see Marilyn Lake and Henry Reynolds, </w:t>
      </w:r>
      <w:r>
        <w:rPr>
          <w:i/>
          <w:iCs/>
          <w:lang w:val="en-US"/>
        </w:rPr>
        <w:t xml:space="preserve">Drawing the Global </w:t>
      </w:r>
      <w:proofErr w:type="spellStart"/>
      <w:r>
        <w:rPr>
          <w:i/>
          <w:iCs/>
          <w:lang w:val="en-US"/>
        </w:rPr>
        <w:t>Colour</w:t>
      </w:r>
      <w:proofErr w:type="spellEnd"/>
      <w:r>
        <w:rPr>
          <w:i/>
          <w:iCs/>
          <w:lang w:val="en-US"/>
        </w:rPr>
        <w:t xml:space="preserve"> Line: White Men’s Countries and the International Challenge of Racial Equality </w:t>
      </w:r>
      <w:r>
        <w:rPr>
          <w:lang w:val="en-US"/>
        </w:rPr>
        <w:t xml:space="preserve">(New York: Cambridge University Press, 2008), 178-189 (and 187-189 for Das). On the settler colonies as sites of “Britannic” solidarity, see Darwin, </w:t>
      </w:r>
      <w:r>
        <w:rPr>
          <w:i/>
          <w:iCs/>
          <w:lang w:val="en-US"/>
        </w:rPr>
        <w:t>Empire Project</w:t>
      </w:r>
      <w:r>
        <w:rPr>
          <w:lang w:val="en-US"/>
        </w:rPr>
        <w:t>, 144-148.</w:t>
      </w:r>
    </w:p>
  </w:footnote>
  <w:footnote w:id="8">
    <w:p w14:paraId="20306567" w14:textId="4124498D" w:rsidR="00313882" w:rsidRPr="00313882" w:rsidRDefault="00313882">
      <w:pPr>
        <w:pStyle w:val="FootnoteText"/>
        <w:rPr>
          <w:lang w:val="en-US"/>
        </w:rPr>
      </w:pPr>
      <w:r>
        <w:rPr>
          <w:rStyle w:val="FootnoteReference"/>
        </w:rPr>
        <w:footnoteRef/>
      </w:r>
      <w:r>
        <w:t xml:space="preserve"> </w:t>
      </w:r>
      <w:r>
        <w:rPr>
          <w:lang w:val="en-US"/>
        </w:rPr>
        <w:t xml:space="preserve">For a different, but parallel, entanglement of rising U.S. power with decolonizing Asia, see Mark Philip Bradley, </w:t>
      </w:r>
      <w:r>
        <w:rPr>
          <w:i/>
          <w:iCs/>
          <w:lang w:val="en-US"/>
        </w:rPr>
        <w:t xml:space="preserve">Imagining </w:t>
      </w:r>
      <w:proofErr w:type="gramStart"/>
      <w:r>
        <w:rPr>
          <w:i/>
          <w:iCs/>
          <w:lang w:val="en-US"/>
        </w:rPr>
        <w:t>Vietnam</w:t>
      </w:r>
      <w:proofErr w:type="gramEnd"/>
      <w:r>
        <w:rPr>
          <w:i/>
          <w:iCs/>
          <w:lang w:val="en-US"/>
        </w:rPr>
        <w:t xml:space="preserve"> and America: The Making of Postcolonial Vietnam, 1919-1950 </w:t>
      </w:r>
      <w:r>
        <w:rPr>
          <w:lang w:val="en-US"/>
        </w:rPr>
        <w:t>(Chapel Hill: University of North Carolina Press, 2000), especially 146-192.</w:t>
      </w:r>
    </w:p>
  </w:footnote>
  <w:footnote w:id="9">
    <w:p w14:paraId="0D1151C4" w14:textId="3AF49AF8" w:rsidR="00AB281D" w:rsidRPr="00AB281D" w:rsidRDefault="00AB281D">
      <w:pPr>
        <w:pStyle w:val="FootnoteText"/>
        <w:rPr>
          <w:lang w:val="en-US"/>
        </w:rPr>
      </w:pPr>
      <w:r>
        <w:rPr>
          <w:rStyle w:val="FootnoteReference"/>
        </w:rPr>
        <w:footnoteRef/>
      </w:r>
      <w:r>
        <w:t xml:space="preserve"> </w:t>
      </w:r>
      <w:r>
        <w:rPr>
          <w:lang w:val="en-US"/>
        </w:rPr>
        <w:t xml:space="preserve">Henry Ford’s meteoric rise coincided exactly with the passage of global financial power from Britain to the United States during the Great War, as pointed out in Adam Tooze, </w:t>
      </w:r>
      <w:r>
        <w:rPr>
          <w:i/>
          <w:iCs/>
          <w:lang w:val="en-US"/>
        </w:rPr>
        <w:t xml:space="preserve">The Deluge: The Great War and the Remaking of Global Order, 1916-1931 </w:t>
      </w:r>
      <w:r>
        <w:rPr>
          <w:lang w:val="en-US"/>
        </w:rPr>
        <w:t>(London: Allen Lane, 2014), 200-201, beginning a process only accelerated during the Second World War.</w:t>
      </w:r>
    </w:p>
  </w:footnote>
  <w:footnote w:id="10">
    <w:p w14:paraId="65AD8510" w14:textId="680F5B77" w:rsidR="008C1B38" w:rsidRPr="008C1B38" w:rsidRDefault="008C1B38">
      <w:pPr>
        <w:pStyle w:val="FootnoteText"/>
        <w:rPr>
          <w:lang w:val="en-US"/>
        </w:rPr>
      </w:pPr>
      <w:r>
        <w:rPr>
          <w:rStyle w:val="FootnoteReference"/>
        </w:rPr>
        <w:footnoteRef/>
      </w:r>
      <w:r>
        <w:t xml:space="preserve"> </w:t>
      </w:r>
      <w:r>
        <w:rPr>
          <w:lang w:val="en-US"/>
        </w:rPr>
        <w:t xml:space="preserve">The inclusion of Arthur Morgan from the Tennessee Valley Authority points to the global resonance of this project as discussed in Kiran Klaus Patel, </w:t>
      </w:r>
      <w:r>
        <w:rPr>
          <w:i/>
          <w:iCs/>
          <w:lang w:val="en-US"/>
        </w:rPr>
        <w:t xml:space="preserve">The New Deal: A Global History </w:t>
      </w:r>
      <w:r>
        <w:rPr>
          <w:lang w:val="en-US"/>
        </w:rPr>
        <w:t>(Princeton: Princeton University Press, 2016), 294-295.</w:t>
      </w:r>
    </w:p>
  </w:footnote>
  <w:footnote w:id="11">
    <w:p w14:paraId="4DB40E4C" w14:textId="45129193" w:rsidR="00C62404" w:rsidRPr="00C62404" w:rsidRDefault="00C62404">
      <w:pPr>
        <w:pStyle w:val="FootnoteText"/>
        <w:rPr>
          <w:lang w:val="en-US"/>
        </w:rPr>
      </w:pPr>
      <w:r>
        <w:rPr>
          <w:rStyle w:val="FootnoteReference"/>
        </w:rPr>
        <w:footnoteRef/>
      </w:r>
      <w:r>
        <w:t xml:space="preserve"> Just as the Radhakrishnan Commission published its findings, in 1949, </w:t>
      </w:r>
      <w:r>
        <w:rPr>
          <w:lang w:val="en-US"/>
        </w:rPr>
        <w:t xml:space="preserve">the </w:t>
      </w:r>
      <w:r>
        <w:rPr>
          <w:i/>
          <w:iCs/>
          <w:lang w:val="en-US"/>
        </w:rPr>
        <w:t xml:space="preserve">Southern Nigeria Defender </w:t>
      </w:r>
      <w:r>
        <w:rPr>
          <w:lang w:val="en-US"/>
        </w:rPr>
        <w:t xml:space="preserve">proclaimed “Nigeria has reached the University age”: quoted in Tim Livsey, </w:t>
      </w:r>
      <w:r>
        <w:rPr>
          <w:i/>
          <w:iCs/>
          <w:lang w:val="en-US"/>
        </w:rPr>
        <w:t xml:space="preserve">Nigeria’s University Age: Reframing </w:t>
      </w:r>
      <w:proofErr w:type="spellStart"/>
      <w:r>
        <w:rPr>
          <w:i/>
          <w:iCs/>
          <w:lang w:val="en-US"/>
        </w:rPr>
        <w:t>Decolonisation</w:t>
      </w:r>
      <w:proofErr w:type="spellEnd"/>
      <w:r>
        <w:rPr>
          <w:i/>
          <w:iCs/>
          <w:lang w:val="en-US"/>
        </w:rPr>
        <w:t xml:space="preserve"> and Development </w:t>
      </w:r>
      <w:r>
        <w:rPr>
          <w:lang w:val="en-US"/>
        </w:rPr>
        <w:t>(</w:t>
      </w:r>
      <w:r w:rsidR="00A8747C">
        <w:rPr>
          <w:lang w:val="en-US"/>
        </w:rPr>
        <w:t>Cham</w:t>
      </w:r>
      <w:r w:rsidR="00D66B61">
        <w:rPr>
          <w:lang w:val="en-US"/>
        </w:rPr>
        <w:t>, Switzerland</w:t>
      </w:r>
      <w:r>
        <w:rPr>
          <w:lang w:val="en-US"/>
        </w:rPr>
        <w:t>: Palgrave Macmillan, 2017), 2. Livsey’s chapter 6 (pp. 119-144) describes the entanglements of U.S. land grant universities, foundations, and Nigerian anti-colonialists in seeking to establish new universities, parallel to Chapter 9’s history of Uttar Pradesh Agricultural University.</w:t>
      </w:r>
    </w:p>
  </w:footnote>
  <w:footnote w:id="12">
    <w:p w14:paraId="790B6213" w14:textId="3CBB9860" w:rsidR="00B80DD2" w:rsidRPr="00B80DD2" w:rsidRDefault="00B80DD2">
      <w:pPr>
        <w:pStyle w:val="FootnoteText"/>
        <w:rPr>
          <w:lang w:val="en-US"/>
        </w:rPr>
      </w:pPr>
      <w:r>
        <w:rPr>
          <w:rStyle w:val="FootnoteReference"/>
        </w:rPr>
        <w:footnoteRef/>
      </w:r>
      <w:r>
        <w:t xml:space="preserve"> </w:t>
      </w:r>
      <w:r w:rsidR="00F26EFF">
        <w:t xml:space="preserve">Michael </w:t>
      </w:r>
      <w:r w:rsidR="00F26EFF">
        <w:rPr>
          <w:lang w:val="en-US"/>
        </w:rPr>
        <w:t xml:space="preserve">Geyer and Charles Bright, “World History in a Global Age,” </w:t>
      </w:r>
      <w:r w:rsidR="00F26EFF">
        <w:rPr>
          <w:i/>
          <w:iCs/>
          <w:lang w:val="en-US"/>
        </w:rPr>
        <w:t xml:space="preserve">American Historical Review </w:t>
      </w:r>
      <w:r w:rsidR="00F26EFF">
        <w:rPr>
          <w:lang w:val="en-US"/>
        </w:rPr>
        <w:t xml:space="preserve">100, no. 4 (October 1995): </w:t>
      </w:r>
      <w:r>
        <w:rPr>
          <w:lang w:val="en-US"/>
        </w:rPr>
        <w:t>1047.</w:t>
      </w:r>
    </w:p>
  </w:footnote>
  <w:footnote w:id="13">
    <w:p w14:paraId="686A9D63" w14:textId="537ED540" w:rsidR="00736156" w:rsidRPr="00736156" w:rsidRDefault="00736156">
      <w:pPr>
        <w:pStyle w:val="FootnoteText"/>
        <w:rPr>
          <w:lang w:val="en-US"/>
        </w:rPr>
      </w:pPr>
      <w:r>
        <w:rPr>
          <w:rStyle w:val="FootnoteReference"/>
        </w:rPr>
        <w:footnoteRef/>
      </w:r>
      <w:r>
        <w:t xml:space="preserve"> </w:t>
      </w:r>
      <w:r>
        <w:rPr>
          <w:lang w:val="en-US"/>
        </w:rPr>
        <w:t xml:space="preserve">Manu Bhagavan, </w:t>
      </w:r>
      <w:r>
        <w:rPr>
          <w:i/>
          <w:iCs/>
          <w:lang w:val="en-US"/>
        </w:rPr>
        <w:t xml:space="preserve">The Peacemakers: India and the Quest for One World </w:t>
      </w:r>
      <w:r>
        <w:rPr>
          <w:lang w:val="en-US"/>
        </w:rPr>
        <w:t>(Delhi: HarperCollins Publishers India, 2012), 4-5, 25-31, 66-67, 83</w:t>
      </w:r>
      <w:r w:rsidR="00591E55">
        <w:rPr>
          <w:lang w:val="en-US"/>
        </w:rPr>
        <w:t>, 109-111, and 115.</w:t>
      </w:r>
    </w:p>
  </w:footnote>
  <w:footnote w:id="14">
    <w:p w14:paraId="0423E822" w14:textId="16A5A570" w:rsidR="00EF7F65" w:rsidRPr="00EF7F65" w:rsidRDefault="00EF7F65">
      <w:pPr>
        <w:pStyle w:val="FootnoteText"/>
        <w:rPr>
          <w:lang w:val="en-US"/>
        </w:rPr>
      </w:pPr>
      <w:r>
        <w:rPr>
          <w:rStyle w:val="FootnoteReference"/>
        </w:rPr>
        <w:footnoteRef/>
      </w:r>
      <w:r>
        <w:t xml:space="preserve"> </w:t>
      </w:r>
      <w:r>
        <w:rPr>
          <w:lang w:val="en-US"/>
        </w:rPr>
        <w:t xml:space="preserve">Bhagavan, </w:t>
      </w:r>
      <w:r>
        <w:rPr>
          <w:i/>
          <w:iCs/>
          <w:lang w:val="en-US"/>
        </w:rPr>
        <w:t>Peacemakers</w:t>
      </w:r>
      <w:r>
        <w:rPr>
          <w:lang w:val="en-US"/>
        </w:rPr>
        <w:t>, 165-166.</w:t>
      </w:r>
    </w:p>
  </w:footnote>
  <w:footnote w:id="15">
    <w:p w14:paraId="52BDE3F3" w14:textId="720DEB28" w:rsidR="00F147B9" w:rsidRPr="00F147B9" w:rsidRDefault="00F147B9">
      <w:pPr>
        <w:pStyle w:val="FootnoteText"/>
        <w:rPr>
          <w:lang w:val="en-US"/>
        </w:rPr>
      </w:pPr>
      <w:r>
        <w:rPr>
          <w:rStyle w:val="FootnoteReference"/>
        </w:rPr>
        <w:footnoteRef/>
      </w:r>
      <w:r>
        <w:t xml:space="preserve"> Hansong Li, “The ‘Indo-Pacific’: Intellectual Origins and International Visions in Global Contexts,” </w:t>
      </w:r>
      <w:r>
        <w:rPr>
          <w:i/>
          <w:iCs/>
        </w:rPr>
        <w:t>Modern Intellectual History</w:t>
      </w:r>
      <w:r>
        <w:t xml:space="preserve"> (2021), 2 note 1, </w:t>
      </w:r>
      <w:hyperlink r:id="rId2" w:history="1">
        <w:r w:rsidR="006D7EE0" w:rsidRPr="00386239">
          <w:rPr>
            <w:rStyle w:val="Hyperlink"/>
          </w:rPr>
          <w:t>https://doi.org/10.1017/S1479244321000214</w:t>
        </w:r>
      </w:hyperlink>
      <w:r>
        <w:t xml:space="preserve">. As Li notes, the German creator of the Indo-Pacific concept, </w:t>
      </w:r>
      <w:r w:rsidR="006D7EE0">
        <w:t xml:space="preserve">Karl </w:t>
      </w:r>
      <w:r>
        <w:t>Haushofer, hoped it would create “an anti-American project,” not one oriented around the United States (p. 21</w:t>
      </w:r>
      <w:r w:rsidR="006D7EE0">
        <w:t>, and pp. 19-24 for the broader vision</w:t>
      </w:r>
      <w:r>
        <w:t>).</w:t>
      </w:r>
    </w:p>
  </w:footnote>
  <w:footnote w:id="16">
    <w:p w14:paraId="281E8FF1" w14:textId="002174CE" w:rsidR="00AD3F96" w:rsidRPr="00AD3F96" w:rsidRDefault="00AD3F96">
      <w:pPr>
        <w:pStyle w:val="FootnoteText"/>
        <w:rPr>
          <w:lang w:val="en-US"/>
        </w:rPr>
      </w:pPr>
      <w:r>
        <w:rPr>
          <w:rStyle w:val="FootnoteReference"/>
        </w:rPr>
        <w:footnoteRef/>
      </w:r>
      <w:r>
        <w:t xml:space="preserve"> </w:t>
      </w:r>
      <w:r>
        <w:rPr>
          <w:i/>
          <w:iCs/>
          <w:lang w:val="en-US"/>
        </w:rPr>
        <w:t>National Security Strategy of the United States of America</w:t>
      </w:r>
      <w:r>
        <w:rPr>
          <w:lang w:val="en-US"/>
        </w:rPr>
        <w:t xml:space="preserve">, December 2017, 45-46, </w:t>
      </w:r>
      <w:hyperlink r:id="rId3" w:history="1">
        <w:r w:rsidRPr="00386239">
          <w:rPr>
            <w:rStyle w:val="Hyperlink"/>
            <w:lang w:val="en-US"/>
          </w:rPr>
          <w:t>https://trumpwhitehouse.archives.gov/wp-content/uploads/2017/12/NSS-Final-12-18-2017-0905.pdf</w:t>
        </w:r>
      </w:hyperlink>
      <w:r>
        <w:rPr>
          <w:lang w:val="en-US"/>
        </w:rPr>
        <w:t xml:space="preserve">. </w:t>
      </w:r>
    </w:p>
  </w:footnote>
  <w:footnote w:id="17">
    <w:p w14:paraId="26F38396" w14:textId="0BD9BE2F" w:rsidR="00FD5283" w:rsidRPr="00FD5283" w:rsidRDefault="00FD5283">
      <w:pPr>
        <w:pStyle w:val="FootnoteText"/>
        <w:rPr>
          <w:lang w:val="en-US"/>
        </w:rPr>
      </w:pPr>
      <w:r>
        <w:rPr>
          <w:rStyle w:val="FootnoteReference"/>
        </w:rPr>
        <w:footnoteRef/>
      </w:r>
      <w:r>
        <w:t xml:space="preserve"> Point 2 of the Leaders’ Joint Statement, </w:t>
      </w:r>
      <w:r>
        <w:rPr>
          <w:lang w:val="en-US"/>
        </w:rPr>
        <w:t xml:space="preserve">“The Spirit of the Quad,” March 12, 2021, </w:t>
      </w:r>
      <w:hyperlink r:id="rId4" w:history="1">
        <w:r w:rsidRPr="00386239">
          <w:rPr>
            <w:rStyle w:val="Hyperlink"/>
            <w:lang w:val="en-US"/>
          </w:rPr>
          <w:t>https://www.whitehouse.gov/briefing-room/statements-releases/2021/03/12/quad-leaders-joint-statement-the-spirit-of-the-quad/</w:t>
        </w:r>
      </w:hyperlink>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E5D48"/>
    <w:multiLevelType w:val="hybridMultilevel"/>
    <w:tmpl w:val="341EB00E"/>
    <w:lvl w:ilvl="0" w:tplc="7DDE3ACC">
      <w:start w:val="6"/>
      <w:numFmt w:val="bullet"/>
      <w:lvlText w:val=""/>
      <w:lvlJc w:val="left"/>
      <w:pPr>
        <w:tabs>
          <w:tab w:val="num" w:pos="720"/>
        </w:tabs>
        <w:ind w:left="720" w:hanging="36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BF2126"/>
    <w:multiLevelType w:val="hybridMultilevel"/>
    <w:tmpl w:val="6CA46B80"/>
    <w:lvl w:ilvl="0" w:tplc="DA6E7052">
      <w:start w:val="6"/>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1465C2B"/>
    <w:multiLevelType w:val="hybridMultilevel"/>
    <w:tmpl w:val="525893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3FA191B"/>
    <w:multiLevelType w:val="hybridMultilevel"/>
    <w:tmpl w:val="14A45AEA"/>
    <w:lvl w:ilvl="0" w:tplc="ED2A21B2">
      <w:start w:val="6"/>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EA75A3"/>
    <w:multiLevelType w:val="hybridMultilevel"/>
    <w:tmpl w:val="1FBCE35C"/>
    <w:lvl w:ilvl="0" w:tplc="E79E433E">
      <w:start w:val="10"/>
      <w:numFmt w:val="lowerRoman"/>
      <w:lvlText w:val="%1)"/>
      <w:lvlJc w:val="left"/>
      <w:pPr>
        <w:tabs>
          <w:tab w:val="num" w:pos="1080"/>
        </w:tabs>
        <w:ind w:left="1080" w:hanging="720"/>
      </w:pPr>
      <w:rPr>
        <w:rFonts w:hint="default"/>
      </w:rPr>
    </w:lvl>
    <w:lvl w:ilvl="1" w:tplc="1062F22C" w:tentative="1">
      <w:start w:val="1"/>
      <w:numFmt w:val="lowerLetter"/>
      <w:lvlText w:val="%2."/>
      <w:lvlJc w:val="left"/>
      <w:pPr>
        <w:tabs>
          <w:tab w:val="num" w:pos="1440"/>
        </w:tabs>
        <w:ind w:left="1440" w:hanging="360"/>
      </w:pPr>
    </w:lvl>
    <w:lvl w:ilvl="2" w:tplc="2338A7AC" w:tentative="1">
      <w:start w:val="1"/>
      <w:numFmt w:val="lowerRoman"/>
      <w:lvlText w:val="%3."/>
      <w:lvlJc w:val="right"/>
      <w:pPr>
        <w:tabs>
          <w:tab w:val="num" w:pos="2160"/>
        </w:tabs>
        <w:ind w:left="2160" w:hanging="180"/>
      </w:pPr>
    </w:lvl>
    <w:lvl w:ilvl="3" w:tplc="0F2085DC" w:tentative="1">
      <w:start w:val="1"/>
      <w:numFmt w:val="decimal"/>
      <w:lvlText w:val="%4."/>
      <w:lvlJc w:val="left"/>
      <w:pPr>
        <w:tabs>
          <w:tab w:val="num" w:pos="2880"/>
        </w:tabs>
        <w:ind w:left="2880" w:hanging="360"/>
      </w:pPr>
    </w:lvl>
    <w:lvl w:ilvl="4" w:tplc="CAB2A8B4" w:tentative="1">
      <w:start w:val="1"/>
      <w:numFmt w:val="lowerLetter"/>
      <w:lvlText w:val="%5."/>
      <w:lvlJc w:val="left"/>
      <w:pPr>
        <w:tabs>
          <w:tab w:val="num" w:pos="3600"/>
        </w:tabs>
        <w:ind w:left="3600" w:hanging="360"/>
      </w:pPr>
    </w:lvl>
    <w:lvl w:ilvl="5" w:tplc="AA7CF43E" w:tentative="1">
      <w:start w:val="1"/>
      <w:numFmt w:val="lowerRoman"/>
      <w:lvlText w:val="%6."/>
      <w:lvlJc w:val="right"/>
      <w:pPr>
        <w:tabs>
          <w:tab w:val="num" w:pos="4320"/>
        </w:tabs>
        <w:ind w:left="4320" w:hanging="180"/>
      </w:pPr>
    </w:lvl>
    <w:lvl w:ilvl="6" w:tplc="84066ED6" w:tentative="1">
      <w:start w:val="1"/>
      <w:numFmt w:val="decimal"/>
      <w:lvlText w:val="%7."/>
      <w:lvlJc w:val="left"/>
      <w:pPr>
        <w:tabs>
          <w:tab w:val="num" w:pos="5040"/>
        </w:tabs>
        <w:ind w:left="5040" w:hanging="360"/>
      </w:pPr>
    </w:lvl>
    <w:lvl w:ilvl="7" w:tplc="893894D4" w:tentative="1">
      <w:start w:val="1"/>
      <w:numFmt w:val="lowerLetter"/>
      <w:lvlText w:val="%8."/>
      <w:lvlJc w:val="left"/>
      <w:pPr>
        <w:tabs>
          <w:tab w:val="num" w:pos="5760"/>
        </w:tabs>
        <w:ind w:left="5760" w:hanging="360"/>
      </w:pPr>
    </w:lvl>
    <w:lvl w:ilvl="8" w:tplc="16200D80" w:tentative="1">
      <w:start w:val="1"/>
      <w:numFmt w:val="lowerRoman"/>
      <w:lvlText w:val="%9."/>
      <w:lvlJc w:val="right"/>
      <w:pPr>
        <w:tabs>
          <w:tab w:val="num" w:pos="6480"/>
        </w:tabs>
        <w:ind w:left="6480" w:hanging="180"/>
      </w:pPr>
    </w:lvl>
  </w:abstractNum>
  <w:abstractNum w:abstractNumId="5" w15:restartNumberingAfterBreak="0">
    <w:nsid w:val="58BF5C17"/>
    <w:multiLevelType w:val="hybridMultilevel"/>
    <w:tmpl w:val="27EE2CB6"/>
    <w:lvl w:ilvl="0" w:tplc="0C186438">
      <w:numFmt w:val="bullet"/>
      <w:lvlText w:val="-"/>
      <w:lvlJc w:val="left"/>
      <w:pPr>
        <w:tabs>
          <w:tab w:val="num" w:pos="720"/>
        </w:tabs>
        <w:ind w:left="720" w:hanging="360"/>
      </w:pPr>
      <w:rPr>
        <w:rFonts w:ascii="Arial" w:eastAsia="Times New Roman" w:hAnsi="Arial" w:cs="Aria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30611A"/>
    <w:multiLevelType w:val="hybridMultilevel"/>
    <w:tmpl w:val="FC000E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6824794"/>
    <w:multiLevelType w:val="hybridMultilevel"/>
    <w:tmpl w:val="5FCC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F240E3"/>
    <w:multiLevelType w:val="hybridMultilevel"/>
    <w:tmpl w:val="F0E2C46E"/>
    <w:lvl w:ilvl="0" w:tplc="4404A5E0">
      <w:start w:val="6"/>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DD1A10"/>
    <w:multiLevelType w:val="hybridMultilevel"/>
    <w:tmpl w:val="30127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5D2F51"/>
    <w:multiLevelType w:val="hybridMultilevel"/>
    <w:tmpl w:val="87F2EE80"/>
    <w:lvl w:ilvl="0" w:tplc="446A19A0">
      <w:start w:val="6"/>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12029170">
    <w:abstractNumId w:val="4"/>
  </w:num>
  <w:num w:numId="2" w16cid:durableId="137575968">
    <w:abstractNumId w:val="0"/>
  </w:num>
  <w:num w:numId="3" w16cid:durableId="2090224950">
    <w:abstractNumId w:val="2"/>
  </w:num>
  <w:num w:numId="4" w16cid:durableId="156962153">
    <w:abstractNumId w:val="6"/>
  </w:num>
  <w:num w:numId="5" w16cid:durableId="750926567">
    <w:abstractNumId w:val="5"/>
  </w:num>
  <w:num w:numId="6" w16cid:durableId="372315486">
    <w:abstractNumId w:val="3"/>
  </w:num>
  <w:num w:numId="7" w16cid:durableId="971254789">
    <w:abstractNumId w:val="10"/>
  </w:num>
  <w:num w:numId="8" w16cid:durableId="1361511446">
    <w:abstractNumId w:val="1"/>
  </w:num>
  <w:num w:numId="9" w16cid:durableId="1721510300">
    <w:abstractNumId w:val="8"/>
  </w:num>
  <w:num w:numId="10" w16cid:durableId="1130325565">
    <w:abstractNumId w:val="9"/>
  </w:num>
  <w:num w:numId="11" w16cid:durableId="20590863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E4B"/>
    <w:rsid w:val="00007338"/>
    <w:rsid w:val="000075E9"/>
    <w:rsid w:val="000077A3"/>
    <w:rsid w:val="00015604"/>
    <w:rsid w:val="00022B3C"/>
    <w:rsid w:val="00023D82"/>
    <w:rsid w:val="00030C64"/>
    <w:rsid w:val="00031255"/>
    <w:rsid w:val="00047B80"/>
    <w:rsid w:val="000517BD"/>
    <w:rsid w:val="00053A13"/>
    <w:rsid w:val="00053C87"/>
    <w:rsid w:val="00057114"/>
    <w:rsid w:val="00061733"/>
    <w:rsid w:val="00070A69"/>
    <w:rsid w:val="00072595"/>
    <w:rsid w:val="00074D09"/>
    <w:rsid w:val="000857DE"/>
    <w:rsid w:val="00091561"/>
    <w:rsid w:val="00094D89"/>
    <w:rsid w:val="00096B80"/>
    <w:rsid w:val="000A1AB2"/>
    <w:rsid w:val="000B0174"/>
    <w:rsid w:val="000B0CFB"/>
    <w:rsid w:val="000C6A2F"/>
    <w:rsid w:val="000D4B6D"/>
    <w:rsid w:val="000D5A75"/>
    <w:rsid w:val="000D5C68"/>
    <w:rsid w:val="000E7713"/>
    <w:rsid w:val="001011A4"/>
    <w:rsid w:val="00103991"/>
    <w:rsid w:val="00105852"/>
    <w:rsid w:val="001144B2"/>
    <w:rsid w:val="00116D29"/>
    <w:rsid w:val="001357EF"/>
    <w:rsid w:val="001365B7"/>
    <w:rsid w:val="00155EE7"/>
    <w:rsid w:val="00162725"/>
    <w:rsid w:val="00180BC6"/>
    <w:rsid w:val="00181343"/>
    <w:rsid w:val="00182372"/>
    <w:rsid w:val="00187853"/>
    <w:rsid w:val="00190D22"/>
    <w:rsid w:val="001921AF"/>
    <w:rsid w:val="00192849"/>
    <w:rsid w:val="00196407"/>
    <w:rsid w:val="001A0042"/>
    <w:rsid w:val="001A0BD6"/>
    <w:rsid w:val="001A3A2A"/>
    <w:rsid w:val="001B3EB7"/>
    <w:rsid w:val="001B5B7F"/>
    <w:rsid w:val="001C42C0"/>
    <w:rsid w:val="001C5882"/>
    <w:rsid w:val="001C588A"/>
    <w:rsid w:val="001C7D97"/>
    <w:rsid w:val="001D3F75"/>
    <w:rsid w:val="001E033B"/>
    <w:rsid w:val="001E549F"/>
    <w:rsid w:val="001E6F4B"/>
    <w:rsid w:val="00212716"/>
    <w:rsid w:val="002175AD"/>
    <w:rsid w:val="00217E25"/>
    <w:rsid w:val="002201DD"/>
    <w:rsid w:val="002214E5"/>
    <w:rsid w:val="002253B8"/>
    <w:rsid w:val="00234E3D"/>
    <w:rsid w:val="00234EA4"/>
    <w:rsid w:val="00237A81"/>
    <w:rsid w:val="0024456C"/>
    <w:rsid w:val="00251FA9"/>
    <w:rsid w:val="00252254"/>
    <w:rsid w:val="00254225"/>
    <w:rsid w:val="00260F73"/>
    <w:rsid w:val="002611D8"/>
    <w:rsid w:val="002650C5"/>
    <w:rsid w:val="00270D5E"/>
    <w:rsid w:val="00272242"/>
    <w:rsid w:val="00273C31"/>
    <w:rsid w:val="002765FF"/>
    <w:rsid w:val="00286F30"/>
    <w:rsid w:val="002946B3"/>
    <w:rsid w:val="002A336F"/>
    <w:rsid w:val="002A3B88"/>
    <w:rsid w:val="002A43B6"/>
    <w:rsid w:val="002B799A"/>
    <w:rsid w:val="002C1064"/>
    <w:rsid w:val="002C5023"/>
    <w:rsid w:val="002C5A2C"/>
    <w:rsid w:val="002D4B02"/>
    <w:rsid w:val="002E0B18"/>
    <w:rsid w:val="002E2482"/>
    <w:rsid w:val="002E2E6E"/>
    <w:rsid w:val="002E3485"/>
    <w:rsid w:val="002E653D"/>
    <w:rsid w:val="003022A7"/>
    <w:rsid w:val="00303CB8"/>
    <w:rsid w:val="00304680"/>
    <w:rsid w:val="003117A5"/>
    <w:rsid w:val="003120B5"/>
    <w:rsid w:val="00313882"/>
    <w:rsid w:val="003200F1"/>
    <w:rsid w:val="003268F7"/>
    <w:rsid w:val="003325EB"/>
    <w:rsid w:val="00332B02"/>
    <w:rsid w:val="00334F8B"/>
    <w:rsid w:val="00343031"/>
    <w:rsid w:val="003452C7"/>
    <w:rsid w:val="003625EF"/>
    <w:rsid w:val="003631AC"/>
    <w:rsid w:val="00374F82"/>
    <w:rsid w:val="003860FE"/>
    <w:rsid w:val="00387399"/>
    <w:rsid w:val="00393695"/>
    <w:rsid w:val="003951F9"/>
    <w:rsid w:val="003A6865"/>
    <w:rsid w:val="003C4FAF"/>
    <w:rsid w:val="003D494B"/>
    <w:rsid w:val="003D5EF4"/>
    <w:rsid w:val="003E008F"/>
    <w:rsid w:val="003F093F"/>
    <w:rsid w:val="003F09A2"/>
    <w:rsid w:val="003F2048"/>
    <w:rsid w:val="003F29FB"/>
    <w:rsid w:val="003F4D4D"/>
    <w:rsid w:val="003F6B69"/>
    <w:rsid w:val="003F6DFC"/>
    <w:rsid w:val="00400124"/>
    <w:rsid w:val="00411BF0"/>
    <w:rsid w:val="00413DA2"/>
    <w:rsid w:val="0042432A"/>
    <w:rsid w:val="00427425"/>
    <w:rsid w:val="00430BD6"/>
    <w:rsid w:val="00435E8E"/>
    <w:rsid w:val="004369D7"/>
    <w:rsid w:val="004405C9"/>
    <w:rsid w:val="00446E22"/>
    <w:rsid w:val="00447D84"/>
    <w:rsid w:val="00447F2A"/>
    <w:rsid w:val="0046000F"/>
    <w:rsid w:val="00471BFB"/>
    <w:rsid w:val="00475349"/>
    <w:rsid w:val="00476A01"/>
    <w:rsid w:val="004820A7"/>
    <w:rsid w:val="00485035"/>
    <w:rsid w:val="004855F0"/>
    <w:rsid w:val="00485726"/>
    <w:rsid w:val="00492AB3"/>
    <w:rsid w:val="00493BBE"/>
    <w:rsid w:val="004A05F8"/>
    <w:rsid w:val="004C50CE"/>
    <w:rsid w:val="004D11C4"/>
    <w:rsid w:val="004D2CFE"/>
    <w:rsid w:val="004E0499"/>
    <w:rsid w:val="004E56EB"/>
    <w:rsid w:val="00502D35"/>
    <w:rsid w:val="005035FC"/>
    <w:rsid w:val="00503D64"/>
    <w:rsid w:val="005055C6"/>
    <w:rsid w:val="00505F5F"/>
    <w:rsid w:val="00511A10"/>
    <w:rsid w:val="00512400"/>
    <w:rsid w:val="00514B0B"/>
    <w:rsid w:val="00524E4B"/>
    <w:rsid w:val="005263B7"/>
    <w:rsid w:val="00532E01"/>
    <w:rsid w:val="00536909"/>
    <w:rsid w:val="00537507"/>
    <w:rsid w:val="0054542F"/>
    <w:rsid w:val="00547C44"/>
    <w:rsid w:val="005502F7"/>
    <w:rsid w:val="00552D3A"/>
    <w:rsid w:val="0055363A"/>
    <w:rsid w:val="005536A7"/>
    <w:rsid w:val="005536C4"/>
    <w:rsid w:val="0055420E"/>
    <w:rsid w:val="005575F7"/>
    <w:rsid w:val="00565999"/>
    <w:rsid w:val="00566765"/>
    <w:rsid w:val="00575C87"/>
    <w:rsid w:val="00586937"/>
    <w:rsid w:val="00591E55"/>
    <w:rsid w:val="005A1236"/>
    <w:rsid w:val="005A3D95"/>
    <w:rsid w:val="005C3098"/>
    <w:rsid w:val="005C3D1C"/>
    <w:rsid w:val="005C5A55"/>
    <w:rsid w:val="005C63B7"/>
    <w:rsid w:val="005C7199"/>
    <w:rsid w:val="005D07BA"/>
    <w:rsid w:val="005D1207"/>
    <w:rsid w:val="005E43F5"/>
    <w:rsid w:val="005E4E98"/>
    <w:rsid w:val="005E6B1B"/>
    <w:rsid w:val="005F065B"/>
    <w:rsid w:val="005F5D1E"/>
    <w:rsid w:val="005F7EFA"/>
    <w:rsid w:val="00600D04"/>
    <w:rsid w:val="006041AE"/>
    <w:rsid w:val="006067B2"/>
    <w:rsid w:val="006262A3"/>
    <w:rsid w:val="00641E81"/>
    <w:rsid w:val="00643632"/>
    <w:rsid w:val="00644142"/>
    <w:rsid w:val="00656DA9"/>
    <w:rsid w:val="006579AA"/>
    <w:rsid w:val="00657F1E"/>
    <w:rsid w:val="006608B0"/>
    <w:rsid w:val="00673914"/>
    <w:rsid w:val="00677E64"/>
    <w:rsid w:val="00682F2A"/>
    <w:rsid w:val="006969AD"/>
    <w:rsid w:val="00697A42"/>
    <w:rsid w:val="006B107F"/>
    <w:rsid w:val="006C186C"/>
    <w:rsid w:val="006C342E"/>
    <w:rsid w:val="006C57E1"/>
    <w:rsid w:val="006C5FA9"/>
    <w:rsid w:val="006D5076"/>
    <w:rsid w:val="006D6673"/>
    <w:rsid w:val="006D7EE0"/>
    <w:rsid w:val="006E5966"/>
    <w:rsid w:val="006F7D2D"/>
    <w:rsid w:val="00702DCA"/>
    <w:rsid w:val="00704F43"/>
    <w:rsid w:val="00712214"/>
    <w:rsid w:val="00726081"/>
    <w:rsid w:val="007323CF"/>
    <w:rsid w:val="00736156"/>
    <w:rsid w:val="00740A56"/>
    <w:rsid w:val="00740CE8"/>
    <w:rsid w:val="00752B52"/>
    <w:rsid w:val="00756E05"/>
    <w:rsid w:val="00760F3F"/>
    <w:rsid w:val="0076509B"/>
    <w:rsid w:val="00795176"/>
    <w:rsid w:val="00795D0C"/>
    <w:rsid w:val="007A4ED2"/>
    <w:rsid w:val="007A5A51"/>
    <w:rsid w:val="007A6E13"/>
    <w:rsid w:val="007B054D"/>
    <w:rsid w:val="007B09A6"/>
    <w:rsid w:val="007B3625"/>
    <w:rsid w:val="007B7BF1"/>
    <w:rsid w:val="007D29D6"/>
    <w:rsid w:val="007D5BE8"/>
    <w:rsid w:val="007E55F6"/>
    <w:rsid w:val="007E590E"/>
    <w:rsid w:val="007E7513"/>
    <w:rsid w:val="007E775C"/>
    <w:rsid w:val="007F0DD0"/>
    <w:rsid w:val="007F360C"/>
    <w:rsid w:val="00816BDD"/>
    <w:rsid w:val="00821983"/>
    <w:rsid w:val="00824C07"/>
    <w:rsid w:val="00833B6D"/>
    <w:rsid w:val="0083435D"/>
    <w:rsid w:val="00841593"/>
    <w:rsid w:val="008431F3"/>
    <w:rsid w:val="008465C7"/>
    <w:rsid w:val="00854502"/>
    <w:rsid w:val="00854CB0"/>
    <w:rsid w:val="008570C4"/>
    <w:rsid w:val="0086134B"/>
    <w:rsid w:val="0086286E"/>
    <w:rsid w:val="00865CE3"/>
    <w:rsid w:val="00872641"/>
    <w:rsid w:val="00876C9A"/>
    <w:rsid w:val="0087786E"/>
    <w:rsid w:val="00885D15"/>
    <w:rsid w:val="00887B0E"/>
    <w:rsid w:val="008908EA"/>
    <w:rsid w:val="00893A33"/>
    <w:rsid w:val="008B3D75"/>
    <w:rsid w:val="008C1B38"/>
    <w:rsid w:val="008C33CF"/>
    <w:rsid w:val="008D13F4"/>
    <w:rsid w:val="008D787A"/>
    <w:rsid w:val="008E302A"/>
    <w:rsid w:val="008E409D"/>
    <w:rsid w:val="008E6DA4"/>
    <w:rsid w:val="008E78AC"/>
    <w:rsid w:val="008F2E38"/>
    <w:rsid w:val="0090084D"/>
    <w:rsid w:val="00901208"/>
    <w:rsid w:val="00910328"/>
    <w:rsid w:val="009113FF"/>
    <w:rsid w:val="00926D4A"/>
    <w:rsid w:val="00935E79"/>
    <w:rsid w:val="0094379D"/>
    <w:rsid w:val="0094499B"/>
    <w:rsid w:val="00950568"/>
    <w:rsid w:val="009550DB"/>
    <w:rsid w:val="009572DA"/>
    <w:rsid w:val="00964607"/>
    <w:rsid w:val="00972136"/>
    <w:rsid w:val="009804F0"/>
    <w:rsid w:val="0098570C"/>
    <w:rsid w:val="00996757"/>
    <w:rsid w:val="00997993"/>
    <w:rsid w:val="009A00E5"/>
    <w:rsid w:val="009A220C"/>
    <w:rsid w:val="009A7A92"/>
    <w:rsid w:val="009B0E96"/>
    <w:rsid w:val="009D04B0"/>
    <w:rsid w:val="009D336F"/>
    <w:rsid w:val="009E20B9"/>
    <w:rsid w:val="009E2A7A"/>
    <w:rsid w:val="009E4E6C"/>
    <w:rsid w:val="009E5974"/>
    <w:rsid w:val="009E6B5C"/>
    <w:rsid w:val="009F04E0"/>
    <w:rsid w:val="009F09DC"/>
    <w:rsid w:val="00A02EDC"/>
    <w:rsid w:val="00A20551"/>
    <w:rsid w:val="00A22789"/>
    <w:rsid w:val="00A27BA2"/>
    <w:rsid w:val="00A4342B"/>
    <w:rsid w:val="00A520C8"/>
    <w:rsid w:val="00A57D2D"/>
    <w:rsid w:val="00A753D6"/>
    <w:rsid w:val="00A75584"/>
    <w:rsid w:val="00A83FDD"/>
    <w:rsid w:val="00A8747C"/>
    <w:rsid w:val="00AB1ED4"/>
    <w:rsid w:val="00AB237E"/>
    <w:rsid w:val="00AB281D"/>
    <w:rsid w:val="00AB29A2"/>
    <w:rsid w:val="00AB67FC"/>
    <w:rsid w:val="00AC5041"/>
    <w:rsid w:val="00AD2568"/>
    <w:rsid w:val="00AD3F96"/>
    <w:rsid w:val="00AD76CE"/>
    <w:rsid w:val="00AE0CB7"/>
    <w:rsid w:val="00AE2FEC"/>
    <w:rsid w:val="00AF16DA"/>
    <w:rsid w:val="00AF5F1F"/>
    <w:rsid w:val="00AF612D"/>
    <w:rsid w:val="00B01642"/>
    <w:rsid w:val="00B10C19"/>
    <w:rsid w:val="00B10C68"/>
    <w:rsid w:val="00B13CED"/>
    <w:rsid w:val="00B21626"/>
    <w:rsid w:val="00B21FC1"/>
    <w:rsid w:val="00B24B5F"/>
    <w:rsid w:val="00B313C1"/>
    <w:rsid w:val="00B34DC7"/>
    <w:rsid w:val="00B3747E"/>
    <w:rsid w:val="00B41F09"/>
    <w:rsid w:val="00B43441"/>
    <w:rsid w:val="00B47D27"/>
    <w:rsid w:val="00B51CBD"/>
    <w:rsid w:val="00B51DD6"/>
    <w:rsid w:val="00B5593D"/>
    <w:rsid w:val="00B636CD"/>
    <w:rsid w:val="00B65EFE"/>
    <w:rsid w:val="00B66842"/>
    <w:rsid w:val="00B673A4"/>
    <w:rsid w:val="00B763BD"/>
    <w:rsid w:val="00B80DD2"/>
    <w:rsid w:val="00B86D07"/>
    <w:rsid w:val="00B8763B"/>
    <w:rsid w:val="00B91268"/>
    <w:rsid w:val="00B96537"/>
    <w:rsid w:val="00B96E26"/>
    <w:rsid w:val="00BA6504"/>
    <w:rsid w:val="00BB16BA"/>
    <w:rsid w:val="00BB2ACD"/>
    <w:rsid w:val="00BB3823"/>
    <w:rsid w:val="00BB60C5"/>
    <w:rsid w:val="00BC59E3"/>
    <w:rsid w:val="00BD0542"/>
    <w:rsid w:val="00BD0D2F"/>
    <w:rsid w:val="00BF244C"/>
    <w:rsid w:val="00BF4433"/>
    <w:rsid w:val="00C053BD"/>
    <w:rsid w:val="00C10A24"/>
    <w:rsid w:val="00C1160B"/>
    <w:rsid w:val="00C16B57"/>
    <w:rsid w:val="00C17B44"/>
    <w:rsid w:val="00C2011D"/>
    <w:rsid w:val="00C21DF0"/>
    <w:rsid w:val="00C24004"/>
    <w:rsid w:val="00C27DB6"/>
    <w:rsid w:val="00C33873"/>
    <w:rsid w:val="00C35F97"/>
    <w:rsid w:val="00C40B50"/>
    <w:rsid w:val="00C4256D"/>
    <w:rsid w:val="00C468D9"/>
    <w:rsid w:val="00C53F30"/>
    <w:rsid w:val="00C62404"/>
    <w:rsid w:val="00C63C17"/>
    <w:rsid w:val="00C65709"/>
    <w:rsid w:val="00C65FA7"/>
    <w:rsid w:val="00C728C5"/>
    <w:rsid w:val="00C82013"/>
    <w:rsid w:val="00C86C89"/>
    <w:rsid w:val="00C97E55"/>
    <w:rsid w:val="00CA7957"/>
    <w:rsid w:val="00CB25FF"/>
    <w:rsid w:val="00CC4EA8"/>
    <w:rsid w:val="00CC7C14"/>
    <w:rsid w:val="00CC7D5D"/>
    <w:rsid w:val="00CD31D3"/>
    <w:rsid w:val="00CD6D70"/>
    <w:rsid w:val="00CE4BA6"/>
    <w:rsid w:val="00CE5C27"/>
    <w:rsid w:val="00CE6AD0"/>
    <w:rsid w:val="00D000FB"/>
    <w:rsid w:val="00D1359C"/>
    <w:rsid w:val="00D2023E"/>
    <w:rsid w:val="00D24477"/>
    <w:rsid w:val="00D26E37"/>
    <w:rsid w:val="00D31601"/>
    <w:rsid w:val="00D32A9A"/>
    <w:rsid w:val="00D34321"/>
    <w:rsid w:val="00D40DF1"/>
    <w:rsid w:val="00D44070"/>
    <w:rsid w:val="00D44EAE"/>
    <w:rsid w:val="00D6093F"/>
    <w:rsid w:val="00D621E8"/>
    <w:rsid w:val="00D6248D"/>
    <w:rsid w:val="00D66B61"/>
    <w:rsid w:val="00D71E10"/>
    <w:rsid w:val="00D77BA1"/>
    <w:rsid w:val="00D83932"/>
    <w:rsid w:val="00D85037"/>
    <w:rsid w:val="00D94FCC"/>
    <w:rsid w:val="00D95061"/>
    <w:rsid w:val="00D9694B"/>
    <w:rsid w:val="00DA0BFA"/>
    <w:rsid w:val="00DC27C2"/>
    <w:rsid w:val="00DD3EBE"/>
    <w:rsid w:val="00DD4ABF"/>
    <w:rsid w:val="00DD6E5F"/>
    <w:rsid w:val="00DD7035"/>
    <w:rsid w:val="00DE0799"/>
    <w:rsid w:val="00DE0846"/>
    <w:rsid w:val="00DE6D1C"/>
    <w:rsid w:val="00DE767F"/>
    <w:rsid w:val="00DE7B82"/>
    <w:rsid w:val="00DF11E5"/>
    <w:rsid w:val="00DF6FCE"/>
    <w:rsid w:val="00E04BD0"/>
    <w:rsid w:val="00E10699"/>
    <w:rsid w:val="00E11198"/>
    <w:rsid w:val="00E11817"/>
    <w:rsid w:val="00E15051"/>
    <w:rsid w:val="00E22D5A"/>
    <w:rsid w:val="00E23B2A"/>
    <w:rsid w:val="00E4016F"/>
    <w:rsid w:val="00E50128"/>
    <w:rsid w:val="00E6173B"/>
    <w:rsid w:val="00E65341"/>
    <w:rsid w:val="00E7213B"/>
    <w:rsid w:val="00E72978"/>
    <w:rsid w:val="00E734F3"/>
    <w:rsid w:val="00E7508E"/>
    <w:rsid w:val="00E765ED"/>
    <w:rsid w:val="00E81416"/>
    <w:rsid w:val="00E83B8B"/>
    <w:rsid w:val="00E920E2"/>
    <w:rsid w:val="00E953E8"/>
    <w:rsid w:val="00EA0055"/>
    <w:rsid w:val="00EA5C49"/>
    <w:rsid w:val="00EC4A45"/>
    <w:rsid w:val="00EC6118"/>
    <w:rsid w:val="00ED6EF2"/>
    <w:rsid w:val="00EE5402"/>
    <w:rsid w:val="00EE786A"/>
    <w:rsid w:val="00EF261A"/>
    <w:rsid w:val="00EF31CF"/>
    <w:rsid w:val="00EF6891"/>
    <w:rsid w:val="00EF7D8F"/>
    <w:rsid w:val="00EF7F65"/>
    <w:rsid w:val="00F02376"/>
    <w:rsid w:val="00F07C36"/>
    <w:rsid w:val="00F1337F"/>
    <w:rsid w:val="00F147B9"/>
    <w:rsid w:val="00F21652"/>
    <w:rsid w:val="00F235BD"/>
    <w:rsid w:val="00F26EFF"/>
    <w:rsid w:val="00F32473"/>
    <w:rsid w:val="00F356BD"/>
    <w:rsid w:val="00F44997"/>
    <w:rsid w:val="00F45973"/>
    <w:rsid w:val="00F63F97"/>
    <w:rsid w:val="00F64E29"/>
    <w:rsid w:val="00F657AE"/>
    <w:rsid w:val="00F65DF1"/>
    <w:rsid w:val="00F751B5"/>
    <w:rsid w:val="00F76C03"/>
    <w:rsid w:val="00F77068"/>
    <w:rsid w:val="00F978C1"/>
    <w:rsid w:val="00FB255A"/>
    <w:rsid w:val="00FB64BA"/>
    <w:rsid w:val="00FC0932"/>
    <w:rsid w:val="00FD384D"/>
    <w:rsid w:val="00FD5283"/>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3E34B9"/>
  <w15:chartTrackingRefBased/>
  <w15:docId w15:val="{9E2F47F5-EE55-48E2-8BD6-D37F76761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Garamond" w:hAnsi="Garamond"/>
      <w:b/>
      <w:bCs/>
      <w:lang w:val="en-US"/>
    </w:rPr>
  </w:style>
  <w:style w:type="paragraph" w:styleId="BalloonText">
    <w:name w:val="Balloon Text"/>
    <w:basedOn w:val="Normal"/>
    <w:semiHidden/>
    <w:rPr>
      <w:rFonts w:ascii="Tahoma" w:hAnsi="Tahoma" w:cs="Wingdings 2"/>
      <w:sz w:val="16"/>
      <w:szCs w:val="16"/>
    </w:rPr>
  </w:style>
  <w:style w:type="character" w:styleId="Hyperlink">
    <w:name w:val="Hyperlink"/>
    <w:rPr>
      <w:color w:val="0000FF"/>
      <w:u w:val="single"/>
    </w:rPr>
  </w:style>
  <w:style w:type="character" w:customStyle="1" w:styleId="mberger">
    <w:name w:val="m. berger"/>
    <w:semiHidden/>
    <w:rPr>
      <w:rFonts w:ascii="Bookman Old Style" w:hAnsi="Bookman Old Style"/>
      <w:b w:val="0"/>
      <w:bCs w:val="0"/>
      <w:i w:val="0"/>
      <w:iCs w:val="0"/>
      <w:strike w:val="0"/>
      <w:color w:val="800000"/>
      <w:sz w:val="20"/>
      <w:szCs w:val="20"/>
      <w:u w:val="none"/>
    </w:rPr>
  </w:style>
  <w:style w:type="paragraph" w:styleId="NormalWeb">
    <w:name w:val="Normal (Web)"/>
    <w:basedOn w:val="Normal"/>
    <w:pPr>
      <w:spacing w:before="100" w:beforeAutospacing="1" w:after="100" w:afterAutospacing="1"/>
    </w:pPr>
    <w:rPr>
      <w:lang w:val="en-US"/>
    </w:rPr>
  </w:style>
  <w:style w:type="character" w:customStyle="1" w:styleId="inlognaam">
    <w:name w:val="inlognaam"/>
    <w:semiHidden/>
    <w:rPr>
      <w:rFonts w:ascii="Arial" w:hAnsi="Arial" w:cs="Arial"/>
      <w:color w:val="auto"/>
      <w:sz w:val="20"/>
      <w:szCs w:val="20"/>
    </w:rPr>
  </w:style>
  <w:style w:type="character" w:styleId="PageNumber">
    <w:name w:val="page number"/>
    <w:basedOn w:val="DefaultParagraphFont"/>
  </w:style>
  <w:style w:type="paragraph" w:styleId="BodyText2">
    <w:name w:val="Body Text 2"/>
    <w:basedOn w:val="Normal"/>
    <w:rPr>
      <w:rFonts w:ascii="Arial" w:hAnsi="Arial" w:cs="Arial"/>
      <w:sz w:val="20"/>
      <w:szCs w:val="20"/>
    </w:rPr>
  </w:style>
  <w:style w:type="character" w:styleId="CommentReference">
    <w:name w:val="annotation reference"/>
    <w:semiHidden/>
    <w:rsid w:val="00656DA9"/>
    <w:rPr>
      <w:sz w:val="16"/>
      <w:szCs w:val="16"/>
    </w:rPr>
  </w:style>
  <w:style w:type="paragraph" w:styleId="CommentText">
    <w:name w:val="annotation text"/>
    <w:basedOn w:val="Normal"/>
    <w:link w:val="CommentTextChar"/>
    <w:semiHidden/>
    <w:rsid w:val="00656DA9"/>
    <w:rPr>
      <w:sz w:val="20"/>
      <w:szCs w:val="20"/>
    </w:rPr>
  </w:style>
  <w:style w:type="paragraph" w:styleId="CommentSubject">
    <w:name w:val="annotation subject"/>
    <w:basedOn w:val="CommentText"/>
    <w:next w:val="CommentText"/>
    <w:semiHidden/>
    <w:rsid w:val="00656DA9"/>
    <w:rPr>
      <w:b/>
      <w:bCs/>
    </w:rPr>
  </w:style>
  <w:style w:type="character" w:customStyle="1" w:styleId="HeaderChar">
    <w:name w:val="Header Char"/>
    <w:link w:val="Header"/>
    <w:rsid w:val="004A05F8"/>
    <w:rPr>
      <w:sz w:val="24"/>
      <w:szCs w:val="24"/>
      <w:lang w:val="en-GB"/>
    </w:rPr>
  </w:style>
  <w:style w:type="character" w:customStyle="1" w:styleId="CommentTextChar">
    <w:name w:val="Comment Text Char"/>
    <w:link w:val="CommentText"/>
    <w:semiHidden/>
    <w:rsid w:val="004A05F8"/>
    <w:rPr>
      <w:lang w:val="en-GB"/>
    </w:rPr>
  </w:style>
  <w:style w:type="paragraph" w:styleId="FootnoteText">
    <w:name w:val="footnote text"/>
    <w:basedOn w:val="Normal"/>
    <w:link w:val="FootnoteTextChar"/>
    <w:rsid w:val="008F2E38"/>
    <w:rPr>
      <w:sz w:val="20"/>
      <w:szCs w:val="20"/>
    </w:rPr>
  </w:style>
  <w:style w:type="character" w:customStyle="1" w:styleId="FootnoteTextChar">
    <w:name w:val="Footnote Text Char"/>
    <w:basedOn w:val="DefaultParagraphFont"/>
    <w:link w:val="FootnoteText"/>
    <w:rsid w:val="008F2E38"/>
    <w:rPr>
      <w:lang w:val="en-GB" w:eastAsia="en-US"/>
    </w:rPr>
  </w:style>
  <w:style w:type="character" w:styleId="FootnoteReference">
    <w:name w:val="footnote reference"/>
    <w:basedOn w:val="DefaultParagraphFont"/>
    <w:rsid w:val="008F2E38"/>
    <w:rPr>
      <w:vertAlign w:val="superscript"/>
    </w:rPr>
  </w:style>
  <w:style w:type="paragraph" w:styleId="ListParagraph">
    <w:name w:val="List Paragraph"/>
    <w:basedOn w:val="Normal"/>
    <w:uiPriority w:val="34"/>
    <w:qFormat/>
    <w:rsid w:val="00926D4A"/>
    <w:pPr>
      <w:ind w:left="720"/>
      <w:contextualSpacing/>
    </w:pPr>
  </w:style>
  <w:style w:type="character" w:styleId="UnresolvedMention">
    <w:name w:val="Unresolved Mention"/>
    <w:basedOn w:val="DefaultParagraphFont"/>
    <w:uiPriority w:val="99"/>
    <w:semiHidden/>
    <w:unhideWhenUsed/>
    <w:rsid w:val="00AD3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trumpwhitehouse.archives.gov/wp-content/uploads/2017/12/NSS-Final-12-18-2017-0905.pdf" TargetMode="External"/><Relationship Id="rId2" Type="http://schemas.openxmlformats.org/officeDocument/2006/relationships/hyperlink" Target="https://doi.org/10.1017/S1479244321000214" TargetMode="External"/><Relationship Id="rId1" Type="http://schemas.openxmlformats.org/officeDocument/2006/relationships/hyperlink" Target="http://credo.library.umass.edu/view/full/mums312-b209-i028" TargetMode="External"/><Relationship Id="rId4" Type="http://schemas.openxmlformats.org/officeDocument/2006/relationships/hyperlink" Target="https://www.whitehouse.gov/briefing-room/statements-releases/2021/03/12/quad-leaders-joint-statement-the-spirit-of-the-qu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ADDBD-EBF0-43BB-80A4-FC1127AC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11044</TotalTime>
  <Pages>9</Pages>
  <Words>3073</Words>
  <Characters>17519</Characters>
  <Application>Microsoft Office Word</Application>
  <DocSecurity>0</DocSecurity>
  <Lines>145</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PROPOSAL REVIEW FORM IMISCOE EDITORIAL COMMITTEE</vt:lpstr>
      <vt:lpstr>PROPOSAL REVIEW FORM IMISCOE EDITORIAL COMMITTEE</vt:lpstr>
    </vt:vector>
  </TitlesOfParts>
  <Company>Universiteit van Amsterdam</Company>
  <LinksUpToDate>false</LinksUpToDate>
  <CharactersWithSpaces>20551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REVIEW FORM IMISCOE EDITORIAL COMMITTEE</dc:title>
  <dc:subject/>
  <dc:creator>Medewerker FMG</dc:creator>
  <cp:keywords/>
  <cp:lastModifiedBy>Reeves, Mark</cp:lastModifiedBy>
  <cp:revision>321</cp:revision>
  <cp:lastPrinted>2012-03-22T14:11:00Z</cp:lastPrinted>
  <dcterms:created xsi:type="dcterms:W3CDTF">2022-03-24T22:48:00Z</dcterms:created>
  <dcterms:modified xsi:type="dcterms:W3CDTF">2022-06-16T03:24:00Z</dcterms:modified>
</cp:coreProperties>
</file>