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DC4" w:rsidRDefault="00CF5DC4" w:rsidP="00CF5DC4">
      <w:pPr>
        <w:pStyle w:val="BodyText"/>
        <w:jc w:val="center"/>
        <w:rPr>
          <w:b/>
          <w:bCs/>
        </w:rPr>
      </w:pPr>
    </w:p>
    <w:p w:rsidR="00CF5DC4" w:rsidRDefault="00CF5DC4" w:rsidP="00CF5DC4">
      <w:pPr>
        <w:pStyle w:val="BodyText"/>
        <w:jc w:val="center"/>
        <w:rPr>
          <w:rFonts w:ascii="Garamond" w:hAnsi="Garamond"/>
          <w:b/>
          <w:bCs/>
        </w:rPr>
      </w:pPr>
    </w:p>
    <w:p w:rsidR="00CF5DC4" w:rsidRDefault="00CF5DC4" w:rsidP="00CF5DC4">
      <w:pPr>
        <w:pStyle w:val="BodyText"/>
        <w:jc w:val="center"/>
        <w:rPr>
          <w:rFonts w:ascii="Garamond" w:hAnsi="Garamond"/>
          <w:b/>
          <w:bCs/>
        </w:rPr>
      </w:pPr>
    </w:p>
    <w:p w:rsidR="00CA2EB1" w:rsidRDefault="00CA2EB1" w:rsidP="00CA2EB1">
      <w:pPr>
        <w:pStyle w:val="PlainText"/>
      </w:pPr>
    </w:p>
    <w:p w:rsidR="00CA2EB1" w:rsidRDefault="00CA2EB1" w:rsidP="00CA2EB1">
      <w:pPr>
        <w:pStyle w:val="PlainText"/>
      </w:pPr>
    </w:p>
    <w:p w:rsidR="00CA2EB1" w:rsidRDefault="00CA2EB1" w:rsidP="00CA2EB1">
      <w:pPr>
        <w:pStyle w:val="PlainText"/>
      </w:pPr>
    </w:p>
    <w:p w:rsidR="00CA2EB1" w:rsidRPr="007D126B" w:rsidRDefault="00CA2EB1" w:rsidP="00CA2EB1">
      <w:pPr>
        <w:pStyle w:val="PlainText"/>
        <w:jc w:val="center"/>
        <w:rPr>
          <w:rFonts w:ascii="Garamond" w:hAnsi="Garamond"/>
          <w:b/>
          <w:sz w:val="48"/>
          <w:szCs w:val="48"/>
        </w:rPr>
      </w:pPr>
      <w:r w:rsidRPr="007D126B">
        <w:rPr>
          <w:rFonts w:ascii="Garamond" w:hAnsi="Garamond"/>
          <w:b/>
          <w:sz w:val="48"/>
          <w:szCs w:val="48"/>
        </w:rPr>
        <w:t>BRAND COMMITMENT</w:t>
      </w:r>
    </w:p>
    <w:p w:rsidR="0091530D" w:rsidRDefault="0091530D" w:rsidP="00CA2EB1">
      <w:pPr>
        <w:pStyle w:val="PlainText"/>
        <w:jc w:val="center"/>
        <w:rPr>
          <w:rFonts w:ascii="Garamond" w:hAnsi="Garamond"/>
          <w:b/>
          <w:sz w:val="48"/>
          <w:szCs w:val="48"/>
          <w:lang w:val="en-US"/>
        </w:rPr>
      </w:pPr>
      <w:r>
        <w:rPr>
          <w:rFonts w:ascii="Garamond" w:hAnsi="Garamond"/>
          <w:b/>
          <w:sz w:val="48"/>
          <w:szCs w:val="48"/>
          <w:lang w:val="en-US"/>
        </w:rPr>
        <w:t>IN A CONSUMER BANK</w:t>
      </w:r>
      <w:r w:rsidR="00CA2EB1" w:rsidRPr="007D126B">
        <w:rPr>
          <w:rFonts w:ascii="Garamond" w:hAnsi="Garamond"/>
          <w:b/>
          <w:sz w:val="48"/>
          <w:szCs w:val="48"/>
          <w:lang w:val="en-US"/>
        </w:rPr>
        <w:t xml:space="preserve"> </w:t>
      </w:r>
    </w:p>
    <w:p w:rsidR="00CA2EB1" w:rsidRPr="007D126B" w:rsidRDefault="00CA2EB1" w:rsidP="00CA2EB1">
      <w:pPr>
        <w:pStyle w:val="PlainText"/>
        <w:jc w:val="center"/>
        <w:rPr>
          <w:rFonts w:ascii="Garamond" w:hAnsi="Garamond"/>
          <w:b/>
          <w:sz w:val="48"/>
          <w:szCs w:val="48"/>
        </w:rPr>
      </w:pPr>
      <w:r w:rsidRPr="007D126B">
        <w:rPr>
          <w:rFonts w:ascii="Garamond" w:hAnsi="Garamond"/>
          <w:b/>
          <w:sz w:val="48"/>
          <w:szCs w:val="48"/>
          <w:lang w:val="en-US"/>
        </w:rPr>
        <w:t>SERVICES CONTEXT</w:t>
      </w:r>
      <w:r>
        <w:rPr>
          <w:rFonts w:ascii="Garamond" w:hAnsi="Garamond"/>
          <w:b/>
          <w:sz w:val="48"/>
          <w:szCs w:val="48"/>
          <w:lang w:val="en-US"/>
        </w:rPr>
        <w:t xml:space="preserve"> – </w:t>
      </w:r>
      <w:r w:rsidRPr="007D126B">
        <w:rPr>
          <w:rFonts w:ascii="Garamond" w:hAnsi="Garamond"/>
          <w:b/>
          <w:sz w:val="48"/>
          <w:szCs w:val="48"/>
        </w:rPr>
        <w:t>AN EXPLORATORY STUDY</w:t>
      </w:r>
    </w:p>
    <w:p w:rsidR="00CA2EB1" w:rsidRDefault="00DE0F70" w:rsidP="00CA2EB1">
      <w:pPr>
        <w:pStyle w:val="PlainText"/>
        <w:jc w:val="center"/>
        <w:rPr>
          <w:rFonts w:ascii="Garamond" w:hAnsi="Garamond"/>
          <w:b/>
          <w:sz w:val="48"/>
          <w:szCs w:val="48"/>
        </w:rPr>
      </w:pPr>
      <w:r>
        <w:rPr>
          <w:rFonts w:ascii="Garamond" w:hAnsi="Garamond"/>
          <w:b/>
          <w:sz w:val="48"/>
          <w:szCs w:val="48"/>
        </w:rPr>
        <w:t>Addendum</w:t>
      </w:r>
    </w:p>
    <w:p w:rsidR="0071390C" w:rsidRDefault="0071390C" w:rsidP="00CA2EB1">
      <w:pPr>
        <w:pStyle w:val="PlainText"/>
        <w:jc w:val="center"/>
        <w:rPr>
          <w:rFonts w:ascii="Garamond" w:hAnsi="Garamond"/>
          <w:b/>
          <w:sz w:val="48"/>
          <w:szCs w:val="48"/>
        </w:rPr>
      </w:pPr>
    </w:p>
    <w:p w:rsidR="00CA2EB1" w:rsidRDefault="00CA2EB1" w:rsidP="00CA2EB1">
      <w:pPr>
        <w:pStyle w:val="PlainText"/>
        <w:jc w:val="center"/>
        <w:rPr>
          <w:rFonts w:ascii="Garamond" w:hAnsi="Garamond"/>
          <w:b/>
          <w:sz w:val="48"/>
          <w:szCs w:val="48"/>
        </w:rPr>
      </w:pPr>
    </w:p>
    <w:p w:rsidR="00CA2EB1" w:rsidRDefault="00CA2EB1" w:rsidP="00CA2EB1">
      <w:pPr>
        <w:pStyle w:val="PlainText"/>
        <w:jc w:val="center"/>
        <w:rPr>
          <w:rFonts w:ascii="Garamond" w:hAnsi="Garamond"/>
          <w:b/>
          <w:sz w:val="48"/>
          <w:szCs w:val="48"/>
        </w:rPr>
      </w:pPr>
      <w:r w:rsidRPr="002D0759">
        <w:rPr>
          <w:rFonts w:ascii="Garamond" w:hAnsi="Garamond"/>
          <w:b/>
          <w:sz w:val="48"/>
          <w:szCs w:val="48"/>
        </w:rPr>
        <w:t>F</w:t>
      </w:r>
      <w:r>
        <w:rPr>
          <w:rFonts w:ascii="Garamond" w:hAnsi="Garamond"/>
          <w:b/>
          <w:sz w:val="48"/>
          <w:szCs w:val="48"/>
        </w:rPr>
        <w:t>.</w:t>
      </w:r>
      <w:r w:rsidRPr="002D0759">
        <w:rPr>
          <w:rFonts w:ascii="Garamond" w:hAnsi="Garamond"/>
          <w:b/>
          <w:sz w:val="48"/>
          <w:szCs w:val="48"/>
        </w:rPr>
        <w:t>H</w:t>
      </w:r>
      <w:r>
        <w:rPr>
          <w:rFonts w:ascii="Garamond" w:hAnsi="Garamond"/>
          <w:b/>
          <w:sz w:val="48"/>
          <w:szCs w:val="48"/>
        </w:rPr>
        <w:t>.</w:t>
      </w:r>
      <w:r w:rsidRPr="002D0759">
        <w:rPr>
          <w:rFonts w:ascii="Garamond" w:hAnsi="Garamond"/>
          <w:b/>
          <w:sz w:val="48"/>
          <w:szCs w:val="48"/>
        </w:rPr>
        <w:t xml:space="preserve"> DEBLING</w:t>
      </w:r>
    </w:p>
    <w:p w:rsidR="00CA2EB1" w:rsidRDefault="00CA2EB1" w:rsidP="00CA2EB1">
      <w:pPr>
        <w:pStyle w:val="PlainText"/>
        <w:jc w:val="center"/>
        <w:rPr>
          <w:rFonts w:ascii="Garamond" w:hAnsi="Garamond"/>
          <w:b/>
          <w:sz w:val="48"/>
          <w:szCs w:val="48"/>
        </w:rPr>
      </w:pPr>
    </w:p>
    <w:p w:rsidR="00CA2EB1" w:rsidRPr="002D0759" w:rsidRDefault="00CA2EB1" w:rsidP="00CA2EB1">
      <w:pPr>
        <w:pStyle w:val="PlainText"/>
        <w:jc w:val="center"/>
        <w:rPr>
          <w:rFonts w:ascii="Garamond" w:hAnsi="Garamond"/>
          <w:b/>
          <w:sz w:val="48"/>
          <w:szCs w:val="48"/>
        </w:rPr>
      </w:pPr>
      <w:r>
        <w:rPr>
          <w:rFonts w:ascii="Garamond" w:hAnsi="Garamond"/>
          <w:b/>
          <w:sz w:val="48"/>
          <w:szCs w:val="48"/>
        </w:rPr>
        <w:t>PhD</w:t>
      </w:r>
    </w:p>
    <w:p w:rsidR="00CA2EB1" w:rsidRDefault="00CA2EB1" w:rsidP="00CA2EB1">
      <w:pPr>
        <w:pStyle w:val="PlainText"/>
        <w:jc w:val="center"/>
        <w:rPr>
          <w:rFonts w:ascii="Garamond" w:hAnsi="Garamond"/>
          <w:b/>
          <w:sz w:val="48"/>
          <w:szCs w:val="48"/>
        </w:rPr>
      </w:pPr>
    </w:p>
    <w:p w:rsidR="00CA2EB1" w:rsidRDefault="00CA2EB1" w:rsidP="00CA2EB1">
      <w:pPr>
        <w:pStyle w:val="PlainText"/>
        <w:jc w:val="center"/>
        <w:rPr>
          <w:rFonts w:ascii="Garamond" w:hAnsi="Garamond"/>
          <w:b/>
          <w:sz w:val="48"/>
          <w:szCs w:val="48"/>
        </w:rPr>
      </w:pPr>
    </w:p>
    <w:p w:rsidR="00CA2EB1" w:rsidRDefault="00CA2EB1" w:rsidP="00CA2EB1">
      <w:pPr>
        <w:pStyle w:val="PlainText"/>
        <w:jc w:val="center"/>
        <w:rPr>
          <w:rFonts w:ascii="Garamond" w:hAnsi="Garamond"/>
          <w:b/>
          <w:sz w:val="48"/>
          <w:szCs w:val="48"/>
        </w:rPr>
      </w:pPr>
    </w:p>
    <w:p w:rsidR="00CA2EB1" w:rsidRPr="002D0759" w:rsidRDefault="00CA2EB1" w:rsidP="00CA2EB1">
      <w:pPr>
        <w:pStyle w:val="PlainText"/>
        <w:jc w:val="center"/>
        <w:rPr>
          <w:rFonts w:ascii="Garamond" w:hAnsi="Garamond"/>
          <w:b/>
          <w:sz w:val="48"/>
          <w:szCs w:val="48"/>
        </w:rPr>
      </w:pPr>
      <w:r w:rsidRPr="002D0759">
        <w:rPr>
          <w:rFonts w:ascii="Garamond" w:hAnsi="Garamond"/>
          <w:b/>
          <w:sz w:val="48"/>
          <w:szCs w:val="48"/>
        </w:rPr>
        <w:t>2006</w:t>
      </w:r>
    </w:p>
    <w:p w:rsidR="00C5051C" w:rsidRDefault="00C5051C" w:rsidP="00CF5DC4">
      <w:pPr>
        <w:pStyle w:val="BodyText"/>
        <w:jc w:val="center"/>
        <w:rPr>
          <w:rFonts w:ascii="Garamond" w:hAnsi="Garamond"/>
          <w:b/>
          <w:bCs/>
        </w:rPr>
      </w:pPr>
    </w:p>
    <w:p w:rsidR="00C5051C" w:rsidRDefault="00C5051C" w:rsidP="00CF5DC4">
      <w:pPr>
        <w:pStyle w:val="BodyText"/>
        <w:jc w:val="center"/>
        <w:rPr>
          <w:rFonts w:ascii="Garamond" w:hAnsi="Garamond"/>
          <w:b/>
          <w:bCs/>
        </w:rPr>
      </w:pPr>
    </w:p>
    <w:p w:rsidR="00C5051C" w:rsidRDefault="00C5051C" w:rsidP="00CF5DC4">
      <w:pPr>
        <w:pStyle w:val="BodyText"/>
        <w:jc w:val="center"/>
        <w:rPr>
          <w:rFonts w:ascii="Garamond" w:hAnsi="Garamond"/>
          <w:b/>
          <w:bCs/>
        </w:rPr>
      </w:pPr>
    </w:p>
    <w:p w:rsidR="00C5051C" w:rsidRDefault="00C5051C" w:rsidP="00CF5DC4">
      <w:pPr>
        <w:pStyle w:val="BodyText"/>
        <w:jc w:val="center"/>
        <w:rPr>
          <w:rFonts w:ascii="Garamond" w:hAnsi="Garamond"/>
          <w:b/>
          <w:bCs/>
        </w:rPr>
      </w:pPr>
    </w:p>
    <w:p w:rsidR="00CF5DC4" w:rsidRDefault="00CF5DC4">
      <w:pPr>
        <w:pStyle w:val="BodyText"/>
        <w:jc w:val="center"/>
        <w:rPr>
          <w:b/>
          <w:bCs/>
        </w:rPr>
        <w:sectPr w:rsidR="00CF5DC4">
          <w:footerReference w:type="even" r:id="rId7"/>
          <w:footerReference w:type="default" r:id="rId8"/>
          <w:pgSz w:w="11909" w:h="16834" w:code="9"/>
          <w:pgMar w:top="850" w:right="850" w:bottom="850" w:left="2275" w:header="720" w:footer="720" w:gutter="288"/>
          <w:pgNumType w:fmt="lowerRoman" w:start="1"/>
          <w:cols w:space="708"/>
          <w:titlePg/>
          <w:docGrid w:linePitch="360"/>
        </w:sectPr>
      </w:pPr>
    </w:p>
    <w:p w:rsidR="00DC19F1" w:rsidRDefault="00DC19F1">
      <w:pPr>
        <w:pStyle w:val="BodyText"/>
        <w:jc w:val="center"/>
        <w:rPr>
          <w:b/>
          <w:bCs/>
        </w:rPr>
      </w:pPr>
    </w:p>
    <w:p w:rsidR="00DC19F1" w:rsidRDefault="00DC19F1">
      <w:pPr>
        <w:pStyle w:val="BodyText"/>
        <w:jc w:val="center"/>
        <w:rPr>
          <w:b/>
          <w:bCs/>
        </w:rPr>
      </w:pPr>
    </w:p>
    <w:p w:rsidR="00DC19F1" w:rsidRDefault="00DC19F1">
      <w:pPr>
        <w:pStyle w:val="BodyText"/>
        <w:jc w:val="center"/>
        <w:rPr>
          <w:rFonts w:ascii="Garamond" w:hAnsi="Garamond"/>
          <w:b/>
          <w:bCs/>
        </w:rPr>
      </w:pPr>
    </w:p>
    <w:p w:rsidR="00DC19F1" w:rsidRDefault="00DC19F1">
      <w:pPr>
        <w:pStyle w:val="BodyText"/>
        <w:jc w:val="center"/>
        <w:rPr>
          <w:rFonts w:ascii="Garamond" w:hAnsi="Garamond"/>
          <w:b/>
          <w:bCs/>
        </w:rPr>
      </w:pPr>
    </w:p>
    <w:p w:rsidR="00DC19F1" w:rsidRDefault="00DC19F1">
      <w:pPr>
        <w:pStyle w:val="BodyText"/>
        <w:jc w:val="center"/>
        <w:rPr>
          <w:rFonts w:ascii="Garamond" w:hAnsi="Garamond"/>
          <w:b/>
          <w:bCs/>
        </w:rPr>
      </w:pPr>
    </w:p>
    <w:p w:rsidR="00DC19F1" w:rsidRDefault="00DC19F1">
      <w:pPr>
        <w:pStyle w:val="BodyText"/>
        <w:jc w:val="center"/>
        <w:rPr>
          <w:rFonts w:ascii="Garamond" w:hAnsi="Garamond"/>
          <w:b/>
          <w:bCs/>
        </w:rPr>
      </w:pPr>
    </w:p>
    <w:p w:rsidR="00E707BE" w:rsidRPr="00665405" w:rsidRDefault="00E707BE" w:rsidP="00E707BE">
      <w:pPr>
        <w:pStyle w:val="PlainText"/>
        <w:jc w:val="center"/>
        <w:rPr>
          <w:rFonts w:ascii="Garamond" w:hAnsi="Garamond"/>
          <w:b/>
          <w:sz w:val="48"/>
          <w:szCs w:val="48"/>
        </w:rPr>
      </w:pPr>
      <w:r w:rsidRPr="00665405">
        <w:rPr>
          <w:rFonts w:ascii="Garamond" w:hAnsi="Garamond"/>
          <w:b/>
          <w:sz w:val="48"/>
          <w:szCs w:val="48"/>
        </w:rPr>
        <w:t>BRAND COMMITMENT</w:t>
      </w:r>
    </w:p>
    <w:p w:rsidR="0091530D" w:rsidRDefault="00E707BE" w:rsidP="00E707BE">
      <w:pPr>
        <w:pStyle w:val="PlainText"/>
        <w:jc w:val="center"/>
        <w:rPr>
          <w:rFonts w:ascii="Garamond" w:hAnsi="Garamond"/>
          <w:b/>
          <w:sz w:val="48"/>
          <w:szCs w:val="48"/>
          <w:lang w:val="en-US"/>
        </w:rPr>
      </w:pPr>
      <w:r w:rsidRPr="00665405">
        <w:rPr>
          <w:rFonts w:ascii="Garamond" w:hAnsi="Garamond"/>
          <w:b/>
          <w:sz w:val="48"/>
          <w:szCs w:val="48"/>
          <w:lang w:val="en-US"/>
        </w:rPr>
        <w:t>IN A CONSUMER BANK</w:t>
      </w:r>
    </w:p>
    <w:p w:rsidR="00E707BE" w:rsidRPr="00665405" w:rsidRDefault="00E707BE" w:rsidP="00E707BE">
      <w:pPr>
        <w:pStyle w:val="PlainText"/>
        <w:jc w:val="center"/>
        <w:rPr>
          <w:rFonts w:ascii="Garamond" w:hAnsi="Garamond"/>
          <w:b/>
          <w:sz w:val="48"/>
          <w:szCs w:val="48"/>
        </w:rPr>
      </w:pPr>
      <w:r w:rsidRPr="00665405">
        <w:rPr>
          <w:rFonts w:ascii="Garamond" w:hAnsi="Garamond"/>
          <w:b/>
          <w:sz w:val="48"/>
          <w:szCs w:val="48"/>
          <w:lang w:val="en-US"/>
        </w:rPr>
        <w:t xml:space="preserve">SERVICES CONTEXT - </w:t>
      </w:r>
      <w:r w:rsidRPr="00665405">
        <w:rPr>
          <w:rFonts w:ascii="Garamond" w:hAnsi="Garamond"/>
          <w:b/>
          <w:sz w:val="48"/>
          <w:szCs w:val="48"/>
        </w:rPr>
        <w:t>AN EXPLORATORY STUDY</w:t>
      </w:r>
    </w:p>
    <w:p w:rsidR="00E707BE" w:rsidRPr="00665405" w:rsidRDefault="00E707BE" w:rsidP="00E707BE">
      <w:pPr>
        <w:pStyle w:val="PlainText"/>
        <w:jc w:val="center"/>
        <w:rPr>
          <w:rFonts w:ascii="Garamond" w:hAnsi="Garamond"/>
          <w:b/>
          <w:sz w:val="48"/>
          <w:szCs w:val="48"/>
        </w:rPr>
      </w:pPr>
      <w:r w:rsidRPr="00665405">
        <w:rPr>
          <w:rFonts w:ascii="Garamond" w:hAnsi="Garamond"/>
          <w:b/>
          <w:sz w:val="48"/>
          <w:szCs w:val="48"/>
        </w:rPr>
        <w:t>Addendum</w:t>
      </w:r>
      <w:r w:rsidR="0071390C">
        <w:rPr>
          <w:rFonts w:ascii="Garamond" w:hAnsi="Garamond"/>
          <w:b/>
          <w:sz w:val="48"/>
          <w:szCs w:val="48"/>
        </w:rPr>
        <w:t xml:space="preserve"> </w:t>
      </w:r>
    </w:p>
    <w:p w:rsidR="00E707BE" w:rsidRPr="00665405" w:rsidRDefault="00E707BE" w:rsidP="00E707BE">
      <w:pPr>
        <w:pStyle w:val="PlainText"/>
        <w:jc w:val="center"/>
        <w:rPr>
          <w:rFonts w:ascii="Garamond" w:hAnsi="Garamond"/>
          <w:sz w:val="48"/>
          <w:szCs w:val="48"/>
        </w:rPr>
      </w:pPr>
    </w:p>
    <w:p w:rsidR="00E707BE" w:rsidRPr="00665405" w:rsidRDefault="00E707BE" w:rsidP="00E707BE">
      <w:pPr>
        <w:pStyle w:val="PlainText"/>
        <w:jc w:val="center"/>
        <w:rPr>
          <w:rFonts w:ascii="Garamond" w:hAnsi="Garamond"/>
          <w:b/>
          <w:sz w:val="48"/>
          <w:szCs w:val="48"/>
        </w:rPr>
      </w:pPr>
      <w:r w:rsidRPr="00665405">
        <w:rPr>
          <w:rFonts w:ascii="Garamond" w:hAnsi="Garamond"/>
          <w:b/>
          <w:sz w:val="48"/>
          <w:szCs w:val="48"/>
        </w:rPr>
        <w:t>FIONA HELEN DEBLING</w:t>
      </w:r>
    </w:p>
    <w:p w:rsidR="00E707BE" w:rsidRDefault="00E707BE" w:rsidP="00E707BE">
      <w:pPr>
        <w:pStyle w:val="PlainText"/>
        <w:jc w:val="center"/>
        <w:rPr>
          <w:rFonts w:ascii="Garamond" w:hAnsi="Garamond"/>
          <w:b/>
          <w:sz w:val="48"/>
          <w:szCs w:val="48"/>
        </w:rPr>
      </w:pPr>
    </w:p>
    <w:p w:rsidR="00E707BE" w:rsidRDefault="00E707BE" w:rsidP="00E707BE">
      <w:pPr>
        <w:pStyle w:val="PlainText"/>
        <w:jc w:val="center"/>
        <w:rPr>
          <w:rFonts w:ascii="Garamond" w:hAnsi="Garamond"/>
          <w:sz w:val="32"/>
          <w:szCs w:val="32"/>
        </w:rPr>
      </w:pPr>
      <w:r>
        <w:rPr>
          <w:rFonts w:ascii="Garamond" w:hAnsi="Garamond"/>
          <w:sz w:val="32"/>
          <w:szCs w:val="32"/>
        </w:rPr>
        <w:t xml:space="preserve">This Addendum is submitted in partial fulfilment of the requirements of the University of the West of England, </w:t>
      </w:r>
      <w:smartTag w:uri="urn:schemas-microsoft-com:office:smarttags" w:element="place">
        <w:smartTag w:uri="urn:schemas-microsoft-com:office:smarttags" w:element="City">
          <w:r>
            <w:rPr>
              <w:rFonts w:ascii="Garamond" w:hAnsi="Garamond"/>
              <w:sz w:val="32"/>
              <w:szCs w:val="32"/>
            </w:rPr>
            <w:t>Bristol</w:t>
          </w:r>
        </w:smartTag>
      </w:smartTag>
    </w:p>
    <w:p w:rsidR="00E707BE" w:rsidRDefault="00E707BE" w:rsidP="00E707BE">
      <w:pPr>
        <w:pStyle w:val="PlainText"/>
        <w:jc w:val="center"/>
        <w:rPr>
          <w:rFonts w:ascii="Garamond" w:hAnsi="Garamond"/>
          <w:sz w:val="32"/>
          <w:szCs w:val="32"/>
        </w:rPr>
      </w:pPr>
      <w:r>
        <w:rPr>
          <w:rFonts w:ascii="Garamond" w:hAnsi="Garamond"/>
          <w:sz w:val="32"/>
          <w:szCs w:val="32"/>
        </w:rPr>
        <w:t>for the Doctor of Philosophy</w:t>
      </w:r>
    </w:p>
    <w:p w:rsidR="00E707BE" w:rsidRDefault="00E707BE" w:rsidP="00E707BE">
      <w:pPr>
        <w:pStyle w:val="PlainText"/>
        <w:jc w:val="center"/>
        <w:rPr>
          <w:rFonts w:ascii="Garamond" w:hAnsi="Garamond"/>
          <w:sz w:val="32"/>
          <w:szCs w:val="32"/>
        </w:rPr>
      </w:pPr>
    </w:p>
    <w:p w:rsidR="00E707BE" w:rsidRDefault="00E707BE" w:rsidP="00E707BE">
      <w:pPr>
        <w:pStyle w:val="PlainText"/>
        <w:jc w:val="center"/>
        <w:rPr>
          <w:rFonts w:ascii="Garamond" w:hAnsi="Garamond"/>
          <w:sz w:val="32"/>
          <w:szCs w:val="32"/>
        </w:rPr>
      </w:pPr>
      <w:smartTag w:uri="urn:schemas-microsoft-com:office:smarttags" w:element="PlaceName">
        <w:r>
          <w:rPr>
            <w:rFonts w:ascii="Garamond" w:hAnsi="Garamond"/>
            <w:sz w:val="32"/>
            <w:szCs w:val="32"/>
          </w:rPr>
          <w:t>Bristol</w:t>
        </w:r>
      </w:smartTag>
      <w:r>
        <w:rPr>
          <w:rFonts w:ascii="Garamond" w:hAnsi="Garamond"/>
          <w:sz w:val="32"/>
          <w:szCs w:val="32"/>
        </w:rPr>
        <w:t xml:space="preserve"> </w:t>
      </w:r>
      <w:smartTag w:uri="urn:schemas-microsoft-com:office:smarttags" w:element="PlaceName">
        <w:r>
          <w:rPr>
            <w:rFonts w:ascii="Garamond" w:hAnsi="Garamond"/>
            <w:sz w:val="32"/>
            <w:szCs w:val="32"/>
          </w:rPr>
          <w:t>Business</w:t>
        </w:r>
      </w:smartTag>
      <w:r>
        <w:rPr>
          <w:rFonts w:ascii="Garamond" w:hAnsi="Garamond"/>
          <w:sz w:val="32"/>
          <w:szCs w:val="32"/>
        </w:rPr>
        <w:t xml:space="preserve"> </w:t>
      </w:r>
      <w:smartTag w:uri="urn:schemas-microsoft-com:office:smarttags" w:element="PlaceType">
        <w:r>
          <w:rPr>
            <w:rFonts w:ascii="Garamond" w:hAnsi="Garamond"/>
            <w:sz w:val="32"/>
            <w:szCs w:val="32"/>
          </w:rPr>
          <w:t>School</w:t>
        </w:r>
      </w:smartTag>
      <w:r>
        <w:rPr>
          <w:rFonts w:ascii="Garamond" w:hAnsi="Garamond"/>
          <w:sz w:val="32"/>
          <w:szCs w:val="32"/>
        </w:rPr>
        <w:t xml:space="preserve">, University of the West of </w:t>
      </w:r>
      <w:smartTag w:uri="urn:schemas-microsoft-com:office:smarttags" w:element="place">
        <w:smartTag w:uri="urn:schemas-microsoft-com:office:smarttags" w:element="country-region">
          <w:r>
            <w:rPr>
              <w:rFonts w:ascii="Garamond" w:hAnsi="Garamond"/>
              <w:sz w:val="32"/>
              <w:szCs w:val="32"/>
            </w:rPr>
            <w:t>England</w:t>
          </w:r>
        </w:smartTag>
      </w:smartTag>
    </w:p>
    <w:p w:rsidR="00E707BE" w:rsidRDefault="00E707BE" w:rsidP="00E707BE">
      <w:pPr>
        <w:pStyle w:val="PlainText"/>
        <w:jc w:val="center"/>
        <w:rPr>
          <w:rFonts w:ascii="Garamond" w:hAnsi="Garamond"/>
          <w:b/>
          <w:sz w:val="48"/>
          <w:szCs w:val="48"/>
        </w:rPr>
      </w:pPr>
    </w:p>
    <w:p w:rsidR="00E707BE" w:rsidRPr="00665405" w:rsidRDefault="0071390C" w:rsidP="00E707BE">
      <w:pPr>
        <w:pStyle w:val="PlainText"/>
        <w:jc w:val="center"/>
        <w:rPr>
          <w:rFonts w:ascii="Garamond" w:hAnsi="Garamond"/>
          <w:b/>
          <w:sz w:val="48"/>
          <w:szCs w:val="48"/>
        </w:rPr>
      </w:pPr>
      <w:r>
        <w:rPr>
          <w:rFonts w:ascii="Garamond" w:hAnsi="Garamond"/>
          <w:b/>
          <w:sz w:val="48"/>
          <w:szCs w:val="48"/>
        </w:rPr>
        <w:t>APRIL 2006</w:t>
      </w:r>
    </w:p>
    <w:p w:rsidR="00DC19F1" w:rsidRDefault="00DC19F1">
      <w:pPr>
        <w:pStyle w:val="BodyText"/>
        <w:jc w:val="center"/>
        <w:rPr>
          <w:rFonts w:ascii="Garamond" w:hAnsi="Garamond"/>
          <w:sz w:val="28"/>
        </w:rPr>
      </w:pPr>
    </w:p>
    <w:p w:rsidR="00DC19F1" w:rsidRDefault="00DC19F1">
      <w:pPr>
        <w:pStyle w:val="BodyText"/>
        <w:rPr>
          <w:b/>
          <w:bCs/>
        </w:rPr>
        <w:sectPr w:rsidR="00DC19F1">
          <w:pgSz w:w="11909" w:h="16834" w:code="9"/>
          <w:pgMar w:top="850" w:right="850" w:bottom="850" w:left="2275" w:header="720" w:footer="720" w:gutter="288"/>
          <w:pgNumType w:fmt="lowerRoman" w:start="1"/>
          <w:cols w:space="708"/>
          <w:titlePg/>
          <w:docGrid w:linePitch="360"/>
        </w:sectPr>
      </w:pPr>
    </w:p>
    <w:p w:rsidR="00DC19F1" w:rsidRDefault="00DC19F1">
      <w:pPr>
        <w:pStyle w:val="BodyText"/>
        <w:rPr>
          <w:b/>
          <w:bCs/>
        </w:rPr>
      </w:pPr>
      <w:r>
        <w:rPr>
          <w:b/>
          <w:bCs/>
        </w:rPr>
        <w:lastRenderedPageBreak/>
        <w:t>Declaration</w:t>
      </w:r>
    </w:p>
    <w:p w:rsidR="00DC19F1" w:rsidRDefault="00DC19F1">
      <w:pPr>
        <w:pStyle w:val="BodyText"/>
      </w:pPr>
      <w:r>
        <w:t xml:space="preserve">I declare that this Addendum is my own work. It is submitted in partial fulfilment of the requirements for the degree of Doctor of Philosophy at the University of the West of England, </w:t>
      </w:r>
      <w:smartTag w:uri="urn:schemas-microsoft-com:office:smarttags" w:element="place">
        <w:smartTag w:uri="urn:schemas-microsoft-com:office:smarttags" w:element="City">
          <w:r>
            <w:t>Bristol</w:t>
          </w:r>
        </w:smartTag>
      </w:smartTag>
      <w:r>
        <w:t xml:space="preserve">. </w:t>
      </w:r>
    </w:p>
    <w:p w:rsidR="00DC19F1" w:rsidRDefault="00DC19F1">
      <w:pPr>
        <w:pStyle w:val="BodyText"/>
        <w:rPr>
          <w:b/>
          <w:bCs/>
        </w:rPr>
      </w:pPr>
    </w:p>
    <w:p w:rsidR="00DC19F1" w:rsidRDefault="00DC19F1">
      <w:pPr>
        <w:pStyle w:val="BodyText"/>
        <w:rPr>
          <w:b/>
          <w:bCs/>
        </w:rPr>
      </w:pPr>
      <w:r>
        <w:rPr>
          <w:b/>
          <w:bCs/>
        </w:rPr>
        <w:t>Acknowledgements</w:t>
      </w:r>
    </w:p>
    <w:p w:rsidR="00DC19F1" w:rsidRDefault="00DC19F1">
      <w:pPr>
        <w:pStyle w:val="BodyText"/>
      </w:pPr>
      <w:r>
        <w:t xml:space="preserve">With grateful thanks to Director of Studies, Dr Alan Tapp for his ongoing feedback, suggestions, and encouragement. </w:t>
      </w:r>
    </w:p>
    <w:p w:rsidR="00DC19F1" w:rsidRDefault="00DC19F1">
      <w:pPr>
        <w:pStyle w:val="BodyText"/>
      </w:pPr>
    </w:p>
    <w:p w:rsidR="00DC19F1" w:rsidRDefault="00DC19F1">
      <w:pPr>
        <w:pStyle w:val="BodyText"/>
        <w:rPr>
          <w:b/>
          <w:bCs/>
        </w:rPr>
      </w:pPr>
      <w:r>
        <w:rPr>
          <w:b/>
          <w:bCs/>
        </w:rPr>
        <w:t>Copyright © 2005</w:t>
      </w:r>
    </w:p>
    <w:p w:rsidR="00DC19F1" w:rsidRDefault="00DC19F1">
      <w:pPr>
        <w:pStyle w:val="BodyText"/>
      </w:pPr>
      <w:r>
        <w:t xml:space="preserve"> This thesis is supplied on the understanding that it is copyright material and that no part of it may be reproduced without full acknowledgement. </w:t>
      </w:r>
    </w:p>
    <w:p w:rsidR="00DC19F1" w:rsidRDefault="00DC19F1"/>
    <w:p w:rsidR="00DC19F1" w:rsidRDefault="00DC19F1">
      <w:pPr>
        <w:rPr>
          <w:b/>
          <w:bCs/>
          <w:sz w:val="22"/>
        </w:rPr>
      </w:pPr>
      <w:r>
        <w:rPr>
          <w:b/>
          <w:bCs/>
          <w:sz w:val="22"/>
        </w:rPr>
        <w:t>Word Count</w:t>
      </w:r>
    </w:p>
    <w:p w:rsidR="00DC19F1" w:rsidRDefault="00DC19F1">
      <w:pPr>
        <w:rPr>
          <w:sz w:val="22"/>
        </w:rPr>
      </w:pPr>
      <w:r>
        <w:rPr>
          <w:sz w:val="22"/>
        </w:rPr>
        <w:t>Aside from material in Contents List, Figures, Tables, References and Appendices: approx 9,997.</w:t>
      </w:r>
    </w:p>
    <w:p w:rsidR="00DC19F1" w:rsidRDefault="00DC19F1"/>
    <w:p w:rsidR="00DC19F1" w:rsidRDefault="00DC19F1"/>
    <w:p w:rsidR="00DC19F1" w:rsidRDefault="00DC19F1"/>
    <w:p w:rsidR="00DC19F1" w:rsidRDefault="00DC19F1"/>
    <w:p w:rsidR="00DC19F1" w:rsidRDefault="00DC19F1"/>
    <w:p w:rsidR="00DC19F1" w:rsidRDefault="00DC19F1"/>
    <w:p w:rsidR="00DC19F1" w:rsidRDefault="00DC19F1"/>
    <w:p w:rsidR="00DC19F1" w:rsidRDefault="00DC19F1"/>
    <w:p w:rsidR="00DC19F1" w:rsidRDefault="00DC19F1"/>
    <w:p w:rsidR="00DC19F1" w:rsidRDefault="00DC19F1"/>
    <w:p w:rsidR="00DC19F1" w:rsidRDefault="00DC19F1"/>
    <w:p w:rsidR="00DC19F1" w:rsidRDefault="00DC19F1"/>
    <w:p w:rsidR="00DC19F1" w:rsidRDefault="00DC19F1"/>
    <w:p w:rsidR="00DC19F1" w:rsidRDefault="00DC19F1"/>
    <w:p w:rsidR="00DC19F1" w:rsidRDefault="00DC19F1"/>
    <w:p w:rsidR="00DC19F1" w:rsidRDefault="00DC19F1"/>
    <w:p w:rsidR="00DC19F1" w:rsidRDefault="00DC19F1"/>
    <w:p w:rsidR="00DC19F1" w:rsidRDefault="00DC19F1"/>
    <w:p w:rsidR="00DC19F1" w:rsidRDefault="00DC19F1"/>
    <w:p w:rsidR="00DC19F1" w:rsidRDefault="00DC19F1"/>
    <w:p w:rsidR="00DC19F1" w:rsidRDefault="00DC19F1"/>
    <w:p w:rsidR="00DC19F1" w:rsidRDefault="00DC19F1"/>
    <w:p w:rsidR="00DC19F1" w:rsidRDefault="00DC19F1"/>
    <w:p w:rsidR="00DC19F1" w:rsidRDefault="00DC19F1">
      <w:pPr>
        <w:pStyle w:val="BodyText"/>
        <w:rPr>
          <w:b/>
          <w:bCs/>
          <w:sz w:val="28"/>
        </w:rPr>
      </w:pPr>
      <w:r>
        <w:br w:type="page"/>
      </w:r>
      <w:r>
        <w:rPr>
          <w:b/>
          <w:bCs/>
          <w:sz w:val="28"/>
        </w:rPr>
        <w:lastRenderedPageBreak/>
        <w:t>TABLE OF CONTENTS</w:t>
      </w:r>
      <w:r w:rsidR="007F07BA">
        <w:rPr>
          <w:b/>
          <w:bCs/>
          <w:sz w:val="28"/>
        </w:rPr>
        <w:t xml:space="preserve"> - ADDENDUM</w:t>
      </w:r>
    </w:p>
    <w:p w:rsidR="00831636" w:rsidRDefault="00DC19F1">
      <w:pPr>
        <w:pStyle w:val="TOC1"/>
        <w:tabs>
          <w:tab w:val="right" w:leader="dot" w:pos="8486"/>
        </w:tabs>
        <w:rPr>
          <w:b w:val="0"/>
          <w:bCs w:val="0"/>
          <w:caps w:val="0"/>
          <w:noProof/>
          <w:lang w:val="en-US"/>
        </w:rPr>
      </w:pPr>
      <w:r>
        <w:fldChar w:fldCharType="begin"/>
      </w:r>
      <w:r>
        <w:instrText xml:space="preserve"> TOC \o "2-2" \h \z \t "Heading 1,1" </w:instrText>
      </w:r>
      <w:r>
        <w:fldChar w:fldCharType="separate"/>
      </w:r>
      <w:hyperlink w:anchor="_Toc132368258" w:history="1">
        <w:r w:rsidR="00831636" w:rsidRPr="00A52E74">
          <w:rPr>
            <w:rStyle w:val="Hyperlink"/>
            <w:noProof/>
          </w:rPr>
          <w:t>HOW VALIDITY AND RELIABILITY HAVE BEEN TREATED IN THIS PhD</w:t>
        </w:r>
        <w:r w:rsidR="00831636">
          <w:rPr>
            <w:noProof/>
            <w:webHidden/>
          </w:rPr>
          <w:tab/>
        </w:r>
        <w:r w:rsidR="00831636">
          <w:rPr>
            <w:noProof/>
            <w:webHidden/>
          </w:rPr>
          <w:fldChar w:fldCharType="begin"/>
        </w:r>
        <w:r w:rsidR="00831636">
          <w:rPr>
            <w:noProof/>
            <w:webHidden/>
          </w:rPr>
          <w:instrText xml:space="preserve"> PAGEREF _Toc132368258 \h </w:instrText>
        </w:r>
        <w:r w:rsidR="004642D6">
          <w:rPr>
            <w:noProof/>
          </w:rPr>
        </w:r>
        <w:r w:rsidR="00831636">
          <w:rPr>
            <w:noProof/>
            <w:webHidden/>
          </w:rPr>
          <w:fldChar w:fldCharType="separate"/>
        </w:r>
        <w:r w:rsidR="00FA61D1">
          <w:rPr>
            <w:noProof/>
            <w:webHidden/>
          </w:rPr>
          <w:t>1</w:t>
        </w:r>
        <w:r w:rsidR="00831636">
          <w:rPr>
            <w:noProof/>
            <w:webHidden/>
          </w:rPr>
          <w:fldChar w:fldCharType="end"/>
        </w:r>
      </w:hyperlink>
    </w:p>
    <w:p w:rsidR="00831636" w:rsidRDefault="00831636">
      <w:pPr>
        <w:pStyle w:val="TOC2"/>
        <w:tabs>
          <w:tab w:val="right" w:leader="dot" w:pos="8486"/>
        </w:tabs>
        <w:rPr>
          <w:smallCaps w:val="0"/>
          <w:noProof/>
          <w:lang w:val="en-US"/>
        </w:rPr>
      </w:pPr>
      <w:hyperlink w:anchor="_Toc132368259" w:history="1">
        <w:r w:rsidRPr="00A52E74">
          <w:rPr>
            <w:rStyle w:val="Hyperlink"/>
            <w:noProof/>
          </w:rPr>
          <w:t>1.1 CREDIBILITY</w:t>
        </w:r>
        <w:r>
          <w:rPr>
            <w:noProof/>
            <w:webHidden/>
          </w:rPr>
          <w:tab/>
        </w:r>
        <w:r>
          <w:rPr>
            <w:noProof/>
            <w:webHidden/>
          </w:rPr>
          <w:fldChar w:fldCharType="begin"/>
        </w:r>
        <w:r>
          <w:rPr>
            <w:noProof/>
            <w:webHidden/>
          </w:rPr>
          <w:instrText xml:space="preserve"> PAGEREF _Toc132368259 \h </w:instrText>
        </w:r>
        <w:r w:rsidR="004642D6">
          <w:rPr>
            <w:noProof/>
          </w:rPr>
        </w:r>
        <w:r>
          <w:rPr>
            <w:noProof/>
            <w:webHidden/>
          </w:rPr>
          <w:fldChar w:fldCharType="separate"/>
        </w:r>
        <w:r w:rsidR="00FA61D1">
          <w:rPr>
            <w:noProof/>
            <w:webHidden/>
          </w:rPr>
          <w:t>2</w:t>
        </w:r>
        <w:r>
          <w:rPr>
            <w:noProof/>
            <w:webHidden/>
          </w:rPr>
          <w:fldChar w:fldCharType="end"/>
        </w:r>
      </w:hyperlink>
    </w:p>
    <w:p w:rsidR="00831636" w:rsidRDefault="00831636">
      <w:pPr>
        <w:pStyle w:val="TOC2"/>
        <w:tabs>
          <w:tab w:val="right" w:leader="dot" w:pos="8486"/>
        </w:tabs>
        <w:rPr>
          <w:smallCaps w:val="0"/>
          <w:noProof/>
          <w:lang w:val="en-US"/>
        </w:rPr>
      </w:pPr>
      <w:hyperlink w:anchor="_Toc132368260" w:history="1">
        <w:r w:rsidRPr="00A52E74">
          <w:rPr>
            <w:rStyle w:val="Hyperlink"/>
            <w:noProof/>
          </w:rPr>
          <w:t>1.2 TRANSFERABILITY</w:t>
        </w:r>
        <w:r>
          <w:rPr>
            <w:noProof/>
            <w:webHidden/>
          </w:rPr>
          <w:tab/>
        </w:r>
        <w:r>
          <w:rPr>
            <w:noProof/>
            <w:webHidden/>
          </w:rPr>
          <w:fldChar w:fldCharType="begin"/>
        </w:r>
        <w:r>
          <w:rPr>
            <w:noProof/>
            <w:webHidden/>
          </w:rPr>
          <w:instrText xml:space="preserve"> PAGEREF _Toc132368260 \h </w:instrText>
        </w:r>
        <w:r w:rsidR="004642D6">
          <w:rPr>
            <w:noProof/>
          </w:rPr>
        </w:r>
        <w:r>
          <w:rPr>
            <w:noProof/>
            <w:webHidden/>
          </w:rPr>
          <w:fldChar w:fldCharType="separate"/>
        </w:r>
        <w:r w:rsidR="00FA61D1">
          <w:rPr>
            <w:noProof/>
            <w:webHidden/>
          </w:rPr>
          <w:t>9</w:t>
        </w:r>
        <w:r>
          <w:rPr>
            <w:noProof/>
            <w:webHidden/>
          </w:rPr>
          <w:fldChar w:fldCharType="end"/>
        </w:r>
      </w:hyperlink>
    </w:p>
    <w:p w:rsidR="00831636" w:rsidRDefault="00831636">
      <w:pPr>
        <w:pStyle w:val="TOC2"/>
        <w:tabs>
          <w:tab w:val="right" w:leader="dot" w:pos="8486"/>
        </w:tabs>
        <w:rPr>
          <w:smallCaps w:val="0"/>
          <w:noProof/>
          <w:lang w:val="en-US"/>
        </w:rPr>
      </w:pPr>
      <w:hyperlink w:anchor="_Toc132368261" w:history="1">
        <w:r w:rsidRPr="00A52E74">
          <w:rPr>
            <w:rStyle w:val="Hyperlink"/>
            <w:noProof/>
          </w:rPr>
          <w:t>1.3 DEPENDABILITY</w:t>
        </w:r>
        <w:r>
          <w:rPr>
            <w:noProof/>
            <w:webHidden/>
          </w:rPr>
          <w:tab/>
        </w:r>
        <w:r>
          <w:rPr>
            <w:noProof/>
            <w:webHidden/>
          </w:rPr>
          <w:fldChar w:fldCharType="begin"/>
        </w:r>
        <w:r>
          <w:rPr>
            <w:noProof/>
            <w:webHidden/>
          </w:rPr>
          <w:instrText xml:space="preserve"> PAGEREF _Toc132368261 \h </w:instrText>
        </w:r>
        <w:r w:rsidR="004642D6">
          <w:rPr>
            <w:noProof/>
          </w:rPr>
        </w:r>
        <w:r>
          <w:rPr>
            <w:noProof/>
            <w:webHidden/>
          </w:rPr>
          <w:fldChar w:fldCharType="separate"/>
        </w:r>
        <w:r w:rsidR="00FA61D1">
          <w:rPr>
            <w:noProof/>
            <w:webHidden/>
          </w:rPr>
          <w:t>9</w:t>
        </w:r>
        <w:r>
          <w:rPr>
            <w:noProof/>
            <w:webHidden/>
          </w:rPr>
          <w:fldChar w:fldCharType="end"/>
        </w:r>
      </w:hyperlink>
    </w:p>
    <w:p w:rsidR="00831636" w:rsidRDefault="00831636">
      <w:pPr>
        <w:pStyle w:val="TOC2"/>
        <w:tabs>
          <w:tab w:val="right" w:leader="dot" w:pos="8486"/>
        </w:tabs>
        <w:rPr>
          <w:smallCaps w:val="0"/>
          <w:noProof/>
          <w:lang w:val="en-US"/>
        </w:rPr>
      </w:pPr>
      <w:hyperlink w:anchor="_Toc132368262" w:history="1">
        <w:r w:rsidRPr="00A52E74">
          <w:rPr>
            <w:rStyle w:val="Hyperlink"/>
            <w:noProof/>
          </w:rPr>
          <w:t>1.4 CONFIRMABILITY</w:t>
        </w:r>
        <w:r>
          <w:rPr>
            <w:noProof/>
            <w:webHidden/>
          </w:rPr>
          <w:tab/>
        </w:r>
        <w:r>
          <w:rPr>
            <w:noProof/>
            <w:webHidden/>
          </w:rPr>
          <w:fldChar w:fldCharType="begin"/>
        </w:r>
        <w:r>
          <w:rPr>
            <w:noProof/>
            <w:webHidden/>
          </w:rPr>
          <w:instrText xml:space="preserve"> PAGEREF _Toc132368262 \h </w:instrText>
        </w:r>
        <w:r w:rsidR="004642D6">
          <w:rPr>
            <w:noProof/>
          </w:rPr>
        </w:r>
        <w:r>
          <w:rPr>
            <w:noProof/>
            <w:webHidden/>
          </w:rPr>
          <w:fldChar w:fldCharType="separate"/>
        </w:r>
        <w:r w:rsidR="00FA61D1">
          <w:rPr>
            <w:noProof/>
            <w:webHidden/>
          </w:rPr>
          <w:t>10</w:t>
        </w:r>
        <w:r>
          <w:rPr>
            <w:noProof/>
            <w:webHidden/>
          </w:rPr>
          <w:fldChar w:fldCharType="end"/>
        </w:r>
      </w:hyperlink>
    </w:p>
    <w:p w:rsidR="00831636" w:rsidRDefault="00831636">
      <w:pPr>
        <w:pStyle w:val="TOC2"/>
        <w:tabs>
          <w:tab w:val="right" w:leader="dot" w:pos="8486"/>
        </w:tabs>
        <w:rPr>
          <w:smallCaps w:val="0"/>
          <w:noProof/>
          <w:lang w:val="en-US"/>
        </w:rPr>
      </w:pPr>
      <w:hyperlink w:anchor="_Toc132368263" w:history="1">
        <w:r w:rsidRPr="00A52E74">
          <w:rPr>
            <w:rStyle w:val="Hyperlink"/>
            <w:noProof/>
          </w:rPr>
          <w:t>1.5 CONCLUDING REMARKS</w:t>
        </w:r>
        <w:r>
          <w:rPr>
            <w:noProof/>
            <w:webHidden/>
          </w:rPr>
          <w:tab/>
        </w:r>
        <w:r>
          <w:rPr>
            <w:noProof/>
            <w:webHidden/>
          </w:rPr>
          <w:fldChar w:fldCharType="begin"/>
        </w:r>
        <w:r>
          <w:rPr>
            <w:noProof/>
            <w:webHidden/>
          </w:rPr>
          <w:instrText xml:space="preserve"> PAGEREF _Toc132368263 \h </w:instrText>
        </w:r>
        <w:r w:rsidR="004642D6">
          <w:rPr>
            <w:noProof/>
          </w:rPr>
        </w:r>
        <w:r>
          <w:rPr>
            <w:noProof/>
            <w:webHidden/>
          </w:rPr>
          <w:fldChar w:fldCharType="separate"/>
        </w:r>
        <w:r w:rsidR="00FA61D1">
          <w:rPr>
            <w:noProof/>
            <w:webHidden/>
          </w:rPr>
          <w:t>12</w:t>
        </w:r>
        <w:r>
          <w:rPr>
            <w:noProof/>
            <w:webHidden/>
          </w:rPr>
          <w:fldChar w:fldCharType="end"/>
        </w:r>
      </w:hyperlink>
    </w:p>
    <w:p w:rsidR="00831636" w:rsidRDefault="00831636">
      <w:pPr>
        <w:pStyle w:val="TOC1"/>
        <w:tabs>
          <w:tab w:val="right" w:leader="dot" w:pos="8486"/>
        </w:tabs>
        <w:rPr>
          <w:b w:val="0"/>
          <w:bCs w:val="0"/>
          <w:caps w:val="0"/>
          <w:noProof/>
          <w:lang w:val="en-US"/>
        </w:rPr>
      </w:pPr>
      <w:hyperlink w:anchor="_Toc132368264" w:history="1">
        <w:r w:rsidRPr="00A52E74">
          <w:rPr>
            <w:rStyle w:val="Hyperlink"/>
            <w:noProof/>
          </w:rPr>
          <w:t>THE ORIGINAL CONTRIBUTION OF THIS PhD</w:t>
        </w:r>
        <w:r>
          <w:rPr>
            <w:noProof/>
            <w:webHidden/>
          </w:rPr>
          <w:tab/>
        </w:r>
        <w:r>
          <w:rPr>
            <w:noProof/>
            <w:webHidden/>
          </w:rPr>
          <w:fldChar w:fldCharType="begin"/>
        </w:r>
        <w:r>
          <w:rPr>
            <w:noProof/>
            <w:webHidden/>
          </w:rPr>
          <w:instrText xml:space="preserve"> PAGEREF _Toc132368264 \h </w:instrText>
        </w:r>
        <w:r w:rsidR="004642D6">
          <w:rPr>
            <w:noProof/>
          </w:rPr>
        </w:r>
        <w:r>
          <w:rPr>
            <w:noProof/>
            <w:webHidden/>
          </w:rPr>
          <w:fldChar w:fldCharType="separate"/>
        </w:r>
        <w:r w:rsidR="00FA61D1">
          <w:rPr>
            <w:noProof/>
            <w:webHidden/>
          </w:rPr>
          <w:t>13</w:t>
        </w:r>
        <w:r>
          <w:rPr>
            <w:noProof/>
            <w:webHidden/>
          </w:rPr>
          <w:fldChar w:fldCharType="end"/>
        </w:r>
      </w:hyperlink>
    </w:p>
    <w:p w:rsidR="00831636" w:rsidRDefault="00831636">
      <w:pPr>
        <w:pStyle w:val="TOC2"/>
        <w:tabs>
          <w:tab w:val="right" w:leader="dot" w:pos="8486"/>
        </w:tabs>
        <w:rPr>
          <w:smallCaps w:val="0"/>
          <w:noProof/>
          <w:lang w:val="en-US"/>
        </w:rPr>
      </w:pPr>
      <w:hyperlink w:anchor="_Toc132368265" w:history="1">
        <w:r w:rsidRPr="00A52E74">
          <w:rPr>
            <w:rStyle w:val="Hyperlink"/>
            <w:noProof/>
          </w:rPr>
          <w:t>2.1 A BONDING AND BINDING ATTACHMENTS FRAMEWORK</w:t>
        </w:r>
        <w:r>
          <w:rPr>
            <w:noProof/>
            <w:webHidden/>
          </w:rPr>
          <w:tab/>
        </w:r>
        <w:r>
          <w:rPr>
            <w:noProof/>
            <w:webHidden/>
          </w:rPr>
          <w:fldChar w:fldCharType="begin"/>
        </w:r>
        <w:r>
          <w:rPr>
            <w:noProof/>
            <w:webHidden/>
          </w:rPr>
          <w:instrText xml:space="preserve"> PAGEREF _Toc132368265 \h </w:instrText>
        </w:r>
        <w:r w:rsidR="004642D6">
          <w:rPr>
            <w:noProof/>
          </w:rPr>
        </w:r>
        <w:r>
          <w:rPr>
            <w:noProof/>
            <w:webHidden/>
          </w:rPr>
          <w:fldChar w:fldCharType="separate"/>
        </w:r>
        <w:r w:rsidR="00FA61D1">
          <w:rPr>
            <w:noProof/>
            <w:webHidden/>
          </w:rPr>
          <w:t>15</w:t>
        </w:r>
        <w:r>
          <w:rPr>
            <w:noProof/>
            <w:webHidden/>
          </w:rPr>
          <w:fldChar w:fldCharType="end"/>
        </w:r>
      </w:hyperlink>
    </w:p>
    <w:p w:rsidR="00831636" w:rsidRDefault="00831636">
      <w:pPr>
        <w:pStyle w:val="TOC2"/>
        <w:tabs>
          <w:tab w:val="right" w:leader="dot" w:pos="8486"/>
        </w:tabs>
        <w:rPr>
          <w:smallCaps w:val="0"/>
          <w:noProof/>
          <w:lang w:val="en-US"/>
        </w:rPr>
      </w:pPr>
      <w:hyperlink w:anchor="_Toc132368266" w:history="1">
        <w:r w:rsidRPr="00A52E74">
          <w:rPr>
            <w:rStyle w:val="Hyperlink"/>
            <w:noProof/>
          </w:rPr>
          <w:t>2.2 MODELLING CONSUMER BANKING SERVICES COMMITMENT</w:t>
        </w:r>
        <w:r>
          <w:rPr>
            <w:noProof/>
            <w:webHidden/>
          </w:rPr>
          <w:tab/>
        </w:r>
        <w:r>
          <w:rPr>
            <w:noProof/>
            <w:webHidden/>
          </w:rPr>
          <w:fldChar w:fldCharType="begin"/>
        </w:r>
        <w:r>
          <w:rPr>
            <w:noProof/>
            <w:webHidden/>
          </w:rPr>
          <w:instrText xml:space="preserve"> PAGEREF _Toc132368266 \h </w:instrText>
        </w:r>
        <w:r w:rsidR="004642D6">
          <w:rPr>
            <w:noProof/>
          </w:rPr>
        </w:r>
        <w:r>
          <w:rPr>
            <w:noProof/>
            <w:webHidden/>
          </w:rPr>
          <w:fldChar w:fldCharType="separate"/>
        </w:r>
        <w:r w:rsidR="00FA61D1">
          <w:rPr>
            <w:noProof/>
            <w:webHidden/>
          </w:rPr>
          <w:t>20</w:t>
        </w:r>
        <w:r>
          <w:rPr>
            <w:noProof/>
            <w:webHidden/>
          </w:rPr>
          <w:fldChar w:fldCharType="end"/>
        </w:r>
      </w:hyperlink>
    </w:p>
    <w:p w:rsidR="00831636" w:rsidRDefault="00831636">
      <w:pPr>
        <w:pStyle w:val="TOC2"/>
        <w:tabs>
          <w:tab w:val="right" w:leader="dot" w:pos="8486"/>
        </w:tabs>
        <w:rPr>
          <w:smallCaps w:val="0"/>
          <w:noProof/>
          <w:lang w:val="en-US"/>
        </w:rPr>
      </w:pPr>
      <w:hyperlink w:anchor="_Toc132368267" w:history="1">
        <w:r w:rsidRPr="00A52E74">
          <w:rPr>
            <w:rStyle w:val="Hyperlink"/>
            <w:noProof/>
          </w:rPr>
          <w:t>2.3 SELF-BRAND IDENTIFICATION WITH CORPORATE BRAND VALUES</w:t>
        </w:r>
        <w:r>
          <w:rPr>
            <w:noProof/>
            <w:webHidden/>
          </w:rPr>
          <w:tab/>
        </w:r>
        <w:r>
          <w:rPr>
            <w:noProof/>
            <w:webHidden/>
          </w:rPr>
          <w:fldChar w:fldCharType="begin"/>
        </w:r>
        <w:r>
          <w:rPr>
            <w:noProof/>
            <w:webHidden/>
          </w:rPr>
          <w:instrText xml:space="preserve"> PAGEREF _Toc132368267 \h </w:instrText>
        </w:r>
        <w:r w:rsidR="004642D6">
          <w:rPr>
            <w:noProof/>
          </w:rPr>
        </w:r>
        <w:r>
          <w:rPr>
            <w:noProof/>
            <w:webHidden/>
          </w:rPr>
          <w:fldChar w:fldCharType="separate"/>
        </w:r>
        <w:r w:rsidR="00FA61D1">
          <w:rPr>
            <w:noProof/>
            <w:webHidden/>
          </w:rPr>
          <w:t>22</w:t>
        </w:r>
        <w:r>
          <w:rPr>
            <w:noProof/>
            <w:webHidden/>
          </w:rPr>
          <w:fldChar w:fldCharType="end"/>
        </w:r>
      </w:hyperlink>
    </w:p>
    <w:p w:rsidR="00831636" w:rsidRDefault="00831636">
      <w:pPr>
        <w:pStyle w:val="TOC2"/>
        <w:tabs>
          <w:tab w:val="right" w:leader="dot" w:pos="8486"/>
        </w:tabs>
        <w:rPr>
          <w:smallCaps w:val="0"/>
          <w:noProof/>
          <w:lang w:val="en-US"/>
        </w:rPr>
      </w:pPr>
      <w:hyperlink w:anchor="_Toc132368268" w:history="1">
        <w:r w:rsidRPr="00A52E74">
          <w:rPr>
            <w:rStyle w:val="Hyperlink"/>
            <w:noProof/>
          </w:rPr>
          <w:t>2.4 GENDER DIFFERENCES IN CONSUMER BANKING</w:t>
        </w:r>
        <w:r>
          <w:rPr>
            <w:noProof/>
            <w:webHidden/>
          </w:rPr>
          <w:tab/>
        </w:r>
        <w:r>
          <w:rPr>
            <w:noProof/>
            <w:webHidden/>
          </w:rPr>
          <w:fldChar w:fldCharType="begin"/>
        </w:r>
        <w:r>
          <w:rPr>
            <w:noProof/>
            <w:webHidden/>
          </w:rPr>
          <w:instrText xml:space="preserve"> PAGEREF _Toc132368268 \h </w:instrText>
        </w:r>
        <w:r w:rsidR="004642D6">
          <w:rPr>
            <w:noProof/>
          </w:rPr>
        </w:r>
        <w:r>
          <w:rPr>
            <w:noProof/>
            <w:webHidden/>
          </w:rPr>
          <w:fldChar w:fldCharType="separate"/>
        </w:r>
        <w:r w:rsidR="00FA61D1">
          <w:rPr>
            <w:noProof/>
            <w:webHidden/>
          </w:rPr>
          <w:t>24</w:t>
        </w:r>
        <w:r>
          <w:rPr>
            <w:noProof/>
            <w:webHidden/>
          </w:rPr>
          <w:fldChar w:fldCharType="end"/>
        </w:r>
      </w:hyperlink>
    </w:p>
    <w:p w:rsidR="00831636" w:rsidRDefault="00831636">
      <w:pPr>
        <w:pStyle w:val="TOC2"/>
        <w:tabs>
          <w:tab w:val="right" w:leader="dot" w:pos="8486"/>
        </w:tabs>
        <w:rPr>
          <w:smallCaps w:val="0"/>
          <w:noProof/>
          <w:lang w:val="en-US"/>
        </w:rPr>
      </w:pPr>
      <w:hyperlink w:anchor="_Toc132368269" w:history="1">
        <w:r w:rsidRPr="00A52E74">
          <w:rPr>
            <w:rStyle w:val="Hyperlink"/>
            <w:noProof/>
          </w:rPr>
          <w:t>2.5 SENSE OF FREEDOM TO MOVE BANK</w:t>
        </w:r>
        <w:r>
          <w:rPr>
            <w:noProof/>
            <w:webHidden/>
          </w:rPr>
          <w:tab/>
        </w:r>
        <w:r>
          <w:rPr>
            <w:noProof/>
            <w:webHidden/>
          </w:rPr>
          <w:fldChar w:fldCharType="begin"/>
        </w:r>
        <w:r>
          <w:rPr>
            <w:noProof/>
            <w:webHidden/>
          </w:rPr>
          <w:instrText xml:space="preserve"> PAGEREF _Toc132368269 \h </w:instrText>
        </w:r>
        <w:r w:rsidR="004642D6">
          <w:rPr>
            <w:noProof/>
          </w:rPr>
        </w:r>
        <w:r>
          <w:rPr>
            <w:noProof/>
            <w:webHidden/>
          </w:rPr>
          <w:fldChar w:fldCharType="separate"/>
        </w:r>
        <w:r w:rsidR="00FA61D1">
          <w:rPr>
            <w:noProof/>
            <w:webHidden/>
          </w:rPr>
          <w:t>24</w:t>
        </w:r>
        <w:r>
          <w:rPr>
            <w:noProof/>
            <w:webHidden/>
          </w:rPr>
          <w:fldChar w:fldCharType="end"/>
        </w:r>
      </w:hyperlink>
    </w:p>
    <w:p w:rsidR="00831636" w:rsidRDefault="00831636">
      <w:pPr>
        <w:pStyle w:val="TOC2"/>
        <w:tabs>
          <w:tab w:val="right" w:leader="dot" w:pos="8486"/>
        </w:tabs>
        <w:rPr>
          <w:smallCaps w:val="0"/>
          <w:noProof/>
          <w:lang w:val="en-US"/>
        </w:rPr>
      </w:pPr>
      <w:hyperlink w:anchor="_Toc132368270" w:history="1">
        <w:r w:rsidRPr="00A52E74">
          <w:rPr>
            <w:rStyle w:val="Hyperlink"/>
            <w:noProof/>
          </w:rPr>
          <w:t>2.6 COMMITIMENT TYPOLOGY</w:t>
        </w:r>
        <w:r>
          <w:rPr>
            <w:noProof/>
            <w:webHidden/>
          </w:rPr>
          <w:tab/>
        </w:r>
        <w:r>
          <w:rPr>
            <w:noProof/>
            <w:webHidden/>
          </w:rPr>
          <w:fldChar w:fldCharType="begin"/>
        </w:r>
        <w:r>
          <w:rPr>
            <w:noProof/>
            <w:webHidden/>
          </w:rPr>
          <w:instrText xml:space="preserve"> PAGEREF _Toc132368270 \h </w:instrText>
        </w:r>
        <w:r w:rsidR="004642D6">
          <w:rPr>
            <w:noProof/>
          </w:rPr>
        </w:r>
        <w:r>
          <w:rPr>
            <w:noProof/>
            <w:webHidden/>
          </w:rPr>
          <w:fldChar w:fldCharType="separate"/>
        </w:r>
        <w:r w:rsidR="00FA61D1">
          <w:rPr>
            <w:noProof/>
            <w:webHidden/>
          </w:rPr>
          <w:t>24</w:t>
        </w:r>
        <w:r>
          <w:rPr>
            <w:noProof/>
            <w:webHidden/>
          </w:rPr>
          <w:fldChar w:fldCharType="end"/>
        </w:r>
      </w:hyperlink>
    </w:p>
    <w:p w:rsidR="00831636" w:rsidRDefault="00831636">
      <w:pPr>
        <w:pStyle w:val="TOC1"/>
        <w:tabs>
          <w:tab w:val="right" w:leader="dot" w:pos="8486"/>
        </w:tabs>
        <w:rPr>
          <w:b w:val="0"/>
          <w:bCs w:val="0"/>
          <w:caps w:val="0"/>
          <w:noProof/>
          <w:lang w:val="en-US"/>
        </w:rPr>
      </w:pPr>
      <w:hyperlink w:anchor="_Toc132368271" w:history="1">
        <w:r w:rsidRPr="00A52E74">
          <w:rPr>
            <w:rStyle w:val="Hyperlink"/>
            <w:noProof/>
          </w:rPr>
          <w:t>CONTRIBUTION OF THE PROPOSED CONSUMER BANKING SERVICES PROVIDER BRAND COMMITMENT SCALE</w:t>
        </w:r>
        <w:r>
          <w:rPr>
            <w:noProof/>
            <w:webHidden/>
          </w:rPr>
          <w:tab/>
        </w:r>
        <w:r>
          <w:rPr>
            <w:noProof/>
            <w:webHidden/>
          </w:rPr>
          <w:fldChar w:fldCharType="begin"/>
        </w:r>
        <w:r>
          <w:rPr>
            <w:noProof/>
            <w:webHidden/>
          </w:rPr>
          <w:instrText xml:space="preserve"> PAGEREF _Toc132368271 \h </w:instrText>
        </w:r>
        <w:r w:rsidR="004642D6">
          <w:rPr>
            <w:noProof/>
          </w:rPr>
        </w:r>
        <w:r>
          <w:rPr>
            <w:noProof/>
            <w:webHidden/>
          </w:rPr>
          <w:fldChar w:fldCharType="separate"/>
        </w:r>
        <w:r w:rsidR="00FA61D1">
          <w:rPr>
            <w:noProof/>
            <w:webHidden/>
          </w:rPr>
          <w:t>28</w:t>
        </w:r>
        <w:r>
          <w:rPr>
            <w:noProof/>
            <w:webHidden/>
          </w:rPr>
          <w:fldChar w:fldCharType="end"/>
        </w:r>
      </w:hyperlink>
    </w:p>
    <w:p w:rsidR="00831636" w:rsidRDefault="00831636">
      <w:pPr>
        <w:pStyle w:val="TOC1"/>
        <w:tabs>
          <w:tab w:val="right" w:leader="dot" w:pos="8486"/>
        </w:tabs>
        <w:rPr>
          <w:b w:val="0"/>
          <w:bCs w:val="0"/>
          <w:caps w:val="0"/>
          <w:noProof/>
          <w:lang w:val="en-US"/>
        </w:rPr>
      </w:pPr>
      <w:hyperlink w:anchor="_Toc132368272" w:history="1">
        <w:r w:rsidRPr="00A52E74">
          <w:rPr>
            <w:rStyle w:val="Hyperlink"/>
            <w:noProof/>
          </w:rPr>
          <w:t>REFERENCES</w:t>
        </w:r>
        <w:r>
          <w:rPr>
            <w:noProof/>
            <w:webHidden/>
          </w:rPr>
          <w:tab/>
        </w:r>
        <w:r>
          <w:rPr>
            <w:noProof/>
            <w:webHidden/>
          </w:rPr>
          <w:fldChar w:fldCharType="begin"/>
        </w:r>
        <w:r>
          <w:rPr>
            <w:noProof/>
            <w:webHidden/>
          </w:rPr>
          <w:instrText xml:space="preserve"> PAGEREF _Toc132368272 \h </w:instrText>
        </w:r>
        <w:r w:rsidR="004642D6">
          <w:rPr>
            <w:noProof/>
          </w:rPr>
        </w:r>
        <w:r>
          <w:rPr>
            <w:noProof/>
            <w:webHidden/>
          </w:rPr>
          <w:fldChar w:fldCharType="separate"/>
        </w:r>
        <w:r w:rsidR="00FA61D1">
          <w:rPr>
            <w:noProof/>
            <w:webHidden/>
          </w:rPr>
          <w:t>30</w:t>
        </w:r>
        <w:r>
          <w:rPr>
            <w:noProof/>
            <w:webHidden/>
          </w:rPr>
          <w:fldChar w:fldCharType="end"/>
        </w:r>
      </w:hyperlink>
    </w:p>
    <w:p w:rsidR="00831636" w:rsidRDefault="00831636">
      <w:pPr>
        <w:pStyle w:val="TOC1"/>
        <w:tabs>
          <w:tab w:val="right" w:leader="dot" w:pos="8486"/>
        </w:tabs>
        <w:rPr>
          <w:b w:val="0"/>
          <w:bCs w:val="0"/>
          <w:caps w:val="0"/>
          <w:noProof/>
          <w:lang w:val="en-US"/>
        </w:rPr>
      </w:pPr>
      <w:hyperlink w:anchor="_Toc132368273" w:history="1">
        <w:r w:rsidRPr="00A52E74">
          <w:rPr>
            <w:rStyle w:val="Hyperlink"/>
            <w:noProof/>
          </w:rPr>
          <w:t>APPENDIX A: INTERVIEW EXTRACTS</w:t>
        </w:r>
        <w:r>
          <w:rPr>
            <w:noProof/>
            <w:webHidden/>
          </w:rPr>
          <w:tab/>
        </w:r>
        <w:r>
          <w:rPr>
            <w:noProof/>
            <w:webHidden/>
          </w:rPr>
          <w:fldChar w:fldCharType="begin"/>
        </w:r>
        <w:r>
          <w:rPr>
            <w:noProof/>
            <w:webHidden/>
          </w:rPr>
          <w:instrText xml:space="preserve"> PAGEREF _Toc132368273 \h </w:instrText>
        </w:r>
        <w:r w:rsidR="004642D6">
          <w:rPr>
            <w:noProof/>
          </w:rPr>
        </w:r>
        <w:r>
          <w:rPr>
            <w:noProof/>
            <w:webHidden/>
          </w:rPr>
          <w:fldChar w:fldCharType="separate"/>
        </w:r>
        <w:r w:rsidR="00FA61D1">
          <w:rPr>
            <w:noProof/>
            <w:webHidden/>
          </w:rPr>
          <w:t>38</w:t>
        </w:r>
        <w:r>
          <w:rPr>
            <w:noProof/>
            <w:webHidden/>
          </w:rPr>
          <w:fldChar w:fldCharType="end"/>
        </w:r>
      </w:hyperlink>
    </w:p>
    <w:p w:rsidR="00831636" w:rsidRDefault="00831636">
      <w:pPr>
        <w:pStyle w:val="TOC1"/>
        <w:tabs>
          <w:tab w:val="right" w:leader="dot" w:pos="8486"/>
        </w:tabs>
        <w:rPr>
          <w:b w:val="0"/>
          <w:bCs w:val="0"/>
          <w:caps w:val="0"/>
          <w:noProof/>
          <w:lang w:val="en-US"/>
        </w:rPr>
      </w:pPr>
      <w:hyperlink w:anchor="_Toc132368274" w:history="1">
        <w:r w:rsidRPr="00A52E74">
          <w:rPr>
            <w:rStyle w:val="Hyperlink"/>
            <w:noProof/>
          </w:rPr>
          <w:t>APPENDIX B: CONSUMER BANKING SERVICES PROVIDER BRAND COMMITMENT SCALE</w:t>
        </w:r>
        <w:r>
          <w:rPr>
            <w:noProof/>
            <w:webHidden/>
          </w:rPr>
          <w:tab/>
        </w:r>
        <w:r>
          <w:rPr>
            <w:noProof/>
            <w:webHidden/>
          </w:rPr>
          <w:fldChar w:fldCharType="begin"/>
        </w:r>
        <w:r>
          <w:rPr>
            <w:noProof/>
            <w:webHidden/>
          </w:rPr>
          <w:instrText xml:space="preserve"> PAGEREF _Toc132368274 \h </w:instrText>
        </w:r>
        <w:r w:rsidR="004642D6">
          <w:rPr>
            <w:noProof/>
          </w:rPr>
        </w:r>
        <w:r>
          <w:rPr>
            <w:noProof/>
            <w:webHidden/>
          </w:rPr>
          <w:fldChar w:fldCharType="separate"/>
        </w:r>
        <w:r w:rsidR="00FA61D1">
          <w:rPr>
            <w:noProof/>
            <w:webHidden/>
          </w:rPr>
          <w:t>40</w:t>
        </w:r>
        <w:r>
          <w:rPr>
            <w:noProof/>
            <w:webHidden/>
          </w:rPr>
          <w:fldChar w:fldCharType="end"/>
        </w:r>
      </w:hyperlink>
    </w:p>
    <w:p w:rsidR="00831636" w:rsidRDefault="00831636">
      <w:pPr>
        <w:pStyle w:val="TOC1"/>
        <w:tabs>
          <w:tab w:val="right" w:leader="dot" w:pos="8486"/>
        </w:tabs>
        <w:rPr>
          <w:b w:val="0"/>
          <w:bCs w:val="0"/>
          <w:caps w:val="0"/>
          <w:noProof/>
          <w:lang w:val="en-US"/>
        </w:rPr>
      </w:pPr>
      <w:hyperlink w:anchor="_Toc132368275" w:history="1">
        <w:r w:rsidRPr="00A52E74">
          <w:rPr>
            <w:rStyle w:val="Hyperlink"/>
            <w:noProof/>
          </w:rPr>
          <w:t>APPENDIX C: PUBLISHED ARTICLES</w:t>
        </w:r>
        <w:r>
          <w:rPr>
            <w:noProof/>
            <w:webHidden/>
          </w:rPr>
          <w:tab/>
        </w:r>
        <w:r>
          <w:rPr>
            <w:noProof/>
            <w:webHidden/>
          </w:rPr>
          <w:fldChar w:fldCharType="begin"/>
        </w:r>
        <w:r>
          <w:rPr>
            <w:noProof/>
            <w:webHidden/>
          </w:rPr>
          <w:instrText xml:space="preserve"> PAGEREF _Toc132368275 \h </w:instrText>
        </w:r>
        <w:r w:rsidR="004642D6">
          <w:rPr>
            <w:noProof/>
          </w:rPr>
        </w:r>
        <w:r>
          <w:rPr>
            <w:noProof/>
            <w:webHidden/>
          </w:rPr>
          <w:fldChar w:fldCharType="separate"/>
        </w:r>
        <w:r w:rsidR="00FA61D1">
          <w:rPr>
            <w:noProof/>
            <w:webHidden/>
          </w:rPr>
          <w:t>45</w:t>
        </w:r>
        <w:r>
          <w:rPr>
            <w:noProof/>
            <w:webHidden/>
          </w:rPr>
          <w:fldChar w:fldCharType="end"/>
        </w:r>
      </w:hyperlink>
    </w:p>
    <w:p w:rsidR="00DC19F1" w:rsidRDefault="00DC19F1">
      <w:r>
        <w:fldChar w:fldCharType="end"/>
      </w:r>
    </w:p>
    <w:p w:rsidR="00DC19F1" w:rsidRDefault="00DC19F1">
      <w:pPr>
        <w:pStyle w:val="BodyText"/>
      </w:pPr>
    </w:p>
    <w:p w:rsidR="00DC19F1" w:rsidRDefault="00DC19F1">
      <w:pPr>
        <w:spacing w:line="360" w:lineRule="auto"/>
      </w:pPr>
    </w:p>
    <w:p w:rsidR="00DC19F1" w:rsidRDefault="00DC19F1">
      <w:pPr>
        <w:rPr>
          <w:b/>
          <w:bCs/>
        </w:rPr>
      </w:pPr>
      <w:r>
        <w:rPr>
          <w:b/>
          <w:bCs/>
        </w:rPr>
        <w:br w:type="page"/>
      </w:r>
      <w:r>
        <w:rPr>
          <w:b/>
          <w:bCs/>
        </w:rPr>
        <w:lastRenderedPageBreak/>
        <w:t>LIST OF TABLES AND FIGURES</w:t>
      </w:r>
      <w:r w:rsidR="00FA61D1">
        <w:rPr>
          <w:b/>
          <w:bCs/>
        </w:rPr>
        <w:t xml:space="preserve"> - ADDENDUM</w:t>
      </w:r>
    </w:p>
    <w:p w:rsidR="00DC19F1" w:rsidRDefault="00DC19F1">
      <w:r>
        <w:t xml:space="preserve"> </w:t>
      </w:r>
    </w:p>
    <w:p w:rsidR="00DC19F1" w:rsidRDefault="00DC19F1">
      <w:pPr>
        <w:pStyle w:val="TableofFigures"/>
        <w:tabs>
          <w:tab w:val="right" w:leader="dot" w:pos="8486"/>
        </w:tabs>
      </w:pPr>
    </w:p>
    <w:p w:rsidR="00DC19F1" w:rsidRDefault="00DC19F1">
      <w:pPr>
        <w:pStyle w:val="TableofFigures"/>
        <w:tabs>
          <w:tab w:val="right" w:leader="dot" w:pos="8486"/>
        </w:tabs>
        <w:rPr>
          <w:noProof/>
          <w:lang w:val="en-US"/>
        </w:rPr>
      </w:pPr>
      <w:r>
        <w:fldChar w:fldCharType="begin"/>
      </w:r>
      <w:r>
        <w:instrText xml:space="preserve"> TOC \h \z \c "Figure" </w:instrText>
      </w:r>
      <w:r>
        <w:fldChar w:fldCharType="separate"/>
      </w:r>
      <w:hyperlink w:anchor="_Toc113105118" w:history="1">
        <w:r>
          <w:rPr>
            <w:rStyle w:val="Hyperlink"/>
            <w:noProof/>
            <w:szCs w:val="22"/>
          </w:rPr>
          <w:t>Figure 1: Preliminary Conceptual Framework (after Practitioner Interviews, Phase 1)</w:t>
        </w:r>
        <w:r>
          <w:rPr>
            <w:noProof/>
            <w:webHidden/>
          </w:rPr>
          <w:tab/>
        </w:r>
        <w:r>
          <w:rPr>
            <w:noProof/>
            <w:webHidden/>
          </w:rPr>
          <w:fldChar w:fldCharType="begin"/>
        </w:r>
        <w:r>
          <w:rPr>
            <w:noProof/>
            <w:webHidden/>
          </w:rPr>
          <w:instrText xml:space="preserve"> PAGEREF _Toc113105118 \h </w:instrText>
        </w:r>
        <w:r>
          <w:rPr>
            <w:noProof/>
          </w:rPr>
        </w:r>
        <w:r>
          <w:rPr>
            <w:noProof/>
            <w:webHidden/>
          </w:rPr>
          <w:fldChar w:fldCharType="separate"/>
        </w:r>
        <w:r w:rsidR="00FA61D1">
          <w:rPr>
            <w:noProof/>
            <w:webHidden/>
          </w:rPr>
          <w:t>16</w:t>
        </w:r>
        <w:r>
          <w:rPr>
            <w:noProof/>
            <w:webHidden/>
          </w:rPr>
          <w:fldChar w:fldCharType="end"/>
        </w:r>
      </w:hyperlink>
    </w:p>
    <w:p w:rsidR="00DC19F1" w:rsidRDefault="00DC19F1">
      <w:pPr>
        <w:pStyle w:val="TableofFigures"/>
        <w:tabs>
          <w:tab w:val="right" w:leader="dot" w:pos="8486"/>
        </w:tabs>
        <w:rPr>
          <w:noProof/>
          <w:lang w:val="en-US"/>
        </w:rPr>
      </w:pPr>
      <w:hyperlink w:anchor="_Toc113105119" w:history="1">
        <w:r>
          <w:rPr>
            <w:rStyle w:val="Hyperlink"/>
            <w:noProof/>
            <w:szCs w:val="22"/>
          </w:rPr>
          <w:t>Figure 2: Extended Framework (after synthesis with Bank Customer Interviews, Phase 2)</w:t>
        </w:r>
        <w:r>
          <w:rPr>
            <w:noProof/>
            <w:webHidden/>
          </w:rPr>
          <w:tab/>
        </w:r>
        <w:r>
          <w:rPr>
            <w:noProof/>
            <w:webHidden/>
          </w:rPr>
          <w:fldChar w:fldCharType="begin"/>
        </w:r>
        <w:r>
          <w:rPr>
            <w:noProof/>
            <w:webHidden/>
          </w:rPr>
          <w:instrText xml:space="preserve"> PAGEREF _Toc113105119 \h </w:instrText>
        </w:r>
        <w:r>
          <w:rPr>
            <w:noProof/>
          </w:rPr>
        </w:r>
        <w:r>
          <w:rPr>
            <w:noProof/>
            <w:webHidden/>
          </w:rPr>
          <w:fldChar w:fldCharType="separate"/>
        </w:r>
        <w:r w:rsidR="00FA61D1">
          <w:rPr>
            <w:noProof/>
            <w:webHidden/>
          </w:rPr>
          <w:t>17</w:t>
        </w:r>
        <w:r>
          <w:rPr>
            <w:noProof/>
            <w:webHidden/>
          </w:rPr>
          <w:fldChar w:fldCharType="end"/>
        </w:r>
      </w:hyperlink>
    </w:p>
    <w:p w:rsidR="00DC19F1" w:rsidRDefault="00DC19F1">
      <w:pPr>
        <w:pStyle w:val="TableofFigures"/>
        <w:tabs>
          <w:tab w:val="right" w:leader="dot" w:pos="8486"/>
        </w:tabs>
        <w:rPr>
          <w:noProof/>
          <w:lang w:val="en-US"/>
        </w:rPr>
      </w:pPr>
      <w:hyperlink w:anchor="_Toc113105120" w:history="1">
        <w:r>
          <w:rPr>
            <w:rStyle w:val="Hyperlink"/>
            <w:noProof/>
            <w:szCs w:val="22"/>
          </w:rPr>
          <w:t>Figure 3: Consumer Banking Services Commitment Model with mediating variables</w:t>
        </w:r>
        <w:r>
          <w:rPr>
            <w:noProof/>
            <w:webHidden/>
          </w:rPr>
          <w:tab/>
        </w:r>
        <w:r>
          <w:rPr>
            <w:noProof/>
            <w:webHidden/>
          </w:rPr>
          <w:fldChar w:fldCharType="begin"/>
        </w:r>
        <w:r>
          <w:rPr>
            <w:noProof/>
            <w:webHidden/>
          </w:rPr>
          <w:instrText xml:space="preserve"> PAGEREF _Toc113105120 \h </w:instrText>
        </w:r>
        <w:r>
          <w:rPr>
            <w:noProof/>
          </w:rPr>
        </w:r>
        <w:r>
          <w:rPr>
            <w:noProof/>
            <w:webHidden/>
          </w:rPr>
          <w:fldChar w:fldCharType="separate"/>
        </w:r>
        <w:r w:rsidR="00FA61D1">
          <w:rPr>
            <w:noProof/>
            <w:webHidden/>
          </w:rPr>
          <w:t>21</w:t>
        </w:r>
        <w:r>
          <w:rPr>
            <w:noProof/>
            <w:webHidden/>
          </w:rPr>
          <w:fldChar w:fldCharType="end"/>
        </w:r>
      </w:hyperlink>
    </w:p>
    <w:p w:rsidR="00DC19F1" w:rsidRDefault="00DC19F1">
      <w:pPr>
        <w:pStyle w:val="TableofFigures"/>
        <w:tabs>
          <w:tab w:val="right" w:leader="dot" w:pos="8486"/>
        </w:tabs>
        <w:rPr>
          <w:noProof/>
          <w:lang w:val="en-US"/>
        </w:rPr>
      </w:pPr>
      <w:hyperlink w:anchor="_Toc113105121" w:history="1">
        <w:r>
          <w:rPr>
            <w:rStyle w:val="Hyperlink"/>
            <w:noProof/>
            <w:szCs w:val="22"/>
          </w:rPr>
          <w:t>Figure 4: Commitment Typology in Consumer Services Banking</w:t>
        </w:r>
        <w:r>
          <w:rPr>
            <w:noProof/>
            <w:webHidden/>
          </w:rPr>
          <w:tab/>
        </w:r>
        <w:r>
          <w:rPr>
            <w:noProof/>
            <w:webHidden/>
          </w:rPr>
          <w:fldChar w:fldCharType="begin"/>
        </w:r>
        <w:r>
          <w:rPr>
            <w:noProof/>
            <w:webHidden/>
          </w:rPr>
          <w:instrText xml:space="preserve"> PAGEREF _Toc113105121 \h </w:instrText>
        </w:r>
        <w:r>
          <w:rPr>
            <w:noProof/>
          </w:rPr>
        </w:r>
        <w:r>
          <w:rPr>
            <w:noProof/>
            <w:webHidden/>
          </w:rPr>
          <w:fldChar w:fldCharType="separate"/>
        </w:r>
        <w:r w:rsidR="00FA61D1">
          <w:rPr>
            <w:noProof/>
            <w:webHidden/>
          </w:rPr>
          <w:t>26</w:t>
        </w:r>
        <w:r>
          <w:rPr>
            <w:noProof/>
            <w:webHidden/>
          </w:rPr>
          <w:fldChar w:fldCharType="end"/>
        </w:r>
      </w:hyperlink>
    </w:p>
    <w:p w:rsidR="00DC19F1" w:rsidRDefault="00DC19F1">
      <w:pPr>
        <w:pStyle w:val="TableofFigures"/>
        <w:tabs>
          <w:tab w:val="right" w:leader="dot" w:pos="8486"/>
        </w:tabs>
      </w:pPr>
      <w:r>
        <w:fldChar w:fldCharType="end"/>
      </w:r>
    </w:p>
    <w:p w:rsidR="00DC19F1" w:rsidRDefault="00DC19F1">
      <w:pPr>
        <w:pStyle w:val="TableofFigures"/>
        <w:tabs>
          <w:tab w:val="right" w:leader="dot" w:pos="8486"/>
        </w:tabs>
      </w:pPr>
    </w:p>
    <w:p w:rsidR="00DC19F1" w:rsidRDefault="00DC19F1">
      <w:pPr>
        <w:pStyle w:val="TableofFigures"/>
        <w:tabs>
          <w:tab w:val="right" w:leader="dot" w:pos="8486"/>
        </w:tabs>
        <w:rPr>
          <w:noProof/>
          <w:lang w:val="en-US"/>
        </w:rPr>
      </w:pPr>
      <w:r>
        <w:fldChar w:fldCharType="begin"/>
      </w:r>
      <w:r>
        <w:instrText xml:space="preserve"> TOC \h \z \c "Table" </w:instrText>
      </w:r>
      <w:r>
        <w:fldChar w:fldCharType="separate"/>
      </w:r>
      <w:hyperlink w:anchor="_Toc113105178" w:history="1">
        <w:r>
          <w:rPr>
            <w:rStyle w:val="Hyperlink"/>
            <w:noProof/>
            <w:szCs w:val="22"/>
          </w:rPr>
          <w:t xml:space="preserve">Table 1: </w:t>
        </w:r>
        <w:r>
          <w:rPr>
            <w:rStyle w:val="Hyperlink"/>
            <w:noProof/>
            <w:szCs w:val="22"/>
            <w:lang w:val="en-US"/>
          </w:rPr>
          <w:t>Techniques suggested to improve results in interpretivist research</w:t>
        </w:r>
        <w:r>
          <w:rPr>
            <w:noProof/>
            <w:webHidden/>
          </w:rPr>
          <w:tab/>
        </w:r>
        <w:r>
          <w:rPr>
            <w:noProof/>
            <w:webHidden/>
          </w:rPr>
          <w:fldChar w:fldCharType="begin"/>
        </w:r>
        <w:r>
          <w:rPr>
            <w:noProof/>
            <w:webHidden/>
          </w:rPr>
          <w:instrText xml:space="preserve"> PAGEREF _Toc113105178 \h </w:instrText>
        </w:r>
        <w:r>
          <w:rPr>
            <w:noProof/>
          </w:rPr>
        </w:r>
        <w:r>
          <w:rPr>
            <w:noProof/>
            <w:webHidden/>
          </w:rPr>
          <w:fldChar w:fldCharType="separate"/>
        </w:r>
        <w:r w:rsidR="00FA61D1">
          <w:rPr>
            <w:noProof/>
            <w:webHidden/>
          </w:rPr>
          <w:t>3</w:t>
        </w:r>
        <w:r>
          <w:rPr>
            <w:noProof/>
            <w:webHidden/>
          </w:rPr>
          <w:fldChar w:fldCharType="end"/>
        </w:r>
      </w:hyperlink>
    </w:p>
    <w:p w:rsidR="00DC19F1" w:rsidRDefault="00DC19F1">
      <w:pPr>
        <w:pStyle w:val="TableofFigures"/>
        <w:tabs>
          <w:tab w:val="right" w:leader="dot" w:pos="8486"/>
        </w:tabs>
        <w:rPr>
          <w:noProof/>
          <w:lang w:val="en-US"/>
        </w:rPr>
      </w:pPr>
      <w:hyperlink w:anchor="_Toc113105179" w:history="1">
        <w:r>
          <w:rPr>
            <w:rStyle w:val="Hyperlink"/>
            <w:noProof/>
            <w:szCs w:val="22"/>
          </w:rPr>
          <w:t>Table 2: Documentation</w:t>
        </w:r>
        <w:r>
          <w:rPr>
            <w:noProof/>
            <w:webHidden/>
          </w:rPr>
          <w:tab/>
        </w:r>
        <w:r>
          <w:rPr>
            <w:noProof/>
            <w:webHidden/>
          </w:rPr>
          <w:fldChar w:fldCharType="begin"/>
        </w:r>
        <w:r>
          <w:rPr>
            <w:noProof/>
            <w:webHidden/>
          </w:rPr>
          <w:instrText xml:space="preserve"> PAGEREF _Toc113105179 \h </w:instrText>
        </w:r>
        <w:r>
          <w:rPr>
            <w:noProof/>
          </w:rPr>
        </w:r>
        <w:r>
          <w:rPr>
            <w:noProof/>
            <w:webHidden/>
          </w:rPr>
          <w:fldChar w:fldCharType="separate"/>
        </w:r>
        <w:r w:rsidR="00FA61D1">
          <w:rPr>
            <w:noProof/>
            <w:webHidden/>
          </w:rPr>
          <w:t>11</w:t>
        </w:r>
        <w:r>
          <w:rPr>
            <w:noProof/>
            <w:webHidden/>
          </w:rPr>
          <w:fldChar w:fldCharType="end"/>
        </w:r>
      </w:hyperlink>
    </w:p>
    <w:p w:rsidR="00DC19F1" w:rsidRDefault="00DC19F1">
      <w:pPr>
        <w:pStyle w:val="TableofFigures"/>
        <w:tabs>
          <w:tab w:val="right" w:leader="dot" w:pos="8486"/>
        </w:tabs>
        <w:rPr>
          <w:noProof/>
          <w:lang w:val="en-US"/>
        </w:rPr>
      </w:pPr>
      <w:hyperlink w:anchor="_Toc113105180" w:history="1">
        <w:r>
          <w:rPr>
            <w:rStyle w:val="Hyperlink"/>
            <w:noProof/>
            <w:szCs w:val="22"/>
          </w:rPr>
          <w:t>Table 3: Attachments Framework for Commitment in Consumer Banking Services</w:t>
        </w:r>
        <w:r>
          <w:rPr>
            <w:noProof/>
            <w:webHidden/>
          </w:rPr>
          <w:tab/>
        </w:r>
        <w:r>
          <w:rPr>
            <w:noProof/>
            <w:webHidden/>
          </w:rPr>
          <w:fldChar w:fldCharType="begin"/>
        </w:r>
        <w:r>
          <w:rPr>
            <w:noProof/>
            <w:webHidden/>
          </w:rPr>
          <w:instrText xml:space="preserve"> PAGEREF _Toc113105180 \h </w:instrText>
        </w:r>
        <w:r>
          <w:rPr>
            <w:noProof/>
          </w:rPr>
        </w:r>
        <w:r>
          <w:rPr>
            <w:noProof/>
            <w:webHidden/>
          </w:rPr>
          <w:fldChar w:fldCharType="separate"/>
        </w:r>
        <w:r w:rsidR="00FA61D1">
          <w:rPr>
            <w:noProof/>
            <w:webHidden/>
          </w:rPr>
          <w:t>18</w:t>
        </w:r>
        <w:r>
          <w:rPr>
            <w:noProof/>
            <w:webHidden/>
          </w:rPr>
          <w:fldChar w:fldCharType="end"/>
        </w:r>
      </w:hyperlink>
    </w:p>
    <w:p w:rsidR="00DC19F1" w:rsidRDefault="00DC19F1">
      <w:pPr>
        <w:pStyle w:val="TableofFigures"/>
        <w:tabs>
          <w:tab w:val="right" w:leader="dot" w:pos="8486"/>
        </w:tabs>
        <w:rPr>
          <w:noProof/>
          <w:lang w:val="en-US"/>
        </w:rPr>
      </w:pPr>
      <w:hyperlink w:anchor="_Toc113105181" w:history="1">
        <w:r>
          <w:rPr>
            <w:rStyle w:val="Hyperlink"/>
            <w:noProof/>
            <w:szCs w:val="22"/>
          </w:rPr>
          <w:t>Table 4: Two States of Commitment</w:t>
        </w:r>
        <w:r>
          <w:rPr>
            <w:noProof/>
            <w:webHidden/>
          </w:rPr>
          <w:tab/>
        </w:r>
        <w:r>
          <w:rPr>
            <w:noProof/>
            <w:webHidden/>
          </w:rPr>
          <w:fldChar w:fldCharType="begin"/>
        </w:r>
        <w:r>
          <w:rPr>
            <w:noProof/>
            <w:webHidden/>
          </w:rPr>
          <w:instrText xml:space="preserve"> PAGEREF _Toc113105181 \h </w:instrText>
        </w:r>
        <w:r>
          <w:rPr>
            <w:noProof/>
          </w:rPr>
        </w:r>
        <w:r>
          <w:rPr>
            <w:noProof/>
            <w:webHidden/>
          </w:rPr>
          <w:fldChar w:fldCharType="separate"/>
        </w:r>
        <w:r w:rsidR="00FA61D1">
          <w:rPr>
            <w:noProof/>
            <w:webHidden/>
          </w:rPr>
          <w:t>27</w:t>
        </w:r>
        <w:r>
          <w:rPr>
            <w:noProof/>
            <w:webHidden/>
          </w:rPr>
          <w:fldChar w:fldCharType="end"/>
        </w:r>
      </w:hyperlink>
    </w:p>
    <w:p w:rsidR="00DC19F1" w:rsidRDefault="00DC19F1">
      <w:pPr>
        <w:pStyle w:val="TableofFigures"/>
        <w:tabs>
          <w:tab w:val="right" w:leader="dot" w:pos="8486"/>
        </w:tabs>
        <w:rPr>
          <w:noProof/>
          <w:lang w:val="en-US"/>
        </w:rPr>
      </w:pPr>
      <w:hyperlink w:anchor="_Toc113105182" w:history="1">
        <w:r>
          <w:rPr>
            <w:rStyle w:val="Hyperlink"/>
            <w:noProof/>
            <w:szCs w:val="22"/>
          </w:rPr>
          <w:t>Table 5: Three Spuriously Brand Loyal or ‘Calculative’ Commitment States</w:t>
        </w:r>
        <w:r>
          <w:rPr>
            <w:noProof/>
            <w:webHidden/>
          </w:rPr>
          <w:tab/>
        </w:r>
        <w:r>
          <w:rPr>
            <w:noProof/>
            <w:webHidden/>
          </w:rPr>
          <w:fldChar w:fldCharType="begin"/>
        </w:r>
        <w:r>
          <w:rPr>
            <w:noProof/>
            <w:webHidden/>
          </w:rPr>
          <w:instrText xml:space="preserve"> PAGEREF _Toc113105182 \h </w:instrText>
        </w:r>
        <w:r>
          <w:rPr>
            <w:noProof/>
          </w:rPr>
        </w:r>
        <w:r>
          <w:rPr>
            <w:noProof/>
            <w:webHidden/>
          </w:rPr>
          <w:fldChar w:fldCharType="separate"/>
        </w:r>
        <w:r w:rsidR="00FA61D1">
          <w:rPr>
            <w:noProof/>
            <w:webHidden/>
          </w:rPr>
          <w:t>27</w:t>
        </w:r>
        <w:r>
          <w:rPr>
            <w:noProof/>
            <w:webHidden/>
          </w:rPr>
          <w:fldChar w:fldCharType="end"/>
        </w:r>
      </w:hyperlink>
    </w:p>
    <w:p w:rsidR="00DC19F1" w:rsidRDefault="00DC19F1">
      <w:pPr>
        <w:pStyle w:val="TableofFigures"/>
        <w:tabs>
          <w:tab w:val="right" w:leader="dot" w:pos="8486"/>
        </w:tabs>
        <w:rPr>
          <w:noProof/>
          <w:lang w:val="en-US"/>
        </w:rPr>
      </w:pPr>
      <w:hyperlink w:anchor="_Toc113105183" w:history="1">
        <w:r>
          <w:rPr>
            <w:rStyle w:val="Hyperlink"/>
            <w:noProof/>
            <w:szCs w:val="22"/>
          </w:rPr>
          <w:t>Table 6: Extracts from Unconditional Commitment and Conditional Commitment Data</w:t>
        </w:r>
        <w:r>
          <w:rPr>
            <w:noProof/>
            <w:webHidden/>
          </w:rPr>
          <w:tab/>
        </w:r>
        <w:r>
          <w:rPr>
            <w:noProof/>
            <w:webHidden/>
          </w:rPr>
          <w:fldChar w:fldCharType="begin"/>
        </w:r>
        <w:r>
          <w:rPr>
            <w:noProof/>
            <w:webHidden/>
          </w:rPr>
          <w:instrText xml:space="preserve"> PAGEREF _Toc113105183 \h </w:instrText>
        </w:r>
        <w:r>
          <w:rPr>
            <w:noProof/>
          </w:rPr>
        </w:r>
        <w:r>
          <w:rPr>
            <w:noProof/>
            <w:webHidden/>
          </w:rPr>
          <w:fldChar w:fldCharType="separate"/>
        </w:r>
        <w:r w:rsidR="00FA61D1">
          <w:rPr>
            <w:noProof/>
            <w:webHidden/>
          </w:rPr>
          <w:t>38</w:t>
        </w:r>
        <w:r>
          <w:rPr>
            <w:noProof/>
            <w:webHidden/>
          </w:rPr>
          <w:fldChar w:fldCharType="end"/>
        </w:r>
      </w:hyperlink>
    </w:p>
    <w:p w:rsidR="00DC19F1" w:rsidRDefault="00DC19F1">
      <w:pPr>
        <w:pStyle w:val="TableofFigures"/>
        <w:tabs>
          <w:tab w:val="right" w:leader="dot" w:pos="8486"/>
        </w:tabs>
        <w:rPr>
          <w:noProof/>
          <w:lang w:val="en-US"/>
        </w:rPr>
      </w:pPr>
      <w:hyperlink w:anchor="_Toc113105184" w:history="1">
        <w:r>
          <w:rPr>
            <w:rStyle w:val="Hyperlink"/>
            <w:noProof/>
            <w:szCs w:val="22"/>
          </w:rPr>
          <w:t>Table 7: Extracts from ‘Inertia of Loyalty’ Data</w:t>
        </w:r>
        <w:r>
          <w:rPr>
            <w:noProof/>
            <w:webHidden/>
          </w:rPr>
          <w:tab/>
        </w:r>
        <w:r>
          <w:rPr>
            <w:noProof/>
            <w:webHidden/>
          </w:rPr>
          <w:fldChar w:fldCharType="begin"/>
        </w:r>
        <w:r>
          <w:rPr>
            <w:noProof/>
            <w:webHidden/>
          </w:rPr>
          <w:instrText xml:space="preserve"> PAGEREF _Toc113105184 \h </w:instrText>
        </w:r>
        <w:r>
          <w:rPr>
            <w:noProof/>
          </w:rPr>
        </w:r>
        <w:r>
          <w:rPr>
            <w:noProof/>
            <w:webHidden/>
          </w:rPr>
          <w:fldChar w:fldCharType="separate"/>
        </w:r>
        <w:r w:rsidR="00FA61D1">
          <w:rPr>
            <w:noProof/>
            <w:webHidden/>
          </w:rPr>
          <w:t>38</w:t>
        </w:r>
        <w:r>
          <w:rPr>
            <w:noProof/>
            <w:webHidden/>
          </w:rPr>
          <w:fldChar w:fldCharType="end"/>
        </w:r>
      </w:hyperlink>
    </w:p>
    <w:p w:rsidR="00DC19F1" w:rsidRDefault="00DC19F1">
      <w:pPr>
        <w:pStyle w:val="TableofFigures"/>
        <w:tabs>
          <w:tab w:val="right" w:leader="dot" w:pos="8486"/>
        </w:tabs>
        <w:rPr>
          <w:noProof/>
          <w:lang w:val="en-US"/>
        </w:rPr>
      </w:pPr>
      <w:hyperlink w:anchor="_Toc113105185" w:history="1">
        <w:r>
          <w:rPr>
            <w:rStyle w:val="Hyperlink"/>
            <w:noProof/>
            <w:szCs w:val="22"/>
          </w:rPr>
          <w:t>Table 8: Extracts from Prisoner and Temporary Hostage data</w:t>
        </w:r>
        <w:r>
          <w:rPr>
            <w:noProof/>
            <w:webHidden/>
          </w:rPr>
          <w:tab/>
        </w:r>
        <w:r>
          <w:rPr>
            <w:noProof/>
            <w:webHidden/>
          </w:rPr>
          <w:fldChar w:fldCharType="begin"/>
        </w:r>
        <w:r>
          <w:rPr>
            <w:noProof/>
            <w:webHidden/>
          </w:rPr>
          <w:instrText xml:space="preserve"> PAGEREF _Toc113105185 \h </w:instrText>
        </w:r>
        <w:r>
          <w:rPr>
            <w:noProof/>
          </w:rPr>
        </w:r>
        <w:r>
          <w:rPr>
            <w:noProof/>
            <w:webHidden/>
          </w:rPr>
          <w:fldChar w:fldCharType="separate"/>
        </w:r>
        <w:r w:rsidR="00FA61D1">
          <w:rPr>
            <w:noProof/>
            <w:webHidden/>
          </w:rPr>
          <w:t>39</w:t>
        </w:r>
        <w:r>
          <w:rPr>
            <w:noProof/>
            <w:webHidden/>
          </w:rPr>
          <w:fldChar w:fldCharType="end"/>
        </w:r>
      </w:hyperlink>
    </w:p>
    <w:p w:rsidR="00DC19F1" w:rsidRDefault="00DC19F1">
      <w:r>
        <w:fldChar w:fldCharType="end"/>
      </w:r>
    </w:p>
    <w:p w:rsidR="00DC19F1" w:rsidRDefault="00DC19F1">
      <w:pPr>
        <w:rPr>
          <w:b/>
          <w:bCs/>
        </w:rPr>
      </w:pPr>
      <w:r>
        <w:br w:type="page"/>
      </w:r>
      <w:bookmarkStart w:id="0" w:name="_Toc113077990"/>
      <w:r>
        <w:rPr>
          <w:b/>
          <w:bCs/>
        </w:rPr>
        <w:lastRenderedPageBreak/>
        <w:t>GLOSSARY</w:t>
      </w:r>
      <w:bookmarkEnd w:id="0"/>
    </w:p>
    <w:p w:rsidR="00DC19F1" w:rsidRDefault="00DC19F1">
      <w:pPr>
        <w:pStyle w:val="Header"/>
        <w:tabs>
          <w:tab w:val="clear" w:pos="4320"/>
          <w:tab w:val="clear" w:pos="8640"/>
        </w:tabs>
      </w:pPr>
    </w:p>
    <w:p w:rsidR="00DC19F1" w:rsidRDefault="00DC19F1">
      <w:pPr>
        <w:spacing w:line="360" w:lineRule="auto"/>
        <w:rPr>
          <w:sz w:val="22"/>
        </w:rPr>
      </w:pPr>
      <w:r>
        <w:rPr>
          <w:i/>
          <w:iCs/>
          <w:sz w:val="22"/>
        </w:rPr>
        <w:t>Commitment</w:t>
      </w:r>
      <w:r>
        <w:rPr>
          <w:sz w:val="22"/>
        </w:rPr>
        <w:t xml:space="preserve"> is ascertained in the study, by its effect, as: ‘a resistance to switching for positive reasons’.  A formal definition is:</w:t>
      </w:r>
    </w:p>
    <w:p w:rsidR="00DC19F1" w:rsidRDefault="00DC19F1">
      <w:pPr>
        <w:rPr>
          <w:sz w:val="22"/>
        </w:rPr>
      </w:pPr>
    </w:p>
    <w:p w:rsidR="00DC19F1" w:rsidRDefault="00DC19F1">
      <w:pPr>
        <w:pStyle w:val="BodyText"/>
      </w:pPr>
      <w:r>
        <w:t xml:space="preserve">The pledging or binding of a customer, through emotional and/or psychological (evaluative) attachments to one banking services provider, out of a set of banks, producing a resistance to the notion of switching business to another bank, which resistance is neither primarily the outcome of: (i) </w:t>
      </w:r>
      <w:r>
        <w:rPr>
          <w:i/>
          <w:iCs/>
        </w:rPr>
        <w:t xml:space="preserve">perceived </w:t>
      </w:r>
      <w:r>
        <w:t>permanent or temporary economic/contractual ties; nor is it mainly a result of: (ii)</w:t>
      </w:r>
      <w:r>
        <w:rPr>
          <w:i/>
          <w:iCs/>
        </w:rPr>
        <w:t xml:space="preserve"> inertia.</w:t>
      </w:r>
      <w:r>
        <w:t xml:space="preserve"> </w:t>
      </w:r>
    </w:p>
    <w:p w:rsidR="00DC19F1" w:rsidRDefault="00DC19F1">
      <w:pPr>
        <w:pStyle w:val="BodyText"/>
      </w:pPr>
    </w:p>
    <w:p w:rsidR="00DC19F1" w:rsidRDefault="00DC19F1">
      <w:pPr>
        <w:pStyle w:val="BodyText"/>
      </w:pPr>
      <w:r>
        <w:rPr>
          <w:i/>
          <w:iCs/>
        </w:rPr>
        <w:t xml:space="preserve">Inertia: </w:t>
      </w:r>
      <w:r>
        <w:t xml:space="preserve">is repeat patronage based on indifferent or negative regard towards the banking service provider, or towards its attributes, and is founded on the customer perceptions that it would take too much time and trouble to switch business to another provider because of the perceived lack of a much better alternative. </w:t>
      </w:r>
    </w:p>
    <w:p w:rsidR="00DC19F1" w:rsidRDefault="00DC19F1">
      <w:pPr>
        <w:pStyle w:val="BodyText"/>
      </w:pPr>
    </w:p>
    <w:p w:rsidR="00DC19F1" w:rsidRDefault="00DC19F1">
      <w:pPr>
        <w:spacing w:line="360" w:lineRule="auto"/>
        <w:rPr>
          <w:i/>
          <w:iCs/>
          <w:sz w:val="22"/>
        </w:rPr>
      </w:pPr>
      <w:r>
        <w:rPr>
          <w:i/>
          <w:iCs/>
          <w:sz w:val="22"/>
        </w:rPr>
        <w:t xml:space="preserve">Three Components </w:t>
      </w:r>
      <w:r>
        <w:rPr>
          <w:sz w:val="22"/>
        </w:rPr>
        <w:t>of commitment:</w:t>
      </w:r>
    </w:p>
    <w:p w:rsidR="00DC19F1" w:rsidRDefault="00DC19F1">
      <w:pPr>
        <w:spacing w:line="360" w:lineRule="auto"/>
        <w:rPr>
          <w:sz w:val="22"/>
        </w:rPr>
      </w:pPr>
      <w:r>
        <w:rPr>
          <w:i/>
          <w:iCs/>
          <w:sz w:val="22"/>
        </w:rPr>
        <w:t>Affective Commitment</w:t>
      </w:r>
      <w:r>
        <w:rPr>
          <w:sz w:val="22"/>
        </w:rPr>
        <w:t xml:space="preserve"> is to maintain a relationship because you </w:t>
      </w:r>
      <w:r>
        <w:rPr>
          <w:i/>
          <w:iCs/>
          <w:sz w:val="22"/>
        </w:rPr>
        <w:t xml:space="preserve">want to </w:t>
      </w:r>
      <w:r>
        <w:rPr>
          <w:sz w:val="22"/>
        </w:rPr>
        <w:t>(Allen and Meyer, 1990). It is</w:t>
      </w:r>
      <w:r>
        <w:rPr>
          <w:i/>
          <w:iCs/>
          <w:sz w:val="22"/>
        </w:rPr>
        <w:t xml:space="preserve"> </w:t>
      </w:r>
      <w:r>
        <w:rPr>
          <w:sz w:val="22"/>
        </w:rPr>
        <w:t xml:space="preserve">based on the strength of an individual’s positive preference toward a particular organisation, their liking, </w:t>
      </w:r>
      <w:r>
        <w:rPr>
          <w:i/>
          <w:iCs/>
          <w:sz w:val="22"/>
        </w:rPr>
        <w:t>identification</w:t>
      </w:r>
      <w:r>
        <w:rPr>
          <w:sz w:val="22"/>
        </w:rPr>
        <w:t xml:space="preserve"> and involvement with the goals and values of an organisation for its own sake, </w:t>
      </w:r>
      <w:r>
        <w:rPr>
          <w:i/>
          <w:iCs/>
          <w:sz w:val="22"/>
        </w:rPr>
        <w:t>apart from its purely instrumental worth</w:t>
      </w:r>
      <w:r>
        <w:rPr>
          <w:sz w:val="22"/>
        </w:rPr>
        <w:t xml:space="preserve"> (Buchanan, 1974, p.533; Mowday Steers and Porter, 1979, Herscovitch and Meyer, 2002). </w:t>
      </w:r>
    </w:p>
    <w:p w:rsidR="00DC19F1" w:rsidRDefault="00DC19F1">
      <w:pPr>
        <w:spacing w:line="360" w:lineRule="auto"/>
        <w:rPr>
          <w:i/>
          <w:iCs/>
          <w:sz w:val="22"/>
        </w:rPr>
      </w:pPr>
    </w:p>
    <w:p w:rsidR="00DC19F1" w:rsidRDefault="00DC19F1">
      <w:pPr>
        <w:pStyle w:val="BodyText2"/>
        <w:rPr>
          <w:i w:val="0"/>
          <w:iCs w:val="0"/>
          <w:sz w:val="22"/>
        </w:rPr>
      </w:pPr>
      <w:r>
        <w:rPr>
          <w:sz w:val="22"/>
        </w:rPr>
        <w:t>Calculative Commitment</w:t>
      </w:r>
      <w:r>
        <w:rPr>
          <w:i w:val="0"/>
          <w:iCs w:val="0"/>
          <w:sz w:val="22"/>
        </w:rPr>
        <w:t xml:space="preserve"> is to maintain a relationship because you </w:t>
      </w:r>
      <w:r>
        <w:rPr>
          <w:sz w:val="22"/>
        </w:rPr>
        <w:t>need to</w:t>
      </w:r>
      <w:r>
        <w:rPr>
          <w:i w:val="0"/>
          <w:iCs w:val="0"/>
          <w:sz w:val="22"/>
        </w:rPr>
        <w:t>,</w:t>
      </w:r>
      <w:r>
        <w:rPr>
          <w:sz w:val="22"/>
        </w:rPr>
        <w:t xml:space="preserve"> </w:t>
      </w:r>
      <w:r>
        <w:rPr>
          <w:i w:val="0"/>
          <w:iCs w:val="0"/>
          <w:sz w:val="22"/>
        </w:rPr>
        <w:t>(Allen and Meyer, 1990),</w:t>
      </w:r>
      <w:r>
        <w:rPr>
          <w:sz w:val="22"/>
        </w:rPr>
        <w:t xml:space="preserve"> </w:t>
      </w:r>
      <w:r>
        <w:rPr>
          <w:i w:val="0"/>
          <w:iCs w:val="0"/>
          <w:sz w:val="22"/>
        </w:rPr>
        <w:t xml:space="preserve">as long as the benefits attached to this brand exceed the costs of switching to another brand. Maintaining this consistent patronage is based mainly upon a cognitive/psychological evaluation of the brand, which implies that the consumer appears as seemingly loyal for opportunistic reasons (Amine, 1998). This has also been termed Continuance Commitment (Allen and Meyer, 1990, Bansal, Irving and Taylor, 2004), Structural, or Cost Commitment (Kiesler, 1971). </w:t>
      </w:r>
    </w:p>
    <w:p w:rsidR="00DC19F1" w:rsidRDefault="00DC19F1">
      <w:pPr>
        <w:pStyle w:val="BodyText2"/>
        <w:rPr>
          <w:i w:val="0"/>
          <w:iCs w:val="0"/>
          <w:sz w:val="22"/>
        </w:rPr>
      </w:pPr>
    </w:p>
    <w:p w:rsidR="00DC19F1" w:rsidRDefault="00DC19F1">
      <w:pPr>
        <w:spacing w:line="360" w:lineRule="auto"/>
        <w:rPr>
          <w:sz w:val="22"/>
        </w:rPr>
      </w:pPr>
      <w:r>
        <w:rPr>
          <w:i/>
          <w:iCs/>
          <w:sz w:val="22"/>
        </w:rPr>
        <w:t xml:space="preserve">Normative </w:t>
      </w:r>
      <w:r>
        <w:rPr>
          <w:sz w:val="22"/>
        </w:rPr>
        <w:t>or</w:t>
      </w:r>
      <w:r>
        <w:rPr>
          <w:i/>
          <w:iCs/>
          <w:sz w:val="22"/>
        </w:rPr>
        <w:t xml:space="preserve"> Moral Commitment</w:t>
      </w:r>
      <w:r>
        <w:rPr>
          <w:sz w:val="22"/>
        </w:rPr>
        <w:t xml:space="preserve"> is to stay with an organisation because of a feeling that you </w:t>
      </w:r>
      <w:r>
        <w:rPr>
          <w:i/>
          <w:iCs/>
          <w:sz w:val="22"/>
        </w:rPr>
        <w:t xml:space="preserve">ought to </w:t>
      </w:r>
      <w:r>
        <w:rPr>
          <w:sz w:val="22"/>
        </w:rPr>
        <w:t xml:space="preserve">(Allen and Meyer, 1990) out of a sense of duty or obligation, which is based on moral imperatives (Kumar Hibbard and Stern, 1994). </w:t>
      </w:r>
    </w:p>
    <w:p w:rsidR="00DC19F1" w:rsidRDefault="00DC19F1">
      <w:pPr>
        <w:pStyle w:val="Heading2"/>
        <w:spacing w:line="240" w:lineRule="auto"/>
        <w:rPr>
          <w:u w:val="single"/>
        </w:rPr>
        <w:sectPr w:rsidR="00DC19F1">
          <w:pgSz w:w="11909" w:h="16834" w:code="9"/>
          <w:pgMar w:top="850" w:right="850" w:bottom="850" w:left="2275" w:header="720" w:footer="720" w:gutter="288"/>
          <w:pgNumType w:fmt="lowerRoman" w:start="1"/>
          <w:cols w:space="708"/>
          <w:docGrid w:linePitch="360"/>
        </w:sectPr>
      </w:pPr>
    </w:p>
    <w:p w:rsidR="00DC19F1" w:rsidRDefault="00DC19F1">
      <w:pPr>
        <w:pStyle w:val="BodyText"/>
        <w:rPr>
          <w:b/>
          <w:bCs/>
          <w:sz w:val="24"/>
          <w:u w:val="single"/>
        </w:rPr>
      </w:pPr>
      <w:r>
        <w:rPr>
          <w:b/>
          <w:bCs/>
          <w:sz w:val="24"/>
          <w:u w:val="single"/>
        </w:rPr>
        <w:lastRenderedPageBreak/>
        <w:t xml:space="preserve">SECTION ONE </w:t>
      </w:r>
    </w:p>
    <w:p w:rsidR="00DC19F1" w:rsidRDefault="00DC19F1">
      <w:pPr>
        <w:pStyle w:val="BodyText"/>
      </w:pPr>
    </w:p>
    <w:p w:rsidR="00DC19F1" w:rsidRDefault="00DC19F1">
      <w:pPr>
        <w:pStyle w:val="Heading1"/>
      </w:pPr>
      <w:bookmarkStart w:id="1" w:name="_Toc113077991"/>
      <w:bookmarkStart w:id="2" w:name="_Toc132368258"/>
      <w:r>
        <w:t>HOW VALIDITY AND RELIABILITY HAVE BEEN TREATED IN THIS PhD</w:t>
      </w:r>
      <w:bookmarkEnd w:id="1"/>
      <w:bookmarkEnd w:id="2"/>
    </w:p>
    <w:p w:rsidR="00DC19F1" w:rsidRDefault="00DC19F1">
      <w:pPr>
        <w:rPr>
          <w:sz w:val="22"/>
        </w:rPr>
      </w:pPr>
    </w:p>
    <w:p w:rsidR="00DC19F1" w:rsidRDefault="00DC19F1">
      <w:pPr>
        <w:pStyle w:val="Header"/>
        <w:tabs>
          <w:tab w:val="clear" w:pos="4320"/>
          <w:tab w:val="clear" w:pos="8640"/>
        </w:tabs>
        <w:rPr>
          <w:lang w:val="en-US"/>
        </w:rPr>
      </w:pPr>
    </w:p>
    <w:p w:rsidR="00DC19F1" w:rsidRDefault="00DC19F1">
      <w:pPr>
        <w:spacing w:line="360" w:lineRule="auto"/>
        <w:rPr>
          <w:sz w:val="22"/>
        </w:rPr>
      </w:pPr>
      <w:r>
        <w:rPr>
          <w:sz w:val="22"/>
          <w:lang w:val="en-US"/>
        </w:rPr>
        <w:t xml:space="preserve">In this work an </w:t>
      </w:r>
      <w:r>
        <w:rPr>
          <w:i/>
          <w:iCs/>
          <w:sz w:val="22"/>
          <w:lang w:val="en-US"/>
        </w:rPr>
        <w:t xml:space="preserve">interpretive </w:t>
      </w:r>
      <w:r>
        <w:rPr>
          <w:sz w:val="22"/>
          <w:lang w:val="en-US"/>
        </w:rPr>
        <w:t xml:space="preserve">approach explored in depth forty marketing practitioners’ and consumers’ views of customer brand commitment to consumer banking services providers. </w:t>
      </w:r>
      <w:r>
        <w:rPr>
          <w:sz w:val="22"/>
        </w:rPr>
        <w:t xml:space="preserve">Validity in qualitative research can be viewed as: </w:t>
      </w:r>
      <w:r>
        <w:rPr>
          <w:i/>
          <w:iCs/>
          <w:sz w:val="22"/>
        </w:rPr>
        <w:t>“The extent to which an account accurately represents the social phenomenon to which it refers”</w:t>
      </w:r>
      <w:r>
        <w:rPr>
          <w:sz w:val="22"/>
        </w:rPr>
        <w:t xml:space="preserve"> (Hammersley, 1990, p.57). </w:t>
      </w:r>
    </w:p>
    <w:p w:rsidR="00DC19F1" w:rsidRDefault="00DC19F1">
      <w:pPr>
        <w:spacing w:line="360" w:lineRule="auto"/>
        <w:rPr>
          <w:sz w:val="22"/>
        </w:rPr>
      </w:pPr>
    </w:p>
    <w:p w:rsidR="00DC19F1" w:rsidRDefault="00DC19F1">
      <w:pPr>
        <w:spacing w:line="360" w:lineRule="auto"/>
        <w:rPr>
          <w:sz w:val="22"/>
        </w:rPr>
      </w:pPr>
      <w:r>
        <w:rPr>
          <w:sz w:val="22"/>
        </w:rPr>
        <w:t>Several authors (amongst them: Deshpande, 1983; Deutscher, 1970; and Merton, 1957) have noted that qualitative research methods emphasise validity, while playing down the importance of reliability, whereas quantitative research methods in the positivistic paradigm emphasise reliability with ‘hard’ and ‘replicable data’ (Deshpande, 1983). For Deshpande (1983), under the qualitative paradigm,</w:t>
      </w:r>
      <w:r>
        <w:rPr>
          <w:i/>
          <w:iCs/>
          <w:sz w:val="22"/>
        </w:rPr>
        <w:t xml:space="preserve"> “Validity is critical; ‘real’, ‘rich’, and ‘deep’ data” </w:t>
      </w:r>
      <w:r>
        <w:rPr>
          <w:sz w:val="22"/>
        </w:rPr>
        <w:t xml:space="preserve">are stressed. </w:t>
      </w:r>
    </w:p>
    <w:p w:rsidR="00DC19F1" w:rsidRDefault="00DC19F1">
      <w:pPr>
        <w:spacing w:line="360" w:lineRule="auto"/>
      </w:pPr>
    </w:p>
    <w:p w:rsidR="00DC19F1" w:rsidRDefault="00DC19F1">
      <w:pPr>
        <w:spacing w:line="360" w:lineRule="auto"/>
        <w:rPr>
          <w:sz w:val="22"/>
        </w:rPr>
      </w:pPr>
      <w:r>
        <w:rPr>
          <w:sz w:val="22"/>
        </w:rPr>
        <w:t>The interpretive approach in this study therefore aims to capture the essence of a phenomenon and to highlight rich and illuminating data. Validity is high under such a paradigm, as the researcher aims to gain access to the knowledge and meaning of those involved (in this case, those involved are marketing practitioners and consumers of banking services).  But some measures that are needed to encourage reliability are in conflict with the goal of establishing validity within the qualitative paradigm. Morgan (1983, p.14-15) contends:</w:t>
      </w:r>
    </w:p>
    <w:p w:rsidR="00DC19F1" w:rsidRDefault="00DC19F1">
      <w:pPr>
        <w:spacing w:line="360" w:lineRule="auto"/>
        <w:rPr>
          <w:sz w:val="22"/>
        </w:rPr>
      </w:pPr>
    </w:p>
    <w:p w:rsidR="00DC19F1" w:rsidRDefault="00DC19F1">
      <w:pPr>
        <w:spacing w:line="360" w:lineRule="auto"/>
        <w:rPr>
          <w:i/>
          <w:iCs/>
        </w:rPr>
      </w:pPr>
      <w:r>
        <w:rPr>
          <w:i/>
          <w:iCs/>
          <w:sz w:val="22"/>
        </w:rPr>
        <w:t>“Different research perspectives make different kinds of knowledge claims, and the criteria as to what counts as significant knowledge vary from one to another.”</w:t>
      </w:r>
    </w:p>
    <w:p w:rsidR="00DC19F1" w:rsidRDefault="00DC19F1">
      <w:pPr>
        <w:spacing w:line="360" w:lineRule="auto"/>
        <w:rPr>
          <w:sz w:val="22"/>
        </w:rPr>
      </w:pPr>
    </w:p>
    <w:p w:rsidR="00DC19F1" w:rsidRDefault="00DC19F1">
      <w:pPr>
        <w:pStyle w:val="BodyText"/>
      </w:pPr>
      <w:r>
        <w:t xml:space="preserve">Over time alternative dimensions proposed in a framework for qualitative work by Lincoln and Guba, (1985) have subsequently been presented as accepted trustworthiness criteria for interpretivist research, such as that undertaken in the present study. </w:t>
      </w:r>
      <w:r>
        <w:rPr>
          <w:i/>
          <w:iCs/>
        </w:rPr>
        <w:t>“Terms such as credibility, transferability, dependability and confirmability replace the usual positivist criteria of internal and external validity, reliability and objectivity”</w:t>
      </w:r>
      <w:r>
        <w:t xml:space="preserve"> (Denzin and Lincoln, 2000, p.21). </w:t>
      </w:r>
    </w:p>
    <w:p w:rsidR="00DC19F1" w:rsidRDefault="00DC19F1">
      <w:pPr>
        <w:pStyle w:val="BodyText"/>
      </w:pPr>
    </w:p>
    <w:p w:rsidR="00DC19F1" w:rsidRDefault="00DC19F1">
      <w:pPr>
        <w:pStyle w:val="Heading6"/>
      </w:pPr>
      <w:r>
        <w:lastRenderedPageBreak/>
        <w:t xml:space="preserve">These dimensions have been grouped under </w:t>
      </w:r>
      <w:r>
        <w:rPr>
          <w:i/>
          <w:iCs/>
        </w:rPr>
        <w:t>trustworthiness</w:t>
      </w:r>
      <w:r>
        <w:t xml:space="preserve">, the umbrella criterion for evaluating qualitative enquiry, by numerous authors including: Lincoln and Guba (1985, chapter eleven); Guba and </w:t>
      </w:r>
      <w:smartTag w:uri="urn:schemas-microsoft-com:office:smarttags" w:element="place">
        <w:smartTag w:uri="urn:schemas-microsoft-com:office:smarttags" w:element="City">
          <w:r>
            <w:t>Lincoln</w:t>
          </w:r>
        </w:smartTag>
      </w:smartTag>
      <w:r>
        <w:t xml:space="preserve"> (1989); Erlandson, Harris, Skipper and Allen, (1993); Kvale, (1996) and Denzin and Lincoln, (2000, p.22). </w:t>
      </w:r>
    </w:p>
    <w:p w:rsidR="00DC19F1" w:rsidRDefault="00DC19F1">
      <w:pPr>
        <w:pStyle w:val="Heading6"/>
        <w:rPr>
          <w:b/>
          <w:bCs/>
        </w:rPr>
      </w:pPr>
    </w:p>
    <w:p w:rsidR="00DC19F1" w:rsidRDefault="00DC19F1">
      <w:pPr>
        <w:pStyle w:val="Heading6"/>
      </w:pPr>
      <w:r>
        <w:t xml:space="preserve">In this work Table 1 firstly lists techniques considered by several authors to support such a </w:t>
      </w:r>
      <w:r>
        <w:rPr>
          <w:i/>
          <w:iCs/>
        </w:rPr>
        <w:t>trustworthiness</w:t>
      </w:r>
      <w:r>
        <w:t xml:space="preserve"> criterion in qualitative research. Moreover, Table 1 indicates that most of the techniques have been employed at least partially in the present study. </w:t>
      </w:r>
    </w:p>
    <w:p w:rsidR="00DC19F1" w:rsidRDefault="00DC19F1">
      <w:pPr>
        <w:pStyle w:val="Heading6"/>
      </w:pPr>
    </w:p>
    <w:p w:rsidR="00DC19F1" w:rsidRDefault="00DC19F1">
      <w:pPr>
        <w:pStyle w:val="Heading6"/>
        <w:rPr>
          <w:i/>
          <w:iCs/>
        </w:rPr>
      </w:pPr>
      <w:r>
        <w:t>An assessment and discussion of this work’s</w:t>
      </w:r>
      <w:r>
        <w:rPr>
          <w:i/>
          <w:iCs/>
        </w:rPr>
        <w:t xml:space="preserve"> validity, reliability </w:t>
      </w:r>
      <w:r>
        <w:t>and</w:t>
      </w:r>
      <w:r>
        <w:rPr>
          <w:i/>
          <w:iCs/>
        </w:rPr>
        <w:t xml:space="preserve"> generalisability </w:t>
      </w:r>
      <w:r>
        <w:t xml:space="preserve">is structured around the four Guba and </w:t>
      </w:r>
      <w:smartTag w:uri="urn:schemas-microsoft-com:office:smarttags" w:element="place">
        <w:smartTag w:uri="urn:schemas-microsoft-com:office:smarttags" w:element="City">
          <w:r>
            <w:t>Lincoln</w:t>
          </w:r>
        </w:smartTag>
      </w:smartTag>
      <w:r>
        <w:t xml:space="preserve"> (1989) dimensions, beginning with c</w:t>
      </w:r>
      <w:r>
        <w:rPr>
          <w:i/>
          <w:iCs/>
        </w:rPr>
        <w:t>redibility</w:t>
      </w:r>
      <w:r>
        <w:t xml:space="preserve">, the most important dimension for qualitative work, as established earlier (Deshpande, 1983; Deutscher, 1970; and Merton, 1957), because it relates to </w:t>
      </w:r>
      <w:r>
        <w:rPr>
          <w:i/>
          <w:iCs/>
        </w:rPr>
        <w:t>validity</w:t>
      </w:r>
      <w:r>
        <w:t>.</w:t>
      </w:r>
    </w:p>
    <w:p w:rsidR="00DC19F1" w:rsidRDefault="00DC19F1">
      <w:pPr>
        <w:rPr>
          <w:sz w:val="22"/>
        </w:rPr>
      </w:pPr>
    </w:p>
    <w:p w:rsidR="00DC19F1" w:rsidRDefault="00DC19F1">
      <w:pPr>
        <w:pStyle w:val="Heading2"/>
      </w:pPr>
      <w:bookmarkStart w:id="3" w:name="_Toc113077992"/>
      <w:bookmarkStart w:id="4" w:name="_Toc132368259"/>
      <w:r>
        <w:t>1.1 CREDIBILITY</w:t>
      </w:r>
      <w:bookmarkEnd w:id="3"/>
      <w:bookmarkEnd w:id="4"/>
    </w:p>
    <w:p w:rsidR="00DC19F1" w:rsidRDefault="00DC19F1">
      <w:pPr>
        <w:rPr>
          <w:lang w:val="en-US"/>
        </w:rPr>
      </w:pPr>
    </w:p>
    <w:p w:rsidR="00DC19F1" w:rsidRDefault="00DC19F1">
      <w:pPr>
        <w:pStyle w:val="BodyText"/>
      </w:pPr>
      <w:r>
        <w:t xml:space="preserve">In the interpretive paradigm, where there is a belief that no single objective reality exists, internal validity is problematic since there are multiple perspectives. In the interpretive paradigm, according to Burrell and Morgan (1979), </w:t>
      </w:r>
      <w:r>
        <w:rPr>
          <w:i/>
          <w:iCs/>
        </w:rPr>
        <w:t>“Social reality, insofar as it is recognised to have any existence outside the consciousness of any single individual, is regarded as being little more than a network of assumptions and intersubjectively shared meanings”</w:t>
      </w:r>
      <w:r>
        <w:t xml:space="preserve">(p.30-31). </w:t>
      </w:r>
    </w:p>
    <w:p w:rsidR="00DC19F1" w:rsidRDefault="00DC19F1">
      <w:pPr>
        <w:pStyle w:val="BodyText"/>
      </w:pPr>
    </w:p>
    <w:p w:rsidR="00DC19F1" w:rsidRDefault="00DC19F1">
      <w:pPr>
        <w:pStyle w:val="BodyText"/>
      </w:pPr>
      <w:r>
        <w:t xml:space="preserve">A </w:t>
      </w:r>
      <w:r>
        <w:rPr>
          <w:i/>
          <w:iCs/>
        </w:rPr>
        <w:t>credibility</w:t>
      </w:r>
      <w:r>
        <w:t xml:space="preserve"> criterion therefore replaces the idea of internal validity from positivist paradigms, and is concerned with matching findings to reality with </w:t>
      </w:r>
      <w:r>
        <w:rPr>
          <w:i/>
          <w:iCs/>
        </w:rPr>
        <w:t>“the isomorphism between constructed realities of respondents and the reconstructions attributed to them”</w:t>
      </w:r>
      <w:r>
        <w:t xml:space="preserve">(Guba and Lincoln 1989, p.237). Unlike its conventional internal validity ‘equivalent’, then, achieving </w:t>
      </w:r>
      <w:r>
        <w:rPr>
          <w:i/>
          <w:iCs/>
        </w:rPr>
        <w:t>credibility</w:t>
      </w:r>
      <w:r>
        <w:t xml:space="preserve"> lies in matching respondents’ perspectives with the views interpreted by the author. </w:t>
      </w:r>
    </w:p>
    <w:p w:rsidR="00DC19F1" w:rsidRDefault="00DC19F1">
      <w:pPr>
        <w:pStyle w:val="BodyText"/>
      </w:pPr>
    </w:p>
    <w:p w:rsidR="00DC19F1" w:rsidRDefault="00DC19F1">
      <w:pPr>
        <w:pStyle w:val="BodyText"/>
      </w:pPr>
      <w:r>
        <w:t xml:space="preserve">Suggested methods for achieving </w:t>
      </w:r>
      <w:r>
        <w:rPr>
          <w:i/>
          <w:iCs/>
        </w:rPr>
        <w:t>credibility</w:t>
      </w:r>
      <w:r>
        <w:t xml:space="preserve"> are amongst those for overall </w:t>
      </w:r>
      <w:r>
        <w:rPr>
          <w:i/>
          <w:iCs/>
        </w:rPr>
        <w:t>trustworthiness</w:t>
      </w:r>
      <w:r>
        <w:t xml:space="preserve"> shown on Table 1 and can include: </w:t>
      </w:r>
      <w:r>
        <w:rPr>
          <w:i/>
          <w:iCs/>
        </w:rPr>
        <w:t xml:space="preserve">triangulation, ‘member checks’ </w:t>
      </w:r>
      <w:r>
        <w:t xml:space="preserve">and </w:t>
      </w:r>
      <w:r>
        <w:rPr>
          <w:i/>
          <w:iCs/>
        </w:rPr>
        <w:t xml:space="preserve">respondent validity; negative case analysis, depth </w:t>
      </w:r>
      <w:r>
        <w:t>and</w:t>
      </w:r>
      <w:r>
        <w:rPr>
          <w:i/>
          <w:iCs/>
        </w:rPr>
        <w:t xml:space="preserve"> intimacy of interviewing; comprehensive data treatment; purposive sampling; prolonged engagement </w:t>
      </w:r>
      <w:r>
        <w:t xml:space="preserve">and </w:t>
      </w:r>
      <w:r>
        <w:rPr>
          <w:i/>
          <w:iCs/>
        </w:rPr>
        <w:t xml:space="preserve">observation in a natural setting. </w:t>
      </w:r>
    </w:p>
    <w:p w:rsidR="00DC19F1" w:rsidRDefault="00DC19F1">
      <w:pPr>
        <w:pStyle w:val="BodyText"/>
      </w:pPr>
      <w:r>
        <w:br w:type="page"/>
      </w:r>
    </w:p>
    <w:p w:rsidR="00DC19F1" w:rsidRDefault="00DC19F1">
      <w:pPr>
        <w:pStyle w:val="Caption"/>
      </w:pPr>
      <w:bookmarkStart w:id="5" w:name="_Toc113105178"/>
      <w:r>
        <w:t xml:space="preserve">Table </w:t>
      </w:r>
      <w:fldSimple w:instr=" SEQ Table \* ARABIC ">
        <w:r w:rsidR="00FA61D1">
          <w:rPr>
            <w:noProof/>
          </w:rPr>
          <w:t>1</w:t>
        </w:r>
      </w:fldSimple>
      <w:r>
        <w:t xml:space="preserve">: </w:t>
      </w:r>
      <w:r>
        <w:rPr>
          <w:lang w:val="en-US"/>
        </w:rPr>
        <w:t>Techniques suggested to improve results in interpretivist research</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1"/>
        <w:gridCol w:w="2913"/>
        <w:gridCol w:w="3408"/>
        <w:gridCol w:w="970"/>
      </w:tblGrid>
      <w:tr w:rsidR="00DC19F1">
        <w:tblPrEx>
          <w:tblCellMar>
            <w:top w:w="0" w:type="dxa"/>
            <w:bottom w:w="0" w:type="dxa"/>
          </w:tblCellMar>
        </w:tblPrEx>
        <w:trPr>
          <w:trHeight w:val="476"/>
        </w:trPr>
        <w:tc>
          <w:tcPr>
            <w:tcW w:w="1421" w:type="dxa"/>
          </w:tcPr>
          <w:p w:rsidR="00DC19F1" w:rsidRDefault="00DC19F1">
            <w:pPr>
              <w:rPr>
                <w:b/>
                <w:bCs/>
                <w:sz w:val="18"/>
                <w:lang w:val="en-US"/>
              </w:rPr>
            </w:pPr>
            <w:r>
              <w:rPr>
                <w:b/>
                <w:bCs/>
                <w:sz w:val="18"/>
                <w:lang w:val="en-US"/>
              </w:rPr>
              <w:t>Conventional Criteria</w:t>
            </w:r>
          </w:p>
        </w:tc>
        <w:tc>
          <w:tcPr>
            <w:tcW w:w="0" w:type="auto"/>
          </w:tcPr>
          <w:p w:rsidR="00DC19F1" w:rsidRDefault="00DC19F1">
            <w:pPr>
              <w:pStyle w:val="Heading7"/>
              <w:numPr>
                <w:ilvl w:val="0"/>
                <w:numId w:val="0"/>
              </w:numPr>
            </w:pPr>
            <w:r>
              <w:t>Trustworthiness Criteria</w:t>
            </w:r>
          </w:p>
          <w:p w:rsidR="00DC19F1" w:rsidRDefault="00DC19F1">
            <w:pPr>
              <w:rPr>
                <w:sz w:val="18"/>
                <w:lang w:val="en-US"/>
              </w:rPr>
            </w:pPr>
            <w:r>
              <w:rPr>
                <w:sz w:val="18"/>
                <w:lang w:val="en-US"/>
              </w:rPr>
              <w:t>(Based on Lincoln and Guba, 1985; Guba and Lincoln 1989)</w:t>
            </w:r>
          </w:p>
        </w:tc>
        <w:tc>
          <w:tcPr>
            <w:tcW w:w="3408" w:type="dxa"/>
          </w:tcPr>
          <w:p w:rsidR="00DC19F1" w:rsidRDefault="00DC19F1">
            <w:pPr>
              <w:pStyle w:val="Heading7"/>
              <w:numPr>
                <w:ilvl w:val="0"/>
                <w:numId w:val="0"/>
              </w:numPr>
            </w:pPr>
            <w:r>
              <w:t xml:space="preserve">Techniques </w:t>
            </w:r>
          </w:p>
          <w:p w:rsidR="00DC19F1" w:rsidRDefault="00DC19F1">
            <w:pPr>
              <w:rPr>
                <w:sz w:val="18"/>
                <w:lang w:val="en-US"/>
              </w:rPr>
            </w:pPr>
            <w:r>
              <w:rPr>
                <w:sz w:val="18"/>
                <w:lang w:val="en-US"/>
              </w:rPr>
              <w:t xml:space="preserve">(Based on </w:t>
            </w:r>
            <w:r>
              <w:rPr>
                <w:sz w:val="18"/>
              </w:rPr>
              <w:t xml:space="preserve">Carson, Gilmore, Perry and Gronhaug, 2001, p.68) </w:t>
            </w:r>
          </w:p>
        </w:tc>
        <w:tc>
          <w:tcPr>
            <w:tcW w:w="970" w:type="dxa"/>
          </w:tcPr>
          <w:p w:rsidR="00DC19F1" w:rsidRDefault="00DC19F1">
            <w:pPr>
              <w:pStyle w:val="Heading7"/>
              <w:numPr>
                <w:ilvl w:val="0"/>
                <w:numId w:val="0"/>
              </w:numPr>
            </w:pPr>
            <w:r>
              <w:t>Used</w:t>
            </w:r>
          </w:p>
        </w:tc>
      </w:tr>
      <w:tr w:rsidR="00DC19F1">
        <w:tblPrEx>
          <w:tblCellMar>
            <w:top w:w="0" w:type="dxa"/>
            <w:bottom w:w="0" w:type="dxa"/>
          </w:tblCellMar>
        </w:tblPrEx>
        <w:trPr>
          <w:cantSplit/>
          <w:trHeight w:val="2650"/>
        </w:trPr>
        <w:tc>
          <w:tcPr>
            <w:tcW w:w="1421" w:type="dxa"/>
            <w:tcBorders>
              <w:bottom w:val="single" w:sz="4" w:space="0" w:color="auto"/>
            </w:tcBorders>
          </w:tcPr>
          <w:p w:rsidR="00DC19F1" w:rsidRDefault="00DC19F1">
            <w:pPr>
              <w:pStyle w:val="Heading7"/>
              <w:numPr>
                <w:ilvl w:val="0"/>
                <w:numId w:val="0"/>
              </w:numPr>
              <w:rPr>
                <w:b w:val="0"/>
                <w:bCs w:val="0"/>
              </w:rPr>
            </w:pPr>
            <w:r>
              <w:rPr>
                <w:b w:val="0"/>
                <w:bCs w:val="0"/>
              </w:rPr>
              <w:t>Internal Validity</w:t>
            </w:r>
          </w:p>
          <w:p w:rsidR="00DC19F1" w:rsidRDefault="00DC19F1">
            <w:pPr>
              <w:rPr>
                <w:sz w:val="18"/>
                <w:lang w:val="en-US"/>
              </w:rPr>
            </w:pPr>
          </w:p>
          <w:p w:rsidR="00DC19F1" w:rsidRDefault="00DC19F1">
            <w:pPr>
              <w:rPr>
                <w:sz w:val="18"/>
                <w:lang w:val="en-US"/>
              </w:rPr>
            </w:pPr>
          </w:p>
          <w:p w:rsidR="00DC19F1" w:rsidRDefault="00DC19F1">
            <w:pPr>
              <w:rPr>
                <w:sz w:val="18"/>
                <w:lang w:val="en-US"/>
              </w:rPr>
            </w:pPr>
          </w:p>
        </w:tc>
        <w:tc>
          <w:tcPr>
            <w:tcW w:w="0" w:type="auto"/>
            <w:tcBorders>
              <w:bottom w:val="single" w:sz="4" w:space="0" w:color="auto"/>
            </w:tcBorders>
          </w:tcPr>
          <w:p w:rsidR="00DC19F1" w:rsidRDefault="00DC19F1">
            <w:pPr>
              <w:pStyle w:val="Heading7"/>
              <w:numPr>
                <w:ilvl w:val="0"/>
                <w:numId w:val="0"/>
              </w:numPr>
            </w:pPr>
            <w:r>
              <w:t>Credibility</w:t>
            </w:r>
          </w:p>
          <w:p w:rsidR="00DC19F1" w:rsidRDefault="00DC19F1">
            <w:pPr>
              <w:pStyle w:val="BodyText2"/>
              <w:spacing w:line="240" w:lineRule="auto"/>
              <w:rPr>
                <w:i w:val="0"/>
                <w:iCs w:val="0"/>
                <w:sz w:val="18"/>
                <w:lang w:val="en-US"/>
              </w:rPr>
            </w:pPr>
          </w:p>
        </w:tc>
        <w:tc>
          <w:tcPr>
            <w:tcW w:w="3408" w:type="dxa"/>
            <w:tcBorders>
              <w:bottom w:val="single" w:sz="4" w:space="0" w:color="auto"/>
            </w:tcBorders>
          </w:tcPr>
          <w:p w:rsidR="00DC19F1" w:rsidRDefault="00DC19F1">
            <w:pPr>
              <w:pStyle w:val="Heading9"/>
              <w:numPr>
                <w:ilvl w:val="0"/>
                <w:numId w:val="0"/>
              </w:numPr>
              <w:rPr>
                <w:u w:val="none"/>
              </w:rPr>
            </w:pPr>
            <w:r>
              <w:rPr>
                <w:u w:val="none"/>
              </w:rPr>
              <w:t xml:space="preserve">‘Member checks’/Respondent Verification/convergent interviewing </w:t>
            </w:r>
          </w:p>
          <w:p w:rsidR="00DC19F1" w:rsidRDefault="00DC19F1">
            <w:pPr>
              <w:pStyle w:val="Heading9"/>
              <w:numPr>
                <w:ilvl w:val="0"/>
                <w:numId w:val="0"/>
              </w:numPr>
              <w:rPr>
                <w:u w:val="none"/>
              </w:rPr>
            </w:pPr>
          </w:p>
          <w:p w:rsidR="00DC19F1" w:rsidRDefault="00DC19F1">
            <w:pPr>
              <w:rPr>
                <w:i/>
                <w:iCs/>
                <w:sz w:val="18"/>
                <w:lang w:val="en-US"/>
              </w:rPr>
            </w:pPr>
            <w:r>
              <w:rPr>
                <w:i/>
                <w:iCs/>
                <w:sz w:val="18"/>
                <w:lang w:val="en-US"/>
              </w:rPr>
              <w:t>Respondent validity</w:t>
            </w:r>
          </w:p>
          <w:p w:rsidR="00DC19F1" w:rsidRDefault="00DC19F1">
            <w:pPr>
              <w:rPr>
                <w:sz w:val="18"/>
                <w:lang w:val="en-US"/>
              </w:rPr>
            </w:pPr>
          </w:p>
          <w:p w:rsidR="00DC19F1" w:rsidRDefault="00DC19F1">
            <w:pPr>
              <w:pStyle w:val="Heading9"/>
              <w:numPr>
                <w:ilvl w:val="0"/>
                <w:numId w:val="0"/>
              </w:numPr>
              <w:rPr>
                <w:u w:val="none"/>
              </w:rPr>
            </w:pPr>
            <w:r>
              <w:rPr>
                <w:u w:val="none"/>
              </w:rPr>
              <w:t xml:space="preserve">Negative/deviant case analyses </w:t>
            </w:r>
          </w:p>
          <w:p w:rsidR="00DC19F1" w:rsidRDefault="00DC19F1">
            <w:pPr>
              <w:pStyle w:val="Heading9"/>
              <w:numPr>
                <w:ilvl w:val="0"/>
                <w:numId w:val="0"/>
              </w:numPr>
            </w:pPr>
          </w:p>
          <w:p w:rsidR="00DC19F1" w:rsidRDefault="00DC19F1">
            <w:pPr>
              <w:pStyle w:val="Heading4"/>
              <w:numPr>
                <w:ilvl w:val="0"/>
                <w:numId w:val="0"/>
              </w:numPr>
              <w:rPr>
                <w:sz w:val="18"/>
                <w:lang w:val="en-US"/>
              </w:rPr>
            </w:pPr>
            <w:r>
              <w:rPr>
                <w:sz w:val="18"/>
                <w:lang w:val="en-US"/>
              </w:rPr>
              <w:t>Comprehensive data treatment</w:t>
            </w:r>
          </w:p>
          <w:p w:rsidR="00DC19F1" w:rsidRDefault="00DC19F1">
            <w:pPr>
              <w:rPr>
                <w:sz w:val="18"/>
                <w:lang w:val="en-US"/>
              </w:rPr>
            </w:pPr>
          </w:p>
          <w:p w:rsidR="00DC19F1" w:rsidRDefault="00DC19F1">
            <w:pPr>
              <w:pStyle w:val="Heading9"/>
              <w:numPr>
                <w:ilvl w:val="0"/>
                <w:numId w:val="0"/>
              </w:numPr>
              <w:rPr>
                <w:u w:val="none"/>
              </w:rPr>
            </w:pPr>
            <w:r>
              <w:rPr>
                <w:u w:val="none"/>
              </w:rPr>
              <w:t>Triangulation: of Theories and Within-methods triangulation</w:t>
            </w:r>
          </w:p>
          <w:p w:rsidR="00DC19F1" w:rsidRDefault="00DC19F1">
            <w:pPr>
              <w:rPr>
                <w:i/>
                <w:iCs/>
                <w:sz w:val="18"/>
                <w:lang w:val="en-US"/>
              </w:rPr>
            </w:pPr>
          </w:p>
          <w:p w:rsidR="00DC19F1" w:rsidRDefault="00DC19F1">
            <w:pPr>
              <w:pStyle w:val="Heading7"/>
              <w:numPr>
                <w:ilvl w:val="0"/>
                <w:numId w:val="0"/>
              </w:numPr>
              <w:rPr>
                <w:b w:val="0"/>
                <w:bCs w:val="0"/>
                <w:i/>
                <w:iCs/>
              </w:rPr>
            </w:pPr>
            <w:r>
              <w:rPr>
                <w:b w:val="0"/>
                <w:bCs w:val="0"/>
                <w:i/>
                <w:iCs/>
              </w:rPr>
              <w:t xml:space="preserve">Triangulation of Sources of data, from: </w:t>
            </w:r>
          </w:p>
          <w:p w:rsidR="00DC19F1" w:rsidRDefault="00DC19F1">
            <w:pPr>
              <w:pStyle w:val="Heading7"/>
              <w:numPr>
                <w:ilvl w:val="0"/>
                <w:numId w:val="0"/>
              </w:numPr>
              <w:rPr>
                <w:b w:val="0"/>
                <w:bCs w:val="0"/>
                <w:i/>
                <w:iCs/>
              </w:rPr>
            </w:pPr>
            <w:r>
              <w:rPr>
                <w:b w:val="0"/>
                <w:bCs w:val="0"/>
                <w:i/>
                <w:iCs/>
              </w:rPr>
              <w:t>Stakeholders (marketers) and actors (consumers)</w:t>
            </w:r>
          </w:p>
          <w:p w:rsidR="00DC19F1" w:rsidRDefault="00DC19F1">
            <w:pPr>
              <w:pStyle w:val="Heading8"/>
              <w:numPr>
                <w:ilvl w:val="0"/>
                <w:numId w:val="0"/>
              </w:numPr>
              <w:rPr>
                <w:rFonts w:ascii="Times New Roman" w:hAnsi="Times New Roman"/>
                <w:sz w:val="18"/>
                <w:u w:val="single"/>
              </w:rPr>
            </w:pPr>
            <w:r>
              <w:rPr>
                <w:rFonts w:ascii="Times New Roman" w:hAnsi="Times New Roman"/>
                <w:sz w:val="18"/>
              </w:rPr>
              <w:t>Depth and intimacy of interviewing</w:t>
            </w:r>
          </w:p>
          <w:p w:rsidR="00DC19F1" w:rsidRDefault="00DC19F1">
            <w:pPr>
              <w:rPr>
                <w:i/>
                <w:iCs/>
                <w:sz w:val="18"/>
              </w:rPr>
            </w:pPr>
          </w:p>
          <w:p w:rsidR="00DC19F1" w:rsidRDefault="00DC19F1">
            <w:pPr>
              <w:rPr>
                <w:i/>
                <w:iCs/>
                <w:sz w:val="18"/>
                <w:lang w:val="en-US"/>
              </w:rPr>
            </w:pPr>
            <w:r>
              <w:rPr>
                <w:i/>
                <w:iCs/>
                <w:sz w:val="18"/>
                <w:lang w:val="en-US"/>
              </w:rPr>
              <w:t>Prolonged engagement/</w:t>
            </w:r>
          </w:p>
          <w:p w:rsidR="00DC19F1" w:rsidRDefault="00DC19F1">
            <w:pPr>
              <w:rPr>
                <w:i/>
                <w:iCs/>
                <w:sz w:val="18"/>
                <w:lang w:val="en-US"/>
              </w:rPr>
            </w:pPr>
            <w:r>
              <w:rPr>
                <w:i/>
                <w:iCs/>
                <w:sz w:val="18"/>
                <w:lang w:val="en-US"/>
              </w:rPr>
              <w:t>Observations in a natural setting</w:t>
            </w:r>
          </w:p>
          <w:p w:rsidR="00DC19F1" w:rsidRDefault="00DC19F1">
            <w:pPr>
              <w:pStyle w:val="Heading7"/>
              <w:numPr>
                <w:ilvl w:val="0"/>
                <w:numId w:val="0"/>
              </w:numPr>
              <w:rPr>
                <w:b w:val="0"/>
                <w:bCs w:val="0"/>
                <w:i/>
                <w:iCs/>
                <w:lang w:val="en-GB"/>
              </w:rPr>
            </w:pPr>
          </w:p>
          <w:p w:rsidR="00DC19F1" w:rsidRDefault="00DC19F1">
            <w:pPr>
              <w:pStyle w:val="Heading7"/>
              <w:numPr>
                <w:ilvl w:val="0"/>
                <w:numId w:val="0"/>
              </w:numPr>
              <w:rPr>
                <w:b w:val="0"/>
                <w:bCs w:val="0"/>
                <w:i/>
                <w:iCs/>
                <w:lang w:val="en-GB"/>
              </w:rPr>
            </w:pPr>
            <w:r>
              <w:rPr>
                <w:b w:val="0"/>
                <w:bCs w:val="0"/>
                <w:i/>
                <w:iCs/>
                <w:lang w:val="en-GB"/>
              </w:rPr>
              <w:t>Peer debriefing/Consultative validity</w:t>
            </w:r>
          </w:p>
          <w:p w:rsidR="00DC19F1" w:rsidRDefault="00DC19F1">
            <w:pPr>
              <w:rPr>
                <w:sz w:val="18"/>
              </w:rPr>
            </w:pPr>
          </w:p>
          <w:p w:rsidR="00DC19F1" w:rsidRDefault="00DC19F1">
            <w:pPr>
              <w:pStyle w:val="Heading4"/>
              <w:numPr>
                <w:ilvl w:val="0"/>
                <w:numId w:val="0"/>
              </w:numPr>
              <w:rPr>
                <w:i w:val="0"/>
                <w:iCs w:val="0"/>
                <w:sz w:val="18"/>
                <w:lang w:val="en-US"/>
              </w:rPr>
            </w:pPr>
            <w:r>
              <w:rPr>
                <w:sz w:val="18"/>
                <w:lang w:val="en-US"/>
              </w:rPr>
              <w:t>Purposive sampling</w:t>
            </w:r>
          </w:p>
          <w:p w:rsidR="00DC19F1" w:rsidRDefault="00DC19F1">
            <w:pPr>
              <w:rPr>
                <w:sz w:val="18"/>
                <w:lang w:val="en-US"/>
              </w:rPr>
            </w:pPr>
          </w:p>
        </w:tc>
        <w:tc>
          <w:tcPr>
            <w:tcW w:w="970" w:type="dxa"/>
            <w:tcBorders>
              <w:bottom w:val="single" w:sz="4" w:space="0" w:color="auto"/>
            </w:tcBorders>
          </w:tcPr>
          <w:p w:rsidR="00DC19F1" w:rsidRDefault="00DC19F1">
            <w:pPr>
              <w:rPr>
                <w:sz w:val="18"/>
                <w:lang w:val="en-US"/>
              </w:rPr>
            </w:pPr>
            <w:r>
              <w:rPr>
                <w:sz w:val="18"/>
                <w:lang w:val="en-US"/>
              </w:rPr>
              <w:sym w:font="Marlett" w:char="F061"/>
            </w:r>
            <w:r>
              <w:rPr>
                <w:sz w:val="18"/>
                <w:lang w:val="en-US"/>
              </w:rPr>
              <w:t xml:space="preserve"> </w:t>
            </w:r>
          </w:p>
          <w:p w:rsidR="00DC19F1" w:rsidRDefault="00DC19F1">
            <w:pPr>
              <w:rPr>
                <w:sz w:val="18"/>
                <w:lang w:val="en-US"/>
              </w:rPr>
            </w:pPr>
          </w:p>
          <w:p w:rsidR="00DC19F1" w:rsidRDefault="00DC19F1">
            <w:pPr>
              <w:rPr>
                <w:sz w:val="18"/>
                <w:lang w:val="en-US"/>
              </w:rPr>
            </w:pPr>
          </w:p>
          <w:p w:rsidR="00DC19F1" w:rsidRDefault="00DC19F1">
            <w:pPr>
              <w:rPr>
                <w:sz w:val="18"/>
                <w:lang w:val="en-US"/>
              </w:rPr>
            </w:pPr>
            <w:r>
              <w:rPr>
                <w:sz w:val="18"/>
                <w:lang w:val="en-US"/>
              </w:rPr>
              <w:sym w:font="Marlett" w:char="F061"/>
            </w:r>
            <w:r>
              <w:rPr>
                <w:sz w:val="18"/>
                <w:lang w:val="en-US"/>
              </w:rPr>
              <w:t>Phase l</w:t>
            </w:r>
          </w:p>
          <w:p w:rsidR="00DC19F1" w:rsidRDefault="00DC19F1">
            <w:pPr>
              <w:rPr>
                <w:sz w:val="18"/>
                <w:lang w:val="en-US"/>
              </w:rPr>
            </w:pPr>
          </w:p>
          <w:p w:rsidR="00DC19F1" w:rsidRDefault="00DC19F1">
            <w:pPr>
              <w:rPr>
                <w:sz w:val="18"/>
                <w:lang w:val="en-US"/>
              </w:rPr>
            </w:pPr>
            <w:r>
              <w:rPr>
                <w:sz w:val="18"/>
                <w:lang w:val="en-US"/>
              </w:rPr>
              <w:sym w:font="Marlett" w:char="F061"/>
            </w:r>
            <w:r>
              <w:rPr>
                <w:sz w:val="18"/>
                <w:lang w:val="en-US"/>
              </w:rPr>
              <w:t xml:space="preserve"> </w:t>
            </w:r>
          </w:p>
          <w:p w:rsidR="00DC19F1" w:rsidRDefault="00DC19F1">
            <w:pPr>
              <w:rPr>
                <w:sz w:val="18"/>
                <w:lang w:val="en-US"/>
              </w:rPr>
            </w:pPr>
          </w:p>
          <w:p w:rsidR="00DC19F1" w:rsidRDefault="00DC19F1">
            <w:pPr>
              <w:rPr>
                <w:sz w:val="18"/>
                <w:lang w:val="en-US"/>
              </w:rPr>
            </w:pPr>
            <w:r>
              <w:rPr>
                <w:sz w:val="18"/>
                <w:lang w:val="en-US"/>
              </w:rPr>
              <w:sym w:font="Marlett" w:char="F061"/>
            </w:r>
            <w:r>
              <w:rPr>
                <w:sz w:val="18"/>
                <w:lang w:val="en-US"/>
              </w:rPr>
              <w:t xml:space="preserve"> </w:t>
            </w:r>
          </w:p>
          <w:p w:rsidR="00DC19F1" w:rsidRDefault="00DC19F1">
            <w:pPr>
              <w:rPr>
                <w:sz w:val="18"/>
                <w:lang w:val="en-US"/>
              </w:rPr>
            </w:pPr>
          </w:p>
          <w:p w:rsidR="00DC19F1" w:rsidRDefault="00DC19F1">
            <w:pPr>
              <w:rPr>
                <w:sz w:val="18"/>
                <w:lang w:val="en-US"/>
              </w:rPr>
            </w:pPr>
            <w:r>
              <w:rPr>
                <w:sz w:val="18"/>
                <w:lang w:val="en-US"/>
              </w:rPr>
              <w:sym w:font="Marlett" w:char="F061"/>
            </w:r>
            <w:r>
              <w:rPr>
                <w:sz w:val="18"/>
                <w:lang w:val="en-US"/>
              </w:rPr>
              <w:t xml:space="preserve"> </w:t>
            </w:r>
          </w:p>
          <w:p w:rsidR="00DC19F1" w:rsidRDefault="00DC19F1">
            <w:pPr>
              <w:rPr>
                <w:sz w:val="18"/>
                <w:lang w:val="en-US"/>
              </w:rPr>
            </w:pPr>
          </w:p>
          <w:p w:rsidR="00DC19F1" w:rsidRDefault="00DC19F1">
            <w:pPr>
              <w:rPr>
                <w:sz w:val="18"/>
                <w:lang w:val="en-US"/>
              </w:rPr>
            </w:pPr>
          </w:p>
          <w:p w:rsidR="00DC19F1" w:rsidRDefault="00DC19F1">
            <w:pPr>
              <w:rPr>
                <w:sz w:val="18"/>
                <w:lang w:val="en-US"/>
              </w:rPr>
            </w:pPr>
          </w:p>
          <w:p w:rsidR="00DC19F1" w:rsidRDefault="00DC19F1">
            <w:pPr>
              <w:rPr>
                <w:sz w:val="18"/>
                <w:lang w:val="en-US"/>
              </w:rPr>
            </w:pPr>
            <w:r>
              <w:rPr>
                <w:sz w:val="18"/>
                <w:lang w:val="en-US"/>
              </w:rPr>
              <w:sym w:font="Marlett" w:char="F061"/>
            </w:r>
          </w:p>
          <w:p w:rsidR="00DC19F1" w:rsidRDefault="00DC19F1">
            <w:pPr>
              <w:rPr>
                <w:sz w:val="18"/>
                <w:lang w:val="en-US"/>
              </w:rPr>
            </w:pPr>
          </w:p>
          <w:p w:rsidR="00DC19F1" w:rsidRDefault="00DC19F1">
            <w:pPr>
              <w:rPr>
                <w:sz w:val="18"/>
                <w:lang w:val="en-US"/>
              </w:rPr>
            </w:pPr>
          </w:p>
          <w:p w:rsidR="00DC19F1" w:rsidRDefault="00DC19F1">
            <w:pPr>
              <w:rPr>
                <w:sz w:val="18"/>
                <w:lang w:val="en-US"/>
              </w:rPr>
            </w:pPr>
          </w:p>
          <w:p w:rsidR="00DC19F1" w:rsidRDefault="00DC19F1">
            <w:pPr>
              <w:rPr>
                <w:sz w:val="18"/>
                <w:lang w:val="en-US"/>
              </w:rPr>
            </w:pPr>
            <w:r>
              <w:rPr>
                <w:sz w:val="18"/>
                <w:lang w:val="en-US"/>
              </w:rPr>
              <w:sym w:font="Marlett" w:char="F061"/>
            </w:r>
          </w:p>
          <w:p w:rsidR="00DC19F1" w:rsidRDefault="00DC19F1">
            <w:pPr>
              <w:rPr>
                <w:sz w:val="18"/>
                <w:lang w:val="en-US"/>
              </w:rPr>
            </w:pPr>
          </w:p>
          <w:p w:rsidR="00DC19F1" w:rsidRDefault="00DC19F1">
            <w:pPr>
              <w:rPr>
                <w:sz w:val="18"/>
                <w:lang w:val="en-US"/>
              </w:rPr>
            </w:pPr>
            <w:r>
              <w:rPr>
                <w:sz w:val="18"/>
                <w:lang w:val="en-US"/>
              </w:rPr>
              <w:t>N/A</w:t>
            </w:r>
          </w:p>
          <w:p w:rsidR="00DC19F1" w:rsidRDefault="00DC19F1">
            <w:pPr>
              <w:rPr>
                <w:sz w:val="18"/>
                <w:lang w:val="en-US"/>
              </w:rPr>
            </w:pPr>
          </w:p>
          <w:p w:rsidR="00DC19F1" w:rsidRDefault="00DC19F1">
            <w:pPr>
              <w:rPr>
                <w:sz w:val="18"/>
                <w:lang w:val="en-US"/>
              </w:rPr>
            </w:pPr>
          </w:p>
          <w:p w:rsidR="00DC19F1" w:rsidRDefault="00DC19F1">
            <w:pPr>
              <w:rPr>
                <w:sz w:val="18"/>
                <w:lang w:val="en-US"/>
              </w:rPr>
            </w:pPr>
            <w:r>
              <w:rPr>
                <w:sz w:val="18"/>
                <w:lang w:val="en-US"/>
              </w:rPr>
              <w:sym w:font="Marlett" w:char="F061"/>
            </w:r>
            <w:r>
              <w:rPr>
                <w:sz w:val="18"/>
                <w:lang w:val="en-US"/>
              </w:rPr>
              <w:t xml:space="preserve">Some </w:t>
            </w:r>
          </w:p>
        </w:tc>
      </w:tr>
      <w:tr w:rsidR="00DC19F1">
        <w:tblPrEx>
          <w:tblCellMar>
            <w:top w:w="0" w:type="dxa"/>
            <w:bottom w:w="0" w:type="dxa"/>
          </w:tblCellMar>
        </w:tblPrEx>
        <w:tc>
          <w:tcPr>
            <w:tcW w:w="1421" w:type="dxa"/>
          </w:tcPr>
          <w:p w:rsidR="00DC19F1" w:rsidRDefault="00DC19F1">
            <w:pPr>
              <w:pStyle w:val="Heading6"/>
              <w:rPr>
                <w:sz w:val="18"/>
                <w:lang w:val="en-US"/>
              </w:rPr>
            </w:pPr>
            <w:r>
              <w:rPr>
                <w:sz w:val="18"/>
                <w:lang w:val="en-US"/>
              </w:rPr>
              <w:t>External validity</w:t>
            </w:r>
          </w:p>
        </w:tc>
        <w:tc>
          <w:tcPr>
            <w:tcW w:w="0" w:type="auto"/>
          </w:tcPr>
          <w:p w:rsidR="00DC19F1" w:rsidRDefault="00DC19F1">
            <w:pPr>
              <w:pStyle w:val="Heading6"/>
              <w:rPr>
                <w:b/>
                <w:bCs/>
                <w:sz w:val="18"/>
                <w:lang w:val="en-US"/>
              </w:rPr>
            </w:pPr>
            <w:r>
              <w:rPr>
                <w:b/>
                <w:bCs/>
                <w:sz w:val="18"/>
                <w:lang w:val="en-US"/>
              </w:rPr>
              <w:t>Transferability</w:t>
            </w:r>
          </w:p>
        </w:tc>
        <w:tc>
          <w:tcPr>
            <w:tcW w:w="3408" w:type="dxa"/>
          </w:tcPr>
          <w:p w:rsidR="00DC19F1" w:rsidRDefault="00DC19F1">
            <w:pPr>
              <w:pStyle w:val="Heading7"/>
              <w:numPr>
                <w:ilvl w:val="0"/>
                <w:numId w:val="0"/>
              </w:numPr>
              <w:rPr>
                <w:b w:val="0"/>
                <w:bCs w:val="0"/>
                <w:i/>
                <w:iCs/>
              </w:rPr>
            </w:pPr>
            <w:r>
              <w:rPr>
                <w:b w:val="0"/>
                <w:bCs w:val="0"/>
                <w:i/>
                <w:iCs/>
              </w:rPr>
              <w:t>The onus is on future researchers to apply the findings to other similar contexts</w:t>
            </w:r>
          </w:p>
        </w:tc>
        <w:tc>
          <w:tcPr>
            <w:tcW w:w="970" w:type="dxa"/>
          </w:tcPr>
          <w:p w:rsidR="00DC19F1" w:rsidRDefault="00DC19F1">
            <w:pPr>
              <w:rPr>
                <w:sz w:val="18"/>
                <w:lang w:val="en-US"/>
              </w:rPr>
            </w:pPr>
          </w:p>
        </w:tc>
      </w:tr>
      <w:tr w:rsidR="00DC19F1">
        <w:tblPrEx>
          <w:tblCellMar>
            <w:top w:w="0" w:type="dxa"/>
            <w:bottom w:w="0" w:type="dxa"/>
          </w:tblCellMar>
        </w:tblPrEx>
        <w:trPr>
          <w:cantSplit/>
          <w:trHeight w:val="683"/>
        </w:trPr>
        <w:tc>
          <w:tcPr>
            <w:tcW w:w="1421" w:type="dxa"/>
          </w:tcPr>
          <w:p w:rsidR="00DC19F1" w:rsidRDefault="00DC19F1">
            <w:pPr>
              <w:pStyle w:val="Heading6"/>
              <w:rPr>
                <w:sz w:val="18"/>
                <w:lang w:val="en-US"/>
              </w:rPr>
            </w:pPr>
            <w:r>
              <w:rPr>
                <w:sz w:val="18"/>
                <w:lang w:val="en-US"/>
              </w:rPr>
              <w:t>Reliability</w:t>
            </w:r>
          </w:p>
        </w:tc>
        <w:tc>
          <w:tcPr>
            <w:tcW w:w="0" w:type="auto"/>
          </w:tcPr>
          <w:p w:rsidR="00DC19F1" w:rsidRDefault="00DC19F1">
            <w:pPr>
              <w:pStyle w:val="Heading6"/>
              <w:rPr>
                <w:b/>
                <w:bCs/>
                <w:sz w:val="18"/>
                <w:lang w:val="en-US"/>
              </w:rPr>
            </w:pPr>
            <w:r>
              <w:rPr>
                <w:b/>
                <w:bCs/>
                <w:sz w:val="18"/>
                <w:lang w:val="en-US"/>
              </w:rPr>
              <w:t>Dependability</w:t>
            </w:r>
          </w:p>
          <w:p w:rsidR="00DC19F1" w:rsidRDefault="00DC19F1">
            <w:pPr>
              <w:rPr>
                <w:sz w:val="18"/>
                <w:lang w:val="en-US"/>
              </w:rPr>
            </w:pPr>
          </w:p>
        </w:tc>
        <w:tc>
          <w:tcPr>
            <w:tcW w:w="3408" w:type="dxa"/>
            <w:vMerge w:val="restart"/>
          </w:tcPr>
          <w:p w:rsidR="00DC19F1" w:rsidRDefault="00DC19F1">
            <w:pPr>
              <w:pStyle w:val="Heading7"/>
              <w:numPr>
                <w:ilvl w:val="0"/>
                <w:numId w:val="0"/>
              </w:numPr>
            </w:pPr>
            <w:r>
              <w:rPr>
                <w:b w:val="0"/>
                <w:bCs w:val="0"/>
                <w:i/>
                <w:iCs/>
              </w:rPr>
              <w:t>‘Low inference descriptors’</w:t>
            </w:r>
            <w:r>
              <w:t xml:space="preserve">  </w:t>
            </w:r>
          </w:p>
          <w:p w:rsidR="00DC19F1" w:rsidRDefault="00DC19F1">
            <w:pPr>
              <w:pStyle w:val="Heading7"/>
              <w:numPr>
                <w:ilvl w:val="0"/>
                <w:numId w:val="0"/>
              </w:numPr>
              <w:rPr>
                <w:b w:val="0"/>
                <w:bCs w:val="0"/>
                <w:i/>
                <w:iCs/>
                <w:u w:val="single"/>
              </w:rPr>
            </w:pPr>
            <w:r>
              <w:rPr>
                <w:b w:val="0"/>
                <w:bCs w:val="0"/>
                <w:i/>
                <w:iCs/>
              </w:rPr>
              <w:t>E.g. showing verbatim accounts</w:t>
            </w:r>
            <w:r>
              <w:rPr>
                <w:b w:val="0"/>
                <w:bCs w:val="0"/>
                <w:i/>
                <w:iCs/>
                <w:u w:val="single"/>
              </w:rPr>
              <w:t xml:space="preserve"> </w:t>
            </w:r>
          </w:p>
          <w:p w:rsidR="00DC19F1" w:rsidRDefault="00DC19F1">
            <w:pPr>
              <w:rPr>
                <w:rFonts w:ascii="Courier New" w:hAnsi="Courier New" w:cs="Courier New"/>
                <w:i/>
                <w:iCs/>
                <w:sz w:val="18"/>
              </w:rPr>
            </w:pPr>
          </w:p>
          <w:p w:rsidR="00DC19F1" w:rsidRDefault="00DC19F1">
            <w:pPr>
              <w:rPr>
                <w:i/>
                <w:iCs/>
                <w:sz w:val="18"/>
              </w:rPr>
            </w:pPr>
            <w:r>
              <w:rPr>
                <w:rFonts w:ascii="Courier New" w:hAnsi="Courier New" w:cs="Courier New"/>
                <w:i/>
                <w:iCs/>
                <w:sz w:val="18"/>
              </w:rPr>
              <w:t>}</w:t>
            </w:r>
            <w:r>
              <w:rPr>
                <w:i/>
                <w:iCs/>
                <w:sz w:val="18"/>
              </w:rPr>
              <w:t>‘</w:t>
            </w:r>
            <w:r>
              <w:rPr>
                <w:i/>
                <w:iCs/>
                <w:sz w:val="18"/>
                <w:lang w:val="en-US"/>
              </w:rPr>
              <w:t>Auditability’/Audit Trail</w:t>
            </w:r>
          </w:p>
          <w:p w:rsidR="00DC19F1" w:rsidRDefault="00DC19F1">
            <w:pPr>
              <w:rPr>
                <w:i/>
                <w:iCs/>
                <w:sz w:val="18"/>
              </w:rPr>
            </w:pPr>
          </w:p>
          <w:p w:rsidR="00DC19F1" w:rsidRDefault="00DC19F1">
            <w:pPr>
              <w:rPr>
                <w:b/>
                <w:bCs/>
                <w:sz w:val="18"/>
                <w:lang w:val="en-US"/>
              </w:rPr>
            </w:pPr>
            <w:r>
              <w:rPr>
                <w:i/>
                <w:iCs/>
                <w:sz w:val="18"/>
              </w:rPr>
              <w:t xml:space="preserve">Transparency/ </w:t>
            </w:r>
            <w:r>
              <w:rPr>
                <w:i/>
                <w:iCs/>
                <w:sz w:val="18"/>
                <w:lang w:val="en-US"/>
              </w:rPr>
              <w:t>‘Trackability’</w:t>
            </w:r>
            <w:r>
              <w:rPr>
                <w:b/>
                <w:bCs/>
                <w:sz w:val="18"/>
                <w:lang w:val="en-US"/>
              </w:rPr>
              <w:t xml:space="preserve"> </w:t>
            </w:r>
          </w:p>
          <w:p w:rsidR="00DC19F1" w:rsidRDefault="00DC19F1">
            <w:pPr>
              <w:rPr>
                <w:i/>
                <w:iCs/>
                <w:sz w:val="18"/>
                <w:lang w:val="en-US"/>
              </w:rPr>
            </w:pPr>
            <w:r>
              <w:rPr>
                <w:i/>
                <w:iCs/>
                <w:sz w:val="18"/>
                <w:lang w:val="en-US"/>
              </w:rPr>
              <w:t xml:space="preserve">E.g. documenting the interview protocol </w:t>
            </w:r>
          </w:p>
          <w:p w:rsidR="00DC19F1" w:rsidRDefault="00DC19F1">
            <w:pPr>
              <w:pStyle w:val="Heading7"/>
              <w:numPr>
                <w:ilvl w:val="0"/>
                <w:numId w:val="0"/>
              </w:numPr>
              <w:rPr>
                <w:b w:val="0"/>
                <w:bCs w:val="0"/>
                <w:i/>
                <w:iCs/>
              </w:rPr>
            </w:pPr>
          </w:p>
          <w:p w:rsidR="00DC19F1" w:rsidRDefault="00DC19F1">
            <w:pPr>
              <w:pStyle w:val="BodyText3"/>
              <w:rPr>
                <w:b w:val="0"/>
                <w:bCs/>
                <w:i/>
                <w:iCs/>
                <w:sz w:val="18"/>
                <w:lang w:val="en-US"/>
              </w:rPr>
            </w:pPr>
            <w:r>
              <w:rPr>
                <w:b w:val="0"/>
                <w:bCs/>
                <w:i/>
                <w:iCs/>
                <w:sz w:val="18"/>
                <w:lang w:val="en-US"/>
              </w:rPr>
              <w:t xml:space="preserve">Triangulation of Investigators </w:t>
            </w:r>
          </w:p>
          <w:p w:rsidR="00DC19F1" w:rsidRDefault="00DC19F1">
            <w:pPr>
              <w:rPr>
                <w:i/>
                <w:iCs/>
                <w:sz w:val="18"/>
                <w:lang w:val="en-US"/>
              </w:rPr>
            </w:pPr>
            <w:r>
              <w:rPr>
                <w:i/>
                <w:iCs/>
                <w:sz w:val="18"/>
                <w:lang w:val="en-US"/>
              </w:rPr>
              <w:t xml:space="preserve">More than one interviewer </w:t>
            </w:r>
          </w:p>
          <w:p w:rsidR="00DC19F1" w:rsidRDefault="00DC19F1">
            <w:pPr>
              <w:rPr>
                <w:sz w:val="18"/>
                <w:lang w:val="en-US"/>
              </w:rPr>
            </w:pPr>
          </w:p>
        </w:tc>
        <w:tc>
          <w:tcPr>
            <w:tcW w:w="970" w:type="dxa"/>
          </w:tcPr>
          <w:p w:rsidR="00DC19F1" w:rsidRDefault="00DC19F1">
            <w:pPr>
              <w:rPr>
                <w:sz w:val="18"/>
                <w:lang w:val="en-US"/>
              </w:rPr>
            </w:pPr>
            <w:r>
              <w:rPr>
                <w:sz w:val="18"/>
                <w:lang w:val="en-US"/>
              </w:rPr>
              <w:sym w:font="Marlett" w:char="F061"/>
            </w:r>
          </w:p>
          <w:p w:rsidR="00DC19F1" w:rsidRDefault="00DC19F1">
            <w:pPr>
              <w:rPr>
                <w:sz w:val="18"/>
                <w:lang w:val="en-US"/>
              </w:rPr>
            </w:pPr>
          </w:p>
          <w:p w:rsidR="00DC19F1" w:rsidRDefault="00DC19F1">
            <w:pPr>
              <w:rPr>
                <w:sz w:val="18"/>
                <w:lang w:val="en-US"/>
              </w:rPr>
            </w:pPr>
          </w:p>
          <w:p w:rsidR="00DC19F1" w:rsidRDefault="00DC19F1">
            <w:pPr>
              <w:rPr>
                <w:sz w:val="18"/>
                <w:lang w:val="en-US"/>
              </w:rPr>
            </w:pPr>
            <w:r>
              <w:rPr>
                <w:sz w:val="18"/>
                <w:lang w:val="en-US"/>
              </w:rPr>
              <w:sym w:font="Marlett" w:char="F061"/>
            </w:r>
          </w:p>
        </w:tc>
      </w:tr>
      <w:tr w:rsidR="00DC19F1">
        <w:tblPrEx>
          <w:tblCellMar>
            <w:top w:w="0" w:type="dxa"/>
            <w:bottom w:w="0" w:type="dxa"/>
          </w:tblCellMar>
        </w:tblPrEx>
        <w:trPr>
          <w:cantSplit/>
        </w:trPr>
        <w:tc>
          <w:tcPr>
            <w:tcW w:w="1421" w:type="dxa"/>
          </w:tcPr>
          <w:p w:rsidR="00DC19F1" w:rsidRDefault="00DC19F1">
            <w:pPr>
              <w:pStyle w:val="Heading6"/>
              <w:rPr>
                <w:sz w:val="18"/>
                <w:lang w:val="en-US"/>
              </w:rPr>
            </w:pPr>
            <w:r>
              <w:rPr>
                <w:sz w:val="18"/>
                <w:lang w:val="en-US"/>
              </w:rPr>
              <w:t>Objectivity</w:t>
            </w:r>
          </w:p>
          <w:p w:rsidR="00DC19F1" w:rsidRDefault="00DC19F1">
            <w:pPr>
              <w:rPr>
                <w:i/>
                <w:iCs/>
                <w:sz w:val="18"/>
                <w:lang w:val="en-US"/>
              </w:rPr>
            </w:pPr>
          </w:p>
        </w:tc>
        <w:tc>
          <w:tcPr>
            <w:tcW w:w="0" w:type="auto"/>
          </w:tcPr>
          <w:p w:rsidR="00DC19F1" w:rsidRDefault="00DC19F1">
            <w:pPr>
              <w:pStyle w:val="Heading6"/>
              <w:rPr>
                <w:b/>
                <w:bCs/>
                <w:sz w:val="18"/>
                <w:lang w:val="en-US"/>
              </w:rPr>
            </w:pPr>
            <w:r>
              <w:rPr>
                <w:b/>
                <w:bCs/>
                <w:sz w:val="18"/>
                <w:lang w:val="en-US"/>
              </w:rPr>
              <w:t>Confirmability</w:t>
            </w:r>
          </w:p>
          <w:p w:rsidR="00DC19F1" w:rsidRDefault="00DC19F1">
            <w:pPr>
              <w:rPr>
                <w:sz w:val="18"/>
                <w:lang w:val="en-US"/>
              </w:rPr>
            </w:pPr>
          </w:p>
        </w:tc>
        <w:tc>
          <w:tcPr>
            <w:tcW w:w="3408" w:type="dxa"/>
            <w:vMerge/>
          </w:tcPr>
          <w:p w:rsidR="00DC19F1" w:rsidRDefault="00DC19F1">
            <w:pPr>
              <w:rPr>
                <w:sz w:val="18"/>
                <w:lang w:val="en-US"/>
              </w:rPr>
            </w:pPr>
          </w:p>
        </w:tc>
        <w:tc>
          <w:tcPr>
            <w:tcW w:w="970" w:type="dxa"/>
          </w:tcPr>
          <w:p w:rsidR="00DC19F1" w:rsidRDefault="00DC19F1">
            <w:pPr>
              <w:rPr>
                <w:sz w:val="18"/>
                <w:lang w:val="en-US"/>
              </w:rPr>
            </w:pPr>
          </w:p>
          <w:p w:rsidR="00DC19F1" w:rsidRDefault="00DC19F1">
            <w:pPr>
              <w:rPr>
                <w:sz w:val="18"/>
                <w:lang w:val="en-US"/>
              </w:rPr>
            </w:pPr>
            <w:r>
              <w:rPr>
                <w:sz w:val="18"/>
                <w:lang w:val="en-US"/>
              </w:rPr>
              <w:sym w:font="Marlett" w:char="F061"/>
            </w:r>
          </w:p>
          <w:p w:rsidR="00DC19F1" w:rsidRDefault="00DC19F1">
            <w:pPr>
              <w:rPr>
                <w:sz w:val="18"/>
                <w:lang w:val="en-US"/>
              </w:rPr>
            </w:pPr>
          </w:p>
          <w:p w:rsidR="00DC19F1" w:rsidRDefault="00DC19F1">
            <w:pPr>
              <w:rPr>
                <w:sz w:val="18"/>
                <w:lang w:val="en-US"/>
              </w:rPr>
            </w:pPr>
          </w:p>
          <w:p w:rsidR="00DC19F1" w:rsidRDefault="00DC19F1">
            <w:pPr>
              <w:rPr>
                <w:sz w:val="18"/>
                <w:lang w:val="en-US"/>
              </w:rPr>
            </w:pPr>
          </w:p>
          <w:p w:rsidR="00DC19F1" w:rsidRDefault="00DC19F1">
            <w:pPr>
              <w:rPr>
                <w:sz w:val="18"/>
                <w:lang w:val="en-US"/>
              </w:rPr>
            </w:pPr>
            <w:r>
              <w:rPr>
                <w:sz w:val="18"/>
                <w:lang w:val="en-US"/>
              </w:rPr>
              <w:sym w:font="Marlett" w:char="F061"/>
            </w:r>
            <w:r>
              <w:rPr>
                <w:sz w:val="18"/>
                <w:lang w:val="en-US"/>
              </w:rPr>
              <w:t>Phase 1</w:t>
            </w:r>
          </w:p>
        </w:tc>
      </w:tr>
    </w:tbl>
    <w:p w:rsidR="00DC19F1" w:rsidRDefault="00DC19F1">
      <w:pPr>
        <w:pStyle w:val="BodyText2"/>
        <w:tabs>
          <w:tab w:val="clear" w:pos="4230"/>
          <w:tab w:val="left" w:pos="2037"/>
        </w:tabs>
        <w:spacing w:line="240" w:lineRule="auto"/>
        <w:rPr>
          <w:sz w:val="18"/>
        </w:rPr>
      </w:pPr>
      <w:r>
        <w:rPr>
          <w:sz w:val="18"/>
        </w:rPr>
        <w:tab/>
      </w:r>
    </w:p>
    <w:p w:rsidR="00DC19F1" w:rsidRDefault="00DC19F1">
      <w:pPr>
        <w:pStyle w:val="BodyText2"/>
        <w:spacing w:line="240" w:lineRule="auto"/>
        <w:rPr>
          <w:i w:val="0"/>
          <w:iCs w:val="0"/>
          <w:sz w:val="18"/>
        </w:rPr>
      </w:pPr>
      <w:r>
        <w:rPr>
          <w:i w:val="0"/>
          <w:iCs w:val="0"/>
          <w:sz w:val="18"/>
          <w:u w:val="single"/>
        </w:rPr>
        <w:t>Heavily Adapted from</w:t>
      </w:r>
      <w:r>
        <w:rPr>
          <w:i w:val="0"/>
          <w:iCs w:val="0"/>
          <w:sz w:val="18"/>
        </w:rPr>
        <w:t xml:space="preserve"> Carson, D., Gilmore, A. Perry, C. and Gronhaug, K. (2001, p.68) Qualitative Marketing Research Sage publications, </w:t>
      </w:r>
      <w:smartTag w:uri="urn:schemas-microsoft-com:office:smarttags" w:element="place">
        <w:smartTag w:uri="urn:schemas-microsoft-com:office:smarttags" w:element="City">
          <w:r>
            <w:rPr>
              <w:i w:val="0"/>
              <w:iCs w:val="0"/>
              <w:sz w:val="18"/>
            </w:rPr>
            <w:t>London</w:t>
          </w:r>
        </w:smartTag>
      </w:smartTag>
      <w:r>
        <w:rPr>
          <w:i w:val="0"/>
          <w:iCs w:val="0"/>
          <w:sz w:val="18"/>
        </w:rPr>
        <w:t xml:space="preserve"> and indebted to Halldorsson and Aastrup (2003), Lincoln and Guba (1985), and Silverman (2001).</w:t>
      </w:r>
    </w:p>
    <w:p w:rsidR="00DC19F1" w:rsidRDefault="00DC19F1">
      <w:pPr>
        <w:pStyle w:val="BodyText2"/>
        <w:rPr>
          <w:sz w:val="18"/>
        </w:rPr>
      </w:pPr>
    </w:p>
    <w:p w:rsidR="00DC19F1" w:rsidRDefault="00DC19F1">
      <w:pPr>
        <w:pStyle w:val="BodyText2"/>
        <w:rPr>
          <w:sz w:val="22"/>
        </w:rPr>
      </w:pPr>
      <w:r>
        <w:rPr>
          <w:sz w:val="22"/>
        </w:rPr>
        <w:t>‘Member checks’ or Respondent verification</w:t>
      </w:r>
    </w:p>
    <w:p w:rsidR="00DC19F1" w:rsidRDefault="00DC19F1">
      <w:pPr>
        <w:pStyle w:val="BodyText"/>
      </w:pPr>
      <w:r>
        <w:t xml:space="preserve">Respondent verification was continuous during the data collection and analysis stage; informal and formal ‘member checks’ are considered </w:t>
      </w:r>
      <w:r>
        <w:rPr>
          <w:i/>
          <w:iCs/>
        </w:rPr>
        <w:t xml:space="preserve">“the single most crucial technique for establishing credibility” </w:t>
      </w:r>
      <w:r>
        <w:t>to verify that the constructions collected are those that have</w:t>
      </w:r>
      <w:r>
        <w:rPr>
          <w:i/>
          <w:iCs/>
        </w:rPr>
        <w:t xml:space="preserve"> </w:t>
      </w:r>
      <w:r>
        <w:t xml:space="preserve">been offered by respondents (Guba and Lincoln, 1989, p.239). This was undertaken in this work through </w:t>
      </w:r>
      <w:r>
        <w:rPr>
          <w:i/>
          <w:iCs/>
        </w:rPr>
        <w:t>summarising</w:t>
      </w:r>
      <w:r>
        <w:t xml:space="preserve"> what an interviewee has just said about an individual item in order to give the respondent a chance to correct errors of fact or of interpretation and to add additional information. </w:t>
      </w:r>
    </w:p>
    <w:p w:rsidR="00DC19F1" w:rsidRDefault="00DC19F1">
      <w:pPr>
        <w:pStyle w:val="BodyText"/>
      </w:pPr>
    </w:p>
    <w:p w:rsidR="00DC19F1" w:rsidRDefault="00DC19F1">
      <w:pPr>
        <w:pStyle w:val="BodyText"/>
      </w:pPr>
      <w:r>
        <w:t xml:space="preserve">A second, informal element of ‘member checking’ included </w:t>
      </w:r>
      <w:r>
        <w:rPr>
          <w:i/>
          <w:iCs/>
        </w:rPr>
        <w:t>convergent interviewing</w:t>
      </w:r>
      <w:r>
        <w:t xml:space="preserve"> (Dick, 1990, p.3), or what </w:t>
      </w:r>
      <w:smartTag w:uri="urn:schemas-microsoft-com:office:smarttags" w:element="place">
        <w:r>
          <w:t>Blyth</w:t>
        </w:r>
      </w:smartTag>
      <w:r>
        <w:t xml:space="preserve"> and Robson, (1981) describe as a ‘rolling’ approach (including in later </w:t>
      </w:r>
      <w:r>
        <w:lastRenderedPageBreak/>
        <w:t xml:space="preserve">interviews some important views raised in earlier ones). Discussion of key issues allowed for topics to emerge spontaneously, thereby avoiding being </w:t>
      </w:r>
      <w:r>
        <w:rPr>
          <w:i/>
          <w:iCs/>
        </w:rPr>
        <w:t>‘confined by predetermined agendas’</w:t>
      </w:r>
      <w:r>
        <w:t xml:space="preserve"> (Holstein and Gubrium, 1995, p.17). Practitioner interviewees were then prompted for their reactions on issues identified from earlier interviews as playing a role in customer-brand commitment, such as ‘emotion’. </w:t>
      </w:r>
    </w:p>
    <w:p w:rsidR="00DC19F1" w:rsidRDefault="00DC19F1">
      <w:pPr>
        <w:pStyle w:val="BodyText"/>
        <w:rPr>
          <w:i/>
          <w:iCs/>
        </w:rPr>
      </w:pPr>
    </w:p>
    <w:p w:rsidR="00DC19F1" w:rsidRDefault="00DC19F1">
      <w:pPr>
        <w:pStyle w:val="BodyText"/>
      </w:pPr>
      <w:r>
        <w:t xml:space="preserve">A more formal member check, called ‘respondent validation’ (Bryman, 1989 p. 164) included </w:t>
      </w:r>
      <w:r>
        <w:rPr>
          <w:i/>
          <w:iCs/>
        </w:rPr>
        <w:t xml:space="preserve">“asking respondents to comment on drafts about facts and </w:t>
      </w:r>
      <w:r>
        <w:rPr>
          <w:i/>
          <w:iCs/>
          <w:u w:val="single"/>
        </w:rPr>
        <w:t>thei</w:t>
      </w:r>
      <w:r>
        <w:rPr>
          <w:i/>
          <w:iCs/>
        </w:rPr>
        <w:t>r interpretations of those facts”</w:t>
      </w:r>
      <w:r>
        <w:t xml:space="preserve"> (</w:t>
      </w:r>
      <w:smartTag w:uri="urn:schemas-microsoft-com:office:smarttags" w:element="place">
        <w:smartTag w:uri="urn:schemas-microsoft-com:office:smarttags" w:element="City">
          <w:r>
            <w:t>Carson</w:t>
          </w:r>
        </w:smartTag>
      </w:smartTag>
      <w:r>
        <w:t xml:space="preserve"> et al.2001, original emphasis). It offered a chance to put “</w:t>
      </w:r>
      <w:r>
        <w:rPr>
          <w:i/>
          <w:iCs/>
        </w:rPr>
        <w:t xml:space="preserve">the respondent on record as having said certain things and as having agreed that the interviewer ‘got it right’ </w:t>
      </w:r>
      <w:r>
        <w:t xml:space="preserve">” (Carson et al. 2001). Although Bryman (1989p.164) sees it as helpful to bring researcher’s and subject’s perspectives into closer alignment, that author maintains, with others, that there are limits to interpretation: </w:t>
      </w:r>
      <w:r>
        <w:rPr>
          <w:i/>
          <w:iCs/>
        </w:rPr>
        <w:t>“To argue that we have become part of the worlds we studied, or that we understand them in precisely the same way as those who live within them do, would be a grave error”</w:t>
      </w:r>
      <w:r>
        <w:t xml:space="preserve"> (Van Maanen and Kolb, 1985, p.27)</w:t>
      </w:r>
      <w:r>
        <w:rPr>
          <w:i/>
          <w:iCs/>
        </w:rPr>
        <w:t>.</w:t>
      </w:r>
      <w:r>
        <w:t xml:space="preserve">  </w:t>
      </w:r>
    </w:p>
    <w:p w:rsidR="00DC19F1" w:rsidRDefault="00DC19F1">
      <w:pPr>
        <w:pStyle w:val="BodyText"/>
      </w:pPr>
    </w:p>
    <w:p w:rsidR="00DC19F1" w:rsidRDefault="00DC19F1">
      <w:pPr>
        <w:pStyle w:val="BodyText2"/>
        <w:rPr>
          <w:i w:val="0"/>
          <w:iCs w:val="0"/>
          <w:sz w:val="22"/>
        </w:rPr>
      </w:pPr>
      <w:r>
        <w:rPr>
          <w:i w:val="0"/>
          <w:iCs w:val="0"/>
          <w:sz w:val="22"/>
        </w:rPr>
        <w:t xml:space="preserve">Formal respondent validation of transcripts would have been asking too much of consumer participants, whose goodwill had been tapped through long interviews. Senior industry practitioners interviewed in phase 1 seemed to have little time or interest (a practical problem highlighted by Bloor, 1978, p.550) to comment on a report on practitioner findings and interpretations sent to them. One DM practitioner offered to answer supplementary questions, instead of commenting on the findings report sent to him. A solution that could have been adopted has been offered by Yin (1994) who advises that if, you have not heard from the respondents by a certain date, then the facts and interpretations of them in the draft can be deemed credible. </w:t>
      </w:r>
    </w:p>
    <w:p w:rsidR="00DC19F1" w:rsidRDefault="00DC19F1">
      <w:pPr>
        <w:pStyle w:val="BodyText2"/>
        <w:rPr>
          <w:sz w:val="22"/>
        </w:rPr>
      </w:pPr>
    </w:p>
    <w:p w:rsidR="00DC19F1" w:rsidRDefault="00DC19F1">
      <w:pPr>
        <w:pStyle w:val="BodyText"/>
      </w:pPr>
      <w:r>
        <w:t xml:space="preserve">Given practical and philosophical drawbacks in respondent validation, Silverman (2001p. 236) alternatively recommends the methods of </w:t>
      </w:r>
      <w:r>
        <w:rPr>
          <w:i/>
          <w:iCs/>
        </w:rPr>
        <w:t>‘deviant-case analysis’</w:t>
      </w:r>
      <w:r>
        <w:t xml:space="preserve"> and </w:t>
      </w:r>
      <w:r>
        <w:rPr>
          <w:i/>
          <w:iCs/>
        </w:rPr>
        <w:t>‘comprehensive data treatmen</w:t>
      </w:r>
      <w:r>
        <w:t xml:space="preserve">t’, to overcome the anecdotal quality of qualitative data and to claim validity. These two methods were adopted and are discussed next. </w:t>
      </w:r>
    </w:p>
    <w:p w:rsidR="00DC19F1" w:rsidRDefault="00DC19F1">
      <w:pPr>
        <w:pStyle w:val="BodyText"/>
        <w:rPr>
          <w:i/>
          <w:iCs/>
        </w:rPr>
      </w:pPr>
    </w:p>
    <w:p w:rsidR="00DC19F1" w:rsidRDefault="00DC19F1">
      <w:pPr>
        <w:pStyle w:val="BodyText"/>
        <w:rPr>
          <w:i/>
          <w:iCs/>
        </w:rPr>
      </w:pPr>
    </w:p>
    <w:p w:rsidR="00DC19F1" w:rsidRDefault="00DC19F1">
      <w:pPr>
        <w:pStyle w:val="BodyText"/>
      </w:pPr>
      <w:r>
        <w:rPr>
          <w:i/>
          <w:iCs/>
        </w:rPr>
        <w:t>Negative case analysis</w:t>
      </w:r>
      <w:r>
        <w:t xml:space="preserve"> </w:t>
      </w:r>
    </w:p>
    <w:p w:rsidR="00DC19F1" w:rsidRDefault="00DC19F1">
      <w:pPr>
        <w:pStyle w:val="BodyText"/>
        <w:rPr>
          <w:sz w:val="18"/>
        </w:rPr>
      </w:pPr>
      <w:r>
        <w:t xml:space="preserve">Negative case analysis is </w:t>
      </w:r>
      <w:r>
        <w:rPr>
          <w:i/>
          <w:iCs/>
        </w:rPr>
        <w:t xml:space="preserve">“asking questions designed to find exceptions to a rule in theory that therefore invalidate the ‘rule’ ” </w:t>
      </w:r>
      <w:r>
        <w:t xml:space="preserve">(Carson et al., 2001) in order to </w:t>
      </w:r>
      <w:r>
        <w:rPr>
          <w:i/>
          <w:iCs/>
        </w:rPr>
        <w:t xml:space="preserve">“disprove your emerging explanations of the data" </w:t>
      </w:r>
      <w:r>
        <w:t xml:space="preserve">(Dick 1990, p.11), which can also be demonstrated through attempting alternative interpretations of exceptions. </w:t>
      </w:r>
    </w:p>
    <w:p w:rsidR="00DC19F1" w:rsidRDefault="00DC19F1">
      <w:pPr>
        <w:pStyle w:val="BodyText2"/>
      </w:pPr>
    </w:p>
    <w:p w:rsidR="00DC19F1" w:rsidRDefault="00DC19F1">
      <w:pPr>
        <w:pStyle w:val="BodyText"/>
      </w:pPr>
      <w:r>
        <w:lastRenderedPageBreak/>
        <w:t xml:space="preserve">Cases of </w:t>
      </w:r>
      <w:r>
        <w:rPr>
          <w:i/>
          <w:iCs/>
        </w:rPr>
        <w:t>inertia</w:t>
      </w:r>
      <w:r>
        <w:t xml:space="preserve"> (repeat patronage without commitment), classed as ‘spurious brand loyalty’ (Bloemer and Kasper, 1993) and </w:t>
      </w:r>
      <w:r>
        <w:rPr>
          <w:i/>
          <w:iCs/>
        </w:rPr>
        <w:t>calculative</w:t>
      </w:r>
      <w:r>
        <w:t xml:space="preserve"> commitment (see Glossary), were analysed. </w:t>
      </w:r>
    </w:p>
    <w:p w:rsidR="00DC19F1" w:rsidRDefault="00DC19F1">
      <w:pPr>
        <w:pStyle w:val="BodyText"/>
        <w:rPr>
          <w:b/>
          <w:bCs/>
        </w:rPr>
      </w:pPr>
      <w:r>
        <w:t>Data with alternative interpretations were given in the Thesis Appendices. Some apparently committed cases contrasted with the stronger, positive expressions of resistance to changing bank discussed on pp. 208-212 of the thesis.  Analysis identified that some of these ‘negative cases’ were expressed in language that clearly included instrumental contingencies absent from less ‘conditionally’ committed examples:</w:t>
      </w:r>
      <w:r>
        <w:rPr>
          <w:b/>
          <w:bCs/>
        </w:rPr>
        <w:t xml:space="preserve"> </w:t>
      </w:r>
    </w:p>
    <w:p w:rsidR="00DC19F1" w:rsidRDefault="00DC19F1">
      <w:pPr>
        <w:pStyle w:val="BodyText2"/>
        <w:rPr>
          <w:i w:val="0"/>
          <w:iCs w:val="0"/>
        </w:rPr>
      </w:pPr>
      <w:r>
        <w:rPr>
          <w:sz w:val="22"/>
        </w:rPr>
        <w:t>“</w:t>
      </w:r>
      <w:r>
        <w:rPr>
          <w:sz w:val="22"/>
          <w:u w:val="single"/>
        </w:rPr>
        <w:t>As long as</w:t>
      </w:r>
      <w:r>
        <w:rPr>
          <w:sz w:val="22"/>
        </w:rPr>
        <w:t xml:space="preserve"> they are efficient”,</w:t>
      </w:r>
      <w:r>
        <w:rPr>
          <w:i w:val="0"/>
          <w:iCs w:val="0"/>
          <w:sz w:val="22"/>
        </w:rPr>
        <w:t xml:space="preserve"> (Male interviewee Pi, gardener, emphasis added).</w:t>
      </w:r>
      <w:r>
        <w:rPr>
          <w:i w:val="0"/>
          <w:iCs w:val="0"/>
        </w:rPr>
        <w:t xml:space="preserve"> </w:t>
      </w:r>
    </w:p>
    <w:p w:rsidR="00DC19F1" w:rsidRDefault="00DC19F1">
      <w:pPr>
        <w:pStyle w:val="BodyText2"/>
      </w:pPr>
    </w:p>
    <w:p w:rsidR="00DC19F1" w:rsidRDefault="00DC19F1">
      <w:pPr>
        <w:pStyle w:val="BodyText2"/>
        <w:rPr>
          <w:sz w:val="22"/>
        </w:rPr>
      </w:pPr>
      <w:r>
        <w:rPr>
          <w:sz w:val="22"/>
        </w:rPr>
        <w:t>Deviant case analysis</w:t>
      </w:r>
    </w:p>
    <w:p w:rsidR="00DC19F1" w:rsidRDefault="00DC19F1">
      <w:pPr>
        <w:pStyle w:val="BodyText"/>
        <w:rPr>
          <w:lang w:val="en-US"/>
        </w:rPr>
      </w:pPr>
      <w:r>
        <w:t xml:space="preserve">An example of </w:t>
      </w:r>
      <w:r>
        <w:rPr>
          <w:i/>
          <w:iCs/>
        </w:rPr>
        <w:t>‘deviant-case analysis’</w:t>
      </w:r>
      <w:r>
        <w:t xml:space="preserve"> in the thesis was finding some customers making recommendations in cases that lacked expressions of a high resistance to switching (thesis pp: 309-310). These cases led to refinements in a proposed commitment scale since it was more usual that higher numbers of recommendations per customer were evident only when commitment was stronger. Thus the methodology used was based on a hermeneutic process involving </w:t>
      </w:r>
      <w:r>
        <w:rPr>
          <w:i/>
          <w:iCs/>
        </w:rPr>
        <w:t xml:space="preserve">“reconsideration of previous positions” </w:t>
      </w:r>
      <w:r>
        <w:t>(Guba and Lincoln, 1989).</w:t>
      </w:r>
      <w:r>
        <w:rPr>
          <w:lang w:val="en-US"/>
        </w:rPr>
        <w:t xml:space="preserve"> </w:t>
      </w:r>
    </w:p>
    <w:p w:rsidR="00DC19F1" w:rsidRDefault="00DC19F1">
      <w:pPr>
        <w:pStyle w:val="BodyText"/>
      </w:pPr>
    </w:p>
    <w:p w:rsidR="00DC19F1" w:rsidRDefault="00DC19F1">
      <w:pPr>
        <w:pStyle w:val="BodyText2"/>
        <w:rPr>
          <w:sz w:val="22"/>
        </w:rPr>
      </w:pPr>
      <w:r>
        <w:rPr>
          <w:sz w:val="22"/>
        </w:rPr>
        <w:t>Comprehensive data treatment</w:t>
      </w:r>
    </w:p>
    <w:p w:rsidR="00DC19F1" w:rsidRDefault="00DC19F1">
      <w:pPr>
        <w:pStyle w:val="BodyText2"/>
        <w:rPr>
          <w:i w:val="0"/>
          <w:iCs w:val="0"/>
          <w:sz w:val="22"/>
        </w:rPr>
      </w:pPr>
      <w:r>
        <w:rPr>
          <w:i w:val="0"/>
          <w:iCs w:val="0"/>
          <w:sz w:val="22"/>
          <w:lang w:val="en-US"/>
        </w:rPr>
        <w:t>Coding of themes (e.g. all the recognised instances of  ‘inertia’) and NUD.IST software’s fast retrieval process helped the author to re-examine the data</w:t>
      </w:r>
      <w:r>
        <w:rPr>
          <w:i w:val="0"/>
          <w:iCs w:val="0"/>
          <w:sz w:val="22"/>
        </w:rPr>
        <w:t xml:space="preserve">. </w:t>
      </w:r>
      <w:r>
        <w:rPr>
          <w:i w:val="0"/>
          <w:iCs w:val="0"/>
          <w:sz w:val="22"/>
          <w:lang w:val="en-US"/>
        </w:rPr>
        <w:t>This gives</w:t>
      </w:r>
      <w:r>
        <w:rPr>
          <w:i w:val="0"/>
          <w:iCs w:val="0"/>
          <w:sz w:val="22"/>
        </w:rPr>
        <w:t xml:space="preserve"> greater confidence that the patterns reported actually existed throughout the data, rather than only in favourable examples (Glassner and Loughlin, 1987). Examples</w:t>
      </w:r>
      <w:r>
        <w:rPr>
          <w:sz w:val="22"/>
        </w:rPr>
        <w:t xml:space="preserve"> </w:t>
      </w:r>
      <w:r>
        <w:rPr>
          <w:i w:val="0"/>
          <w:iCs w:val="0"/>
          <w:sz w:val="22"/>
        </w:rPr>
        <w:t>based on memory can risk highlighting only extreme examples. An example of comprehensive examination of the data was the revelation that some customers ‘calculatively’ plan to remain with the main bank, contingent only on certain conditions. This</w:t>
      </w:r>
      <w:r>
        <w:rPr>
          <w:i w:val="0"/>
          <w:iCs w:val="0"/>
        </w:rPr>
        <w:t xml:space="preserve"> </w:t>
      </w:r>
      <w:r>
        <w:rPr>
          <w:i w:val="0"/>
          <w:iCs w:val="0"/>
          <w:sz w:val="22"/>
        </w:rPr>
        <w:t>helped to identify varied</w:t>
      </w:r>
      <w:r>
        <w:rPr>
          <w:sz w:val="22"/>
        </w:rPr>
        <w:t xml:space="preserve"> </w:t>
      </w:r>
      <w:r>
        <w:rPr>
          <w:i w:val="0"/>
          <w:iCs w:val="0"/>
          <w:sz w:val="22"/>
        </w:rPr>
        <w:t>‘commitment states’</w:t>
      </w:r>
      <w:r>
        <w:rPr>
          <w:sz w:val="22"/>
        </w:rPr>
        <w:t xml:space="preserve">, </w:t>
      </w:r>
      <w:r>
        <w:rPr>
          <w:i w:val="0"/>
          <w:iCs w:val="0"/>
          <w:sz w:val="22"/>
        </w:rPr>
        <w:t xml:space="preserve">such as </w:t>
      </w:r>
      <w:r>
        <w:rPr>
          <w:sz w:val="22"/>
        </w:rPr>
        <w:t>conditionally committed</w:t>
      </w:r>
      <w:r>
        <w:rPr>
          <w:i w:val="0"/>
          <w:iCs w:val="0"/>
          <w:sz w:val="22"/>
        </w:rPr>
        <w:t xml:space="preserve"> and two ‘no commitment’ states of </w:t>
      </w:r>
      <w:r>
        <w:rPr>
          <w:sz w:val="22"/>
        </w:rPr>
        <w:t>temporary hostage</w:t>
      </w:r>
      <w:r>
        <w:rPr>
          <w:i w:val="0"/>
          <w:iCs w:val="0"/>
          <w:sz w:val="22"/>
        </w:rPr>
        <w:t xml:space="preserve"> and </w:t>
      </w:r>
      <w:r>
        <w:rPr>
          <w:sz w:val="22"/>
        </w:rPr>
        <w:t>prisoner</w:t>
      </w:r>
      <w:r>
        <w:rPr>
          <w:i w:val="0"/>
          <w:iCs w:val="0"/>
          <w:sz w:val="22"/>
        </w:rPr>
        <w:t xml:space="preserve">.  </w:t>
      </w:r>
      <w:r>
        <w:rPr>
          <w:i w:val="0"/>
          <w:iCs w:val="0"/>
          <w:sz w:val="22"/>
          <w:lang w:val="en-US"/>
        </w:rPr>
        <w:t xml:space="preserve"> </w:t>
      </w:r>
      <w:r>
        <w:rPr>
          <w:i w:val="0"/>
          <w:iCs w:val="0"/>
          <w:sz w:val="22"/>
        </w:rPr>
        <w:t xml:space="preserve">Excerpts from data supporting varied ‘commitment states’ can be seen in the Addendum Appendix (Tables 6, 7 and 8). </w:t>
      </w:r>
    </w:p>
    <w:p w:rsidR="00DC19F1" w:rsidRDefault="00DC19F1">
      <w:pPr>
        <w:spacing w:line="360" w:lineRule="auto"/>
        <w:rPr>
          <w:sz w:val="22"/>
        </w:rPr>
      </w:pPr>
    </w:p>
    <w:p w:rsidR="00DC19F1" w:rsidRDefault="00DC19F1">
      <w:pPr>
        <w:spacing w:line="360" w:lineRule="auto"/>
        <w:rPr>
          <w:sz w:val="22"/>
        </w:rPr>
      </w:pPr>
      <w:r>
        <w:rPr>
          <w:sz w:val="22"/>
        </w:rPr>
        <w:t xml:space="preserve">As mentioned earlier, </w:t>
      </w:r>
      <w:r>
        <w:rPr>
          <w:i/>
          <w:sz w:val="22"/>
        </w:rPr>
        <w:t>credibility</w:t>
      </w:r>
      <w:r>
        <w:rPr>
          <w:sz w:val="22"/>
        </w:rPr>
        <w:t xml:space="preserve"> is also enhanced by triangulation techniques. The application of these is discussed next. </w:t>
      </w:r>
    </w:p>
    <w:p w:rsidR="00DC19F1" w:rsidRDefault="00DC19F1">
      <w:pPr>
        <w:pStyle w:val="BodyText"/>
        <w:rPr>
          <w:b/>
          <w:bCs/>
        </w:rPr>
      </w:pPr>
    </w:p>
    <w:p w:rsidR="00DC19F1" w:rsidRDefault="00DC19F1">
      <w:pPr>
        <w:pStyle w:val="BodyText"/>
        <w:rPr>
          <w:b/>
          <w:bCs/>
          <w:sz w:val="24"/>
        </w:rPr>
      </w:pPr>
      <w:r>
        <w:rPr>
          <w:b/>
          <w:bCs/>
          <w:sz w:val="24"/>
        </w:rPr>
        <w:t>Triangulation</w:t>
      </w:r>
    </w:p>
    <w:p w:rsidR="00DC19F1" w:rsidRDefault="00DC19F1">
      <w:pPr>
        <w:pStyle w:val="BodyText2"/>
        <w:rPr>
          <w:i w:val="0"/>
          <w:iCs w:val="0"/>
          <w:sz w:val="22"/>
        </w:rPr>
      </w:pPr>
      <w:r>
        <w:rPr>
          <w:i w:val="0"/>
          <w:iCs w:val="0"/>
          <w:sz w:val="22"/>
        </w:rPr>
        <w:t xml:space="preserve">Lincoln and Guba (1985) cite triangulation as a way of making it more likely that </w:t>
      </w:r>
      <w:r>
        <w:rPr>
          <w:sz w:val="22"/>
        </w:rPr>
        <w:t>“credible findings and interpretations will be produced”.</w:t>
      </w:r>
      <w:r>
        <w:rPr>
          <w:i w:val="0"/>
          <w:iCs w:val="0"/>
          <w:sz w:val="22"/>
        </w:rPr>
        <w:t xml:space="preserve"> Given developed literature on commitment, the author of this work took a mixed inductive-deductive approach to validity and reliability issues. Four modes of triangulation, which are considered by Denzin (1978) to establish research validity and reliability, have underpinned this research: </w:t>
      </w:r>
      <w:r>
        <w:rPr>
          <w:sz w:val="22"/>
        </w:rPr>
        <w:t xml:space="preserve">triangulation of theories; within-method triangulation; triangulation of sources </w:t>
      </w:r>
      <w:r>
        <w:rPr>
          <w:i w:val="0"/>
          <w:iCs w:val="0"/>
          <w:sz w:val="22"/>
        </w:rPr>
        <w:t xml:space="preserve">and </w:t>
      </w:r>
      <w:r>
        <w:rPr>
          <w:sz w:val="22"/>
        </w:rPr>
        <w:t>investigators</w:t>
      </w:r>
      <w:r>
        <w:rPr>
          <w:i w:val="0"/>
          <w:iCs w:val="0"/>
          <w:sz w:val="22"/>
        </w:rPr>
        <w:t xml:space="preserve">. A more purist phenomenological </w:t>
      </w:r>
      <w:r>
        <w:rPr>
          <w:i w:val="0"/>
          <w:iCs w:val="0"/>
          <w:sz w:val="22"/>
        </w:rPr>
        <w:lastRenderedPageBreak/>
        <w:t xml:space="preserve">approach to research than the approach adopted in this work was, however, taken by Lincoln and Guba (1985), who omitted triangulation of theories from the above list of triangulation modes. </w:t>
      </w:r>
    </w:p>
    <w:p w:rsidR="00DC19F1" w:rsidRDefault="00DC19F1">
      <w:pPr>
        <w:pStyle w:val="BodyText2"/>
        <w:rPr>
          <w:sz w:val="22"/>
        </w:rPr>
      </w:pPr>
    </w:p>
    <w:p w:rsidR="00DC19F1" w:rsidRDefault="00DC19F1">
      <w:pPr>
        <w:pStyle w:val="BodyText2"/>
        <w:rPr>
          <w:i w:val="0"/>
          <w:iCs w:val="0"/>
          <w:sz w:val="22"/>
        </w:rPr>
      </w:pPr>
      <w:r>
        <w:rPr>
          <w:i w:val="0"/>
          <w:iCs w:val="0"/>
          <w:sz w:val="22"/>
        </w:rPr>
        <w:t xml:space="preserve">The fourth mode, </w:t>
      </w:r>
      <w:r>
        <w:rPr>
          <w:sz w:val="22"/>
        </w:rPr>
        <w:t>Triangulation of Investigators</w:t>
      </w:r>
      <w:r>
        <w:rPr>
          <w:i w:val="0"/>
          <w:iCs w:val="0"/>
          <w:sz w:val="22"/>
        </w:rPr>
        <w:t xml:space="preserve">, (supporting reliability) will be discussed later, under </w:t>
      </w:r>
      <w:r>
        <w:rPr>
          <w:sz w:val="22"/>
        </w:rPr>
        <w:t>confirmability</w:t>
      </w:r>
      <w:r>
        <w:rPr>
          <w:i w:val="0"/>
          <w:iCs w:val="0"/>
          <w:sz w:val="22"/>
        </w:rPr>
        <w:t xml:space="preserve">. </w:t>
      </w:r>
    </w:p>
    <w:p w:rsidR="00DC19F1" w:rsidRDefault="00DC19F1">
      <w:pPr>
        <w:pStyle w:val="Heading6"/>
      </w:pPr>
    </w:p>
    <w:p w:rsidR="00DC19F1" w:rsidRDefault="00DC19F1">
      <w:pPr>
        <w:pStyle w:val="BodyText"/>
        <w:rPr>
          <w:i/>
          <w:iCs/>
        </w:rPr>
      </w:pPr>
      <w:r>
        <w:rPr>
          <w:i/>
          <w:iCs/>
        </w:rPr>
        <w:t>Triangulation of theories</w:t>
      </w:r>
    </w:p>
    <w:p w:rsidR="00DC19F1" w:rsidRDefault="00DC19F1">
      <w:pPr>
        <w:spacing w:line="360" w:lineRule="auto"/>
        <w:rPr>
          <w:sz w:val="22"/>
        </w:rPr>
      </w:pPr>
      <w:r>
        <w:rPr>
          <w:sz w:val="22"/>
        </w:rPr>
        <w:t>Triangulation of theories</w:t>
      </w:r>
      <w:r>
        <w:rPr>
          <w:i/>
          <w:iCs/>
          <w:sz w:val="22"/>
        </w:rPr>
        <w:t xml:space="preserve"> </w:t>
      </w:r>
      <w:r>
        <w:rPr>
          <w:sz w:val="22"/>
        </w:rPr>
        <w:t>asks the question put by Stake, (1995, p. 185):</w:t>
      </w:r>
    </w:p>
    <w:p w:rsidR="00DC19F1" w:rsidRDefault="00DC19F1">
      <w:pPr>
        <w:spacing w:line="360" w:lineRule="auto"/>
        <w:rPr>
          <w:sz w:val="22"/>
        </w:rPr>
      </w:pPr>
      <w:r>
        <w:rPr>
          <w:i/>
          <w:iCs/>
          <w:sz w:val="22"/>
        </w:rPr>
        <w:t>“Does the meaning of the observation remain the same when studied against different theoretical perspectives…?”</w:t>
      </w:r>
      <w:r>
        <w:rPr>
          <w:sz w:val="22"/>
        </w:rPr>
        <w:t xml:space="preserve"> </w:t>
      </w:r>
    </w:p>
    <w:p w:rsidR="00DC19F1" w:rsidRDefault="00DC19F1">
      <w:pPr>
        <w:spacing w:line="360" w:lineRule="auto"/>
        <w:rPr>
          <w:sz w:val="22"/>
        </w:rPr>
      </w:pPr>
    </w:p>
    <w:p w:rsidR="00DC19F1" w:rsidRDefault="00DC19F1">
      <w:pPr>
        <w:spacing w:line="360" w:lineRule="auto"/>
        <w:rPr>
          <w:sz w:val="22"/>
        </w:rPr>
      </w:pPr>
      <w:r>
        <w:rPr>
          <w:sz w:val="22"/>
        </w:rPr>
        <w:t xml:space="preserve">In this work the author examined whether, for example, a customer who appears to be highly committed to her main bank shows evidence of key components found in employee-organisational commitment or the drivers of a higher degree of commitment present in that literature, or in the behavioural approach of social psychology. </w:t>
      </w:r>
      <w:r>
        <w:rPr>
          <w:i/>
          <w:iCs/>
          <w:sz w:val="22"/>
        </w:rPr>
        <w:t>“As meanings increasingly remain the same, the confidence grows that a good interpretation is being made”</w:t>
      </w:r>
      <w:r>
        <w:rPr>
          <w:sz w:val="22"/>
        </w:rPr>
        <w:t xml:space="preserve"> (ibid). </w:t>
      </w:r>
    </w:p>
    <w:p w:rsidR="00DC19F1" w:rsidRDefault="00DC19F1">
      <w:pPr>
        <w:spacing w:line="360" w:lineRule="auto"/>
        <w:rPr>
          <w:sz w:val="22"/>
        </w:rPr>
      </w:pPr>
    </w:p>
    <w:p w:rsidR="00DC19F1" w:rsidRDefault="00DC19F1">
      <w:pPr>
        <w:spacing w:line="360" w:lineRule="auto"/>
        <w:rPr>
          <w:i/>
          <w:iCs/>
          <w:sz w:val="22"/>
        </w:rPr>
      </w:pPr>
      <w:r>
        <w:rPr>
          <w:sz w:val="22"/>
        </w:rPr>
        <w:t xml:space="preserve">The research secondly builds on other theory linked with commitment, such as product loyalty and relationship marketing literature. It additionally compares and synthesises data with attachment models, such as a conceptual framework of service bonds by Liljander and Strandvik (1995). </w:t>
      </w:r>
    </w:p>
    <w:p w:rsidR="00DC19F1" w:rsidRDefault="00DC19F1">
      <w:pPr>
        <w:spacing w:line="360" w:lineRule="auto"/>
        <w:rPr>
          <w:i/>
          <w:iCs/>
          <w:sz w:val="22"/>
        </w:rPr>
      </w:pPr>
    </w:p>
    <w:p w:rsidR="00DC19F1" w:rsidRDefault="00DC19F1">
      <w:pPr>
        <w:spacing w:line="360" w:lineRule="auto"/>
        <w:rPr>
          <w:i/>
          <w:iCs/>
          <w:sz w:val="22"/>
        </w:rPr>
      </w:pPr>
      <w:r>
        <w:rPr>
          <w:i/>
          <w:iCs/>
          <w:sz w:val="22"/>
        </w:rPr>
        <w:t xml:space="preserve">Within-methods triangulation  </w:t>
      </w:r>
    </w:p>
    <w:p w:rsidR="00DC19F1" w:rsidRDefault="00DC19F1">
      <w:pPr>
        <w:spacing w:line="360" w:lineRule="auto"/>
        <w:rPr>
          <w:sz w:val="22"/>
        </w:rPr>
      </w:pPr>
      <w:r>
        <w:rPr>
          <w:sz w:val="22"/>
        </w:rPr>
        <w:t>This type of triangulation method is: “</w:t>
      </w:r>
      <w:r>
        <w:rPr>
          <w:i/>
          <w:iCs/>
          <w:sz w:val="22"/>
        </w:rPr>
        <w:t>using different kinds of measurements which provide repeated verification”</w:t>
      </w:r>
      <w:r>
        <w:rPr>
          <w:sz w:val="22"/>
        </w:rPr>
        <w:t xml:space="preserve"> (Miles and Huberman, 1984, p.234). In this research</w:t>
      </w:r>
      <w:r>
        <w:rPr>
          <w:i/>
          <w:iCs/>
          <w:sz w:val="22"/>
        </w:rPr>
        <w:t>, Within-Methods</w:t>
      </w:r>
      <w:r>
        <w:rPr>
          <w:sz w:val="22"/>
        </w:rPr>
        <w:t xml:space="preserve"> </w:t>
      </w:r>
      <w:r>
        <w:rPr>
          <w:i/>
          <w:iCs/>
          <w:sz w:val="22"/>
        </w:rPr>
        <w:t>Triangulation</w:t>
      </w:r>
      <w:r>
        <w:rPr>
          <w:sz w:val="22"/>
        </w:rPr>
        <w:t xml:space="preserve"> is demonstrated when the author (in Phase 2) added a different data collection mode - a short, commitment Likert-scale administered at the end of each open-ended, semi-structured consumer interview, (as shown in Appendix B-5, thesis p.437). This extra measurement technique thus contributes to </w:t>
      </w:r>
      <w:r>
        <w:rPr>
          <w:sz w:val="22"/>
          <w:u w:val="single"/>
        </w:rPr>
        <w:t>internal validity</w:t>
      </w:r>
      <w:r>
        <w:rPr>
          <w:sz w:val="22"/>
        </w:rPr>
        <w:t xml:space="preserve"> through </w:t>
      </w:r>
      <w:r>
        <w:rPr>
          <w:i/>
          <w:iCs/>
          <w:sz w:val="22"/>
        </w:rPr>
        <w:t>credibility.</w:t>
      </w:r>
      <w:r>
        <w:rPr>
          <w:sz w:val="22"/>
        </w:rPr>
        <w:t xml:space="preserve"> </w:t>
      </w:r>
    </w:p>
    <w:p w:rsidR="00DC19F1" w:rsidRDefault="00DC19F1">
      <w:pPr>
        <w:spacing w:line="360" w:lineRule="auto"/>
        <w:rPr>
          <w:sz w:val="22"/>
        </w:rPr>
      </w:pPr>
    </w:p>
    <w:p w:rsidR="00DC19F1" w:rsidRDefault="00DC19F1">
      <w:pPr>
        <w:spacing w:line="360" w:lineRule="auto"/>
        <w:rPr>
          <w:sz w:val="22"/>
        </w:rPr>
      </w:pPr>
      <w:r>
        <w:rPr>
          <w:sz w:val="22"/>
        </w:rPr>
        <w:t>The author also included a range of question styles in both phases of the research “</w:t>
      </w:r>
      <w:r>
        <w:rPr>
          <w:i/>
          <w:iCs/>
          <w:sz w:val="22"/>
        </w:rPr>
        <w:t>to validate a conclusion”</w:t>
      </w:r>
      <w:r>
        <w:rPr>
          <w:sz w:val="22"/>
        </w:rPr>
        <w:t xml:space="preserve"> (Holliday, 2002). In the consumer interviews in particular the range included: open-ended questions, probes and projective techniques. These last included asking consumer participants for a ‘third person’ description (</w:t>
      </w:r>
      <w:r>
        <w:rPr>
          <w:rStyle w:val="Reference"/>
          <w:bCs/>
          <w:sz w:val="22"/>
        </w:rPr>
        <w:t xml:space="preserve">Sirgy, Grewal, Mangleburg, Park, Chon, Claiborne, Johar, and Berkman, </w:t>
      </w:r>
      <w:r>
        <w:rPr>
          <w:sz w:val="22"/>
        </w:rPr>
        <w:t xml:space="preserve">1997) of the car their bank’s typical customers might drive. Indirectly the method uncovers the image interviewees have of their bank’s users and of their bank’s brand values. It was considered a less subjective elicitation technique for brand image, since classic </w:t>
      </w:r>
      <w:r>
        <w:rPr>
          <w:sz w:val="22"/>
        </w:rPr>
        <w:lastRenderedPageBreak/>
        <w:t xml:space="preserve">brand attributes that consumers associate with certain cars had already been researched and published (Hussey and Dunscombe, 1999). </w:t>
      </w:r>
    </w:p>
    <w:p w:rsidR="00DC19F1" w:rsidRDefault="00DC19F1">
      <w:pPr>
        <w:spacing w:line="360" w:lineRule="auto"/>
        <w:rPr>
          <w:sz w:val="22"/>
        </w:rPr>
      </w:pPr>
    </w:p>
    <w:p w:rsidR="00DC19F1" w:rsidRDefault="00DC19F1">
      <w:pPr>
        <w:spacing w:line="360" w:lineRule="auto"/>
        <w:rPr>
          <w:sz w:val="22"/>
        </w:rPr>
      </w:pPr>
      <w:r>
        <w:rPr>
          <w:sz w:val="22"/>
        </w:rPr>
        <w:t xml:space="preserve">There were chances for respondent refutation by asking interviewees to comment on exhibits or prompts, such as a list of other bank brands derived from MORI Financial Services. Use of these kinds of techniques would uncover any self-brand identification with the bank or with the bank’s corporate values or any subconscious motives for choosing to remain with a bank. </w:t>
      </w:r>
    </w:p>
    <w:p w:rsidR="00DC19F1" w:rsidRDefault="00DC19F1">
      <w:pPr>
        <w:spacing w:line="360" w:lineRule="auto"/>
        <w:rPr>
          <w:sz w:val="22"/>
        </w:rPr>
      </w:pPr>
    </w:p>
    <w:p w:rsidR="00DC19F1" w:rsidRDefault="00DC19F1">
      <w:pPr>
        <w:pStyle w:val="Heading6"/>
        <w:rPr>
          <w:i/>
          <w:iCs/>
        </w:rPr>
      </w:pPr>
      <w:r>
        <w:rPr>
          <w:i/>
          <w:iCs/>
        </w:rPr>
        <w:t xml:space="preserve">Triangulation of Sources </w:t>
      </w:r>
    </w:p>
    <w:p w:rsidR="00DC19F1" w:rsidRDefault="00DC19F1">
      <w:pPr>
        <w:spacing w:line="360" w:lineRule="auto"/>
        <w:rPr>
          <w:b/>
          <w:bCs/>
          <w:sz w:val="22"/>
          <w:u w:val="single"/>
        </w:rPr>
      </w:pPr>
      <w:r>
        <w:rPr>
          <w:sz w:val="22"/>
        </w:rPr>
        <w:t xml:space="preserve">Diesing (1972, pp: 147-148) explains the link between validity and </w:t>
      </w:r>
      <w:r>
        <w:rPr>
          <w:i/>
          <w:iCs/>
          <w:sz w:val="22"/>
        </w:rPr>
        <w:t>triangulation of</w:t>
      </w:r>
      <w:r>
        <w:rPr>
          <w:sz w:val="22"/>
        </w:rPr>
        <w:t xml:space="preserve"> </w:t>
      </w:r>
      <w:r>
        <w:rPr>
          <w:i/>
          <w:iCs/>
          <w:sz w:val="22"/>
        </w:rPr>
        <w:t>sources</w:t>
      </w:r>
      <w:r>
        <w:rPr>
          <w:sz w:val="22"/>
        </w:rPr>
        <w:t>.</w:t>
      </w:r>
      <w:r>
        <w:rPr>
          <w:b/>
          <w:bCs/>
          <w:sz w:val="22"/>
          <w:u w:val="single"/>
        </w:rPr>
        <w:t xml:space="preserve"> </w:t>
      </w:r>
    </w:p>
    <w:p w:rsidR="00DC19F1" w:rsidRDefault="00DC19F1">
      <w:pPr>
        <w:spacing w:line="360" w:lineRule="auto"/>
        <w:rPr>
          <w:i/>
          <w:iCs/>
          <w:sz w:val="22"/>
        </w:rPr>
      </w:pPr>
      <w:r>
        <w:rPr>
          <w:i/>
          <w:iCs/>
          <w:sz w:val="22"/>
        </w:rPr>
        <w:t>“… The validity of a piece of evidence can be assessed by comparing it with other kinds of evidence on the same point. Each has its own characteristic ambiguities and shortcomings which are unlikely to coincide with those of another kind…”</w:t>
      </w:r>
    </w:p>
    <w:p w:rsidR="00DC19F1" w:rsidRDefault="00DC19F1">
      <w:pPr>
        <w:spacing w:line="360" w:lineRule="auto"/>
        <w:rPr>
          <w:sz w:val="22"/>
        </w:rPr>
      </w:pPr>
      <w:r>
        <w:rPr>
          <w:sz w:val="22"/>
        </w:rPr>
        <w:t xml:space="preserve">Within this work there were three different key types of </w:t>
      </w:r>
      <w:r>
        <w:rPr>
          <w:i/>
          <w:iCs/>
          <w:sz w:val="22"/>
        </w:rPr>
        <w:t xml:space="preserve">sources </w:t>
      </w:r>
      <w:r>
        <w:rPr>
          <w:sz w:val="22"/>
        </w:rPr>
        <w:t xml:space="preserve">of data (three types of interviewees). </w:t>
      </w:r>
      <w:r>
        <w:rPr>
          <w:i/>
          <w:iCs/>
          <w:sz w:val="22"/>
        </w:rPr>
        <w:t>Sources</w:t>
      </w:r>
      <w:r>
        <w:rPr>
          <w:sz w:val="22"/>
        </w:rPr>
        <w:t xml:space="preserve"> of data were split across two phases of research. In Phase 1, twenty-two </w:t>
      </w:r>
      <w:r>
        <w:rPr>
          <w:i/>
          <w:iCs/>
          <w:sz w:val="22"/>
        </w:rPr>
        <w:t>stakeholder</w:t>
      </w:r>
      <w:r>
        <w:rPr>
          <w:sz w:val="22"/>
        </w:rPr>
        <w:t xml:space="preserve"> </w:t>
      </w:r>
      <w:r>
        <w:rPr>
          <w:i/>
          <w:iCs/>
          <w:sz w:val="22"/>
        </w:rPr>
        <w:t>sources</w:t>
      </w:r>
      <w:r>
        <w:rPr>
          <w:sz w:val="22"/>
        </w:rPr>
        <w:t xml:space="preserve"> for the interviews included seven key banking informants and fifteen brand building expert dm /practitioners experienced in financial services marketing including banking. In Phase 2, eighteen consumer bank services customers were interviewed so that their </w:t>
      </w:r>
      <w:r>
        <w:rPr>
          <w:i/>
          <w:iCs/>
          <w:sz w:val="22"/>
        </w:rPr>
        <w:t>actor</w:t>
      </w:r>
      <w:r>
        <w:rPr>
          <w:sz w:val="22"/>
        </w:rPr>
        <w:t xml:space="preserve"> views could be compared and contrasted with the earlier practitioner perspectives, thus reducing possible sources of bias or idiosyncratic views.  </w:t>
      </w:r>
    </w:p>
    <w:p w:rsidR="00DC19F1" w:rsidRDefault="00DC19F1">
      <w:pPr>
        <w:spacing w:line="360" w:lineRule="auto"/>
        <w:rPr>
          <w:sz w:val="22"/>
        </w:rPr>
      </w:pPr>
    </w:p>
    <w:p w:rsidR="00DC19F1" w:rsidRDefault="00DC19F1">
      <w:pPr>
        <w:spacing w:line="360" w:lineRule="auto"/>
        <w:rPr>
          <w:i/>
          <w:iCs/>
          <w:sz w:val="22"/>
        </w:rPr>
      </w:pPr>
      <w:r>
        <w:rPr>
          <w:sz w:val="22"/>
        </w:rPr>
        <w:t xml:space="preserve">That completes the discussion of </w:t>
      </w:r>
      <w:r>
        <w:rPr>
          <w:i/>
          <w:iCs/>
          <w:sz w:val="22"/>
        </w:rPr>
        <w:t>Triangulation</w:t>
      </w:r>
      <w:r>
        <w:rPr>
          <w:sz w:val="22"/>
        </w:rPr>
        <w:t xml:space="preserve"> techniques. We finish with </w:t>
      </w:r>
      <w:r>
        <w:rPr>
          <w:i/>
          <w:iCs/>
          <w:sz w:val="22"/>
        </w:rPr>
        <w:t>credibility</w:t>
      </w:r>
      <w:r>
        <w:rPr>
          <w:sz w:val="22"/>
        </w:rPr>
        <w:t xml:space="preserve"> by discussing the final few methods: </w:t>
      </w:r>
      <w:r>
        <w:rPr>
          <w:i/>
          <w:iCs/>
          <w:sz w:val="22"/>
        </w:rPr>
        <w:t>Depth</w:t>
      </w:r>
      <w:r>
        <w:rPr>
          <w:sz w:val="22"/>
        </w:rPr>
        <w:t xml:space="preserve"> and </w:t>
      </w:r>
      <w:r>
        <w:rPr>
          <w:i/>
          <w:iCs/>
          <w:sz w:val="22"/>
        </w:rPr>
        <w:t>intimacy of interviewing</w:t>
      </w:r>
      <w:r>
        <w:rPr>
          <w:sz w:val="22"/>
        </w:rPr>
        <w:t xml:space="preserve">; </w:t>
      </w:r>
      <w:r>
        <w:rPr>
          <w:i/>
          <w:iCs/>
          <w:sz w:val="22"/>
        </w:rPr>
        <w:t xml:space="preserve">Peer debriefing </w:t>
      </w:r>
      <w:r>
        <w:rPr>
          <w:sz w:val="22"/>
        </w:rPr>
        <w:t xml:space="preserve">and </w:t>
      </w:r>
      <w:r>
        <w:rPr>
          <w:i/>
          <w:iCs/>
          <w:sz w:val="22"/>
        </w:rPr>
        <w:t>Purposive sampling.</w:t>
      </w:r>
    </w:p>
    <w:p w:rsidR="00DC19F1" w:rsidRDefault="00DC19F1">
      <w:pPr>
        <w:spacing w:line="360" w:lineRule="auto"/>
        <w:rPr>
          <w:i/>
          <w:iCs/>
          <w:sz w:val="22"/>
        </w:rPr>
      </w:pPr>
    </w:p>
    <w:p w:rsidR="00DC19F1" w:rsidRDefault="00DC19F1">
      <w:pPr>
        <w:spacing w:line="360" w:lineRule="auto"/>
        <w:rPr>
          <w:i/>
          <w:iCs/>
          <w:sz w:val="22"/>
        </w:rPr>
      </w:pPr>
      <w:r>
        <w:rPr>
          <w:i/>
          <w:iCs/>
          <w:sz w:val="22"/>
        </w:rPr>
        <w:t>Depth and intimacy of interviewing versus</w:t>
      </w:r>
    </w:p>
    <w:p w:rsidR="00DC19F1" w:rsidRDefault="00DC19F1">
      <w:pPr>
        <w:spacing w:line="360" w:lineRule="auto"/>
        <w:rPr>
          <w:i/>
          <w:iCs/>
          <w:sz w:val="22"/>
        </w:rPr>
      </w:pPr>
      <w:r>
        <w:rPr>
          <w:i/>
          <w:iCs/>
          <w:sz w:val="22"/>
        </w:rPr>
        <w:t>Prolonged engagement and observations in a natural setting</w:t>
      </w:r>
    </w:p>
    <w:p w:rsidR="00DC19F1" w:rsidRDefault="00DC19F1">
      <w:pPr>
        <w:spacing w:line="360" w:lineRule="auto"/>
        <w:rPr>
          <w:sz w:val="22"/>
        </w:rPr>
      </w:pPr>
      <w:r>
        <w:rPr>
          <w:sz w:val="22"/>
        </w:rPr>
        <w:t>The requirement for observation in a natural setting in qualitative work “</w:t>
      </w:r>
      <w:r>
        <w:rPr>
          <w:i/>
          <w:iCs/>
          <w:sz w:val="22"/>
        </w:rPr>
        <w:t>to obtain depth of understanding”</w:t>
      </w:r>
      <w:r>
        <w:rPr>
          <w:sz w:val="22"/>
        </w:rPr>
        <w:t xml:space="preserve"> (Lincoln and Guba, 1985) is not appropriate here, where these methods might seem intrusive. Depth interviews of at least one hour in duration were undertaken instead, to ensure intimacy on the sensitive topic of personal banking. In Phase 1 successive interviews with practitioners contained successively more in-depth questions. Prompts and, in Phase 2 consumer interviews, the use of (published) projective elicitation techniques (as discussed earlier) increased the depth of interviewing. </w:t>
      </w:r>
    </w:p>
    <w:p w:rsidR="00DC19F1" w:rsidRDefault="00DC19F1">
      <w:pPr>
        <w:spacing w:line="360" w:lineRule="auto"/>
        <w:rPr>
          <w:i/>
          <w:iCs/>
          <w:sz w:val="22"/>
        </w:rPr>
      </w:pPr>
    </w:p>
    <w:p w:rsidR="00DC19F1" w:rsidRDefault="00DC19F1">
      <w:pPr>
        <w:spacing w:line="360" w:lineRule="auto"/>
        <w:rPr>
          <w:sz w:val="22"/>
        </w:rPr>
      </w:pPr>
      <w:r>
        <w:rPr>
          <w:i/>
          <w:iCs/>
          <w:sz w:val="22"/>
        </w:rPr>
        <w:t>Peer Debriefing</w:t>
      </w:r>
    </w:p>
    <w:p w:rsidR="00DC19F1" w:rsidRDefault="00DC19F1">
      <w:pPr>
        <w:spacing w:line="360" w:lineRule="auto"/>
        <w:rPr>
          <w:sz w:val="22"/>
        </w:rPr>
      </w:pPr>
      <w:r>
        <w:rPr>
          <w:sz w:val="22"/>
        </w:rPr>
        <w:t xml:space="preserve">The purpose of debriefing by peers is to clarify, to help to guard against bias and to produce new insights (Carson et al., 2001).  Use of debriefing with informed colleagues is recommended </w:t>
      </w:r>
      <w:r>
        <w:rPr>
          <w:sz w:val="22"/>
        </w:rPr>
        <w:lastRenderedPageBreak/>
        <w:t xml:space="preserve">as </w:t>
      </w:r>
      <w:r>
        <w:rPr>
          <w:i/>
          <w:iCs/>
          <w:sz w:val="22"/>
        </w:rPr>
        <w:t>consultative validity</w:t>
      </w:r>
      <w:r>
        <w:rPr>
          <w:sz w:val="22"/>
        </w:rPr>
        <w:t xml:space="preserve"> (Robson, 1989) forming ‘external checks’ on the enquiry process (Lincoln and Guba 1985, p.301).  Debriefing was carried out in various ways.</w:t>
      </w:r>
    </w:p>
    <w:p w:rsidR="00DC19F1" w:rsidRDefault="00DC19F1">
      <w:pPr>
        <w:spacing w:line="360" w:lineRule="auto"/>
        <w:rPr>
          <w:sz w:val="22"/>
        </w:rPr>
      </w:pPr>
    </w:p>
    <w:p w:rsidR="00DC19F1" w:rsidRDefault="00DC19F1">
      <w:pPr>
        <w:pStyle w:val="BodyText"/>
      </w:pPr>
      <w:r>
        <w:t xml:space="preserve">Measurement of commitment was discussed with loyalty and commitment academics in the early stages.  Key banking informants and commercial companies whose research includes the financial services sector reviewed conceptual frameworks, research design and questions, making suggestions resulting in changes to overall design and item wording. Papers were presented internally at </w:t>
      </w:r>
      <w:smartTag w:uri="urn:schemas-microsoft-com:office:smarttags" w:element="place">
        <w:smartTag w:uri="urn:schemas-microsoft-com:office:smarttags" w:element="PlaceName">
          <w:r>
            <w:t>Bristol</w:t>
          </w:r>
        </w:smartTag>
        <w:r>
          <w:t xml:space="preserve"> </w:t>
        </w:r>
        <w:smartTag w:uri="urn:schemas-microsoft-com:office:smarttags" w:element="PlaceName">
          <w:r>
            <w:t>Business</w:t>
          </w:r>
        </w:smartTag>
        <w:r>
          <w:t xml:space="preserve"> </w:t>
        </w:r>
        <w:smartTag w:uri="urn:schemas-microsoft-com:office:smarttags" w:element="PlaceType">
          <w:r>
            <w:t>School</w:t>
          </w:r>
        </w:smartTag>
      </w:smartTag>
      <w:r>
        <w:t xml:space="preserve"> and at the Manchester Metropolitan University Doctoral Colloquium, 1997 and ongoing feedback received from academics and blind reviewers on related conceptual and empirical papers published. Early practitioner findings were also presented to DM financial services practitioners. Ongoing feedback was additionally received from PhD supervisors knowledgeable about: consumer behaviour, market research, branding, financial services and direct marketing.</w:t>
      </w:r>
    </w:p>
    <w:p w:rsidR="00DC19F1" w:rsidRDefault="00DC19F1">
      <w:pPr>
        <w:spacing w:line="360" w:lineRule="auto"/>
        <w:rPr>
          <w:sz w:val="22"/>
        </w:rPr>
      </w:pPr>
    </w:p>
    <w:p w:rsidR="00DC19F1" w:rsidRDefault="00DC19F1">
      <w:pPr>
        <w:spacing w:line="360" w:lineRule="auto"/>
        <w:rPr>
          <w:i/>
          <w:iCs/>
          <w:sz w:val="22"/>
        </w:rPr>
      </w:pPr>
      <w:r>
        <w:rPr>
          <w:i/>
          <w:iCs/>
          <w:sz w:val="22"/>
        </w:rPr>
        <w:t>Purposive sampling</w:t>
      </w:r>
    </w:p>
    <w:p w:rsidR="00DC19F1" w:rsidRDefault="00DC19F1">
      <w:pPr>
        <w:pStyle w:val="BodyText"/>
      </w:pPr>
      <w:r>
        <w:t xml:space="preserve">Denzin and </w:t>
      </w:r>
      <w:smartTag w:uri="urn:schemas-microsoft-com:office:smarttags" w:element="place">
        <w:smartTag w:uri="urn:schemas-microsoft-com:office:smarttags" w:element="City">
          <w:r>
            <w:t>Lincoln</w:t>
          </w:r>
        </w:smartTag>
      </w:smartTag>
      <w:r>
        <w:t xml:space="preserve"> (1994, p.202) recommend qualitative researchers </w:t>
      </w:r>
      <w:r>
        <w:rPr>
          <w:i/>
          <w:iCs/>
        </w:rPr>
        <w:t>“seek out groups and settings and individuals where…the processes being studied are most likely to occur”.</w:t>
      </w:r>
      <w:r>
        <w:t xml:space="preserve"> And Guba and Lincoln (1989 p.178) recommend a serial approach to purposive sampling, meaning </w:t>
      </w:r>
      <w:r>
        <w:rPr>
          <w:i/>
          <w:iCs/>
        </w:rPr>
        <w:t>“elements are chosen in ways that best serve the particular needs of the enquiry at that moment”</w:t>
      </w:r>
      <w:r>
        <w:t>.</w:t>
      </w:r>
    </w:p>
    <w:p w:rsidR="00DC19F1" w:rsidRDefault="00DC19F1">
      <w:pPr>
        <w:pStyle w:val="BodyText"/>
      </w:pPr>
    </w:p>
    <w:p w:rsidR="00DC19F1" w:rsidRDefault="00DC19F1">
      <w:pPr>
        <w:spacing w:line="360" w:lineRule="auto"/>
        <w:rPr>
          <w:sz w:val="22"/>
        </w:rPr>
      </w:pPr>
      <w:r>
        <w:rPr>
          <w:sz w:val="22"/>
        </w:rPr>
        <w:t xml:space="preserve">In this work flexibility in the purposive nature of the sampling could have been greater, given greater resources, adding a further phase of interviewing to explore how commitment might vary between genders. The research was limited to two criterion-based, serial phases: first marketing practitioners with some financial services direct marketing and/or brand building experience; and then customers holding a current account at a variety of newer and traditional banking providers, in the second phase. Efforts were made during Phase 2 to ensure a broad selection of consumer participants to assist in fulfilling one of the six different types of purposive sampling described by Patton (1980), </w:t>
      </w:r>
      <w:r>
        <w:rPr>
          <w:i/>
          <w:iCs/>
          <w:sz w:val="22"/>
        </w:rPr>
        <w:t>‘maximum variation sampling’</w:t>
      </w:r>
      <w:r>
        <w:rPr>
          <w:sz w:val="22"/>
        </w:rPr>
        <w:t xml:space="preserve">. Guba and Lincoln (1989) call this sampling method the constructivist’s sampling mode of choice as it provides the </w:t>
      </w:r>
      <w:r>
        <w:rPr>
          <w:i/>
          <w:iCs/>
          <w:sz w:val="22"/>
        </w:rPr>
        <w:t>“broadest base of local understanding”.</w:t>
      </w:r>
      <w:r>
        <w:rPr>
          <w:sz w:val="22"/>
        </w:rPr>
        <w:t xml:space="preserve"> </w:t>
      </w:r>
    </w:p>
    <w:p w:rsidR="00DC19F1" w:rsidRDefault="00DC19F1">
      <w:pPr>
        <w:spacing w:line="360" w:lineRule="auto"/>
        <w:rPr>
          <w:sz w:val="22"/>
        </w:rPr>
      </w:pPr>
    </w:p>
    <w:p w:rsidR="00DC19F1" w:rsidRDefault="00DC19F1">
      <w:pPr>
        <w:spacing w:line="360" w:lineRule="auto"/>
        <w:rPr>
          <w:sz w:val="22"/>
        </w:rPr>
      </w:pPr>
      <w:r>
        <w:rPr>
          <w:sz w:val="22"/>
        </w:rPr>
        <w:t>In qualitative approaches to research authors point out that respondents must be selected for their relevance rather than on randomness or how representative they are (Guba and Lincoln, 1989; Carson et al, 2001).</w:t>
      </w:r>
      <w:r>
        <w:t xml:space="preserve"> </w:t>
      </w:r>
      <w:r>
        <w:rPr>
          <w:sz w:val="22"/>
        </w:rPr>
        <w:t xml:space="preserve">Whilst recruitment to consumer interview included fulfilling a quota of a variety of demographic backgrounds, the author was conscious of needing to include consumer interviewees who ascribed their varying levels of attachment to a main bank to a range of different influences and was able to check whether this was happening as interviewing progressed. It is demonstrated in the findings that the consumer sample for consumer Phase 2 </w:t>
      </w:r>
      <w:r>
        <w:rPr>
          <w:sz w:val="22"/>
        </w:rPr>
        <w:lastRenderedPageBreak/>
        <w:t xml:space="preserve">contains cases of various degrees of commitment (from low, through inertia, to high commitment) and contains different components of commitment found in organisational commitment literature. Given greater resources it would have been good purposively to seek out further cases of high customer commitment to compare with those already interviewed and analysed.  </w:t>
      </w:r>
    </w:p>
    <w:p w:rsidR="00DC19F1" w:rsidRDefault="00DC19F1">
      <w:pPr>
        <w:spacing w:line="360" w:lineRule="auto"/>
        <w:rPr>
          <w:sz w:val="22"/>
        </w:rPr>
      </w:pPr>
    </w:p>
    <w:p w:rsidR="00DC19F1" w:rsidRDefault="00DC19F1">
      <w:pPr>
        <w:spacing w:line="360" w:lineRule="auto"/>
        <w:rPr>
          <w:sz w:val="22"/>
        </w:rPr>
      </w:pPr>
      <w:r>
        <w:rPr>
          <w:sz w:val="22"/>
        </w:rPr>
        <w:t xml:space="preserve">This concludes the section on </w:t>
      </w:r>
      <w:r>
        <w:rPr>
          <w:i/>
          <w:iCs/>
          <w:sz w:val="22"/>
        </w:rPr>
        <w:t xml:space="preserve">credibility. </w:t>
      </w:r>
      <w:r>
        <w:rPr>
          <w:sz w:val="22"/>
        </w:rPr>
        <w:t xml:space="preserve">Techniques supporting the other three dimensions of </w:t>
      </w:r>
      <w:r>
        <w:rPr>
          <w:i/>
          <w:iCs/>
          <w:sz w:val="22"/>
        </w:rPr>
        <w:t>trustworthiness:</w:t>
      </w:r>
      <w:r>
        <w:rPr>
          <w:sz w:val="22"/>
        </w:rPr>
        <w:t xml:space="preserve"> </w:t>
      </w:r>
      <w:r>
        <w:rPr>
          <w:i/>
          <w:iCs/>
          <w:sz w:val="22"/>
        </w:rPr>
        <w:t>transferability, dependability</w:t>
      </w:r>
      <w:r>
        <w:rPr>
          <w:sz w:val="22"/>
        </w:rPr>
        <w:t xml:space="preserve"> and </w:t>
      </w:r>
      <w:r>
        <w:rPr>
          <w:i/>
          <w:iCs/>
          <w:sz w:val="22"/>
        </w:rPr>
        <w:t>confirmability</w:t>
      </w:r>
      <w:r>
        <w:rPr>
          <w:sz w:val="22"/>
        </w:rPr>
        <w:t xml:space="preserve"> will now be discussed.</w:t>
      </w:r>
    </w:p>
    <w:p w:rsidR="00DC19F1" w:rsidRDefault="00DC19F1">
      <w:pPr>
        <w:spacing w:line="360" w:lineRule="auto"/>
        <w:rPr>
          <w:sz w:val="22"/>
        </w:rPr>
      </w:pPr>
    </w:p>
    <w:p w:rsidR="00DC19F1" w:rsidRDefault="00DC19F1">
      <w:pPr>
        <w:pStyle w:val="Heading2"/>
      </w:pPr>
      <w:bookmarkStart w:id="6" w:name="_Toc113077993"/>
      <w:bookmarkStart w:id="7" w:name="_Toc132368260"/>
      <w:r>
        <w:t>1.2 TRANSFERABILITY</w:t>
      </w:r>
      <w:bookmarkEnd w:id="6"/>
      <w:bookmarkEnd w:id="7"/>
    </w:p>
    <w:p w:rsidR="00DC19F1" w:rsidRDefault="00DC19F1">
      <w:pPr>
        <w:spacing w:line="360" w:lineRule="auto"/>
        <w:rPr>
          <w:b/>
          <w:bCs/>
        </w:rPr>
      </w:pPr>
    </w:p>
    <w:p w:rsidR="00DC19F1" w:rsidRDefault="00DC19F1">
      <w:pPr>
        <w:spacing w:line="360" w:lineRule="auto"/>
        <w:rPr>
          <w:sz w:val="22"/>
        </w:rPr>
      </w:pPr>
      <w:r>
        <w:rPr>
          <w:sz w:val="22"/>
        </w:rPr>
        <w:t xml:space="preserve">Transferability </w:t>
      </w:r>
      <w:r>
        <w:rPr>
          <w:i/>
          <w:iCs/>
          <w:sz w:val="22"/>
        </w:rPr>
        <w:t>“may be thought of as parallel to external validity or generalisability</w:t>
      </w:r>
      <w:r>
        <w:rPr>
          <w:sz w:val="22"/>
        </w:rPr>
        <w:t xml:space="preserve">”(Guba and Lincoln, 1989, p.241) but constructivists do not attempt to transfer their findings with confidence to other sectors. The author readily acknowledges that to be the case here: the findings have relatively low transferability. Marketers had already recognised that a customer’s brand loyalty for </w:t>
      </w:r>
      <w:r>
        <w:rPr>
          <w:i/>
          <w:iCs/>
          <w:sz w:val="22"/>
        </w:rPr>
        <w:t>goods</w:t>
      </w:r>
      <w:r>
        <w:rPr>
          <w:sz w:val="22"/>
        </w:rPr>
        <w:t xml:space="preserve"> was not a personal disposition across sectors but specific to certain product categories (Guest, 1955; Cunningham, 1956). Indeed, reviewers of an early paper related to this study commented on the need to narrow down the context of this work from looking at commitment within a spectrum of consumer financial services to concentrate on a particular financial service, such as consumer banking services, since financial services differ markedly in terms of frequency of contact, customer involvement and so on. </w:t>
      </w:r>
    </w:p>
    <w:p w:rsidR="00DC19F1" w:rsidRDefault="00DC19F1">
      <w:pPr>
        <w:spacing w:line="360" w:lineRule="auto"/>
        <w:rPr>
          <w:sz w:val="22"/>
        </w:rPr>
      </w:pPr>
    </w:p>
    <w:p w:rsidR="00DC19F1" w:rsidRDefault="00DC19F1">
      <w:pPr>
        <w:spacing w:line="360" w:lineRule="auto"/>
        <w:rPr>
          <w:sz w:val="22"/>
        </w:rPr>
      </w:pPr>
      <w:r>
        <w:rPr>
          <w:sz w:val="22"/>
        </w:rPr>
        <w:t xml:space="preserve">Lincoln and Guba (1985, p.297) argue that the burden of proof of </w:t>
      </w:r>
      <w:r>
        <w:rPr>
          <w:i/>
          <w:iCs/>
          <w:sz w:val="22"/>
        </w:rPr>
        <w:t>transferability</w:t>
      </w:r>
      <w:r>
        <w:rPr>
          <w:sz w:val="22"/>
        </w:rPr>
        <w:t xml:space="preserve"> should fall less with the original investigator as with future researchers applying that knowledge in another context and is dependent on the similarity of the contexts. In this case, other ‘continuous consumer services’ that have both retail and virtual distribution and relatively frequent transactions might be considered similar contexts.</w:t>
      </w:r>
    </w:p>
    <w:p w:rsidR="00DC19F1" w:rsidRDefault="00DC19F1">
      <w:pPr>
        <w:spacing w:line="360" w:lineRule="auto"/>
        <w:rPr>
          <w:sz w:val="22"/>
        </w:rPr>
      </w:pPr>
    </w:p>
    <w:p w:rsidR="00DC19F1" w:rsidRDefault="00DC19F1">
      <w:pPr>
        <w:pStyle w:val="Heading2"/>
      </w:pPr>
      <w:bookmarkStart w:id="8" w:name="_Toc113077994"/>
      <w:bookmarkStart w:id="9" w:name="_Toc132368261"/>
      <w:r>
        <w:t>1.3 DEPENDABILITY</w:t>
      </w:r>
      <w:bookmarkEnd w:id="8"/>
      <w:bookmarkEnd w:id="9"/>
    </w:p>
    <w:p w:rsidR="00DC19F1" w:rsidRDefault="00DC19F1"/>
    <w:p w:rsidR="00DC19F1" w:rsidRDefault="00DC19F1">
      <w:pPr>
        <w:spacing w:line="360" w:lineRule="auto"/>
        <w:rPr>
          <w:sz w:val="22"/>
        </w:rPr>
      </w:pPr>
      <w:r>
        <w:rPr>
          <w:i/>
          <w:iCs/>
          <w:sz w:val="22"/>
        </w:rPr>
        <w:t>Dependability</w:t>
      </w:r>
      <w:r>
        <w:rPr>
          <w:sz w:val="22"/>
        </w:rPr>
        <w:t xml:space="preserve"> is whether the results of a study are consistent with the data collected (Lincoln and Guba, 1985, p.288). Whereas alterations in methodology or constructs are threats to reliability, they are expected products in a naturalistic enquiry (Guba and Lincoln, 1989), which rests on emergent rather than ‘a priori’ research design and changes can be seen as ‘the hallmarks of a maturing and successful enquiry’ (Erlandson et al., 1993). Dependability is established through an enquiry audit trail (Guba and Lincoln, 1989). This work included documentation under a number of the six Halpern, (1983) </w:t>
      </w:r>
      <w:r>
        <w:rPr>
          <w:i/>
          <w:iCs/>
          <w:sz w:val="22"/>
        </w:rPr>
        <w:t>audit trail</w:t>
      </w:r>
      <w:r>
        <w:rPr>
          <w:sz w:val="22"/>
        </w:rPr>
        <w:t xml:space="preserve"> categories, including recording the </w:t>
      </w:r>
      <w:r>
        <w:rPr>
          <w:i/>
          <w:iCs/>
          <w:sz w:val="22"/>
        </w:rPr>
        <w:t>intentions</w:t>
      </w:r>
      <w:r>
        <w:rPr>
          <w:sz w:val="22"/>
        </w:rPr>
        <w:t xml:space="preserve"> (in the research proposal and aims) and the logic and </w:t>
      </w:r>
      <w:r>
        <w:rPr>
          <w:i/>
          <w:iCs/>
          <w:sz w:val="22"/>
        </w:rPr>
        <w:t>analysis</w:t>
      </w:r>
      <w:r>
        <w:rPr>
          <w:sz w:val="22"/>
        </w:rPr>
        <w:t xml:space="preserve"> process (e.g. in the working hypotheses), so that these could be inspected (Guba and Lincoln, 1989).   </w:t>
      </w:r>
    </w:p>
    <w:p w:rsidR="00DC19F1" w:rsidRDefault="00DC19F1">
      <w:pPr>
        <w:spacing w:line="360" w:lineRule="auto"/>
        <w:rPr>
          <w:sz w:val="22"/>
        </w:rPr>
      </w:pPr>
    </w:p>
    <w:p w:rsidR="00DC19F1" w:rsidRDefault="00DC19F1">
      <w:pPr>
        <w:spacing w:line="360" w:lineRule="auto"/>
        <w:rPr>
          <w:sz w:val="22"/>
        </w:rPr>
      </w:pPr>
      <w:r>
        <w:rPr>
          <w:sz w:val="22"/>
        </w:rPr>
        <w:t>With regard to recording ‘</w:t>
      </w:r>
      <w:r>
        <w:rPr>
          <w:i/>
          <w:iCs/>
          <w:sz w:val="22"/>
        </w:rPr>
        <w:t xml:space="preserve">instrument development information’, </w:t>
      </w:r>
      <w:r>
        <w:rPr>
          <w:sz w:val="22"/>
        </w:rPr>
        <w:t xml:space="preserve">another Halpern (1983) audit trail category, some authors recommend using a standardised protocol to ensure similar stimuli across interviews. </w:t>
      </w:r>
      <w:r>
        <w:rPr>
          <w:i/>
          <w:iCs/>
          <w:sz w:val="22"/>
        </w:rPr>
        <w:t>“…If these are not equivalent, measurement may be biased”</w:t>
      </w:r>
      <w:r>
        <w:rPr>
          <w:sz w:val="22"/>
        </w:rPr>
        <w:t xml:space="preserve"> (Brenner, 1981, p.115).  Therefore, after piloting, a more structured approach with a semi-structured interview protocol based around the themes derived from Phase 1 interviews and from a conceptual framework was followed for consumer interviews in Phase 2. This is </w:t>
      </w:r>
      <w:r>
        <w:rPr>
          <w:i/>
          <w:iCs/>
          <w:sz w:val="22"/>
        </w:rPr>
        <w:t xml:space="preserve">“to ensure that the investigator covers all terrain in the same order for each respondent” </w:t>
      </w:r>
      <w:r>
        <w:rPr>
          <w:sz w:val="22"/>
        </w:rPr>
        <w:t xml:space="preserve">(McCracken, 1988, p. 2). The protocol can be seen in thesis Appendix A-4 ‘Phase Two Consumers’ Interview Schedule’ (pp. 430-432). It also allowed for systematic analysis to compare and contrast themes, to check for patterns and consistency in responses to a consistent set of open-ended questions. De Ruyter and Scholl (1998) argue that </w:t>
      </w:r>
      <w:r>
        <w:rPr>
          <w:i/>
          <w:iCs/>
          <w:sz w:val="22"/>
        </w:rPr>
        <w:t xml:space="preserve">“by operating in a systematic way in the interview or focus groups, the reliability of qualitative research can be warranted” </w:t>
      </w:r>
      <w:r>
        <w:rPr>
          <w:sz w:val="22"/>
        </w:rPr>
        <w:t xml:space="preserve">and McCracken, (1998) supports systematic processes, as long as </w:t>
      </w:r>
      <w:r>
        <w:rPr>
          <w:i/>
          <w:iCs/>
          <w:sz w:val="22"/>
        </w:rPr>
        <w:t>“the use of a questionnaire does not pre-empt the open ended nature of the qualitative interview”.</w:t>
      </w:r>
      <w:r>
        <w:rPr>
          <w:sz w:val="22"/>
        </w:rPr>
        <w:t xml:space="preserve"> </w:t>
      </w:r>
    </w:p>
    <w:p w:rsidR="00DC19F1" w:rsidRDefault="00DC19F1">
      <w:pPr>
        <w:spacing w:line="360" w:lineRule="auto"/>
        <w:rPr>
          <w:sz w:val="22"/>
        </w:rPr>
      </w:pPr>
    </w:p>
    <w:p w:rsidR="00DC19F1" w:rsidRDefault="00DC19F1">
      <w:pPr>
        <w:pStyle w:val="BodyText"/>
        <w:rPr>
          <w:i/>
          <w:iCs/>
        </w:rPr>
      </w:pPr>
      <w:r>
        <w:rPr>
          <w:i/>
          <w:iCs/>
        </w:rPr>
        <w:t xml:space="preserve">Low inference descriptors </w:t>
      </w:r>
    </w:p>
    <w:p w:rsidR="00DC19F1" w:rsidRDefault="00DC19F1">
      <w:pPr>
        <w:spacing w:line="360" w:lineRule="auto"/>
        <w:rPr>
          <w:sz w:val="22"/>
        </w:rPr>
      </w:pPr>
      <w:r>
        <w:rPr>
          <w:sz w:val="22"/>
        </w:rPr>
        <w:t xml:space="preserve">High </w:t>
      </w:r>
      <w:r>
        <w:rPr>
          <w:i/>
          <w:iCs/>
          <w:sz w:val="22"/>
        </w:rPr>
        <w:t>dependability,</w:t>
      </w:r>
      <w:r>
        <w:rPr>
          <w:sz w:val="22"/>
        </w:rPr>
        <w:t xml:space="preserve"> or reliability, in qualitative research is also associated with </w:t>
      </w:r>
      <w:r>
        <w:rPr>
          <w:i/>
          <w:iCs/>
          <w:sz w:val="22"/>
        </w:rPr>
        <w:t>“low inference descriptors”</w:t>
      </w:r>
      <w:r>
        <w:rPr>
          <w:sz w:val="22"/>
        </w:rPr>
        <w:t xml:space="preserve"> (Seale, 1999, p. 148). This term’s meaning includes allowing access to the original, verbatim utterances within their context so that readers can interpret them for themselves as well as receiving the author’s reconstructions of the findings presented or summarised in tabular form. Under the Halpern (1983) ‘</w:t>
      </w:r>
      <w:r>
        <w:rPr>
          <w:i/>
          <w:iCs/>
          <w:sz w:val="22"/>
        </w:rPr>
        <w:t xml:space="preserve">raw data’ </w:t>
      </w:r>
      <w:r>
        <w:rPr>
          <w:sz w:val="22"/>
        </w:rPr>
        <w:t xml:space="preserve">category, printouts of word-processed transcripts and use of NUD.IST for Phase 2 enabled the preservation, for inspection, of both raw transcripts and of transcripts marked with coded data. The present study allows readers access to the original data, but at the expense of brevity. </w:t>
      </w:r>
    </w:p>
    <w:p w:rsidR="00DC19F1" w:rsidRDefault="00DC19F1">
      <w:pPr>
        <w:spacing w:line="360" w:lineRule="auto"/>
        <w:rPr>
          <w:b/>
          <w:bCs/>
        </w:rPr>
      </w:pPr>
    </w:p>
    <w:p w:rsidR="00DC19F1" w:rsidRDefault="00DC19F1">
      <w:pPr>
        <w:pStyle w:val="Heading2"/>
        <w:rPr>
          <w:sz w:val="22"/>
        </w:rPr>
      </w:pPr>
      <w:bookmarkStart w:id="10" w:name="_Toc113077995"/>
      <w:bookmarkStart w:id="11" w:name="_Toc132368262"/>
      <w:r>
        <w:t>1.4 CONFIRMABILITY</w:t>
      </w:r>
      <w:bookmarkEnd w:id="10"/>
      <w:bookmarkEnd w:id="11"/>
      <w:r>
        <w:rPr>
          <w:sz w:val="22"/>
        </w:rPr>
        <w:t xml:space="preserve"> </w:t>
      </w:r>
    </w:p>
    <w:p w:rsidR="00DC19F1" w:rsidRDefault="00DC19F1">
      <w:pPr>
        <w:spacing w:line="360" w:lineRule="auto"/>
        <w:rPr>
          <w:sz w:val="22"/>
        </w:rPr>
      </w:pPr>
      <w:r>
        <w:rPr>
          <w:sz w:val="22"/>
        </w:rPr>
        <w:t xml:space="preserve">Confirmability relates, loosely, to establishing what positivists might view as ‘objectivity’ and also evaluates how easily others could track the </w:t>
      </w:r>
      <w:r>
        <w:rPr>
          <w:i/>
          <w:iCs/>
          <w:sz w:val="22"/>
        </w:rPr>
        <w:t>process</w:t>
      </w:r>
      <w:r>
        <w:rPr>
          <w:sz w:val="22"/>
        </w:rPr>
        <w:t xml:space="preserve"> of this research study through all its documentation and through its very transparency (including the steps taken for data collection through analysis to interpretation). </w:t>
      </w:r>
    </w:p>
    <w:p w:rsidR="00DC19F1" w:rsidRDefault="00DC19F1">
      <w:pPr>
        <w:spacing w:line="360" w:lineRule="auto"/>
        <w:rPr>
          <w:sz w:val="22"/>
        </w:rPr>
      </w:pPr>
    </w:p>
    <w:p w:rsidR="00DC19F1" w:rsidRDefault="00DC19F1">
      <w:pPr>
        <w:spacing w:line="360" w:lineRule="auto"/>
        <w:rPr>
          <w:sz w:val="22"/>
        </w:rPr>
      </w:pPr>
      <w:r>
        <w:rPr>
          <w:sz w:val="22"/>
        </w:rPr>
        <w:t>Bringing discussion of each of four main evaluation criteria for the qualitative research enquiry in this study to a close, then, are a few remaining techniques.</w:t>
      </w:r>
      <w:r>
        <w:rPr>
          <w:i/>
          <w:iCs/>
          <w:sz w:val="22"/>
        </w:rPr>
        <w:t xml:space="preserve"> Triangulation of investigators</w:t>
      </w:r>
      <w:r>
        <w:rPr>
          <w:sz w:val="22"/>
        </w:rPr>
        <w:t xml:space="preserve"> supports the </w:t>
      </w:r>
      <w:r>
        <w:rPr>
          <w:sz w:val="22"/>
          <w:u w:val="single"/>
        </w:rPr>
        <w:t>first</w:t>
      </w:r>
      <w:r>
        <w:rPr>
          <w:sz w:val="22"/>
        </w:rPr>
        <w:t xml:space="preserve"> dimension of </w:t>
      </w:r>
      <w:r>
        <w:rPr>
          <w:i/>
          <w:iCs/>
          <w:sz w:val="22"/>
        </w:rPr>
        <w:t>confirmability</w:t>
      </w:r>
      <w:r>
        <w:rPr>
          <w:sz w:val="22"/>
        </w:rPr>
        <w:t xml:space="preserve">, as it has been briefly explained, above. </w:t>
      </w:r>
    </w:p>
    <w:p w:rsidR="00DC19F1" w:rsidRDefault="00DC19F1">
      <w:pPr>
        <w:pStyle w:val="Heading4"/>
        <w:numPr>
          <w:ilvl w:val="0"/>
          <w:numId w:val="0"/>
        </w:numPr>
        <w:rPr>
          <w:i w:val="0"/>
          <w:iCs w:val="0"/>
        </w:rPr>
      </w:pPr>
    </w:p>
    <w:p w:rsidR="00DC19F1" w:rsidRDefault="00DC19F1"/>
    <w:p w:rsidR="00DC19F1" w:rsidRDefault="00DC19F1"/>
    <w:p w:rsidR="00DC19F1" w:rsidRDefault="00DC19F1"/>
    <w:p w:rsidR="00DC19F1" w:rsidRDefault="00DC19F1"/>
    <w:p w:rsidR="00DC19F1" w:rsidRDefault="00DC19F1">
      <w:pPr>
        <w:pStyle w:val="BodyText"/>
        <w:rPr>
          <w:i/>
          <w:iCs/>
        </w:rPr>
      </w:pPr>
    </w:p>
    <w:p w:rsidR="00DC19F1" w:rsidRDefault="00DC19F1">
      <w:pPr>
        <w:pStyle w:val="BodyText"/>
        <w:rPr>
          <w:i/>
          <w:iCs/>
        </w:rPr>
      </w:pPr>
      <w:r>
        <w:rPr>
          <w:i/>
          <w:iCs/>
        </w:rPr>
        <w:lastRenderedPageBreak/>
        <w:t>Triangulation of Investigators</w:t>
      </w:r>
    </w:p>
    <w:p w:rsidR="00DC19F1" w:rsidRDefault="00DC19F1">
      <w:pPr>
        <w:spacing w:line="360" w:lineRule="auto"/>
        <w:rPr>
          <w:i/>
          <w:iCs/>
          <w:sz w:val="22"/>
        </w:rPr>
      </w:pPr>
      <w:r>
        <w:rPr>
          <w:sz w:val="22"/>
        </w:rPr>
        <w:t xml:space="preserve">Two investigators (interviewers) were used in the first, practitioner phase of the work in this research since research ‘objectivity’ can be threatened </w:t>
      </w:r>
      <w:r>
        <w:rPr>
          <w:i/>
          <w:iCs/>
          <w:sz w:val="22"/>
        </w:rPr>
        <w:t xml:space="preserve">‘by relying exclusively on the data provided by a single observer’ </w:t>
      </w:r>
      <w:r>
        <w:rPr>
          <w:sz w:val="22"/>
        </w:rPr>
        <w:t xml:space="preserve">(Lincoln and Guba, 1985, p.292). </w:t>
      </w:r>
    </w:p>
    <w:p w:rsidR="00DC19F1" w:rsidRDefault="00DC19F1">
      <w:pPr>
        <w:spacing w:line="360" w:lineRule="auto"/>
        <w:rPr>
          <w:i/>
          <w:iCs/>
          <w:sz w:val="22"/>
        </w:rPr>
      </w:pPr>
    </w:p>
    <w:p w:rsidR="00DC19F1" w:rsidRDefault="00DC19F1">
      <w:pPr>
        <w:spacing w:line="360" w:lineRule="auto"/>
        <w:rPr>
          <w:i/>
          <w:iCs/>
          <w:sz w:val="22"/>
        </w:rPr>
      </w:pPr>
      <w:r>
        <w:rPr>
          <w:i/>
          <w:iCs/>
          <w:sz w:val="22"/>
        </w:rPr>
        <w:t>An audit trail/transparency</w:t>
      </w:r>
    </w:p>
    <w:p w:rsidR="00DC19F1" w:rsidRDefault="00DC19F1">
      <w:pPr>
        <w:spacing w:line="360" w:lineRule="auto"/>
        <w:rPr>
          <w:sz w:val="22"/>
        </w:rPr>
      </w:pPr>
      <w:r>
        <w:rPr>
          <w:sz w:val="22"/>
        </w:rPr>
        <w:t xml:space="preserve">Cronbach and Suppes (1969) suggest that: </w:t>
      </w:r>
      <w:r>
        <w:rPr>
          <w:i/>
          <w:iCs/>
          <w:sz w:val="22"/>
        </w:rPr>
        <w:t xml:space="preserve">“disciplined enquiry is enquiry that is open to inspection and verification.” </w:t>
      </w:r>
      <w:r>
        <w:rPr>
          <w:sz w:val="22"/>
        </w:rPr>
        <w:t xml:space="preserve">An audit trail for </w:t>
      </w:r>
      <w:r>
        <w:rPr>
          <w:i/>
          <w:iCs/>
          <w:sz w:val="22"/>
        </w:rPr>
        <w:t>confirmability</w:t>
      </w:r>
      <w:r>
        <w:rPr>
          <w:sz w:val="22"/>
        </w:rPr>
        <w:t xml:space="preserve"> supporting the research claims to transparency includes a list of items that would aid future researchers intent on similar research (de Ruyter and Scholl, 1998). These include research questions, exhibits shown to participants, the consumer semi-structured interview protocol and commitment scale in the thesis appendices to aid transparency. Prompts containing lists of values shown to consumer participants were originally derived theoretically and revised to incorporate participants’ own values (see thesis Appendix pp. 433-434). </w:t>
      </w:r>
    </w:p>
    <w:p w:rsidR="00DC19F1" w:rsidRDefault="00DC19F1">
      <w:pPr>
        <w:spacing w:line="360" w:lineRule="auto"/>
        <w:rPr>
          <w:sz w:val="22"/>
        </w:rPr>
      </w:pPr>
    </w:p>
    <w:p w:rsidR="00DC19F1" w:rsidRDefault="00DC19F1">
      <w:pPr>
        <w:spacing w:line="360" w:lineRule="auto"/>
        <w:rPr>
          <w:sz w:val="22"/>
        </w:rPr>
      </w:pPr>
      <w:r>
        <w:rPr>
          <w:sz w:val="22"/>
        </w:rPr>
        <w:t xml:space="preserve">Interview transcripts and notes aid reliability and contribute to an </w:t>
      </w:r>
      <w:r>
        <w:rPr>
          <w:i/>
          <w:iCs/>
          <w:sz w:val="22"/>
        </w:rPr>
        <w:t xml:space="preserve">audit trail </w:t>
      </w:r>
      <w:r>
        <w:rPr>
          <w:sz w:val="22"/>
        </w:rPr>
        <w:t>(Halpern, 1983; Lincoln and Guba 1985), which could be inspected for</w:t>
      </w:r>
      <w:r>
        <w:rPr>
          <w:i/>
          <w:iCs/>
          <w:sz w:val="22"/>
        </w:rPr>
        <w:t xml:space="preserve"> confirmability, </w:t>
      </w:r>
      <w:r>
        <w:rPr>
          <w:sz w:val="22"/>
        </w:rPr>
        <w:t xml:space="preserve">since: </w:t>
      </w:r>
      <w:r>
        <w:rPr>
          <w:i/>
          <w:iCs/>
          <w:sz w:val="22"/>
        </w:rPr>
        <w:t xml:space="preserve">“The most significant factor of qualitative research is to demonstrate transparency of findings so that they can be trusted’ </w:t>
      </w:r>
      <w:r>
        <w:rPr>
          <w:sz w:val="22"/>
          <w:lang w:val="en-US"/>
        </w:rPr>
        <w:t xml:space="preserve">(Carson et al., 2001, p.197). </w:t>
      </w:r>
      <w:r>
        <w:rPr>
          <w:sz w:val="22"/>
        </w:rPr>
        <w:t>Other records, such as supervisory contact reports about the process of the research, help to document research decisions.</w:t>
      </w:r>
    </w:p>
    <w:p w:rsidR="00DC19F1" w:rsidRDefault="00DC19F1">
      <w:pPr>
        <w:spacing w:line="360" w:lineRule="auto"/>
        <w:rPr>
          <w:sz w:val="22"/>
        </w:rPr>
      </w:pPr>
    </w:p>
    <w:p w:rsidR="00DC19F1" w:rsidRDefault="00DC19F1">
      <w:pPr>
        <w:pStyle w:val="Caption"/>
        <w:rPr>
          <w:b w:val="0"/>
          <w:bCs w:val="0"/>
          <w:lang w:val="fr-FR"/>
        </w:rPr>
      </w:pPr>
      <w:bookmarkStart w:id="12" w:name="_Toc113105179"/>
      <w:r>
        <w:t xml:space="preserve">Table </w:t>
      </w:r>
      <w:fldSimple w:instr=" SEQ Table \* ARABIC ">
        <w:r w:rsidR="00FA61D1">
          <w:rPr>
            <w:noProof/>
          </w:rPr>
          <w:t>2</w:t>
        </w:r>
      </w:fldSimple>
      <w:r>
        <w:t>: Documentation</w:t>
      </w:r>
      <w:bookmarkEnd w:id="12"/>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00"/>
        <w:gridCol w:w="2070"/>
        <w:gridCol w:w="900"/>
        <w:gridCol w:w="810"/>
        <w:gridCol w:w="720"/>
      </w:tblGrid>
      <w:tr w:rsidR="00DC19F1">
        <w:tblPrEx>
          <w:tblCellMar>
            <w:top w:w="0" w:type="dxa"/>
            <w:bottom w:w="0" w:type="dxa"/>
          </w:tblCellMar>
        </w:tblPrEx>
        <w:trPr>
          <w:trHeight w:val="926"/>
        </w:trPr>
        <w:tc>
          <w:tcPr>
            <w:tcW w:w="1548" w:type="dxa"/>
          </w:tcPr>
          <w:p w:rsidR="00DC19F1" w:rsidRDefault="00DC19F1">
            <w:pPr>
              <w:rPr>
                <w:b/>
                <w:bCs/>
                <w:sz w:val="20"/>
                <w:lang w:val="fr-FR"/>
              </w:rPr>
            </w:pPr>
            <w:r>
              <w:rPr>
                <w:b/>
                <w:bCs/>
                <w:sz w:val="20"/>
                <w:lang w:val="fr-FR"/>
              </w:rPr>
              <w:t>Participant</w:t>
            </w:r>
          </w:p>
        </w:tc>
        <w:tc>
          <w:tcPr>
            <w:tcW w:w="1800" w:type="dxa"/>
          </w:tcPr>
          <w:p w:rsidR="00DC19F1" w:rsidRDefault="00DC19F1">
            <w:pPr>
              <w:rPr>
                <w:b/>
                <w:bCs/>
                <w:sz w:val="20"/>
                <w:lang w:val="en-US"/>
              </w:rPr>
            </w:pPr>
            <w:r>
              <w:rPr>
                <w:b/>
                <w:bCs/>
                <w:sz w:val="20"/>
                <w:lang w:val="en-US"/>
              </w:rPr>
              <w:t>How many participants</w:t>
            </w:r>
          </w:p>
        </w:tc>
        <w:tc>
          <w:tcPr>
            <w:tcW w:w="2070" w:type="dxa"/>
          </w:tcPr>
          <w:p w:rsidR="00DC19F1" w:rsidRDefault="00DC19F1">
            <w:pPr>
              <w:rPr>
                <w:b/>
                <w:bCs/>
                <w:sz w:val="20"/>
                <w:lang w:val="en-US"/>
              </w:rPr>
            </w:pPr>
            <w:r>
              <w:rPr>
                <w:b/>
                <w:bCs/>
                <w:sz w:val="20"/>
                <w:lang w:val="en-US"/>
              </w:rPr>
              <w:t>Transcripts/Audio recordings</w:t>
            </w:r>
          </w:p>
        </w:tc>
        <w:tc>
          <w:tcPr>
            <w:tcW w:w="900" w:type="dxa"/>
          </w:tcPr>
          <w:p w:rsidR="00DC19F1" w:rsidRDefault="00DC19F1">
            <w:pPr>
              <w:rPr>
                <w:b/>
                <w:bCs/>
                <w:sz w:val="20"/>
                <w:lang w:val="en-US"/>
              </w:rPr>
            </w:pPr>
            <w:r>
              <w:rPr>
                <w:b/>
                <w:bCs/>
                <w:sz w:val="20"/>
                <w:lang w:val="en-US"/>
              </w:rPr>
              <w:t>Videos</w:t>
            </w:r>
          </w:p>
        </w:tc>
        <w:tc>
          <w:tcPr>
            <w:tcW w:w="810" w:type="dxa"/>
          </w:tcPr>
          <w:p w:rsidR="00DC19F1" w:rsidRDefault="00DC19F1">
            <w:pPr>
              <w:rPr>
                <w:b/>
                <w:bCs/>
                <w:sz w:val="20"/>
                <w:lang w:val="en-US"/>
              </w:rPr>
            </w:pPr>
            <w:r>
              <w:rPr>
                <w:b/>
                <w:bCs/>
                <w:sz w:val="20"/>
                <w:lang w:val="en-US"/>
              </w:rPr>
              <w:t>Notes</w:t>
            </w:r>
          </w:p>
        </w:tc>
        <w:tc>
          <w:tcPr>
            <w:tcW w:w="720" w:type="dxa"/>
          </w:tcPr>
          <w:p w:rsidR="00DC19F1" w:rsidRDefault="00DC19F1">
            <w:pPr>
              <w:rPr>
                <w:b/>
                <w:bCs/>
                <w:sz w:val="20"/>
                <w:lang w:val="en-US"/>
              </w:rPr>
            </w:pPr>
            <w:r>
              <w:rPr>
                <w:b/>
                <w:bCs/>
                <w:sz w:val="20"/>
                <w:lang w:val="en-US"/>
              </w:rPr>
              <w:t>NUD.IST</w:t>
            </w:r>
          </w:p>
        </w:tc>
      </w:tr>
      <w:tr w:rsidR="00DC19F1">
        <w:tblPrEx>
          <w:tblCellMar>
            <w:top w:w="0" w:type="dxa"/>
            <w:bottom w:w="0" w:type="dxa"/>
          </w:tblCellMar>
        </w:tblPrEx>
        <w:trPr>
          <w:cantSplit/>
        </w:trPr>
        <w:tc>
          <w:tcPr>
            <w:tcW w:w="1548" w:type="dxa"/>
            <w:vMerge w:val="restart"/>
          </w:tcPr>
          <w:p w:rsidR="00DC19F1" w:rsidRDefault="00DC19F1">
            <w:pPr>
              <w:rPr>
                <w:sz w:val="20"/>
                <w:lang w:val="en-US"/>
              </w:rPr>
            </w:pPr>
            <w:r>
              <w:rPr>
                <w:sz w:val="20"/>
                <w:lang w:val="en-US"/>
              </w:rPr>
              <w:t>Practitioners:</w:t>
            </w:r>
          </w:p>
          <w:p w:rsidR="00DC19F1" w:rsidRDefault="00DC19F1">
            <w:pPr>
              <w:rPr>
                <w:sz w:val="20"/>
                <w:lang w:val="en-US"/>
              </w:rPr>
            </w:pPr>
            <w:r>
              <w:rPr>
                <w:sz w:val="20"/>
                <w:lang w:val="en-US"/>
              </w:rPr>
              <w:t xml:space="preserve">  Key Informants</w:t>
            </w:r>
          </w:p>
          <w:p w:rsidR="00DC19F1" w:rsidRDefault="00DC19F1">
            <w:pPr>
              <w:rPr>
                <w:sz w:val="20"/>
                <w:lang w:val="en-US"/>
              </w:rPr>
            </w:pPr>
            <w:r>
              <w:rPr>
                <w:sz w:val="20"/>
                <w:lang w:val="en-US"/>
              </w:rPr>
              <w:t xml:space="preserve">  Practitioners</w:t>
            </w:r>
          </w:p>
        </w:tc>
        <w:tc>
          <w:tcPr>
            <w:tcW w:w="1800" w:type="dxa"/>
          </w:tcPr>
          <w:p w:rsidR="00DC19F1" w:rsidRDefault="00DC19F1">
            <w:pPr>
              <w:rPr>
                <w:sz w:val="20"/>
                <w:lang w:val="en-US"/>
              </w:rPr>
            </w:pPr>
          </w:p>
          <w:p w:rsidR="00DC19F1" w:rsidRDefault="00DC19F1">
            <w:pPr>
              <w:rPr>
                <w:sz w:val="20"/>
                <w:lang w:val="en-US"/>
              </w:rPr>
            </w:pPr>
            <w:r>
              <w:rPr>
                <w:sz w:val="20"/>
                <w:lang w:val="en-US"/>
              </w:rPr>
              <w:t>7</w:t>
            </w:r>
          </w:p>
        </w:tc>
        <w:tc>
          <w:tcPr>
            <w:tcW w:w="2070" w:type="dxa"/>
          </w:tcPr>
          <w:p w:rsidR="00DC19F1" w:rsidRDefault="00DC19F1">
            <w:pPr>
              <w:rPr>
                <w:sz w:val="20"/>
                <w:lang w:val="en-US"/>
              </w:rPr>
            </w:pPr>
          </w:p>
          <w:p w:rsidR="00DC19F1" w:rsidRDefault="00DC19F1">
            <w:pPr>
              <w:rPr>
                <w:sz w:val="20"/>
                <w:lang w:val="en-US"/>
              </w:rPr>
            </w:pPr>
            <w:r>
              <w:rPr>
                <w:sz w:val="20"/>
                <w:lang w:val="en-US"/>
              </w:rPr>
              <w:t>1</w:t>
            </w:r>
          </w:p>
        </w:tc>
        <w:tc>
          <w:tcPr>
            <w:tcW w:w="900" w:type="dxa"/>
          </w:tcPr>
          <w:p w:rsidR="00DC19F1" w:rsidRDefault="00DC19F1">
            <w:pPr>
              <w:rPr>
                <w:sz w:val="20"/>
                <w:lang w:val="en-US"/>
              </w:rPr>
            </w:pPr>
          </w:p>
        </w:tc>
        <w:tc>
          <w:tcPr>
            <w:tcW w:w="810" w:type="dxa"/>
          </w:tcPr>
          <w:p w:rsidR="00DC19F1" w:rsidRDefault="00DC19F1">
            <w:pPr>
              <w:rPr>
                <w:sz w:val="20"/>
                <w:lang w:val="en-US"/>
              </w:rPr>
            </w:pPr>
          </w:p>
          <w:p w:rsidR="00DC19F1" w:rsidRDefault="00DC19F1">
            <w:pPr>
              <w:rPr>
                <w:sz w:val="20"/>
                <w:lang w:val="en-US"/>
              </w:rPr>
            </w:pPr>
            <w:r>
              <w:rPr>
                <w:sz w:val="20"/>
                <w:lang w:val="en-US"/>
              </w:rPr>
              <w:t>7</w:t>
            </w:r>
          </w:p>
        </w:tc>
        <w:tc>
          <w:tcPr>
            <w:tcW w:w="720" w:type="dxa"/>
          </w:tcPr>
          <w:p w:rsidR="00DC19F1" w:rsidRDefault="00DC19F1">
            <w:pPr>
              <w:rPr>
                <w:sz w:val="20"/>
                <w:lang w:val="en-US"/>
              </w:rPr>
            </w:pPr>
          </w:p>
        </w:tc>
      </w:tr>
      <w:tr w:rsidR="00DC19F1">
        <w:tblPrEx>
          <w:tblCellMar>
            <w:top w:w="0" w:type="dxa"/>
            <w:bottom w:w="0" w:type="dxa"/>
          </w:tblCellMar>
        </w:tblPrEx>
        <w:trPr>
          <w:cantSplit/>
        </w:trPr>
        <w:tc>
          <w:tcPr>
            <w:tcW w:w="1548" w:type="dxa"/>
            <w:vMerge/>
          </w:tcPr>
          <w:p w:rsidR="00DC19F1" w:rsidRDefault="00DC19F1">
            <w:pPr>
              <w:rPr>
                <w:sz w:val="20"/>
                <w:lang w:val="en-US"/>
              </w:rPr>
            </w:pPr>
          </w:p>
        </w:tc>
        <w:tc>
          <w:tcPr>
            <w:tcW w:w="1800" w:type="dxa"/>
          </w:tcPr>
          <w:p w:rsidR="00DC19F1" w:rsidRDefault="00DC19F1">
            <w:pPr>
              <w:rPr>
                <w:sz w:val="20"/>
                <w:lang w:val="en-US"/>
              </w:rPr>
            </w:pPr>
            <w:r>
              <w:rPr>
                <w:sz w:val="20"/>
                <w:lang w:val="en-US"/>
              </w:rPr>
              <w:t>15</w:t>
            </w:r>
          </w:p>
        </w:tc>
        <w:tc>
          <w:tcPr>
            <w:tcW w:w="2070" w:type="dxa"/>
          </w:tcPr>
          <w:p w:rsidR="00DC19F1" w:rsidRDefault="00DC19F1">
            <w:pPr>
              <w:rPr>
                <w:sz w:val="20"/>
                <w:lang w:val="en-US"/>
              </w:rPr>
            </w:pPr>
            <w:r>
              <w:rPr>
                <w:sz w:val="20"/>
                <w:lang w:val="en-US"/>
              </w:rPr>
              <w:t>14 interviews</w:t>
            </w:r>
          </w:p>
        </w:tc>
        <w:tc>
          <w:tcPr>
            <w:tcW w:w="900" w:type="dxa"/>
          </w:tcPr>
          <w:p w:rsidR="00DC19F1" w:rsidRDefault="00DC19F1">
            <w:pPr>
              <w:rPr>
                <w:sz w:val="20"/>
                <w:lang w:val="en-US"/>
              </w:rPr>
            </w:pPr>
          </w:p>
        </w:tc>
        <w:tc>
          <w:tcPr>
            <w:tcW w:w="810" w:type="dxa"/>
          </w:tcPr>
          <w:p w:rsidR="00DC19F1" w:rsidRDefault="00DC19F1">
            <w:pPr>
              <w:rPr>
                <w:sz w:val="20"/>
                <w:lang w:val="en-US"/>
              </w:rPr>
            </w:pPr>
            <w:r>
              <w:rPr>
                <w:sz w:val="20"/>
                <w:lang w:val="en-US"/>
              </w:rPr>
              <w:t>15</w:t>
            </w:r>
          </w:p>
        </w:tc>
        <w:tc>
          <w:tcPr>
            <w:tcW w:w="720" w:type="dxa"/>
          </w:tcPr>
          <w:p w:rsidR="00DC19F1" w:rsidRDefault="00DC19F1">
            <w:pPr>
              <w:rPr>
                <w:sz w:val="20"/>
                <w:lang w:val="en-US"/>
              </w:rPr>
            </w:pPr>
          </w:p>
        </w:tc>
      </w:tr>
      <w:tr w:rsidR="00DC19F1">
        <w:tblPrEx>
          <w:tblCellMar>
            <w:top w:w="0" w:type="dxa"/>
            <w:bottom w:w="0" w:type="dxa"/>
          </w:tblCellMar>
        </w:tblPrEx>
        <w:tc>
          <w:tcPr>
            <w:tcW w:w="1548" w:type="dxa"/>
          </w:tcPr>
          <w:p w:rsidR="00DC19F1" w:rsidRDefault="00DC19F1">
            <w:pPr>
              <w:rPr>
                <w:sz w:val="20"/>
                <w:lang w:val="en-US"/>
              </w:rPr>
            </w:pPr>
            <w:r>
              <w:rPr>
                <w:sz w:val="20"/>
                <w:lang w:val="en-US"/>
              </w:rPr>
              <w:t>Consumers</w:t>
            </w:r>
          </w:p>
        </w:tc>
        <w:tc>
          <w:tcPr>
            <w:tcW w:w="1800" w:type="dxa"/>
          </w:tcPr>
          <w:p w:rsidR="00DC19F1" w:rsidRDefault="00DC19F1">
            <w:pPr>
              <w:rPr>
                <w:sz w:val="20"/>
                <w:lang w:val="en-US"/>
              </w:rPr>
            </w:pPr>
            <w:r>
              <w:rPr>
                <w:sz w:val="20"/>
                <w:lang w:val="en-US"/>
              </w:rPr>
              <w:t>18</w:t>
            </w:r>
          </w:p>
        </w:tc>
        <w:tc>
          <w:tcPr>
            <w:tcW w:w="2070" w:type="dxa"/>
          </w:tcPr>
          <w:p w:rsidR="00DC19F1" w:rsidRDefault="00DC19F1">
            <w:pPr>
              <w:rPr>
                <w:sz w:val="20"/>
                <w:lang w:val="en-US"/>
              </w:rPr>
            </w:pPr>
            <w:r>
              <w:rPr>
                <w:sz w:val="20"/>
                <w:lang w:val="en-US"/>
              </w:rPr>
              <w:t>18</w:t>
            </w:r>
          </w:p>
        </w:tc>
        <w:tc>
          <w:tcPr>
            <w:tcW w:w="900" w:type="dxa"/>
          </w:tcPr>
          <w:p w:rsidR="00DC19F1" w:rsidRDefault="00DC19F1">
            <w:pPr>
              <w:rPr>
                <w:sz w:val="20"/>
                <w:lang w:val="en-US"/>
              </w:rPr>
            </w:pPr>
            <w:r>
              <w:rPr>
                <w:sz w:val="20"/>
                <w:lang w:val="en-US"/>
              </w:rPr>
              <w:t>3</w:t>
            </w:r>
          </w:p>
        </w:tc>
        <w:tc>
          <w:tcPr>
            <w:tcW w:w="810" w:type="dxa"/>
          </w:tcPr>
          <w:p w:rsidR="00DC19F1" w:rsidRDefault="00DC19F1">
            <w:pPr>
              <w:rPr>
                <w:sz w:val="20"/>
                <w:lang w:val="en-US"/>
              </w:rPr>
            </w:pPr>
            <w:r>
              <w:rPr>
                <w:sz w:val="20"/>
                <w:lang w:val="en-US"/>
              </w:rPr>
              <w:t>18</w:t>
            </w:r>
          </w:p>
        </w:tc>
        <w:tc>
          <w:tcPr>
            <w:tcW w:w="720" w:type="dxa"/>
          </w:tcPr>
          <w:p w:rsidR="00DC19F1" w:rsidRDefault="00DC19F1">
            <w:pPr>
              <w:rPr>
                <w:sz w:val="20"/>
                <w:lang w:val="en-US"/>
              </w:rPr>
            </w:pPr>
            <w:r>
              <w:rPr>
                <w:sz w:val="20"/>
                <w:lang w:val="en-US"/>
              </w:rPr>
              <w:t>18</w:t>
            </w:r>
          </w:p>
        </w:tc>
      </w:tr>
      <w:tr w:rsidR="00DC19F1">
        <w:tblPrEx>
          <w:tblCellMar>
            <w:top w:w="0" w:type="dxa"/>
            <w:bottom w:w="0" w:type="dxa"/>
          </w:tblCellMar>
        </w:tblPrEx>
        <w:tc>
          <w:tcPr>
            <w:tcW w:w="1548" w:type="dxa"/>
          </w:tcPr>
          <w:p w:rsidR="00DC19F1" w:rsidRDefault="00DC19F1">
            <w:pPr>
              <w:rPr>
                <w:sz w:val="20"/>
                <w:lang w:val="en-US"/>
              </w:rPr>
            </w:pPr>
            <w:r>
              <w:rPr>
                <w:sz w:val="20"/>
                <w:lang w:val="en-US"/>
              </w:rPr>
              <w:t>Totals</w:t>
            </w:r>
          </w:p>
        </w:tc>
        <w:tc>
          <w:tcPr>
            <w:tcW w:w="1800" w:type="dxa"/>
          </w:tcPr>
          <w:p w:rsidR="00DC19F1" w:rsidRDefault="00DC19F1">
            <w:pPr>
              <w:rPr>
                <w:sz w:val="20"/>
                <w:lang w:val="en-US"/>
              </w:rPr>
            </w:pPr>
            <w:r>
              <w:rPr>
                <w:sz w:val="20"/>
                <w:lang w:val="en-US"/>
              </w:rPr>
              <w:t>40 Interviewees</w:t>
            </w:r>
          </w:p>
        </w:tc>
        <w:tc>
          <w:tcPr>
            <w:tcW w:w="2070" w:type="dxa"/>
          </w:tcPr>
          <w:p w:rsidR="00DC19F1" w:rsidRDefault="00DC19F1">
            <w:pPr>
              <w:rPr>
                <w:sz w:val="20"/>
                <w:lang w:val="en-US"/>
              </w:rPr>
            </w:pPr>
            <w:r>
              <w:rPr>
                <w:sz w:val="20"/>
                <w:lang w:val="en-US"/>
              </w:rPr>
              <w:t>33</w:t>
            </w:r>
          </w:p>
          <w:p w:rsidR="00DC19F1" w:rsidRDefault="00DC19F1">
            <w:pPr>
              <w:rPr>
                <w:sz w:val="20"/>
                <w:lang w:val="en-US"/>
              </w:rPr>
            </w:pPr>
            <w:r>
              <w:rPr>
                <w:sz w:val="20"/>
                <w:lang w:val="en-US"/>
              </w:rPr>
              <w:t xml:space="preserve">Recorded interviews </w:t>
            </w:r>
          </w:p>
        </w:tc>
        <w:tc>
          <w:tcPr>
            <w:tcW w:w="900" w:type="dxa"/>
          </w:tcPr>
          <w:p w:rsidR="00DC19F1" w:rsidRDefault="00DC19F1">
            <w:pPr>
              <w:rPr>
                <w:sz w:val="20"/>
                <w:lang w:val="en-US"/>
              </w:rPr>
            </w:pPr>
            <w:r>
              <w:rPr>
                <w:sz w:val="20"/>
                <w:lang w:val="en-US"/>
              </w:rPr>
              <w:t>3</w:t>
            </w:r>
          </w:p>
        </w:tc>
        <w:tc>
          <w:tcPr>
            <w:tcW w:w="810" w:type="dxa"/>
          </w:tcPr>
          <w:p w:rsidR="00DC19F1" w:rsidRDefault="00DC19F1">
            <w:pPr>
              <w:rPr>
                <w:sz w:val="20"/>
                <w:lang w:val="en-US"/>
              </w:rPr>
            </w:pPr>
            <w:r>
              <w:rPr>
                <w:sz w:val="20"/>
                <w:lang w:val="en-US"/>
              </w:rPr>
              <w:t>40</w:t>
            </w:r>
          </w:p>
        </w:tc>
        <w:tc>
          <w:tcPr>
            <w:tcW w:w="720" w:type="dxa"/>
          </w:tcPr>
          <w:p w:rsidR="00DC19F1" w:rsidRDefault="00DC19F1">
            <w:pPr>
              <w:rPr>
                <w:sz w:val="20"/>
                <w:lang w:val="en-US"/>
              </w:rPr>
            </w:pPr>
            <w:r>
              <w:rPr>
                <w:sz w:val="20"/>
                <w:lang w:val="en-US"/>
              </w:rPr>
              <w:t>18</w:t>
            </w:r>
          </w:p>
        </w:tc>
      </w:tr>
    </w:tbl>
    <w:p w:rsidR="00DC19F1" w:rsidRDefault="00DC19F1">
      <w:pPr>
        <w:spacing w:line="360" w:lineRule="auto"/>
        <w:rPr>
          <w:sz w:val="22"/>
          <w:lang w:val="en-US"/>
        </w:rPr>
      </w:pPr>
    </w:p>
    <w:p w:rsidR="00DC19F1" w:rsidRDefault="00DC19F1">
      <w:pPr>
        <w:pStyle w:val="BodyText"/>
      </w:pPr>
      <w:r>
        <w:t xml:space="preserve">Table 2 demonstrates that this research satisfies Kirk and Miller’s (1986) demand for documentation of procedures. Where there was no transcription, written questions and answers were exchanged by e-mail and post.  Maynard and Clayman, (1991) recommend audiotapes and videos as being more reliable than field notes. Word-processed interview transcripts were checked against the thirty-three audio tape recordings, against notes taken during all interviews and additionally, in some consumer cases against video-tapes (where permitted), thus not only improving the accuracy of transcribed texts but also allowing immersion in the full data while coding and interpreting. The records can demonstrate support in the data for the findings.   </w:t>
      </w:r>
    </w:p>
    <w:p w:rsidR="00DC19F1" w:rsidRDefault="00DC19F1">
      <w:pPr>
        <w:pStyle w:val="BodyText"/>
      </w:pPr>
    </w:p>
    <w:p w:rsidR="00DC19F1" w:rsidRDefault="00DC19F1">
      <w:pPr>
        <w:pStyle w:val="Heading2"/>
      </w:pPr>
      <w:bookmarkStart w:id="13" w:name="_Toc113077996"/>
      <w:bookmarkStart w:id="14" w:name="_Toc132368263"/>
      <w:r>
        <w:lastRenderedPageBreak/>
        <w:t>1.5 CONCLUDING REMARKS</w:t>
      </w:r>
      <w:bookmarkEnd w:id="13"/>
      <w:bookmarkEnd w:id="14"/>
    </w:p>
    <w:p w:rsidR="00DC19F1" w:rsidRDefault="00DC19F1">
      <w:pPr>
        <w:spacing w:line="360" w:lineRule="auto"/>
        <w:rPr>
          <w:i/>
          <w:iCs/>
          <w:sz w:val="22"/>
        </w:rPr>
      </w:pPr>
      <w:r>
        <w:rPr>
          <w:sz w:val="22"/>
        </w:rPr>
        <w:t xml:space="preserve">The strongest techniques allowing this research’s claim to </w:t>
      </w:r>
      <w:r>
        <w:rPr>
          <w:i/>
          <w:iCs/>
          <w:sz w:val="22"/>
        </w:rPr>
        <w:t>trustworthiness</w:t>
      </w:r>
      <w:r>
        <w:rPr>
          <w:sz w:val="22"/>
        </w:rPr>
        <w:t xml:space="preserve"> are its use of all modes of triangulation: of </w:t>
      </w:r>
      <w:r>
        <w:rPr>
          <w:i/>
          <w:iCs/>
          <w:sz w:val="22"/>
        </w:rPr>
        <w:t xml:space="preserve">theories, within-methods, sources and investigators. </w:t>
      </w:r>
      <w:r>
        <w:rPr>
          <w:sz w:val="22"/>
        </w:rPr>
        <w:t xml:space="preserve">In this research, </w:t>
      </w:r>
      <w:r>
        <w:rPr>
          <w:sz w:val="22"/>
          <w:u w:val="single"/>
        </w:rPr>
        <w:t>internal validit</w:t>
      </w:r>
      <w:r>
        <w:rPr>
          <w:sz w:val="22"/>
        </w:rPr>
        <w:t xml:space="preserve">y is also strongly supported by </w:t>
      </w:r>
      <w:r>
        <w:rPr>
          <w:i/>
          <w:iCs/>
          <w:sz w:val="22"/>
        </w:rPr>
        <w:t xml:space="preserve">triangulation of theory.  </w:t>
      </w:r>
    </w:p>
    <w:p w:rsidR="00DC19F1" w:rsidRDefault="00DC19F1">
      <w:pPr>
        <w:spacing w:line="360" w:lineRule="auto"/>
        <w:rPr>
          <w:i/>
          <w:iCs/>
          <w:sz w:val="22"/>
        </w:rPr>
      </w:pPr>
    </w:p>
    <w:p w:rsidR="00DC19F1" w:rsidRDefault="00DC19F1">
      <w:pPr>
        <w:spacing w:line="360" w:lineRule="auto"/>
        <w:rPr>
          <w:sz w:val="22"/>
        </w:rPr>
      </w:pPr>
      <w:r>
        <w:rPr>
          <w:sz w:val="22"/>
        </w:rPr>
        <w:t>It has, however, been argued that this form of triangulation tends to fit more closely with positivist outlooks and deductive methods and that therefore it conflicts with a purist constructivist approach (Guba and Lincoln,</w:t>
      </w:r>
      <w:r>
        <w:rPr>
          <w:b/>
          <w:bCs/>
          <w:sz w:val="22"/>
        </w:rPr>
        <w:t xml:space="preserve"> </w:t>
      </w:r>
      <w:r>
        <w:rPr>
          <w:sz w:val="22"/>
        </w:rPr>
        <w:t xml:space="preserve">1989). They also argue that facts cannot be given more weight merely because they are consistent with two or more theories (ibid).  However, the methodology based on the hermeneutic tradition of a continuous cycle of </w:t>
      </w:r>
      <w:r>
        <w:rPr>
          <w:i/>
          <w:iCs/>
          <w:sz w:val="22"/>
        </w:rPr>
        <w:t>“iteration, analysis, critique, reanalysis and so on”</w:t>
      </w:r>
      <w:r>
        <w:rPr>
          <w:sz w:val="22"/>
        </w:rPr>
        <w:t xml:space="preserve"> (Guba and Lincoln, 1989), did include examining exceptions to brand commitment expectations (such as advocacy and its links with higher commitment) and the consideration of examples of ‘spurious brand loyalty’ or repeat patronage without commitment, such as inertia cases (in the Appendices). This form of </w:t>
      </w:r>
      <w:r>
        <w:rPr>
          <w:i/>
          <w:iCs/>
          <w:sz w:val="22"/>
        </w:rPr>
        <w:t>negative case</w:t>
      </w:r>
      <w:r>
        <w:rPr>
          <w:sz w:val="22"/>
        </w:rPr>
        <w:t xml:space="preserve"> analysis, or ‘analytic induction’ and </w:t>
      </w:r>
      <w:r>
        <w:rPr>
          <w:i/>
          <w:iCs/>
          <w:sz w:val="22"/>
        </w:rPr>
        <w:t xml:space="preserve">“seeing or hearing multiple instances of it from different sources and by squaring the finding with others it needs to be squared with” </w:t>
      </w:r>
      <w:r>
        <w:rPr>
          <w:sz w:val="22"/>
        </w:rPr>
        <w:t xml:space="preserve">(Miles and Huberman, 1984, p.234) helped this author to move outside the existing theory and led to refinements of previous assumptions, theory or Phase 1 practitioner findings. This process largely offsets any epistemological reservations about the dangers of researchers following theory too closely that have been expressed by Lincoln and Guba (1985) and by Silverman (2001).  </w:t>
      </w:r>
    </w:p>
    <w:p w:rsidR="00DC19F1" w:rsidRDefault="00DC19F1">
      <w:pPr>
        <w:spacing w:line="360" w:lineRule="auto"/>
        <w:rPr>
          <w:sz w:val="22"/>
        </w:rPr>
      </w:pPr>
    </w:p>
    <w:p w:rsidR="00DC19F1" w:rsidRDefault="00DC19F1">
      <w:pPr>
        <w:spacing w:line="360" w:lineRule="auto"/>
        <w:rPr>
          <w:sz w:val="22"/>
        </w:rPr>
      </w:pPr>
      <w:r>
        <w:rPr>
          <w:sz w:val="22"/>
        </w:rPr>
        <w:t xml:space="preserve">All research enquiries have their limitations and arguably this study’s </w:t>
      </w:r>
      <w:r>
        <w:rPr>
          <w:i/>
          <w:iCs/>
          <w:sz w:val="22"/>
        </w:rPr>
        <w:t>credibility</w:t>
      </w:r>
      <w:r>
        <w:rPr>
          <w:sz w:val="22"/>
        </w:rPr>
        <w:t xml:space="preserve"> could have been strengthened through greater use of </w:t>
      </w:r>
      <w:r>
        <w:rPr>
          <w:i/>
          <w:iCs/>
          <w:sz w:val="22"/>
        </w:rPr>
        <w:t>respondent validation,</w:t>
      </w:r>
      <w:r>
        <w:rPr>
          <w:sz w:val="22"/>
        </w:rPr>
        <w:t xml:space="preserve"> such as showing more of the interviewees their transcripts for approval. That said, constructivists criticise this technique on the basis of ‘who is to referee on whose interpretation is the sounder if the respondent and interviewer’s interpretations differ?’ (Silverman, 2001). </w:t>
      </w:r>
    </w:p>
    <w:p w:rsidR="00DC19F1" w:rsidRDefault="00DC19F1">
      <w:pPr>
        <w:spacing w:line="360" w:lineRule="auto"/>
        <w:rPr>
          <w:sz w:val="22"/>
        </w:rPr>
      </w:pPr>
    </w:p>
    <w:p w:rsidR="00DC19F1" w:rsidRDefault="00DC19F1">
      <w:pPr>
        <w:spacing w:line="360" w:lineRule="auto"/>
        <w:rPr>
          <w:sz w:val="22"/>
        </w:rPr>
      </w:pPr>
      <w:r>
        <w:rPr>
          <w:sz w:val="22"/>
        </w:rPr>
        <w:t>Validity and depth of insights from data are often considered key strengths of qualitative research.  Analysis of Phase 2 consumer interviews employed NUD.IST software, which both facilitated the preservation of raw data and eased rapid searching for similar, or negative</w:t>
      </w:r>
      <w:r>
        <w:rPr>
          <w:i/>
          <w:iCs/>
          <w:sz w:val="22"/>
        </w:rPr>
        <w:t xml:space="preserve"> </w:t>
      </w:r>
      <w:r>
        <w:rPr>
          <w:sz w:val="22"/>
        </w:rPr>
        <w:t xml:space="preserve">or deviant cases </w:t>
      </w:r>
      <w:r>
        <w:rPr>
          <w:i/>
          <w:iCs/>
          <w:sz w:val="22"/>
        </w:rPr>
        <w:t>comprehensively</w:t>
      </w:r>
      <w:r>
        <w:rPr>
          <w:sz w:val="22"/>
        </w:rPr>
        <w:t xml:space="preserve"> throughout the data, especially from consumers in Phase 2. This led to strong </w:t>
      </w:r>
      <w:r>
        <w:rPr>
          <w:sz w:val="22"/>
          <w:u w:val="single"/>
        </w:rPr>
        <w:t>internal validity</w:t>
      </w:r>
      <w:r>
        <w:rPr>
          <w:sz w:val="22"/>
        </w:rPr>
        <w:t xml:space="preserve"> and refutation of the potential accusation that is often levied at qualitative research, even by its proponents, that it might constitute merely a collection of anecdotes (Mehan, 1979 and Bryman 1988, p. 77).</w:t>
      </w:r>
    </w:p>
    <w:p w:rsidR="00DC19F1" w:rsidRDefault="00DC19F1">
      <w:pPr>
        <w:spacing w:line="360" w:lineRule="auto"/>
        <w:rPr>
          <w:sz w:val="22"/>
        </w:rPr>
      </w:pPr>
    </w:p>
    <w:p w:rsidR="00DC19F1" w:rsidRDefault="00DC19F1">
      <w:pPr>
        <w:spacing w:line="360" w:lineRule="auto"/>
        <w:rPr>
          <w:sz w:val="22"/>
        </w:rPr>
      </w:pPr>
      <w:r>
        <w:rPr>
          <w:sz w:val="22"/>
        </w:rPr>
        <w:t xml:space="preserve">In conclusion, the author would claim that the checks deployed should give confidence that there is relatively high </w:t>
      </w:r>
      <w:r>
        <w:rPr>
          <w:i/>
          <w:sz w:val="22"/>
        </w:rPr>
        <w:t>credibility</w:t>
      </w:r>
      <w:r>
        <w:rPr>
          <w:sz w:val="22"/>
        </w:rPr>
        <w:t xml:space="preserve"> for this work. Table 1 earlier summarises this. On the other hand this work has relatively low </w:t>
      </w:r>
      <w:r>
        <w:rPr>
          <w:i/>
          <w:sz w:val="22"/>
        </w:rPr>
        <w:t>transferability</w:t>
      </w:r>
      <w:r>
        <w:rPr>
          <w:sz w:val="22"/>
        </w:rPr>
        <w:t>, and so the author has been careful throughout not to claim that findings are necessarily valid for other contexts.</w:t>
      </w:r>
    </w:p>
    <w:p w:rsidR="00DC19F1" w:rsidRDefault="00DC19F1">
      <w:pPr>
        <w:pStyle w:val="BodyText"/>
        <w:rPr>
          <w:b/>
          <w:bCs/>
          <w:sz w:val="28"/>
          <w:u w:val="single"/>
        </w:rPr>
      </w:pPr>
      <w:r>
        <w:br w:type="page"/>
      </w:r>
      <w:r>
        <w:rPr>
          <w:b/>
          <w:bCs/>
          <w:sz w:val="28"/>
          <w:u w:val="single"/>
        </w:rPr>
        <w:lastRenderedPageBreak/>
        <w:t>SECTION TWO</w:t>
      </w:r>
      <w:r w:rsidR="00FA61D1">
        <w:rPr>
          <w:b/>
          <w:bCs/>
          <w:sz w:val="28"/>
          <w:u w:val="single"/>
        </w:rPr>
        <w:t xml:space="preserve"> - ADDENDUM</w:t>
      </w:r>
    </w:p>
    <w:p w:rsidR="00DC19F1" w:rsidRDefault="00DC19F1"/>
    <w:p w:rsidR="00DC19F1" w:rsidRDefault="00DC19F1">
      <w:pPr>
        <w:pStyle w:val="Heading1"/>
      </w:pPr>
      <w:bookmarkStart w:id="15" w:name="_Toc113077997"/>
      <w:bookmarkStart w:id="16" w:name="_Toc132368264"/>
      <w:r>
        <w:t>THE ORIGINAL CONTRIBUTION OF THIS PhD</w:t>
      </w:r>
      <w:bookmarkEnd w:id="15"/>
      <w:bookmarkEnd w:id="16"/>
    </w:p>
    <w:p w:rsidR="00DC19F1" w:rsidRDefault="00DC19F1"/>
    <w:p w:rsidR="00DC19F1" w:rsidRDefault="00DC19F1">
      <w:pPr>
        <w:spacing w:line="360" w:lineRule="auto"/>
        <w:rPr>
          <w:b/>
          <w:bCs/>
          <w:sz w:val="22"/>
        </w:rPr>
      </w:pPr>
      <w:r>
        <w:rPr>
          <w:b/>
          <w:bCs/>
          <w:sz w:val="22"/>
        </w:rPr>
        <w:t>Abstract</w:t>
      </w:r>
    </w:p>
    <w:p w:rsidR="00DC19F1" w:rsidRDefault="00DC19F1">
      <w:pPr>
        <w:pStyle w:val="BodyText"/>
        <w:rPr>
          <w:i/>
          <w:iCs/>
        </w:rPr>
      </w:pPr>
      <w:r>
        <w:rPr>
          <w:i/>
          <w:iCs/>
        </w:rPr>
        <w:t xml:space="preserve">This PhD contributes to knowledge about brand commitment in a consumer banking services context. The thesis examines qualitative data, from practitioners as well as consumers, in the light of the organisational commitment and socio-psychological foundations of commitment theory. It thereby provides deeper insight, than research to date, on sources of organisational attachment and other variables that can be associated with varied degrees of customer-bank commitment. </w:t>
      </w:r>
    </w:p>
    <w:p w:rsidR="00DC19F1" w:rsidRDefault="00DC19F1">
      <w:pPr>
        <w:pStyle w:val="BodyText"/>
        <w:rPr>
          <w:i/>
          <w:iCs/>
        </w:rPr>
      </w:pPr>
    </w:p>
    <w:p w:rsidR="00DC19F1" w:rsidRDefault="00DC19F1">
      <w:pPr>
        <w:pStyle w:val="BodyText"/>
        <w:rPr>
          <w:i/>
          <w:iCs/>
        </w:rPr>
      </w:pPr>
      <w:r>
        <w:rPr>
          <w:i/>
          <w:iCs/>
        </w:rPr>
        <w:t xml:space="preserve">This Addendum highlights </w:t>
      </w:r>
      <w:r>
        <w:rPr>
          <w:i/>
          <w:iCs/>
          <w:u w:val="single"/>
        </w:rPr>
        <w:t>five</w:t>
      </w:r>
      <w:r>
        <w:rPr>
          <w:i/>
          <w:iCs/>
        </w:rPr>
        <w:t xml:space="preserve"> main areas where the study extends knowledge and where it adds to the few models and scales of consumer banking services commitment that have been developed so far.  </w:t>
      </w:r>
    </w:p>
    <w:p w:rsidR="00DC19F1" w:rsidRDefault="00DC19F1">
      <w:pPr>
        <w:pStyle w:val="BodyText"/>
        <w:rPr>
          <w:i/>
          <w:iCs/>
        </w:rPr>
      </w:pPr>
    </w:p>
    <w:p w:rsidR="00DC19F1" w:rsidRDefault="00DC19F1">
      <w:pPr>
        <w:pStyle w:val="BodyText"/>
        <w:rPr>
          <w:i/>
          <w:iCs/>
        </w:rPr>
      </w:pPr>
      <w:r>
        <w:rPr>
          <w:i/>
          <w:iCs/>
        </w:rPr>
        <w:t xml:space="preserve">Firstly this exploratory study produces a </w:t>
      </w:r>
      <w:r>
        <w:rPr>
          <w:i/>
          <w:iCs/>
          <w:u w:val="single"/>
        </w:rPr>
        <w:t>Bonding and Binding Attachments Framework</w:t>
      </w:r>
      <w:r>
        <w:rPr>
          <w:i/>
          <w:iCs/>
        </w:rPr>
        <w:t>. This</w:t>
      </w:r>
      <w:r>
        <w:rPr>
          <w:i/>
          <w:iCs/>
          <w:u w:val="single"/>
        </w:rPr>
        <w:t xml:space="preserve"> </w:t>
      </w:r>
      <w:r>
        <w:rPr>
          <w:i/>
          <w:iCs/>
        </w:rPr>
        <w:t xml:space="preserve">framework identifies seven key factors relating to customer commitment to banks. The attachments are: ‘Technical’, ‘Economic Value’, ‘Social’, ‘Experiential’, Self-Brand identification with corporate brand values;‘ ‘Hostage ties’ and ‘Behaviour’. </w:t>
      </w:r>
    </w:p>
    <w:p w:rsidR="00DC19F1" w:rsidRDefault="00DC19F1">
      <w:pPr>
        <w:pStyle w:val="BodyText"/>
        <w:rPr>
          <w:i/>
          <w:iCs/>
        </w:rPr>
      </w:pPr>
    </w:p>
    <w:p w:rsidR="00DC19F1" w:rsidRDefault="00DC19F1">
      <w:pPr>
        <w:pStyle w:val="BodyText"/>
        <w:rPr>
          <w:i/>
          <w:iCs/>
        </w:rPr>
      </w:pPr>
      <w:r>
        <w:rPr>
          <w:i/>
          <w:iCs/>
        </w:rPr>
        <w:t xml:space="preserve">The dimensions of this qualitatively researched framework are specific to banking and complement or extend attachment and bonding frameworks previously conceptually proposed in the services literature. The dimensions also extend a prior banking attachments inventory, which focused solely on ‘positive’ forms of attachment. </w:t>
      </w:r>
    </w:p>
    <w:p w:rsidR="00DC19F1" w:rsidRDefault="00DC19F1">
      <w:pPr>
        <w:pStyle w:val="BodyText"/>
        <w:rPr>
          <w:i/>
          <w:iCs/>
        </w:rPr>
      </w:pPr>
    </w:p>
    <w:p w:rsidR="00DC19F1" w:rsidRDefault="00DC19F1">
      <w:pPr>
        <w:pStyle w:val="BodyText"/>
        <w:rPr>
          <w:i/>
          <w:iCs/>
        </w:rPr>
      </w:pPr>
      <w:r>
        <w:rPr>
          <w:i/>
          <w:iCs/>
        </w:rPr>
        <w:t>An examination of attachments highlighted the importance of other interacting variables, apart from the attachment factors themselves, thus offering a Commitment model for consumer banking services.</w:t>
      </w:r>
    </w:p>
    <w:p w:rsidR="00DC19F1" w:rsidRDefault="00DC19F1">
      <w:pPr>
        <w:pStyle w:val="BodyText"/>
        <w:rPr>
          <w:i/>
          <w:iCs/>
        </w:rPr>
      </w:pPr>
    </w:p>
    <w:p w:rsidR="00DC19F1" w:rsidRDefault="00DC19F1">
      <w:pPr>
        <w:pStyle w:val="BodyText"/>
        <w:rPr>
          <w:i/>
          <w:iCs/>
        </w:rPr>
      </w:pPr>
      <w:r>
        <w:rPr>
          <w:i/>
          <w:iCs/>
        </w:rPr>
        <w:t>A second</w:t>
      </w:r>
      <w:r>
        <w:rPr>
          <w:b/>
          <w:bCs/>
          <w:i/>
          <w:iCs/>
        </w:rPr>
        <w:t xml:space="preserve"> </w:t>
      </w:r>
      <w:r>
        <w:rPr>
          <w:i/>
          <w:iCs/>
        </w:rPr>
        <w:t xml:space="preserve">area of contribution is that this is one of the first studies in a consumer, banking context to connect customer </w:t>
      </w:r>
      <w:r>
        <w:rPr>
          <w:i/>
          <w:iCs/>
          <w:u w:val="single"/>
        </w:rPr>
        <w:t>identification with a bank’s corporate brand values</w:t>
      </w:r>
      <w:r>
        <w:rPr>
          <w:i/>
          <w:iCs/>
        </w:rPr>
        <w:t xml:space="preserve">, and their </w:t>
      </w:r>
      <w:r>
        <w:rPr>
          <w:i/>
          <w:iCs/>
          <w:u w:val="single"/>
        </w:rPr>
        <w:t xml:space="preserve">higher degree of commitment </w:t>
      </w:r>
      <w:r>
        <w:rPr>
          <w:i/>
          <w:iCs/>
        </w:rPr>
        <w:t xml:space="preserve">to the bank. This, small-scale, empirical study thereby links and extends knowledge from goods branding theory and from organisational commitment theory to a services context. </w:t>
      </w:r>
    </w:p>
    <w:p w:rsidR="00DC19F1" w:rsidRDefault="00DC19F1">
      <w:pPr>
        <w:pStyle w:val="BodyText"/>
        <w:rPr>
          <w:i/>
          <w:iCs/>
        </w:rPr>
      </w:pPr>
    </w:p>
    <w:p w:rsidR="00DC19F1" w:rsidRDefault="00DC19F1">
      <w:pPr>
        <w:pStyle w:val="BodyText"/>
        <w:rPr>
          <w:b/>
          <w:bCs/>
          <w:i/>
          <w:iCs/>
        </w:rPr>
      </w:pPr>
      <w:r>
        <w:rPr>
          <w:i/>
          <w:iCs/>
        </w:rPr>
        <w:t xml:space="preserve">A third contribution to knowledge is the unexpected demographic finding of possible </w:t>
      </w:r>
      <w:r>
        <w:rPr>
          <w:i/>
          <w:iCs/>
          <w:u w:val="single"/>
        </w:rPr>
        <w:t>gender differences</w:t>
      </w:r>
      <w:r>
        <w:rPr>
          <w:i/>
          <w:iCs/>
        </w:rPr>
        <w:t xml:space="preserve"> with regard to: (i) customers’ perceived level of knowledge of consumer banking services; (ii) their felt level of confidence in making personal finance decisions; and (iii) their </w:t>
      </w:r>
      <w:r>
        <w:rPr>
          <w:i/>
          <w:iCs/>
        </w:rPr>
        <w:lastRenderedPageBreak/>
        <w:t xml:space="preserve">level of commitment to their main bank. </w:t>
      </w:r>
      <w:r>
        <w:rPr>
          <w:i/>
          <w:iCs/>
        </w:rPr>
        <w:br/>
      </w:r>
    </w:p>
    <w:p w:rsidR="00DC19F1" w:rsidRDefault="00DC19F1">
      <w:pPr>
        <w:pStyle w:val="BodyText"/>
        <w:rPr>
          <w:i/>
          <w:iCs/>
        </w:rPr>
      </w:pPr>
      <w:r>
        <w:rPr>
          <w:i/>
          <w:iCs/>
        </w:rPr>
        <w:t>Fourthly, and building on the concept of free choice (volition) associated with higher commitment in psychological commitment literature, the study finds it is a customer’s perceived</w:t>
      </w:r>
      <w:r>
        <w:rPr>
          <w:i/>
          <w:iCs/>
          <w:u w:val="single"/>
        </w:rPr>
        <w:t xml:space="preserve"> sense of freedom</w:t>
      </w:r>
      <w:r>
        <w:rPr>
          <w:i/>
          <w:iCs/>
        </w:rPr>
        <w:t xml:space="preserve"> from constraints to switch that helps to distinguish different degrees of commitment. Why and how this is so will be explained later. This Addendum thereby offers a </w:t>
      </w:r>
      <w:r>
        <w:rPr>
          <w:i/>
          <w:iCs/>
          <w:u w:val="single"/>
        </w:rPr>
        <w:t>Commitment Typology</w:t>
      </w:r>
      <w:r>
        <w:rPr>
          <w:i/>
          <w:iCs/>
        </w:rPr>
        <w:t xml:space="preserve">. This adds to theory by dividing ‘true brand loyalty’ (containing commitment) into two positive states: ‘Conditionally Committed’ and ‘Unconditionally Committed’; and by dividing ‘spurious brand loyalty’ (repeat patronage lacking commitment) into three states: ‘Inertia’, ‘Temporary Hostage’ and ‘Prisoner’. </w:t>
      </w:r>
    </w:p>
    <w:p w:rsidR="00DC19F1" w:rsidRDefault="00DC19F1">
      <w:pPr>
        <w:pStyle w:val="BodyText"/>
        <w:rPr>
          <w:i/>
          <w:iCs/>
        </w:rPr>
      </w:pPr>
    </w:p>
    <w:p w:rsidR="00DC19F1" w:rsidRDefault="00DC19F1">
      <w:pPr>
        <w:pStyle w:val="BodyText"/>
        <w:rPr>
          <w:i/>
          <w:iCs/>
        </w:rPr>
      </w:pPr>
      <w:r>
        <w:rPr>
          <w:i/>
          <w:iCs/>
        </w:rPr>
        <w:t>Finally, a</w:t>
      </w:r>
      <w:r>
        <w:rPr>
          <w:i/>
          <w:iCs/>
          <w:u w:val="single"/>
        </w:rPr>
        <w:t xml:space="preserve"> proposed Commitment Scale</w:t>
      </w:r>
      <w:r>
        <w:rPr>
          <w:i/>
          <w:iCs/>
        </w:rPr>
        <w:t xml:space="preserve"> (in the Appendix) helps to discern between these five commitment/no commitment states. This scale, designed in a </w:t>
      </w:r>
      <w:smartTag w:uri="urn:schemas-microsoft-com:office:smarttags" w:element="place">
        <w:smartTag w:uri="urn:schemas-microsoft-com:office:smarttags" w:element="country-region">
          <w:r>
            <w:rPr>
              <w:i/>
              <w:iCs/>
            </w:rPr>
            <w:t>UK</w:t>
          </w:r>
        </w:smartTag>
      </w:smartTag>
      <w:r>
        <w:rPr>
          <w:i/>
          <w:iCs/>
        </w:rPr>
        <w:t xml:space="preserve"> consumer banking services provider context, refines and extends some items examined qualitatively in the present study. Additionally it contributes to knowledge by adding refinements to the few existing empirically tested (Dutch) service provider commitment or (Spanish) bank commitment scales.</w:t>
      </w:r>
    </w:p>
    <w:p w:rsidR="00DC19F1" w:rsidRDefault="00DC19F1">
      <w:pPr>
        <w:pStyle w:val="BodyText"/>
        <w:rPr>
          <w:i/>
          <w:iCs/>
        </w:rPr>
      </w:pPr>
    </w:p>
    <w:p w:rsidR="00DC19F1" w:rsidRDefault="00DC19F1">
      <w:pPr>
        <w:pStyle w:val="BodyText"/>
        <w:rPr>
          <w:b/>
          <w:bCs/>
        </w:rPr>
      </w:pPr>
      <w:r>
        <w:rPr>
          <w:b/>
          <w:bCs/>
        </w:rPr>
        <w:t>Introduction</w:t>
      </w:r>
    </w:p>
    <w:p w:rsidR="00DC19F1" w:rsidRDefault="00DC19F1">
      <w:pPr>
        <w:pStyle w:val="BodyText"/>
      </w:pPr>
      <w:r>
        <w:t>The following sections of the Addendum will be organised around five areas of this PhD study’s contribution to knowledge and which were highlighted in the Abstract above. To summarise, these include:</w:t>
      </w:r>
    </w:p>
    <w:p w:rsidR="00DC19F1" w:rsidRDefault="00DC19F1">
      <w:pPr>
        <w:pStyle w:val="BodyText"/>
      </w:pPr>
      <w:r>
        <w:t xml:space="preserve">(1) </w:t>
      </w:r>
      <w:r>
        <w:rPr>
          <w:i/>
          <w:iCs/>
        </w:rPr>
        <w:t xml:space="preserve">A Bonding and Binding Attachments framework </w:t>
      </w:r>
      <w:r>
        <w:t xml:space="preserve">for customer commitment in consumer banking services and findings that stem from it regarding relationships customers expect to have with their banks, customer social intimacy/distance preferences, and the association of:  (2) </w:t>
      </w:r>
      <w:r>
        <w:rPr>
          <w:i/>
          <w:iCs/>
        </w:rPr>
        <w:t>Self-identification</w:t>
      </w:r>
      <w:r>
        <w:t xml:space="preserve"> and (3) </w:t>
      </w:r>
      <w:r>
        <w:rPr>
          <w:i/>
          <w:iCs/>
        </w:rPr>
        <w:t>Gender</w:t>
      </w:r>
      <w:r>
        <w:t xml:space="preserve"> with higher degrees of commitment. The Addendum will include the study’s finding that it is the perceived </w:t>
      </w:r>
      <w:r>
        <w:rPr>
          <w:i/>
          <w:iCs/>
          <w:u w:val="single"/>
        </w:rPr>
        <w:t>sense</w:t>
      </w:r>
      <w:r>
        <w:rPr>
          <w:i/>
          <w:iCs/>
        </w:rPr>
        <w:t xml:space="preserve"> of freedom</w:t>
      </w:r>
      <w:r>
        <w:t xml:space="preserve"> from constraint, (rather than presence of financial switching costs themselves) which partly determines commitment states, leading to (4) a</w:t>
      </w:r>
      <w:r>
        <w:rPr>
          <w:i/>
          <w:iCs/>
        </w:rPr>
        <w:t xml:space="preserve"> Commitment Typology</w:t>
      </w:r>
      <w:r>
        <w:t>. The Addendum offers future researchers in this specific field (5) a proposed</w:t>
      </w:r>
      <w:r>
        <w:rPr>
          <w:i/>
          <w:iCs/>
        </w:rPr>
        <w:t xml:space="preserve"> Customer-Bank Commitment Scale </w:t>
      </w:r>
      <w:r>
        <w:t xml:space="preserve">(see Appendix) specifically designed for UK consumer banking services providers, extending and complementing existing service/bank provider commitment scales originally produced in Dutch or Spanish and suggesting associated, extra items that fall out of the present study’s qualitative findings. </w:t>
      </w:r>
    </w:p>
    <w:p w:rsidR="00DC19F1" w:rsidRDefault="00DC19F1"/>
    <w:p w:rsidR="00DC19F1" w:rsidRDefault="00DC19F1">
      <w:pPr>
        <w:pStyle w:val="BodyText"/>
      </w:pPr>
      <w:r>
        <w:t xml:space="preserve">The approach here has a narrower, deeper focus than some of the previous studies examining commitment in a marketing context, which have often treated commitment as part of a wider, long-term relationship, such as Fournier (1998); and Gwinner, Gremler and Bitner (1998) qualitative empirical studies; Strandvik and Liljander’s (1994) qualitative empirical Finnish consumer banking study; and Liljander and Strandvik’s (1995) </w:t>
      </w:r>
      <w:r>
        <w:rPr>
          <w:i/>
          <w:iCs/>
        </w:rPr>
        <w:t>conceptual</w:t>
      </w:r>
      <w:r>
        <w:t xml:space="preserve"> framework of customer-services provider bonds. This PhD thesis differs from most prior studies in that it focuses solely on the consumer banking services sector and also, more narrowly, on better </w:t>
      </w:r>
      <w:r>
        <w:lastRenderedPageBreak/>
        <w:t xml:space="preserve">understanding the structure and nature of the multi-dimensional commitment construct itself and on factors that might motivate an increase in a customer’s </w:t>
      </w:r>
      <w:r>
        <w:rPr>
          <w:i/>
          <w:iCs/>
        </w:rPr>
        <w:t>degree</w:t>
      </w:r>
      <w:r>
        <w:t xml:space="preserve"> of commitment to a banking services provider. The author acknowledges empirical research (Sanchez and Iniesta, 2004) covering some similar ground in Spanish retail banking. This qualitative, </w:t>
      </w:r>
      <w:smartTag w:uri="urn:schemas-microsoft-com:office:smarttags" w:element="place">
        <w:smartTag w:uri="urn:schemas-microsoft-com:office:smarttags" w:element="country-region">
          <w:r>
            <w:t>UK</w:t>
          </w:r>
        </w:smartTag>
      </w:smartTag>
      <w:r>
        <w:t xml:space="preserve"> study adds to their work by presenting a context-specific and detailed Bonding and Binding Attachments framework and a Commitment Typology, leading to proposed commitment scale refinements.</w:t>
      </w:r>
    </w:p>
    <w:p w:rsidR="00DC19F1" w:rsidRDefault="00DC19F1">
      <w:pPr>
        <w:pStyle w:val="BodyText"/>
      </w:pPr>
    </w:p>
    <w:p w:rsidR="00DC19F1" w:rsidRDefault="00DC19F1">
      <w:pPr>
        <w:spacing w:line="360" w:lineRule="auto"/>
        <w:rPr>
          <w:sz w:val="22"/>
        </w:rPr>
      </w:pPr>
      <w:r>
        <w:rPr>
          <w:sz w:val="22"/>
        </w:rPr>
        <w:t xml:space="preserve">A literature search shows that two basic approaches to commitment theory are evident: behavioural and attitudinal. Behavioural theory focuses on the binding effect of </w:t>
      </w:r>
      <w:r>
        <w:rPr>
          <w:i/>
          <w:iCs/>
          <w:sz w:val="22"/>
        </w:rPr>
        <w:t>actions</w:t>
      </w:r>
      <w:r>
        <w:rPr>
          <w:sz w:val="22"/>
        </w:rPr>
        <w:t xml:space="preserve"> (Becker, 1960;</w:t>
      </w:r>
      <w:r>
        <w:rPr>
          <w:b/>
          <w:bCs/>
          <w:sz w:val="22"/>
        </w:rPr>
        <w:t xml:space="preserve"> </w:t>
      </w:r>
      <w:r>
        <w:rPr>
          <w:sz w:val="22"/>
        </w:rPr>
        <w:t xml:space="preserve">Kiesler, 1971,1977; Salancik, 1977), extended through exchange theory (Weiss and Andersen, 1992) and ‘investment models’ (Rusbult, 1980; Farrell and Rusbult, 1981 and Rusbult and Farrell, 1983) to involve the weighing up of the benefits of staying, against switching costs and the alternatives. By contrast, attitudinal approaches to commitment generally take the </w:t>
      </w:r>
      <w:r>
        <w:rPr>
          <w:i/>
          <w:iCs/>
          <w:sz w:val="22"/>
        </w:rPr>
        <w:t>organisation</w:t>
      </w:r>
      <w:r>
        <w:rPr>
          <w:sz w:val="22"/>
        </w:rPr>
        <w:t xml:space="preserve"> (or, here, a customer’s main bank) to be the object of commitment. They tend to measure affective commitment: </w:t>
      </w:r>
      <w:r>
        <w:rPr>
          <w:i/>
          <w:iCs/>
          <w:sz w:val="22"/>
        </w:rPr>
        <w:t>identification, involvement</w:t>
      </w:r>
      <w:r>
        <w:rPr>
          <w:sz w:val="22"/>
        </w:rPr>
        <w:t xml:space="preserve"> characterised by a belief in the goals and values of an organisation, willingness to </w:t>
      </w:r>
      <w:r>
        <w:rPr>
          <w:i/>
          <w:iCs/>
          <w:sz w:val="22"/>
        </w:rPr>
        <w:t>exert effort</w:t>
      </w:r>
      <w:r>
        <w:rPr>
          <w:sz w:val="22"/>
        </w:rPr>
        <w:t xml:space="preserve"> on its behalf, and a </w:t>
      </w:r>
      <w:r>
        <w:rPr>
          <w:i/>
          <w:iCs/>
          <w:sz w:val="22"/>
        </w:rPr>
        <w:t>strong desire to remain</w:t>
      </w:r>
      <w:r>
        <w:rPr>
          <w:sz w:val="22"/>
        </w:rPr>
        <w:t xml:space="preserve"> with it  (Porter and Smith, 1970). </w:t>
      </w:r>
    </w:p>
    <w:p w:rsidR="00DC19F1" w:rsidRDefault="00DC19F1">
      <w:pPr>
        <w:spacing w:line="360" w:lineRule="auto"/>
        <w:rPr>
          <w:sz w:val="22"/>
        </w:rPr>
      </w:pPr>
    </w:p>
    <w:p w:rsidR="00DC19F1" w:rsidRDefault="00DC19F1">
      <w:pPr>
        <w:spacing w:line="360" w:lineRule="auto"/>
        <w:rPr>
          <w:sz w:val="22"/>
        </w:rPr>
      </w:pPr>
      <w:r>
        <w:rPr>
          <w:sz w:val="22"/>
        </w:rPr>
        <w:t xml:space="preserve">In the present study and in the proposed commitment scale the attitudinal approach has been adopted. This focuses on attachment to an organisation and is divided into </w:t>
      </w:r>
      <w:r>
        <w:rPr>
          <w:i/>
          <w:iCs/>
          <w:sz w:val="22"/>
        </w:rPr>
        <w:t xml:space="preserve">affective </w:t>
      </w:r>
      <w:r>
        <w:rPr>
          <w:sz w:val="22"/>
        </w:rPr>
        <w:t>versus</w:t>
      </w:r>
      <w:r>
        <w:rPr>
          <w:i/>
          <w:iCs/>
          <w:sz w:val="22"/>
        </w:rPr>
        <w:t xml:space="preserve"> calculative</w:t>
      </w:r>
      <w:r>
        <w:rPr>
          <w:sz w:val="22"/>
        </w:rPr>
        <w:t xml:space="preserve"> commitment components, (see Glossary). Kumar Hibbard and Stern (1994) have used this approach already for channel intermediary commitment and Bansal et al. (2004) for consumer auto repair services. </w:t>
      </w:r>
    </w:p>
    <w:p w:rsidR="00DC19F1" w:rsidRDefault="00DC19F1">
      <w:pPr>
        <w:spacing w:line="360" w:lineRule="auto"/>
        <w:rPr>
          <w:sz w:val="22"/>
        </w:rPr>
      </w:pPr>
    </w:p>
    <w:p w:rsidR="00DC19F1" w:rsidRDefault="00DC19F1">
      <w:pPr>
        <w:pStyle w:val="BodyText"/>
      </w:pPr>
      <w:r>
        <w:t xml:space="preserve">Other prior and behavioural theory is far from being ignored. A re-examination with practitioners and synthesis with consumer interviewees has been made of factors said to increase commitment in behavioural and psychological commitment theory (for factors derived from Kiesler 1971,1977, see Debling, 1999). Especially useful for developing the commitment typology and scale herein was an association with higher commitment of the concept of ‘freedom of choice’ or ‘volition’ (Kiesler, 1971,1977; Salancik, 1977; Barnes, 1997; Pritchard, Havitz and Howard, 1999; Butcher Sparks and O’ Callaghan, 2001). </w:t>
      </w:r>
    </w:p>
    <w:p w:rsidR="00DC19F1" w:rsidRDefault="00DC19F1">
      <w:pPr>
        <w:spacing w:line="360" w:lineRule="auto"/>
        <w:rPr>
          <w:sz w:val="22"/>
        </w:rPr>
      </w:pPr>
    </w:p>
    <w:p w:rsidR="00DC19F1" w:rsidRDefault="00DC19F1">
      <w:pPr>
        <w:pStyle w:val="BodyText"/>
      </w:pPr>
    </w:p>
    <w:p w:rsidR="00DC19F1" w:rsidRDefault="00DC19F1">
      <w:pPr>
        <w:pStyle w:val="Heading2"/>
      </w:pPr>
      <w:bookmarkStart w:id="17" w:name="_Toc113077998"/>
      <w:bookmarkStart w:id="18" w:name="_Toc132368265"/>
      <w:r>
        <w:t>2.1 A BONDING AND BINDING ATTACHMENTS FRAMEWORK</w:t>
      </w:r>
      <w:bookmarkEnd w:id="17"/>
      <w:bookmarkEnd w:id="18"/>
    </w:p>
    <w:p w:rsidR="00DC19F1" w:rsidRDefault="00DC19F1"/>
    <w:p w:rsidR="00DC19F1" w:rsidRDefault="00DC19F1">
      <w:pPr>
        <w:pStyle w:val="BodyText"/>
      </w:pPr>
      <w:r>
        <w:t>Reichers (1985, 1986) suggested that instead of synthesising the two separate attitudinal and behavioural approaches to commitment, one way forward would be to identify a more specific set of commitment foci.  Samuelsen and Sandvik (1997) also claim that:</w:t>
      </w:r>
    </w:p>
    <w:p w:rsidR="00DC19F1" w:rsidRDefault="00DC19F1">
      <w:pPr>
        <w:pStyle w:val="BodyText"/>
      </w:pPr>
    </w:p>
    <w:p w:rsidR="00DC19F1" w:rsidRDefault="00DC19F1">
      <w:pPr>
        <w:pStyle w:val="BodyText"/>
      </w:pPr>
      <w:r>
        <w:lastRenderedPageBreak/>
        <w:t xml:space="preserve"> "</w:t>
      </w:r>
      <w:r>
        <w:rPr>
          <w:i/>
        </w:rPr>
        <w:t>The notion of commitment provides a description of the different bonds which might exist between a customer and a loyalty object</w:t>
      </w:r>
      <w:r>
        <w:t xml:space="preserve">".  </w:t>
      </w:r>
    </w:p>
    <w:p w:rsidR="00DC19F1" w:rsidRDefault="00DC19F1">
      <w:pPr>
        <w:pStyle w:val="BodyText"/>
      </w:pPr>
    </w:p>
    <w:p w:rsidR="00DC19F1" w:rsidRDefault="00DC19F1">
      <w:pPr>
        <w:pStyle w:val="BodyText"/>
      </w:pPr>
      <w:r>
        <w:t xml:space="preserve">The present research therefore examines and adds to our understanding of the underlying factors, motives or objects of commitment, within the specific context of consumer banking services. These factors have variously been called the ‘foci’ of commitment (Jackson, 1985; Samuelsen and Sandvik, 1997); or relationship ‘bonds’ (Berry and Parasuraman, 1991; Strandvik and Liljander, 1994 and Holmlund and Kock, 1996 in retail banking; and Liljander and Strandvik, 1995 in services). They are termed customer-organisational attachment bonds by Aldlaigan and Buttle (1998; 2005); seen as ten consumer attachments (Gabbott, 1998); ‘relationship benefits’, (Gwinner et al, 1998); or ‘moorings’ (Bansal and </w:t>
      </w:r>
      <w:smartTag w:uri="urn:schemas-microsoft-com:office:smarttags" w:element="place">
        <w:smartTag w:uri="urn:schemas-microsoft-com:office:smarttags" w:element="City">
          <w:r>
            <w:t>Taylor</w:t>
          </w:r>
        </w:smartTag>
      </w:smartTag>
      <w:r>
        <w:t xml:space="preserve">, 2005, where relationship </w:t>
      </w:r>
      <w:r>
        <w:rPr>
          <w:i/>
          <w:iCs/>
        </w:rPr>
        <w:t>value</w:t>
      </w:r>
      <w:r>
        <w:t xml:space="preserve"> was considered from customers’ perspectives). Prior conceptual and empirical attachment models for services and other businesses therefore existed but they were not all integrated with commitment theory and specific to consumer banking before the present study.</w:t>
      </w:r>
    </w:p>
    <w:p w:rsidR="00DC19F1" w:rsidRDefault="00DC19F1">
      <w:pPr>
        <w:pStyle w:val="BodyText"/>
      </w:pPr>
    </w:p>
    <w:p w:rsidR="00DC19F1" w:rsidRDefault="00DC19F1">
      <w:pPr>
        <w:tabs>
          <w:tab w:val="left" w:pos="4230"/>
        </w:tabs>
        <w:spacing w:line="360" w:lineRule="auto"/>
        <w:rPr>
          <w:sz w:val="22"/>
        </w:rPr>
      </w:pPr>
      <w:r>
        <w:rPr>
          <w:sz w:val="22"/>
        </w:rPr>
        <w:t xml:space="preserve">After initial interviews with bankers and financial services direct marketers/branding experts, a preliminary conceptual framework was drawn up. This posited key drivers of customers’ perceptions of quality, satisfaction, of trust and their degree of customer commitment. Initially these key factors included: </w:t>
      </w:r>
      <w:r>
        <w:rPr>
          <w:i/>
          <w:iCs/>
          <w:sz w:val="22"/>
        </w:rPr>
        <w:t xml:space="preserve">Technical quality, Social bonding, Experiential </w:t>
      </w:r>
      <w:r>
        <w:rPr>
          <w:sz w:val="22"/>
        </w:rPr>
        <w:t>(quality of the service experience plus communications); and</w:t>
      </w:r>
      <w:r>
        <w:rPr>
          <w:i/>
          <w:iCs/>
          <w:sz w:val="22"/>
        </w:rPr>
        <w:t xml:space="preserve"> </w:t>
      </w:r>
      <w:r>
        <w:rPr>
          <w:sz w:val="22"/>
        </w:rPr>
        <w:t xml:space="preserve">customer </w:t>
      </w:r>
      <w:r>
        <w:rPr>
          <w:i/>
          <w:iCs/>
          <w:sz w:val="22"/>
        </w:rPr>
        <w:t xml:space="preserve">Self-identification </w:t>
      </w:r>
      <w:r>
        <w:rPr>
          <w:sz w:val="22"/>
        </w:rPr>
        <w:t xml:space="preserve">with corporate brand values/image. Two other key factors were also identified at this stage. Firstly, there was </w:t>
      </w:r>
      <w:r>
        <w:rPr>
          <w:i/>
          <w:iCs/>
          <w:sz w:val="22"/>
        </w:rPr>
        <w:t>Behaviour</w:t>
      </w:r>
      <w:r>
        <w:rPr>
          <w:sz w:val="22"/>
        </w:rPr>
        <w:t xml:space="preserve">; actions linking a customer to the provider, such as repeat patronage, recommending or cross-buying of more products from the same institution. And secondly there were </w:t>
      </w:r>
      <w:r>
        <w:rPr>
          <w:i/>
          <w:iCs/>
          <w:sz w:val="22"/>
        </w:rPr>
        <w:t>Hostage</w:t>
      </w:r>
      <w:r>
        <w:rPr>
          <w:sz w:val="22"/>
        </w:rPr>
        <w:t xml:space="preserve"> ties, such as loans, direct debits or long-term investments that might tie a customer in but not necessarily make them positively disposed to the bank.  The last were supported conceptually, as ‘legal bonds’ in Liljander and Strandvik (1995) and in Holmlund and Kock (1996), who proposed that economic and legal bonds, like loan contracts, could </w:t>
      </w:r>
      <w:r>
        <w:rPr>
          <w:i/>
          <w:iCs/>
          <w:sz w:val="22"/>
        </w:rPr>
        <w:t xml:space="preserve">“function as high [relationship] exit barriers” </w:t>
      </w:r>
      <w:r>
        <w:rPr>
          <w:sz w:val="22"/>
        </w:rPr>
        <w:t>(ibid).  The preliminary framework is shown in Figure 1.</w:t>
      </w:r>
    </w:p>
    <w:p w:rsidR="00DC19F1" w:rsidRDefault="00DC19F1">
      <w:pPr>
        <w:spacing w:line="360" w:lineRule="auto"/>
        <w:rPr>
          <w:sz w:val="22"/>
        </w:rPr>
      </w:pPr>
    </w:p>
    <w:p w:rsidR="00DC19F1" w:rsidRDefault="00DC19F1">
      <w:pPr>
        <w:pStyle w:val="Caption"/>
      </w:pPr>
      <w:bookmarkStart w:id="19" w:name="_Toc113105118"/>
      <w:r>
        <w:t xml:space="preserve">Figure </w:t>
      </w:r>
      <w:fldSimple w:instr=" SEQ Figure \* ARABIC ">
        <w:r w:rsidR="00FA61D1">
          <w:rPr>
            <w:noProof/>
          </w:rPr>
          <w:t>1</w:t>
        </w:r>
      </w:fldSimple>
      <w:r>
        <w:t>: Preliminary Conceptual Framework (after Practitioner Interviews, Phase 1)</w:t>
      </w:r>
      <w:bookmarkEnd w:id="19"/>
    </w:p>
    <w:p w:rsidR="00DC19F1" w:rsidRDefault="00DC19F1">
      <w:pPr>
        <w:spacing w:line="360" w:lineRule="auto"/>
        <w:rPr>
          <w:sz w:val="22"/>
        </w:rPr>
      </w:pPr>
      <w:r>
        <w:rPr>
          <w:noProof/>
          <w:sz w:val="20"/>
          <w:lang w:val="en-US"/>
        </w:rPr>
        <w:pict>
          <v:rect id="_x0000_s1026" style="position:absolute;margin-left:1in;margin-top:10.5pt;width:257.25pt;height:102.85pt;z-index:1">
            <v:textbox style="mso-next-textbox:#_x0000_s1026">
              <w:txbxContent>
                <w:p w:rsidR="00DC19F1" w:rsidRDefault="00DC19F1"/>
                <w:p w:rsidR="00DC19F1" w:rsidRDefault="00DC19F1">
                  <w:pPr>
                    <w:rPr>
                      <w:sz w:val="20"/>
                    </w:rPr>
                  </w:pPr>
                  <w:r>
                    <w:rPr>
                      <w:sz w:val="20"/>
                    </w:rPr>
                    <w:t>Technical</w:t>
                  </w:r>
                </w:p>
                <w:p w:rsidR="00DC19F1" w:rsidRDefault="00DC19F1">
                  <w:pPr>
                    <w:rPr>
                      <w:sz w:val="20"/>
                    </w:rPr>
                  </w:pPr>
                  <w:r>
                    <w:rPr>
                      <w:sz w:val="20"/>
                    </w:rPr>
                    <w:tab/>
                  </w:r>
                  <w:r>
                    <w:rPr>
                      <w:sz w:val="20"/>
                    </w:rPr>
                    <w:tab/>
                  </w:r>
                  <w:r>
                    <w:rPr>
                      <w:sz w:val="20"/>
                    </w:rPr>
                    <w:tab/>
                  </w:r>
                  <w:r>
                    <w:rPr>
                      <w:sz w:val="20"/>
                    </w:rPr>
                    <w:tab/>
                  </w:r>
                  <w:r>
                    <w:rPr>
                      <w:sz w:val="20"/>
                    </w:rPr>
                    <w:tab/>
                    <w:t xml:space="preserve"> Hostage ties</w:t>
                  </w:r>
                </w:p>
                <w:p w:rsidR="00DC19F1" w:rsidRDefault="00DC19F1">
                  <w:pPr>
                    <w:rPr>
                      <w:sz w:val="20"/>
                    </w:rPr>
                  </w:pPr>
                  <w:r>
                    <w:rPr>
                      <w:sz w:val="20"/>
                    </w:rPr>
                    <w:t>Social</w:t>
                  </w:r>
                  <w:r>
                    <w:rPr>
                      <w:sz w:val="20"/>
                    </w:rPr>
                    <w:tab/>
                  </w:r>
                  <w:r>
                    <w:rPr>
                      <w:sz w:val="20"/>
                    </w:rPr>
                    <w:tab/>
                  </w:r>
                  <w:r>
                    <w:rPr>
                      <w:sz w:val="20"/>
                    </w:rPr>
                    <w:tab/>
                  </w:r>
                  <w:r>
                    <w:rPr>
                      <w:sz w:val="20"/>
                    </w:rPr>
                    <w:tab/>
                  </w:r>
                  <w:r>
                    <w:rPr>
                      <w:sz w:val="20"/>
                    </w:rPr>
                    <w:tab/>
                  </w:r>
                </w:p>
                <w:p w:rsidR="00DC19F1" w:rsidRDefault="00DC19F1">
                  <w:pPr>
                    <w:rPr>
                      <w:sz w:val="20"/>
                    </w:rPr>
                  </w:pPr>
                </w:p>
                <w:p w:rsidR="00DC19F1" w:rsidRDefault="00DC19F1">
                  <w:pPr>
                    <w:rPr>
                      <w:sz w:val="20"/>
                    </w:rPr>
                  </w:pPr>
                  <w:r>
                    <w:rPr>
                      <w:sz w:val="20"/>
                    </w:rPr>
                    <w:t>Experiential</w:t>
                  </w:r>
                </w:p>
                <w:p w:rsidR="00DC19F1" w:rsidRDefault="00DC19F1">
                  <w:pPr>
                    <w:rPr>
                      <w:sz w:val="20"/>
                    </w:rPr>
                  </w:pPr>
                </w:p>
                <w:p w:rsidR="00DC19F1" w:rsidRDefault="00DC19F1">
                  <w:pPr>
                    <w:rPr>
                      <w:sz w:val="20"/>
                    </w:rPr>
                  </w:pPr>
                  <w:r>
                    <w:rPr>
                      <w:sz w:val="20"/>
                    </w:rPr>
                    <w:t>Self-Identification</w:t>
                  </w:r>
                </w:p>
                <w:p w:rsidR="00DC19F1" w:rsidRDefault="00DC19F1">
                  <w:pPr>
                    <w:rPr>
                      <w:sz w:val="20"/>
                    </w:rPr>
                  </w:pPr>
                  <w:r>
                    <w:rPr>
                      <w:sz w:val="20"/>
                    </w:rPr>
                    <w:tab/>
                  </w:r>
                  <w:r>
                    <w:rPr>
                      <w:sz w:val="20"/>
                    </w:rPr>
                    <w:tab/>
                  </w:r>
                </w:p>
                <w:p w:rsidR="00DC19F1" w:rsidRDefault="00DC19F1">
                  <w:pPr>
                    <w:ind w:firstLine="720"/>
                  </w:pPr>
                </w:p>
              </w:txbxContent>
            </v:textbox>
          </v:rect>
        </w:pict>
      </w:r>
      <w:r>
        <w:rPr>
          <w:sz w:val="22"/>
        </w:rPr>
        <w:tab/>
      </w:r>
      <w:r>
        <w:rPr>
          <w:sz w:val="22"/>
        </w:rPr>
        <w:tab/>
      </w:r>
      <w:r>
        <w:rPr>
          <w:sz w:val="22"/>
        </w:rPr>
        <w:tab/>
      </w:r>
      <w:r>
        <w:rPr>
          <w:sz w:val="22"/>
        </w:rPr>
        <w:tab/>
      </w:r>
    </w:p>
    <w:p w:rsidR="00DC19F1" w:rsidRDefault="00DC19F1">
      <w:pPr>
        <w:spacing w:line="360" w:lineRule="auto"/>
        <w:rPr>
          <w:sz w:val="22"/>
        </w:rPr>
      </w:pPr>
    </w:p>
    <w:p w:rsidR="00DC19F1" w:rsidRDefault="00DC19F1">
      <w:pPr>
        <w:spacing w:line="360" w:lineRule="auto"/>
        <w:rPr>
          <w:sz w:val="22"/>
        </w:rPr>
      </w:pPr>
      <w:r>
        <w:rPr>
          <w:noProof/>
          <w:sz w:val="20"/>
          <w:lang w:val="en-US"/>
        </w:rPr>
        <w:pict>
          <v:shapetype id="_x0000_t202" coordsize="21600,21600" o:spt="202" path="m,l,21600r21600,l21600,xe">
            <v:stroke joinstyle="miter"/>
            <v:path gradientshapeok="t" o:connecttype="rect"/>
          </v:shapetype>
          <v:shape id="_x0000_s1027" type="#_x0000_t202" style="position:absolute;margin-left:162pt;margin-top:3.3pt;width:69pt;height:24pt;z-index:2">
            <v:textbox>
              <w:txbxContent>
                <w:p w:rsidR="00DC19F1" w:rsidRDefault="00DC19F1">
                  <w:pPr>
                    <w:rPr>
                      <w:sz w:val="20"/>
                    </w:rPr>
                  </w:pPr>
                  <w:r>
                    <w:rPr>
                      <w:sz w:val="20"/>
                    </w:rPr>
                    <w:t>Behaviour</w:t>
                  </w:r>
                </w:p>
              </w:txbxContent>
            </v:textbox>
          </v:shape>
        </w:pict>
      </w:r>
      <w:r>
        <w:rPr>
          <w:sz w:val="22"/>
        </w:rPr>
        <w:tab/>
      </w:r>
      <w:r>
        <w:rPr>
          <w:sz w:val="22"/>
        </w:rPr>
        <w:tab/>
      </w:r>
      <w:r>
        <w:rPr>
          <w:sz w:val="22"/>
        </w:rPr>
        <w:tab/>
      </w:r>
      <w:r>
        <w:rPr>
          <w:sz w:val="22"/>
        </w:rPr>
        <w:tab/>
      </w:r>
      <w:r>
        <w:rPr>
          <w:sz w:val="22"/>
        </w:rPr>
        <w:tab/>
      </w:r>
      <w:r>
        <w:rPr>
          <w:sz w:val="22"/>
        </w:rPr>
        <w:tab/>
      </w:r>
    </w:p>
    <w:p w:rsidR="00DC19F1" w:rsidRDefault="00DC19F1">
      <w:pPr>
        <w:spacing w:line="360" w:lineRule="auto"/>
        <w:rPr>
          <w:sz w:val="22"/>
        </w:rPr>
      </w:pPr>
      <w:r>
        <w:rPr>
          <w:sz w:val="22"/>
        </w:rPr>
        <w:tab/>
      </w:r>
    </w:p>
    <w:p w:rsidR="00DC19F1" w:rsidRDefault="00DC19F1">
      <w:pPr>
        <w:spacing w:line="360" w:lineRule="auto"/>
        <w:rPr>
          <w:sz w:val="22"/>
        </w:rPr>
      </w:pPr>
    </w:p>
    <w:p w:rsidR="00DC19F1" w:rsidRDefault="00DC19F1">
      <w:pPr>
        <w:tabs>
          <w:tab w:val="left" w:pos="4230"/>
        </w:tabs>
        <w:spacing w:line="360" w:lineRule="auto"/>
        <w:rPr>
          <w:sz w:val="22"/>
        </w:rPr>
      </w:pPr>
    </w:p>
    <w:p w:rsidR="00DC19F1" w:rsidRDefault="00DC19F1">
      <w:pPr>
        <w:tabs>
          <w:tab w:val="left" w:pos="4230"/>
        </w:tabs>
        <w:spacing w:line="360" w:lineRule="auto"/>
        <w:rPr>
          <w:sz w:val="22"/>
        </w:rPr>
      </w:pPr>
    </w:p>
    <w:p w:rsidR="00DC19F1" w:rsidRDefault="00DC19F1">
      <w:pPr>
        <w:pStyle w:val="BodyText"/>
        <w:rPr>
          <w:b/>
          <w:bCs/>
        </w:rPr>
      </w:pPr>
    </w:p>
    <w:p w:rsidR="00DC19F1" w:rsidRDefault="00DC19F1">
      <w:pPr>
        <w:pStyle w:val="BodyText"/>
      </w:pPr>
      <w:r>
        <w:rPr>
          <w:b/>
          <w:bCs/>
        </w:rPr>
        <w:lastRenderedPageBreak/>
        <w:t>Adding to Bonding Theory</w:t>
      </w:r>
    </w:p>
    <w:p w:rsidR="00DC19F1" w:rsidRDefault="00DC19F1">
      <w:pPr>
        <w:tabs>
          <w:tab w:val="left" w:pos="4230"/>
        </w:tabs>
        <w:spacing w:line="360" w:lineRule="auto"/>
        <w:rPr>
          <w:sz w:val="22"/>
        </w:rPr>
      </w:pPr>
      <w:r>
        <w:rPr>
          <w:sz w:val="22"/>
        </w:rPr>
        <w:t xml:space="preserve">A further phase of research asked consumer bank customers why they stay with their main bank and explored the factors that these customers mentioned as potentially influencing their loyalty behaviour or commitment.  Figure 2 shows how an attachments framework had developed after synthesis with the second phase of interviews and literature. </w:t>
      </w:r>
    </w:p>
    <w:p w:rsidR="00DC19F1" w:rsidRDefault="00DC19F1">
      <w:pPr>
        <w:tabs>
          <w:tab w:val="left" w:pos="4230"/>
        </w:tabs>
        <w:spacing w:line="360" w:lineRule="auto"/>
        <w:rPr>
          <w:sz w:val="22"/>
        </w:rPr>
      </w:pPr>
    </w:p>
    <w:p w:rsidR="00DC19F1" w:rsidRDefault="00DC19F1">
      <w:pPr>
        <w:pStyle w:val="Caption"/>
      </w:pPr>
      <w:bookmarkStart w:id="20" w:name="_Toc113105119"/>
      <w:r>
        <w:t xml:space="preserve">Figure </w:t>
      </w:r>
      <w:fldSimple w:instr=" SEQ Figure \* ARABIC ">
        <w:r w:rsidR="00FA61D1">
          <w:rPr>
            <w:noProof/>
          </w:rPr>
          <w:t>2</w:t>
        </w:r>
      </w:fldSimple>
      <w:r>
        <w:t>: Extended Framework (after synthesis with Bank Customer Interviews, Phase 2)</w:t>
      </w:r>
      <w:bookmarkEnd w:id="20"/>
      <w:r>
        <w:t xml:space="preserve"> </w:t>
      </w:r>
    </w:p>
    <w:p w:rsidR="00DC19F1" w:rsidRDefault="00DC19F1">
      <w:pPr>
        <w:pStyle w:val="BodyText3"/>
        <w:rPr>
          <w:sz w:val="22"/>
        </w:rPr>
      </w:pPr>
    </w:p>
    <w:p w:rsidR="00DC19F1" w:rsidRDefault="00DC19F1">
      <w:pPr>
        <w:pStyle w:val="BodyText3"/>
        <w:rPr>
          <w:sz w:val="22"/>
        </w:rPr>
      </w:pPr>
      <w:r>
        <w:rPr>
          <w:bCs/>
          <w:noProof/>
          <w:lang w:val="en-US"/>
        </w:rPr>
        <w:pict>
          <v:rect id="_x0000_s1028" style="position:absolute;margin-left:81pt;margin-top:11.45pt;width:279pt;height:174.75pt;z-index:3">
            <v:textbox style="mso-next-textbox:#_x0000_s1028">
              <w:txbxContent>
                <w:p w:rsidR="00DC19F1" w:rsidRDefault="00DC19F1">
                  <w:pPr>
                    <w:ind w:firstLine="720"/>
                    <w:rPr>
                      <w:sz w:val="20"/>
                    </w:rPr>
                  </w:pPr>
                  <w:r>
                    <w:rPr>
                      <w:sz w:val="20"/>
                    </w:rPr>
                    <w:t>Satisfaction    Perceived Quality   Trust</w:t>
                  </w:r>
                </w:p>
                <w:p w:rsidR="00DC19F1" w:rsidRDefault="00DC19F1"/>
                <w:p w:rsidR="00DC19F1" w:rsidRDefault="00DC19F1"/>
                <w:p w:rsidR="00DC19F1" w:rsidRDefault="00DC19F1"/>
                <w:p w:rsidR="00DC19F1" w:rsidRDefault="00DC19F1"/>
                <w:p w:rsidR="00DC19F1" w:rsidRDefault="00DC19F1"/>
                <w:p w:rsidR="00DC19F1" w:rsidRDefault="00DC19F1"/>
                <w:p w:rsidR="00DC19F1" w:rsidRDefault="00DC19F1"/>
                <w:p w:rsidR="00DC19F1" w:rsidRDefault="00DC19F1">
                  <w:pPr>
                    <w:ind w:left="720" w:firstLine="720"/>
                  </w:pPr>
                  <w:r>
                    <w:t xml:space="preserve">    </w:t>
                  </w:r>
                </w:p>
                <w:p w:rsidR="00DC19F1" w:rsidRDefault="00DC19F1">
                  <w:pPr>
                    <w:ind w:left="720" w:firstLine="720"/>
                  </w:pPr>
                </w:p>
                <w:p w:rsidR="00DC19F1" w:rsidRDefault="00DC19F1">
                  <w:pPr>
                    <w:ind w:left="720" w:firstLine="720"/>
                  </w:pPr>
                </w:p>
                <w:p w:rsidR="00DC19F1" w:rsidRDefault="00DC19F1">
                  <w:pPr>
                    <w:ind w:left="720" w:firstLine="720"/>
                    <w:rPr>
                      <w:sz w:val="20"/>
                    </w:rPr>
                  </w:pPr>
                  <w:r>
                    <w:rPr>
                      <w:sz w:val="20"/>
                    </w:rPr>
                    <w:t xml:space="preserve">     Brand Involvement</w:t>
                  </w:r>
                  <w:r>
                    <w:rPr>
                      <w:sz w:val="20"/>
                    </w:rPr>
                    <w:tab/>
                    <w:t xml:space="preserve">  </w:t>
                  </w:r>
                  <w:r>
                    <w:rPr>
                      <w:sz w:val="20"/>
                    </w:rPr>
                    <w:tab/>
                  </w:r>
                </w:p>
              </w:txbxContent>
            </v:textbox>
          </v:rect>
        </w:pict>
      </w:r>
    </w:p>
    <w:p w:rsidR="00DC19F1" w:rsidRDefault="00DC19F1">
      <w:pPr>
        <w:pStyle w:val="BodyText3"/>
        <w:rPr>
          <w:sz w:val="22"/>
        </w:rPr>
      </w:pPr>
    </w:p>
    <w:p w:rsidR="00DC19F1" w:rsidRDefault="00DC19F1">
      <w:pPr>
        <w:pStyle w:val="BodyText3"/>
        <w:rPr>
          <w:sz w:val="22"/>
        </w:rPr>
      </w:pPr>
    </w:p>
    <w:p w:rsidR="00DC19F1" w:rsidRDefault="00DC19F1">
      <w:pPr>
        <w:pStyle w:val="BodyText3"/>
        <w:rPr>
          <w:sz w:val="22"/>
        </w:rPr>
      </w:pPr>
      <w:r>
        <w:rPr>
          <w:bCs/>
          <w:noProof/>
          <w:lang w:val="en-US"/>
        </w:rPr>
        <w:pict>
          <v:rect id="_x0000_s1029" style="position:absolute;margin-left:224.4pt;margin-top:3.65pt;width:1in;height:117pt;z-index:4">
            <v:textbox>
              <w:txbxContent>
                <w:p w:rsidR="00DC19F1" w:rsidRDefault="00DC19F1">
                  <w:pPr>
                    <w:pStyle w:val="BodyText3"/>
                    <w:rPr>
                      <w:bCs/>
                      <w:szCs w:val="24"/>
                    </w:rPr>
                  </w:pPr>
                  <w:r>
                    <w:rPr>
                      <w:bCs/>
                      <w:szCs w:val="24"/>
                    </w:rPr>
                    <w:t>Binding factors</w:t>
                  </w:r>
                </w:p>
                <w:p w:rsidR="00DC19F1" w:rsidRDefault="00DC19F1">
                  <w:pPr>
                    <w:rPr>
                      <w:i/>
                      <w:iCs/>
                      <w:sz w:val="20"/>
                    </w:rPr>
                  </w:pPr>
                </w:p>
                <w:p w:rsidR="00DC19F1" w:rsidRDefault="00DC19F1">
                  <w:pPr>
                    <w:rPr>
                      <w:i/>
                      <w:iCs/>
                      <w:sz w:val="20"/>
                    </w:rPr>
                  </w:pPr>
                  <w:r>
                    <w:rPr>
                      <w:i/>
                      <w:iCs/>
                      <w:sz w:val="20"/>
                    </w:rPr>
                    <w:t>Hostage ties</w:t>
                  </w:r>
                </w:p>
                <w:p w:rsidR="00DC19F1" w:rsidRDefault="00DC19F1">
                  <w:pPr>
                    <w:rPr>
                      <w:i/>
                      <w:iCs/>
                      <w:sz w:val="20"/>
                    </w:rPr>
                  </w:pPr>
                </w:p>
                <w:p w:rsidR="00DC19F1" w:rsidRDefault="00DC19F1">
                  <w:pPr>
                    <w:rPr>
                      <w:i/>
                      <w:iCs/>
                    </w:rPr>
                  </w:pPr>
                  <w:r>
                    <w:rPr>
                      <w:i/>
                      <w:iCs/>
                      <w:sz w:val="20"/>
                    </w:rPr>
                    <w:t>Behaviour</w:t>
                  </w:r>
                </w:p>
              </w:txbxContent>
            </v:textbox>
          </v:rect>
        </w:pict>
      </w:r>
      <w:r>
        <w:rPr>
          <w:bCs/>
          <w:noProof/>
          <w:lang w:val="en-US"/>
        </w:rPr>
        <w:pict>
          <v:shape id="_x0000_s1030" type="#_x0000_t202" style="position:absolute;margin-left:108pt;margin-top:3.65pt;width:108pt;height:117pt;z-index:5">
            <v:textbox style="mso-next-textbox:#_x0000_s1030">
              <w:txbxContent>
                <w:p w:rsidR="00DC19F1" w:rsidRDefault="00DC19F1">
                  <w:pPr>
                    <w:pStyle w:val="Heading6"/>
                    <w:rPr>
                      <w:b/>
                      <w:bCs/>
                    </w:rPr>
                  </w:pPr>
                  <w:r>
                    <w:rPr>
                      <w:b/>
                      <w:bCs/>
                    </w:rPr>
                    <w:t>Bonding objects</w:t>
                  </w:r>
                </w:p>
                <w:p w:rsidR="00DC19F1" w:rsidRDefault="00DC19F1">
                  <w:pPr>
                    <w:rPr>
                      <w:i/>
                      <w:iCs/>
                      <w:sz w:val="20"/>
                    </w:rPr>
                  </w:pPr>
                </w:p>
                <w:p w:rsidR="00DC19F1" w:rsidRDefault="00DC19F1">
                  <w:pPr>
                    <w:rPr>
                      <w:i/>
                      <w:iCs/>
                      <w:sz w:val="20"/>
                    </w:rPr>
                  </w:pPr>
                  <w:r>
                    <w:rPr>
                      <w:i/>
                      <w:iCs/>
                      <w:sz w:val="20"/>
                    </w:rPr>
                    <w:t>Technical</w:t>
                  </w:r>
                </w:p>
                <w:p w:rsidR="00DC19F1" w:rsidRDefault="00DC19F1">
                  <w:pPr>
                    <w:rPr>
                      <w:i/>
                      <w:iCs/>
                      <w:sz w:val="20"/>
                      <w:u w:val="single"/>
                    </w:rPr>
                  </w:pPr>
                  <w:r>
                    <w:rPr>
                      <w:i/>
                      <w:iCs/>
                      <w:sz w:val="20"/>
                      <w:u w:val="single"/>
                    </w:rPr>
                    <w:t>Economic value</w:t>
                  </w:r>
                </w:p>
                <w:p w:rsidR="00DC19F1" w:rsidRDefault="00DC19F1">
                  <w:pPr>
                    <w:pStyle w:val="Heading8"/>
                    <w:numPr>
                      <w:ilvl w:val="0"/>
                      <w:numId w:val="0"/>
                    </w:numPr>
                    <w:spacing w:before="0" w:after="0"/>
                    <w:rPr>
                      <w:rFonts w:ascii="Times New Roman" w:hAnsi="Times New Roman"/>
                      <w:iCs/>
                      <w:szCs w:val="24"/>
                    </w:rPr>
                  </w:pPr>
                  <w:r>
                    <w:rPr>
                      <w:rFonts w:ascii="Times New Roman" w:hAnsi="Times New Roman"/>
                      <w:iCs/>
                      <w:szCs w:val="24"/>
                    </w:rPr>
                    <w:t>Social</w:t>
                  </w:r>
                </w:p>
                <w:p w:rsidR="00DC19F1" w:rsidRDefault="00DC19F1">
                  <w:pPr>
                    <w:rPr>
                      <w:i/>
                      <w:iCs/>
                      <w:sz w:val="20"/>
                    </w:rPr>
                  </w:pPr>
                  <w:r>
                    <w:rPr>
                      <w:i/>
                      <w:iCs/>
                      <w:sz w:val="20"/>
                    </w:rPr>
                    <w:t>Experiential</w:t>
                  </w:r>
                </w:p>
                <w:p w:rsidR="00DC19F1" w:rsidRDefault="00DC19F1">
                  <w:pPr>
                    <w:pStyle w:val="Heading5"/>
                    <w:numPr>
                      <w:ilvl w:val="0"/>
                      <w:numId w:val="0"/>
                    </w:numPr>
                    <w:rPr>
                      <w:b w:val="0"/>
                      <w:bCs w:val="0"/>
                      <w:sz w:val="20"/>
                    </w:rPr>
                  </w:pPr>
                  <w:r>
                    <w:rPr>
                      <w:b w:val="0"/>
                      <w:bCs w:val="0"/>
                      <w:sz w:val="20"/>
                    </w:rPr>
                    <w:t>Self-identification with corporate brand</w:t>
                  </w:r>
                </w:p>
                <w:p w:rsidR="00DC19F1" w:rsidRDefault="00DC19F1">
                  <w:pPr>
                    <w:rPr>
                      <w:sz w:val="20"/>
                    </w:rPr>
                  </w:pPr>
                  <w:r>
                    <w:rPr>
                      <w:i/>
                      <w:iCs/>
                      <w:sz w:val="20"/>
                    </w:rPr>
                    <w:t>values</w:t>
                  </w:r>
                </w:p>
                <w:p w:rsidR="00DC19F1" w:rsidRDefault="00DC19F1"/>
              </w:txbxContent>
            </v:textbox>
          </v:shape>
        </w:pict>
      </w:r>
    </w:p>
    <w:p w:rsidR="00DC19F1" w:rsidRDefault="00DC19F1">
      <w:pPr>
        <w:pStyle w:val="BodyText3"/>
        <w:rPr>
          <w:sz w:val="22"/>
        </w:rPr>
      </w:pPr>
    </w:p>
    <w:p w:rsidR="00DC19F1" w:rsidRDefault="00DC19F1">
      <w:pPr>
        <w:pStyle w:val="BodyText3"/>
        <w:rPr>
          <w:sz w:val="22"/>
        </w:rPr>
      </w:pPr>
    </w:p>
    <w:p w:rsidR="00DC19F1" w:rsidRDefault="00DC19F1">
      <w:pPr>
        <w:pStyle w:val="BodyText3"/>
        <w:rPr>
          <w:sz w:val="22"/>
        </w:rPr>
      </w:pPr>
    </w:p>
    <w:p w:rsidR="00DC19F1" w:rsidRDefault="00DC19F1">
      <w:pPr>
        <w:pStyle w:val="BodyText3"/>
        <w:rPr>
          <w:sz w:val="22"/>
        </w:rPr>
      </w:pPr>
    </w:p>
    <w:p w:rsidR="00DC19F1" w:rsidRDefault="00DC19F1">
      <w:pPr>
        <w:pStyle w:val="BodyText3"/>
        <w:rPr>
          <w:sz w:val="22"/>
        </w:rPr>
      </w:pPr>
    </w:p>
    <w:p w:rsidR="00DC19F1" w:rsidRDefault="00DC19F1">
      <w:pPr>
        <w:pStyle w:val="BodyText3"/>
        <w:rPr>
          <w:sz w:val="22"/>
        </w:rPr>
      </w:pPr>
    </w:p>
    <w:p w:rsidR="00DC19F1" w:rsidRDefault="00DC19F1">
      <w:pPr>
        <w:pStyle w:val="BodyText3"/>
        <w:rPr>
          <w:sz w:val="22"/>
        </w:rPr>
      </w:pPr>
    </w:p>
    <w:p w:rsidR="00DC19F1" w:rsidRDefault="00DC19F1">
      <w:pPr>
        <w:pStyle w:val="BodyText3"/>
        <w:rPr>
          <w:sz w:val="22"/>
        </w:rPr>
      </w:pPr>
    </w:p>
    <w:p w:rsidR="00DC19F1" w:rsidRDefault="00DC19F1">
      <w:pPr>
        <w:pStyle w:val="BodyText3"/>
        <w:rPr>
          <w:sz w:val="22"/>
        </w:rPr>
      </w:pPr>
    </w:p>
    <w:p w:rsidR="00DC19F1" w:rsidRDefault="00DC19F1">
      <w:pPr>
        <w:pStyle w:val="BodyText3"/>
        <w:rPr>
          <w:sz w:val="22"/>
        </w:rPr>
      </w:pPr>
    </w:p>
    <w:p w:rsidR="00DC19F1" w:rsidRDefault="00DC19F1">
      <w:pPr>
        <w:pStyle w:val="BodyText3"/>
        <w:rPr>
          <w:sz w:val="22"/>
        </w:rPr>
      </w:pPr>
    </w:p>
    <w:p w:rsidR="00DC19F1" w:rsidRDefault="00DC19F1">
      <w:pPr>
        <w:pStyle w:val="BodyText3"/>
        <w:rPr>
          <w:sz w:val="22"/>
        </w:rPr>
      </w:pPr>
    </w:p>
    <w:p w:rsidR="00DC19F1" w:rsidRDefault="00DC19F1">
      <w:pPr>
        <w:pStyle w:val="BodyText"/>
        <w:rPr>
          <w:b/>
        </w:rPr>
      </w:pPr>
      <w:r>
        <w:t xml:space="preserve">This second, consumer interviewee phase yielded an </w:t>
      </w:r>
      <w:r>
        <w:rPr>
          <w:i/>
          <w:iCs/>
        </w:rPr>
        <w:t>Economic</w:t>
      </w:r>
      <w:r>
        <w:t xml:space="preserve"> </w:t>
      </w:r>
      <w:r>
        <w:rPr>
          <w:i/>
          <w:iCs/>
        </w:rPr>
        <w:t xml:space="preserve">value </w:t>
      </w:r>
      <w:r>
        <w:t xml:space="preserve">factor separate from the original </w:t>
      </w:r>
      <w:r>
        <w:rPr>
          <w:i/>
          <w:iCs/>
        </w:rPr>
        <w:t>Technical</w:t>
      </w:r>
      <w:r>
        <w:t xml:space="preserve"> factor.  </w:t>
      </w:r>
    </w:p>
    <w:p w:rsidR="00DC19F1" w:rsidRDefault="00DC19F1">
      <w:pPr>
        <w:pStyle w:val="BodyText"/>
        <w:rPr>
          <w:b/>
        </w:rPr>
      </w:pPr>
    </w:p>
    <w:p w:rsidR="00DC19F1" w:rsidRDefault="00DC19F1">
      <w:pPr>
        <w:pStyle w:val="BodyText"/>
      </w:pPr>
      <w:r>
        <w:t xml:space="preserve">Figure 2 also distinguishes bonding, attitude </w:t>
      </w:r>
      <w:r>
        <w:rPr>
          <w:i/>
          <w:iCs/>
        </w:rPr>
        <w:t>objects</w:t>
      </w:r>
      <w:r>
        <w:t xml:space="preserve"> of commitment from binding factors. Objects on the left of Figure 2 might bond us to our main bank </w:t>
      </w:r>
      <w:r>
        <w:rPr>
          <w:i/>
          <w:iCs/>
        </w:rPr>
        <w:t>cognitively</w:t>
      </w:r>
      <w:r>
        <w:t xml:space="preserve"> (through evaluation) and/or </w:t>
      </w:r>
      <w:r>
        <w:rPr>
          <w:i/>
          <w:iCs/>
        </w:rPr>
        <w:t>affectively</w:t>
      </w:r>
      <w:r>
        <w:t xml:space="preserve"> (through how the consumer feels about the attitude object). Binding factors are customer actions that support maintenance of a ‘relationship’. The two binding factors, (customer </w:t>
      </w:r>
      <w:r>
        <w:rPr>
          <w:i/>
          <w:iCs/>
        </w:rPr>
        <w:t>Behaviour</w:t>
      </w:r>
      <w:r>
        <w:t xml:space="preserve"> and </w:t>
      </w:r>
      <w:r>
        <w:rPr>
          <w:i/>
          <w:iCs/>
        </w:rPr>
        <w:t>Hostage</w:t>
      </w:r>
      <w:r>
        <w:t xml:space="preserve"> </w:t>
      </w:r>
      <w:r>
        <w:rPr>
          <w:i/>
          <w:iCs/>
        </w:rPr>
        <w:t>ties</w:t>
      </w:r>
      <w:r>
        <w:t xml:space="preserve">) on the right of Figure 2 involve some customer action or intention and therefore can be viewed as part of the third, or </w:t>
      </w:r>
      <w:r>
        <w:rPr>
          <w:i/>
          <w:iCs/>
        </w:rPr>
        <w:t>conative</w:t>
      </w:r>
      <w:r>
        <w:t>, ‘behaviour-tendency’ component of attitude (Williams, 1981, p. 99) in an attitudinal approach to commitment. The way Figure 2 groups various binding factors together oversimplifies, however. That customers sign up for longer-term facilities such as loans (</w:t>
      </w:r>
      <w:r>
        <w:rPr>
          <w:i/>
          <w:iCs/>
        </w:rPr>
        <w:t>Hostage ties</w:t>
      </w:r>
      <w:r>
        <w:t>), like customers’ repeat patronage (</w:t>
      </w:r>
      <w:r>
        <w:rPr>
          <w:i/>
          <w:iCs/>
        </w:rPr>
        <w:t>Behaviour</w:t>
      </w:r>
      <w:r>
        <w:t xml:space="preserve">), need not indicate a higher degree of positive commitment. Contrastingly, customer actions, like recommendations or concentration of patronage at the main bank, could be viewed as </w:t>
      </w:r>
      <w:r>
        <w:rPr>
          <w:i/>
          <w:iCs/>
        </w:rPr>
        <w:t>manifestations</w:t>
      </w:r>
      <w:r>
        <w:t xml:space="preserve"> of positive commitment or </w:t>
      </w:r>
      <w:r>
        <w:rPr>
          <w:i/>
          <w:iCs/>
        </w:rPr>
        <w:t>discretionary</w:t>
      </w:r>
      <w:r>
        <w:t xml:space="preserve"> behaviour (Bansal et al., 2004; Meyer and Herscovitch, 2001, p. 312) beneficial to the service provider. </w:t>
      </w:r>
    </w:p>
    <w:p w:rsidR="00DC19F1" w:rsidRDefault="00DC19F1">
      <w:pPr>
        <w:pStyle w:val="BodyText"/>
        <w:rPr>
          <w:bCs/>
        </w:rPr>
      </w:pPr>
    </w:p>
    <w:p w:rsidR="00DC19F1" w:rsidRDefault="00DC19F1">
      <w:pPr>
        <w:pStyle w:val="BodyText"/>
        <w:rPr>
          <w:bCs/>
        </w:rPr>
      </w:pPr>
      <w:r>
        <w:t xml:space="preserve">The framework adds knowledge to the only other empirically researched attachment framework in UK consumer banking known to the author (Aldlaigan and Buttle, 2005) by adding the ‘binding factors’ mentioned above.  It thus extends their three-part bank attachment inventory of: (i) organisational credibility, (ii) customer-bank shared values and (iii) interpersonal values, </w:t>
      </w:r>
      <w:r>
        <w:lastRenderedPageBreak/>
        <w:t xml:space="preserve">which model focused only on customers’ </w:t>
      </w:r>
      <w:r>
        <w:rPr>
          <w:u w:val="single"/>
        </w:rPr>
        <w:t>positive</w:t>
      </w:r>
      <w:r>
        <w:t xml:space="preserve"> attachments. A qualitative phase of the Aldlaigan and Buttle (2005) enquiry nonetheless supports the present study’s </w:t>
      </w:r>
      <w:r>
        <w:rPr>
          <w:i/>
          <w:iCs/>
        </w:rPr>
        <w:t>Hostage ties</w:t>
      </w:r>
      <w:r>
        <w:t xml:space="preserve">, with some customers feeling ‘powerless’ with </w:t>
      </w:r>
      <w:r>
        <w:rPr>
          <w:i/>
          <w:iCs/>
        </w:rPr>
        <w:t>‘no control, especially when committed to a long-term loan or mortgage’</w:t>
      </w:r>
      <w:r>
        <w:t xml:space="preserve"> (ibid). But these findings were not integrated into their final model. T</w:t>
      </w:r>
      <w:r>
        <w:rPr>
          <w:bCs/>
        </w:rPr>
        <w:t xml:space="preserve">able 3 briefly summarises each bonding and binding factor. </w:t>
      </w:r>
    </w:p>
    <w:p w:rsidR="00DC19F1" w:rsidRDefault="00DC19F1">
      <w:pPr>
        <w:pStyle w:val="BodyText"/>
        <w:rPr>
          <w:bCs/>
        </w:rPr>
      </w:pPr>
    </w:p>
    <w:p w:rsidR="00DC19F1" w:rsidRDefault="00DC19F1">
      <w:pPr>
        <w:pStyle w:val="Caption"/>
        <w:rPr>
          <w:b w:val="0"/>
        </w:rPr>
      </w:pPr>
      <w:bookmarkStart w:id="21" w:name="_Toc113105180"/>
      <w:r>
        <w:t xml:space="preserve">Table </w:t>
      </w:r>
      <w:fldSimple w:instr=" SEQ Table \* ARABIC ">
        <w:r w:rsidR="00FA61D1">
          <w:rPr>
            <w:noProof/>
          </w:rPr>
          <w:t>3</w:t>
        </w:r>
      </w:fldSimple>
      <w:r>
        <w:rPr>
          <w:b w:val="0"/>
        </w:rPr>
        <w:t xml:space="preserve">: </w:t>
      </w:r>
      <w:r>
        <w:rPr>
          <w:bCs w:val="0"/>
        </w:rPr>
        <w:t>Attachments Framework for Commitment in Consumer Banking Services</w:t>
      </w:r>
      <w:bookmarkEnd w:id="21"/>
      <w:r>
        <w:rPr>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7"/>
        <w:gridCol w:w="6935"/>
      </w:tblGrid>
      <w:tr w:rsidR="00DC19F1">
        <w:tblPrEx>
          <w:tblCellMar>
            <w:top w:w="0" w:type="dxa"/>
            <w:bottom w:w="0" w:type="dxa"/>
          </w:tblCellMar>
        </w:tblPrEx>
        <w:tc>
          <w:tcPr>
            <w:tcW w:w="1791" w:type="dxa"/>
          </w:tcPr>
          <w:p w:rsidR="00DC19F1" w:rsidRDefault="00DC19F1">
            <w:pPr>
              <w:pStyle w:val="BodyText"/>
              <w:spacing w:line="240" w:lineRule="auto"/>
              <w:rPr>
                <w:b/>
                <w:sz w:val="20"/>
              </w:rPr>
            </w:pPr>
            <w:r>
              <w:rPr>
                <w:b/>
                <w:sz w:val="20"/>
              </w:rPr>
              <w:t>Bonding Objects</w:t>
            </w:r>
          </w:p>
        </w:tc>
        <w:tc>
          <w:tcPr>
            <w:tcW w:w="7065" w:type="dxa"/>
          </w:tcPr>
          <w:p w:rsidR="00DC19F1" w:rsidRDefault="00DC19F1">
            <w:pPr>
              <w:pStyle w:val="BodyText"/>
              <w:spacing w:line="240" w:lineRule="auto"/>
              <w:rPr>
                <w:bCs/>
                <w:sz w:val="20"/>
              </w:rPr>
            </w:pPr>
          </w:p>
        </w:tc>
      </w:tr>
      <w:tr w:rsidR="00DC19F1">
        <w:tblPrEx>
          <w:tblCellMar>
            <w:top w:w="0" w:type="dxa"/>
            <w:bottom w:w="0" w:type="dxa"/>
          </w:tblCellMar>
        </w:tblPrEx>
        <w:tc>
          <w:tcPr>
            <w:tcW w:w="1791" w:type="dxa"/>
          </w:tcPr>
          <w:p w:rsidR="00DC19F1" w:rsidRDefault="00DC19F1">
            <w:pPr>
              <w:pStyle w:val="BodyText"/>
              <w:spacing w:line="240" w:lineRule="auto"/>
              <w:rPr>
                <w:bCs/>
                <w:i/>
                <w:iCs/>
                <w:sz w:val="20"/>
              </w:rPr>
            </w:pPr>
            <w:r>
              <w:rPr>
                <w:bCs/>
                <w:i/>
                <w:iCs/>
                <w:sz w:val="20"/>
              </w:rPr>
              <w:t>Technical</w:t>
            </w:r>
          </w:p>
        </w:tc>
        <w:tc>
          <w:tcPr>
            <w:tcW w:w="7065" w:type="dxa"/>
          </w:tcPr>
          <w:p w:rsidR="00DC19F1" w:rsidRDefault="00DC19F1">
            <w:pPr>
              <w:pStyle w:val="BodyText"/>
              <w:spacing w:line="240" w:lineRule="auto"/>
              <w:rPr>
                <w:bCs/>
                <w:sz w:val="20"/>
              </w:rPr>
            </w:pPr>
            <w:r>
              <w:rPr>
                <w:bCs/>
                <w:sz w:val="20"/>
              </w:rPr>
              <w:t xml:space="preserve">Quality and Trust in the core processes and outcomes of service. </w:t>
            </w:r>
          </w:p>
        </w:tc>
      </w:tr>
      <w:tr w:rsidR="00DC19F1">
        <w:tblPrEx>
          <w:tblCellMar>
            <w:top w:w="0" w:type="dxa"/>
            <w:bottom w:w="0" w:type="dxa"/>
          </w:tblCellMar>
        </w:tblPrEx>
        <w:tc>
          <w:tcPr>
            <w:tcW w:w="1791" w:type="dxa"/>
          </w:tcPr>
          <w:p w:rsidR="00DC19F1" w:rsidRDefault="00DC19F1">
            <w:pPr>
              <w:pStyle w:val="BodyText"/>
              <w:spacing w:line="240" w:lineRule="auto"/>
              <w:rPr>
                <w:bCs/>
                <w:i/>
                <w:iCs/>
                <w:sz w:val="20"/>
              </w:rPr>
            </w:pPr>
            <w:r>
              <w:rPr>
                <w:bCs/>
                <w:i/>
                <w:iCs/>
                <w:sz w:val="20"/>
              </w:rPr>
              <w:t>Economic Value</w:t>
            </w:r>
          </w:p>
        </w:tc>
        <w:tc>
          <w:tcPr>
            <w:tcW w:w="7065" w:type="dxa"/>
          </w:tcPr>
          <w:p w:rsidR="00DC19F1" w:rsidRDefault="00DC19F1">
            <w:pPr>
              <w:pStyle w:val="BodyText"/>
              <w:spacing w:line="240" w:lineRule="auto"/>
              <w:rPr>
                <w:bCs/>
                <w:i/>
                <w:iCs/>
                <w:sz w:val="20"/>
              </w:rPr>
            </w:pPr>
            <w:r>
              <w:rPr>
                <w:sz w:val="20"/>
              </w:rPr>
              <w:t xml:space="preserve">Intrinsic economic attributes such as low fees and rates of return. </w:t>
            </w:r>
          </w:p>
        </w:tc>
      </w:tr>
      <w:tr w:rsidR="00DC19F1">
        <w:tblPrEx>
          <w:tblCellMar>
            <w:top w:w="0" w:type="dxa"/>
            <w:bottom w:w="0" w:type="dxa"/>
          </w:tblCellMar>
        </w:tblPrEx>
        <w:tc>
          <w:tcPr>
            <w:tcW w:w="1791" w:type="dxa"/>
          </w:tcPr>
          <w:p w:rsidR="00DC19F1" w:rsidRDefault="00DC19F1">
            <w:pPr>
              <w:pStyle w:val="BodyText"/>
              <w:spacing w:line="240" w:lineRule="auto"/>
              <w:rPr>
                <w:bCs/>
                <w:i/>
                <w:iCs/>
                <w:sz w:val="20"/>
              </w:rPr>
            </w:pPr>
            <w:r>
              <w:rPr>
                <w:bCs/>
                <w:i/>
                <w:iCs/>
                <w:sz w:val="20"/>
              </w:rPr>
              <w:t>Social</w:t>
            </w:r>
          </w:p>
        </w:tc>
        <w:tc>
          <w:tcPr>
            <w:tcW w:w="7065" w:type="dxa"/>
          </w:tcPr>
          <w:p w:rsidR="00DC19F1" w:rsidRDefault="00DC19F1">
            <w:pPr>
              <w:pStyle w:val="BodyText"/>
              <w:spacing w:line="240" w:lineRule="auto"/>
              <w:rPr>
                <w:bCs/>
                <w:i/>
                <w:iCs/>
                <w:sz w:val="20"/>
              </w:rPr>
            </w:pPr>
            <w:r>
              <w:rPr>
                <w:sz w:val="20"/>
              </w:rPr>
              <w:t xml:space="preserve">How closely a bank’s personnel and systems respond to customers’ three types of preferences from </w:t>
            </w:r>
            <w:r>
              <w:rPr>
                <w:i/>
                <w:iCs/>
                <w:sz w:val="20"/>
              </w:rPr>
              <w:t>‘Almost a Friend’ intimacy</w:t>
            </w:r>
            <w:r>
              <w:rPr>
                <w:sz w:val="20"/>
              </w:rPr>
              <w:t xml:space="preserve">, through </w:t>
            </w:r>
            <w:r>
              <w:rPr>
                <w:i/>
                <w:iCs/>
                <w:sz w:val="20"/>
              </w:rPr>
              <w:t>‘Friendly’</w:t>
            </w:r>
            <w:r>
              <w:rPr>
                <w:sz w:val="20"/>
              </w:rPr>
              <w:t xml:space="preserve"> to </w:t>
            </w:r>
            <w:r>
              <w:rPr>
                <w:i/>
                <w:iCs/>
                <w:sz w:val="20"/>
              </w:rPr>
              <w:t>‘</w:t>
            </w:r>
            <w:r>
              <w:rPr>
                <w:i/>
                <w:iCs/>
                <w:sz w:val="20"/>
                <w:u w:val="single"/>
              </w:rPr>
              <w:t>Arm’s Length</w:t>
            </w:r>
            <w:r>
              <w:rPr>
                <w:i/>
                <w:iCs/>
                <w:sz w:val="20"/>
              </w:rPr>
              <w:t>’</w:t>
            </w:r>
            <w:r>
              <w:rPr>
                <w:sz w:val="20"/>
              </w:rPr>
              <w:t xml:space="preserve">. </w:t>
            </w:r>
          </w:p>
        </w:tc>
      </w:tr>
      <w:tr w:rsidR="00DC19F1">
        <w:tblPrEx>
          <w:tblCellMar>
            <w:top w:w="0" w:type="dxa"/>
            <w:bottom w:w="0" w:type="dxa"/>
          </w:tblCellMar>
        </w:tblPrEx>
        <w:tc>
          <w:tcPr>
            <w:tcW w:w="1791" w:type="dxa"/>
          </w:tcPr>
          <w:p w:rsidR="00DC19F1" w:rsidRDefault="00DC19F1">
            <w:pPr>
              <w:pStyle w:val="BodyText"/>
              <w:spacing w:line="240" w:lineRule="auto"/>
              <w:rPr>
                <w:bCs/>
                <w:i/>
                <w:iCs/>
                <w:sz w:val="20"/>
              </w:rPr>
            </w:pPr>
            <w:r>
              <w:rPr>
                <w:bCs/>
                <w:i/>
                <w:iCs/>
                <w:sz w:val="20"/>
              </w:rPr>
              <w:t>Experiential</w:t>
            </w:r>
          </w:p>
        </w:tc>
        <w:tc>
          <w:tcPr>
            <w:tcW w:w="7065" w:type="dxa"/>
          </w:tcPr>
          <w:p w:rsidR="00DC19F1" w:rsidRDefault="00DC19F1">
            <w:pPr>
              <w:pStyle w:val="BodyText"/>
              <w:spacing w:line="240" w:lineRule="auto"/>
              <w:rPr>
                <w:bCs/>
                <w:i/>
                <w:iCs/>
                <w:sz w:val="20"/>
              </w:rPr>
            </w:pPr>
            <w:r>
              <w:rPr>
                <w:sz w:val="20"/>
              </w:rPr>
              <w:t>Trust and/or satisfaction based on how enjoyably individual customers experience service encounters, physical evidence, communications and relationship ‘</w:t>
            </w:r>
            <w:r>
              <w:rPr>
                <w:sz w:val="20"/>
                <w:u w:val="single"/>
              </w:rPr>
              <w:t>Progression’ over time</w:t>
            </w:r>
            <w:r>
              <w:rPr>
                <w:sz w:val="20"/>
              </w:rPr>
              <w:t xml:space="preserve">. </w:t>
            </w:r>
          </w:p>
        </w:tc>
      </w:tr>
      <w:tr w:rsidR="00DC19F1">
        <w:tblPrEx>
          <w:tblCellMar>
            <w:top w:w="0" w:type="dxa"/>
            <w:bottom w:w="0" w:type="dxa"/>
          </w:tblCellMar>
        </w:tblPrEx>
        <w:tc>
          <w:tcPr>
            <w:tcW w:w="1791" w:type="dxa"/>
          </w:tcPr>
          <w:p w:rsidR="00DC19F1" w:rsidRDefault="00DC19F1">
            <w:pPr>
              <w:pStyle w:val="BodyText"/>
              <w:spacing w:line="240" w:lineRule="auto"/>
              <w:rPr>
                <w:bCs/>
                <w:i/>
                <w:iCs/>
                <w:sz w:val="20"/>
              </w:rPr>
            </w:pPr>
            <w:r>
              <w:rPr>
                <w:bCs/>
                <w:i/>
                <w:iCs/>
                <w:sz w:val="20"/>
              </w:rPr>
              <w:t>Self-Identification with Corporate</w:t>
            </w:r>
          </w:p>
          <w:p w:rsidR="00DC19F1" w:rsidRDefault="00DC19F1">
            <w:pPr>
              <w:pStyle w:val="BodyText"/>
              <w:spacing w:line="240" w:lineRule="auto"/>
              <w:rPr>
                <w:bCs/>
                <w:i/>
                <w:iCs/>
                <w:sz w:val="20"/>
              </w:rPr>
            </w:pPr>
            <w:r>
              <w:rPr>
                <w:bCs/>
                <w:i/>
                <w:iCs/>
                <w:sz w:val="20"/>
              </w:rPr>
              <w:t>Brand Values</w:t>
            </w:r>
          </w:p>
        </w:tc>
        <w:tc>
          <w:tcPr>
            <w:tcW w:w="7065" w:type="dxa"/>
          </w:tcPr>
          <w:p w:rsidR="00DC19F1" w:rsidRDefault="00DC19F1">
            <w:pPr>
              <w:pStyle w:val="BodyText"/>
              <w:spacing w:line="240" w:lineRule="auto"/>
              <w:rPr>
                <w:bCs/>
                <w:i/>
                <w:iCs/>
                <w:sz w:val="20"/>
              </w:rPr>
            </w:pPr>
            <w:r>
              <w:rPr>
                <w:sz w:val="20"/>
              </w:rPr>
              <w:t>Customer self-identification with the bank’s corporate, core brand values</w:t>
            </w:r>
            <w:r>
              <w:rPr>
                <w:i/>
                <w:iCs/>
                <w:sz w:val="20"/>
              </w:rPr>
              <w:t xml:space="preserve"> </w:t>
            </w:r>
            <w:r>
              <w:rPr>
                <w:sz w:val="20"/>
              </w:rPr>
              <w:t>and policies</w:t>
            </w:r>
            <w:r>
              <w:rPr>
                <w:i/>
                <w:iCs/>
                <w:sz w:val="20"/>
              </w:rPr>
              <w:t xml:space="preserve"> </w:t>
            </w:r>
            <w:r>
              <w:rPr>
                <w:sz w:val="20"/>
              </w:rPr>
              <w:t>felt to be important to customer (e.g. ethical or conservation/sustainability investments).</w:t>
            </w:r>
          </w:p>
        </w:tc>
      </w:tr>
      <w:tr w:rsidR="00DC19F1">
        <w:tblPrEx>
          <w:tblCellMar>
            <w:top w:w="0" w:type="dxa"/>
            <w:bottom w:w="0" w:type="dxa"/>
          </w:tblCellMar>
        </w:tblPrEx>
        <w:tc>
          <w:tcPr>
            <w:tcW w:w="1791" w:type="dxa"/>
          </w:tcPr>
          <w:p w:rsidR="00DC19F1" w:rsidRDefault="00DC19F1">
            <w:pPr>
              <w:pStyle w:val="BodyText"/>
              <w:spacing w:line="240" w:lineRule="auto"/>
              <w:rPr>
                <w:b/>
                <w:sz w:val="20"/>
              </w:rPr>
            </w:pPr>
            <w:r>
              <w:rPr>
                <w:b/>
                <w:sz w:val="20"/>
              </w:rPr>
              <w:t>Binding Factors</w:t>
            </w:r>
          </w:p>
        </w:tc>
        <w:tc>
          <w:tcPr>
            <w:tcW w:w="7065" w:type="dxa"/>
          </w:tcPr>
          <w:p w:rsidR="00DC19F1" w:rsidRDefault="00DC19F1">
            <w:pPr>
              <w:pStyle w:val="BodyText"/>
              <w:spacing w:line="240" w:lineRule="auto"/>
              <w:rPr>
                <w:bCs/>
                <w:i/>
                <w:iCs/>
                <w:sz w:val="20"/>
              </w:rPr>
            </w:pPr>
          </w:p>
        </w:tc>
      </w:tr>
      <w:tr w:rsidR="00DC19F1">
        <w:tblPrEx>
          <w:tblCellMar>
            <w:top w:w="0" w:type="dxa"/>
            <w:bottom w:w="0" w:type="dxa"/>
          </w:tblCellMar>
        </w:tblPrEx>
        <w:tc>
          <w:tcPr>
            <w:tcW w:w="1791" w:type="dxa"/>
          </w:tcPr>
          <w:p w:rsidR="00DC19F1" w:rsidRDefault="00DC19F1">
            <w:pPr>
              <w:pStyle w:val="BodyText"/>
              <w:spacing w:line="240" w:lineRule="auto"/>
              <w:rPr>
                <w:bCs/>
                <w:i/>
                <w:iCs/>
                <w:sz w:val="20"/>
              </w:rPr>
            </w:pPr>
            <w:r>
              <w:rPr>
                <w:bCs/>
                <w:i/>
                <w:iCs/>
                <w:sz w:val="20"/>
              </w:rPr>
              <w:t>Behaviour</w:t>
            </w:r>
          </w:p>
        </w:tc>
        <w:tc>
          <w:tcPr>
            <w:tcW w:w="7065" w:type="dxa"/>
          </w:tcPr>
          <w:p w:rsidR="00DC19F1" w:rsidRDefault="00DC19F1">
            <w:pPr>
              <w:pStyle w:val="BodyText"/>
              <w:spacing w:line="240" w:lineRule="auto"/>
              <w:rPr>
                <w:bCs/>
                <w:i/>
                <w:iCs/>
                <w:sz w:val="20"/>
              </w:rPr>
            </w:pPr>
            <w:r>
              <w:rPr>
                <w:bCs/>
                <w:sz w:val="20"/>
              </w:rPr>
              <w:t>Repeat patronage and further discretionary acts -</w:t>
            </w:r>
            <w:r>
              <w:rPr>
                <w:bCs/>
                <w:i/>
                <w:iCs/>
                <w:sz w:val="20"/>
              </w:rPr>
              <w:t>frequently</w:t>
            </w:r>
            <w:r>
              <w:rPr>
                <w:bCs/>
                <w:sz w:val="20"/>
              </w:rPr>
              <w:t xml:space="preserve"> recommending the bank to others and willingness to concentrate more patronage at the same bank. </w:t>
            </w:r>
          </w:p>
        </w:tc>
      </w:tr>
      <w:tr w:rsidR="00DC19F1">
        <w:tblPrEx>
          <w:tblCellMar>
            <w:top w:w="0" w:type="dxa"/>
            <w:bottom w:w="0" w:type="dxa"/>
          </w:tblCellMar>
        </w:tblPrEx>
        <w:tc>
          <w:tcPr>
            <w:tcW w:w="1791" w:type="dxa"/>
          </w:tcPr>
          <w:p w:rsidR="00DC19F1" w:rsidRDefault="00DC19F1">
            <w:pPr>
              <w:pStyle w:val="BodyText"/>
              <w:spacing w:line="240" w:lineRule="auto"/>
              <w:rPr>
                <w:bCs/>
                <w:i/>
                <w:iCs/>
                <w:sz w:val="20"/>
              </w:rPr>
            </w:pPr>
            <w:r>
              <w:rPr>
                <w:bCs/>
                <w:i/>
                <w:iCs/>
                <w:sz w:val="20"/>
              </w:rPr>
              <w:t>Hostage Ties</w:t>
            </w:r>
          </w:p>
        </w:tc>
        <w:tc>
          <w:tcPr>
            <w:tcW w:w="7065" w:type="dxa"/>
          </w:tcPr>
          <w:p w:rsidR="00DC19F1" w:rsidRDefault="00DC19F1">
            <w:pPr>
              <w:pStyle w:val="BodyText"/>
              <w:spacing w:line="240" w:lineRule="auto"/>
              <w:rPr>
                <w:bCs/>
                <w:sz w:val="20"/>
              </w:rPr>
            </w:pPr>
            <w:r>
              <w:rPr>
                <w:bCs/>
                <w:i/>
                <w:iCs/>
                <w:sz w:val="20"/>
                <w:u w:val="single"/>
              </w:rPr>
              <w:t>Perceived</w:t>
            </w:r>
            <w:r>
              <w:rPr>
                <w:bCs/>
                <w:i/>
                <w:iCs/>
                <w:sz w:val="20"/>
              </w:rPr>
              <w:t xml:space="preserve"> </w:t>
            </w:r>
            <w:r>
              <w:rPr>
                <w:bCs/>
                <w:sz w:val="20"/>
              </w:rPr>
              <w:t xml:space="preserve">contractual or economic ties. </w:t>
            </w:r>
          </w:p>
        </w:tc>
      </w:tr>
    </w:tbl>
    <w:p w:rsidR="00DC19F1" w:rsidRDefault="00DC19F1">
      <w:pPr>
        <w:pStyle w:val="BodyText"/>
        <w:rPr>
          <w:b/>
          <w:bCs/>
        </w:rPr>
      </w:pPr>
    </w:p>
    <w:p w:rsidR="00DC19F1" w:rsidRDefault="00DC19F1">
      <w:pPr>
        <w:pStyle w:val="BodyText"/>
      </w:pPr>
      <w:r>
        <w:t xml:space="preserve">Some attachment models in the past have proposed that customers should be most attached when larger numbers of bonds are accumulated (e.g. </w:t>
      </w:r>
      <w:smartTag w:uri="urn:schemas-microsoft-com:office:smarttags" w:element="place">
        <w:smartTag w:uri="urn:schemas-microsoft-com:office:smarttags" w:element="State">
          <w:r>
            <w:t>Berry</w:t>
          </w:r>
        </w:smartTag>
      </w:smartTag>
      <w:r>
        <w:t xml:space="preserve"> and Parasuraman, 1991; Aldlaigan and Buttle, 1998).  Contrastingly, there is evidence in the present study that intensity of overall positive regard toward the bank can be based on a </w:t>
      </w:r>
      <w:r>
        <w:rPr>
          <w:i/>
          <w:iCs/>
        </w:rPr>
        <w:t>small</w:t>
      </w:r>
      <w:r>
        <w:t xml:space="preserve"> number of sources of attachment which may sometimes be associated with a high degree of commitment, (expressed as resistance to the notion of changing bank). This study thus throws some doubt on the ‘cumulative’ nature of some prior attachment models with implications for the construction of measurement scales.  </w:t>
      </w:r>
    </w:p>
    <w:p w:rsidR="00DC19F1" w:rsidRDefault="00DC19F1">
      <w:pPr>
        <w:pStyle w:val="BodyText"/>
      </w:pPr>
    </w:p>
    <w:p w:rsidR="00DC19F1" w:rsidRDefault="00DC19F1">
      <w:pPr>
        <w:pStyle w:val="BodyText"/>
        <w:rPr>
          <w:b/>
          <w:bCs/>
        </w:rPr>
      </w:pPr>
      <w:r>
        <w:rPr>
          <w:b/>
          <w:bCs/>
        </w:rPr>
        <w:t>Describing the dimensions of Customer-Bank Attachments</w:t>
      </w:r>
    </w:p>
    <w:p w:rsidR="00DC19F1" w:rsidRDefault="00DC19F1">
      <w:pPr>
        <w:pStyle w:val="BodyText"/>
        <w:rPr>
          <w:b/>
          <w:bCs/>
        </w:rPr>
      </w:pPr>
      <w:r>
        <w:rPr>
          <w:bCs/>
        </w:rPr>
        <w:t xml:space="preserve">Dimensions of each bonding and binding factor are now described more fully, emphasising aspects adding to previous knowledge.  </w:t>
      </w:r>
      <w:r>
        <w:t xml:space="preserve">The present study extends the Aldlaigan and Buttle (2005) positive bank attachment inventory not only by adding two binding factors but also by separating </w:t>
      </w:r>
      <w:r>
        <w:rPr>
          <w:i/>
          <w:iCs/>
        </w:rPr>
        <w:t xml:space="preserve">Technical </w:t>
      </w:r>
      <w:r>
        <w:t xml:space="preserve">from </w:t>
      </w:r>
      <w:r>
        <w:rPr>
          <w:i/>
          <w:iCs/>
        </w:rPr>
        <w:t>Economic</w:t>
      </w:r>
      <w:r>
        <w:t xml:space="preserve"> </w:t>
      </w:r>
      <w:r>
        <w:rPr>
          <w:i/>
          <w:iCs/>
        </w:rPr>
        <w:t>value</w:t>
      </w:r>
      <w:r>
        <w:t xml:space="preserve"> and by distinguishing the </w:t>
      </w:r>
      <w:r>
        <w:rPr>
          <w:i/>
          <w:iCs/>
        </w:rPr>
        <w:t>Experiential</w:t>
      </w:r>
      <w:r>
        <w:t xml:space="preserve"> (</w:t>
      </w:r>
      <w:r>
        <w:rPr>
          <w:u w:val="single"/>
        </w:rPr>
        <w:t>temporal</w:t>
      </w:r>
      <w:r>
        <w:t xml:space="preserve"> or ‘relational’ and tangible dimensions) from the </w:t>
      </w:r>
      <w:r>
        <w:rPr>
          <w:i/>
          <w:iCs/>
        </w:rPr>
        <w:t xml:space="preserve">Social </w:t>
      </w:r>
      <w:r>
        <w:t>(interpersonal)</w:t>
      </w:r>
      <w:r>
        <w:rPr>
          <w:i/>
          <w:iCs/>
        </w:rPr>
        <w:t xml:space="preserve"> </w:t>
      </w:r>
      <w:r>
        <w:t>dimensions.</w:t>
      </w:r>
    </w:p>
    <w:p w:rsidR="00DC19F1" w:rsidRDefault="00DC19F1">
      <w:pPr>
        <w:pStyle w:val="BodyText"/>
      </w:pPr>
    </w:p>
    <w:p w:rsidR="00DC19F1" w:rsidRDefault="00DC19F1">
      <w:pPr>
        <w:pStyle w:val="BodyText"/>
        <w:rPr>
          <w:bCs/>
        </w:rPr>
      </w:pPr>
      <w:r>
        <w:rPr>
          <w:i/>
          <w:iCs/>
        </w:rPr>
        <w:t>Technical</w:t>
      </w:r>
      <w:r>
        <w:t xml:space="preserve"> – This covers r</w:t>
      </w:r>
      <w:r>
        <w:rPr>
          <w:bCs/>
        </w:rPr>
        <w:t xml:space="preserve">ange and flexibility of policies, services and processes available. Trust or confidence can be gained through security, privacy, reliability, accuracy, size, credibility, heritage and judged expertise. The utility of information received and how it is presented are other technical dimensions found. Access, hours and location, are important. The present study identified that some customers for whom </w:t>
      </w:r>
      <w:r>
        <w:rPr>
          <w:bCs/>
          <w:i/>
          <w:iCs/>
          <w:u w:val="single"/>
        </w:rPr>
        <w:t>self-sufficienc</w:t>
      </w:r>
      <w:r>
        <w:rPr>
          <w:bCs/>
          <w:i/>
          <w:iCs/>
        </w:rPr>
        <w:t>y</w:t>
      </w:r>
      <w:r>
        <w:rPr>
          <w:bCs/>
        </w:rPr>
        <w:t xml:space="preserve"> is a key factor are primarily concerned with their bank’s efficiency and professionalism in ‘</w:t>
      </w:r>
      <w:r>
        <w:rPr>
          <w:bCs/>
          <w:i/>
          <w:iCs/>
        </w:rPr>
        <w:t>getting the details right’</w:t>
      </w:r>
      <w:r>
        <w:rPr>
          <w:bCs/>
        </w:rPr>
        <w:t xml:space="preserve">. They may value speedy systems or availability of the latest technological systems, neatness, efficiency of the </w:t>
      </w:r>
      <w:r>
        <w:rPr>
          <w:bCs/>
        </w:rPr>
        <w:lastRenderedPageBreak/>
        <w:t xml:space="preserve">process and the flexibility from the bank to deal with it remotely. </w:t>
      </w:r>
      <w:r>
        <w:t>They remain emotionally ‘</w:t>
      </w:r>
      <w:r>
        <w:rPr>
          <w:i/>
          <w:iCs/>
        </w:rPr>
        <w:t>clinical’</w:t>
      </w:r>
      <w:r>
        <w:t xml:space="preserve"> towards their bank and their commitment may therefore be less stable when contingent on performance. </w:t>
      </w:r>
      <w:r>
        <w:rPr>
          <w:bCs/>
        </w:rPr>
        <w:t xml:space="preserve"> </w:t>
      </w:r>
    </w:p>
    <w:p w:rsidR="00DC19F1" w:rsidRDefault="00DC19F1">
      <w:pPr>
        <w:pStyle w:val="BodyText"/>
      </w:pPr>
    </w:p>
    <w:p w:rsidR="00DC19F1" w:rsidRDefault="00DC19F1">
      <w:pPr>
        <w:pStyle w:val="BodyText"/>
      </w:pPr>
      <w:r>
        <w:rPr>
          <w:i/>
          <w:iCs/>
        </w:rPr>
        <w:t>Economic Value</w:t>
      </w:r>
      <w:r>
        <w:t xml:space="preserve"> – This includes whether the offering, (e.g. flexible mortgage repayment facilities, or </w:t>
      </w:r>
      <w:r>
        <w:rPr>
          <w:i/>
          <w:iCs/>
        </w:rPr>
        <w:t>‘free services’</w:t>
      </w:r>
      <w:r>
        <w:t xml:space="preserve">, or structural rewards, such as Air Miles or student incentive), is perceived as </w:t>
      </w:r>
      <w:r>
        <w:rPr>
          <w:i/>
          <w:iCs/>
        </w:rPr>
        <w:t>‘a good deal’</w:t>
      </w:r>
      <w:r>
        <w:t xml:space="preserve">, </w:t>
      </w:r>
      <w:r>
        <w:rPr>
          <w:i/>
          <w:iCs/>
        </w:rPr>
        <w:t>‘good value’</w:t>
      </w:r>
      <w:r>
        <w:t xml:space="preserve"> or </w:t>
      </w:r>
      <w:r>
        <w:rPr>
          <w:i/>
          <w:iCs/>
        </w:rPr>
        <w:t xml:space="preserve">‘honest advice’. </w:t>
      </w:r>
      <w:r>
        <w:t>Borrowers consider how enabling their bank is,</w:t>
      </w:r>
      <w:r>
        <w:rPr>
          <w:i/>
          <w:iCs/>
        </w:rPr>
        <w:t xml:space="preserve"> </w:t>
      </w:r>
      <w:r>
        <w:t>if seeking credit, overdraft or loan facilities, resulting in some customers having a strong, positive regard for their bank when they feel policies, terms and conditions have been clearly, honestly and mutually agreed.</w:t>
      </w:r>
    </w:p>
    <w:p w:rsidR="00DC19F1" w:rsidRDefault="00DC19F1">
      <w:pPr>
        <w:pStyle w:val="BodyText"/>
      </w:pPr>
    </w:p>
    <w:p w:rsidR="00DC19F1" w:rsidRDefault="00DC19F1">
      <w:pPr>
        <w:pStyle w:val="BodyText"/>
      </w:pPr>
      <w:r>
        <w:rPr>
          <w:i/>
          <w:iCs/>
        </w:rPr>
        <w:t xml:space="preserve">Social – </w:t>
      </w:r>
      <w:r>
        <w:t xml:space="preserve">Before this study, a ‘social bond’ had been treated as a strong attachment to bank branch, personnel or advisers (Liljander and Strandvik, 1995; Aldlaigan and Buttle, 1998 and 2005). The present study identifies that some customers’ prefer to remain at </w:t>
      </w:r>
      <w:r>
        <w:rPr>
          <w:i/>
          <w:iCs/>
        </w:rPr>
        <w:t>‘Arm’s length’</w:t>
      </w:r>
      <w:r>
        <w:t xml:space="preserve">, without name recognition (because of unease about privacy or security and a mistrust of a selling motive from ‘overly friendly’ staff). This study thus adds </w:t>
      </w:r>
      <w:r>
        <w:rPr>
          <w:i/>
          <w:iCs/>
        </w:rPr>
        <w:t>‘</w:t>
      </w:r>
      <w:r>
        <w:rPr>
          <w:i/>
          <w:iCs/>
          <w:u w:val="single"/>
        </w:rPr>
        <w:t>Arm’s Length</w:t>
      </w:r>
      <w:r>
        <w:rPr>
          <w:i/>
          <w:iCs/>
        </w:rPr>
        <w:t>’</w:t>
      </w:r>
      <w:r>
        <w:t xml:space="preserve"> to the </w:t>
      </w:r>
      <w:r>
        <w:rPr>
          <w:i/>
          <w:iCs/>
        </w:rPr>
        <w:t>‘Fraternisation’</w:t>
      </w:r>
      <w:r>
        <w:t xml:space="preserve"> and </w:t>
      </w:r>
      <w:r>
        <w:rPr>
          <w:i/>
          <w:iCs/>
        </w:rPr>
        <w:t>‘Friendship’</w:t>
      </w:r>
      <w:r>
        <w:t xml:space="preserve"> dimensions identified by </w:t>
      </w:r>
      <w:r>
        <w:rPr>
          <w:lang w:val="en-US"/>
        </w:rPr>
        <w:t xml:space="preserve">Gwinner et al. (1998). Other customers prefer a </w:t>
      </w:r>
      <w:r>
        <w:rPr>
          <w:i/>
          <w:iCs/>
          <w:u w:val="single"/>
          <w:lang w:val="en-US"/>
        </w:rPr>
        <w:t>dependent</w:t>
      </w:r>
      <w:r>
        <w:rPr>
          <w:u w:val="single"/>
          <w:lang w:val="en-US"/>
        </w:rPr>
        <w:t xml:space="preserve"> </w:t>
      </w:r>
      <w:r>
        <w:rPr>
          <w:lang w:val="en-US"/>
        </w:rPr>
        <w:t xml:space="preserve">relationship with their bank; </w:t>
      </w:r>
      <w:r>
        <w:rPr>
          <w:bCs/>
        </w:rPr>
        <w:t>engage little with personal finance information, rely on their bank to keep their money safe and are happy to receive advice and guidance. They may want a more personalised, accountable service compared to those</w:t>
      </w:r>
      <w:r>
        <w:t xml:space="preserve"> wanting</w:t>
      </w:r>
      <w:r>
        <w:rPr>
          <w:bCs/>
        </w:rPr>
        <w:t xml:space="preserve"> </w:t>
      </w:r>
      <w:r>
        <w:rPr>
          <w:bCs/>
          <w:i/>
          <w:iCs/>
          <w:u w:val="single"/>
        </w:rPr>
        <w:t>self-sufficiency</w:t>
      </w:r>
      <w:r>
        <w:rPr>
          <w:bCs/>
        </w:rPr>
        <w:t xml:space="preserve"> or </w:t>
      </w:r>
      <w:r>
        <w:rPr>
          <w:bCs/>
          <w:i/>
          <w:iCs/>
          <w:u w:val="single"/>
        </w:rPr>
        <w:t>interdependence</w:t>
      </w:r>
      <w:r>
        <w:rPr>
          <w:bCs/>
        </w:rPr>
        <w:t>.</w:t>
      </w:r>
      <w:r>
        <w:t xml:space="preserve"> Multi-dimensional customer-bank ‘relationship’ preferences may </w:t>
      </w:r>
      <w:r>
        <w:rPr>
          <w:bCs/>
        </w:rPr>
        <w:t xml:space="preserve">influence customer satisfaction and hence </w:t>
      </w:r>
      <w:r>
        <w:t xml:space="preserve">customers’ levels of affective commitment indirectly.  These contributions build on previous research (Barnes, 1997), contending that the social ‘bond’, rather than being simply about getting closer to customers, concerns how well banks meet customers’ varied social </w:t>
      </w:r>
      <w:r>
        <w:rPr>
          <w:i/>
          <w:iCs/>
        </w:rPr>
        <w:t>closeness</w:t>
      </w:r>
      <w:r>
        <w:t xml:space="preserve"> or </w:t>
      </w:r>
      <w:r>
        <w:rPr>
          <w:i/>
          <w:iCs/>
        </w:rPr>
        <w:t xml:space="preserve">distance </w:t>
      </w:r>
      <w:r>
        <w:t xml:space="preserve">preferences. </w:t>
      </w:r>
    </w:p>
    <w:p w:rsidR="00DC19F1" w:rsidRDefault="00DC19F1">
      <w:pPr>
        <w:pStyle w:val="BodyText"/>
        <w:rPr>
          <w:lang w:val="en-US"/>
        </w:rPr>
      </w:pPr>
      <w:r>
        <w:t xml:space="preserve"> </w:t>
      </w:r>
    </w:p>
    <w:p w:rsidR="00DC19F1" w:rsidRDefault="00DC19F1">
      <w:pPr>
        <w:pStyle w:val="BodyText"/>
      </w:pPr>
      <w:r>
        <w:rPr>
          <w:i/>
          <w:iCs/>
        </w:rPr>
        <w:t>Experiential</w:t>
      </w:r>
      <w:r>
        <w:t xml:space="preserve"> – This factor includes customer perceptions of: staff appearance or professionalism; tangibles, such as communications, information layout in Internet banking and of ‘Physical evidence’ such as branch layout and décor. Practitioner and customer data in this study highlight that relationally oriented customers want their bank to acknowledge a ‘</w:t>
      </w:r>
      <w:r>
        <w:rPr>
          <w:u w:val="single"/>
        </w:rPr>
        <w:t>Progression</w:t>
      </w:r>
      <w:r>
        <w:t xml:space="preserve">’ in the relationship, through </w:t>
      </w:r>
      <w:r>
        <w:rPr>
          <w:i/>
          <w:iCs/>
        </w:rPr>
        <w:t>‘continuity’</w:t>
      </w:r>
      <w:r>
        <w:t xml:space="preserve"> of account history knowledge, through flexibility; staff willingness; or through making the customer feel special or </w:t>
      </w:r>
      <w:r>
        <w:rPr>
          <w:i/>
          <w:iCs/>
        </w:rPr>
        <w:t>‘privileged’</w:t>
      </w:r>
      <w:r>
        <w:t>. Acknowledgement includes: being differentiated from ‘cold prospects’ in DM, or when requesting extended facilities, or if upgrading an account. For ‘continuous’ services like banking, therefore, a further services ‘P’, for  ‘Progression’ over time, could be added to the three existing services marketing P’s (Booms and Bitner, 1981): ‘Process’, ‘People’ and tangible, ‘Physical evidence’.</w:t>
      </w:r>
    </w:p>
    <w:p w:rsidR="00DC19F1" w:rsidRDefault="00DC19F1"/>
    <w:p w:rsidR="00DC19F1" w:rsidRDefault="00DC19F1">
      <w:pPr>
        <w:pStyle w:val="BodyText"/>
      </w:pPr>
      <w:r>
        <w:rPr>
          <w:i/>
          <w:iCs/>
        </w:rPr>
        <w:t xml:space="preserve">Self </w:t>
      </w:r>
      <w:r>
        <w:t xml:space="preserve">– Practitioners, theory and some evidence from customers support at least three different ways in which customers could identify with bank image or policies but suggest that </w:t>
      </w:r>
      <w:r>
        <w:rPr>
          <w:u w:val="single"/>
        </w:rPr>
        <w:t>only self-</w:t>
      </w:r>
      <w:r>
        <w:rPr>
          <w:u w:val="single"/>
        </w:rPr>
        <w:lastRenderedPageBreak/>
        <w:t>identification with corporate, core brand values</w:t>
      </w:r>
      <w:r>
        <w:rPr>
          <w:i/>
          <w:iCs/>
          <w:u w:val="single"/>
        </w:rPr>
        <w:t xml:space="preserve"> </w:t>
      </w:r>
      <w:r>
        <w:rPr>
          <w:u w:val="single"/>
        </w:rPr>
        <w:t>felt to be important to customers, can be associated with a higher degree of commitment</w:t>
      </w:r>
      <w:r>
        <w:t xml:space="preserve"> (for some banking services provider brands). How this original contribution adds to knowledge will be discussed in more detail later.</w:t>
      </w:r>
    </w:p>
    <w:p w:rsidR="00DC19F1" w:rsidRDefault="00DC19F1">
      <w:pPr>
        <w:pStyle w:val="BodyText"/>
      </w:pPr>
    </w:p>
    <w:p w:rsidR="00DC19F1" w:rsidRDefault="00DC19F1">
      <w:pPr>
        <w:spacing w:line="360" w:lineRule="auto"/>
        <w:rPr>
          <w:sz w:val="22"/>
        </w:rPr>
      </w:pPr>
      <w:r>
        <w:rPr>
          <w:i/>
          <w:iCs/>
          <w:sz w:val="22"/>
        </w:rPr>
        <w:t xml:space="preserve">Behaviour </w:t>
      </w:r>
      <w:r>
        <w:rPr>
          <w:sz w:val="22"/>
        </w:rPr>
        <w:t xml:space="preserve">– Customer actions include consistent repeat patronage, which may not be based on commitment. Here behaviour linked with higher degrees of commitment is found to be on a </w:t>
      </w:r>
      <w:r>
        <w:rPr>
          <w:i/>
          <w:iCs/>
          <w:sz w:val="22"/>
          <w:u w:val="single"/>
        </w:rPr>
        <w:t>discretionar</w:t>
      </w:r>
      <w:r>
        <w:rPr>
          <w:i/>
          <w:iCs/>
          <w:sz w:val="22"/>
        </w:rPr>
        <w:t>y</w:t>
      </w:r>
      <w:r>
        <w:rPr>
          <w:sz w:val="22"/>
        </w:rPr>
        <w:t xml:space="preserve"> basis, (rather than being the automatic outcome of high satisfaction/commitment, inferred from Dick and Basu, 1994) and includes: recommending the bank to at least three others and concentrating more banking services patronage at the same provider (cross purchasing). </w:t>
      </w:r>
    </w:p>
    <w:p w:rsidR="00DC19F1" w:rsidRDefault="00DC19F1">
      <w:pPr>
        <w:rPr>
          <w:sz w:val="22"/>
        </w:rPr>
      </w:pPr>
    </w:p>
    <w:p w:rsidR="00DC19F1" w:rsidRDefault="00DC19F1">
      <w:pPr>
        <w:spacing w:line="360" w:lineRule="auto"/>
        <w:rPr>
          <w:sz w:val="22"/>
        </w:rPr>
      </w:pPr>
      <w:r>
        <w:rPr>
          <w:bCs/>
          <w:i/>
          <w:iCs/>
          <w:sz w:val="22"/>
        </w:rPr>
        <w:t>Hostage ties</w:t>
      </w:r>
      <w:r>
        <w:rPr>
          <w:bCs/>
          <w:sz w:val="22"/>
        </w:rPr>
        <w:t xml:space="preserve"> - These include: multiple direct debits and standing orders; credit card(s); loans, mortgages; financial penalties on longer-term savings policies, investment funds, pension and economic ties at other institutions that would constrain transfer to another bank for a certain period. This study discovers that </w:t>
      </w:r>
      <w:r>
        <w:rPr>
          <w:bCs/>
          <w:sz w:val="22"/>
          <w:u w:val="single"/>
        </w:rPr>
        <w:t>how</w:t>
      </w:r>
      <w:r>
        <w:rPr>
          <w:bCs/>
          <w:i/>
          <w:iCs/>
          <w:sz w:val="22"/>
          <w:u w:val="single"/>
        </w:rPr>
        <w:t xml:space="preserve"> ‘locked in’</w:t>
      </w:r>
      <w:r>
        <w:rPr>
          <w:bCs/>
          <w:sz w:val="22"/>
          <w:u w:val="single"/>
        </w:rPr>
        <w:t xml:space="preserve"> the customer feels</w:t>
      </w:r>
      <w:r>
        <w:rPr>
          <w:bCs/>
          <w:sz w:val="22"/>
        </w:rPr>
        <w:t xml:space="preserve">, can depend on a sense of being accepted by another bank based on past personal financial history (e.g. credit score or debt repayment record).  </w:t>
      </w:r>
    </w:p>
    <w:p w:rsidR="00DC19F1" w:rsidRDefault="00DC19F1">
      <w:pPr>
        <w:spacing w:line="360" w:lineRule="auto"/>
        <w:rPr>
          <w:sz w:val="22"/>
        </w:rPr>
      </w:pPr>
    </w:p>
    <w:p w:rsidR="00DC19F1" w:rsidRDefault="00DC19F1">
      <w:pPr>
        <w:pStyle w:val="BodyText"/>
        <w:rPr>
          <w:lang w:val="en-US"/>
        </w:rPr>
      </w:pPr>
      <w:r>
        <w:rPr>
          <w:lang w:val="en-US"/>
        </w:rPr>
        <w:t>The next section outlines commitment influences outside these binding and bonding factors.</w:t>
      </w:r>
    </w:p>
    <w:p w:rsidR="00DC19F1" w:rsidRDefault="00DC19F1">
      <w:pPr>
        <w:pStyle w:val="BodyText"/>
        <w:rPr>
          <w:lang w:val="en-US"/>
        </w:rPr>
      </w:pPr>
    </w:p>
    <w:p w:rsidR="00DC19F1" w:rsidRDefault="00DC19F1">
      <w:pPr>
        <w:pStyle w:val="Heading2"/>
      </w:pPr>
      <w:r>
        <w:t xml:space="preserve"> </w:t>
      </w:r>
      <w:bookmarkStart w:id="22" w:name="_Toc113077999"/>
      <w:bookmarkStart w:id="23" w:name="_Toc132368266"/>
      <w:r>
        <w:t>2.2 MODELLING CONSUMER BANKING SERVICES COMMITMENT</w:t>
      </w:r>
      <w:bookmarkEnd w:id="22"/>
      <w:bookmarkEnd w:id="23"/>
    </w:p>
    <w:p w:rsidR="00DC19F1" w:rsidRDefault="00DC19F1">
      <w:pPr>
        <w:pStyle w:val="BodyText"/>
        <w:rPr>
          <w:b/>
          <w:bCs/>
          <w:sz w:val="24"/>
        </w:rPr>
      </w:pPr>
    </w:p>
    <w:p w:rsidR="00DC19F1" w:rsidRDefault="00DC19F1">
      <w:pPr>
        <w:pStyle w:val="BodyText"/>
        <w:rPr>
          <w:bCs/>
        </w:rPr>
      </w:pPr>
      <w:r>
        <w:t xml:space="preserve">Figure 3 summarises a commitment model for consumer banking services resulting from the qualitative study undertaken, synthesising the attachments framework and some of the other influences on commitment to a bank. </w:t>
      </w:r>
      <w:r>
        <w:rPr>
          <w:bCs/>
        </w:rPr>
        <w:t>Figure 3 highlights in bold where the commitment model adds to prior knowledge.</w:t>
      </w:r>
    </w:p>
    <w:p w:rsidR="00DC19F1" w:rsidRDefault="00DC19F1">
      <w:pPr>
        <w:pStyle w:val="BodyText"/>
        <w:rPr>
          <w:bCs/>
        </w:rPr>
      </w:pPr>
    </w:p>
    <w:p w:rsidR="00DC19F1" w:rsidRDefault="00DC19F1">
      <w:pPr>
        <w:pStyle w:val="BodyText"/>
        <w:rPr>
          <w:b/>
          <w:bCs/>
        </w:rPr>
      </w:pPr>
      <w:r>
        <w:rPr>
          <w:i/>
          <w:iCs/>
        </w:rPr>
        <w:t xml:space="preserve">Overall regard for the bank </w:t>
      </w:r>
      <w:r>
        <w:t xml:space="preserve">is customers’ brand trust, perceived quality, satisfaction and brand involvement. This overall disposition towards the bank can be positive, indifferent or negative.  But, as pointed out in Strandvik and Liljander (1994), a customer may stay with a bank, despite an overall negative attitude toward the bank, because of bonds and exit barriers between the customer and the provider.   </w:t>
      </w:r>
    </w:p>
    <w:p w:rsidR="00DC19F1" w:rsidRDefault="00DC19F1">
      <w:pPr>
        <w:pStyle w:val="BodyText"/>
        <w:rPr>
          <w:bCs/>
          <w:i/>
          <w:iCs/>
        </w:rPr>
      </w:pPr>
    </w:p>
    <w:p w:rsidR="00DC19F1" w:rsidRDefault="00DC19F1">
      <w:pPr>
        <w:pStyle w:val="BodyText"/>
        <w:rPr>
          <w:bCs/>
        </w:rPr>
      </w:pPr>
      <w:r>
        <w:t xml:space="preserve">There follows a brief description of mediating variables summarised in Figure 3.  Scale items for most of these, except for </w:t>
      </w:r>
      <w:r>
        <w:rPr>
          <w:i/>
          <w:iCs/>
        </w:rPr>
        <w:t>Situational triggers</w:t>
      </w:r>
      <w:r>
        <w:t xml:space="preserve">, are suggested in the Appendix.  </w:t>
      </w:r>
    </w:p>
    <w:p w:rsidR="00DC19F1" w:rsidRDefault="00DC19F1">
      <w:pPr>
        <w:pStyle w:val="BodyText"/>
        <w:rPr>
          <w:bCs/>
        </w:rPr>
      </w:pPr>
    </w:p>
    <w:p w:rsidR="00DC19F1" w:rsidRDefault="00DC19F1">
      <w:pPr>
        <w:pStyle w:val="BodyText"/>
        <w:rPr>
          <w:bCs/>
        </w:rPr>
      </w:pPr>
    </w:p>
    <w:p w:rsidR="00DC19F1" w:rsidRDefault="00DC19F1">
      <w:pPr>
        <w:pStyle w:val="Caption"/>
      </w:pPr>
      <w:bookmarkStart w:id="24" w:name="_Toc113105120"/>
    </w:p>
    <w:p w:rsidR="00DC19F1" w:rsidRDefault="00DC19F1">
      <w:pPr>
        <w:pStyle w:val="Caption"/>
      </w:pPr>
    </w:p>
    <w:p w:rsidR="00DC19F1" w:rsidRDefault="00DC19F1">
      <w:pPr>
        <w:pStyle w:val="Caption"/>
        <w:rPr>
          <w:b w:val="0"/>
          <w:bCs w:val="0"/>
        </w:rPr>
      </w:pPr>
      <w:r>
        <w:lastRenderedPageBreak/>
        <w:t xml:space="preserve">Figure </w:t>
      </w:r>
      <w:fldSimple w:instr=" SEQ Figure \* ARABIC ">
        <w:r w:rsidR="00FA61D1">
          <w:rPr>
            <w:noProof/>
          </w:rPr>
          <w:t>3</w:t>
        </w:r>
      </w:fldSimple>
      <w:r>
        <w:t>: Consumer Banking Services Commitment Model with mediating variables</w:t>
      </w:r>
      <w:bookmarkEnd w:id="24"/>
      <w:r>
        <w:rPr>
          <w:b w:val="0"/>
          <w:bCs w:val="0"/>
        </w:rPr>
        <w:t xml:space="preserve"> </w:t>
      </w:r>
    </w:p>
    <w:p w:rsidR="00DC19F1" w:rsidRDefault="00DC19F1">
      <w:pPr>
        <w:pStyle w:val="BodyText"/>
        <w:rPr>
          <w:bCs/>
        </w:rPr>
      </w:pPr>
      <w:r>
        <w:rPr>
          <w:bCs/>
          <w:noProof/>
          <w:sz w:val="20"/>
          <w:lang w:val="en-US"/>
        </w:rPr>
        <w:pict>
          <v:rect id="_x0000_s1031" style="position:absolute;margin-left:-9pt;margin-top:7.55pt;width:441pt;height:333pt;z-index:6">
            <v:textbox style="mso-next-textbox:#_x0000_s1031">
              <w:txbxContent>
                <w:p w:rsidR="00DC19F1" w:rsidRDefault="00DC19F1">
                  <w:pPr>
                    <w:rPr>
                      <w:sz w:val="20"/>
                    </w:rPr>
                  </w:pPr>
                  <w:r>
                    <w:rPr>
                      <w:sz w:val="20"/>
                    </w:rPr>
                    <w:t>Mediating variables</w:t>
                  </w:r>
                </w:p>
                <w:p w:rsidR="00DC19F1" w:rsidRDefault="00DC19F1">
                  <w:pPr>
                    <w:ind w:left="2160" w:firstLine="720"/>
                    <w:rPr>
                      <w:sz w:val="20"/>
                      <w:u w:val="single"/>
                    </w:rPr>
                  </w:pPr>
                </w:p>
                <w:p w:rsidR="00DC19F1" w:rsidRDefault="00DC19F1">
                  <w:pPr>
                    <w:ind w:left="2160" w:firstLine="720"/>
                    <w:rPr>
                      <w:sz w:val="20"/>
                      <w:u w:val="single"/>
                    </w:rPr>
                  </w:pPr>
                </w:p>
                <w:p w:rsidR="00DC19F1" w:rsidRDefault="00DC19F1">
                  <w:pPr>
                    <w:rPr>
                      <w:sz w:val="20"/>
                    </w:rPr>
                  </w:pPr>
                  <w:r>
                    <w:tab/>
                  </w:r>
                  <w:r>
                    <w:tab/>
                  </w:r>
                  <w:r>
                    <w:tab/>
                    <w:t xml:space="preserve">                  </w:t>
                  </w:r>
                  <w:r>
                    <w:rPr>
                      <w:sz w:val="20"/>
                    </w:rPr>
                    <w:t xml:space="preserve">Situational Triggers </w:t>
                  </w:r>
                </w:p>
                <w:p w:rsidR="00DC19F1" w:rsidRDefault="00DC19F1">
                  <w:r>
                    <w:tab/>
                  </w:r>
                  <w:r>
                    <w:tab/>
                  </w:r>
                  <w:r>
                    <w:tab/>
                  </w:r>
                </w:p>
                <w:p w:rsidR="00DC19F1" w:rsidRDefault="00DC19F1"/>
                <w:p w:rsidR="00DC19F1" w:rsidRDefault="00DC19F1"/>
                <w:p w:rsidR="00DC19F1" w:rsidRDefault="00DC19F1">
                  <w:pPr>
                    <w:ind w:left="5760" w:firstLine="720"/>
                    <w:rPr>
                      <w:sz w:val="20"/>
                    </w:rPr>
                  </w:pPr>
                  <w:r>
                    <w:rPr>
                      <w:sz w:val="20"/>
                    </w:rPr>
                    <w:t xml:space="preserve">     Product Class</w:t>
                  </w:r>
                </w:p>
                <w:p w:rsidR="00DC19F1" w:rsidRDefault="00DC19F1">
                  <w:pPr>
                    <w:ind w:left="5760" w:firstLine="720"/>
                    <w:rPr>
                      <w:sz w:val="20"/>
                    </w:rPr>
                  </w:pPr>
                  <w:r>
                    <w:rPr>
                      <w:sz w:val="20"/>
                    </w:rPr>
                    <w:t xml:space="preserve">     Involvement</w:t>
                  </w:r>
                  <w:r>
                    <w:rPr>
                      <w:sz w:val="20"/>
                    </w:rPr>
                    <w:tab/>
                  </w:r>
                </w:p>
                <w:p w:rsidR="00DC19F1" w:rsidRDefault="00DC19F1">
                  <w:pPr>
                    <w:ind w:left="5760" w:firstLine="720"/>
                    <w:rPr>
                      <w:sz w:val="20"/>
                    </w:rPr>
                  </w:pPr>
                  <w:r>
                    <w:rPr>
                      <w:sz w:val="20"/>
                    </w:rPr>
                    <w:tab/>
                  </w:r>
                  <w:r>
                    <w:rPr>
                      <w:sz w:val="20"/>
                    </w:rPr>
                    <w:tab/>
                  </w:r>
                </w:p>
                <w:p w:rsidR="00DC19F1" w:rsidRDefault="00DC19F1">
                  <w:pPr>
                    <w:rPr>
                      <w:sz w:val="20"/>
                    </w:rPr>
                  </w:pPr>
                </w:p>
                <w:p w:rsidR="00DC19F1" w:rsidRDefault="00DC19F1">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Individual</w:t>
                  </w:r>
                </w:p>
                <w:p w:rsidR="00DC19F1" w:rsidRDefault="00DC19F1">
                  <w:pPr>
                    <w:rPr>
                      <w:sz w:val="20"/>
                      <w:u w:val="single"/>
                    </w:rPr>
                  </w:pPr>
                  <w:r>
                    <w:rPr>
                      <w:sz w:val="20"/>
                    </w:rPr>
                    <w:t>Characteristics:</w:t>
                  </w:r>
                </w:p>
                <w:p w:rsidR="00DC19F1" w:rsidRDefault="00DC19F1">
                  <w:pPr>
                    <w:rPr>
                      <w:b/>
                      <w:bCs/>
                      <w:sz w:val="20"/>
                    </w:rPr>
                  </w:pPr>
                  <w:r>
                    <w:rPr>
                      <w:b/>
                      <w:bCs/>
                      <w:sz w:val="20"/>
                    </w:rPr>
                    <w:t>-Gender</w:t>
                  </w:r>
                  <w:r>
                    <w:rPr>
                      <w:b/>
                      <w:bCs/>
                      <w:sz w:val="20"/>
                    </w:rPr>
                    <w:tab/>
                  </w:r>
                </w:p>
                <w:p w:rsidR="00DC19F1" w:rsidRDefault="00DC19F1">
                  <w:pPr>
                    <w:rPr>
                      <w:sz w:val="20"/>
                    </w:rPr>
                  </w:pPr>
                  <w:r>
                    <w:rPr>
                      <w:sz w:val="20"/>
                    </w:rPr>
                    <w:t xml:space="preserve">-Propensity </w:t>
                  </w:r>
                </w:p>
                <w:p w:rsidR="00DC19F1" w:rsidRDefault="00DC19F1">
                  <w:pPr>
                    <w:rPr>
                      <w:sz w:val="20"/>
                    </w:rPr>
                  </w:pPr>
                  <w:r>
                    <w:rPr>
                      <w:sz w:val="20"/>
                    </w:rPr>
                    <w:t xml:space="preserve"> For Loyalty</w:t>
                  </w:r>
                  <w:r>
                    <w:rPr>
                      <w:sz w:val="20"/>
                    </w:rPr>
                    <w:tab/>
                  </w:r>
                  <w:r>
                    <w:rPr>
                      <w:sz w:val="20"/>
                    </w:rPr>
                    <w:tab/>
                  </w:r>
                  <w:r>
                    <w:rPr>
                      <w:sz w:val="20"/>
                    </w:rPr>
                    <w:tab/>
                  </w:r>
                  <w:r>
                    <w:rPr>
                      <w:sz w:val="20"/>
                    </w:rPr>
                    <w:tab/>
                  </w:r>
                  <w:r>
                    <w:rPr>
                      <w:sz w:val="20"/>
                    </w:rPr>
                    <w:tab/>
                  </w:r>
                  <w:r>
                    <w:rPr>
                      <w:sz w:val="20"/>
                    </w:rPr>
                    <w:tab/>
                  </w:r>
                  <w:r>
                    <w:rPr>
                      <w:sz w:val="20"/>
                    </w:rPr>
                    <w:tab/>
                    <w:t xml:space="preserve">                   </w:t>
                  </w:r>
                </w:p>
                <w:p w:rsidR="00DC19F1" w:rsidRDefault="00DC19F1">
                  <w:pPr>
                    <w:ind w:left="5760" w:firstLine="720"/>
                    <w:rPr>
                      <w:sz w:val="20"/>
                    </w:rPr>
                  </w:pPr>
                  <w:r>
                    <w:rPr>
                      <w:sz w:val="20"/>
                    </w:rPr>
                    <w:t xml:space="preserve">     Normative</w:t>
                  </w:r>
                </w:p>
                <w:p w:rsidR="00DC19F1" w:rsidRDefault="00DC19F1">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Influences</w:t>
                  </w:r>
                </w:p>
                <w:p w:rsidR="00DC19F1" w:rsidRDefault="00DC19F1">
                  <w:pPr>
                    <w:rPr>
                      <w:sz w:val="20"/>
                    </w:rPr>
                  </w:pPr>
                </w:p>
                <w:p w:rsidR="00DC19F1" w:rsidRDefault="00DC19F1">
                  <w:pPr>
                    <w:rPr>
                      <w:sz w:val="20"/>
                    </w:rPr>
                  </w:pPr>
                </w:p>
                <w:p w:rsidR="00DC19F1" w:rsidRDefault="00DC19F1">
                  <w:pPr>
                    <w:rPr>
                      <w:sz w:val="20"/>
                    </w:rPr>
                  </w:pPr>
                </w:p>
                <w:p w:rsidR="00DC19F1" w:rsidRDefault="00DC19F1">
                  <w:pPr>
                    <w:rPr>
                      <w:sz w:val="20"/>
                    </w:rPr>
                  </w:pPr>
                  <w:r>
                    <w:rPr>
                      <w:sz w:val="20"/>
                    </w:rPr>
                    <w:tab/>
                  </w:r>
                  <w:r>
                    <w:rPr>
                      <w:sz w:val="20"/>
                    </w:rPr>
                    <w:tab/>
                  </w:r>
                  <w:r>
                    <w:rPr>
                      <w:sz w:val="20"/>
                    </w:rPr>
                    <w:tab/>
                  </w:r>
                </w:p>
                <w:p w:rsidR="00DC19F1" w:rsidRDefault="00DC19F1">
                  <w:pPr>
                    <w:ind w:left="2160" w:firstLine="720"/>
                    <w:rPr>
                      <w:sz w:val="20"/>
                    </w:rPr>
                  </w:pPr>
                  <w:r>
                    <w:rPr>
                      <w:sz w:val="20"/>
                    </w:rPr>
                    <w:t xml:space="preserve">        </w:t>
                  </w:r>
                </w:p>
                <w:p w:rsidR="00DC19F1" w:rsidRDefault="00DC19F1">
                  <w:pPr>
                    <w:pStyle w:val="Heading3"/>
                    <w:numPr>
                      <w:ilvl w:val="0"/>
                      <w:numId w:val="0"/>
                    </w:numPr>
                    <w:ind w:left="1440" w:firstLine="720"/>
                  </w:pPr>
                  <w:r>
                    <w:rPr>
                      <w:b w:val="0"/>
                      <w:bCs w:val="0"/>
                    </w:rPr>
                    <w:t xml:space="preserve">             Intentions towards Alternatives</w:t>
                  </w:r>
                </w:p>
              </w:txbxContent>
            </v:textbox>
          </v:rect>
        </w:pict>
      </w:r>
    </w:p>
    <w:p w:rsidR="00DC19F1" w:rsidRDefault="00DC19F1">
      <w:pPr>
        <w:pStyle w:val="BodyText"/>
        <w:rPr>
          <w:bCs/>
        </w:rPr>
      </w:pPr>
    </w:p>
    <w:p w:rsidR="00DC19F1" w:rsidRDefault="00DC19F1">
      <w:pPr>
        <w:pStyle w:val="BodyText"/>
        <w:rPr>
          <w:bCs/>
        </w:rPr>
      </w:pPr>
    </w:p>
    <w:p w:rsidR="00DC19F1" w:rsidRDefault="00DC19F1">
      <w:pPr>
        <w:pStyle w:val="BodyText"/>
        <w:rPr>
          <w:bCs/>
        </w:rPr>
      </w:pPr>
      <w:r>
        <w:rPr>
          <w:bCs/>
          <w:noProof/>
          <w:sz w:val="20"/>
          <w:lang w:val="en-US"/>
        </w:rPr>
        <w:pict>
          <v:rect id="_x0000_s1032" style="position:absolute;margin-left:81pt;margin-top:13.15pt;width:243pt;height:3in;z-index:7">
            <v:textbox style="mso-next-textbox:#_x0000_s1032">
              <w:txbxContent>
                <w:p w:rsidR="00DC19F1" w:rsidRDefault="00DC19F1">
                  <w:pPr>
                    <w:jc w:val="center"/>
                    <w:rPr>
                      <w:sz w:val="20"/>
                    </w:rPr>
                  </w:pPr>
                </w:p>
                <w:p w:rsidR="00DC19F1" w:rsidRDefault="00DC19F1">
                  <w:pPr>
                    <w:jc w:val="center"/>
                    <w:rPr>
                      <w:sz w:val="20"/>
                    </w:rPr>
                  </w:pPr>
                  <w:r>
                    <w:rPr>
                      <w:sz w:val="20"/>
                    </w:rPr>
                    <w:t>Regard for the bank</w:t>
                  </w:r>
                </w:p>
                <w:p w:rsidR="00DC19F1" w:rsidRDefault="00DC19F1">
                  <w:pPr>
                    <w:rPr>
                      <w:sz w:val="20"/>
                    </w:rPr>
                  </w:pPr>
                </w:p>
                <w:p w:rsidR="00DC19F1" w:rsidRDefault="00DC19F1">
                  <w:pPr>
                    <w:jc w:val="center"/>
                    <w:rPr>
                      <w:sz w:val="20"/>
                    </w:rPr>
                  </w:pPr>
                </w:p>
                <w:p w:rsidR="00DC19F1" w:rsidRDefault="00DC19F1">
                  <w:r>
                    <w:t xml:space="preserve">     </w:t>
                  </w:r>
                </w:p>
                <w:p w:rsidR="00DC19F1" w:rsidRDefault="00DC19F1"/>
                <w:p w:rsidR="00DC19F1" w:rsidRDefault="00DC19F1"/>
                <w:p w:rsidR="00DC19F1" w:rsidRDefault="00DC19F1"/>
                <w:p w:rsidR="00DC19F1" w:rsidRDefault="00DC19F1"/>
                <w:p w:rsidR="00DC19F1" w:rsidRDefault="00DC19F1"/>
                <w:p w:rsidR="00DC19F1" w:rsidRDefault="00DC19F1">
                  <w:pPr>
                    <w:rPr>
                      <w:sz w:val="22"/>
                    </w:rPr>
                  </w:pPr>
                </w:p>
                <w:p w:rsidR="00DC19F1" w:rsidRDefault="00DC19F1"/>
                <w:p w:rsidR="00DC19F1" w:rsidRDefault="00DC19F1">
                  <w:pPr>
                    <w:ind w:left="720" w:firstLine="720"/>
                    <w:rPr>
                      <w:sz w:val="20"/>
                    </w:rPr>
                  </w:pPr>
                </w:p>
                <w:p w:rsidR="00DC19F1" w:rsidRDefault="00DC19F1">
                  <w:pPr>
                    <w:pStyle w:val="Heading1"/>
                    <w:ind w:left="720" w:firstLine="720"/>
                    <w:rPr>
                      <w:sz w:val="20"/>
                    </w:rPr>
                  </w:pPr>
                  <w:r>
                    <w:rPr>
                      <w:sz w:val="20"/>
                      <w:u w:val="single"/>
                    </w:rPr>
                    <w:t>Sense</w:t>
                  </w:r>
                  <w:r>
                    <w:rPr>
                      <w:sz w:val="20"/>
                    </w:rPr>
                    <w:t xml:space="preserve"> </w:t>
                  </w:r>
                  <w:r>
                    <w:rPr>
                      <w:b w:val="0"/>
                      <w:bCs w:val="0"/>
                      <w:sz w:val="20"/>
                    </w:rPr>
                    <w:t>of freedom to move</w:t>
                  </w:r>
                  <w:r>
                    <w:rPr>
                      <w:sz w:val="20"/>
                    </w:rPr>
                    <w:tab/>
                  </w:r>
                </w:p>
                <w:p w:rsidR="00DC19F1" w:rsidRDefault="00DC19F1">
                  <w:pPr>
                    <w:ind w:left="720" w:firstLine="720"/>
                    <w:jc w:val="center"/>
                    <w:rPr>
                      <w:b/>
                      <w:bCs/>
                      <w:sz w:val="20"/>
                    </w:rPr>
                  </w:pPr>
                </w:p>
                <w:p w:rsidR="00DC19F1" w:rsidRDefault="00DC19F1">
                  <w:pPr>
                    <w:ind w:left="720" w:firstLine="720"/>
                    <w:rPr>
                      <w:sz w:val="20"/>
                    </w:rPr>
                  </w:pPr>
                  <w:r>
                    <w:rPr>
                      <w:sz w:val="20"/>
                    </w:rPr>
                    <w:t xml:space="preserve">  </w:t>
                  </w:r>
                  <w:r>
                    <w:rPr>
                      <w:sz w:val="20"/>
                    </w:rPr>
                    <w:tab/>
                  </w:r>
                </w:p>
              </w:txbxContent>
            </v:textbox>
          </v:rect>
        </w:pict>
      </w:r>
    </w:p>
    <w:p w:rsidR="00DC19F1" w:rsidRDefault="00DC19F1">
      <w:pPr>
        <w:pStyle w:val="BodyText"/>
        <w:rPr>
          <w:bCs/>
        </w:rPr>
      </w:pPr>
    </w:p>
    <w:p w:rsidR="00DC19F1" w:rsidRDefault="00DC19F1">
      <w:pPr>
        <w:pStyle w:val="BodyText"/>
        <w:rPr>
          <w:bCs/>
        </w:rPr>
      </w:pPr>
    </w:p>
    <w:p w:rsidR="00DC19F1" w:rsidRDefault="00DC19F1">
      <w:pPr>
        <w:pStyle w:val="BodyText"/>
        <w:rPr>
          <w:bCs/>
        </w:rPr>
      </w:pPr>
      <w:r>
        <w:rPr>
          <w:bCs/>
          <w:noProof/>
          <w:sz w:val="20"/>
          <w:lang w:val="en-US"/>
        </w:rPr>
        <w:pict>
          <v:rect id="_x0000_s1033" style="position:absolute;margin-left:220.2pt;margin-top:1.2pt;width:90pt;height:117pt;z-index:8">
            <v:textbox style="mso-next-textbox:#_x0000_s1033">
              <w:txbxContent>
                <w:p w:rsidR="00DC19F1" w:rsidRDefault="00DC19F1">
                  <w:pPr>
                    <w:rPr>
                      <w:sz w:val="20"/>
                    </w:rPr>
                  </w:pPr>
                  <w:r>
                    <w:rPr>
                      <w:i/>
                      <w:iCs/>
                      <w:sz w:val="20"/>
                    </w:rPr>
                    <w:t>Binding factors</w:t>
                  </w:r>
                  <w:r>
                    <w:rPr>
                      <w:sz w:val="20"/>
                    </w:rPr>
                    <w:t>:</w:t>
                  </w:r>
                </w:p>
                <w:p w:rsidR="00DC19F1" w:rsidRDefault="00DC19F1">
                  <w:pPr>
                    <w:rPr>
                      <w:i/>
                      <w:iCs/>
                      <w:sz w:val="20"/>
                    </w:rPr>
                  </w:pPr>
                </w:p>
                <w:p w:rsidR="00DC19F1" w:rsidRDefault="00DC19F1">
                  <w:pPr>
                    <w:rPr>
                      <w:sz w:val="20"/>
                    </w:rPr>
                  </w:pPr>
                  <w:r>
                    <w:rPr>
                      <w:sz w:val="20"/>
                    </w:rPr>
                    <w:t>Hostage ties</w:t>
                  </w:r>
                </w:p>
                <w:p w:rsidR="00DC19F1" w:rsidRDefault="00DC19F1">
                  <w:pPr>
                    <w:rPr>
                      <w:sz w:val="20"/>
                    </w:rPr>
                  </w:pPr>
                </w:p>
                <w:p w:rsidR="00DC19F1" w:rsidRDefault="00DC19F1">
                  <w:pPr>
                    <w:pStyle w:val="Heading8"/>
                    <w:numPr>
                      <w:ilvl w:val="0"/>
                      <w:numId w:val="0"/>
                    </w:numPr>
                    <w:spacing w:before="0" w:after="0"/>
                    <w:rPr>
                      <w:rFonts w:ascii="Times New Roman" w:hAnsi="Times New Roman"/>
                      <w:iCs/>
                      <w:szCs w:val="24"/>
                    </w:rPr>
                  </w:pPr>
                  <w:r>
                    <w:rPr>
                      <w:rFonts w:ascii="Times New Roman" w:hAnsi="Times New Roman"/>
                      <w:i w:val="0"/>
                      <w:szCs w:val="24"/>
                    </w:rPr>
                    <w:t>Behaviour</w:t>
                  </w:r>
                </w:p>
              </w:txbxContent>
            </v:textbox>
          </v:rect>
        </w:pict>
      </w:r>
      <w:r>
        <w:rPr>
          <w:bCs/>
          <w:noProof/>
          <w:sz w:val="20"/>
          <w:lang w:val="en-US"/>
        </w:rPr>
        <w:pict>
          <v:shape id="_x0000_s1034" type="#_x0000_t202" style="position:absolute;margin-left:99pt;margin-top:1.2pt;width:108pt;height:117pt;z-index:9">
            <v:textbox style="mso-next-textbox:#_x0000_s1034">
              <w:txbxContent>
                <w:p w:rsidR="00DC19F1" w:rsidRDefault="00DC19F1">
                  <w:pPr>
                    <w:rPr>
                      <w:sz w:val="20"/>
                    </w:rPr>
                  </w:pPr>
                  <w:r>
                    <w:rPr>
                      <w:i/>
                      <w:iCs/>
                      <w:sz w:val="20"/>
                    </w:rPr>
                    <w:t>Bonding objects</w:t>
                  </w:r>
                  <w:r>
                    <w:rPr>
                      <w:sz w:val="20"/>
                    </w:rPr>
                    <w:t>:</w:t>
                  </w:r>
                </w:p>
                <w:p w:rsidR="00DC19F1" w:rsidRDefault="00DC19F1">
                  <w:pPr>
                    <w:rPr>
                      <w:i/>
                      <w:iCs/>
                      <w:sz w:val="20"/>
                    </w:rPr>
                  </w:pPr>
                </w:p>
                <w:p w:rsidR="00DC19F1" w:rsidRDefault="00DC19F1">
                  <w:pPr>
                    <w:rPr>
                      <w:sz w:val="20"/>
                    </w:rPr>
                  </w:pPr>
                  <w:r>
                    <w:rPr>
                      <w:sz w:val="20"/>
                    </w:rPr>
                    <w:t>Technical</w:t>
                  </w:r>
                </w:p>
                <w:p w:rsidR="00DC19F1" w:rsidRDefault="00DC19F1">
                  <w:pPr>
                    <w:rPr>
                      <w:sz w:val="20"/>
                    </w:rPr>
                  </w:pPr>
                  <w:r>
                    <w:rPr>
                      <w:sz w:val="20"/>
                    </w:rPr>
                    <w:t>Economic value</w:t>
                  </w:r>
                </w:p>
                <w:p w:rsidR="00DC19F1" w:rsidRDefault="00DC19F1">
                  <w:pPr>
                    <w:pStyle w:val="Heading8"/>
                    <w:numPr>
                      <w:ilvl w:val="0"/>
                      <w:numId w:val="0"/>
                    </w:numPr>
                    <w:spacing w:before="0" w:after="0"/>
                    <w:rPr>
                      <w:rFonts w:ascii="Times New Roman" w:hAnsi="Times New Roman"/>
                      <w:i w:val="0"/>
                      <w:szCs w:val="24"/>
                    </w:rPr>
                  </w:pPr>
                  <w:r>
                    <w:rPr>
                      <w:rFonts w:ascii="Times New Roman" w:hAnsi="Times New Roman"/>
                      <w:i w:val="0"/>
                      <w:szCs w:val="24"/>
                    </w:rPr>
                    <w:t>Social</w:t>
                  </w:r>
                </w:p>
                <w:p w:rsidR="00DC19F1" w:rsidRDefault="00DC19F1">
                  <w:pPr>
                    <w:rPr>
                      <w:b/>
                      <w:bCs/>
                      <w:sz w:val="20"/>
                    </w:rPr>
                  </w:pPr>
                  <w:r>
                    <w:rPr>
                      <w:sz w:val="20"/>
                    </w:rPr>
                    <w:t>Experiential</w:t>
                  </w:r>
                </w:p>
                <w:p w:rsidR="00DC19F1" w:rsidRDefault="00DC19F1">
                  <w:pPr>
                    <w:pStyle w:val="Heading5"/>
                    <w:numPr>
                      <w:ilvl w:val="0"/>
                      <w:numId w:val="0"/>
                    </w:numPr>
                    <w:rPr>
                      <w:i w:val="0"/>
                      <w:iCs w:val="0"/>
                      <w:sz w:val="22"/>
                    </w:rPr>
                  </w:pPr>
                  <w:r>
                    <w:rPr>
                      <w:i w:val="0"/>
                      <w:iCs w:val="0"/>
                      <w:sz w:val="20"/>
                    </w:rPr>
                    <w:t>Self-Identification with Bank Values</w:t>
                  </w:r>
                </w:p>
                <w:p w:rsidR="00DC19F1" w:rsidRDefault="00DC19F1">
                  <w:pPr>
                    <w:rPr>
                      <w:b/>
                      <w:bCs/>
                      <w:sz w:val="20"/>
                    </w:rPr>
                  </w:pPr>
                </w:p>
              </w:txbxContent>
            </v:textbox>
          </v:shape>
        </w:pict>
      </w:r>
    </w:p>
    <w:p w:rsidR="00DC19F1" w:rsidRDefault="00DC19F1">
      <w:pPr>
        <w:pStyle w:val="BodyText"/>
        <w:rPr>
          <w:bCs/>
        </w:rPr>
      </w:pPr>
    </w:p>
    <w:p w:rsidR="00DC19F1" w:rsidRDefault="00DC19F1">
      <w:pPr>
        <w:pStyle w:val="BodyText"/>
        <w:rPr>
          <w:bCs/>
        </w:rPr>
      </w:pPr>
    </w:p>
    <w:p w:rsidR="00DC19F1" w:rsidRDefault="00DC19F1">
      <w:pPr>
        <w:pStyle w:val="BodyText"/>
        <w:rPr>
          <w:bCs/>
        </w:rPr>
      </w:pPr>
    </w:p>
    <w:p w:rsidR="00DC19F1" w:rsidRDefault="00DC19F1">
      <w:pPr>
        <w:pStyle w:val="BodyText"/>
        <w:rPr>
          <w:bCs/>
        </w:rPr>
      </w:pPr>
    </w:p>
    <w:p w:rsidR="00DC19F1" w:rsidRDefault="00DC19F1">
      <w:pPr>
        <w:pStyle w:val="BodyText"/>
        <w:rPr>
          <w:bCs/>
        </w:rPr>
      </w:pPr>
    </w:p>
    <w:p w:rsidR="00DC19F1" w:rsidRDefault="00DC19F1">
      <w:pPr>
        <w:pStyle w:val="BodyText"/>
        <w:rPr>
          <w:bCs/>
        </w:rPr>
      </w:pPr>
    </w:p>
    <w:p w:rsidR="00DC19F1" w:rsidRDefault="00DC19F1">
      <w:pPr>
        <w:pStyle w:val="BodyText"/>
        <w:rPr>
          <w:bCs/>
        </w:rPr>
      </w:pPr>
    </w:p>
    <w:p w:rsidR="00DC19F1" w:rsidRDefault="00DC19F1">
      <w:pPr>
        <w:pStyle w:val="BodyText"/>
        <w:rPr>
          <w:bCs/>
        </w:rPr>
      </w:pPr>
    </w:p>
    <w:p w:rsidR="00DC19F1" w:rsidRDefault="00DC19F1">
      <w:pPr>
        <w:pStyle w:val="BodyText"/>
        <w:rPr>
          <w:bCs/>
        </w:rPr>
      </w:pPr>
    </w:p>
    <w:p w:rsidR="00DC19F1" w:rsidRDefault="00DC19F1">
      <w:pPr>
        <w:pStyle w:val="BodyText"/>
        <w:rPr>
          <w:bCs/>
        </w:rPr>
      </w:pPr>
    </w:p>
    <w:p w:rsidR="00DC19F1" w:rsidRDefault="00DC19F1">
      <w:pPr>
        <w:pStyle w:val="BodyText"/>
        <w:rPr>
          <w:bCs/>
        </w:rPr>
      </w:pPr>
    </w:p>
    <w:p w:rsidR="00DC19F1" w:rsidRDefault="00DC19F1">
      <w:pPr>
        <w:pStyle w:val="BodyText"/>
        <w:rPr>
          <w:bCs/>
          <w:i/>
          <w:iCs/>
        </w:rPr>
      </w:pPr>
    </w:p>
    <w:p w:rsidR="00DC19F1" w:rsidRDefault="00DC19F1">
      <w:pPr>
        <w:pStyle w:val="BodyText"/>
      </w:pPr>
    </w:p>
    <w:p w:rsidR="00DC19F1" w:rsidRDefault="00DC19F1">
      <w:pPr>
        <w:pStyle w:val="BodyText"/>
      </w:pPr>
      <w:r>
        <w:rPr>
          <w:i/>
          <w:iCs/>
        </w:rPr>
        <w:t>Situational triggers</w:t>
      </w:r>
      <w:r>
        <w:t xml:space="preserve"> – these prompt customer consideration of moving business to another bank and include: changing job, partner or mortgage, moving house, approaching a change in life stage; offers/incentives from competing banks (termed </w:t>
      </w:r>
      <w:r>
        <w:rPr>
          <w:i/>
          <w:iCs/>
        </w:rPr>
        <w:t>Influential triggers</w:t>
      </w:r>
      <w:r>
        <w:t xml:space="preserve"> in Roos, Edvardsson and Gustafsson, 2004); and perceived poor treatment, deteriorating performance (errors) or being turned down for a loan (termed </w:t>
      </w:r>
      <w:r>
        <w:rPr>
          <w:i/>
          <w:iCs/>
        </w:rPr>
        <w:t>Reactional triggers</w:t>
      </w:r>
      <w:r>
        <w:t xml:space="preserve"> in Roos et al., 2004). </w:t>
      </w:r>
    </w:p>
    <w:p w:rsidR="00DC19F1" w:rsidRDefault="00DC19F1">
      <w:pPr>
        <w:pStyle w:val="BodyText"/>
        <w:rPr>
          <w:bCs/>
        </w:rPr>
      </w:pPr>
      <w:r>
        <w:rPr>
          <w:i/>
          <w:iCs/>
        </w:rPr>
        <w:t>Normative influences</w:t>
      </w:r>
      <w:r>
        <w:t xml:space="preserve"> - are pressures from family, partner, other adviser, or place of work. They can be positive or negative towards or against: </w:t>
      </w:r>
      <w:r>
        <w:rPr>
          <w:bCs/>
        </w:rPr>
        <w:t xml:space="preserve"> (a) switching bank; (b) a specific banking services provider; or (c) type of provider. </w:t>
      </w:r>
    </w:p>
    <w:p w:rsidR="00DC19F1" w:rsidRDefault="00DC19F1">
      <w:pPr>
        <w:pStyle w:val="BodyText"/>
      </w:pPr>
      <w:r>
        <w:rPr>
          <w:i/>
          <w:iCs/>
        </w:rPr>
        <w:t>Product class involvement</w:t>
      </w:r>
      <w:r>
        <w:t xml:space="preserve"> - includes risk perceptions; reading regularly about banking, linked to knowledge/experience of personal finance and to a customer’s self-judged confidence in taking banking decisions.  </w:t>
      </w:r>
    </w:p>
    <w:p w:rsidR="00DC19F1" w:rsidRDefault="00DC19F1">
      <w:pPr>
        <w:pStyle w:val="BodyText"/>
        <w:rPr>
          <w:bCs/>
        </w:rPr>
      </w:pPr>
      <w:r>
        <w:rPr>
          <w:bCs/>
          <w:i/>
          <w:iCs/>
        </w:rPr>
        <w:t xml:space="preserve">Propensity for loyalty – </w:t>
      </w:r>
      <w:r>
        <w:rPr>
          <w:bCs/>
        </w:rPr>
        <w:t xml:space="preserve">in banking services is a reliance on few providers, contrasted with: wishing to spread risk; shopping around for deals; or a preference for using specialists for each service.  </w:t>
      </w:r>
    </w:p>
    <w:p w:rsidR="00DC19F1" w:rsidRDefault="00DC19F1">
      <w:pPr>
        <w:pStyle w:val="BodyText"/>
      </w:pPr>
      <w:r>
        <w:rPr>
          <w:bCs/>
          <w:i/>
          <w:iCs/>
        </w:rPr>
        <w:t xml:space="preserve">Intentions toward alternatives - </w:t>
      </w:r>
      <w:r>
        <w:t xml:space="preserve">whether an alternative banking services provider is a future consideration for any given customer.  </w:t>
      </w:r>
    </w:p>
    <w:p w:rsidR="00DC19F1" w:rsidRDefault="00DC19F1">
      <w:pPr>
        <w:pStyle w:val="BodyText"/>
        <w:rPr>
          <w:bCs/>
        </w:rPr>
      </w:pPr>
    </w:p>
    <w:p w:rsidR="00DC19F1" w:rsidRDefault="00DC19F1">
      <w:pPr>
        <w:pStyle w:val="BodyText"/>
        <w:rPr>
          <w:bCs/>
        </w:rPr>
      </w:pPr>
      <w:r>
        <w:rPr>
          <w:bCs/>
        </w:rPr>
        <w:lastRenderedPageBreak/>
        <w:t xml:space="preserve">The next sections will be organised around the three, key remaining contributions: </w:t>
      </w:r>
      <w:r>
        <w:rPr>
          <w:bCs/>
          <w:i/>
          <w:iCs/>
        </w:rPr>
        <w:t xml:space="preserve">Self-Identification </w:t>
      </w:r>
      <w:r>
        <w:rPr>
          <w:bCs/>
        </w:rPr>
        <w:t xml:space="preserve">and higher commitment; </w:t>
      </w:r>
      <w:r>
        <w:rPr>
          <w:bCs/>
          <w:i/>
          <w:iCs/>
        </w:rPr>
        <w:t>Gender</w:t>
      </w:r>
      <w:r>
        <w:rPr>
          <w:bCs/>
        </w:rPr>
        <w:t xml:space="preserve"> differences in banking; and how a customer’s </w:t>
      </w:r>
      <w:r>
        <w:rPr>
          <w:bCs/>
          <w:i/>
          <w:iCs/>
          <w:u w:val="single"/>
        </w:rPr>
        <w:t>Sense</w:t>
      </w:r>
      <w:r>
        <w:rPr>
          <w:bCs/>
          <w:i/>
          <w:iCs/>
        </w:rPr>
        <w:t xml:space="preserve"> of freedom</w:t>
      </w:r>
      <w:r>
        <w:rPr>
          <w:bCs/>
        </w:rPr>
        <w:t xml:space="preserve"> </w:t>
      </w:r>
      <w:r>
        <w:rPr>
          <w:bCs/>
          <w:i/>
          <w:iCs/>
        </w:rPr>
        <w:t>to move bank</w:t>
      </w:r>
      <w:r>
        <w:rPr>
          <w:bCs/>
        </w:rPr>
        <w:t xml:space="preserve"> helps to distinguish various commitment states, leading to a new typology.</w:t>
      </w:r>
    </w:p>
    <w:p w:rsidR="00DC19F1" w:rsidRDefault="00DC19F1">
      <w:pPr>
        <w:spacing w:line="360" w:lineRule="auto"/>
      </w:pPr>
    </w:p>
    <w:p w:rsidR="00DC19F1" w:rsidRDefault="00DC19F1">
      <w:pPr>
        <w:pStyle w:val="Heading2"/>
      </w:pPr>
      <w:bookmarkStart w:id="25" w:name="_Toc113078000"/>
      <w:bookmarkStart w:id="26" w:name="_Toc132368267"/>
      <w:r>
        <w:t>2.3 SELF-BRAND IDENTIFICATION WITH CORPORATE BRAND VALUES</w:t>
      </w:r>
      <w:bookmarkEnd w:id="25"/>
      <w:bookmarkEnd w:id="26"/>
    </w:p>
    <w:p w:rsidR="00DC19F1" w:rsidRDefault="00DC19F1">
      <w:pPr>
        <w:pStyle w:val="BodyText"/>
        <w:rPr>
          <w:b/>
          <w:bCs/>
          <w:sz w:val="24"/>
        </w:rPr>
      </w:pPr>
    </w:p>
    <w:p w:rsidR="00DC19F1" w:rsidRDefault="00DC19F1">
      <w:pPr>
        <w:pStyle w:val="BodyText"/>
      </w:pPr>
      <w:r>
        <w:t xml:space="preserve">Corporate brand values, or clusters of values in consumers’ minds, are found in the present study to be relevant to customer commitment in consumer banking, where corporate branding is a strategy frequently followed by banking services providers, even though: </w:t>
      </w:r>
      <w:r>
        <w:rPr>
          <w:i/>
          <w:iCs/>
        </w:rPr>
        <w:t xml:space="preserve">‘You are in a low interest…not tangible’ </w:t>
      </w:r>
      <w:r>
        <w:t>sector (Creative, major dm agency, G10).</w:t>
      </w:r>
    </w:p>
    <w:p w:rsidR="00DC19F1" w:rsidRDefault="00DC19F1">
      <w:pPr>
        <w:pStyle w:val="BodyText"/>
        <w:rPr>
          <w:b/>
          <w:bCs/>
          <w:sz w:val="24"/>
        </w:rPr>
      </w:pPr>
    </w:p>
    <w:p w:rsidR="00DC19F1" w:rsidRDefault="00DC19F1">
      <w:pPr>
        <w:pStyle w:val="BodyText"/>
      </w:pPr>
      <w:r>
        <w:t>This PhD builds on prior work connecting various dimensions of company brand image, including bank position and values-congruence, with customer loyalty or attachment (Liljander and Strandvik 1995; Bloemer, de Ruyter and Peeters, 1998; and Aldlaigan and Buttle, 2005).  Since Kelman (1958) and O’Reilly and Chatman, (1986) attachment to the organisation, its</w:t>
      </w:r>
      <w:r>
        <w:rPr>
          <w:i/>
          <w:iCs/>
        </w:rPr>
        <w:t xml:space="preserve"> image </w:t>
      </w:r>
      <w:r>
        <w:t>or</w:t>
      </w:r>
      <w:r>
        <w:rPr>
          <w:i/>
          <w:iCs/>
        </w:rPr>
        <w:t xml:space="preserve"> values</w:t>
      </w:r>
      <w:r>
        <w:t xml:space="preserve"> has been included as one of three components frequently cited in relationship, customer satisfaction or attachment models (Lehtinen, 1985; Crosby and Stephens, 1987; Jackson’s, 1985 commitment ‘foci’ for industrial relationships). The concept of shared values was a component in the Morgan and Hunt (1994) relationship trust and commitment model. The present study, though, represents one of the first empirical studies to find a connection between a </w:t>
      </w:r>
      <w:r>
        <w:rPr>
          <w:u w:val="single"/>
        </w:rPr>
        <w:t>higher level of customer commitment</w:t>
      </w:r>
      <w:r>
        <w:t xml:space="preserve"> and customer identification with company brand values in consumer banking services. </w:t>
      </w:r>
    </w:p>
    <w:p w:rsidR="00DC19F1" w:rsidRDefault="00DC19F1">
      <w:pPr>
        <w:pStyle w:val="BodyText"/>
      </w:pPr>
    </w:p>
    <w:p w:rsidR="00DC19F1" w:rsidRDefault="00DC19F1">
      <w:pPr>
        <w:pStyle w:val="BodyText"/>
      </w:pPr>
      <w:r>
        <w:t xml:space="preserve">This finding has theoretical support from the leisure industry where Buchanan (1985) modelled identification as the highest of three levels of commitment: </w:t>
      </w:r>
      <w:r>
        <w:rPr>
          <w:i/>
          <w:iCs/>
        </w:rPr>
        <w:t>Control</w:t>
      </w:r>
      <w:r>
        <w:t xml:space="preserve"> (identification), </w:t>
      </w:r>
      <w:r>
        <w:rPr>
          <w:i/>
          <w:iCs/>
        </w:rPr>
        <w:t xml:space="preserve">Cohesion </w:t>
      </w:r>
      <w:r>
        <w:t xml:space="preserve">(social affiliation) and </w:t>
      </w:r>
      <w:r>
        <w:rPr>
          <w:i/>
          <w:iCs/>
        </w:rPr>
        <w:t xml:space="preserve">Continuance </w:t>
      </w:r>
      <w:r>
        <w:t xml:space="preserve">(weighing benefits versus costs). Attachment to the goals and values of a firm was also central to definitions of affective commitment (see Glossary) from Buchanan (1974) in employee-organisational commitment literature.  Mowday, Steers and Porter, (1979, p.226) saw employee-organisational commitment as the </w:t>
      </w:r>
      <w:r>
        <w:rPr>
          <w:i/>
          <w:iCs/>
        </w:rPr>
        <w:t>‘strength of an individual’s identification and involvement in a particular organisation’</w:t>
      </w:r>
      <w:r>
        <w:t>. And channel research from Mohr and Nevin, (1990); Anderson and Weitz (1992); and Kumar et al. (1994) consistently reports a view of affective commitment that</w:t>
      </w:r>
      <w:r>
        <w:rPr>
          <w:b/>
          <w:bCs/>
        </w:rPr>
        <w:t xml:space="preserve"> </w:t>
      </w:r>
      <w:r>
        <w:t xml:space="preserve">people stay basically because they like and identify with the values of a firm.  </w:t>
      </w:r>
    </w:p>
    <w:p w:rsidR="00DC19F1" w:rsidRDefault="00DC19F1">
      <w:pPr>
        <w:pStyle w:val="BodyText"/>
      </w:pPr>
    </w:p>
    <w:p w:rsidR="00DC19F1" w:rsidRDefault="00DC19F1">
      <w:pPr>
        <w:pStyle w:val="BodyText"/>
      </w:pPr>
      <w:r>
        <w:t xml:space="preserve">Although it could not be assumed that dimensions of commitment found in employee-organisational relationships can be transferable to commitment between customers and their banks, the Buchanan (1974) definition lends theoretical support to practitioner interviewee definitions of brand commitment: </w:t>
      </w:r>
      <w:r>
        <w:rPr>
          <w:i/>
          <w:iCs/>
        </w:rPr>
        <w:t>“</w:t>
      </w:r>
      <w:r>
        <w:rPr>
          <w:i/>
        </w:rPr>
        <w:t xml:space="preserve">Simplistically… it’s where you have emotional commitment </w:t>
      </w:r>
      <w:r>
        <w:rPr>
          <w:i/>
        </w:rPr>
        <w:lastRenderedPageBreak/>
        <w:t>which is outside the function and practicalities of the product or service.”</w:t>
      </w:r>
      <w:r>
        <w:t xml:space="preserve"> (DM Brand-building judge, I.1)  </w:t>
      </w:r>
    </w:p>
    <w:p w:rsidR="00DC19F1" w:rsidRDefault="00DC19F1">
      <w:pPr>
        <w:spacing w:line="360" w:lineRule="auto"/>
      </w:pPr>
    </w:p>
    <w:p w:rsidR="00DC19F1" w:rsidRDefault="00DC19F1">
      <w:pPr>
        <w:spacing w:line="360" w:lineRule="auto"/>
        <w:rPr>
          <w:sz w:val="22"/>
        </w:rPr>
      </w:pPr>
      <w:r>
        <w:rPr>
          <w:sz w:val="22"/>
        </w:rPr>
        <w:t xml:space="preserve">Aside from identification with bank </w:t>
      </w:r>
      <w:r>
        <w:rPr>
          <w:i/>
          <w:iCs/>
          <w:sz w:val="22"/>
        </w:rPr>
        <w:t>values and policies</w:t>
      </w:r>
      <w:r>
        <w:rPr>
          <w:sz w:val="22"/>
        </w:rPr>
        <w:t xml:space="preserve">, for some customers, an attachment to their bank was partly based on </w:t>
      </w:r>
      <w:r>
        <w:rPr>
          <w:i/>
          <w:iCs/>
          <w:sz w:val="22"/>
        </w:rPr>
        <w:t>nostalgic association</w:t>
      </w:r>
      <w:r>
        <w:rPr>
          <w:sz w:val="22"/>
        </w:rPr>
        <w:t xml:space="preserve">(s) with particular past life stages or vivid periods of time, such as: childhood, growing up, student years or having young children. The study also systematically explored customer identification with another </w:t>
      </w:r>
      <w:r>
        <w:rPr>
          <w:i/>
          <w:iCs/>
          <w:sz w:val="22"/>
        </w:rPr>
        <w:t>image</w:t>
      </w:r>
      <w:r>
        <w:rPr>
          <w:sz w:val="22"/>
        </w:rPr>
        <w:t xml:space="preserve"> dimension of bank branding, </w:t>
      </w:r>
      <w:r>
        <w:rPr>
          <w:i/>
          <w:iCs/>
          <w:sz w:val="22"/>
        </w:rPr>
        <w:t>‘user image’</w:t>
      </w:r>
      <w:r>
        <w:rPr>
          <w:sz w:val="22"/>
        </w:rPr>
        <w:t xml:space="preserve"> (Keller, 1998; Gordon, 1999 p. 336 and in services, O’ Cass and Grace, 2003).  Some participants perceived similarities in their age, income, or outlook with an image they presented of their bank’s typical customers.  However, links with higher degrees of commitment were </w:t>
      </w:r>
      <w:r>
        <w:rPr>
          <w:i/>
          <w:iCs/>
          <w:sz w:val="22"/>
        </w:rPr>
        <w:t xml:space="preserve">not </w:t>
      </w:r>
      <w:r>
        <w:rPr>
          <w:sz w:val="22"/>
        </w:rPr>
        <w:t xml:space="preserve">established for either bank ‘user-image’ congruence, or customer-bank nostalgic associations.  </w:t>
      </w:r>
    </w:p>
    <w:p w:rsidR="00DC19F1" w:rsidRDefault="00DC19F1">
      <w:pPr>
        <w:pStyle w:val="BodyText"/>
      </w:pPr>
    </w:p>
    <w:p w:rsidR="00DC19F1" w:rsidRDefault="00DC19F1">
      <w:pPr>
        <w:pStyle w:val="BodyText"/>
      </w:pPr>
      <w:r>
        <w:t xml:space="preserve">Thus this study distinguishes between three types of customer-bank ‘identification’ based on bank </w:t>
      </w:r>
      <w:r>
        <w:rPr>
          <w:i/>
          <w:iCs/>
        </w:rPr>
        <w:t>values and policies</w:t>
      </w:r>
      <w:r>
        <w:t xml:space="preserve">, </w:t>
      </w:r>
      <w:r>
        <w:rPr>
          <w:i/>
          <w:iCs/>
        </w:rPr>
        <w:t>user-image</w:t>
      </w:r>
      <w:r>
        <w:t xml:space="preserve"> and </w:t>
      </w:r>
      <w:r>
        <w:rPr>
          <w:i/>
          <w:iCs/>
        </w:rPr>
        <w:t>nostalgia</w:t>
      </w:r>
      <w:r>
        <w:t xml:space="preserve">. It also extends previous knowledge in that </w:t>
      </w:r>
      <w:r>
        <w:rPr>
          <w:u w:val="single"/>
        </w:rPr>
        <w:t>higher degrees of commitment</w:t>
      </w:r>
      <w:r>
        <w:t>, (as expressed in customer resistance to the notion of switching), were only found where there was a customer-</w:t>
      </w:r>
      <w:r>
        <w:rPr>
          <w:i/>
          <w:iCs/>
        </w:rPr>
        <w:t xml:space="preserve">perceived </w:t>
      </w:r>
      <w:r>
        <w:t xml:space="preserve">connection between a bank’s </w:t>
      </w:r>
      <w:r>
        <w:rPr>
          <w:i/>
          <w:iCs/>
        </w:rPr>
        <w:t>values and policies</w:t>
      </w:r>
      <w:r>
        <w:t xml:space="preserve"> and the ‘central’, personal values cherished by an individual. This finding, consistent with voter commitment in Crosby and Taylor (1983), thus adapts and extends a </w:t>
      </w:r>
      <w:r>
        <w:rPr>
          <w:i/>
          <w:iCs/>
        </w:rPr>
        <w:t>goods</w:t>
      </w:r>
      <w:r>
        <w:t xml:space="preserve">-related, instrumental values perspective on post-purchase behaviour from Munson and McQuarrie, (1988), to a banking </w:t>
      </w:r>
      <w:r>
        <w:rPr>
          <w:i/>
          <w:iCs/>
        </w:rPr>
        <w:t xml:space="preserve">services </w:t>
      </w:r>
      <w:r>
        <w:t>setting:</w:t>
      </w:r>
    </w:p>
    <w:p w:rsidR="00DC19F1" w:rsidRDefault="00DC19F1">
      <w:pPr>
        <w:pStyle w:val="BodyText"/>
      </w:pPr>
    </w:p>
    <w:p w:rsidR="00DC19F1" w:rsidRDefault="00DC19F1">
      <w:pPr>
        <w:pStyle w:val="BodyText"/>
        <w:numPr>
          <w:ilvl w:val="0"/>
          <w:numId w:val="16"/>
        </w:numPr>
      </w:pPr>
      <w:r>
        <w:t>The likelihood of [</w:t>
      </w:r>
      <w:r>
        <w:rPr>
          <w:i/>
          <w:iCs/>
        </w:rPr>
        <w:t>committed</w:t>
      </w:r>
      <w:r>
        <w:t>] repeat patronage is felt to increase when the values associated with the [</w:t>
      </w:r>
      <w:r>
        <w:rPr>
          <w:i/>
          <w:iCs/>
        </w:rPr>
        <w:t>banking service provider</w:t>
      </w:r>
      <w:r>
        <w:t xml:space="preserve">] brand match those values that are central to the consumer. </w:t>
      </w:r>
    </w:p>
    <w:p w:rsidR="00DC19F1" w:rsidRDefault="00DC19F1">
      <w:pPr>
        <w:pStyle w:val="BodyText"/>
      </w:pPr>
    </w:p>
    <w:p w:rsidR="00DC19F1" w:rsidRDefault="00DC19F1">
      <w:pPr>
        <w:pStyle w:val="BodyText"/>
        <w:rPr>
          <w:i/>
          <w:iCs/>
        </w:rPr>
      </w:pPr>
      <w:r>
        <w:t xml:space="preserve">Related scale items are included under ‘Self-identification’ on the proposed commitment scale so that the proposition can be retested quantitatively.  </w:t>
      </w:r>
    </w:p>
    <w:p w:rsidR="00DC19F1" w:rsidRDefault="00DC19F1">
      <w:pPr>
        <w:spacing w:line="360" w:lineRule="auto"/>
        <w:rPr>
          <w:sz w:val="22"/>
        </w:rPr>
      </w:pPr>
    </w:p>
    <w:p w:rsidR="00DC19F1" w:rsidRDefault="00DC19F1">
      <w:pPr>
        <w:pStyle w:val="BodyText"/>
      </w:pPr>
      <w:r>
        <w:t xml:space="preserve">For </w:t>
      </w:r>
      <w:r>
        <w:rPr>
          <w:i/>
          <w:iCs/>
        </w:rPr>
        <w:t>increased commitment</w:t>
      </w:r>
      <w:r>
        <w:t xml:space="preserve"> banks should develop differentiated, evocative corporate brand values, rather than a ‘user image’ to which customers might only relate psycho-demographically and which may reinforce satisfaction but not necessarily customer trust and commitment. But consumer emotions about banking may not be aroused when practitioners claim, </w:t>
      </w:r>
      <w:r>
        <w:rPr>
          <w:i/>
          <w:iCs/>
        </w:rPr>
        <w:t xml:space="preserve">‘all of the gobbledegook is focused on the rational, why you should invest in that’ </w:t>
      </w:r>
      <w:r>
        <w:t xml:space="preserve">or </w:t>
      </w:r>
      <w:r>
        <w:rPr>
          <w:i/>
          <w:iCs/>
        </w:rPr>
        <w:t>‘…the man on the street doesn’t understand it’</w:t>
      </w:r>
      <w:r>
        <w:t xml:space="preserve"> (Integrated marketing group Creative, F9). </w:t>
      </w:r>
    </w:p>
    <w:p w:rsidR="00DC19F1" w:rsidRDefault="00DC19F1">
      <w:pPr>
        <w:pStyle w:val="BodyText"/>
        <w:rPr>
          <w:b/>
          <w:bCs/>
          <w:sz w:val="24"/>
        </w:rPr>
      </w:pPr>
    </w:p>
    <w:p w:rsidR="00DC19F1" w:rsidRDefault="00DC19F1">
      <w:pPr>
        <w:pStyle w:val="BodyText"/>
        <w:rPr>
          <w:b/>
          <w:bCs/>
          <w:sz w:val="24"/>
        </w:rPr>
      </w:pPr>
    </w:p>
    <w:p w:rsidR="00DC19F1" w:rsidRDefault="00DC19F1">
      <w:pPr>
        <w:pStyle w:val="BodyText"/>
        <w:rPr>
          <w:b/>
          <w:bCs/>
          <w:sz w:val="24"/>
        </w:rPr>
      </w:pPr>
    </w:p>
    <w:p w:rsidR="00DC19F1" w:rsidRDefault="00DC19F1">
      <w:pPr>
        <w:pStyle w:val="BodyText"/>
        <w:rPr>
          <w:b/>
          <w:bCs/>
          <w:sz w:val="24"/>
        </w:rPr>
      </w:pPr>
    </w:p>
    <w:p w:rsidR="00DC19F1" w:rsidRDefault="00DC19F1">
      <w:pPr>
        <w:pStyle w:val="Heading2"/>
      </w:pPr>
      <w:bookmarkStart w:id="27" w:name="_Toc113078001"/>
      <w:bookmarkStart w:id="28" w:name="_Toc132368268"/>
      <w:r>
        <w:lastRenderedPageBreak/>
        <w:t>2.4 GENDER DIFFERENCES IN CONSUMER BANKING</w:t>
      </w:r>
      <w:bookmarkEnd w:id="27"/>
      <w:bookmarkEnd w:id="28"/>
      <w:r>
        <w:t xml:space="preserve"> </w:t>
      </w:r>
    </w:p>
    <w:p w:rsidR="00DC19F1" w:rsidRDefault="00DC19F1">
      <w:pPr>
        <w:pStyle w:val="BodyText"/>
      </w:pPr>
    </w:p>
    <w:p w:rsidR="00DC19F1" w:rsidRDefault="00DC19F1">
      <w:pPr>
        <w:pStyle w:val="BodyText"/>
      </w:pPr>
      <w:r>
        <w:t xml:space="preserve">Females in the present study more frequently judged themselves to be lacking in both knowledge and confidence when selecting financial services, than did the males interviewed. Females also expressed higher degrees of resistance to the notion of switching, a central effect of commitment (Kiesler, 1971; Pritchard et al. 1999) than males interviewed. </w:t>
      </w:r>
    </w:p>
    <w:p w:rsidR="00DC19F1" w:rsidRDefault="00DC19F1">
      <w:pPr>
        <w:pStyle w:val="BodyText"/>
      </w:pPr>
    </w:p>
    <w:p w:rsidR="00DC19F1" w:rsidRDefault="00DC19F1">
      <w:pPr>
        <w:pStyle w:val="BodyText"/>
      </w:pPr>
      <w:r>
        <w:t>Supportive of these findings, Yavas, Benkenstein and Stuhldreier (2004) suggest, in a small study of private bank customers of a German bank, that: “</w:t>
      </w:r>
      <w:r>
        <w:rPr>
          <w:i/>
          <w:iCs/>
        </w:rPr>
        <w:t xml:space="preserve">being female is more closely associated with such behavioural outcomes as positive word of mouth and commitment”. </w:t>
      </w:r>
      <w:r>
        <w:t xml:space="preserve">Mintel (2001) indicated channel differences, with females more likely (at forty-four per cent) to use counter service regularly than males (at thirty-two per cent). Mintel (2003) repeat patronage figures, (which need not reflect </w:t>
      </w:r>
      <w:r>
        <w:rPr>
          <w:i/>
          <w:iCs/>
        </w:rPr>
        <w:t>committed</w:t>
      </w:r>
      <w:r>
        <w:t xml:space="preserve"> ‘loyalty’), identify that sixty-seven per cent of women had never changed current account provider, compared with fifty-eight per cent of male respondents. It can be inferred from </w:t>
      </w:r>
      <w:smartTag w:uri="urn:schemas-microsoft-com:office:smarttags" w:element="place">
        <w:r>
          <w:t>Stafford</w:t>
        </w:r>
      </w:smartTag>
      <w:r>
        <w:t xml:space="preserve"> (1996) that females are slightly more interested than males in long-term ‘relational’ attributes, such as whether the bank supplies economic value and a full range of services. </w:t>
      </w:r>
    </w:p>
    <w:p w:rsidR="00DC19F1" w:rsidRDefault="00DC19F1">
      <w:pPr>
        <w:pStyle w:val="BodyText"/>
      </w:pPr>
    </w:p>
    <w:p w:rsidR="00DC19F1" w:rsidRDefault="00DC19F1">
      <w:pPr>
        <w:pStyle w:val="BodyText"/>
      </w:pPr>
      <w:r>
        <w:t xml:space="preserve">By ‘relational’, neither emotion nor interpersonal preference (though associated with female customers in Shemwell et al, 1994) can especially be inferred from the data in the present study as underpinning any suggested gender differences.  Caution is recommended in interpreting the gender findings from this study’s small, South West regional sample. Levels of reported confidence may not reflect experience; women reportedly take increased responsibility (Mintel, 2003) for at least their short-term personal finances. </w:t>
      </w:r>
    </w:p>
    <w:p w:rsidR="00DC19F1" w:rsidRDefault="00DC19F1">
      <w:pPr>
        <w:pStyle w:val="PlainText"/>
      </w:pPr>
    </w:p>
    <w:p w:rsidR="00DC19F1" w:rsidRDefault="00DC19F1">
      <w:pPr>
        <w:pStyle w:val="Heading2"/>
      </w:pPr>
      <w:bookmarkStart w:id="29" w:name="_Toc113078002"/>
      <w:bookmarkStart w:id="30" w:name="_Toc132368269"/>
      <w:r>
        <w:t xml:space="preserve">2.5 </w:t>
      </w:r>
      <w:r>
        <w:rPr>
          <w:u w:val="single"/>
        </w:rPr>
        <w:t>SENSE</w:t>
      </w:r>
      <w:r>
        <w:t xml:space="preserve"> OF FREEDOM TO MOVE BANK</w:t>
      </w:r>
      <w:bookmarkEnd w:id="29"/>
      <w:bookmarkEnd w:id="30"/>
    </w:p>
    <w:p w:rsidR="00DC19F1" w:rsidRDefault="00DC19F1">
      <w:pPr>
        <w:pStyle w:val="BodyText"/>
      </w:pPr>
      <w:r>
        <w:t xml:space="preserve">A </w:t>
      </w:r>
      <w:r>
        <w:rPr>
          <w:i/>
          <w:iCs/>
          <w:u w:val="single"/>
        </w:rPr>
        <w:t>sense</w:t>
      </w:r>
      <w:r>
        <w:rPr>
          <w:i/>
          <w:iCs/>
        </w:rPr>
        <w:t xml:space="preserve"> of freedom</w:t>
      </w:r>
      <w:r>
        <w:t xml:space="preserve"> to move one’s bank is found to be vital to commitment. This psychological perspective differs from some research’s concentration on the mere presence of switching costs, (such as loans), as potential economic or contractual exit barriers (Liljander and Strandvik, 1995; Holmlund and Kock, 1996).  It leads to a commitment typology outlined next. </w:t>
      </w:r>
    </w:p>
    <w:p w:rsidR="00DC19F1" w:rsidRDefault="00DC19F1">
      <w:pPr>
        <w:pStyle w:val="BodyText"/>
      </w:pPr>
    </w:p>
    <w:p w:rsidR="00DC19F1" w:rsidRDefault="00DC19F1">
      <w:pPr>
        <w:pStyle w:val="Heading2"/>
      </w:pPr>
      <w:bookmarkStart w:id="31" w:name="_Toc113078003"/>
      <w:bookmarkStart w:id="32" w:name="_Toc132368270"/>
      <w:r>
        <w:t>2.6 C</w:t>
      </w:r>
      <w:r>
        <w:t>OMMITIMENT TYPOLOGY</w:t>
      </w:r>
      <w:bookmarkEnd w:id="31"/>
      <w:bookmarkEnd w:id="32"/>
    </w:p>
    <w:p w:rsidR="00DC19F1" w:rsidRDefault="00DC19F1">
      <w:pPr>
        <w:pStyle w:val="BodyText"/>
        <w:ind w:left="53"/>
      </w:pPr>
      <w:r>
        <w:t xml:space="preserve">Prior theory distinguished ‘true brand loyalty’ (consistent purchasing based on </w:t>
      </w:r>
      <w:r>
        <w:rPr>
          <w:u w:val="single"/>
        </w:rPr>
        <w:t>commitment)</w:t>
      </w:r>
      <w:r>
        <w:t xml:space="preserve">, from ‘spurious brand loyalty’ based on </w:t>
      </w:r>
      <w:r>
        <w:rPr>
          <w:u w:val="single"/>
        </w:rPr>
        <w:t>inertia</w:t>
      </w:r>
      <w:r>
        <w:t xml:space="preserve"> (Day, 1969, p.30; Engel et al. 1982, Assael, 1987; Rossiter and Percy, 1987; Bloemer and Kasper, 1993).  The importance of this is that Day (1969) posits that the ‘spurious loyal’ buyer of goods lacks any attachment to brand attributes and can thus be attracted away by better deals or marketing incentives.  Previous theory subsequently identified three states: </w:t>
      </w:r>
      <w:r>
        <w:rPr>
          <w:i/>
          <w:iCs/>
        </w:rPr>
        <w:t xml:space="preserve">inertia, </w:t>
      </w:r>
      <w:r>
        <w:t xml:space="preserve">(Bloemer and Kasper, 1993 in audio </w:t>
      </w:r>
      <w:r>
        <w:lastRenderedPageBreak/>
        <w:t xml:space="preserve">cassettes), </w:t>
      </w:r>
      <w:r>
        <w:rPr>
          <w:i/>
          <w:iCs/>
        </w:rPr>
        <w:t>habit</w:t>
      </w:r>
      <w:r>
        <w:t xml:space="preserve"> and </w:t>
      </w:r>
      <w:r>
        <w:rPr>
          <w:i/>
          <w:iCs/>
        </w:rPr>
        <w:t xml:space="preserve">variety seeking </w:t>
      </w:r>
      <w:r>
        <w:t xml:space="preserve">(Knox and Walker, 2001 in groceries) as key sources of ‘spurious brand loyalty’ for goods.  </w:t>
      </w:r>
    </w:p>
    <w:p w:rsidR="00DC19F1" w:rsidRDefault="00DC19F1">
      <w:pPr>
        <w:pStyle w:val="BodyText"/>
        <w:ind w:left="53"/>
      </w:pPr>
    </w:p>
    <w:p w:rsidR="00DC19F1" w:rsidRDefault="00DC19F1">
      <w:pPr>
        <w:pStyle w:val="BodyText"/>
        <w:ind w:left="53"/>
      </w:pPr>
      <w:r>
        <w:t>Bloemer and Kasper (1993) had suggested ‘</w:t>
      </w:r>
      <w:r>
        <w:rPr>
          <w:i/>
          <w:iCs/>
        </w:rPr>
        <w:t>indifference with the choice’</w:t>
      </w:r>
      <w:r>
        <w:t xml:space="preserve"> amongst reasons for spurious loyalty.  </w:t>
      </w:r>
      <w:r>
        <w:rPr>
          <w:i/>
          <w:iCs/>
        </w:rPr>
        <w:t>Inertia</w:t>
      </w:r>
      <w:r>
        <w:t xml:space="preserve"> had been characterised in Bloemer and Kasper (1993) as a low involvement type of satisfaction called ‘latent satisfaction’ or ‘mere acceptance’, and been classed in services by Liljander and Strandvik (1995) as indifferent commitment or lack of commitment.</w:t>
      </w:r>
      <w:r>
        <w:rPr>
          <w:sz w:val="20"/>
        </w:rPr>
        <w:t xml:space="preserve">  </w:t>
      </w:r>
    </w:p>
    <w:p w:rsidR="00DC19F1" w:rsidRDefault="00DC19F1">
      <w:pPr>
        <w:pStyle w:val="BodyText"/>
      </w:pPr>
    </w:p>
    <w:p w:rsidR="00DC19F1" w:rsidRDefault="00DC19F1">
      <w:pPr>
        <w:pStyle w:val="BodyText"/>
        <w:rPr>
          <w:sz w:val="20"/>
        </w:rPr>
      </w:pPr>
      <w:r>
        <w:t xml:space="preserve">Before the present study three categories of ‘relationship commitment’ in Finnish consumer banking services had additionally been identified qualitatively as: </w:t>
      </w:r>
      <w:r>
        <w:rPr>
          <w:i/>
          <w:iCs/>
        </w:rPr>
        <w:t>positive, indifferent or negative</w:t>
      </w:r>
      <w:r>
        <w:t xml:space="preserve"> (Strandvik and Liljander, 1994).  This study compared this theory with customers’ expressed resistance to changing banks and with the negative regard expressed toward the bank by some customers in </w:t>
      </w:r>
      <w:r>
        <w:rPr>
          <w:i/>
          <w:iCs/>
        </w:rPr>
        <w:t>inertia</w:t>
      </w:r>
      <w:r>
        <w:t xml:space="preserve"> or with </w:t>
      </w:r>
      <w:r>
        <w:rPr>
          <w:i/>
          <w:iCs/>
        </w:rPr>
        <w:t>Hostage</w:t>
      </w:r>
      <w:r>
        <w:t xml:space="preserve"> ties. This study finds that customers in </w:t>
      </w:r>
      <w:r>
        <w:rPr>
          <w:i/>
          <w:iCs/>
        </w:rPr>
        <w:t>inertia</w:t>
      </w:r>
      <w:r>
        <w:t xml:space="preserve"> are not merely indifferent toward their bank. They are quite dissatisfied with their bank though resigned to tolerate its shortcomings </w:t>
      </w:r>
      <w:r>
        <w:rPr>
          <w:i/>
          <w:iCs/>
        </w:rPr>
        <w:t>‘I’ve got used to the way it is’</w:t>
      </w:r>
      <w:r>
        <w:t xml:space="preserve"> because they perceive it is too much trouble to move (unless refused a facility, or seriously let down). But, additionally, they hold a </w:t>
      </w:r>
      <w:r>
        <w:rPr>
          <w:u w:val="single"/>
        </w:rPr>
        <w:t>negative product class belief</w:t>
      </w:r>
      <w:r>
        <w:t xml:space="preserve"> that there is no better alternative.</w:t>
      </w:r>
      <w:r>
        <w:rPr>
          <w:sz w:val="20"/>
        </w:rPr>
        <w:t xml:space="preserve"> </w:t>
      </w:r>
    </w:p>
    <w:p w:rsidR="00DC19F1" w:rsidRDefault="00DC19F1">
      <w:pPr>
        <w:pStyle w:val="BodyText"/>
        <w:rPr>
          <w:sz w:val="20"/>
        </w:rPr>
      </w:pPr>
    </w:p>
    <w:p w:rsidR="00DC19F1" w:rsidRDefault="00DC19F1">
      <w:pPr>
        <w:pStyle w:val="BodyText"/>
        <w:spacing w:after="180"/>
      </w:pPr>
      <w:r>
        <w:t>Secondly, ‘Expressed relationship loyalty’ (Strandvik and Liljander, 1994) had been categorised as whether customers ‘</w:t>
      </w:r>
      <w:r>
        <w:rPr>
          <w:i/>
          <w:iCs/>
        </w:rPr>
        <w:t>had ever considered’</w:t>
      </w:r>
      <w:r>
        <w:t xml:space="preserve"> changing bank (in the </w:t>
      </w:r>
      <w:r>
        <w:rPr>
          <w:i/>
          <w:iCs/>
        </w:rPr>
        <w:t>past</w:t>
      </w:r>
      <w:r>
        <w:t>)</w:t>
      </w:r>
      <w:r>
        <w:rPr>
          <w:i/>
          <w:iCs/>
        </w:rPr>
        <w:t>.</w:t>
      </w:r>
      <w:r>
        <w:t xml:space="preserve"> But commitment, unlike loyalty, is a future-oriented construct, measured in terms of intentions (</w:t>
      </w:r>
      <w:r>
        <w:rPr>
          <w:rStyle w:val="Reference"/>
          <w:bCs/>
          <w:sz w:val="22"/>
        </w:rPr>
        <w:t xml:space="preserve">Dwyer, Schurr and Oh, 1987; </w:t>
      </w:r>
      <w:r>
        <w:t xml:space="preserve">Anderson and Weitz, 1989; Scheer and Stern, 1992; Kumar, et al., 1994).  The present study found that a customer’s ability to consider moving bank is thus bound up with both a </w:t>
      </w:r>
      <w:r>
        <w:rPr>
          <w:u w:val="single"/>
        </w:rPr>
        <w:t>sense</w:t>
      </w:r>
      <w:r>
        <w:t xml:space="preserve"> of freedom from perceived </w:t>
      </w:r>
      <w:r>
        <w:rPr>
          <w:i/>
          <w:iCs/>
        </w:rPr>
        <w:t>Hostage</w:t>
      </w:r>
      <w:r>
        <w:t xml:space="preserve"> </w:t>
      </w:r>
      <w:r>
        <w:rPr>
          <w:i/>
          <w:iCs/>
        </w:rPr>
        <w:t>ties</w:t>
      </w:r>
      <w:r>
        <w:t xml:space="preserve"> and is also closely linked with customer resistance to persuasive communications (an effect of commitment in Kiesler, 1971) and therefore with their </w:t>
      </w:r>
      <w:r>
        <w:rPr>
          <w:u w:val="single"/>
        </w:rPr>
        <w:t>future</w:t>
      </w:r>
      <w:r>
        <w:t xml:space="preserve"> intentions towards alternatives.  At the outset, ‘attitudes to alternatives’ had only been considered in terms of degree of  ‘search for’ or ‘awareness of’ alternative providers.  This study shows that in order to identify between different strengths and states of commitment it is important to discern whether an alternative is a future consideration for any given customer.  </w:t>
      </w:r>
    </w:p>
    <w:p w:rsidR="00DC19F1" w:rsidRDefault="00DC19F1">
      <w:pPr>
        <w:pStyle w:val="BodyText"/>
      </w:pPr>
    </w:p>
    <w:p w:rsidR="00DC19F1" w:rsidRDefault="00DC19F1">
      <w:pPr>
        <w:pStyle w:val="BodyText"/>
      </w:pPr>
      <w:r>
        <w:t>Hence a more telling distinction between banking services customers’ different states of ‘commitment’ found in this study can be ascertained when:</w:t>
      </w:r>
    </w:p>
    <w:p w:rsidR="00DC19F1" w:rsidRDefault="00DC19F1">
      <w:pPr>
        <w:pStyle w:val="BodyText"/>
        <w:numPr>
          <w:ilvl w:val="0"/>
          <w:numId w:val="3"/>
        </w:numPr>
      </w:pPr>
      <w:r>
        <w:t xml:space="preserve">A customer’s </w:t>
      </w:r>
      <w:r>
        <w:rPr>
          <w:u w:val="single"/>
        </w:rPr>
        <w:t>overall disposition towards the banking services provider</w:t>
      </w:r>
      <w:r>
        <w:t xml:space="preserve"> is compared with:</w:t>
      </w:r>
    </w:p>
    <w:p w:rsidR="00DC19F1" w:rsidRDefault="00DC19F1">
      <w:pPr>
        <w:pStyle w:val="BodyText"/>
        <w:numPr>
          <w:ilvl w:val="0"/>
          <w:numId w:val="3"/>
        </w:numPr>
      </w:pPr>
      <w:r>
        <w:t>The customer’s perceived</w:t>
      </w:r>
      <w:r>
        <w:rPr>
          <w:i/>
          <w:iCs/>
        </w:rPr>
        <w:t xml:space="preserve"> </w:t>
      </w:r>
      <w:r>
        <w:rPr>
          <w:i/>
          <w:iCs/>
          <w:u w:val="single"/>
        </w:rPr>
        <w:t>sense</w:t>
      </w:r>
      <w:r>
        <w:rPr>
          <w:i/>
          <w:iCs/>
        </w:rPr>
        <w:t xml:space="preserve"> of freedom </w:t>
      </w:r>
      <w:r>
        <w:t xml:space="preserve">from cost constraints to move business to another bank; and </w:t>
      </w:r>
    </w:p>
    <w:p w:rsidR="00DC19F1" w:rsidRDefault="00DC19F1">
      <w:pPr>
        <w:pStyle w:val="BodyText"/>
        <w:numPr>
          <w:ilvl w:val="0"/>
          <w:numId w:val="3"/>
        </w:numPr>
      </w:pPr>
      <w:r>
        <w:t xml:space="preserve">Whether the customer believes there to be a suitable substitute, or significantly better alternative available and could </w:t>
      </w:r>
      <w:r>
        <w:rPr>
          <w:u w:val="single"/>
        </w:rPr>
        <w:t xml:space="preserve">intend to use an alternative </w:t>
      </w:r>
      <w:r>
        <w:rPr>
          <w:i/>
          <w:iCs/>
          <w:u w:val="single"/>
        </w:rPr>
        <w:t>in the</w:t>
      </w:r>
      <w:r>
        <w:rPr>
          <w:u w:val="single"/>
        </w:rPr>
        <w:t xml:space="preserve"> </w:t>
      </w:r>
      <w:r>
        <w:rPr>
          <w:i/>
          <w:iCs/>
          <w:u w:val="single"/>
        </w:rPr>
        <w:t>future</w:t>
      </w:r>
      <w:r>
        <w:t>.</w:t>
      </w:r>
      <w:r>
        <w:rPr>
          <w:u w:val="single"/>
        </w:rPr>
        <w:t xml:space="preserve">   </w:t>
      </w:r>
    </w:p>
    <w:p w:rsidR="00DC19F1" w:rsidRDefault="00DC19F1">
      <w:pPr>
        <w:pStyle w:val="BodyText"/>
      </w:pPr>
      <w:r>
        <w:lastRenderedPageBreak/>
        <w:t>This is shown on a matrix (Figure 4).</w:t>
      </w:r>
    </w:p>
    <w:p w:rsidR="00DC19F1" w:rsidRDefault="00DC19F1">
      <w:pPr>
        <w:pStyle w:val="BodyText"/>
      </w:pPr>
    </w:p>
    <w:p w:rsidR="00DC19F1" w:rsidRDefault="00DC19F1">
      <w:pPr>
        <w:pStyle w:val="BodyText"/>
      </w:pPr>
    </w:p>
    <w:p w:rsidR="00DC19F1" w:rsidRDefault="00DC19F1">
      <w:pPr>
        <w:pStyle w:val="Caption"/>
        <w:rPr>
          <w:b w:val="0"/>
          <w:bCs w:val="0"/>
        </w:rPr>
      </w:pPr>
      <w:bookmarkStart w:id="33" w:name="_Toc113105121"/>
      <w:r>
        <w:t xml:space="preserve">Figure </w:t>
      </w:r>
      <w:fldSimple w:instr=" SEQ Figure \* ARABIC ">
        <w:r w:rsidR="00FA61D1">
          <w:rPr>
            <w:noProof/>
          </w:rPr>
          <w:t>4</w:t>
        </w:r>
      </w:fldSimple>
      <w:r>
        <w:rPr>
          <w:b w:val="0"/>
          <w:bCs w:val="0"/>
        </w:rPr>
        <w:t xml:space="preserve">: </w:t>
      </w:r>
      <w:r>
        <w:t>Commitment Typology in Consumer Services Banking</w:t>
      </w:r>
      <w:bookmarkEnd w:id="33"/>
      <w:r>
        <w:rPr>
          <w:b w:val="0"/>
          <w:bCs w:val="0"/>
        </w:rPr>
        <w:t xml:space="preserve"> </w:t>
      </w:r>
      <w:r>
        <w:rPr>
          <w:b w:val="0"/>
          <w:bCs w:val="0"/>
        </w:rPr>
        <w:tab/>
      </w:r>
    </w:p>
    <w:p w:rsidR="00DC19F1" w:rsidRDefault="00DC19F1">
      <w:pPr>
        <w:pStyle w:val="BodyText"/>
        <w:rPr>
          <w:b/>
          <w:bCs/>
        </w:rPr>
      </w:pPr>
      <w:r>
        <w:rPr>
          <w:b/>
          <w:bCs/>
        </w:rPr>
        <w:tab/>
      </w:r>
      <w:r>
        <w:rPr>
          <w:b/>
          <w:bCs/>
        </w:rPr>
        <w:tab/>
      </w:r>
    </w:p>
    <w:p w:rsidR="00DC19F1" w:rsidRDefault="00DC19F1">
      <w:pPr>
        <w:pStyle w:val="BodyText"/>
        <w:rPr>
          <w:b/>
          <w:bCs/>
        </w:rPr>
      </w:pPr>
      <w:r>
        <w:rPr>
          <w:b/>
          <w:bCs/>
        </w:rPr>
        <w:tab/>
      </w:r>
      <w:r>
        <w:rPr>
          <w:b/>
          <w:bCs/>
        </w:rPr>
        <w:tab/>
      </w:r>
      <w:r>
        <w:rPr>
          <w:b/>
          <w:bCs/>
        </w:rPr>
        <w:tab/>
        <w:t xml:space="preserve">       Positive Regard toward the bank</w:t>
      </w:r>
      <w:r>
        <w:rPr>
          <w:b/>
          <w:bCs/>
        </w:rPr>
        <w:tab/>
      </w:r>
      <w:r>
        <w:rPr>
          <w:b/>
          <w:bCs/>
          <w:noProof/>
          <w:sz w:val="20"/>
          <w:lang w:val="en-US"/>
        </w:rPr>
        <w:pict>
          <v:line id="_x0000_s1045" style="position:absolute;flip:y;z-index:13;mso-position-horizontal-relative:text;mso-position-vertical-relative:text" from="198pt,13.35pt" to="198pt,33.3pt">
            <v:stroke endarrow="block"/>
          </v:line>
        </w:pict>
      </w:r>
    </w:p>
    <w:p w:rsidR="00DC19F1" w:rsidRDefault="00DC19F1">
      <w:pPr>
        <w:pStyle w:val="BodyText"/>
        <w:rPr>
          <w:b/>
          <w:bCs/>
        </w:rPr>
      </w:pPr>
      <w:r>
        <w:rPr>
          <w:noProof/>
          <w:sz w:val="20"/>
          <w:lang w:val="en-US"/>
        </w:rPr>
        <w:pict>
          <v:rect id="_x0000_s1039" style="position:absolute;margin-left:99pt;margin-top:14.35pt;width:198pt;height:161pt;z-index:10">
            <v:textbox>
              <w:txbxContent>
                <w:p w:rsidR="00DC19F1" w:rsidRDefault="00DC19F1">
                  <w:pPr>
                    <w:rPr>
                      <w:i/>
                      <w:iCs/>
                      <w:sz w:val="22"/>
                    </w:rPr>
                  </w:pPr>
                  <w:r>
                    <w:rPr>
                      <w:i/>
                      <w:iCs/>
                      <w:sz w:val="22"/>
                    </w:rPr>
                    <w:t>Unconditionally</w:t>
                  </w:r>
                  <w:r>
                    <w:rPr>
                      <w:i/>
                      <w:iCs/>
                      <w:sz w:val="22"/>
                    </w:rPr>
                    <w:tab/>
                  </w:r>
                  <w:r>
                    <w:rPr>
                      <w:i/>
                      <w:iCs/>
                      <w:sz w:val="22"/>
                    </w:rPr>
                    <w:tab/>
                    <w:t>Conditionally</w:t>
                  </w:r>
                </w:p>
                <w:p w:rsidR="00DC19F1" w:rsidRDefault="00DC19F1">
                  <w:pPr>
                    <w:rPr>
                      <w:i/>
                      <w:iCs/>
                      <w:sz w:val="22"/>
                    </w:rPr>
                  </w:pPr>
                  <w:r>
                    <w:rPr>
                      <w:i/>
                      <w:iCs/>
                      <w:sz w:val="22"/>
                    </w:rPr>
                    <w:t>Committed</w:t>
                  </w:r>
                  <w:r>
                    <w:rPr>
                      <w:i/>
                      <w:iCs/>
                      <w:sz w:val="22"/>
                    </w:rPr>
                    <w:tab/>
                  </w:r>
                  <w:r>
                    <w:rPr>
                      <w:i/>
                      <w:iCs/>
                      <w:sz w:val="22"/>
                    </w:rPr>
                    <w:tab/>
                    <w:t>Committed</w:t>
                  </w:r>
                </w:p>
                <w:p w:rsidR="00DC19F1" w:rsidRDefault="00DC19F1">
                  <w:pPr>
                    <w:rPr>
                      <w:i/>
                      <w:iCs/>
                      <w:sz w:val="22"/>
                    </w:rPr>
                  </w:pPr>
                </w:p>
                <w:p w:rsidR="00DC19F1" w:rsidRDefault="00DC19F1">
                  <w:pPr>
                    <w:rPr>
                      <w:sz w:val="22"/>
                    </w:rPr>
                  </w:pPr>
                </w:p>
                <w:p w:rsidR="00DC19F1" w:rsidRDefault="00DC19F1">
                  <w:pPr>
                    <w:rPr>
                      <w:sz w:val="22"/>
                    </w:rPr>
                  </w:pPr>
                </w:p>
                <w:p w:rsidR="00DC19F1" w:rsidRDefault="00DC19F1">
                  <w:pPr>
                    <w:rPr>
                      <w:sz w:val="22"/>
                    </w:rPr>
                  </w:pPr>
                </w:p>
                <w:p w:rsidR="00DC19F1" w:rsidRDefault="00DC19F1">
                  <w:pPr>
                    <w:pStyle w:val="Heading4"/>
                    <w:numPr>
                      <w:ilvl w:val="0"/>
                      <w:numId w:val="0"/>
                    </w:numPr>
                  </w:pPr>
                  <w:r>
                    <w:t>Inertia</w:t>
                  </w:r>
                  <w:r>
                    <w:tab/>
                  </w:r>
                  <w:r>
                    <w:tab/>
                  </w:r>
                  <w:r>
                    <w:tab/>
                  </w:r>
                </w:p>
                <w:p w:rsidR="00DC19F1" w:rsidRDefault="00DC19F1">
                  <w:pPr>
                    <w:rPr>
                      <w:i/>
                      <w:iCs/>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i/>
                      <w:iCs/>
                      <w:sz w:val="22"/>
                    </w:rPr>
                    <w:t>Temporary</w:t>
                  </w:r>
                </w:p>
                <w:p w:rsidR="00DC19F1" w:rsidRDefault="00DC19F1">
                  <w:pPr>
                    <w:rPr>
                      <w:sz w:val="22"/>
                    </w:rPr>
                  </w:pPr>
                  <w:r>
                    <w:rPr>
                      <w:i/>
                      <w:iCs/>
                      <w:sz w:val="22"/>
                    </w:rPr>
                    <w:tab/>
                  </w:r>
                  <w:r>
                    <w:rPr>
                      <w:i/>
                      <w:iCs/>
                      <w:sz w:val="22"/>
                    </w:rPr>
                    <w:tab/>
                  </w:r>
                  <w:r>
                    <w:rPr>
                      <w:i/>
                      <w:iCs/>
                      <w:sz w:val="22"/>
                    </w:rPr>
                    <w:tab/>
                    <w:t>Hostage</w:t>
                  </w:r>
                  <w:r>
                    <w:rPr>
                      <w:sz w:val="22"/>
                    </w:rPr>
                    <w:tab/>
                  </w:r>
                </w:p>
                <w:p w:rsidR="00DC19F1" w:rsidRDefault="00DC19F1">
                  <w:pPr>
                    <w:pStyle w:val="Heading4"/>
                    <w:numPr>
                      <w:ilvl w:val="0"/>
                      <w:numId w:val="0"/>
                    </w:numPr>
                    <w:rPr>
                      <w:sz w:val="20"/>
                    </w:rPr>
                  </w:pPr>
                  <w:r>
                    <w:t>Prisoner</w:t>
                  </w:r>
                  <w:r>
                    <w:tab/>
                  </w:r>
                </w:p>
              </w:txbxContent>
            </v:textbox>
          </v:rect>
        </w:pict>
      </w:r>
      <w:r>
        <w:rPr>
          <w:noProof/>
          <w:sz w:val="20"/>
          <w:lang w:val="en-US"/>
        </w:rPr>
        <w:pict>
          <v:line id="_x0000_s1040" style="position:absolute;z-index:11" from="198pt,14.35pt" to="198pt,175.35pt"/>
        </w:pict>
      </w:r>
    </w:p>
    <w:p w:rsidR="00DC19F1" w:rsidRDefault="00DC19F1">
      <w:pPr>
        <w:pStyle w:val="BodyText"/>
      </w:pPr>
    </w:p>
    <w:p w:rsidR="00DC19F1" w:rsidRDefault="00DC19F1">
      <w:pPr>
        <w:pStyle w:val="BodyText"/>
      </w:pPr>
    </w:p>
    <w:p w:rsidR="00DC19F1" w:rsidRDefault="00DC19F1">
      <w:pPr>
        <w:pStyle w:val="BodyText"/>
      </w:pPr>
    </w:p>
    <w:p w:rsidR="00DC19F1" w:rsidRDefault="00DC19F1">
      <w:pPr>
        <w:pStyle w:val="BodyText"/>
        <w:rPr>
          <w:b/>
          <w:bCs/>
        </w:rPr>
      </w:pPr>
      <w:r>
        <w:rPr>
          <w:b/>
          <w:bCs/>
          <w:noProof/>
          <w:sz w:val="20"/>
          <w:lang w:val="en-US"/>
        </w:rPr>
        <w:pict>
          <v:line id="_x0000_s1048" style="position:absolute;z-index:16" from="297pt,18.5pt" to="324pt,18.5pt">
            <v:stroke endarrow="block"/>
          </v:line>
        </w:pict>
      </w:r>
      <w:r>
        <w:rPr>
          <w:b/>
          <w:bCs/>
          <w:noProof/>
          <w:sz w:val="20"/>
          <w:lang w:val="en-US"/>
        </w:rPr>
        <w:pict>
          <v:line id="_x0000_s1047" style="position:absolute;flip:x;z-index:15" from="1in,18.5pt" to="99pt,18.5pt">
            <v:stroke endarrow="block"/>
          </v:line>
        </w:pict>
      </w:r>
      <w:r>
        <w:rPr>
          <w:b/>
          <w:bCs/>
          <w:noProof/>
          <w:sz w:val="20"/>
          <w:lang w:val="en-US"/>
        </w:rPr>
        <w:pict>
          <v:line id="_x0000_s1041" style="position:absolute;z-index:12" from="99pt,18.5pt" to="297pt,18.5pt"/>
        </w:pict>
      </w:r>
      <w:r>
        <w:rPr>
          <w:b/>
          <w:bCs/>
        </w:rPr>
        <w:t>No Substitute/</w:t>
      </w:r>
      <w:r>
        <w:rPr>
          <w:b/>
          <w:bCs/>
        </w:rPr>
        <w:tab/>
      </w:r>
      <w:r>
        <w:rPr>
          <w:b/>
          <w:bCs/>
        </w:rPr>
        <w:tab/>
      </w:r>
      <w:r>
        <w:rPr>
          <w:b/>
          <w:bCs/>
        </w:rPr>
        <w:tab/>
      </w:r>
      <w:r>
        <w:rPr>
          <w:b/>
          <w:bCs/>
        </w:rPr>
        <w:tab/>
      </w:r>
      <w:r>
        <w:rPr>
          <w:b/>
          <w:bCs/>
        </w:rPr>
        <w:tab/>
      </w:r>
      <w:r>
        <w:rPr>
          <w:b/>
          <w:bCs/>
        </w:rPr>
        <w:tab/>
      </w:r>
      <w:r>
        <w:rPr>
          <w:b/>
          <w:bCs/>
        </w:rPr>
        <w:tab/>
        <w:t xml:space="preserve">              Alternatives may</w:t>
      </w:r>
      <w:r>
        <w:rPr>
          <w:b/>
          <w:bCs/>
        </w:rPr>
        <w:tab/>
      </w:r>
    </w:p>
    <w:p w:rsidR="00DC19F1" w:rsidRDefault="00DC19F1">
      <w:pPr>
        <w:pStyle w:val="BodyText"/>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be considered</w:t>
      </w:r>
    </w:p>
    <w:p w:rsidR="00DC19F1" w:rsidRDefault="00DC19F1">
      <w:pPr>
        <w:pStyle w:val="BodyText"/>
        <w:rPr>
          <w:b/>
          <w:bCs/>
        </w:rPr>
      </w:pPr>
      <w:r>
        <w:rPr>
          <w:b/>
          <w:bCs/>
        </w:rPr>
        <w:t>No Alternative</w:t>
      </w:r>
    </w:p>
    <w:p w:rsidR="00DC19F1" w:rsidRDefault="00DC19F1">
      <w:pPr>
        <w:pStyle w:val="BodyText"/>
      </w:pPr>
    </w:p>
    <w:p w:rsidR="00DC19F1" w:rsidRDefault="00DC19F1">
      <w:pPr>
        <w:pStyle w:val="BodyText"/>
      </w:pPr>
      <w:r>
        <w:rPr>
          <w:noProof/>
          <w:sz w:val="20"/>
          <w:lang w:val="en-US"/>
        </w:rPr>
        <w:pict>
          <v:line id="_x0000_s1046" style="position:absolute;z-index:14" from="198pt,5.55pt" to="198pt,23.55pt">
            <v:stroke endarrow="block"/>
          </v:line>
        </w:pict>
      </w:r>
    </w:p>
    <w:p w:rsidR="00DC19F1" w:rsidRDefault="00DC19F1">
      <w:pPr>
        <w:pStyle w:val="BodyText"/>
      </w:pPr>
    </w:p>
    <w:p w:rsidR="00DC19F1" w:rsidRDefault="00DC19F1">
      <w:pPr>
        <w:pStyle w:val="BodyText"/>
        <w:ind w:left="1493" w:firstLine="667"/>
        <w:jc w:val="both"/>
        <w:rPr>
          <w:b/>
          <w:bCs/>
        </w:rPr>
      </w:pPr>
      <w:r>
        <w:rPr>
          <w:b/>
          <w:bCs/>
        </w:rPr>
        <w:t xml:space="preserve">        Negative regard toward the bank</w:t>
      </w:r>
    </w:p>
    <w:p w:rsidR="00DC19F1" w:rsidRDefault="00DC19F1">
      <w:pPr>
        <w:pStyle w:val="BodyText"/>
        <w:ind w:left="53"/>
        <w:jc w:val="both"/>
      </w:pPr>
    </w:p>
    <w:p w:rsidR="00DC19F1" w:rsidRDefault="00DC19F1">
      <w:pPr>
        <w:pStyle w:val="BodyText"/>
        <w:ind w:left="53"/>
        <w:rPr>
          <w:i/>
          <w:iCs/>
        </w:rPr>
      </w:pPr>
      <w:r>
        <w:t xml:space="preserve">Definitions based on loyalty to </w:t>
      </w:r>
      <w:r>
        <w:rPr>
          <w:i/>
          <w:iCs/>
        </w:rPr>
        <w:t>goods</w:t>
      </w:r>
      <w:r>
        <w:t xml:space="preserve"> miss some of the reasons for ‘spurious brand loyalty’ that were found in the </w:t>
      </w:r>
      <w:r>
        <w:rPr>
          <w:i/>
          <w:iCs/>
        </w:rPr>
        <w:t>continuous services</w:t>
      </w:r>
      <w:r>
        <w:t xml:space="preserve"> context of this present study. The typology resulting from the present study (Figure 4) contributes to theory by dividing ‘</w:t>
      </w:r>
      <w:r>
        <w:rPr>
          <w:u w:val="single"/>
        </w:rPr>
        <w:t>true brand loyalty’ (containing commitment</w:t>
      </w:r>
      <w:r>
        <w:t xml:space="preserve">) into two positive states: </w:t>
      </w:r>
      <w:r>
        <w:rPr>
          <w:i/>
          <w:iCs/>
        </w:rPr>
        <w:t>conditionally committed</w:t>
      </w:r>
      <w:r>
        <w:t xml:space="preserve"> and </w:t>
      </w:r>
      <w:r>
        <w:rPr>
          <w:i/>
          <w:iCs/>
        </w:rPr>
        <w:t>unconditionally committed</w:t>
      </w:r>
      <w:r>
        <w:t>; and by dividing ‘</w:t>
      </w:r>
      <w:r>
        <w:rPr>
          <w:u w:val="single"/>
        </w:rPr>
        <w:t>spurious brand loyalty</w:t>
      </w:r>
      <w:r>
        <w:t xml:space="preserve">’ (repeat patronage lacking commitment) into three states for consumer banking services: </w:t>
      </w:r>
      <w:r>
        <w:rPr>
          <w:i/>
          <w:iCs/>
        </w:rPr>
        <w:t>inertia, temporary hostage</w:t>
      </w:r>
      <w:r>
        <w:t xml:space="preserve"> and </w:t>
      </w:r>
      <w:r>
        <w:rPr>
          <w:i/>
          <w:iCs/>
        </w:rPr>
        <w:t xml:space="preserve">prisoner. </w:t>
      </w:r>
    </w:p>
    <w:p w:rsidR="00DC19F1" w:rsidRDefault="00DC19F1">
      <w:pPr>
        <w:pStyle w:val="BodyText"/>
        <w:ind w:left="53"/>
        <w:rPr>
          <w:i/>
          <w:iCs/>
        </w:rPr>
      </w:pPr>
    </w:p>
    <w:p w:rsidR="00DC19F1" w:rsidRDefault="00DC19F1">
      <w:pPr>
        <w:pStyle w:val="BodyText"/>
      </w:pPr>
      <w:r>
        <w:t xml:space="preserve">This typology offers a clear-cut way to sort bank customers into groups relevant to their commitment or ‘spurious brand loyalty’ status so that management can follow up on how to improve retention amongst the </w:t>
      </w:r>
      <w:r>
        <w:rPr>
          <w:i/>
          <w:iCs/>
        </w:rPr>
        <w:t>conditionally committed</w:t>
      </w:r>
      <w:r>
        <w:t xml:space="preserve"> group, or reinforce </w:t>
      </w:r>
      <w:r>
        <w:rPr>
          <w:i/>
          <w:iCs/>
        </w:rPr>
        <w:t>unconditionally committed</w:t>
      </w:r>
      <w:r>
        <w:t xml:space="preserve"> customers and can adapt their marketing and service quality strategies accordingly. </w:t>
      </w:r>
    </w:p>
    <w:p w:rsidR="00DC19F1" w:rsidRDefault="00DC19F1">
      <w:pPr>
        <w:pStyle w:val="BodyText"/>
      </w:pPr>
      <w:r>
        <w:t xml:space="preserve">It leads to the commitment scale proposed in the Appendix. The scale should also help to identify what proportion of bank customers feel trapped, or are spuriously loyal because of temporary financial ties, or </w:t>
      </w:r>
      <w:r>
        <w:rPr>
          <w:i/>
          <w:iCs/>
        </w:rPr>
        <w:t>inertia</w:t>
      </w:r>
      <w:r>
        <w:t>. Descriptions of the five states</w:t>
      </w:r>
      <w:r>
        <w:rPr>
          <w:i/>
          <w:iCs/>
        </w:rPr>
        <w:t xml:space="preserve"> </w:t>
      </w:r>
      <w:r>
        <w:t>follow in Tables 4 and 5; these are grounded in both customer and practitioner data, extracts from which are given in Tables 6, 7 and 8 in the Appendix of this Addendum.</w:t>
      </w:r>
    </w:p>
    <w:p w:rsidR="00DC19F1" w:rsidRDefault="00DC19F1">
      <w:pPr>
        <w:pStyle w:val="BodyText"/>
      </w:pPr>
    </w:p>
    <w:p w:rsidR="00DC19F1" w:rsidRDefault="00DC19F1">
      <w:pPr>
        <w:pStyle w:val="BodyText"/>
        <w:rPr>
          <w:b/>
          <w:bCs/>
        </w:rPr>
      </w:pPr>
    </w:p>
    <w:p w:rsidR="00DC19F1" w:rsidRDefault="00DC19F1">
      <w:pPr>
        <w:pStyle w:val="BodyText"/>
        <w:rPr>
          <w:b/>
          <w:bCs/>
        </w:rPr>
      </w:pPr>
    </w:p>
    <w:p w:rsidR="00DC19F1" w:rsidRDefault="00DC19F1">
      <w:pPr>
        <w:pStyle w:val="BodyText"/>
        <w:rPr>
          <w:b/>
          <w:bCs/>
        </w:rPr>
      </w:pPr>
    </w:p>
    <w:p w:rsidR="00DC19F1" w:rsidRDefault="00DC19F1">
      <w:pPr>
        <w:pStyle w:val="BodyText"/>
        <w:rPr>
          <w:b/>
          <w:bCs/>
        </w:rPr>
      </w:pPr>
    </w:p>
    <w:p w:rsidR="00DC19F1" w:rsidRDefault="00DC19F1">
      <w:pPr>
        <w:pStyle w:val="Caption"/>
      </w:pPr>
      <w:bookmarkStart w:id="34" w:name="_Toc113105181"/>
      <w:r>
        <w:t xml:space="preserve">Table </w:t>
      </w:r>
      <w:fldSimple w:instr=" SEQ Table \* ARABIC ">
        <w:r w:rsidR="00FA61D1">
          <w:rPr>
            <w:noProof/>
          </w:rPr>
          <w:t>4</w:t>
        </w:r>
      </w:fldSimple>
      <w:r>
        <w:t>: Two States of Commitment</w:t>
      </w:r>
      <w:bookmarkEnd w:id="34"/>
    </w:p>
    <w:p w:rsidR="00DC19F1" w:rsidRDefault="00DC19F1">
      <w:pPr>
        <w:pStyle w:val="BodyText"/>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3"/>
        <w:gridCol w:w="6877"/>
      </w:tblGrid>
      <w:tr w:rsidR="00DC19F1">
        <w:tblPrEx>
          <w:tblCellMar>
            <w:top w:w="0" w:type="dxa"/>
            <w:bottom w:w="0" w:type="dxa"/>
          </w:tblCellMar>
        </w:tblPrEx>
        <w:tc>
          <w:tcPr>
            <w:tcW w:w="1583" w:type="dxa"/>
          </w:tcPr>
          <w:p w:rsidR="00DC19F1" w:rsidRDefault="00DC19F1">
            <w:pPr>
              <w:pStyle w:val="BodyText"/>
              <w:spacing w:line="240" w:lineRule="auto"/>
              <w:rPr>
                <w:b/>
                <w:bCs/>
                <w:sz w:val="20"/>
              </w:rPr>
            </w:pPr>
            <w:r>
              <w:rPr>
                <w:b/>
                <w:bCs/>
                <w:sz w:val="20"/>
              </w:rPr>
              <w:t xml:space="preserve">Unconditionally </w:t>
            </w:r>
          </w:p>
          <w:p w:rsidR="00DC19F1" w:rsidRDefault="00DC19F1">
            <w:pPr>
              <w:pStyle w:val="BodyText"/>
              <w:spacing w:line="240" w:lineRule="auto"/>
              <w:rPr>
                <w:b/>
                <w:bCs/>
              </w:rPr>
            </w:pPr>
            <w:r>
              <w:rPr>
                <w:b/>
                <w:bCs/>
                <w:sz w:val="20"/>
              </w:rPr>
              <w:t>Committed</w:t>
            </w:r>
          </w:p>
        </w:tc>
        <w:tc>
          <w:tcPr>
            <w:tcW w:w="6877" w:type="dxa"/>
          </w:tcPr>
          <w:p w:rsidR="00DC19F1" w:rsidRDefault="00DC19F1">
            <w:pPr>
              <w:pStyle w:val="BodyText"/>
              <w:spacing w:line="240" w:lineRule="auto"/>
              <w:rPr>
                <w:sz w:val="20"/>
              </w:rPr>
            </w:pPr>
            <w:r>
              <w:rPr>
                <w:i/>
                <w:iCs/>
                <w:sz w:val="20"/>
              </w:rPr>
              <w:t>Unconditionally committed</w:t>
            </w:r>
            <w:r>
              <w:rPr>
                <w:sz w:val="20"/>
              </w:rPr>
              <w:t xml:space="preserve"> customers have a strong commitment to the service provider brand, expressed in high resistance to the notion of changing banks. This resistance is not rooted mainly in temporary or permanent financial obligations to stay, nor is it based primarily on </w:t>
            </w:r>
            <w:r>
              <w:rPr>
                <w:i/>
                <w:iCs/>
                <w:sz w:val="20"/>
              </w:rPr>
              <w:t xml:space="preserve">inertia. </w:t>
            </w:r>
            <w:r>
              <w:rPr>
                <w:sz w:val="20"/>
              </w:rPr>
              <w:t>It is based on a strong positive regard for the bank, its attributes, or its personnel - including trust, satisfaction, involvement and identification with values the bank stands for; a desire to stay based on a belief that there is simply no substitute for this company brand. These customers are likely to recommend their bank frequently to others and may choose to concentrate their personal finance purchases with the same bank.</w:t>
            </w:r>
          </w:p>
          <w:p w:rsidR="00DC19F1" w:rsidRDefault="00DC19F1">
            <w:pPr>
              <w:pStyle w:val="BodyText"/>
              <w:spacing w:line="240" w:lineRule="auto"/>
              <w:rPr>
                <w:b/>
                <w:bCs/>
              </w:rPr>
            </w:pPr>
            <w:r>
              <w:rPr>
                <w:sz w:val="20"/>
              </w:rPr>
              <w:t xml:space="preserve"> </w:t>
            </w:r>
          </w:p>
        </w:tc>
      </w:tr>
      <w:tr w:rsidR="00DC19F1">
        <w:tblPrEx>
          <w:tblCellMar>
            <w:top w:w="0" w:type="dxa"/>
            <w:bottom w:w="0" w:type="dxa"/>
          </w:tblCellMar>
        </w:tblPrEx>
        <w:tc>
          <w:tcPr>
            <w:tcW w:w="1583" w:type="dxa"/>
          </w:tcPr>
          <w:p w:rsidR="00DC19F1" w:rsidRDefault="00DC19F1">
            <w:pPr>
              <w:pStyle w:val="BodyText"/>
              <w:spacing w:line="240" w:lineRule="auto"/>
              <w:rPr>
                <w:b/>
                <w:bCs/>
                <w:sz w:val="20"/>
              </w:rPr>
            </w:pPr>
            <w:r>
              <w:rPr>
                <w:b/>
                <w:bCs/>
                <w:sz w:val="20"/>
              </w:rPr>
              <w:t>Conditionally</w:t>
            </w:r>
          </w:p>
          <w:p w:rsidR="00DC19F1" w:rsidRDefault="00DC19F1">
            <w:pPr>
              <w:pStyle w:val="BodyText"/>
              <w:spacing w:line="240" w:lineRule="auto"/>
              <w:rPr>
                <w:b/>
                <w:bCs/>
              </w:rPr>
            </w:pPr>
            <w:r>
              <w:rPr>
                <w:b/>
                <w:bCs/>
                <w:sz w:val="20"/>
              </w:rPr>
              <w:t>Committed</w:t>
            </w:r>
          </w:p>
        </w:tc>
        <w:tc>
          <w:tcPr>
            <w:tcW w:w="6877" w:type="dxa"/>
          </w:tcPr>
          <w:p w:rsidR="00DC19F1" w:rsidRDefault="00DC19F1">
            <w:pPr>
              <w:pStyle w:val="BodyText"/>
              <w:spacing w:line="240" w:lineRule="auto"/>
              <w:rPr>
                <w:sz w:val="20"/>
              </w:rPr>
            </w:pPr>
            <w:r>
              <w:rPr>
                <w:i/>
                <w:iCs/>
                <w:sz w:val="20"/>
              </w:rPr>
              <w:t>Conditional commitment</w:t>
            </w:r>
            <w:r>
              <w:rPr>
                <w:sz w:val="20"/>
              </w:rPr>
              <w:t xml:space="preserve"> is based on positive regard and a moderate degree of commitment to the bank expressed in some reluctance to change banks but a perception that a change of provider might be a possibility in the future if performance of the current provider should deteriorate, or should a better offer or better incentives become available. The main bank may be part of a customer portfolio of banks used.</w:t>
            </w:r>
          </w:p>
          <w:p w:rsidR="00DC19F1" w:rsidRDefault="00DC19F1">
            <w:pPr>
              <w:pStyle w:val="BodyText"/>
              <w:spacing w:line="240" w:lineRule="auto"/>
              <w:rPr>
                <w:b/>
                <w:bCs/>
              </w:rPr>
            </w:pPr>
          </w:p>
        </w:tc>
      </w:tr>
    </w:tbl>
    <w:p w:rsidR="00DC19F1" w:rsidRDefault="00DC19F1">
      <w:pPr>
        <w:pStyle w:val="BodyText"/>
        <w:spacing w:line="240" w:lineRule="auto"/>
        <w:rPr>
          <w:b/>
          <w:bCs/>
        </w:rPr>
      </w:pPr>
    </w:p>
    <w:p w:rsidR="00DC19F1" w:rsidRDefault="00DC19F1">
      <w:pPr>
        <w:pStyle w:val="BodyText"/>
        <w:spacing w:line="240" w:lineRule="auto"/>
        <w:rPr>
          <w:b/>
          <w:bCs/>
        </w:rPr>
      </w:pPr>
    </w:p>
    <w:p w:rsidR="00DC19F1" w:rsidRDefault="00DC19F1">
      <w:pPr>
        <w:pStyle w:val="Caption"/>
        <w:rPr>
          <w:b w:val="0"/>
          <w:bCs w:val="0"/>
        </w:rPr>
      </w:pPr>
      <w:bookmarkStart w:id="35" w:name="_Toc113105182"/>
      <w:r>
        <w:t xml:space="preserve">Table </w:t>
      </w:r>
      <w:fldSimple w:instr=" SEQ Table \* ARABIC ">
        <w:r w:rsidR="00FA61D1">
          <w:rPr>
            <w:noProof/>
          </w:rPr>
          <w:t>5</w:t>
        </w:r>
      </w:fldSimple>
      <w:r>
        <w:rPr>
          <w:b w:val="0"/>
          <w:bCs w:val="0"/>
        </w:rPr>
        <w:t xml:space="preserve">: </w:t>
      </w:r>
      <w:r>
        <w:t>Three Spuriously Brand Loyal or ‘Calculative’ Commitment States</w:t>
      </w:r>
      <w:bookmarkEnd w:id="35"/>
    </w:p>
    <w:p w:rsidR="00DC19F1" w:rsidRDefault="00DC19F1">
      <w:pPr>
        <w:pStyle w:val="BodyText"/>
        <w:spacing w:line="240" w:lineRule="auto"/>
        <w:rPr>
          <w:b/>
          <w:bC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7020"/>
      </w:tblGrid>
      <w:tr w:rsidR="00DC19F1">
        <w:tblPrEx>
          <w:tblCellMar>
            <w:top w:w="0" w:type="dxa"/>
            <w:bottom w:w="0" w:type="dxa"/>
          </w:tblCellMar>
        </w:tblPrEx>
        <w:trPr>
          <w:trHeight w:val="1979"/>
        </w:trPr>
        <w:tc>
          <w:tcPr>
            <w:tcW w:w="1440" w:type="dxa"/>
          </w:tcPr>
          <w:p w:rsidR="00DC19F1" w:rsidRDefault="00DC19F1">
            <w:pPr>
              <w:pStyle w:val="BodyText"/>
              <w:spacing w:line="240" w:lineRule="auto"/>
              <w:rPr>
                <w:b/>
                <w:bCs/>
                <w:sz w:val="20"/>
              </w:rPr>
            </w:pPr>
            <w:r>
              <w:rPr>
                <w:b/>
                <w:bCs/>
                <w:sz w:val="20"/>
              </w:rPr>
              <w:t>Inertia</w:t>
            </w:r>
          </w:p>
        </w:tc>
        <w:tc>
          <w:tcPr>
            <w:tcW w:w="7020" w:type="dxa"/>
          </w:tcPr>
          <w:p w:rsidR="00DC19F1" w:rsidRDefault="00DC19F1">
            <w:pPr>
              <w:pStyle w:val="BodyText"/>
              <w:spacing w:line="240" w:lineRule="auto"/>
              <w:rPr>
                <w:sz w:val="20"/>
              </w:rPr>
            </w:pPr>
            <w:r>
              <w:rPr>
                <w:sz w:val="20"/>
              </w:rPr>
              <w:t xml:space="preserve">Customers in </w:t>
            </w:r>
            <w:r>
              <w:rPr>
                <w:i/>
                <w:iCs/>
                <w:sz w:val="20"/>
              </w:rPr>
              <w:t>inertia</w:t>
            </w:r>
            <w:r>
              <w:rPr>
                <w:sz w:val="20"/>
              </w:rPr>
              <w:t xml:space="preserve"> are dissatisfied with their bank but believe there would be too much trouble, time taken, or informational overload in seeking to switch banks.  Even if they have a </w:t>
            </w:r>
            <w:r>
              <w:rPr>
                <w:sz w:val="20"/>
                <w:u w:val="single"/>
              </w:rPr>
              <w:t>sense</w:t>
            </w:r>
            <w:r>
              <w:rPr>
                <w:sz w:val="20"/>
              </w:rPr>
              <w:t xml:space="preserve"> of relative freedom from any perceived economic or contractual switching costs they do not move because they believe ‘</w:t>
            </w:r>
            <w:r>
              <w:rPr>
                <w:i/>
                <w:iCs/>
                <w:sz w:val="20"/>
              </w:rPr>
              <w:t>all banks are similar’</w:t>
            </w:r>
            <w:r>
              <w:rPr>
                <w:sz w:val="20"/>
              </w:rPr>
              <w:t xml:space="preserve"> on the things that matter to them.  This negative product class belief is added to the proposed commitment scale in order to strengthen </w:t>
            </w:r>
            <w:r>
              <w:rPr>
                <w:i/>
                <w:iCs/>
                <w:sz w:val="20"/>
              </w:rPr>
              <w:t>inertia</w:t>
            </w:r>
            <w:r>
              <w:rPr>
                <w:sz w:val="20"/>
              </w:rPr>
              <w:t xml:space="preserve"> measurement. Otherwise </w:t>
            </w:r>
            <w:r>
              <w:rPr>
                <w:i/>
                <w:iCs/>
                <w:sz w:val="20"/>
              </w:rPr>
              <w:t>temporary hostages</w:t>
            </w:r>
            <w:r>
              <w:rPr>
                <w:sz w:val="20"/>
              </w:rPr>
              <w:t xml:space="preserve"> may agree, with those in </w:t>
            </w:r>
            <w:r>
              <w:rPr>
                <w:i/>
                <w:iCs/>
                <w:sz w:val="20"/>
              </w:rPr>
              <w:t>inertia</w:t>
            </w:r>
            <w:r>
              <w:rPr>
                <w:sz w:val="20"/>
              </w:rPr>
              <w:t>, that they would move ‘if it were easy to do so’ or that it is too much trouble to move banks (Bloemer and de Ruyter 1999 items).</w:t>
            </w:r>
          </w:p>
          <w:p w:rsidR="00DC19F1" w:rsidRDefault="00DC19F1">
            <w:pPr>
              <w:pStyle w:val="BodyText"/>
              <w:spacing w:line="240" w:lineRule="auto"/>
              <w:rPr>
                <w:sz w:val="20"/>
              </w:rPr>
            </w:pPr>
          </w:p>
        </w:tc>
      </w:tr>
      <w:tr w:rsidR="00DC19F1">
        <w:tblPrEx>
          <w:tblCellMar>
            <w:top w:w="0" w:type="dxa"/>
            <w:bottom w:w="0" w:type="dxa"/>
          </w:tblCellMar>
        </w:tblPrEx>
        <w:tc>
          <w:tcPr>
            <w:tcW w:w="1440" w:type="dxa"/>
          </w:tcPr>
          <w:p w:rsidR="00DC19F1" w:rsidRDefault="00DC19F1">
            <w:pPr>
              <w:pStyle w:val="BodyText"/>
              <w:spacing w:line="240" w:lineRule="auto"/>
              <w:rPr>
                <w:b/>
                <w:bCs/>
                <w:sz w:val="20"/>
              </w:rPr>
            </w:pPr>
            <w:r>
              <w:rPr>
                <w:b/>
                <w:bCs/>
                <w:sz w:val="20"/>
              </w:rPr>
              <w:t>Temporary</w:t>
            </w:r>
          </w:p>
          <w:p w:rsidR="00DC19F1" w:rsidRDefault="00DC19F1">
            <w:pPr>
              <w:pStyle w:val="BodyText"/>
              <w:spacing w:line="240" w:lineRule="auto"/>
              <w:rPr>
                <w:b/>
                <w:bCs/>
                <w:sz w:val="20"/>
              </w:rPr>
            </w:pPr>
            <w:r>
              <w:rPr>
                <w:b/>
                <w:bCs/>
                <w:sz w:val="20"/>
              </w:rPr>
              <w:t xml:space="preserve"> Hostage</w:t>
            </w:r>
          </w:p>
        </w:tc>
        <w:tc>
          <w:tcPr>
            <w:tcW w:w="7020" w:type="dxa"/>
          </w:tcPr>
          <w:p w:rsidR="00DC19F1" w:rsidRDefault="00DC19F1">
            <w:pPr>
              <w:pStyle w:val="BodyText"/>
              <w:spacing w:line="240" w:lineRule="auto"/>
              <w:rPr>
                <w:sz w:val="20"/>
              </w:rPr>
            </w:pPr>
            <w:r>
              <w:rPr>
                <w:i/>
                <w:iCs/>
                <w:sz w:val="20"/>
              </w:rPr>
              <w:t>Temporary Hostages</w:t>
            </w:r>
            <w:r>
              <w:rPr>
                <w:sz w:val="20"/>
              </w:rPr>
              <w:t xml:space="preserve"> feel that they are not free to move for a certain length of time because of economic ties such as loans and mortgages, or switching costs of an economic or contractual nature such as financial penalty clauses for the early redemption of policies, (including policies held elsewhere that might trigger the timing of a future switch of account). They have an overall indifferent or negative disposition toward their bank, based on distrust and/or dissatisfaction with some key attributes, might want to move bank in the future; and may be aware of alternatives.</w:t>
            </w:r>
          </w:p>
          <w:p w:rsidR="00DC19F1" w:rsidRDefault="00DC19F1">
            <w:pPr>
              <w:pStyle w:val="BodyText"/>
              <w:spacing w:line="240" w:lineRule="auto"/>
              <w:rPr>
                <w:sz w:val="20"/>
              </w:rPr>
            </w:pPr>
          </w:p>
        </w:tc>
      </w:tr>
      <w:tr w:rsidR="00DC19F1">
        <w:tblPrEx>
          <w:tblCellMar>
            <w:top w:w="0" w:type="dxa"/>
            <w:bottom w:w="0" w:type="dxa"/>
          </w:tblCellMar>
        </w:tblPrEx>
        <w:tc>
          <w:tcPr>
            <w:tcW w:w="1440" w:type="dxa"/>
          </w:tcPr>
          <w:p w:rsidR="00DC19F1" w:rsidRDefault="00DC19F1">
            <w:pPr>
              <w:pStyle w:val="BodyText"/>
              <w:spacing w:line="240" w:lineRule="auto"/>
              <w:rPr>
                <w:b/>
                <w:bCs/>
                <w:sz w:val="20"/>
              </w:rPr>
            </w:pPr>
            <w:r>
              <w:rPr>
                <w:b/>
                <w:bCs/>
                <w:sz w:val="20"/>
              </w:rPr>
              <w:t>Prisoner</w:t>
            </w:r>
          </w:p>
        </w:tc>
        <w:tc>
          <w:tcPr>
            <w:tcW w:w="7020" w:type="dxa"/>
          </w:tcPr>
          <w:p w:rsidR="00DC19F1" w:rsidRDefault="00DC19F1">
            <w:pPr>
              <w:pStyle w:val="BodyText"/>
              <w:spacing w:line="240" w:lineRule="auto"/>
              <w:rPr>
                <w:sz w:val="20"/>
              </w:rPr>
            </w:pPr>
            <w:r>
              <w:rPr>
                <w:i/>
                <w:iCs/>
                <w:sz w:val="20"/>
              </w:rPr>
              <w:t xml:space="preserve">Prisoners </w:t>
            </w:r>
            <w:r>
              <w:rPr>
                <w:sz w:val="20"/>
              </w:rPr>
              <w:t xml:space="preserve">have a negative regard for the service provider, feeling trapped because there is ‘no alternative’ as he or she would have difficulty being accepted as a customer at another financial institution because of a poor credit score or poor debt repayments history. A customer in the </w:t>
            </w:r>
            <w:r>
              <w:rPr>
                <w:i/>
                <w:iCs/>
                <w:sz w:val="20"/>
              </w:rPr>
              <w:t xml:space="preserve">prisoner, </w:t>
            </w:r>
            <w:r>
              <w:rPr>
                <w:sz w:val="20"/>
              </w:rPr>
              <w:t>or ‘no commitment’ state, might spread negative word of mouth.</w:t>
            </w:r>
          </w:p>
          <w:p w:rsidR="00DC19F1" w:rsidRDefault="00DC19F1">
            <w:pPr>
              <w:pStyle w:val="BodyText"/>
              <w:spacing w:line="240" w:lineRule="auto"/>
              <w:rPr>
                <w:sz w:val="20"/>
              </w:rPr>
            </w:pPr>
          </w:p>
        </w:tc>
      </w:tr>
    </w:tbl>
    <w:p w:rsidR="00DC19F1" w:rsidRDefault="00DC19F1">
      <w:pPr>
        <w:pStyle w:val="BodyText"/>
      </w:pPr>
    </w:p>
    <w:p w:rsidR="00DC19F1" w:rsidRDefault="00DC19F1">
      <w:pPr>
        <w:pStyle w:val="BodyText"/>
        <w:rPr>
          <w:b/>
          <w:bCs/>
          <w:u w:val="single"/>
        </w:rPr>
      </w:pPr>
      <w:r>
        <w:rPr>
          <w:b/>
          <w:bCs/>
          <w:sz w:val="24"/>
        </w:rPr>
        <w:br w:type="page"/>
      </w:r>
      <w:r>
        <w:rPr>
          <w:b/>
          <w:bCs/>
          <w:sz w:val="24"/>
          <w:u w:val="single"/>
        </w:rPr>
        <w:lastRenderedPageBreak/>
        <w:t>SECTION THREE</w:t>
      </w:r>
      <w:r>
        <w:rPr>
          <w:b/>
          <w:bCs/>
          <w:u w:val="single"/>
        </w:rPr>
        <w:t xml:space="preserve"> </w:t>
      </w:r>
    </w:p>
    <w:p w:rsidR="00DC19F1" w:rsidRDefault="00DC19F1">
      <w:pPr>
        <w:pStyle w:val="BodyText"/>
        <w:rPr>
          <w:b/>
          <w:bCs/>
          <w:u w:val="single"/>
        </w:rPr>
      </w:pPr>
    </w:p>
    <w:p w:rsidR="00DC19F1" w:rsidRDefault="00DC19F1">
      <w:pPr>
        <w:pStyle w:val="Heading1"/>
      </w:pPr>
      <w:bookmarkStart w:id="36" w:name="_Toc113078004"/>
      <w:bookmarkStart w:id="37" w:name="_Toc132368271"/>
      <w:r>
        <w:t>CONTRIBUTION OF THE PROPOSED CONSUMER BANKING SERVICES PROVIDER BRAND COMMITMENT SCALE</w:t>
      </w:r>
      <w:bookmarkEnd w:id="36"/>
      <w:bookmarkEnd w:id="37"/>
      <w:r>
        <w:t xml:space="preserve"> </w:t>
      </w:r>
    </w:p>
    <w:p w:rsidR="00DC19F1" w:rsidRDefault="00DC19F1">
      <w:pPr>
        <w:pStyle w:val="BodyText"/>
        <w:rPr>
          <w:b/>
          <w:bCs/>
        </w:rPr>
      </w:pPr>
    </w:p>
    <w:p w:rsidR="00DC19F1" w:rsidRDefault="00DC19F1">
      <w:pPr>
        <w:pStyle w:val="BodyText"/>
      </w:pPr>
      <w:r>
        <w:t xml:space="preserve">The proposed scale in the Appendix complements and extends the few commitment scales that have been applied in marketing to consumer services providers or to consumer banking services providers. In particular it contributes items distinguishing a </w:t>
      </w:r>
      <w:r>
        <w:rPr>
          <w:i/>
          <w:iCs/>
          <w:u w:val="single"/>
        </w:rPr>
        <w:t>sense</w:t>
      </w:r>
      <w:r>
        <w:rPr>
          <w:i/>
          <w:iCs/>
        </w:rPr>
        <w:t xml:space="preserve"> of freedom from constraints</w:t>
      </w:r>
      <w:r>
        <w:t xml:space="preserve"> of a contractual or financial nature and includes a section on </w:t>
      </w:r>
      <w:r>
        <w:rPr>
          <w:i/>
          <w:iCs/>
        </w:rPr>
        <w:t>self-identification</w:t>
      </w:r>
      <w:r>
        <w:t xml:space="preserve"> within affective commitment</w:t>
      </w:r>
      <w:r>
        <w:rPr>
          <w:i/>
          <w:iCs/>
        </w:rPr>
        <w:t xml:space="preserve"> </w:t>
      </w:r>
      <w:r>
        <w:t xml:space="preserve">(see Glossary). </w:t>
      </w:r>
    </w:p>
    <w:p w:rsidR="00DC19F1" w:rsidRDefault="00DC19F1">
      <w:pPr>
        <w:pStyle w:val="BodyText"/>
      </w:pPr>
    </w:p>
    <w:p w:rsidR="00DC19F1" w:rsidRDefault="00DC19F1">
      <w:pPr>
        <w:pStyle w:val="BodyText"/>
      </w:pPr>
      <w:r>
        <w:t xml:space="preserve">The scale aims to position bank customers into appropriate cells of a commitment matrix (see Figure 4 and Tables 4 and 5). In comparison, Spanish consumer banking loyalty scale (Beerli, Martin and Quintana, 2004) and consumer banking commitment scale (Sanchez and Iniesta, 2004), fall short of distinguishing whether customers </w:t>
      </w:r>
      <w:r>
        <w:rPr>
          <w:i/>
          <w:iCs/>
        </w:rPr>
        <w:t xml:space="preserve">feel </w:t>
      </w:r>
      <w:r>
        <w:t xml:space="preserve">temporarily or irrevocably trapped in their bank, which theoretically constitutes either ‘spurious brand loyalty’, or calculative commitment.  Marketers would find such distinctions useful if adapting the proposed scale in order to target and attract customers away from the competition.  </w:t>
      </w:r>
    </w:p>
    <w:p w:rsidR="00DC19F1" w:rsidRDefault="00DC19F1">
      <w:pPr>
        <w:pStyle w:val="BodyText"/>
      </w:pPr>
    </w:p>
    <w:p w:rsidR="00DC19F1" w:rsidRDefault="00DC19F1">
      <w:pPr>
        <w:pStyle w:val="BodyText"/>
      </w:pPr>
      <w:r>
        <w:t xml:space="preserve">Commitment is measured as resistance to the notion of moving bank, or as: ‘essential to stay but for positive reasons’.  In addition to stronger positive responses on ‘affective commitment’ and ‘resistance’, the </w:t>
      </w:r>
      <w:r>
        <w:rPr>
          <w:i/>
          <w:iCs/>
        </w:rPr>
        <w:t>unconditionally committed</w:t>
      </w:r>
      <w:r>
        <w:t xml:space="preserve"> are expected to be distinguished from the </w:t>
      </w:r>
      <w:r>
        <w:rPr>
          <w:i/>
          <w:iCs/>
        </w:rPr>
        <w:t xml:space="preserve">conditionally committed </w:t>
      </w:r>
      <w:r>
        <w:t xml:space="preserve">by agreeing strongly on self-identification with their bank’s values; by believing there is no substitute for their bank; and by believing their bank is more than a business just out to make profit (amongst the ‘Extra Items’ in the Appendix).  </w:t>
      </w:r>
    </w:p>
    <w:p w:rsidR="00DC19F1" w:rsidRDefault="00DC19F1">
      <w:pPr>
        <w:pStyle w:val="BodyText"/>
      </w:pPr>
    </w:p>
    <w:p w:rsidR="00DC19F1" w:rsidRDefault="00DC19F1">
      <w:pPr>
        <w:pStyle w:val="BodyText"/>
        <w:rPr>
          <w:b/>
          <w:bCs/>
        </w:rPr>
      </w:pPr>
      <w:r>
        <w:rPr>
          <w:b/>
          <w:bCs/>
        </w:rPr>
        <w:t xml:space="preserve">Extra Items </w:t>
      </w:r>
    </w:p>
    <w:p w:rsidR="00DC19F1" w:rsidRDefault="00DC19F1">
      <w:pPr>
        <w:pStyle w:val="BodyText"/>
      </w:pPr>
      <w:r>
        <w:t xml:space="preserve">Extra items are additionally proposed, in an Appendix, as they fall out of findings from the present study. Examples are the finding that there may be gender differences in the degree of reading about or </w:t>
      </w:r>
      <w:r>
        <w:rPr>
          <w:i/>
          <w:iCs/>
        </w:rPr>
        <w:t>knowledge</w:t>
      </w:r>
      <w:r>
        <w:t xml:space="preserve"> of and </w:t>
      </w:r>
      <w:r>
        <w:rPr>
          <w:i/>
          <w:iCs/>
        </w:rPr>
        <w:t>confidence,</w:t>
      </w:r>
      <w:r>
        <w:t xml:space="preserve"> or experience with, personal financial services. Also, for example, practitioners and consumers suggest that willingness to invest may be limited by customers’ preferences for spreading risk or for using specialists, so ‘</w:t>
      </w:r>
      <w:r>
        <w:rPr>
          <w:i/>
          <w:iCs/>
        </w:rPr>
        <w:t>Propensity for loyalty’</w:t>
      </w:r>
      <w:r>
        <w:t xml:space="preserve"> items are suggested.</w:t>
      </w:r>
    </w:p>
    <w:p w:rsidR="00DC19F1" w:rsidRDefault="00DC19F1">
      <w:pPr>
        <w:pStyle w:val="BodyText"/>
        <w:rPr>
          <w:b/>
          <w:bCs/>
        </w:rPr>
      </w:pPr>
    </w:p>
    <w:p w:rsidR="00DC19F1" w:rsidRDefault="00DC19F1">
      <w:pPr>
        <w:pStyle w:val="BodyText"/>
        <w:rPr>
          <w:b/>
          <w:bCs/>
        </w:rPr>
      </w:pPr>
      <w:r>
        <w:rPr>
          <w:b/>
          <w:bCs/>
        </w:rPr>
        <w:t>Limitations</w:t>
      </w:r>
    </w:p>
    <w:p w:rsidR="00DC19F1" w:rsidRDefault="00DC19F1">
      <w:pPr>
        <w:pStyle w:val="BodyText"/>
      </w:pPr>
      <w:r>
        <w:t xml:space="preserve">The proposed scale will require more extensive piloting, tests for reliability, validity, question-order effects and further development amongst larger numbers of respondents before being used in any quantitative phase of enquiry. In particular, responses to </w:t>
      </w:r>
      <w:r>
        <w:rPr>
          <w:i/>
          <w:iCs/>
        </w:rPr>
        <w:t xml:space="preserve">prisoner </w:t>
      </w:r>
      <w:r>
        <w:t xml:space="preserve">items will require rigorous testing because of social desirability effects. </w:t>
      </w:r>
    </w:p>
    <w:p w:rsidR="00DC19F1" w:rsidRDefault="00DC19F1">
      <w:pPr>
        <w:pStyle w:val="BodyText"/>
      </w:pPr>
    </w:p>
    <w:p w:rsidR="00DC19F1" w:rsidRDefault="00DC19F1">
      <w:pPr>
        <w:pStyle w:val="BodyText"/>
        <w:rPr>
          <w:lang w:val="en-US"/>
        </w:rPr>
      </w:pPr>
      <w:r>
        <w:lastRenderedPageBreak/>
        <w:t xml:space="preserve">Some authors have treated consumer commitment as unidimensional, including only its </w:t>
      </w:r>
      <w:r>
        <w:rPr>
          <w:i/>
          <w:iCs/>
        </w:rPr>
        <w:t>affective</w:t>
      </w:r>
      <w:r>
        <w:t xml:space="preserve"> component (Garbarino and Johnson, 1999; Hennig-Thurau, Gwinner and Gremler, 2002; Sharma and Patterson, 2000). The proposed scale, in contrast to Sanchez and Iniesta (2004), seeks to preserve the multidimensional structure of commitment found in other disciplines by </w:t>
      </w:r>
      <w:r>
        <w:rPr>
          <w:u w:val="single"/>
        </w:rPr>
        <w:t>distinguishing</w:t>
      </w:r>
      <w:r>
        <w:t xml:space="preserve"> </w:t>
      </w:r>
      <w:r>
        <w:rPr>
          <w:i/>
          <w:iCs/>
        </w:rPr>
        <w:t>affective</w:t>
      </w:r>
      <w:r>
        <w:t xml:space="preserve"> from </w:t>
      </w:r>
      <w:r>
        <w:rPr>
          <w:i/>
          <w:iCs/>
        </w:rPr>
        <w:t>calculative</w:t>
      </w:r>
      <w:r>
        <w:t xml:space="preserve"> commitment components (see Glossary). This structure, along with a third, </w:t>
      </w:r>
      <w:r>
        <w:rPr>
          <w:i/>
          <w:iCs/>
        </w:rPr>
        <w:t xml:space="preserve">normative </w:t>
      </w:r>
      <w:r>
        <w:t xml:space="preserve">or moral component, has already been established in </w:t>
      </w:r>
      <w:r>
        <w:rPr>
          <w:i/>
          <w:iCs/>
        </w:rPr>
        <w:t xml:space="preserve">services </w:t>
      </w:r>
      <w:r>
        <w:t xml:space="preserve">scales for marketing channel intermediary commitment (Kumar et al., 1994) and for consumer auto repair services commitment (Bansal et al., 2004). However, the present study lacked sufficient data on customers’ feelings of moral obligation towards a bank to design context-specific measurement items for the third, </w:t>
      </w:r>
      <w:r>
        <w:rPr>
          <w:i/>
          <w:iCs/>
        </w:rPr>
        <w:t>normative</w:t>
      </w:r>
      <w:r>
        <w:t xml:space="preserve"> commitment component. </w:t>
      </w:r>
      <w:r>
        <w:rPr>
          <w:lang w:val="en-US"/>
        </w:rPr>
        <w:t>In order to complete the three-component structure</w:t>
      </w:r>
      <w:r>
        <w:t xml:space="preserve"> derived from employee-organisational commitment literature (e.g. Allen and Meyer, 1990),</w:t>
      </w:r>
      <w:r>
        <w:rPr>
          <w:lang w:val="en-US"/>
        </w:rPr>
        <w:t xml:space="preserve"> </w:t>
      </w:r>
      <w:r>
        <w:rPr>
          <w:i/>
          <w:iCs/>
          <w:lang w:val="en-US"/>
        </w:rPr>
        <w:t>normative</w:t>
      </w:r>
      <w:r>
        <w:rPr>
          <w:i/>
          <w:iCs/>
        </w:rPr>
        <w:t xml:space="preserve"> </w:t>
      </w:r>
      <w:r>
        <w:t xml:space="preserve">commitment items from Bansal et al. </w:t>
      </w:r>
      <w:r>
        <w:rPr>
          <w:lang w:val="en-US"/>
        </w:rPr>
        <w:t xml:space="preserve">(2004) could be incorporated into the proposed scale for testing within consumer banking services. </w:t>
      </w:r>
    </w:p>
    <w:p w:rsidR="00DC19F1" w:rsidRDefault="00DC19F1">
      <w:pPr>
        <w:pStyle w:val="BodyText"/>
        <w:rPr>
          <w:lang w:val="en-US"/>
        </w:rPr>
      </w:pPr>
    </w:p>
    <w:p w:rsidR="00DC19F1" w:rsidRDefault="00DC19F1">
      <w:pPr>
        <w:pStyle w:val="BodyText"/>
        <w:rPr>
          <w:b/>
          <w:bCs/>
        </w:rPr>
      </w:pPr>
      <w:r>
        <w:rPr>
          <w:b/>
          <w:bCs/>
        </w:rPr>
        <w:t xml:space="preserve">Advantages of the Proposed Scale </w:t>
      </w:r>
    </w:p>
    <w:p w:rsidR="00DC19F1" w:rsidRDefault="00DC19F1">
      <w:pPr>
        <w:pStyle w:val="BodyText"/>
      </w:pPr>
      <w:r>
        <w:t xml:space="preserve">The proposed commitment scale adds refinements to instruments for commitment in the specific context of consumer banking services and is grounded in depth interviews with practitioners and customers in a </w:t>
      </w:r>
      <w:smartTag w:uri="urn:schemas-microsoft-com:office:smarttags" w:element="place">
        <w:smartTag w:uri="urn:schemas-microsoft-com:office:smarttags" w:element="country-region">
          <w:r>
            <w:t>UK</w:t>
          </w:r>
        </w:smartTag>
      </w:smartTag>
      <w:r>
        <w:t xml:space="preserve"> consumer banking services context.  </w:t>
      </w:r>
    </w:p>
    <w:p w:rsidR="00DC19F1" w:rsidRDefault="00DC19F1">
      <w:pPr>
        <w:pStyle w:val="BodyText"/>
      </w:pPr>
    </w:p>
    <w:p w:rsidR="00DC19F1" w:rsidRDefault="00DC19F1">
      <w:pPr>
        <w:pStyle w:val="BodyText"/>
      </w:pPr>
      <w:r>
        <w:t xml:space="preserve">The scale strengthens various sections of existing scales; inertia and advocacy are examples.  </w:t>
      </w:r>
    </w:p>
    <w:p w:rsidR="00DC19F1" w:rsidRDefault="00DC19F1">
      <w:pPr>
        <w:pStyle w:val="BodyText"/>
      </w:pPr>
      <w:r>
        <w:t xml:space="preserve">Overall, its advantage over any existing scales is that it aims to distinguish more clearly between the contrasting customer commitment states identified in the typology presented in this Addendum. </w:t>
      </w:r>
    </w:p>
    <w:p w:rsidR="00DC19F1" w:rsidRDefault="00DC19F1">
      <w:pPr>
        <w:pStyle w:val="BodyText"/>
      </w:pPr>
    </w:p>
    <w:p w:rsidR="00DC19F1" w:rsidRDefault="00DC19F1">
      <w:pPr>
        <w:pStyle w:val="BodyText"/>
        <w:rPr>
          <w:b/>
          <w:bCs/>
        </w:rPr>
      </w:pPr>
    </w:p>
    <w:p w:rsidR="00DC19F1" w:rsidRDefault="00DC19F1">
      <w:pPr>
        <w:pStyle w:val="BodyText"/>
        <w:rPr>
          <w:b/>
          <w:bCs/>
          <w:sz w:val="24"/>
        </w:rPr>
      </w:pPr>
    </w:p>
    <w:p w:rsidR="00DC19F1" w:rsidRDefault="00DC19F1">
      <w:pPr>
        <w:pStyle w:val="BodyText"/>
        <w:rPr>
          <w:b/>
          <w:bCs/>
          <w:sz w:val="24"/>
        </w:rPr>
      </w:pPr>
    </w:p>
    <w:p w:rsidR="00DC19F1" w:rsidRDefault="00DC19F1">
      <w:pPr>
        <w:pStyle w:val="BodyText"/>
        <w:rPr>
          <w:b/>
          <w:bCs/>
          <w:sz w:val="24"/>
        </w:rPr>
      </w:pPr>
    </w:p>
    <w:p w:rsidR="00DC19F1" w:rsidRDefault="00DC19F1">
      <w:pPr>
        <w:pStyle w:val="BodyText"/>
        <w:rPr>
          <w:b/>
          <w:bCs/>
          <w:sz w:val="24"/>
        </w:rPr>
      </w:pPr>
    </w:p>
    <w:p w:rsidR="00DC19F1" w:rsidRDefault="00DC19F1">
      <w:pPr>
        <w:pStyle w:val="BodyText"/>
        <w:rPr>
          <w:b/>
          <w:bCs/>
          <w:sz w:val="24"/>
        </w:rPr>
      </w:pPr>
    </w:p>
    <w:p w:rsidR="00DC19F1" w:rsidRDefault="00DC19F1">
      <w:pPr>
        <w:pStyle w:val="BodyText"/>
        <w:rPr>
          <w:b/>
          <w:bCs/>
          <w:sz w:val="24"/>
        </w:rPr>
      </w:pPr>
    </w:p>
    <w:p w:rsidR="00DC19F1" w:rsidRDefault="00DC19F1">
      <w:pPr>
        <w:pStyle w:val="BodyText"/>
        <w:rPr>
          <w:b/>
          <w:bCs/>
          <w:sz w:val="24"/>
        </w:rPr>
      </w:pPr>
    </w:p>
    <w:p w:rsidR="00DC19F1" w:rsidRDefault="00DC19F1">
      <w:pPr>
        <w:pStyle w:val="BodyText"/>
        <w:rPr>
          <w:b/>
          <w:bCs/>
          <w:sz w:val="24"/>
        </w:rPr>
      </w:pPr>
    </w:p>
    <w:p w:rsidR="00DC19F1" w:rsidRDefault="00DC19F1">
      <w:pPr>
        <w:pStyle w:val="BodyText"/>
        <w:rPr>
          <w:b/>
          <w:bCs/>
          <w:sz w:val="24"/>
        </w:rPr>
      </w:pPr>
    </w:p>
    <w:p w:rsidR="00DC19F1" w:rsidRDefault="00DC19F1">
      <w:pPr>
        <w:pStyle w:val="Heading1"/>
      </w:pPr>
      <w:r>
        <w:br w:type="page"/>
      </w:r>
      <w:bookmarkStart w:id="38" w:name="_Toc113078005"/>
      <w:bookmarkStart w:id="39" w:name="_Toc132368272"/>
      <w:r>
        <w:lastRenderedPageBreak/>
        <w:t>REFERENCES</w:t>
      </w:r>
      <w:bookmarkEnd w:id="38"/>
      <w:bookmarkEnd w:id="39"/>
    </w:p>
    <w:p w:rsidR="00DC19F1" w:rsidRDefault="00DC19F1">
      <w:pPr>
        <w:pStyle w:val="BodyText"/>
        <w:rPr>
          <w:sz w:val="20"/>
        </w:rPr>
      </w:pPr>
    </w:p>
    <w:p w:rsidR="00DC19F1" w:rsidRDefault="00DC19F1">
      <w:pPr>
        <w:pStyle w:val="BodyText"/>
        <w:rPr>
          <w:rStyle w:val="Reference"/>
          <w:bCs/>
          <w:sz w:val="20"/>
        </w:rPr>
      </w:pPr>
      <w:r>
        <w:rPr>
          <w:rStyle w:val="Reference"/>
          <w:bCs/>
          <w:sz w:val="20"/>
        </w:rPr>
        <w:t xml:space="preserve">Aldlaigan A. and Buttle, F. A. (1998) ‘Organisational Attachment: A Customer Perspective’ Working Paper, The </w:t>
      </w:r>
      <w:smartTag w:uri="urn:schemas-microsoft-com:office:smarttags" w:element="place">
        <w:smartTag w:uri="urn:schemas-microsoft-com:office:smarttags" w:element="PlaceType">
          <w:r>
            <w:rPr>
              <w:rStyle w:val="Reference"/>
              <w:bCs/>
              <w:sz w:val="20"/>
            </w:rPr>
            <w:t>Academy</w:t>
          </w:r>
        </w:smartTag>
        <w:r>
          <w:rPr>
            <w:rStyle w:val="Reference"/>
            <w:bCs/>
            <w:sz w:val="20"/>
          </w:rPr>
          <w:t xml:space="preserve"> of </w:t>
        </w:r>
        <w:smartTag w:uri="urn:schemas-microsoft-com:office:smarttags" w:element="PlaceName">
          <w:r>
            <w:rPr>
              <w:rStyle w:val="Reference"/>
              <w:bCs/>
              <w:sz w:val="20"/>
            </w:rPr>
            <w:t>Marketing</w:t>
          </w:r>
        </w:smartTag>
      </w:smartTag>
      <w:r>
        <w:rPr>
          <w:rStyle w:val="Reference"/>
          <w:bCs/>
          <w:sz w:val="20"/>
        </w:rPr>
        <w:t xml:space="preserve"> Annual Conference: 14-15.</w:t>
      </w:r>
    </w:p>
    <w:p w:rsidR="00DC19F1" w:rsidRDefault="00DC19F1">
      <w:pPr>
        <w:pStyle w:val="BodyText"/>
        <w:rPr>
          <w:sz w:val="20"/>
        </w:rPr>
      </w:pPr>
    </w:p>
    <w:p w:rsidR="00DC19F1" w:rsidRDefault="00DC19F1">
      <w:pPr>
        <w:pStyle w:val="BodyText"/>
        <w:rPr>
          <w:sz w:val="20"/>
        </w:rPr>
      </w:pPr>
      <w:r>
        <w:rPr>
          <w:sz w:val="20"/>
        </w:rPr>
        <w:t>Aldlaigan, A. and Buttle, F. (2005) ‘Beyond Satisfaction: customer attachment to retail banks’ International Journal of Bank Marketing, vol. 23, No 4: 349-359.</w:t>
      </w:r>
    </w:p>
    <w:p w:rsidR="00DC19F1" w:rsidRDefault="00DC19F1">
      <w:pPr>
        <w:pStyle w:val="BodyText"/>
        <w:rPr>
          <w:sz w:val="20"/>
        </w:rPr>
      </w:pPr>
    </w:p>
    <w:p w:rsidR="00DC19F1" w:rsidRDefault="00DC19F1">
      <w:pPr>
        <w:pStyle w:val="BodyText"/>
        <w:rPr>
          <w:sz w:val="20"/>
        </w:rPr>
      </w:pPr>
      <w:smartTag w:uri="urn:schemas-microsoft-com:office:smarttags" w:element="place">
        <w:smartTag w:uri="urn:schemas-microsoft-com:office:smarttags" w:element="City">
          <w:r>
            <w:rPr>
              <w:sz w:val="20"/>
            </w:rPr>
            <w:t>Allen</w:t>
          </w:r>
        </w:smartTag>
        <w:r>
          <w:rPr>
            <w:sz w:val="20"/>
          </w:rPr>
          <w:t xml:space="preserve">, </w:t>
        </w:r>
        <w:smartTag w:uri="urn:schemas-microsoft-com:office:smarttags" w:element="State">
          <w:r>
            <w:rPr>
              <w:sz w:val="20"/>
            </w:rPr>
            <w:t>N.J.</w:t>
          </w:r>
        </w:smartTag>
      </w:smartTag>
      <w:r>
        <w:rPr>
          <w:sz w:val="20"/>
        </w:rPr>
        <w:t xml:space="preserve"> and Meyer, J.P. (1990) ‘The Measurement and antecedents of affective, continuance and normative commitment to the organisation’, Journal of Occupational Psychology, 63: 1-18.</w:t>
      </w:r>
    </w:p>
    <w:p w:rsidR="00DC19F1" w:rsidRDefault="00DC19F1">
      <w:pPr>
        <w:pStyle w:val="BodyText"/>
        <w:rPr>
          <w:sz w:val="20"/>
        </w:rPr>
      </w:pPr>
    </w:p>
    <w:p w:rsidR="00DC19F1" w:rsidRDefault="00DC19F1">
      <w:pPr>
        <w:pStyle w:val="BodyText"/>
        <w:rPr>
          <w:rStyle w:val="Reference"/>
          <w:bCs/>
          <w:sz w:val="20"/>
        </w:rPr>
      </w:pPr>
      <w:r>
        <w:rPr>
          <w:rStyle w:val="Reference"/>
          <w:bCs/>
          <w:sz w:val="20"/>
        </w:rPr>
        <w:t>Amine, A. (1998) ‘Consumers’ True Brand Loyalty: the central role of commitment’.  Journal of Strategic Marketing, 6: 305-319.</w:t>
      </w:r>
    </w:p>
    <w:p w:rsidR="00DC19F1" w:rsidRDefault="00DC19F1">
      <w:pPr>
        <w:pStyle w:val="BodyText"/>
        <w:rPr>
          <w:sz w:val="20"/>
        </w:rPr>
      </w:pPr>
    </w:p>
    <w:p w:rsidR="00DC19F1" w:rsidRDefault="00DC19F1">
      <w:pPr>
        <w:pStyle w:val="BodyText"/>
        <w:rPr>
          <w:sz w:val="20"/>
        </w:rPr>
      </w:pPr>
      <w:r>
        <w:rPr>
          <w:sz w:val="20"/>
        </w:rPr>
        <w:t>Anderson, E. and Weitz, B.A. (1989) ‘Determinants of Continuity in Conventional Industrial Channel Dyads’ Marketing Science 8, 4 (Fall): 310-323.</w:t>
      </w:r>
    </w:p>
    <w:p w:rsidR="00DC19F1" w:rsidRDefault="00DC19F1">
      <w:pPr>
        <w:pStyle w:val="BodyText"/>
        <w:rPr>
          <w:sz w:val="20"/>
        </w:rPr>
      </w:pPr>
    </w:p>
    <w:p w:rsidR="00DC19F1" w:rsidRDefault="00DC19F1">
      <w:pPr>
        <w:pStyle w:val="BodyText"/>
        <w:rPr>
          <w:sz w:val="20"/>
        </w:rPr>
      </w:pPr>
      <w:r>
        <w:rPr>
          <w:sz w:val="20"/>
        </w:rPr>
        <w:t xml:space="preserve">Anderson, E. and Weitz, B.A. (1992) ‘The Use of Pledges to Build and Sustain Commitment in Distribution Channels’ Journal of Marketing Research XXIX (February): 18-34.  </w:t>
      </w:r>
    </w:p>
    <w:p w:rsidR="00DC19F1" w:rsidRDefault="00DC19F1">
      <w:pPr>
        <w:pStyle w:val="BodyText"/>
        <w:rPr>
          <w:sz w:val="20"/>
        </w:rPr>
      </w:pPr>
    </w:p>
    <w:p w:rsidR="00DC19F1" w:rsidRDefault="00DC19F1">
      <w:pPr>
        <w:pStyle w:val="BodyText"/>
        <w:rPr>
          <w:sz w:val="20"/>
        </w:rPr>
      </w:pPr>
      <w:r>
        <w:rPr>
          <w:sz w:val="20"/>
        </w:rPr>
        <w:t>Assael, H. (1987) ‘Consumer Behaviour and Marketing Action’, Boston, Kent Publishing Company, third edition.</w:t>
      </w:r>
    </w:p>
    <w:p w:rsidR="00DC19F1" w:rsidRDefault="00DC19F1">
      <w:pPr>
        <w:pStyle w:val="BodyText"/>
        <w:rPr>
          <w:sz w:val="20"/>
        </w:rPr>
      </w:pPr>
    </w:p>
    <w:p w:rsidR="00DC19F1" w:rsidRDefault="00DC19F1">
      <w:pPr>
        <w:pStyle w:val="BodyText"/>
        <w:rPr>
          <w:sz w:val="20"/>
        </w:rPr>
      </w:pPr>
      <w:r>
        <w:rPr>
          <w:sz w:val="20"/>
        </w:rPr>
        <w:t xml:space="preserve">Bansal, H.S., Irving, P.G. and Taylor, S.F. (2004) ‘A Three-Component Model of Customer Commitment to Service Providers’ Journal of the Academy of Marketing Science, Vol. 32, no.3: 234-250. </w:t>
      </w:r>
    </w:p>
    <w:p w:rsidR="00DC19F1" w:rsidRDefault="00DC19F1">
      <w:pPr>
        <w:pStyle w:val="BodyText"/>
        <w:rPr>
          <w:sz w:val="20"/>
        </w:rPr>
      </w:pPr>
    </w:p>
    <w:p w:rsidR="00DC19F1" w:rsidRDefault="00DC19F1">
      <w:pPr>
        <w:pStyle w:val="BodyText"/>
        <w:rPr>
          <w:sz w:val="20"/>
        </w:rPr>
      </w:pPr>
      <w:r>
        <w:rPr>
          <w:sz w:val="20"/>
        </w:rPr>
        <w:t>Bansal, H. S. and Taylor, S.F. (2005) ‘Migrating to New Service Providers: Toward a Unifying Framework of Consumers’ Switching Behaviours’ Journal of the Academy of Marketing Science, Volume 33, no. 1: 96-115.</w:t>
      </w:r>
    </w:p>
    <w:p w:rsidR="00DC19F1" w:rsidRDefault="00DC19F1">
      <w:pPr>
        <w:pStyle w:val="BodyText"/>
        <w:rPr>
          <w:sz w:val="20"/>
        </w:rPr>
      </w:pPr>
    </w:p>
    <w:p w:rsidR="00DC19F1" w:rsidRDefault="00DC19F1">
      <w:pPr>
        <w:pStyle w:val="BodyText"/>
        <w:rPr>
          <w:bCs/>
          <w:sz w:val="20"/>
        </w:rPr>
      </w:pPr>
      <w:r>
        <w:rPr>
          <w:rStyle w:val="Reference"/>
          <w:bCs/>
          <w:sz w:val="20"/>
        </w:rPr>
        <w:t>Barnes, J. G. (1997) ‘Closeness, strength and satisfaction: examining the nature of relationships between providers of financial services and their retail customers’, Psychology and Marketing, vol.14, no. 8: 765-790.</w:t>
      </w:r>
    </w:p>
    <w:p w:rsidR="00DC19F1" w:rsidRDefault="00DC19F1">
      <w:pPr>
        <w:pStyle w:val="BodyText"/>
        <w:rPr>
          <w:sz w:val="20"/>
        </w:rPr>
      </w:pPr>
    </w:p>
    <w:p w:rsidR="00DC19F1" w:rsidRDefault="00DC19F1">
      <w:pPr>
        <w:pStyle w:val="BodyText"/>
        <w:spacing w:after="180"/>
        <w:rPr>
          <w:rStyle w:val="Reference"/>
          <w:bCs/>
          <w:sz w:val="20"/>
        </w:rPr>
      </w:pPr>
      <w:r>
        <w:rPr>
          <w:rStyle w:val="Reference"/>
          <w:bCs/>
          <w:sz w:val="20"/>
        </w:rPr>
        <w:t xml:space="preserve">Beatty, S. E. and Kahle, L. R. (1988) ‘Alternative Hierarchies of the Attitude-Behaviour Relationship: The Impact of Brand Commitment and Habit’ Journal of the </w:t>
      </w:r>
      <w:smartTag w:uri="urn:schemas-microsoft-com:office:smarttags" w:element="place">
        <w:smartTag w:uri="urn:schemas-microsoft-com:office:smarttags" w:element="PlaceType">
          <w:r>
            <w:rPr>
              <w:rStyle w:val="Reference"/>
              <w:bCs/>
              <w:sz w:val="20"/>
            </w:rPr>
            <w:t>Academy</w:t>
          </w:r>
        </w:smartTag>
        <w:r>
          <w:rPr>
            <w:rStyle w:val="Reference"/>
            <w:bCs/>
            <w:sz w:val="20"/>
          </w:rPr>
          <w:t xml:space="preserve"> of </w:t>
        </w:r>
        <w:smartTag w:uri="urn:schemas-microsoft-com:office:smarttags" w:element="PlaceName">
          <w:r>
            <w:rPr>
              <w:rStyle w:val="Reference"/>
              <w:bCs/>
              <w:sz w:val="20"/>
            </w:rPr>
            <w:t>Marketing Science</w:t>
          </w:r>
        </w:smartTag>
      </w:smartTag>
      <w:r>
        <w:rPr>
          <w:rStyle w:val="Reference"/>
          <w:bCs/>
          <w:sz w:val="20"/>
        </w:rPr>
        <w:t xml:space="preserve">, summer, vol.16, No.2: 001-010. </w:t>
      </w:r>
    </w:p>
    <w:p w:rsidR="00DC19F1" w:rsidRDefault="00DC19F1">
      <w:pPr>
        <w:pStyle w:val="BodyText"/>
        <w:spacing w:after="180"/>
        <w:rPr>
          <w:rStyle w:val="Reference"/>
          <w:bCs/>
          <w:sz w:val="20"/>
        </w:rPr>
      </w:pPr>
      <w:r>
        <w:rPr>
          <w:rStyle w:val="Reference"/>
          <w:bCs/>
          <w:sz w:val="20"/>
        </w:rPr>
        <w:t>Becker, H. S. (1960) Notes on the Concept of Commitment, American Journal of Sociology, 66,1: 32-40.</w:t>
      </w:r>
    </w:p>
    <w:p w:rsidR="00DC19F1" w:rsidRDefault="00DC19F1">
      <w:pPr>
        <w:pStyle w:val="BodyText"/>
        <w:spacing w:after="180"/>
        <w:rPr>
          <w:rStyle w:val="Reference"/>
          <w:bCs/>
          <w:sz w:val="20"/>
        </w:rPr>
      </w:pPr>
      <w:r>
        <w:rPr>
          <w:rStyle w:val="Reference"/>
          <w:bCs/>
          <w:sz w:val="20"/>
        </w:rPr>
        <w:t>Beerli, A. Martin, J.D. and Quintana, A. (2004) ‘A model of customer loyalty in the retail banking market’ European Journal of Marketing, Vol. 38, no. 1/2.</w:t>
      </w:r>
    </w:p>
    <w:p w:rsidR="00DC19F1" w:rsidRDefault="00DC19F1">
      <w:pPr>
        <w:pStyle w:val="BodyText"/>
        <w:spacing w:after="180"/>
        <w:rPr>
          <w:rStyle w:val="Reference"/>
          <w:bCs/>
          <w:sz w:val="20"/>
        </w:rPr>
      </w:pPr>
      <w:smartTag w:uri="urn:schemas-microsoft-com:office:smarttags" w:element="place">
        <w:smartTag w:uri="urn:schemas-microsoft-com:office:smarttags" w:element="State">
          <w:r>
            <w:rPr>
              <w:rStyle w:val="Reference"/>
              <w:bCs/>
              <w:sz w:val="20"/>
            </w:rPr>
            <w:t>Berry</w:t>
          </w:r>
        </w:smartTag>
      </w:smartTag>
      <w:r>
        <w:rPr>
          <w:rStyle w:val="Reference"/>
          <w:bCs/>
          <w:sz w:val="20"/>
        </w:rPr>
        <w:t xml:space="preserve">, L. L. and Parasuraman, A. (1991) ‘Marketing Services. Competing through Quality’ The Free Press, a division of Macmillan Inc, </w:t>
      </w:r>
      <w:smartTag w:uri="urn:schemas-microsoft-com:office:smarttags" w:element="place">
        <w:smartTag w:uri="urn:schemas-microsoft-com:office:smarttags" w:element="State">
          <w:r>
            <w:rPr>
              <w:rStyle w:val="Reference"/>
              <w:bCs/>
              <w:sz w:val="20"/>
            </w:rPr>
            <w:t>New York</w:t>
          </w:r>
        </w:smartTag>
      </w:smartTag>
      <w:r>
        <w:rPr>
          <w:rStyle w:val="Reference"/>
          <w:bCs/>
          <w:sz w:val="20"/>
        </w:rPr>
        <w:t>.</w:t>
      </w:r>
    </w:p>
    <w:p w:rsidR="00DC19F1" w:rsidRDefault="00DC19F1">
      <w:pPr>
        <w:pStyle w:val="BodyText"/>
        <w:spacing w:after="180"/>
        <w:rPr>
          <w:rStyle w:val="Reference"/>
          <w:bCs/>
          <w:sz w:val="20"/>
          <w:lang w:val="en-US"/>
        </w:rPr>
      </w:pPr>
      <w:r>
        <w:rPr>
          <w:rStyle w:val="Reference"/>
          <w:bCs/>
          <w:sz w:val="20"/>
          <w:lang w:val="en-US"/>
        </w:rPr>
        <w:lastRenderedPageBreak/>
        <w:t>Bloemer, J., de Ruyter, K. and Peeters, P. (1998) ‘Investigating drivers of bank loyalty: the complex relationship between image, service quality and satisfaction’, International Journal of Bank Marketing 16/7: 276-286.</w:t>
      </w:r>
    </w:p>
    <w:p w:rsidR="00DC19F1" w:rsidRDefault="00DC19F1">
      <w:pPr>
        <w:pStyle w:val="BodyText"/>
        <w:spacing w:after="180"/>
        <w:rPr>
          <w:rStyle w:val="Reference"/>
          <w:bCs/>
          <w:sz w:val="20"/>
          <w:lang w:val="en-US"/>
        </w:rPr>
      </w:pPr>
      <w:r>
        <w:rPr>
          <w:rStyle w:val="Reference"/>
          <w:bCs/>
          <w:sz w:val="20"/>
          <w:lang w:val="en-US"/>
        </w:rPr>
        <w:t>Bloemer, J. and de Ruyter, K. (1999) ‘Customer Loyalty in High and Low Involvement Service Settings: The Moderating Impact of Positive Emotions’ Journal of Marketing Management, 15: 315-330.</w:t>
      </w:r>
    </w:p>
    <w:p w:rsidR="00DC19F1" w:rsidRDefault="00DC19F1">
      <w:pPr>
        <w:pStyle w:val="BodyText"/>
        <w:rPr>
          <w:rStyle w:val="Reference"/>
          <w:bCs/>
          <w:sz w:val="20"/>
        </w:rPr>
      </w:pPr>
      <w:r>
        <w:rPr>
          <w:rStyle w:val="Reference"/>
          <w:bCs/>
          <w:sz w:val="20"/>
        </w:rPr>
        <w:t>Bloemer, J. and Kasper, H. (1993) ‘Brand Loyalty and brand satisfaction: the case of buying audio cassettes anew in the Netherlands’ in Chias, J. and Sureda, J. eds. EMAC Proceedings, Annual Conference, 25-28 May, European Marketing Academy, Escade, Barcelona: 183-201.</w:t>
      </w:r>
    </w:p>
    <w:p w:rsidR="00DC19F1" w:rsidRDefault="00DC19F1">
      <w:pPr>
        <w:pStyle w:val="BodyText"/>
        <w:rPr>
          <w:rStyle w:val="Reference"/>
          <w:bCs/>
          <w:sz w:val="20"/>
        </w:rPr>
      </w:pPr>
    </w:p>
    <w:p w:rsidR="00DC19F1" w:rsidRDefault="00DC19F1">
      <w:pPr>
        <w:pStyle w:val="BodyText"/>
        <w:rPr>
          <w:bCs/>
          <w:sz w:val="20"/>
        </w:rPr>
      </w:pPr>
      <w:r>
        <w:rPr>
          <w:rStyle w:val="Reference"/>
          <w:bCs/>
          <w:sz w:val="20"/>
        </w:rPr>
        <w:t xml:space="preserve">Bloor, M. (1978) ‘On the analysis of observational data: a discussion of the worth and uses of inductive techniques and respondent validation’ Sociology, 12 (3): 545-557. </w:t>
      </w:r>
    </w:p>
    <w:p w:rsidR="00DC19F1" w:rsidRDefault="00DC19F1">
      <w:pPr>
        <w:pStyle w:val="BodyText"/>
        <w:rPr>
          <w:sz w:val="20"/>
        </w:rPr>
      </w:pPr>
    </w:p>
    <w:p w:rsidR="00DC19F1" w:rsidRDefault="00DC19F1">
      <w:pPr>
        <w:pStyle w:val="BodyText"/>
        <w:rPr>
          <w:sz w:val="20"/>
        </w:rPr>
      </w:pPr>
      <w:r>
        <w:rPr>
          <w:sz w:val="20"/>
        </w:rPr>
        <w:t xml:space="preserve">Blyth, W. and Robson, S. (1981) ‘Resolving the hard/soft dilemma’, Market Research Society Conference, </w:t>
      </w:r>
      <w:smartTag w:uri="urn:schemas-microsoft-com:office:smarttags" w:element="place">
        <w:smartTag w:uri="urn:schemas-microsoft-com:office:smarttags" w:element="country-region">
          <w:r>
            <w:rPr>
              <w:sz w:val="20"/>
            </w:rPr>
            <w:t>UK</w:t>
          </w:r>
        </w:smartTag>
      </w:smartTag>
      <w:r>
        <w:rPr>
          <w:sz w:val="20"/>
        </w:rPr>
        <w:t>.</w:t>
      </w:r>
    </w:p>
    <w:p w:rsidR="00DC19F1" w:rsidRDefault="00DC19F1">
      <w:pPr>
        <w:pStyle w:val="BodyText"/>
        <w:rPr>
          <w:sz w:val="20"/>
        </w:rPr>
      </w:pPr>
    </w:p>
    <w:p w:rsidR="00DC19F1" w:rsidRDefault="00DC19F1">
      <w:pPr>
        <w:pStyle w:val="BodyText"/>
        <w:rPr>
          <w:sz w:val="20"/>
        </w:rPr>
      </w:pPr>
      <w:r>
        <w:rPr>
          <w:sz w:val="20"/>
        </w:rPr>
        <w:t xml:space="preserve">Booms, B.H. and Bitner, M.J. (1981) ‘Marketing Strategies and Organisational Structures for Service Firms’, in Donnelly, J.H. and George, W.R. (eds.) Marketing of Services, </w:t>
      </w:r>
      <w:smartTag w:uri="urn:schemas-microsoft-com:office:smarttags" w:element="place">
        <w:smartTag w:uri="urn:schemas-microsoft-com:office:smarttags" w:element="City">
          <w:r>
            <w:rPr>
              <w:sz w:val="20"/>
            </w:rPr>
            <w:t>Chicago</w:t>
          </w:r>
        </w:smartTag>
      </w:smartTag>
      <w:r>
        <w:rPr>
          <w:sz w:val="20"/>
        </w:rPr>
        <w:t>: American Marketing Association: 47-51.</w:t>
      </w:r>
    </w:p>
    <w:p w:rsidR="00DC19F1" w:rsidRDefault="00DC19F1">
      <w:pPr>
        <w:pStyle w:val="BodyText"/>
        <w:rPr>
          <w:sz w:val="20"/>
        </w:rPr>
      </w:pPr>
    </w:p>
    <w:p w:rsidR="00DC19F1" w:rsidRDefault="00DC19F1">
      <w:pPr>
        <w:pStyle w:val="BodyText"/>
        <w:rPr>
          <w:sz w:val="20"/>
        </w:rPr>
      </w:pPr>
      <w:r>
        <w:rPr>
          <w:sz w:val="20"/>
        </w:rPr>
        <w:t xml:space="preserve">Brenner, M. (1981) (ed.) ‘Social Method and Social Life’, </w:t>
      </w:r>
      <w:smartTag w:uri="urn:schemas-microsoft-com:office:smarttags" w:element="place">
        <w:smartTag w:uri="urn:schemas-microsoft-com:office:smarttags" w:element="City">
          <w:r>
            <w:rPr>
              <w:sz w:val="20"/>
            </w:rPr>
            <w:t>London</w:t>
          </w:r>
        </w:smartTag>
      </w:smartTag>
      <w:r>
        <w:rPr>
          <w:sz w:val="20"/>
        </w:rPr>
        <w:t xml:space="preserve">, Academic. </w:t>
      </w:r>
    </w:p>
    <w:p w:rsidR="00DC19F1" w:rsidRDefault="00DC19F1">
      <w:pPr>
        <w:pStyle w:val="BodyText"/>
        <w:rPr>
          <w:sz w:val="20"/>
        </w:rPr>
      </w:pPr>
    </w:p>
    <w:p w:rsidR="00DC19F1" w:rsidRDefault="00DC19F1">
      <w:pPr>
        <w:pStyle w:val="BodyText"/>
        <w:rPr>
          <w:sz w:val="20"/>
        </w:rPr>
      </w:pPr>
      <w:r>
        <w:rPr>
          <w:sz w:val="20"/>
        </w:rPr>
        <w:t xml:space="preserve">Bryman, A. (1988) ‘Quantity and Quality in Social Research, </w:t>
      </w:r>
      <w:smartTag w:uri="urn:schemas-microsoft-com:office:smarttags" w:element="place">
        <w:smartTag w:uri="urn:schemas-microsoft-com:office:smarttags" w:element="City">
          <w:r>
            <w:rPr>
              <w:sz w:val="20"/>
            </w:rPr>
            <w:t>London</w:t>
          </w:r>
        </w:smartTag>
      </w:smartTag>
      <w:r>
        <w:rPr>
          <w:sz w:val="20"/>
        </w:rPr>
        <w:t>, Unwin Hyman.</w:t>
      </w:r>
    </w:p>
    <w:p w:rsidR="00DC19F1" w:rsidRDefault="00DC19F1">
      <w:pPr>
        <w:pStyle w:val="BodyText"/>
        <w:rPr>
          <w:sz w:val="20"/>
        </w:rPr>
      </w:pPr>
    </w:p>
    <w:p w:rsidR="00DC19F1" w:rsidRDefault="00DC19F1">
      <w:pPr>
        <w:pStyle w:val="BodyText"/>
        <w:rPr>
          <w:sz w:val="20"/>
        </w:rPr>
      </w:pPr>
      <w:r>
        <w:rPr>
          <w:sz w:val="20"/>
        </w:rPr>
        <w:t xml:space="preserve">Bryman, A. (1989) ‘Research Methods and Organisation Studies’, Unwin Hyman Ltd, </w:t>
      </w:r>
      <w:smartTag w:uri="urn:schemas-microsoft-com:office:smarttags" w:element="place">
        <w:smartTag w:uri="urn:schemas-microsoft-com:office:smarttags" w:element="City">
          <w:r>
            <w:rPr>
              <w:sz w:val="20"/>
            </w:rPr>
            <w:t>Boston</w:t>
          </w:r>
        </w:smartTag>
      </w:smartTag>
      <w:r>
        <w:rPr>
          <w:sz w:val="20"/>
        </w:rPr>
        <w:t>.</w:t>
      </w:r>
    </w:p>
    <w:p w:rsidR="00DC19F1" w:rsidRDefault="00DC19F1">
      <w:pPr>
        <w:pStyle w:val="BodyText"/>
        <w:rPr>
          <w:sz w:val="20"/>
        </w:rPr>
      </w:pPr>
    </w:p>
    <w:p w:rsidR="00DC19F1" w:rsidRDefault="00DC19F1">
      <w:pPr>
        <w:pStyle w:val="BodyText"/>
        <w:rPr>
          <w:rStyle w:val="Reference"/>
          <w:bCs/>
          <w:sz w:val="20"/>
        </w:rPr>
      </w:pPr>
      <w:r>
        <w:rPr>
          <w:rStyle w:val="Reference"/>
          <w:bCs/>
          <w:sz w:val="20"/>
        </w:rPr>
        <w:t xml:space="preserve">Buchanan, II B. (1974) ‘Building Organisational Commitment: The Socialisation of Managers in Work Organisations’, Administrative Science Quarterly 19: 533-546. </w:t>
      </w:r>
    </w:p>
    <w:p w:rsidR="00DC19F1" w:rsidRDefault="00DC19F1">
      <w:pPr>
        <w:pStyle w:val="BodyText"/>
        <w:rPr>
          <w:rStyle w:val="Reference"/>
          <w:bCs/>
          <w:sz w:val="20"/>
        </w:rPr>
      </w:pPr>
    </w:p>
    <w:p w:rsidR="00DC19F1" w:rsidRDefault="00DC19F1">
      <w:pPr>
        <w:pStyle w:val="BodyText"/>
        <w:spacing w:after="180"/>
        <w:rPr>
          <w:rStyle w:val="Reference"/>
          <w:bCs/>
          <w:sz w:val="20"/>
        </w:rPr>
      </w:pPr>
      <w:r>
        <w:rPr>
          <w:rStyle w:val="Reference"/>
          <w:bCs/>
          <w:sz w:val="20"/>
        </w:rPr>
        <w:t>Buchanan, T. (1985) ‘Commitment and Leisure Behaviour: A Theoretical Perspective’, Leisure Sciences, vol.7 no. 4: 401-420.</w:t>
      </w:r>
    </w:p>
    <w:p w:rsidR="00DC19F1" w:rsidRDefault="00DC19F1">
      <w:pPr>
        <w:pStyle w:val="BodyText"/>
        <w:rPr>
          <w:rStyle w:val="Reference"/>
          <w:bCs/>
          <w:sz w:val="20"/>
        </w:rPr>
      </w:pPr>
    </w:p>
    <w:p w:rsidR="00DC19F1" w:rsidRDefault="00DC19F1">
      <w:pPr>
        <w:pStyle w:val="BodyText"/>
        <w:spacing w:after="180"/>
        <w:rPr>
          <w:rStyle w:val="Reference"/>
          <w:bCs/>
          <w:sz w:val="20"/>
        </w:rPr>
      </w:pPr>
      <w:r>
        <w:rPr>
          <w:rStyle w:val="Reference"/>
          <w:bCs/>
          <w:sz w:val="20"/>
        </w:rPr>
        <w:t xml:space="preserve">Burrell, G. and Morgan, G. (1979), ‘Sociological Paradigms and Organisational Analysis’. Heinemann: </w:t>
      </w:r>
      <w:smartTag w:uri="urn:schemas-microsoft-com:office:smarttags" w:element="place">
        <w:smartTag w:uri="urn:schemas-microsoft-com:office:smarttags" w:element="City">
          <w:r>
            <w:rPr>
              <w:rStyle w:val="Reference"/>
              <w:bCs/>
              <w:sz w:val="20"/>
            </w:rPr>
            <w:t>London</w:t>
          </w:r>
        </w:smartTag>
      </w:smartTag>
      <w:r>
        <w:rPr>
          <w:rStyle w:val="Reference"/>
          <w:bCs/>
          <w:sz w:val="20"/>
        </w:rPr>
        <w:t>.</w:t>
      </w:r>
    </w:p>
    <w:p w:rsidR="00DC19F1" w:rsidRDefault="00DC19F1">
      <w:pPr>
        <w:pStyle w:val="BodyText"/>
        <w:rPr>
          <w:sz w:val="20"/>
        </w:rPr>
      </w:pPr>
      <w:r>
        <w:rPr>
          <w:sz w:val="20"/>
        </w:rPr>
        <w:t xml:space="preserve">Butcher, K., </w:t>
      </w:r>
      <w:smartTag w:uri="urn:schemas-microsoft-com:office:smarttags" w:element="place">
        <w:smartTag w:uri="urn:schemas-microsoft-com:office:smarttags" w:element="City">
          <w:r>
            <w:rPr>
              <w:sz w:val="20"/>
            </w:rPr>
            <w:t>Sparks</w:t>
          </w:r>
        </w:smartTag>
      </w:smartTag>
      <w:r>
        <w:rPr>
          <w:sz w:val="20"/>
        </w:rPr>
        <w:t>, B. and O’ Callaghan, F. (2001) ‘Evaluative and relational influences on service loyalty’ International Journal of Services Industry Management, vol. 12 no. 4: 310-327.</w:t>
      </w:r>
    </w:p>
    <w:p w:rsidR="00DC19F1" w:rsidRDefault="00DC19F1">
      <w:pPr>
        <w:pStyle w:val="BodyText"/>
        <w:rPr>
          <w:sz w:val="20"/>
        </w:rPr>
      </w:pPr>
    </w:p>
    <w:p w:rsidR="00DC19F1" w:rsidRDefault="00DC19F1">
      <w:pPr>
        <w:pStyle w:val="BodyText"/>
        <w:rPr>
          <w:sz w:val="20"/>
        </w:rPr>
      </w:pPr>
      <w:r>
        <w:rPr>
          <w:sz w:val="20"/>
        </w:rPr>
        <w:t xml:space="preserve">Carson, D. Gilmore, A., Perry, C. and Gronhaug, K. (2001) ‘Qualitative Marketing Research’ Sage publications, </w:t>
      </w:r>
      <w:smartTag w:uri="urn:schemas-microsoft-com:office:smarttags" w:element="place">
        <w:smartTag w:uri="urn:schemas-microsoft-com:office:smarttags" w:element="City">
          <w:r>
            <w:rPr>
              <w:sz w:val="20"/>
            </w:rPr>
            <w:t>London</w:t>
          </w:r>
        </w:smartTag>
      </w:smartTag>
      <w:r>
        <w:rPr>
          <w:sz w:val="20"/>
        </w:rPr>
        <w:t>.</w:t>
      </w:r>
    </w:p>
    <w:p w:rsidR="00DC19F1" w:rsidRDefault="00DC19F1">
      <w:pPr>
        <w:pStyle w:val="BodyText"/>
        <w:rPr>
          <w:sz w:val="20"/>
        </w:rPr>
      </w:pPr>
    </w:p>
    <w:p w:rsidR="00DC19F1" w:rsidRDefault="00DC19F1">
      <w:pPr>
        <w:spacing w:line="360" w:lineRule="auto"/>
        <w:rPr>
          <w:sz w:val="20"/>
        </w:rPr>
      </w:pPr>
      <w:r>
        <w:rPr>
          <w:sz w:val="20"/>
        </w:rPr>
        <w:t xml:space="preserve">Cronbach, L. J. and Suppes, P. (1969) ‘Research for tomorrow’s schools: Disciplined inquiry in education.  </w:t>
      </w:r>
      <w:smartTag w:uri="urn:schemas-microsoft-com:office:smarttags" w:element="place">
        <w:smartTag w:uri="urn:schemas-microsoft-com:office:smarttags" w:element="State">
          <w:r>
            <w:rPr>
              <w:sz w:val="20"/>
            </w:rPr>
            <w:t>New York</w:t>
          </w:r>
        </w:smartTag>
      </w:smartTag>
      <w:r>
        <w:rPr>
          <w:sz w:val="20"/>
        </w:rPr>
        <w:t>, Macmillan.</w:t>
      </w:r>
    </w:p>
    <w:p w:rsidR="00DC19F1" w:rsidRDefault="00DC19F1">
      <w:pPr>
        <w:spacing w:line="360" w:lineRule="auto"/>
        <w:rPr>
          <w:sz w:val="20"/>
        </w:rPr>
      </w:pPr>
    </w:p>
    <w:p w:rsidR="00DC19F1" w:rsidRDefault="00DC19F1">
      <w:pPr>
        <w:spacing w:line="360" w:lineRule="auto"/>
        <w:rPr>
          <w:sz w:val="20"/>
        </w:rPr>
      </w:pPr>
      <w:r>
        <w:rPr>
          <w:sz w:val="20"/>
        </w:rPr>
        <w:t xml:space="preserve">Crosby, </w:t>
      </w:r>
      <w:smartTag w:uri="urn:schemas-microsoft-com:office:smarttags" w:element="place">
        <w:smartTag w:uri="urn:schemas-microsoft-com:office:smarttags" w:element="City">
          <w:r>
            <w:rPr>
              <w:sz w:val="20"/>
            </w:rPr>
            <w:t>L.A.</w:t>
          </w:r>
        </w:smartTag>
      </w:smartTag>
      <w:r>
        <w:rPr>
          <w:sz w:val="20"/>
        </w:rPr>
        <w:t xml:space="preserve"> and Taylor, J.R. (1983) ‘Psychological commitment and its effects on post-decision evaluation and preference stability among voters’ Journal of Consumer Research, vol. 9, March: 413-31.</w:t>
      </w:r>
    </w:p>
    <w:p w:rsidR="00DC19F1" w:rsidRDefault="00DC19F1">
      <w:pPr>
        <w:spacing w:line="360" w:lineRule="auto"/>
        <w:rPr>
          <w:sz w:val="20"/>
        </w:rPr>
      </w:pPr>
    </w:p>
    <w:p w:rsidR="00DC19F1" w:rsidRDefault="00DC19F1">
      <w:pPr>
        <w:spacing w:line="360" w:lineRule="auto"/>
        <w:rPr>
          <w:sz w:val="20"/>
        </w:rPr>
      </w:pPr>
      <w:r>
        <w:rPr>
          <w:sz w:val="20"/>
        </w:rPr>
        <w:t>Crosby, L.A. and Stephens, N. (1987) ‘Effects of Relationship Marketing on Satisfaction, Retention and Prices in the Life Insurance Industry’ Journal of Marketing Research, Vol. XXIV, November: 404-411.</w:t>
      </w:r>
    </w:p>
    <w:p w:rsidR="00DC19F1" w:rsidRDefault="00DC19F1">
      <w:pPr>
        <w:spacing w:line="360" w:lineRule="auto"/>
        <w:rPr>
          <w:sz w:val="20"/>
        </w:rPr>
      </w:pPr>
    </w:p>
    <w:p w:rsidR="00DC19F1" w:rsidRDefault="00DC19F1">
      <w:pPr>
        <w:pStyle w:val="BodyText"/>
        <w:spacing w:after="180"/>
      </w:pPr>
      <w:r>
        <w:rPr>
          <w:rStyle w:val="Reference"/>
          <w:bCs/>
          <w:sz w:val="20"/>
        </w:rPr>
        <w:t xml:space="preserve">Cunningham, R.M. (1956) ‘Brand Loyalty – What, where, how much?’ Harvard Business Review, vol. 34, no. 1: 116-128. </w:t>
      </w:r>
    </w:p>
    <w:p w:rsidR="00DC19F1" w:rsidRDefault="00DC19F1">
      <w:pPr>
        <w:pStyle w:val="BodyText"/>
        <w:spacing w:after="180"/>
        <w:rPr>
          <w:rStyle w:val="Reference"/>
          <w:bCs/>
          <w:sz w:val="20"/>
        </w:rPr>
      </w:pPr>
      <w:r>
        <w:rPr>
          <w:rStyle w:val="Reference"/>
          <w:bCs/>
          <w:sz w:val="20"/>
        </w:rPr>
        <w:t xml:space="preserve">Day, G. S. (1969) ‘A two dimensional concept of brand loyalty’, Journal of Advertising Research, vol. </w:t>
      </w:r>
      <w:smartTag w:uri="urn:schemas-microsoft-com:office:smarttags" w:element="time">
        <w:smartTagPr>
          <w:attr w:name="Hour" w:val="9"/>
          <w:attr w:name="Minute" w:val="29"/>
        </w:smartTagPr>
        <w:r>
          <w:rPr>
            <w:rStyle w:val="Reference"/>
            <w:bCs/>
            <w:sz w:val="20"/>
          </w:rPr>
          <w:t>9: 29</w:t>
        </w:r>
      </w:smartTag>
      <w:r>
        <w:rPr>
          <w:rStyle w:val="Reference"/>
          <w:bCs/>
          <w:sz w:val="20"/>
        </w:rPr>
        <w:t>-35.</w:t>
      </w:r>
    </w:p>
    <w:p w:rsidR="00DC19F1" w:rsidRDefault="00DC19F1">
      <w:pPr>
        <w:spacing w:line="360" w:lineRule="auto"/>
        <w:rPr>
          <w:bCs/>
          <w:sz w:val="20"/>
        </w:rPr>
      </w:pPr>
      <w:r>
        <w:rPr>
          <w:rStyle w:val="Reference"/>
          <w:bCs/>
          <w:sz w:val="20"/>
        </w:rPr>
        <w:t>Debling, F. (1999) ‘Mail Myopia: or examining financial services marketing from a brand commitment perspective.’  The International Journal of Bank Marketing, Vol. 17, no.5: 251-259.</w:t>
      </w:r>
    </w:p>
    <w:p w:rsidR="00DC19F1" w:rsidRDefault="00DC19F1">
      <w:pPr>
        <w:pStyle w:val="BodyText"/>
        <w:rPr>
          <w:sz w:val="20"/>
        </w:rPr>
      </w:pPr>
    </w:p>
    <w:p w:rsidR="00DC19F1" w:rsidRDefault="00DC19F1">
      <w:pPr>
        <w:pStyle w:val="BodyText"/>
        <w:rPr>
          <w:sz w:val="20"/>
        </w:rPr>
      </w:pPr>
      <w:r>
        <w:rPr>
          <w:sz w:val="20"/>
        </w:rPr>
        <w:t>Denzin, N.K. (1978) ‘Sociological methods’, New York McGraw-Hill.</w:t>
      </w:r>
    </w:p>
    <w:p w:rsidR="00DC19F1" w:rsidRDefault="00DC19F1">
      <w:pPr>
        <w:pStyle w:val="BodyText"/>
        <w:rPr>
          <w:sz w:val="20"/>
        </w:rPr>
      </w:pPr>
    </w:p>
    <w:p w:rsidR="00DC19F1" w:rsidRDefault="00DC19F1">
      <w:pPr>
        <w:pStyle w:val="BodyText"/>
        <w:rPr>
          <w:sz w:val="20"/>
        </w:rPr>
      </w:pPr>
      <w:r>
        <w:rPr>
          <w:sz w:val="20"/>
        </w:rPr>
        <w:t xml:space="preserve">Denzin, N.K. and </w:t>
      </w:r>
      <w:smartTag w:uri="urn:schemas-microsoft-com:office:smarttags" w:element="City">
        <w:r>
          <w:rPr>
            <w:sz w:val="20"/>
          </w:rPr>
          <w:t>Lincoln</w:t>
        </w:r>
      </w:smartTag>
      <w:r>
        <w:rPr>
          <w:sz w:val="20"/>
        </w:rPr>
        <w:t xml:space="preserve">, Y.S. (1994) (eds.) ‘Handbook of Qualitative Research’, </w:t>
      </w:r>
      <w:smartTag w:uri="urn:schemas-microsoft-com:office:smarttags" w:element="place">
        <w:smartTag w:uri="urn:schemas-microsoft-com:office:smarttags" w:element="City">
          <w:r>
            <w:rPr>
              <w:sz w:val="20"/>
            </w:rPr>
            <w:t>Thousand Oaks</w:t>
          </w:r>
        </w:smartTag>
        <w:r>
          <w:rPr>
            <w:sz w:val="20"/>
          </w:rPr>
          <w:t xml:space="preserve">, </w:t>
        </w:r>
        <w:smartTag w:uri="urn:schemas-microsoft-com:office:smarttags" w:element="country-region">
          <w:r>
            <w:rPr>
              <w:sz w:val="20"/>
            </w:rPr>
            <w:t>C.A.</w:t>
          </w:r>
        </w:smartTag>
      </w:smartTag>
      <w:r>
        <w:rPr>
          <w:sz w:val="20"/>
        </w:rPr>
        <w:t>, Sage.</w:t>
      </w:r>
    </w:p>
    <w:p w:rsidR="00DC19F1" w:rsidRDefault="00DC19F1">
      <w:pPr>
        <w:pStyle w:val="BodyText"/>
        <w:rPr>
          <w:sz w:val="20"/>
        </w:rPr>
      </w:pPr>
    </w:p>
    <w:p w:rsidR="00DC19F1" w:rsidRDefault="00DC19F1">
      <w:pPr>
        <w:pStyle w:val="BodyText"/>
        <w:rPr>
          <w:sz w:val="20"/>
        </w:rPr>
      </w:pPr>
      <w:r>
        <w:rPr>
          <w:sz w:val="20"/>
        </w:rPr>
        <w:t xml:space="preserve">Denzin, N.K. and </w:t>
      </w:r>
      <w:smartTag w:uri="urn:schemas-microsoft-com:office:smarttags" w:element="City">
        <w:r>
          <w:rPr>
            <w:sz w:val="20"/>
          </w:rPr>
          <w:t>Lincoln</w:t>
        </w:r>
      </w:smartTag>
      <w:r>
        <w:rPr>
          <w:sz w:val="20"/>
        </w:rPr>
        <w:t xml:space="preserve">, Y.S. (2000) (eds.) ‘Handbook of Qualitative Research’, Second Edition, </w:t>
      </w:r>
      <w:smartTag w:uri="urn:schemas-microsoft-com:office:smarttags" w:element="place">
        <w:smartTag w:uri="urn:schemas-microsoft-com:office:smarttags" w:element="City">
          <w:r>
            <w:rPr>
              <w:sz w:val="20"/>
            </w:rPr>
            <w:t>Thousand Oaks</w:t>
          </w:r>
        </w:smartTag>
        <w:r>
          <w:rPr>
            <w:sz w:val="20"/>
          </w:rPr>
          <w:t xml:space="preserve">, </w:t>
        </w:r>
        <w:smartTag w:uri="urn:schemas-microsoft-com:office:smarttags" w:element="country-region">
          <w:r>
            <w:rPr>
              <w:sz w:val="20"/>
            </w:rPr>
            <w:t>C.A.</w:t>
          </w:r>
        </w:smartTag>
      </w:smartTag>
      <w:r>
        <w:rPr>
          <w:sz w:val="20"/>
        </w:rPr>
        <w:t xml:space="preserve"> Sage.</w:t>
      </w:r>
    </w:p>
    <w:p w:rsidR="00DC19F1" w:rsidRDefault="00DC19F1">
      <w:pPr>
        <w:pStyle w:val="BodyText"/>
        <w:rPr>
          <w:sz w:val="20"/>
        </w:rPr>
      </w:pPr>
    </w:p>
    <w:p w:rsidR="00DC19F1" w:rsidRDefault="00DC19F1">
      <w:pPr>
        <w:pStyle w:val="BodyText"/>
        <w:rPr>
          <w:sz w:val="20"/>
        </w:rPr>
      </w:pPr>
      <w:r>
        <w:rPr>
          <w:sz w:val="20"/>
        </w:rPr>
        <w:t>Deshpande, R. (1983) ‘Paradigms Lost’: On theory and Method in Research in Marketing, Journal of Marketing, Vol.47: 101-110.</w:t>
      </w:r>
    </w:p>
    <w:p w:rsidR="00DC19F1" w:rsidRDefault="00DC19F1">
      <w:pPr>
        <w:pStyle w:val="BodyText"/>
        <w:rPr>
          <w:sz w:val="20"/>
        </w:rPr>
      </w:pPr>
    </w:p>
    <w:p w:rsidR="00DC19F1" w:rsidRDefault="00DC19F1">
      <w:pPr>
        <w:pStyle w:val="BodyText"/>
        <w:rPr>
          <w:sz w:val="20"/>
        </w:rPr>
      </w:pPr>
      <w:r>
        <w:rPr>
          <w:sz w:val="20"/>
        </w:rPr>
        <w:t xml:space="preserve">Deutscher, I. (1970) ‘Words and Deeds: Social Science and Social Policy’, in Qualitative Methodology: Filstead, W.J. (Ed.), </w:t>
      </w:r>
      <w:smartTag w:uri="urn:schemas-microsoft-com:office:smarttags" w:element="City">
        <w:r>
          <w:rPr>
            <w:sz w:val="20"/>
          </w:rPr>
          <w:t>Chicago</w:t>
        </w:r>
      </w:smartTag>
      <w:r>
        <w:rPr>
          <w:sz w:val="20"/>
        </w:rPr>
        <w:t xml:space="preserve">: </w:t>
      </w:r>
      <w:smartTag w:uri="urn:schemas-microsoft-com:office:smarttags" w:element="place">
        <w:smartTag w:uri="urn:schemas-microsoft-com:office:smarttags" w:element="City">
          <w:r>
            <w:rPr>
              <w:sz w:val="20"/>
            </w:rPr>
            <w:t>Markham</w:t>
          </w:r>
        </w:smartTag>
      </w:smartTag>
      <w:r>
        <w:rPr>
          <w:sz w:val="20"/>
        </w:rPr>
        <w:t xml:space="preserve">. </w:t>
      </w:r>
    </w:p>
    <w:p w:rsidR="00DC19F1" w:rsidRDefault="00DC19F1">
      <w:pPr>
        <w:pStyle w:val="BodyText"/>
        <w:rPr>
          <w:sz w:val="20"/>
        </w:rPr>
      </w:pPr>
    </w:p>
    <w:p w:rsidR="00DC19F1" w:rsidRDefault="00DC19F1">
      <w:pPr>
        <w:pStyle w:val="BodyText"/>
        <w:rPr>
          <w:sz w:val="20"/>
        </w:rPr>
      </w:pPr>
      <w:r>
        <w:rPr>
          <w:sz w:val="20"/>
        </w:rPr>
        <w:t xml:space="preserve">Dick, B. (1990) Convergent Interviewing’, Interchange, </w:t>
      </w:r>
      <w:smartTag w:uri="urn:schemas-microsoft-com:office:smarttags" w:element="place">
        <w:smartTag w:uri="urn:schemas-microsoft-com:office:smarttags" w:element="City">
          <w:r>
            <w:rPr>
              <w:sz w:val="20"/>
            </w:rPr>
            <w:t>Brisbane</w:t>
          </w:r>
        </w:smartTag>
      </w:smartTag>
      <w:r>
        <w:rPr>
          <w:sz w:val="20"/>
        </w:rPr>
        <w:t>.</w:t>
      </w:r>
    </w:p>
    <w:p w:rsidR="00DC19F1" w:rsidRDefault="00DC19F1">
      <w:pPr>
        <w:pStyle w:val="BodyText"/>
        <w:rPr>
          <w:sz w:val="20"/>
        </w:rPr>
      </w:pPr>
    </w:p>
    <w:p w:rsidR="00DC19F1" w:rsidRDefault="00DC19F1">
      <w:pPr>
        <w:pStyle w:val="BodyText"/>
        <w:spacing w:after="180"/>
        <w:rPr>
          <w:rStyle w:val="Reference"/>
          <w:bCs/>
          <w:sz w:val="20"/>
        </w:rPr>
      </w:pPr>
      <w:r>
        <w:rPr>
          <w:rStyle w:val="Reference"/>
          <w:bCs/>
          <w:sz w:val="20"/>
        </w:rPr>
        <w:t>Dick, A. S. and Basu, K. (1994) ‘Customer Loyalty: Toward an Integrated Conceptual Framework’. Journal of the Academy of marketing Science, vol. 2, no.2: 99-113.</w:t>
      </w:r>
    </w:p>
    <w:p w:rsidR="00DC19F1" w:rsidRDefault="00DC19F1">
      <w:pPr>
        <w:pStyle w:val="BodyText"/>
        <w:rPr>
          <w:sz w:val="20"/>
        </w:rPr>
      </w:pPr>
    </w:p>
    <w:p w:rsidR="00DC19F1" w:rsidRDefault="00DC19F1">
      <w:pPr>
        <w:pStyle w:val="BodyText"/>
        <w:rPr>
          <w:sz w:val="20"/>
        </w:rPr>
      </w:pPr>
      <w:r>
        <w:rPr>
          <w:sz w:val="20"/>
        </w:rPr>
        <w:t xml:space="preserve">Diesing, P. (1972) ‘Patterns of discovery in the social sciences’. </w:t>
      </w:r>
      <w:smartTag w:uri="urn:schemas-microsoft-com:office:smarttags" w:element="place">
        <w:smartTag w:uri="urn:schemas-microsoft-com:office:smarttags" w:element="City">
          <w:r>
            <w:rPr>
              <w:sz w:val="20"/>
            </w:rPr>
            <w:t>London</w:t>
          </w:r>
        </w:smartTag>
      </w:smartTag>
      <w:r>
        <w:rPr>
          <w:sz w:val="20"/>
        </w:rPr>
        <w:t xml:space="preserve">: Routledge &amp; Kegan Paul. </w:t>
      </w:r>
    </w:p>
    <w:p w:rsidR="00DC19F1" w:rsidRDefault="00DC19F1">
      <w:pPr>
        <w:pStyle w:val="BodyText"/>
        <w:rPr>
          <w:sz w:val="20"/>
        </w:rPr>
      </w:pPr>
    </w:p>
    <w:p w:rsidR="00DC19F1" w:rsidRDefault="00DC19F1">
      <w:pPr>
        <w:pStyle w:val="BodyText"/>
        <w:spacing w:after="180"/>
        <w:rPr>
          <w:sz w:val="20"/>
        </w:rPr>
      </w:pPr>
      <w:r>
        <w:rPr>
          <w:rStyle w:val="Reference"/>
          <w:bCs/>
          <w:sz w:val="20"/>
        </w:rPr>
        <w:t xml:space="preserve">Dwyer, F. R. Schurr, P. H. and Oh, S. (1987) ‘Developing Buyer-Seller Relationships’ Journal of Marketing, 51 (April): 1-27. </w:t>
      </w:r>
    </w:p>
    <w:p w:rsidR="00DC19F1" w:rsidRDefault="00DC19F1">
      <w:pPr>
        <w:pStyle w:val="BodyText"/>
        <w:rPr>
          <w:sz w:val="20"/>
        </w:rPr>
      </w:pPr>
    </w:p>
    <w:p w:rsidR="00DC19F1" w:rsidRDefault="00DC19F1">
      <w:pPr>
        <w:pStyle w:val="BodyText"/>
        <w:rPr>
          <w:sz w:val="20"/>
        </w:rPr>
      </w:pPr>
      <w:r>
        <w:rPr>
          <w:sz w:val="20"/>
        </w:rPr>
        <w:t xml:space="preserve">Engel, J.F. and Blackwell, R.D. (1982) ‘Brand loyalty and repeat purchase behaviour’ in ‘Consumer Behaviour’ The Dryden Press, </w:t>
      </w:r>
      <w:smartTag w:uri="urn:schemas-microsoft-com:office:smarttags" w:element="place">
        <w:smartTag w:uri="urn:schemas-microsoft-com:office:smarttags" w:element="City">
          <w:r>
            <w:rPr>
              <w:sz w:val="20"/>
            </w:rPr>
            <w:t>Chicago</w:t>
          </w:r>
        </w:smartTag>
      </w:smartTag>
      <w:r>
        <w:rPr>
          <w:sz w:val="20"/>
        </w:rPr>
        <w:t>, fourth edition.</w:t>
      </w:r>
    </w:p>
    <w:p w:rsidR="00DC19F1" w:rsidRDefault="00DC19F1">
      <w:pPr>
        <w:pStyle w:val="BodyText"/>
        <w:rPr>
          <w:sz w:val="20"/>
        </w:rPr>
      </w:pPr>
    </w:p>
    <w:p w:rsidR="00DC19F1" w:rsidRDefault="00DC19F1">
      <w:pPr>
        <w:pStyle w:val="BodyText"/>
        <w:rPr>
          <w:sz w:val="20"/>
          <w:lang w:val="en-US"/>
        </w:rPr>
      </w:pPr>
      <w:r>
        <w:rPr>
          <w:sz w:val="20"/>
          <w:lang w:val="en-US"/>
        </w:rPr>
        <w:lastRenderedPageBreak/>
        <w:t xml:space="preserve">Erlandson, D.A., Harris, E.L. Skipper, B.L. and </w:t>
      </w:r>
      <w:smartTag w:uri="urn:schemas-microsoft-com:office:smarttags" w:element="place">
        <w:smartTag w:uri="urn:schemas-microsoft-com:office:smarttags" w:element="City">
          <w:r>
            <w:rPr>
              <w:sz w:val="20"/>
              <w:lang w:val="en-US"/>
            </w:rPr>
            <w:t>Allen</w:t>
          </w:r>
        </w:smartTag>
        <w:r>
          <w:rPr>
            <w:sz w:val="20"/>
            <w:lang w:val="en-US"/>
          </w:rPr>
          <w:t xml:space="preserve">, </w:t>
        </w:r>
        <w:smartTag w:uri="urn:schemas-microsoft-com:office:smarttags" w:element="State">
          <w:r>
            <w:rPr>
              <w:sz w:val="20"/>
              <w:lang w:val="en-US"/>
            </w:rPr>
            <w:t>S.D.</w:t>
          </w:r>
        </w:smartTag>
      </w:smartTag>
      <w:r>
        <w:rPr>
          <w:sz w:val="20"/>
          <w:lang w:val="en-US"/>
        </w:rPr>
        <w:t xml:space="preserve"> (1993) ‘Doing Naturalistic Enquiry. A Guide to Methods’, Sage, </w:t>
      </w:r>
      <w:smartTag w:uri="urn:schemas-microsoft-com:office:smarttags" w:element="place">
        <w:smartTag w:uri="urn:schemas-microsoft-com:office:smarttags" w:element="PlaceName">
          <w:r>
            <w:rPr>
              <w:sz w:val="20"/>
              <w:lang w:val="en-US"/>
            </w:rPr>
            <w:t>Newbury</w:t>
          </w:r>
        </w:smartTag>
        <w:r>
          <w:rPr>
            <w:sz w:val="20"/>
            <w:lang w:val="en-US"/>
          </w:rPr>
          <w:t xml:space="preserve"> </w:t>
        </w:r>
        <w:smartTag w:uri="urn:schemas-microsoft-com:office:smarttags" w:element="PlaceType">
          <w:r>
            <w:rPr>
              <w:sz w:val="20"/>
              <w:lang w:val="en-US"/>
            </w:rPr>
            <w:t>Park</w:t>
          </w:r>
        </w:smartTag>
      </w:smartTag>
      <w:r>
        <w:rPr>
          <w:sz w:val="20"/>
          <w:lang w:val="en-US"/>
        </w:rPr>
        <w:t xml:space="preserve">.  </w:t>
      </w:r>
    </w:p>
    <w:p w:rsidR="00DC19F1" w:rsidRDefault="00DC19F1">
      <w:pPr>
        <w:pStyle w:val="BodyText"/>
        <w:rPr>
          <w:sz w:val="20"/>
          <w:lang w:val="en-US"/>
        </w:rPr>
      </w:pPr>
    </w:p>
    <w:p w:rsidR="00DC19F1" w:rsidRDefault="00DC19F1">
      <w:pPr>
        <w:pStyle w:val="BodyText"/>
        <w:rPr>
          <w:sz w:val="20"/>
          <w:lang w:val="en-US"/>
        </w:rPr>
      </w:pPr>
      <w:r>
        <w:rPr>
          <w:sz w:val="20"/>
          <w:lang w:val="en-US"/>
        </w:rPr>
        <w:t>Farrell, D. and Rusbult, C.E. (1981) ‘Exchange variables as predictors of job satisfaction, job commitment and turnover: The impact of rewards, costs, alternatives and investments’. Organisational Behaviour and Human Performance</w:t>
      </w:r>
    </w:p>
    <w:p w:rsidR="00DC19F1" w:rsidRDefault="00DC19F1">
      <w:pPr>
        <w:pStyle w:val="BodyText"/>
        <w:rPr>
          <w:sz w:val="20"/>
          <w:lang w:val="en-US"/>
        </w:rPr>
      </w:pPr>
    </w:p>
    <w:p w:rsidR="00DC19F1" w:rsidRDefault="00DC19F1">
      <w:pPr>
        <w:pStyle w:val="BodyText"/>
        <w:spacing w:after="180"/>
        <w:rPr>
          <w:rStyle w:val="Reference"/>
          <w:bCs/>
          <w:sz w:val="20"/>
        </w:rPr>
      </w:pPr>
      <w:r>
        <w:rPr>
          <w:rStyle w:val="Reference"/>
          <w:bCs/>
          <w:sz w:val="20"/>
        </w:rPr>
        <w:t>Fournier, S. (1998) ‘Consumers and their brands: Developing relationship theory in consumer research’, Journal of Consumer Research, vol. 24, March: 343-373.</w:t>
      </w:r>
    </w:p>
    <w:p w:rsidR="00DC19F1" w:rsidRDefault="00DC19F1">
      <w:pPr>
        <w:pStyle w:val="BodyText"/>
        <w:rPr>
          <w:sz w:val="20"/>
        </w:rPr>
      </w:pPr>
    </w:p>
    <w:p w:rsidR="00DC19F1" w:rsidRDefault="00DC19F1">
      <w:pPr>
        <w:pStyle w:val="BodyText"/>
        <w:rPr>
          <w:sz w:val="20"/>
        </w:rPr>
      </w:pPr>
      <w:r>
        <w:rPr>
          <w:sz w:val="20"/>
        </w:rPr>
        <w:t>Gabbott, M. (1998) ‘The Nature of bonding attachment in consumer markets: formulation and argument’, Proceedings of the 6</w:t>
      </w:r>
      <w:r>
        <w:rPr>
          <w:sz w:val="20"/>
          <w:vertAlign w:val="superscript"/>
        </w:rPr>
        <w:t>th</w:t>
      </w:r>
      <w:r>
        <w:rPr>
          <w:sz w:val="20"/>
        </w:rPr>
        <w:t xml:space="preserve"> International Colloquium on Relationship Marketing, Department of Marketing University of Auckland, New Zealand, (7-8 December): 186-203.</w:t>
      </w:r>
    </w:p>
    <w:p w:rsidR="00DC19F1" w:rsidRDefault="00DC19F1">
      <w:pPr>
        <w:pStyle w:val="BodyText"/>
        <w:rPr>
          <w:sz w:val="20"/>
        </w:rPr>
      </w:pPr>
    </w:p>
    <w:p w:rsidR="00DC19F1" w:rsidRDefault="00DC19F1">
      <w:pPr>
        <w:pStyle w:val="BodyText"/>
        <w:rPr>
          <w:bCs/>
          <w:sz w:val="20"/>
        </w:rPr>
      </w:pPr>
      <w:r>
        <w:rPr>
          <w:rStyle w:val="Reference"/>
          <w:bCs/>
          <w:sz w:val="20"/>
        </w:rPr>
        <w:t>Garbarino, E. and Johnson, M. S. (1999) ‘The Different Roles of Satisfaction, Trust and Commitment in Customer Relationships’, Journal of Marketing, vol. 63, no. 2 (April): 70-87.</w:t>
      </w:r>
    </w:p>
    <w:p w:rsidR="00DC19F1" w:rsidRDefault="00DC19F1">
      <w:pPr>
        <w:pStyle w:val="BodyText"/>
        <w:rPr>
          <w:sz w:val="20"/>
        </w:rPr>
      </w:pPr>
    </w:p>
    <w:p w:rsidR="00DC19F1" w:rsidRDefault="00DC19F1">
      <w:pPr>
        <w:pStyle w:val="BodyText"/>
        <w:rPr>
          <w:sz w:val="20"/>
        </w:rPr>
      </w:pPr>
      <w:r>
        <w:rPr>
          <w:sz w:val="20"/>
        </w:rPr>
        <w:t xml:space="preserve">Glassner, B. and Loughlin, J. (1987) ‘Drugs in Adolescent Worlds: Burnouts to Straights’ </w:t>
      </w:r>
      <w:smartTag w:uri="urn:schemas-microsoft-com:office:smarttags" w:element="State">
        <w:r>
          <w:rPr>
            <w:sz w:val="20"/>
          </w:rPr>
          <w:t>New York</w:t>
        </w:r>
      </w:smartTag>
      <w:r>
        <w:rPr>
          <w:sz w:val="20"/>
        </w:rPr>
        <w:t xml:space="preserve">, </w:t>
      </w:r>
      <w:smartTag w:uri="urn:schemas-microsoft-com:office:smarttags" w:element="place">
        <w:r>
          <w:rPr>
            <w:sz w:val="20"/>
          </w:rPr>
          <w:t>St Martin</w:t>
        </w:r>
      </w:smartTag>
      <w:r>
        <w:rPr>
          <w:sz w:val="20"/>
        </w:rPr>
        <w:t>’s Press.</w:t>
      </w:r>
    </w:p>
    <w:p w:rsidR="00DC19F1" w:rsidRDefault="00DC19F1">
      <w:pPr>
        <w:pStyle w:val="BodyText"/>
        <w:rPr>
          <w:sz w:val="20"/>
        </w:rPr>
      </w:pPr>
    </w:p>
    <w:p w:rsidR="00DC19F1" w:rsidRDefault="00DC19F1">
      <w:pPr>
        <w:pStyle w:val="BodyText"/>
        <w:spacing w:after="180"/>
        <w:rPr>
          <w:sz w:val="20"/>
        </w:rPr>
      </w:pPr>
      <w:r>
        <w:rPr>
          <w:rStyle w:val="Reference"/>
          <w:bCs/>
          <w:sz w:val="20"/>
        </w:rPr>
        <w:t xml:space="preserve">Gordon, W. (1999) ‘Goodthinking. A guide to Qualitative Research’, Admap Publications, Henley-on-Thames, </w:t>
      </w:r>
      <w:smartTag w:uri="urn:schemas-microsoft-com:office:smarttags" w:element="place">
        <w:smartTag w:uri="urn:schemas-microsoft-com:office:smarttags" w:element="City">
          <w:r>
            <w:rPr>
              <w:rStyle w:val="Reference"/>
              <w:bCs/>
              <w:sz w:val="20"/>
            </w:rPr>
            <w:t>Oxon</w:t>
          </w:r>
        </w:smartTag>
        <w:r>
          <w:rPr>
            <w:rStyle w:val="Reference"/>
            <w:bCs/>
            <w:sz w:val="20"/>
          </w:rPr>
          <w:t xml:space="preserve">, </w:t>
        </w:r>
        <w:smartTag w:uri="urn:schemas-microsoft-com:office:smarttags" w:element="country-region">
          <w:r>
            <w:rPr>
              <w:rStyle w:val="Reference"/>
              <w:bCs/>
              <w:sz w:val="20"/>
            </w:rPr>
            <w:t>UK</w:t>
          </w:r>
        </w:smartTag>
      </w:smartTag>
      <w:r>
        <w:rPr>
          <w:rStyle w:val="Reference"/>
          <w:bCs/>
          <w:sz w:val="20"/>
        </w:rPr>
        <w:t xml:space="preserve">. </w:t>
      </w:r>
    </w:p>
    <w:p w:rsidR="00DC19F1" w:rsidRDefault="00DC19F1">
      <w:pPr>
        <w:pStyle w:val="BodyText"/>
        <w:rPr>
          <w:sz w:val="20"/>
        </w:rPr>
      </w:pPr>
      <w:r>
        <w:rPr>
          <w:sz w:val="20"/>
        </w:rPr>
        <w:t xml:space="preserve">Guba, E. and </w:t>
      </w:r>
      <w:smartTag w:uri="urn:schemas-microsoft-com:office:smarttags" w:element="City">
        <w:r>
          <w:rPr>
            <w:sz w:val="20"/>
          </w:rPr>
          <w:t>Lincoln</w:t>
        </w:r>
      </w:smartTag>
      <w:r>
        <w:rPr>
          <w:sz w:val="20"/>
        </w:rPr>
        <w:t xml:space="preserve">, Y.S. (1989) ‘Fourth Generation Evaluation’, Sage, </w:t>
      </w:r>
      <w:smartTag w:uri="urn:schemas-microsoft-com:office:smarttags" w:element="place">
        <w:smartTag w:uri="urn:schemas-microsoft-com:office:smarttags" w:element="PlaceName">
          <w:r>
            <w:rPr>
              <w:sz w:val="20"/>
            </w:rPr>
            <w:t>Newbury</w:t>
          </w:r>
        </w:smartTag>
        <w:r>
          <w:rPr>
            <w:sz w:val="20"/>
          </w:rPr>
          <w:t xml:space="preserve"> </w:t>
        </w:r>
        <w:smartTag w:uri="urn:schemas-microsoft-com:office:smarttags" w:element="PlaceType">
          <w:r>
            <w:rPr>
              <w:sz w:val="20"/>
            </w:rPr>
            <w:t>Park</w:t>
          </w:r>
        </w:smartTag>
      </w:smartTag>
      <w:r>
        <w:rPr>
          <w:sz w:val="20"/>
        </w:rPr>
        <w:t>.</w:t>
      </w:r>
    </w:p>
    <w:p w:rsidR="00DC19F1" w:rsidRDefault="00DC19F1">
      <w:pPr>
        <w:pStyle w:val="BodyText"/>
        <w:rPr>
          <w:rStyle w:val="Reference"/>
          <w:bCs/>
          <w:sz w:val="20"/>
        </w:rPr>
      </w:pPr>
    </w:p>
    <w:p w:rsidR="00DC19F1" w:rsidRDefault="00DC19F1">
      <w:pPr>
        <w:pStyle w:val="BodyText"/>
        <w:spacing w:after="180"/>
        <w:rPr>
          <w:rStyle w:val="Reference"/>
          <w:b/>
        </w:rPr>
      </w:pPr>
      <w:r>
        <w:rPr>
          <w:rStyle w:val="Reference"/>
          <w:bCs/>
          <w:sz w:val="20"/>
        </w:rPr>
        <w:t>Guest, L. (1955) ‘Brand Loyalty  - Twelve years later’ Journal of Applied Psychology, vol.39, no. 6: 405-408.</w:t>
      </w:r>
    </w:p>
    <w:p w:rsidR="00DC19F1" w:rsidRDefault="00DC19F1">
      <w:pPr>
        <w:pStyle w:val="BodyText"/>
        <w:spacing w:after="180"/>
        <w:rPr>
          <w:rStyle w:val="Reference"/>
          <w:bCs/>
          <w:sz w:val="20"/>
        </w:rPr>
      </w:pPr>
      <w:r>
        <w:rPr>
          <w:rStyle w:val="Reference"/>
          <w:bCs/>
          <w:sz w:val="20"/>
        </w:rPr>
        <w:t xml:space="preserve">Gwinner, K. P., Gremler, </w:t>
      </w:r>
      <w:smartTag w:uri="urn:schemas:contacts" w:element="middlename">
        <w:r>
          <w:rPr>
            <w:rStyle w:val="Reference"/>
            <w:bCs/>
            <w:sz w:val="20"/>
          </w:rPr>
          <w:t>D.</w:t>
        </w:r>
      </w:smartTag>
      <w:r>
        <w:rPr>
          <w:rStyle w:val="Reference"/>
          <w:bCs/>
          <w:sz w:val="20"/>
        </w:rPr>
        <w:t xml:space="preserve"> </w:t>
      </w:r>
      <w:smartTag w:uri="urn:schemas:contacts" w:element="middlename">
        <w:r>
          <w:rPr>
            <w:rStyle w:val="Reference"/>
            <w:bCs/>
            <w:sz w:val="20"/>
          </w:rPr>
          <w:t>D.</w:t>
        </w:r>
      </w:smartTag>
      <w:r>
        <w:rPr>
          <w:rStyle w:val="Reference"/>
          <w:bCs/>
          <w:sz w:val="20"/>
        </w:rPr>
        <w:t xml:space="preserve"> and Bitner, M. J. (1998) ‘Relational Benefits in Services Industries: The Customer’s Perspective’, The Journal of the </w:t>
      </w:r>
      <w:smartTag w:uri="urn:schemas-microsoft-com:office:smarttags" w:element="place">
        <w:smartTag w:uri="urn:schemas-microsoft-com:office:smarttags" w:element="PlaceType">
          <w:r>
            <w:rPr>
              <w:rStyle w:val="Reference"/>
              <w:bCs/>
              <w:sz w:val="20"/>
            </w:rPr>
            <w:t>Academy</w:t>
          </w:r>
        </w:smartTag>
        <w:r>
          <w:rPr>
            <w:rStyle w:val="Reference"/>
            <w:bCs/>
            <w:sz w:val="20"/>
          </w:rPr>
          <w:t xml:space="preserve"> of </w:t>
        </w:r>
        <w:smartTag w:uri="urn:schemas-microsoft-com:office:smarttags" w:element="PlaceName">
          <w:r>
            <w:rPr>
              <w:rStyle w:val="Reference"/>
              <w:bCs/>
              <w:sz w:val="20"/>
            </w:rPr>
            <w:t>Marketing Science</w:t>
          </w:r>
        </w:smartTag>
      </w:smartTag>
      <w:r>
        <w:rPr>
          <w:rStyle w:val="Reference"/>
          <w:bCs/>
          <w:sz w:val="20"/>
        </w:rPr>
        <w:t xml:space="preserve">, vol. 26, no 2:101-114. </w:t>
      </w:r>
    </w:p>
    <w:p w:rsidR="00DC19F1" w:rsidRDefault="00DC19F1">
      <w:pPr>
        <w:pStyle w:val="BodyText"/>
        <w:rPr>
          <w:sz w:val="20"/>
        </w:rPr>
      </w:pPr>
    </w:p>
    <w:p w:rsidR="00DC19F1" w:rsidRDefault="00DC19F1">
      <w:pPr>
        <w:pStyle w:val="BodyText"/>
        <w:rPr>
          <w:sz w:val="20"/>
        </w:rPr>
      </w:pPr>
      <w:r>
        <w:rPr>
          <w:sz w:val="20"/>
        </w:rPr>
        <w:t>Halldorsson, A. and Aaastrup, J. (2003) ‘Quality Criteria for qualitative inquiries in logistics’, European Journal of Operational Research, 144: 321-332.</w:t>
      </w:r>
    </w:p>
    <w:p w:rsidR="00DC19F1" w:rsidRDefault="00DC19F1">
      <w:pPr>
        <w:pStyle w:val="BodyText"/>
        <w:rPr>
          <w:sz w:val="20"/>
        </w:rPr>
      </w:pPr>
    </w:p>
    <w:p w:rsidR="00DC19F1" w:rsidRDefault="00DC19F1">
      <w:pPr>
        <w:pStyle w:val="BodyText"/>
        <w:rPr>
          <w:sz w:val="20"/>
        </w:rPr>
      </w:pPr>
      <w:r>
        <w:rPr>
          <w:sz w:val="20"/>
        </w:rPr>
        <w:t xml:space="preserve">Halpern, E.S. (1983) ‘Auditing naturalistic enquiries: The development and application of a model’. Unpublished doctoral dissertation, </w:t>
      </w:r>
      <w:smartTag w:uri="urn:schemas-microsoft-com:office:smarttags" w:element="place">
        <w:smartTag w:uri="urn:schemas-microsoft-com:office:smarttags" w:element="PlaceName">
          <w:r>
            <w:rPr>
              <w:sz w:val="20"/>
            </w:rPr>
            <w:t>Indiana</w:t>
          </w:r>
        </w:smartTag>
        <w:r>
          <w:rPr>
            <w:sz w:val="20"/>
          </w:rPr>
          <w:t xml:space="preserve"> </w:t>
        </w:r>
        <w:smartTag w:uri="urn:schemas-microsoft-com:office:smarttags" w:element="PlaceType">
          <w:r>
            <w:rPr>
              <w:sz w:val="20"/>
            </w:rPr>
            <w:t>University</w:t>
          </w:r>
        </w:smartTag>
      </w:smartTag>
      <w:r>
        <w:rPr>
          <w:sz w:val="20"/>
        </w:rPr>
        <w:t>.</w:t>
      </w:r>
    </w:p>
    <w:p w:rsidR="00DC19F1" w:rsidRDefault="00DC19F1">
      <w:pPr>
        <w:pStyle w:val="BodyText"/>
        <w:rPr>
          <w:sz w:val="20"/>
        </w:rPr>
      </w:pPr>
    </w:p>
    <w:p w:rsidR="00DC19F1" w:rsidRDefault="00DC19F1">
      <w:pPr>
        <w:pStyle w:val="BodyText"/>
        <w:rPr>
          <w:sz w:val="20"/>
        </w:rPr>
      </w:pPr>
      <w:r>
        <w:rPr>
          <w:sz w:val="20"/>
        </w:rPr>
        <w:t xml:space="preserve">Hammersley, M. (1990) ‘Reading Ethnographic Research: A Critical Guide’. Longmans, </w:t>
      </w:r>
      <w:smartTag w:uri="urn:schemas-microsoft-com:office:smarttags" w:element="place">
        <w:smartTag w:uri="urn:schemas-microsoft-com:office:smarttags" w:element="City">
          <w:r>
            <w:rPr>
              <w:sz w:val="20"/>
            </w:rPr>
            <w:t>London</w:t>
          </w:r>
        </w:smartTag>
      </w:smartTag>
      <w:r>
        <w:rPr>
          <w:sz w:val="20"/>
        </w:rPr>
        <w:t>.</w:t>
      </w:r>
    </w:p>
    <w:p w:rsidR="00DC19F1" w:rsidRDefault="00DC19F1">
      <w:pPr>
        <w:pStyle w:val="BodyText"/>
        <w:rPr>
          <w:sz w:val="20"/>
        </w:rPr>
      </w:pPr>
    </w:p>
    <w:p w:rsidR="00DC19F1" w:rsidRDefault="00DC19F1">
      <w:pPr>
        <w:pStyle w:val="BodyText"/>
        <w:rPr>
          <w:sz w:val="20"/>
        </w:rPr>
      </w:pPr>
      <w:r>
        <w:rPr>
          <w:sz w:val="20"/>
        </w:rPr>
        <w:t>Hennig-Thurau, T., Gwinner, K.P. and Gremler, D.D. (2002) ‘Understanding Relationship Marketing Outcomes’ Journal of Services Research 4 (3): 230-247.</w:t>
      </w:r>
    </w:p>
    <w:p w:rsidR="00DC19F1" w:rsidRDefault="00DC19F1">
      <w:pPr>
        <w:pStyle w:val="BodyText"/>
        <w:rPr>
          <w:sz w:val="20"/>
        </w:rPr>
      </w:pPr>
    </w:p>
    <w:p w:rsidR="00DC19F1" w:rsidRDefault="00DC19F1">
      <w:pPr>
        <w:pStyle w:val="BodyText"/>
        <w:rPr>
          <w:sz w:val="20"/>
        </w:rPr>
      </w:pPr>
      <w:r>
        <w:rPr>
          <w:sz w:val="20"/>
        </w:rPr>
        <w:lastRenderedPageBreak/>
        <w:t xml:space="preserve">Herscovitch, L. and Meyer, J.P. (2002) ‘Commitment to Organisational Change: Extension of a Three-Component Model’ Journal of Applied Psychology, 87 (3): 474-487.  </w:t>
      </w:r>
    </w:p>
    <w:p w:rsidR="00DC19F1" w:rsidRDefault="00DC19F1">
      <w:pPr>
        <w:pStyle w:val="BodyText"/>
        <w:rPr>
          <w:sz w:val="20"/>
        </w:rPr>
      </w:pPr>
      <w:r>
        <w:rPr>
          <w:sz w:val="20"/>
        </w:rPr>
        <w:t xml:space="preserve"> </w:t>
      </w:r>
    </w:p>
    <w:p w:rsidR="00DC19F1" w:rsidRDefault="00DC19F1">
      <w:pPr>
        <w:pStyle w:val="BodyText"/>
        <w:rPr>
          <w:rStyle w:val="Reference"/>
          <w:bCs/>
          <w:sz w:val="20"/>
        </w:rPr>
      </w:pPr>
      <w:r>
        <w:rPr>
          <w:rStyle w:val="Reference"/>
          <w:bCs/>
          <w:sz w:val="20"/>
        </w:rPr>
        <w:t>Holliday, A. (2002) ‘Doing and Writing Qualitative Research’ London, Sage Publications Ltd.</w:t>
      </w:r>
    </w:p>
    <w:p w:rsidR="00DC19F1" w:rsidRDefault="00DC19F1">
      <w:pPr>
        <w:pStyle w:val="BodyText"/>
        <w:rPr>
          <w:rStyle w:val="Reference"/>
          <w:bCs/>
          <w:sz w:val="20"/>
        </w:rPr>
      </w:pPr>
    </w:p>
    <w:p w:rsidR="00DC19F1" w:rsidRDefault="00DC19F1">
      <w:pPr>
        <w:pStyle w:val="BodyText"/>
        <w:rPr>
          <w:bCs/>
          <w:sz w:val="20"/>
        </w:rPr>
      </w:pPr>
      <w:r>
        <w:rPr>
          <w:rStyle w:val="Reference"/>
          <w:bCs/>
          <w:sz w:val="20"/>
        </w:rPr>
        <w:t>Holmlund, M. and Kock, S. (1996) ‘Relationship Marketing: The Importance of Customer-Perceived Quality in Retail Banking’ The services Industries Journal vol. 16/ 3 (July): 287-304.</w:t>
      </w:r>
    </w:p>
    <w:p w:rsidR="00DC19F1" w:rsidRDefault="00DC19F1">
      <w:pPr>
        <w:pStyle w:val="BodyText"/>
        <w:rPr>
          <w:sz w:val="20"/>
        </w:rPr>
      </w:pPr>
    </w:p>
    <w:p w:rsidR="00DC19F1" w:rsidRDefault="00DC19F1">
      <w:pPr>
        <w:pStyle w:val="BodyText"/>
        <w:rPr>
          <w:sz w:val="20"/>
        </w:rPr>
      </w:pPr>
      <w:r>
        <w:rPr>
          <w:sz w:val="20"/>
          <w:lang w:val="en-US"/>
        </w:rPr>
        <w:t xml:space="preserve">Holstein, J.A. </w:t>
      </w:r>
      <w:r>
        <w:rPr>
          <w:sz w:val="20"/>
        </w:rPr>
        <w:t xml:space="preserve">and Gubrium, J. F. (1995) ‘The Active Interview’ Qualitative Research Methods, vol. 37, Sage Publications, </w:t>
      </w:r>
      <w:smartTag w:uri="urn:schemas-microsoft-com:office:smarttags" w:element="place">
        <w:smartTag w:uri="urn:schemas-microsoft-com:office:smarttags" w:element="City">
          <w:r>
            <w:rPr>
              <w:sz w:val="20"/>
            </w:rPr>
            <w:t>Thousand Oaks</w:t>
          </w:r>
        </w:smartTag>
        <w:r>
          <w:rPr>
            <w:sz w:val="20"/>
          </w:rPr>
          <w:t xml:space="preserve">, </w:t>
        </w:r>
        <w:smartTag w:uri="urn:schemas-microsoft-com:office:smarttags" w:element="country-region">
          <w:r>
            <w:rPr>
              <w:sz w:val="20"/>
            </w:rPr>
            <w:t>C.A.</w:t>
          </w:r>
        </w:smartTag>
      </w:smartTag>
    </w:p>
    <w:p w:rsidR="00DC19F1" w:rsidRDefault="00DC19F1">
      <w:pPr>
        <w:pStyle w:val="BodyText"/>
        <w:rPr>
          <w:sz w:val="20"/>
        </w:rPr>
      </w:pPr>
    </w:p>
    <w:p w:rsidR="00DC19F1" w:rsidRDefault="00DC19F1">
      <w:pPr>
        <w:pStyle w:val="BodyText"/>
        <w:rPr>
          <w:rStyle w:val="Reference"/>
          <w:bCs/>
          <w:sz w:val="20"/>
        </w:rPr>
      </w:pPr>
      <w:r>
        <w:rPr>
          <w:rStyle w:val="Reference"/>
          <w:bCs/>
          <w:sz w:val="20"/>
        </w:rPr>
        <w:t>Hussey, M. and Dunscombe, N. (1999) ‘Projecting the right image: using projective techniques to measure brand image’. Qualitative Market Research: An International Journal, vol. 2, no. 1: 22-30.</w:t>
      </w:r>
    </w:p>
    <w:p w:rsidR="00DC19F1" w:rsidRDefault="00DC19F1">
      <w:pPr>
        <w:pStyle w:val="BodyText"/>
        <w:rPr>
          <w:rStyle w:val="Reference"/>
          <w:bCs/>
          <w:sz w:val="20"/>
        </w:rPr>
      </w:pPr>
    </w:p>
    <w:p w:rsidR="00DC19F1" w:rsidRDefault="00DC19F1">
      <w:pPr>
        <w:pStyle w:val="BodyText"/>
        <w:rPr>
          <w:rStyle w:val="Reference"/>
          <w:bCs/>
          <w:sz w:val="20"/>
        </w:rPr>
      </w:pPr>
      <w:smartTag w:uri="urn:schemas-microsoft-com:office:smarttags" w:element="City">
        <w:r>
          <w:rPr>
            <w:rStyle w:val="Reference"/>
            <w:bCs/>
            <w:sz w:val="20"/>
          </w:rPr>
          <w:t>Jackson</w:t>
        </w:r>
      </w:smartTag>
      <w:r>
        <w:rPr>
          <w:rStyle w:val="Reference"/>
          <w:bCs/>
          <w:sz w:val="20"/>
        </w:rPr>
        <w:t xml:space="preserve">, B.B. (1985) ‘Winning and Keeping Industrial Customers’ </w:t>
      </w:r>
      <w:smartTag w:uri="urn:schemas-microsoft-com:office:smarttags" w:element="place">
        <w:smartTag w:uri="urn:schemas-microsoft-com:office:smarttags" w:element="City">
          <w:r>
            <w:rPr>
              <w:rStyle w:val="Reference"/>
              <w:bCs/>
              <w:sz w:val="20"/>
            </w:rPr>
            <w:t>Lexington</w:t>
          </w:r>
        </w:smartTag>
        <w:r>
          <w:rPr>
            <w:rStyle w:val="Reference"/>
            <w:bCs/>
            <w:sz w:val="20"/>
          </w:rPr>
          <w:t xml:space="preserve">, </w:t>
        </w:r>
        <w:smartTag w:uri="urn:schemas-microsoft-com:office:smarttags" w:element="State">
          <w:r>
            <w:rPr>
              <w:rStyle w:val="Reference"/>
              <w:bCs/>
              <w:sz w:val="20"/>
            </w:rPr>
            <w:t>MA</w:t>
          </w:r>
        </w:smartTag>
      </w:smartTag>
      <w:r>
        <w:rPr>
          <w:rStyle w:val="Reference"/>
          <w:bCs/>
          <w:sz w:val="20"/>
        </w:rPr>
        <w:t xml:space="preserve">: D.C. Heath and Company, 65-93. </w:t>
      </w:r>
    </w:p>
    <w:p w:rsidR="00DC19F1" w:rsidRDefault="00DC19F1">
      <w:pPr>
        <w:pStyle w:val="BodyText"/>
        <w:rPr>
          <w:rStyle w:val="Reference"/>
          <w:bCs/>
          <w:sz w:val="20"/>
        </w:rPr>
      </w:pPr>
    </w:p>
    <w:p w:rsidR="00DC19F1" w:rsidRDefault="00DC19F1">
      <w:pPr>
        <w:pStyle w:val="BodyText"/>
        <w:rPr>
          <w:rStyle w:val="Reference"/>
          <w:bCs/>
          <w:sz w:val="20"/>
        </w:rPr>
      </w:pPr>
      <w:r>
        <w:rPr>
          <w:rStyle w:val="Reference"/>
          <w:bCs/>
          <w:sz w:val="20"/>
        </w:rPr>
        <w:t xml:space="preserve">Keller, K.L. (1998) ‘Strategic Brand Management’, Prentice Hall, </w:t>
      </w:r>
      <w:smartTag w:uri="urn:schemas-microsoft-com:office:smarttags" w:element="place">
        <w:smartTag w:uri="urn:schemas-microsoft-com:office:smarttags" w:element="City">
          <w:r>
            <w:rPr>
              <w:rStyle w:val="Reference"/>
              <w:bCs/>
              <w:sz w:val="20"/>
            </w:rPr>
            <w:t>Engelwood Clifs</w:t>
          </w:r>
        </w:smartTag>
        <w:r>
          <w:rPr>
            <w:rStyle w:val="Reference"/>
            <w:bCs/>
            <w:sz w:val="20"/>
          </w:rPr>
          <w:t xml:space="preserve">, </w:t>
        </w:r>
        <w:smartTag w:uri="urn:schemas-microsoft-com:office:smarttags" w:element="State">
          <w:r>
            <w:rPr>
              <w:rStyle w:val="Reference"/>
              <w:bCs/>
              <w:sz w:val="20"/>
            </w:rPr>
            <w:t>NJ</w:t>
          </w:r>
        </w:smartTag>
      </w:smartTag>
      <w:r>
        <w:rPr>
          <w:rStyle w:val="Reference"/>
          <w:bCs/>
          <w:sz w:val="20"/>
        </w:rPr>
        <w:t>.</w:t>
      </w:r>
    </w:p>
    <w:p w:rsidR="00DC19F1" w:rsidRDefault="00DC19F1">
      <w:pPr>
        <w:pStyle w:val="BodyText"/>
        <w:rPr>
          <w:bCs/>
          <w:sz w:val="20"/>
        </w:rPr>
      </w:pPr>
    </w:p>
    <w:p w:rsidR="00DC19F1" w:rsidRDefault="00DC19F1">
      <w:pPr>
        <w:pStyle w:val="BodyText"/>
        <w:rPr>
          <w:rStyle w:val="Reference"/>
          <w:bCs/>
          <w:sz w:val="20"/>
        </w:rPr>
      </w:pPr>
      <w:r>
        <w:rPr>
          <w:rStyle w:val="Reference"/>
          <w:bCs/>
          <w:sz w:val="20"/>
        </w:rPr>
        <w:t xml:space="preserve">Kelman, H.C. (1958) ‘Compliance, Identification and Internalisation: Three Processes of Attitude Change’ Journal of Conflict Resolution, </w:t>
      </w:r>
      <w:smartTag w:uri="urn:schemas-microsoft-com:office:smarttags" w:element="time">
        <w:smartTagPr>
          <w:attr w:name="Hour" w:val="2"/>
          <w:attr w:name="Minute" w:val="51"/>
        </w:smartTagPr>
        <w:r>
          <w:rPr>
            <w:rStyle w:val="Reference"/>
            <w:bCs/>
            <w:sz w:val="20"/>
          </w:rPr>
          <w:t>2: 51</w:t>
        </w:r>
      </w:smartTag>
      <w:r>
        <w:rPr>
          <w:rStyle w:val="Reference"/>
          <w:bCs/>
          <w:sz w:val="20"/>
        </w:rPr>
        <w:t>- 60.</w:t>
      </w:r>
    </w:p>
    <w:p w:rsidR="00DC19F1" w:rsidRDefault="00DC19F1">
      <w:pPr>
        <w:pStyle w:val="BodyText"/>
        <w:rPr>
          <w:sz w:val="20"/>
        </w:rPr>
      </w:pPr>
    </w:p>
    <w:p w:rsidR="00DC19F1" w:rsidRDefault="00DC19F1">
      <w:pPr>
        <w:pStyle w:val="BodyText"/>
        <w:rPr>
          <w:rStyle w:val="Reference"/>
          <w:bCs/>
          <w:sz w:val="20"/>
        </w:rPr>
      </w:pPr>
      <w:smartTag w:uri="urn:schemas-microsoft-com:office:smarttags" w:element="City">
        <w:r>
          <w:rPr>
            <w:rStyle w:val="Reference"/>
            <w:bCs/>
            <w:sz w:val="20"/>
          </w:rPr>
          <w:t>Kiesler</w:t>
        </w:r>
      </w:smartTag>
      <w:r>
        <w:rPr>
          <w:rStyle w:val="Reference"/>
          <w:bCs/>
          <w:sz w:val="20"/>
        </w:rPr>
        <w:t xml:space="preserve">, </w:t>
      </w:r>
      <w:smartTag w:uri="urn:schemas-microsoft-com:office:smarttags" w:element="country-region">
        <w:r>
          <w:rPr>
            <w:rStyle w:val="Reference"/>
            <w:bCs/>
            <w:sz w:val="20"/>
          </w:rPr>
          <w:t>C.A.</w:t>
        </w:r>
      </w:smartTag>
      <w:r>
        <w:rPr>
          <w:rStyle w:val="Reference"/>
          <w:bCs/>
          <w:sz w:val="20"/>
        </w:rPr>
        <w:t xml:space="preserve"> (1971) ‘The Psychology of Commitment, Experiments Linking Behaviour to Belief’, Academic Press, </w:t>
      </w:r>
      <w:smartTag w:uri="urn:schemas-microsoft-com:office:smarttags" w:element="State">
        <w:r>
          <w:rPr>
            <w:rStyle w:val="Reference"/>
            <w:bCs/>
            <w:sz w:val="20"/>
          </w:rPr>
          <w:t>New York</w:t>
        </w:r>
      </w:smartTag>
      <w:r>
        <w:rPr>
          <w:rStyle w:val="Reference"/>
          <w:bCs/>
          <w:sz w:val="20"/>
        </w:rPr>
        <w:t xml:space="preserve">, N. Y. and </w:t>
      </w:r>
      <w:smartTag w:uri="urn:schemas-microsoft-com:office:smarttags" w:element="place">
        <w:smartTag w:uri="urn:schemas-microsoft-com:office:smarttags" w:element="City">
          <w:r>
            <w:rPr>
              <w:rStyle w:val="Reference"/>
              <w:bCs/>
              <w:sz w:val="20"/>
            </w:rPr>
            <w:t>London</w:t>
          </w:r>
        </w:smartTag>
      </w:smartTag>
      <w:r>
        <w:rPr>
          <w:rStyle w:val="Reference"/>
          <w:bCs/>
          <w:sz w:val="20"/>
        </w:rPr>
        <w:t>.</w:t>
      </w:r>
    </w:p>
    <w:p w:rsidR="00DC19F1" w:rsidRDefault="00DC19F1">
      <w:pPr>
        <w:pStyle w:val="BodyText"/>
        <w:spacing w:after="180"/>
        <w:rPr>
          <w:rStyle w:val="Reference"/>
          <w:bCs/>
          <w:sz w:val="20"/>
        </w:rPr>
      </w:pPr>
    </w:p>
    <w:p w:rsidR="00DC19F1" w:rsidRDefault="00DC19F1">
      <w:pPr>
        <w:pStyle w:val="BodyText"/>
        <w:spacing w:after="180"/>
        <w:rPr>
          <w:rStyle w:val="Reference"/>
          <w:bCs/>
          <w:sz w:val="20"/>
        </w:rPr>
      </w:pPr>
      <w:smartTag w:uri="urn:schemas-microsoft-com:office:smarttags" w:element="place">
        <w:smartTag w:uri="urn:schemas-microsoft-com:office:smarttags" w:element="City">
          <w:r>
            <w:rPr>
              <w:rStyle w:val="Reference"/>
              <w:bCs/>
              <w:sz w:val="20"/>
            </w:rPr>
            <w:t>Kiesler</w:t>
          </w:r>
        </w:smartTag>
        <w:r>
          <w:rPr>
            <w:rStyle w:val="Reference"/>
            <w:bCs/>
            <w:sz w:val="20"/>
          </w:rPr>
          <w:t xml:space="preserve">, </w:t>
        </w:r>
        <w:smartTag w:uri="urn:schemas-microsoft-com:office:smarttags" w:element="country-region">
          <w:r>
            <w:rPr>
              <w:rStyle w:val="Reference"/>
              <w:bCs/>
              <w:sz w:val="20"/>
            </w:rPr>
            <w:t>C.A.</w:t>
          </w:r>
        </w:smartTag>
      </w:smartTag>
      <w:r>
        <w:rPr>
          <w:rStyle w:val="Reference"/>
          <w:bCs/>
          <w:sz w:val="20"/>
        </w:rPr>
        <w:t xml:space="preserve"> (1977) ‘Sequential Events in Commitment’ Journal of Personality, vol. 45: 65-78.</w:t>
      </w:r>
    </w:p>
    <w:p w:rsidR="00DC19F1" w:rsidRDefault="00DC19F1">
      <w:pPr>
        <w:pStyle w:val="BodyText"/>
        <w:rPr>
          <w:sz w:val="20"/>
        </w:rPr>
      </w:pPr>
      <w:r>
        <w:rPr>
          <w:sz w:val="20"/>
        </w:rPr>
        <w:t xml:space="preserve">Kirk, J. and Miller, M.L. (1986) ‘Reliability and validity in qualitative research’. </w:t>
      </w:r>
      <w:smartTag w:uri="urn:schemas-microsoft-com:office:smarttags" w:element="place">
        <w:smartTag w:uri="urn:schemas-microsoft-com:office:smarttags" w:element="PlaceName">
          <w:r>
            <w:rPr>
              <w:sz w:val="20"/>
            </w:rPr>
            <w:t>Beverley</w:t>
          </w:r>
        </w:smartTag>
        <w:r>
          <w:rPr>
            <w:sz w:val="20"/>
          </w:rPr>
          <w:t xml:space="preserve"> </w:t>
        </w:r>
        <w:smartTag w:uri="urn:schemas-microsoft-com:office:smarttags" w:element="PlaceName">
          <w:r>
            <w:rPr>
              <w:sz w:val="20"/>
            </w:rPr>
            <w:t>Hills</w:t>
          </w:r>
        </w:smartTag>
      </w:smartTag>
      <w:r>
        <w:rPr>
          <w:sz w:val="20"/>
        </w:rPr>
        <w:t>, CA: Sage.</w:t>
      </w:r>
    </w:p>
    <w:p w:rsidR="00DC19F1" w:rsidRDefault="00DC19F1">
      <w:pPr>
        <w:pStyle w:val="BodyText"/>
        <w:rPr>
          <w:sz w:val="20"/>
        </w:rPr>
      </w:pPr>
    </w:p>
    <w:p w:rsidR="00DC19F1" w:rsidRDefault="00DC19F1">
      <w:pPr>
        <w:pStyle w:val="BodyText"/>
        <w:rPr>
          <w:bCs/>
          <w:sz w:val="20"/>
        </w:rPr>
      </w:pPr>
      <w:r>
        <w:rPr>
          <w:rStyle w:val="Reference"/>
          <w:bCs/>
          <w:sz w:val="20"/>
        </w:rPr>
        <w:t>Knox, S. and Walker, D. (2001) ‘Measuring and managing brand loyalty’, Journal of Strategic Marketing 9: 111-128.</w:t>
      </w:r>
    </w:p>
    <w:p w:rsidR="00DC19F1" w:rsidRDefault="00DC19F1">
      <w:pPr>
        <w:pStyle w:val="BodyText"/>
        <w:rPr>
          <w:sz w:val="20"/>
        </w:rPr>
      </w:pPr>
      <w:r>
        <w:rPr>
          <w:sz w:val="20"/>
        </w:rPr>
        <w:t xml:space="preserve"> </w:t>
      </w:r>
    </w:p>
    <w:p w:rsidR="00DC19F1" w:rsidRDefault="00DC19F1">
      <w:pPr>
        <w:pStyle w:val="BodyText"/>
        <w:rPr>
          <w:rStyle w:val="Reference"/>
          <w:bCs/>
          <w:sz w:val="20"/>
        </w:rPr>
      </w:pPr>
      <w:r>
        <w:rPr>
          <w:rStyle w:val="Reference"/>
          <w:bCs/>
          <w:sz w:val="20"/>
        </w:rPr>
        <w:t xml:space="preserve">Kumar, N., Hibbard, J. D. and Stern, L.W.  (1994) ‘The Nature and Consequences of Marketing Channel Intermediary Commitment Marketing’, Science Institute Working Paper Issue 115, Report no. 94-115 (September) </w:t>
      </w:r>
      <w:smartTag w:uri="urn:schemas-microsoft-com:office:smarttags" w:element="place">
        <w:smartTag w:uri="urn:schemas-microsoft-com:office:smarttags" w:element="City">
          <w:r>
            <w:rPr>
              <w:rStyle w:val="Reference"/>
              <w:bCs/>
              <w:sz w:val="20"/>
            </w:rPr>
            <w:t>Cambridge</w:t>
          </w:r>
        </w:smartTag>
        <w:r>
          <w:rPr>
            <w:rStyle w:val="Reference"/>
            <w:bCs/>
            <w:sz w:val="20"/>
          </w:rPr>
          <w:t xml:space="preserve"> </w:t>
        </w:r>
        <w:smartTag w:uri="urn:schemas-microsoft-com:office:smarttags" w:element="State">
          <w:r>
            <w:rPr>
              <w:rStyle w:val="Reference"/>
              <w:bCs/>
              <w:sz w:val="20"/>
            </w:rPr>
            <w:t>Massachusetts</w:t>
          </w:r>
        </w:smartTag>
      </w:smartTag>
      <w:r>
        <w:rPr>
          <w:rStyle w:val="Reference"/>
          <w:bCs/>
          <w:sz w:val="20"/>
        </w:rPr>
        <w:t>: 1-33.</w:t>
      </w:r>
    </w:p>
    <w:p w:rsidR="00DC19F1" w:rsidRDefault="00DC19F1">
      <w:pPr>
        <w:pStyle w:val="BodyText"/>
        <w:rPr>
          <w:rStyle w:val="Reference"/>
          <w:bCs/>
          <w:sz w:val="20"/>
        </w:rPr>
      </w:pPr>
    </w:p>
    <w:p w:rsidR="00DC19F1" w:rsidRDefault="00DC19F1">
      <w:pPr>
        <w:pStyle w:val="BodyText"/>
        <w:rPr>
          <w:rStyle w:val="Reference"/>
          <w:bCs/>
          <w:sz w:val="20"/>
        </w:rPr>
      </w:pPr>
      <w:r>
        <w:rPr>
          <w:rStyle w:val="Reference"/>
          <w:bCs/>
          <w:sz w:val="20"/>
        </w:rPr>
        <w:t xml:space="preserve">Kvale, S. (1996) ‘InterViews – an introduction to qualitative research interviewing’, Sage, </w:t>
      </w:r>
      <w:smartTag w:uri="urn:schemas-microsoft-com:office:smarttags" w:element="place">
        <w:smartTag w:uri="urn:schemas-microsoft-com:office:smarttags" w:element="City">
          <w:r>
            <w:rPr>
              <w:rStyle w:val="Reference"/>
              <w:bCs/>
              <w:sz w:val="20"/>
            </w:rPr>
            <w:t>Thousand Oaks</w:t>
          </w:r>
        </w:smartTag>
        <w:r>
          <w:rPr>
            <w:rStyle w:val="Reference"/>
            <w:bCs/>
            <w:sz w:val="20"/>
          </w:rPr>
          <w:t xml:space="preserve">, </w:t>
        </w:r>
        <w:smartTag w:uri="urn:schemas-microsoft-com:office:smarttags" w:element="State">
          <w:r>
            <w:rPr>
              <w:rStyle w:val="Reference"/>
              <w:bCs/>
              <w:sz w:val="20"/>
            </w:rPr>
            <w:t>CA</w:t>
          </w:r>
        </w:smartTag>
      </w:smartTag>
      <w:r>
        <w:rPr>
          <w:rStyle w:val="Reference"/>
          <w:bCs/>
          <w:sz w:val="20"/>
        </w:rPr>
        <w:t>.</w:t>
      </w:r>
    </w:p>
    <w:p w:rsidR="00DC19F1" w:rsidRDefault="00DC19F1">
      <w:pPr>
        <w:pStyle w:val="BodyText"/>
        <w:rPr>
          <w:rStyle w:val="Reference"/>
          <w:bCs/>
          <w:sz w:val="20"/>
        </w:rPr>
      </w:pPr>
    </w:p>
    <w:p w:rsidR="00DC19F1" w:rsidRDefault="00DC19F1">
      <w:pPr>
        <w:pStyle w:val="BodyText"/>
        <w:rPr>
          <w:rStyle w:val="Reference"/>
          <w:bCs/>
          <w:sz w:val="20"/>
        </w:rPr>
      </w:pPr>
      <w:r>
        <w:rPr>
          <w:rStyle w:val="Reference"/>
          <w:bCs/>
          <w:sz w:val="20"/>
        </w:rPr>
        <w:t xml:space="preserve">Lehtinen, J. (1985) ‘Quality Oriented Services Marketing’ </w:t>
      </w:r>
      <w:smartTag w:uri="urn:schemas-microsoft-com:office:smarttags" w:element="place">
        <w:smartTag w:uri="urn:schemas-microsoft-com:office:smarttags" w:element="City">
          <w:r>
            <w:rPr>
              <w:rStyle w:val="Reference"/>
              <w:bCs/>
              <w:sz w:val="20"/>
            </w:rPr>
            <w:t>Helsinki</w:t>
          </w:r>
        </w:smartTag>
      </w:smartTag>
      <w:r>
        <w:rPr>
          <w:rStyle w:val="Reference"/>
          <w:bCs/>
          <w:sz w:val="20"/>
        </w:rPr>
        <w:t xml:space="preserve">: Service Management Institute: 50-57. </w:t>
      </w:r>
    </w:p>
    <w:p w:rsidR="00DC19F1" w:rsidRDefault="00DC19F1">
      <w:pPr>
        <w:pStyle w:val="BodyText"/>
        <w:rPr>
          <w:rStyle w:val="Reference"/>
          <w:bCs/>
          <w:sz w:val="20"/>
        </w:rPr>
      </w:pPr>
    </w:p>
    <w:p w:rsidR="00DC19F1" w:rsidRDefault="00DC19F1">
      <w:pPr>
        <w:pStyle w:val="BodyText"/>
        <w:rPr>
          <w:rStyle w:val="Reference"/>
          <w:bCs/>
          <w:sz w:val="20"/>
        </w:rPr>
      </w:pPr>
      <w:r>
        <w:rPr>
          <w:rStyle w:val="Reference"/>
          <w:bCs/>
          <w:sz w:val="20"/>
        </w:rPr>
        <w:lastRenderedPageBreak/>
        <w:t>Liljander V. and Strandvik, T. (1995) ‘The nature of customer relationships in services’, in Swartz, T.A., Bowen, D.E. and Brown, S. W., (eds.) Advances in Services Marketing and Management, Research and Practice, JAI Press, Greenwich CT vol. 4: 141-167.</w:t>
      </w:r>
    </w:p>
    <w:p w:rsidR="00DC19F1" w:rsidRDefault="00DC19F1">
      <w:pPr>
        <w:pStyle w:val="BodyText"/>
        <w:rPr>
          <w:sz w:val="20"/>
        </w:rPr>
      </w:pPr>
    </w:p>
    <w:p w:rsidR="00DC19F1" w:rsidRDefault="00DC19F1">
      <w:pPr>
        <w:pStyle w:val="BodyText"/>
        <w:rPr>
          <w:sz w:val="20"/>
        </w:rPr>
      </w:pPr>
      <w:smartTag w:uri="urn:schemas-microsoft-com:office:smarttags" w:element="City">
        <w:r>
          <w:rPr>
            <w:sz w:val="20"/>
          </w:rPr>
          <w:t>Lincoln</w:t>
        </w:r>
      </w:smartTag>
      <w:r>
        <w:rPr>
          <w:sz w:val="20"/>
        </w:rPr>
        <w:t xml:space="preserve">, Y.S. and Guba, E.G. (1985) ‘Naturalistic Inquiry’, Sage Publications, </w:t>
      </w:r>
      <w:smartTag w:uri="urn:schemas-microsoft-com:office:smarttags" w:element="place">
        <w:smartTag w:uri="urn:schemas-microsoft-com:office:smarttags" w:element="City">
          <w:r>
            <w:rPr>
              <w:sz w:val="20"/>
            </w:rPr>
            <w:t>Newbury Park</w:t>
          </w:r>
        </w:smartTag>
        <w:r>
          <w:rPr>
            <w:sz w:val="20"/>
          </w:rPr>
          <w:t xml:space="preserve">, </w:t>
        </w:r>
        <w:smartTag w:uri="urn:schemas-microsoft-com:office:smarttags" w:element="State">
          <w:r>
            <w:rPr>
              <w:sz w:val="20"/>
            </w:rPr>
            <w:t>CA</w:t>
          </w:r>
        </w:smartTag>
      </w:smartTag>
      <w:r>
        <w:rPr>
          <w:sz w:val="20"/>
        </w:rPr>
        <w:t>.</w:t>
      </w:r>
    </w:p>
    <w:p w:rsidR="00DC19F1" w:rsidRDefault="00DC19F1">
      <w:pPr>
        <w:pStyle w:val="BodyText"/>
        <w:rPr>
          <w:sz w:val="20"/>
        </w:rPr>
      </w:pPr>
    </w:p>
    <w:p w:rsidR="00DC19F1" w:rsidRDefault="00DC19F1">
      <w:pPr>
        <w:pStyle w:val="BodyText"/>
        <w:rPr>
          <w:sz w:val="20"/>
        </w:rPr>
      </w:pPr>
      <w:r>
        <w:rPr>
          <w:sz w:val="20"/>
        </w:rPr>
        <w:t xml:space="preserve">Maynard, D.W. and Clayman, S.E. (1991) ‘The diversity of ethnomethodology’ Annual Review of Sociology, 17: 385-418. </w:t>
      </w:r>
    </w:p>
    <w:p w:rsidR="00DC19F1" w:rsidRDefault="00DC19F1">
      <w:pPr>
        <w:pStyle w:val="BodyText"/>
        <w:rPr>
          <w:sz w:val="20"/>
        </w:rPr>
      </w:pPr>
    </w:p>
    <w:p w:rsidR="00DC19F1" w:rsidRDefault="00DC19F1">
      <w:pPr>
        <w:spacing w:line="360" w:lineRule="auto"/>
        <w:rPr>
          <w:sz w:val="20"/>
        </w:rPr>
      </w:pPr>
      <w:r>
        <w:rPr>
          <w:sz w:val="20"/>
        </w:rPr>
        <w:t xml:space="preserve">McCracken, G. (1998) ‘The Long Interview’ Qualitative research methods series 13, A Sage University Paper, Sage Publications Inc., </w:t>
      </w:r>
      <w:smartTag w:uri="urn:schemas-microsoft-com:office:smarttags" w:element="place">
        <w:smartTag w:uri="urn:schemas-microsoft-com:office:smarttags" w:element="City">
          <w:r>
            <w:rPr>
              <w:sz w:val="20"/>
            </w:rPr>
            <w:t>Newbury Park</w:t>
          </w:r>
        </w:smartTag>
        <w:r>
          <w:rPr>
            <w:sz w:val="20"/>
          </w:rPr>
          <w:t xml:space="preserve"> </w:t>
        </w:r>
        <w:smartTag w:uri="urn:schemas-microsoft-com:office:smarttags" w:element="State">
          <w:r>
            <w:rPr>
              <w:sz w:val="20"/>
            </w:rPr>
            <w:t>CA</w:t>
          </w:r>
        </w:smartTag>
      </w:smartTag>
      <w:r>
        <w:rPr>
          <w:sz w:val="20"/>
        </w:rPr>
        <w:t>.</w:t>
      </w:r>
    </w:p>
    <w:p w:rsidR="00DC19F1" w:rsidRDefault="00DC19F1">
      <w:pPr>
        <w:spacing w:line="360" w:lineRule="auto"/>
        <w:rPr>
          <w:sz w:val="20"/>
        </w:rPr>
      </w:pPr>
    </w:p>
    <w:p w:rsidR="00DC19F1" w:rsidRDefault="00DC19F1">
      <w:pPr>
        <w:spacing w:line="360" w:lineRule="auto"/>
        <w:rPr>
          <w:sz w:val="20"/>
        </w:rPr>
      </w:pPr>
      <w:r>
        <w:rPr>
          <w:sz w:val="20"/>
        </w:rPr>
        <w:t xml:space="preserve">Mehan, H. (1979) ‘Learning Lessons: Social organisation in the classroom’ </w:t>
      </w:r>
      <w:smartTag w:uri="urn:schemas-microsoft-com:office:smarttags" w:element="place">
        <w:smartTag w:uri="urn:schemas-microsoft-com:office:smarttags" w:element="City">
          <w:r>
            <w:rPr>
              <w:sz w:val="20"/>
            </w:rPr>
            <w:t>Cambridge</w:t>
          </w:r>
        </w:smartTag>
        <w:r>
          <w:rPr>
            <w:sz w:val="20"/>
          </w:rPr>
          <w:t xml:space="preserve">, </w:t>
        </w:r>
        <w:smartTag w:uri="urn:schemas-microsoft-com:office:smarttags" w:element="State">
          <w:r>
            <w:rPr>
              <w:sz w:val="20"/>
            </w:rPr>
            <w:t>MA</w:t>
          </w:r>
        </w:smartTag>
      </w:smartTag>
      <w:r>
        <w:rPr>
          <w:sz w:val="20"/>
        </w:rPr>
        <w:t>: Harvard University Press.</w:t>
      </w:r>
    </w:p>
    <w:p w:rsidR="00DC19F1" w:rsidRDefault="00DC19F1">
      <w:pPr>
        <w:pStyle w:val="BodyText"/>
        <w:rPr>
          <w:sz w:val="20"/>
        </w:rPr>
      </w:pPr>
    </w:p>
    <w:p w:rsidR="00DC19F1" w:rsidRDefault="00DC19F1">
      <w:pPr>
        <w:pStyle w:val="BodyText"/>
        <w:rPr>
          <w:sz w:val="20"/>
        </w:rPr>
      </w:pPr>
      <w:r>
        <w:rPr>
          <w:sz w:val="20"/>
        </w:rPr>
        <w:t>Merton, R.S.</w:t>
      </w:r>
      <w:r>
        <w:rPr>
          <w:b/>
          <w:bCs/>
        </w:rPr>
        <w:t xml:space="preserve"> </w:t>
      </w:r>
      <w:r>
        <w:rPr>
          <w:sz w:val="20"/>
        </w:rPr>
        <w:t xml:space="preserve">(1957) ‘Social Theory and Social Structure’, </w:t>
      </w:r>
      <w:smartTag w:uri="urn:schemas-microsoft-com:office:smarttags" w:element="place">
        <w:smartTag w:uri="urn:schemas-microsoft-com:office:smarttags" w:element="City">
          <w:r>
            <w:rPr>
              <w:sz w:val="20"/>
            </w:rPr>
            <w:t>Glencoe</w:t>
          </w:r>
        </w:smartTag>
        <w:r>
          <w:rPr>
            <w:sz w:val="20"/>
          </w:rPr>
          <w:t xml:space="preserve">, </w:t>
        </w:r>
        <w:smartTag w:uri="urn:schemas-microsoft-com:office:smarttags" w:element="State">
          <w:r>
            <w:rPr>
              <w:sz w:val="20"/>
            </w:rPr>
            <w:t>IL</w:t>
          </w:r>
        </w:smartTag>
      </w:smartTag>
      <w:r>
        <w:rPr>
          <w:sz w:val="20"/>
        </w:rPr>
        <w:t>: Free Press.</w:t>
      </w:r>
    </w:p>
    <w:p w:rsidR="00DC19F1" w:rsidRDefault="00DC19F1">
      <w:pPr>
        <w:pStyle w:val="BodyText"/>
        <w:rPr>
          <w:sz w:val="20"/>
        </w:rPr>
      </w:pPr>
    </w:p>
    <w:p w:rsidR="00DC19F1" w:rsidRDefault="00DC19F1">
      <w:pPr>
        <w:pStyle w:val="BodyText"/>
        <w:rPr>
          <w:sz w:val="20"/>
        </w:rPr>
      </w:pPr>
      <w:r>
        <w:rPr>
          <w:sz w:val="20"/>
        </w:rPr>
        <w:t>Meyer, J.P. and Herscovitch, L. (2001) ‘Commitment in the Workplace: Toward a General Model’ Human Resource Management Review II (3): 299-326.</w:t>
      </w:r>
    </w:p>
    <w:p w:rsidR="00DC19F1" w:rsidRDefault="00DC19F1">
      <w:pPr>
        <w:pStyle w:val="BodyText"/>
        <w:rPr>
          <w:b/>
          <w:bCs/>
        </w:rPr>
      </w:pPr>
    </w:p>
    <w:p w:rsidR="00DC19F1" w:rsidRDefault="00DC19F1">
      <w:pPr>
        <w:pStyle w:val="BodyText"/>
        <w:rPr>
          <w:rStyle w:val="Reference"/>
          <w:bCs/>
          <w:sz w:val="20"/>
        </w:rPr>
      </w:pPr>
      <w:r>
        <w:rPr>
          <w:rStyle w:val="Reference"/>
          <w:bCs/>
          <w:sz w:val="20"/>
        </w:rPr>
        <w:t xml:space="preserve">Miles, M. B. and Huberman, A. (1984) ‘Qualitative Data Analysis’, </w:t>
      </w:r>
      <w:smartTag w:uri="urn:schemas-microsoft-com:office:smarttags" w:element="place">
        <w:smartTag w:uri="urn:schemas-microsoft-com:office:smarttags" w:element="City">
          <w:r>
            <w:rPr>
              <w:rStyle w:val="Reference"/>
              <w:bCs/>
              <w:sz w:val="20"/>
            </w:rPr>
            <w:t>Thousand Oaks</w:t>
          </w:r>
        </w:smartTag>
        <w:r>
          <w:rPr>
            <w:rStyle w:val="Reference"/>
            <w:bCs/>
            <w:sz w:val="20"/>
          </w:rPr>
          <w:t xml:space="preserve">, </w:t>
        </w:r>
        <w:smartTag w:uri="urn:schemas-microsoft-com:office:smarttags" w:element="State">
          <w:r>
            <w:rPr>
              <w:rStyle w:val="Reference"/>
              <w:bCs/>
              <w:sz w:val="20"/>
            </w:rPr>
            <w:t>California</w:t>
          </w:r>
        </w:smartTag>
      </w:smartTag>
      <w:r>
        <w:rPr>
          <w:rStyle w:val="Reference"/>
          <w:bCs/>
          <w:sz w:val="20"/>
        </w:rPr>
        <w:t>, Sage.</w:t>
      </w:r>
    </w:p>
    <w:p w:rsidR="00DC19F1" w:rsidRDefault="00DC19F1">
      <w:pPr>
        <w:pStyle w:val="BodyText"/>
        <w:rPr>
          <w:rStyle w:val="Reference"/>
          <w:bCs/>
          <w:sz w:val="20"/>
        </w:rPr>
      </w:pPr>
    </w:p>
    <w:p w:rsidR="00DC19F1" w:rsidRDefault="00DC19F1">
      <w:pPr>
        <w:pStyle w:val="BodyText"/>
        <w:spacing w:after="180"/>
        <w:rPr>
          <w:rStyle w:val="Reference"/>
          <w:bCs/>
          <w:sz w:val="20"/>
        </w:rPr>
      </w:pPr>
      <w:r>
        <w:rPr>
          <w:rStyle w:val="Reference"/>
          <w:bCs/>
          <w:sz w:val="20"/>
        </w:rPr>
        <w:t>Mintel (2001) ‘Branch Distribution’ report, June and press release, 13 June: ‘Customers increasingly prepared to switch banks as provider dissatisfaction grows’ Mintel International Group Limited.</w:t>
      </w:r>
    </w:p>
    <w:p w:rsidR="00DC19F1" w:rsidRDefault="00DC19F1">
      <w:pPr>
        <w:pStyle w:val="BodyText"/>
        <w:spacing w:after="180"/>
        <w:rPr>
          <w:rStyle w:val="Reference"/>
          <w:bCs/>
          <w:sz w:val="20"/>
        </w:rPr>
      </w:pPr>
      <w:r>
        <w:rPr>
          <w:rStyle w:val="Reference"/>
          <w:bCs/>
          <w:sz w:val="20"/>
        </w:rPr>
        <w:t xml:space="preserve">Mintel (2003) ‘Women and Loans, Credit and Banking’ in ‘Women and Finance </w:t>
      </w:r>
      <w:smartTag w:uri="urn:schemas-microsoft-com:office:smarttags" w:element="place">
        <w:smartTag w:uri="urn:schemas-microsoft-com:office:smarttags" w:element="country-region">
          <w:r>
            <w:rPr>
              <w:rStyle w:val="Reference"/>
              <w:bCs/>
              <w:sz w:val="20"/>
            </w:rPr>
            <w:t>UK</w:t>
          </w:r>
        </w:smartTag>
      </w:smartTag>
      <w:r>
        <w:rPr>
          <w:rStyle w:val="Reference"/>
          <w:bCs/>
          <w:sz w:val="20"/>
        </w:rPr>
        <w:t xml:space="preserve"> - May 2003 -’ Mintel International Group Limited. </w:t>
      </w:r>
    </w:p>
    <w:p w:rsidR="00DC19F1" w:rsidRDefault="00DC19F1">
      <w:pPr>
        <w:pStyle w:val="BodyText"/>
        <w:rPr>
          <w:sz w:val="20"/>
        </w:rPr>
      </w:pPr>
      <w:r>
        <w:rPr>
          <w:sz w:val="20"/>
        </w:rPr>
        <w:t>Mohr, J. and Nevin, J.R. (1990) ‘Communication Strategies in Marketing Channels: A Theoretical Perspective’ Journal of Marketing, 54, October: 36-51.</w:t>
      </w:r>
    </w:p>
    <w:p w:rsidR="00DC19F1" w:rsidRDefault="00DC19F1">
      <w:pPr>
        <w:pStyle w:val="BodyText"/>
        <w:rPr>
          <w:sz w:val="20"/>
        </w:rPr>
      </w:pPr>
    </w:p>
    <w:p w:rsidR="00DC19F1" w:rsidRDefault="00DC19F1">
      <w:pPr>
        <w:pStyle w:val="BodyText"/>
        <w:rPr>
          <w:sz w:val="20"/>
        </w:rPr>
      </w:pPr>
      <w:r>
        <w:rPr>
          <w:sz w:val="20"/>
        </w:rPr>
        <w:t xml:space="preserve">Morgan, G. (1983) (ed) ‘Beyond method: Strategies for social research’ </w:t>
      </w:r>
      <w:smartTag w:uri="urn:schemas-microsoft-com:office:smarttags" w:element="place">
        <w:smartTag w:uri="urn:schemas-microsoft-com:office:smarttags" w:element="City">
          <w:r>
            <w:rPr>
              <w:sz w:val="20"/>
            </w:rPr>
            <w:t>Beverly Hills</w:t>
          </w:r>
        </w:smartTag>
        <w:r>
          <w:rPr>
            <w:sz w:val="20"/>
          </w:rPr>
          <w:t xml:space="preserve">, </w:t>
        </w:r>
        <w:smartTag w:uri="urn:schemas-microsoft-com:office:smarttags" w:element="State">
          <w:r>
            <w:rPr>
              <w:sz w:val="20"/>
            </w:rPr>
            <w:t>CA</w:t>
          </w:r>
        </w:smartTag>
      </w:smartTag>
      <w:r>
        <w:rPr>
          <w:sz w:val="20"/>
        </w:rPr>
        <w:t>, Sage.</w:t>
      </w:r>
    </w:p>
    <w:p w:rsidR="00DC19F1" w:rsidRDefault="00DC19F1">
      <w:pPr>
        <w:pStyle w:val="BodyText"/>
        <w:rPr>
          <w:sz w:val="20"/>
        </w:rPr>
      </w:pPr>
    </w:p>
    <w:p w:rsidR="00DC19F1" w:rsidRDefault="00DC19F1">
      <w:pPr>
        <w:pStyle w:val="BodyText"/>
        <w:spacing w:after="180"/>
        <w:rPr>
          <w:rStyle w:val="Reference"/>
          <w:bCs/>
          <w:sz w:val="20"/>
        </w:rPr>
      </w:pPr>
      <w:r>
        <w:rPr>
          <w:rStyle w:val="Reference"/>
          <w:bCs/>
          <w:sz w:val="20"/>
        </w:rPr>
        <w:t xml:space="preserve">Morgan R. M and Hunt, S.D. (1994) ‘The commitment-trust theory of relationship marketing’. Journal of Marketing, vol.58: 20-38, July. </w:t>
      </w:r>
    </w:p>
    <w:p w:rsidR="00DC19F1" w:rsidRDefault="00DC19F1">
      <w:pPr>
        <w:pStyle w:val="BodyText"/>
        <w:spacing w:after="180"/>
        <w:rPr>
          <w:rStyle w:val="Reference"/>
          <w:bCs/>
          <w:sz w:val="20"/>
        </w:rPr>
      </w:pPr>
      <w:r>
        <w:rPr>
          <w:rStyle w:val="Reference"/>
          <w:bCs/>
          <w:sz w:val="20"/>
        </w:rPr>
        <w:t xml:space="preserve">Mowday, R. T., Steers, R. M. and Porter, L. W. (1979) ‘The measurement of organisational commitment.’ Journal of Vocational Behaviour, 14: 224-247.  </w:t>
      </w:r>
    </w:p>
    <w:p w:rsidR="00DC19F1" w:rsidRDefault="00DC19F1">
      <w:pPr>
        <w:pStyle w:val="BodyText"/>
        <w:spacing w:after="180"/>
        <w:rPr>
          <w:rStyle w:val="Reference"/>
          <w:bCs/>
          <w:sz w:val="20"/>
        </w:rPr>
      </w:pPr>
      <w:r>
        <w:rPr>
          <w:rStyle w:val="Reference"/>
          <w:bCs/>
          <w:sz w:val="20"/>
        </w:rPr>
        <w:t>Munson, J.  M. and McQuarrie, E. F. (1988), ‘Shortening the Rokeach Value Survey for Use in Consumer Research’ Advances in Consumer Research, vol. 15: 381-387.</w:t>
      </w:r>
    </w:p>
    <w:p w:rsidR="00DC19F1" w:rsidRDefault="00DC19F1">
      <w:pPr>
        <w:pStyle w:val="BodyText"/>
        <w:spacing w:after="180"/>
        <w:rPr>
          <w:rStyle w:val="Reference"/>
          <w:bCs/>
          <w:sz w:val="20"/>
        </w:rPr>
      </w:pPr>
      <w:r>
        <w:rPr>
          <w:rStyle w:val="Reference"/>
          <w:bCs/>
          <w:sz w:val="20"/>
        </w:rPr>
        <w:t>O’ Cass, A. and Grace, D. (2003) ‘An exploratory perspective of service brand associations’. Journal of Services Marketing, vol. 17, no. 5: 452-475.</w:t>
      </w:r>
    </w:p>
    <w:p w:rsidR="00DC19F1" w:rsidRDefault="00DC19F1">
      <w:pPr>
        <w:pStyle w:val="BodyText"/>
        <w:spacing w:after="180"/>
        <w:rPr>
          <w:rStyle w:val="Reference"/>
          <w:bCs/>
          <w:sz w:val="20"/>
        </w:rPr>
      </w:pPr>
      <w:r>
        <w:rPr>
          <w:rStyle w:val="Reference"/>
          <w:bCs/>
          <w:sz w:val="20"/>
        </w:rPr>
        <w:lastRenderedPageBreak/>
        <w:t>O’ Reilly C. III and Chatman, J. (1986) ‘Organisational commitment and psychological attachment: the effects of compliance, identification and internalisation on pro-social behaviour.’ Journal of Applied Psychology, 71, 3: 492-499.</w:t>
      </w:r>
    </w:p>
    <w:p w:rsidR="00DC19F1" w:rsidRDefault="00DC19F1">
      <w:pPr>
        <w:pStyle w:val="BodyText"/>
        <w:spacing w:after="180"/>
        <w:rPr>
          <w:sz w:val="20"/>
        </w:rPr>
      </w:pPr>
      <w:r>
        <w:rPr>
          <w:sz w:val="20"/>
        </w:rPr>
        <w:t xml:space="preserve">Patton, M.Q.  (1990) ‘Qualitative Evaluation and Research Methods’, Sage, </w:t>
      </w:r>
      <w:smartTag w:uri="urn:schemas-microsoft-com:office:smarttags" w:element="place">
        <w:smartTag w:uri="urn:schemas-microsoft-com:office:smarttags" w:element="City">
          <w:r>
            <w:rPr>
              <w:sz w:val="20"/>
            </w:rPr>
            <w:t>Beverly Hills</w:t>
          </w:r>
        </w:smartTag>
        <w:r>
          <w:rPr>
            <w:sz w:val="20"/>
          </w:rPr>
          <w:t xml:space="preserve">, </w:t>
        </w:r>
        <w:smartTag w:uri="urn:schemas-microsoft-com:office:smarttags" w:element="State">
          <w:r>
            <w:rPr>
              <w:sz w:val="20"/>
            </w:rPr>
            <w:t>CA</w:t>
          </w:r>
        </w:smartTag>
      </w:smartTag>
      <w:r>
        <w:rPr>
          <w:sz w:val="20"/>
        </w:rPr>
        <w:t>.</w:t>
      </w:r>
    </w:p>
    <w:p w:rsidR="00DC19F1" w:rsidRDefault="00DC19F1">
      <w:pPr>
        <w:pStyle w:val="BodyText"/>
        <w:spacing w:after="180"/>
        <w:rPr>
          <w:sz w:val="20"/>
          <w:lang w:val="en-US"/>
        </w:rPr>
      </w:pPr>
      <w:r>
        <w:rPr>
          <w:sz w:val="20"/>
          <w:lang w:val="en-US"/>
        </w:rPr>
        <w:t xml:space="preserve">Porter, L.W. and Smith, F.J. (1970) ‘The Etiology of Organisational Commitment’. </w:t>
      </w:r>
      <w:smartTag w:uri="urn:schemas-microsoft-com:office:smarttags" w:element="place">
        <w:smartTag w:uri="urn:schemas-microsoft-com:office:smarttags" w:element="PlaceType">
          <w:r>
            <w:rPr>
              <w:sz w:val="20"/>
              <w:lang w:val="en-US"/>
            </w:rPr>
            <w:t>University</w:t>
          </w:r>
        </w:smartTag>
        <w:r>
          <w:rPr>
            <w:sz w:val="20"/>
            <w:lang w:val="en-US"/>
          </w:rPr>
          <w:t xml:space="preserve"> of </w:t>
        </w:r>
        <w:smartTag w:uri="urn:schemas-microsoft-com:office:smarttags" w:element="PlaceName">
          <w:r>
            <w:rPr>
              <w:sz w:val="20"/>
              <w:lang w:val="en-US"/>
            </w:rPr>
            <w:t>California</w:t>
          </w:r>
        </w:smartTag>
      </w:smartTag>
      <w:r>
        <w:rPr>
          <w:sz w:val="20"/>
          <w:lang w:val="en-US"/>
        </w:rPr>
        <w:t>, unpublished paper.</w:t>
      </w:r>
    </w:p>
    <w:p w:rsidR="00DC19F1" w:rsidRDefault="00DC19F1">
      <w:pPr>
        <w:pStyle w:val="BodyText"/>
        <w:spacing w:after="180"/>
        <w:rPr>
          <w:rStyle w:val="Reference"/>
          <w:bCs/>
          <w:sz w:val="20"/>
        </w:rPr>
      </w:pPr>
      <w:r>
        <w:rPr>
          <w:rStyle w:val="Reference"/>
          <w:bCs/>
          <w:sz w:val="20"/>
        </w:rPr>
        <w:t>Pritchard, M. P., Havitz, M. E. and Howard, D. R. (1999) ‘Analysing the Commitment-Loyalty Link in Services Contexts’, Journal of the Academy of Marketing Science, vol. 27, no.3: 333-348.</w:t>
      </w:r>
    </w:p>
    <w:p w:rsidR="00DC19F1" w:rsidRDefault="00DC19F1">
      <w:pPr>
        <w:pStyle w:val="BodyText"/>
        <w:spacing w:after="180"/>
        <w:rPr>
          <w:rStyle w:val="Reference"/>
          <w:bCs/>
          <w:sz w:val="20"/>
        </w:rPr>
      </w:pPr>
      <w:r>
        <w:rPr>
          <w:rStyle w:val="Reference"/>
          <w:bCs/>
          <w:sz w:val="20"/>
        </w:rPr>
        <w:t xml:space="preserve">Reichers, A.E. (1985) ‘A review and re-conceptualisation of organisational commitments’. </w:t>
      </w:r>
      <w:smartTag w:uri="urn:schemas-microsoft-com:office:smarttags" w:element="place">
        <w:smartTag w:uri="urn:schemas-microsoft-com:office:smarttags" w:element="PlaceType">
          <w:r>
            <w:rPr>
              <w:rStyle w:val="Reference"/>
              <w:bCs/>
              <w:sz w:val="20"/>
            </w:rPr>
            <w:t>Academy</w:t>
          </w:r>
        </w:smartTag>
        <w:r>
          <w:rPr>
            <w:rStyle w:val="Reference"/>
            <w:bCs/>
            <w:sz w:val="20"/>
          </w:rPr>
          <w:t xml:space="preserve"> of </w:t>
        </w:r>
        <w:smartTag w:uri="urn:schemas-microsoft-com:office:smarttags" w:element="PlaceName">
          <w:r>
            <w:rPr>
              <w:rStyle w:val="Reference"/>
              <w:bCs/>
              <w:sz w:val="20"/>
            </w:rPr>
            <w:t>Management</w:t>
          </w:r>
        </w:smartTag>
      </w:smartTag>
      <w:r>
        <w:rPr>
          <w:rStyle w:val="Reference"/>
          <w:bCs/>
          <w:sz w:val="20"/>
        </w:rPr>
        <w:t xml:space="preserve"> Review, 10: 465-476.</w:t>
      </w:r>
    </w:p>
    <w:p w:rsidR="00DC19F1" w:rsidRDefault="00DC19F1">
      <w:pPr>
        <w:pStyle w:val="BodyText"/>
        <w:spacing w:after="180"/>
        <w:rPr>
          <w:bCs/>
          <w:sz w:val="20"/>
          <w:lang w:val="en-US"/>
        </w:rPr>
      </w:pPr>
      <w:r>
        <w:rPr>
          <w:rStyle w:val="Reference"/>
          <w:bCs/>
          <w:sz w:val="20"/>
        </w:rPr>
        <w:t>Reichers, A.E. (1986) ‘Conflict and organisational commitments’. Journal of Applied Psychology, 71: 508-514.</w:t>
      </w:r>
    </w:p>
    <w:p w:rsidR="00DC19F1" w:rsidRDefault="00DC19F1">
      <w:pPr>
        <w:pStyle w:val="BodyText"/>
        <w:spacing w:after="180"/>
        <w:rPr>
          <w:rStyle w:val="Reference"/>
          <w:bCs/>
          <w:sz w:val="20"/>
        </w:rPr>
      </w:pPr>
      <w:r>
        <w:rPr>
          <w:rStyle w:val="Reference"/>
          <w:bCs/>
          <w:sz w:val="20"/>
        </w:rPr>
        <w:t xml:space="preserve">Robson, C. (1993) ‘Real World Research: a Resource for Social Scientists and Practitioners-Researchers’, Basil, Blackwell, </w:t>
      </w:r>
      <w:smartTag w:uri="urn:schemas-microsoft-com:office:smarttags" w:element="place">
        <w:smartTag w:uri="urn:schemas-microsoft-com:office:smarttags" w:element="City">
          <w:r>
            <w:rPr>
              <w:rStyle w:val="Reference"/>
              <w:bCs/>
              <w:sz w:val="20"/>
            </w:rPr>
            <w:t>Oxford</w:t>
          </w:r>
        </w:smartTag>
      </w:smartTag>
      <w:r>
        <w:rPr>
          <w:rStyle w:val="Reference"/>
          <w:bCs/>
          <w:sz w:val="20"/>
        </w:rPr>
        <w:t>.</w:t>
      </w:r>
    </w:p>
    <w:p w:rsidR="00DC19F1" w:rsidRDefault="00DC19F1">
      <w:pPr>
        <w:pStyle w:val="BodyText"/>
        <w:spacing w:after="180"/>
        <w:rPr>
          <w:rStyle w:val="Reference"/>
          <w:bCs/>
          <w:sz w:val="20"/>
        </w:rPr>
      </w:pPr>
      <w:r>
        <w:rPr>
          <w:rStyle w:val="Reference"/>
          <w:bCs/>
          <w:sz w:val="20"/>
        </w:rPr>
        <w:t>Robson, S. (1989) ‘Validity and Reliability in Qualitative Research: the Concept of Fit in Marketing Research Development Fund’ one-day seminar on reliability and validity in qualitative research.</w:t>
      </w:r>
    </w:p>
    <w:p w:rsidR="00DC19F1" w:rsidRDefault="00DC19F1">
      <w:pPr>
        <w:pStyle w:val="BodyText"/>
        <w:spacing w:after="180"/>
        <w:rPr>
          <w:rStyle w:val="Reference"/>
          <w:bCs/>
          <w:sz w:val="20"/>
        </w:rPr>
      </w:pPr>
      <w:r>
        <w:rPr>
          <w:rStyle w:val="Reference"/>
          <w:bCs/>
          <w:sz w:val="20"/>
        </w:rPr>
        <w:t xml:space="preserve">Roos, I., Edvardsson, B. and Gustafsson, A. (2004) ‘Customer Switching Patterns in Competitive and Non Competitive Service Industries’ Journal of Service Research, vol. 6, no. 3: 256-271. </w:t>
      </w:r>
    </w:p>
    <w:p w:rsidR="00DC19F1" w:rsidRDefault="00DC19F1">
      <w:pPr>
        <w:pStyle w:val="BodyText"/>
        <w:spacing w:after="180"/>
        <w:rPr>
          <w:rStyle w:val="Reference"/>
          <w:bCs/>
          <w:sz w:val="20"/>
        </w:rPr>
      </w:pPr>
      <w:r>
        <w:rPr>
          <w:rStyle w:val="Reference"/>
          <w:bCs/>
          <w:sz w:val="20"/>
        </w:rPr>
        <w:t xml:space="preserve">Rossiter, J.R. and Percy, L. (1987) ‘Advertising and Promotion Management, </w:t>
      </w:r>
      <w:smartTag w:uri="urn:schemas-microsoft-com:office:smarttags" w:element="place">
        <w:smartTag w:uri="urn:schemas-microsoft-com:office:smarttags" w:element="country-region">
          <w:r>
            <w:rPr>
              <w:rStyle w:val="Reference"/>
              <w:bCs/>
              <w:sz w:val="20"/>
            </w:rPr>
            <w:t>Singapore</w:t>
          </w:r>
        </w:smartTag>
      </w:smartTag>
      <w:r>
        <w:rPr>
          <w:rStyle w:val="Reference"/>
          <w:bCs/>
          <w:sz w:val="20"/>
        </w:rPr>
        <w:t>, McGraw Hill.</w:t>
      </w:r>
    </w:p>
    <w:p w:rsidR="00DC19F1" w:rsidRDefault="00DC19F1">
      <w:pPr>
        <w:pStyle w:val="BodyText"/>
        <w:spacing w:after="180"/>
        <w:rPr>
          <w:rStyle w:val="Reference"/>
          <w:bCs/>
          <w:sz w:val="20"/>
        </w:rPr>
      </w:pPr>
      <w:r>
        <w:rPr>
          <w:rStyle w:val="Reference"/>
          <w:bCs/>
          <w:sz w:val="20"/>
        </w:rPr>
        <w:t>Rusbult, C.E. (1980) ‘Commitment and satisfaction in romantic association: A test of the investment model’. Journal of Experimental Social Psychology, 16: 172-186.</w:t>
      </w:r>
    </w:p>
    <w:p w:rsidR="00DC19F1" w:rsidRDefault="00DC19F1">
      <w:pPr>
        <w:pStyle w:val="BodyText"/>
        <w:spacing w:after="180"/>
        <w:rPr>
          <w:rStyle w:val="Reference"/>
          <w:bCs/>
          <w:sz w:val="20"/>
        </w:rPr>
      </w:pPr>
      <w:r>
        <w:rPr>
          <w:rStyle w:val="Reference"/>
          <w:bCs/>
          <w:sz w:val="20"/>
        </w:rPr>
        <w:t>Rusbult, C.E. and Farrell, D. (1983) ‘A longitudinal test of the investment model: The impact on job satisfaction, job commitment and turnover of variations in rewards, costs, alternatives and investments’. Journal of Applied Psychology. 68: 429-438.</w:t>
      </w:r>
    </w:p>
    <w:p w:rsidR="00DC19F1" w:rsidRDefault="00DC19F1">
      <w:pPr>
        <w:pStyle w:val="BodyText"/>
        <w:spacing w:after="180"/>
        <w:rPr>
          <w:rStyle w:val="Reference"/>
          <w:bCs/>
          <w:sz w:val="20"/>
        </w:rPr>
      </w:pPr>
      <w:r>
        <w:rPr>
          <w:rStyle w:val="Reference"/>
          <w:bCs/>
          <w:sz w:val="20"/>
        </w:rPr>
        <w:t>Ruyter, de K. and Scholl, N. (1998) ‘Positioning qualitative market research: reflections from theory and practice’, Qualitative Market Research: An International Journal, vol.1, no.1: 7-14.</w:t>
      </w:r>
    </w:p>
    <w:p w:rsidR="00DC19F1" w:rsidRDefault="00DC19F1">
      <w:pPr>
        <w:pStyle w:val="BodyText"/>
        <w:spacing w:after="180"/>
        <w:rPr>
          <w:rStyle w:val="Reference"/>
          <w:bCs/>
          <w:sz w:val="20"/>
        </w:rPr>
      </w:pPr>
      <w:r>
        <w:rPr>
          <w:rStyle w:val="Reference"/>
          <w:bCs/>
          <w:sz w:val="20"/>
        </w:rPr>
        <w:t>Salancik, G. R. (1977)  ‘Commitment and the control of Organisational Behaviour and Belief’ in New Directions in Organisational Behaviour.  (Eds.) Staw, B.M. and Salancik, G.R. Chicago, St Clair, 1-54.</w:t>
      </w:r>
    </w:p>
    <w:p w:rsidR="00DC19F1" w:rsidRDefault="00DC19F1">
      <w:pPr>
        <w:pStyle w:val="BodyText"/>
        <w:spacing w:after="180"/>
        <w:rPr>
          <w:rStyle w:val="Reference"/>
          <w:bCs/>
          <w:sz w:val="20"/>
        </w:rPr>
      </w:pPr>
      <w:r>
        <w:rPr>
          <w:rStyle w:val="Reference"/>
          <w:bCs/>
          <w:sz w:val="20"/>
        </w:rPr>
        <w:t xml:space="preserve">Samuelsen, B. M. and Sandvik, K. (1997) ‘The Concept of Customer Loyalty’, EMAC Conference Proceedings, </w:t>
      </w:r>
      <w:smartTag w:uri="urn:schemas-microsoft-com:office:smarttags" w:element="place">
        <w:smartTag w:uri="urn:schemas-microsoft-com:office:smarttags" w:element="PlaceName">
          <w:r>
            <w:rPr>
              <w:rStyle w:val="Reference"/>
              <w:bCs/>
              <w:sz w:val="20"/>
            </w:rPr>
            <w:t>Warwick</w:t>
          </w:r>
        </w:smartTag>
        <w:r>
          <w:rPr>
            <w:rStyle w:val="Reference"/>
            <w:bCs/>
            <w:sz w:val="20"/>
          </w:rPr>
          <w:t xml:space="preserve"> </w:t>
        </w:r>
        <w:smartTag w:uri="urn:schemas-microsoft-com:office:smarttags" w:element="PlaceName">
          <w:r>
            <w:rPr>
              <w:rStyle w:val="Reference"/>
              <w:bCs/>
              <w:sz w:val="20"/>
            </w:rPr>
            <w:t>Business</w:t>
          </w:r>
        </w:smartTag>
        <w:r>
          <w:rPr>
            <w:rStyle w:val="Reference"/>
            <w:bCs/>
            <w:sz w:val="20"/>
          </w:rPr>
          <w:t xml:space="preserve"> </w:t>
        </w:r>
        <w:smartTag w:uri="urn:schemas-microsoft-com:office:smarttags" w:element="PlaceType">
          <w:r>
            <w:rPr>
              <w:rStyle w:val="Reference"/>
              <w:bCs/>
              <w:sz w:val="20"/>
            </w:rPr>
            <w:t>School</w:t>
          </w:r>
        </w:smartTag>
      </w:smartTag>
      <w:r>
        <w:rPr>
          <w:rStyle w:val="Reference"/>
          <w:bCs/>
          <w:sz w:val="20"/>
        </w:rPr>
        <w:t>, 20-23 May: 1122-1140.</w:t>
      </w:r>
    </w:p>
    <w:p w:rsidR="00DC19F1" w:rsidRDefault="00DC19F1">
      <w:pPr>
        <w:pStyle w:val="BodyText"/>
        <w:spacing w:after="180"/>
        <w:rPr>
          <w:rStyle w:val="Reference"/>
          <w:bCs/>
          <w:sz w:val="20"/>
        </w:rPr>
      </w:pPr>
      <w:r>
        <w:rPr>
          <w:rStyle w:val="Reference"/>
          <w:bCs/>
          <w:sz w:val="20"/>
        </w:rPr>
        <w:t xml:space="preserve">Sanchez, M. and Iniesta, M.A. (2004) ‘The structure of commitment in consumer-retailer relationships. Conceptualisation and measurement’, International Journal of Service Industry Management, vol. 15, no. 3: 230-249. </w:t>
      </w:r>
    </w:p>
    <w:p w:rsidR="00DC19F1" w:rsidRDefault="00DC19F1">
      <w:pPr>
        <w:pStyle w:val="BodyText"/>
        <w:spacing w:after="180"/>
        <w:rPr>
          <w:rStyle w:val="Reference"/>
          <w:bCs/>
          <w:sz w:val="20"/>
        </w:rPr>
      </w:pPr>
      <w:r>
        <w:rPr>
          <w:rStyle w:val="Reference"/>
          <w:bCs/>
          <w:sz w:val="20"/>
        </w:rPr>
        <w:t xml:space="preserve">Seale, C. (1999) ‘The Quality of Qualitative Research’ </w:t>
      </w:r>
      <w:smartTag w:uri="urn:schemas-microsoft-com:office:smarttags" w:element="place">
        <w:smartTag w:uri="urn:schemas-microsoft-com:office:smarttags" w:element="City">
          <w:r>
            <w:rPr>
              <w:rStyle w:val="Reference"/>
              <w:bCs/>
              <w:sz w:val="20"/>
            </w:rPr>
            <w:t>London</w:t>
          </w:r>
        </w:smartTag>
      </w:smartTag>
      <w:r>
        <w:rPr>
          <w:rStyle w:val="Reference"/>
          <w:bCs/>
          <w:sz w:val="20"/>
        </w:rPr>
        <w:t>, Sage.</w:t>
      </w:r>
    </w:p>
    <w:p w:rsidR="00DC19F1" w:rsidRDefault="00DC19F1">
      <w:pPr>
        <w:pStyle w:val="BodyText"/>
        <w:spacing w:after="180"/>
        <w:rPr>
          <w:rStyle w:val="Reference"/>
          <w:bCs/>
          <w:sz w:val="20"/>
        </w:rPr>
      </w:pPr>
      <w:r>
        <w:rPr>
          <w:rStyle w:val="Reference"/>
          <w:bCs/>
          <w:sz w:val="20"/>
        </w:rPr>
        <w:lastRenderedPageBreak/>
        <w:t>Sharma, N. and Patterson, P.G. (2000) ‘Switching Costs, Alternative Attractiveness and Experience as Moderators of Relationship Commitment in Professional, Consumer Services’ International Journal of Service Industry Management 11 (5): 470-490.</w:t>
      </w:r>
    </w:p>
    <w:p w:rsidR="00DC19F1" w:rsidRDefault="00DC19F1">
      <w:pPr>
        <w:pStyle w:val="BodyText"/>
        <w:spacing w:after="180"/>
        <w:rPr>
          <w:rStyle w:val="Reference"/>
          <w:bCs/>
          <w:sz w:val="20"/>
        </w:rPr>
      </w:pPr>
      <w:r>
        <w:rPr>
          <w:rStyle w:val="Reference"/>
          <w:bCs/>
          <w:sz w:val="20"/>
        </w:rPr>
        <w:t xml:space="preserve">Scheer, L.K. and Stern, L.W. (1992) ‘The Effect of Influence Type and Performance Outcomes on Attitude toward the Influencer’ Journal of Marketing Research XXIX (February). </w:t>
      </w:r>
    </w:p>
    <w:p w:rsidR="00DC19F1" w:rsidRDefault="00DC19F1">
      <w:pPr>
        <w:pStyle w:val="BodyText"/>
        <w:spacing w:after="180"/>
        <w:rPr>
          <w:rStyle w:val="Reference"/>
          <w:bCs/>
          <w:sz w:val="20"/>
        </w:rPr>
      </w:pPr>
      <w:r>
        <w:rPr>
          <w:rStyle w:val="Reference"/>
          <w:bCs/>
          <w:sz w:val="20"/>
        </w:rPr>
        <w:t>Shemwell, D. J., Cronin J. J. Junior, and Bullard, W.R. (1994) ‘Relational Exchange in Services: An empirical Investigation of Ongoing Customer Service-provider Relationships’, International Journal of Services Industry Management, vol.5, no.3: 57-68</w:t>
      </w:r>
    </w:p>
    <w:p w:rsidR="00DC19F1" w:rsidRDefault="00DC19F1">
      <w:pPr>
        <w:pStyle w:val="BodyText"/>
        <w:rPr>
          <w:sz w:val="20"/>
        </w:rPr>
      </w:pPr>
      <w:r>
        <w:rPr>
          <w:sz w:val="20"/>
        </w:rPr>
        <w:t xml:space="preserve">Silverman, D. (2001) ‘Interpreting Qualitative Data: Methods for Analysing Talk, Text and Interaction’, Second Edition, Sage, </w:t>
      </w:r>
      <w:smartTag w:uri="urn:schemas-microsoft-com:office:smarttags" w:element="City">
        <w:r>
          <w:rPr>
            <w:sz w:val="20"/>
          </w:rPr>
          <w:t>London</w:t>
        </w:r>
      </w:smartTag>
      <w:r>
        <w:rPr>
          <w:sz w:val="20"/>
        </w:rPr>
        <w:t xml:space="preserve">, </w:t>
      </w:r>
      <w:smartTag w:uri="urn:schemas-microsoft-com:office:smarttags" w:element="City">
        <w:r>
          <w:rPr>
            <w:sz w:val="20"/>
          </w:rPr>
          <w:t>Thousand Oaks</w:t>
        </w:r>
      </w:smartTag>
      <w:r>
        <w:rPr>
          <w:sz w:val="20"/>
        </w:rPr>
        <w:t xml:space="preserve"> </w:t>
      </w:r>
      <w:smartTag w:uri="urn:schemas-microsoft-com:office:smarttags" w:element="country-region">
        <w:r>
          <w:rPr>
            <w:sz w:val="20"/>
          </w:rPr>
          <w:t>C.A.</w:t>
        </w:r>
      </w:smartTag>
      <w:r>
        <w:rPr>
          <w:sz w:val="20"/>
        </w:rPr>
        <w:t xml:space="preserve"> and </w:t>
      </w:r>
      <w:smartTag w:uri="urn:schemas-microsoft-com:office:smarttags" w:element="place">
        <w:smartTag w:uri="urn:schemas-microsoft-com:office:smarttags" w:element="City">
          <w:r>
            <w:rPr>
              <w:sz w:val="20"/>
            </w:rPr>
            <w:t>New Delhi</w:t>
          </w:r>
        </w:smartTag>
      </w:smartTag>
      <w:r>
        <w:rPr>
          <w:sz w:val="20"/>
        </w:rPr>
        <w:t xml:space="preserve">. </w:t>
      </w:r>
    </w:p>
    <w:p w:rsidR="00DC19F1" w:rsidRDefault="00DC19F1">
      <w:pPr>
        <w:pStyle w:val="BodyText"/>
        <w:rPr>
          <w:sz w:val="20"/>
        </w:rPr>
      </w:pPr>
    </w:p>
    <w:p w:rsidR="00DC19F1" w:rsidRDefault="00DC19F1">
      <w:pPr>
        <w:spacing w:line="360" w:lineRule="auto"/>
        <w:rPr>
          <w:rStyle w:val="Reference"/>
          <w:bCs/>
          <w:sz w:val="20"/>
        </w:rPr>
      </w:pPr>
      <w:r>
        <w:rPr>
          <w:rStyle w:val="Reference"/>
          <w:bCs/>
          <w:sz w:val="20"/>
        </w:rPr>
        <w:t xml:space="preserve">Sirgy, M. J., Grewal, D., Mangleburg, T. F., Park, J., Chon, K-S., Claiborne, C. B., Johar, J. S., and Berkman, H. (1997) ‘Assessing the Predictive Value of Two Methods of Measuring Self Image Congruence’. Journal of the </w:t>
      </w:r>
      <w:smartTag w:uri="urn:schemas-microsoft-com:office:smarttags" w:element="place">
        <w:smartTag w:uri="urn:schemas-microsoft-com:office:smarttags" w:element="PlaceType">
          <w:r>
            <w:rPr>
              <w:rStyle w:val="Reference"/>
              <w:bCs/>
              <w:sz w:val="20"/>
            </w:rPr>
            <w:t>Academy</w:t>
          </w:r>
        </w:smartTag>
        <w:r>
          <w:rPr>
            <w:rStyle w:val="Reference"/>
            <w:bCs/>
            <w:sz w:val="20"/>
          </w:rPr>
          <w:t xml:space="preserve"> of </w:t>
        </w:r>
        <w:smartTag w:uri="urn:schemas-microsoft-com:office:smarttags" w:element="PlaceName">
          <w:r>
            <w:rPr>
              <w:rStyle w:val="Reference"/>
              <w:bCs/>
              <w:sz w:val="20"/>
            </w:rPr>
            <w:t>Marketing Science</w:t>
          </w:r>
        </w:smartTag>
      </w:smartTag>
      <w:r>
        <w:rPr>
          <w:rStyle w:val="Reference"/>
          <w:bCs/>
          <w:sz w:val="20"/>
        </w:rPr>
        <w:t>, vol.25, no. 3: 229-241.</w:t>
      </w:r>
    </w:p>
    <w:p w:rsidR="00DC19F1" w:rsidRDefault="00DC19F1">
      <w:pPr>
        <w:spacing w:line="360" w:lineRule="auto"/>
        <w:rPr>
          <w:rStyle w:val="Reference"/>
          <w:bCs/>
          <w:sz w:val="20"/>
        </w:rPr>
      </w:pPr>
    </w:p>
    <w:p w:rsidR="00DC19F1" w:rsidRDefault="00DC19F1">
      <w:pPr>
        <w:pStyle w:val="BodyText"/>
        <w:spacing w:after="180"/>
        <w:rPr>
          <w:rStyle w:val="Reference"/>
          <w:bCs/>
          <w:sz w:val="20"/>
        </w:rPr>
      </w:pPr>
      <w:smartTag w:uri="urn:schemas-microsoft-com:office:smarttags" w:element="place">
        <w:r>
          <w:rPr>
            <w:rStyle w:val="Reference"/>
            <w:bCs/>
            <w:sz w:val="20"/>
          </w:rPr>
          <w:t>Stafford</w:t>
        </w:r>
      </w:smartTag>
      <w:r>
        <w:rPr>
          <w:rStyle w:val="Reference"/>
          <w:bCs/>
          <w:sz w:val="20"/>
        </w:rPr>
        <w:t>, M. R. (1996) ‘Demographic discriminators of service quality in the banking industry’ The Journal of Services Marketing, Vol. 10, no. 4: 6-22.</w:t>
      </w:r>
    </w:p>
    <w:p w:rsidR="00DC19F1" w:rsidRDefault="00DC19F1">
      <w:pPr>
        <w:pStyle w:val="BodyText"/>
        <w:spacing w:after="180"/>
        <w:rPr>
          <w:rStyle w:val="Reference"/>
          <w:bCs/>
          <w:sz w:val="20"/>
        </w:rPr>
      </w:pPr>
      <w:r>
        <w:rPr>
          <w:rStyle w:val="Reference"/>
          <w:bCs/>
          <w:sz w:val="20"/>
        </w:rPr>
        <w:t xml:space="preserve">Stake, R. E. (1995) ‘The art of case study research’ </w:t>
      </w:r>
      <w:smartTag w:uri="urn:schemas-microsoft-com:office:smarttags" w:element="place">
        <w:smartTag w:uri="urn:schemas-microsoft-com:office:smarttags" w:element="City">
          <w:r>
            <w:rPr>
              <w:rStyle w:val="Reference"/>
              <w:bCs/>
              <w:sz w:val="20"/>
            </w:rPr>
            <w:t>Thousand Oaks</w:t>
          </w:r>
        </w:smartTag>
        <w:r>
          <w:rPr>
            <w:rStyle w:val="Reference"/>
            <w:bCs/>
            <w:sz w:val="20"/>
          </w:rPr>
          <w:t xml:space="preserve">, </w:t>
        </w:r>
        <w:smartTag w:uri="urn:schemas-microsoft-com:office:smarttags" w:element="State">
          <w:r>
            <w:rPr>
              <w:rStyle w:val="Reference"/>
              <w:bCs/>
              <w:sz w:val="20"/>
            </w:rPr>
            <w:t>CA</w:t>
          </w:r>
        </w:smartTag>
      </w:smartTag>
      <w:r>
        <w:rPr>
          <w:rStyle w:val="Reference"/>
          <w:bCs/>
          <w:sz w:val="20"/>
        </w:rPr>
        <w:t>: Sage.</w:t>
      </w:r>
    </w:p>
    <w:p w:rsidR="00DC19F1" w:rsidRDefault="00DC19F1">
      <w:pPr>
        <w:pStyle w:val="BodyText"/>
        <w:spacing w:after="180"/>
      </w:pPr>
      <w:r>
        <w:rPr>
          <w:rStyle w:val="Reference"/>
          <w:bCs/>
          <w:sz w:val="20"/>
        </w:rPr>
        <w:t xml:space="preserve">Strandvik, T. and Liljander, V. (1994) ‘Relationship Strength in Bank Services’, Research Conference Proceedings Relationship Marketing: Theory, Methods and Applications, Section V., Session 4.2.  Sheth, J. N. and Parvatiyar, A., Robert C. (eds.) </w:t>
      </w:r>
      <w:smartTag w:uri="urn:schemas-microsoft-com:office:smarttags" w:element="PlaceName">
        <w:r>
          <w:rPr>
            <w:rStyle w:val="Reference"/>
            <w:bCs/>
            <w:sz w:val="20"/>
          </w:rPr>
          <w:t>Goizueta</w:t>
        </w:r>
      </w:smartTag>
      <w:r>
        <w:rPr>
          <w:rStyle w:val="Reference"/>
          <w:bCs/>
          <w:sz w:val="20"/>
        </w:rPr>
        <w:t xml:space="preserve"> </w:t>
      </w:r>
      <w:smartTag w:uri="urn:schemas-microsoft-com:office:smarttags" w:element="PlaceName">
        <w:r>
          <w:rPr>
            <w:rStyle w:val="Reference"/>
            <w:bCs/>
            <w:sz w:val="20"/>
          </w:rPr>
          <w:t>Business</w:t>
        </w:r>
      </w:smartTag>
      <w:r>
        <w:rPr>
          <w:rStyle w:val="Reference"/>
          <w:bCs/>
          <w:sz w:val="20"/>
        </w:rPr>
        <w:t xml:space="preserve"> </w:t>
      </w:r>
      <w:smartTag w:uri="urn:schemas-microsoft-com:office:smarttags" w:element="PlaceType">
        <w:r>
          <w:rPr>
            <w:rStyle w:val="Reference"/>
            <w:bCs/>
            <w:sz w:val="20"/>
          </w:rPr>
          <w:t>School</w:t>
        </w:r>
      </w:smartTag>
      <w:r>
        <w:rPr>
          <w:rStyle w:val="Reference"/>
          <w:bCs/>
          <w:sz w:val="20"/>
        </w:rPr>
        <w:t>, Emory Centre for Relationship</w:t>
      </w:r>
      <w:r>
        <w:rPr>
          <w:rStyle w:val="Reference"/>
          <w:b/>
        </w:rPr>
        <w:t xml:space="preserve"> </w:t>
      </w:r>
      <w:smartTag w:uri="urn:schemas-microsoft-com:office:smarttags" w:element="place">
        <w:smartTag w:uri="urn:schemas-microsoft-com:office:smarttags" w:element="City">
          <w:r>
            <w:rPr>
              <w:rStyle w:val="Reference"/>
              <w:bCs/>
              <w:sz w:val="20"/>
            </w:rPr>
            <w:t>Marketing</w:t>
          </w:r>
        </w:smartTag>
        <w:r>
          <w:rPr>
            <w:rStyle w:val="Reference"/>
            <w:bCs/>
            <w:sz w:val="20"/>
          </w:rPr>
          <w:t xml:space="preserve">, </w:t>
        </w:r>
        <w:smartTag w:uri="urn:schemas-microsoft-com:office:smarttags" w:element="country-region">
          <w:r>
            <w:rPr>
              <w:rStyle w:val="Reference"/>
              <w:bCs/>
              <w:sz w:val="20"/>
            </w:rPr>
            <w:t>USA</w:t>
          </w:r>
        </w:smartTag>
      </w:smartTag>
      <w:r>
        <w:rPr>
          <w:rStyle w:val="Reference"/>
          <w:bCs/>
          <w:sz w:val="20"/>
        </w:rPr>
        <w:t>.</w:t>
      </w:r>
    </w:p>
    <w:p w:rsidR="00DC19F1" w:rsidRDefault="00DC19F1">
      <w:pPr>
        <w:spacing w:line="360" w:lineRule="auto"/>
        <w:rPr>
          <w:sz w:val="20"/>
        </w:rPr>
      </w:pPr>
      <w:r>
        <w:rPr>
          <w:sz w:val="20"/>
        </w:rPr>
        <w:t>Van Maanen, J. and Kolb, D. (1985), ‘The professional apprentice: observations on fieldwork roles in two organisational settings’, in Bacharach, S.B. and Mitchell, S.M. (eds.) Research in the Sociology of Organisations, vol. 4 (</w:t>
      </w:r>
      <w:smartTag w:uri="urn:schemas-microsoft-com:office:smarttags" w:element="place">
        <w:smartTag w:uri="urn:schemas-microsoft-com:office:smarttags" w:element="City">
          <w:r>
            <w:rPr>
              <w:sz w:val="20"/>
            </w:rPr>
            <w:t>Greenwich</w:t>
          </w:r>
        </w:smartTag>
      </w:smartTag>
      <w:r>
        <w:rPr>
          <w:sz w:val="20"/>
        </w:rPr>
        <w:t xml:space="preserve">, Con.: JAI Press): 1-33. </w:t>
      </w:r>
    </w:p>
    <w:p w:rsidR="00DC19F1" w:rsidRDefault="00DC19F1">
      <w:pPr>
        <w:pStyle w:val="BodyText"/>
        <w:rPr>
          <w:b/>
          <w:bCs/>
          <w:sz w:val="24"/>
        </w:rPr>
      </w:pPr>
    </w:p>
    <w:p w:rsidR="00DC19F1" w:rsidRDefault="00DC19F1">
      <w:pPr>
        <w:pStyle w:val="BodyText"/>
        <w:rPr>
          <w:sz w:val="20"/>
        </w:rPr>
      </w:pPr>
      <w:r>
        <w:rPr>
          <w:sz w:val="20"/>
        </w:rPr>
        <w:t xml:space="preserve">Weiss, A.M. and Andersen, E. (1992) ‘Converting from Independent to Employee Sales Forces: The Role of Perceived Switching Costs.’ Journal of Marketing Research XXIX (February). </w:t>
      </w:r>
    </w:p>
    <w:p w:rsidR="00DC19F1" w:rsidRDefault="00DC19F1">
      <w:pPr>
        <w:pStyle w:val="BodyText"/>
        <w:rPr>
          <w:sz w:val="20"/>
        </w:rPr>
      </w:pPr>
    </w:p>
    <w:p w:rsidR="00DC19F1" w:rsidRDefault="00DC19F1">
      <w:pPr>
        <w:pStyle w:val="BodyText"/>
        <w:rPr>
          <w:sz w:val="20"/>
        </w:rPr>
      </w:pPr>
      <w:r>
        <w:rPr>
          <w:sz w:val="20"/>
        </w:rPr>
        <w:t xml:space="preserve">Williams, K.C. (1981) ‘Behavioural Aspects of Marketing’ The Marketing Series, on behalf of the </w:t>
      </w:r>
      <w:smartTag w:uri="urn:schemas-microsoft-com:office:smarttags" w:element="PlaceType">
        <w:r>
          <w:rPr>
            <w:sz w:val="20"/>
          </w:rPr>
          <w:t>Institute</w:t>
        </w:r>
      </w:smartTag>
      <w:r>
        <w:rPr>
          <w:sz w:val="20"/>
        </w:rPr>
        <w:t xml:space="preserve"> of </w:t>
      </w:r>
      <w:smartTag w:uri="urn:schemas-microsoft-com:office:smarttags" w:element="PlaceName">
        <w:r>
          <w:rPr>
            <w:sz w:val="20"/>
          </w:rPr>
          <w:t>Marketing</w:t>
        </w:r>
      </w:smartTag>
      <w:r>
        <w:rPr>
          <w:sz w:val="20"/>
        </w:rPr>
        <w:t xml:space="preserve">, Heinemann, </w:t>
      </w:r>
      <w:smartTag w:uri="urn:schemas-microsoft-com:office:smarttags" w:element="place">
        <w:smartTag w:uri="urn:schemas-microsoft-com:office:smarttags" w:element="City">
          <w:r>
            <w:rPr>
              <w:sz w:val="20"/>
            </w:rPr>
            <w:t>London</w:t>
          </w:r>
        </w:smartTag>
      </w:smartTag>
      <w:r>
        <w:rPr>
          <w:sz w:val="20"/>
        </w:rPr>
        <w:t>.</w:t>
      </w:r>
    </w:p>
    <w:p w:rsidR="00DC19F1" w:rsidRDefault="00DC19F1">
      <w:pPr>
        <w:pStyle w:val="BodyText"/>
        <w:rPr>
          <w:sz w:val="20"/>
        </w:rPr>
      </w:pPr>
    </w:p>
    <w:p w:rsidR="00DC19F1" w:rsidRDefault="00DC19F1">
      <w:pPr>
        <w:pStyle w:val="BodyText"/>
        <w:rPr>
          <w:sz w:val="20"/>
        </w:rPr>
      </w:pPr>
      <w:r>
        <w:rPr>
          <w:sz w:val="20"/>
        </w:rPr>
        <w:t xml:space="preserve">Yavas, U. Benkenstein, M. and Stuhldreier, U. (2004) ‘Relationships between service quality and behavioural outcomes. A study of private bank customers in </w:t>
      </w:r>
      <w:smartTag w:uri="urn:schemas-microsoft-com:office:smarttags" w:element="place">
        <w:smartTag w:uri="urn:schemas-microsoft-com:office:smarttags" w:element="country-region">
          <w:r>
            <w:rPr>
              <w:sz w:val="20"/>
            </w:rPr>
            <w:t>Germany</w:t>
          </w:r>
        </w:smartTag>
      </w:smartTag>
      <w:r>
        <w:rPr>
          <w:sz w:val="20"/>
        </w:rPr>
        <w:t xml:space="preserve">’ The International Journal of Bank Marketing, Vol. 22, no. 2: 144-157.  </w:t>
      </w:r>
    </w:p>
    <w:p w:rsidR="00DC19F1" w:rsidRDefault="00DC19F1">
      <w:pPr>
        <w:pStyle w:val="BodyText"/>
        <w:rPr>
          <w:b/>
          <w:bCs/>
          <w:sz w:val="24"/>
        </w:rPr>
      </w:pPr>
    </w:p>
    <w:p w:rsidR="00DC19F1" w:rsidRDefault="00DC19F1">
      <w:pPr>
        <w:pStyle w:val="BodyText"/>
        <w:rPr>
          <w:b/>
          <w:bCs/>
          <w:sz w:val="24"/>
        </w:rPr>
      </w:pPr>
      <w:r>
        <w:rPr>
          <w:sz w:val="20"/>
        </w:rPr>
        <w:t xml:space="preserve">Yin, R.K. (1994) ‘Case Study Research: ‘Design and Methods’, Sage Publications, </w:t>
      </w:r>
      <w:smartTag w:uri="urn:schemas-microsoft-com:office:smarttags" w:element="place">
        <w:smartTag w:uri="urn:schemas-microsoft-com:office:smarttags" w:element="City">
          <w:r>
            <w:rPr>
              <w:sz w:val="20"/>
            </w:rPr>
            <w:t>Thousand Oaks</w:t>
          </w:r>
        </w:smartTag>
        <w:r>
          <w:rPr>
            <w:sz w:val="20"/>
          </w:rPr>
          <w:t xml:space="preserve">, </w:t>
        </w:r>
        <w:smartTag w:uri="urn:schemas-microsoft-com:office:smarttags" w:element="country-region">
          <w:r>
            <w:rPr>
              <w:sz w:val="20"/>
            </w:rPr>
            <w:t>C.A.</w:t>
          </w:r>
        </w:smartTag>
      </w:smartTag>
    </w:p>
    <w:p w:rsidR="00DC19F1" w:rsidRDefault="00DC19F1">
      <w:pPr>
        <w:pStyle w:val="Heading1"/>
      </w:pPr>
      <w:r>
        <w:br w:type="page"/>
      </w:r>
      <w:bookmarkStart w:id="40" w:name="_Toc113078006"/>
      <w:bookmarkStart w:id="41" w:name="_Toc132368273"/>
      <w:r>
        <w:lastRenderedPageBreak/>
        <w:t>APPENDIX</w:t>
      </w:r>
      <w:bookmarkEnd w:id="40"/>
      <w:r>
        <w:t xml:space="preserve"> A: INTERVIEW EXTRACTS</w:t>
      </w:r>
      <w:bookmarkEnd w:id="41"/>
    </w:p>
    <w:p w:rsidR="00DC19F1" w:rsidRDefault="00DC19F1">
      <w:pPr>
        <w:pStyle w:val="BodyText"/>
        <w:rPr>
          <w:b/>
          <w:bCs/>
        </w:rPr>
      </w:pPr>
    </w:p>
    <w:p w:rsidR="00DC19F1" w:rsidRDefault="00DC19F1">
      <w:pPr>
        <w:pStyle w:val="Caption"/>
      </w:pPr>
      <w:bookmarkStart w:id="42" w:name="_Toc113078007"/>
      <w:bookmarkStart w:id="43" w:name="_Toc113105183"/>
      <w:r>
        <w:t xml:space="preserve">Table </w:t>
      </w:r>
      <w:fldSimple w:instr=" SEQ Table \* ARABIC ">
        <w:r w:rsidR="00FA61D1">
          <w:rPr>
            <w:noProof/>
          </w:rPr>
          <w:t>6</w:t>
        </w:r>
      </w:fldSimple>
      <w:r>
        <w:t>: Extracts from Unconditional Commitment and Conditional Commitment Data</w:t>
      </w:r>
      <w:bookmarkEnd w:id="42"/>
      <w:bookmarkEnd w:id="43"/>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4"/>
        <w:gridCol w:w="4194"/>
      </w:tblGrid>
      <w:tr w:rsidR="00DC19F1">
        <w:tblPrEx>
          <w:tblCellMar>
            <w:top w:w="0" w:type="dxa"/>
            <w:bottom w:w="0" w:type="dxa"/>
          </w:tblCellMar>
        </w:tblPrEx>
        <w:tc>
          <w:tcPr>
            <w:tcW w:w="4374" w:type="dxa"/>
          </w:tcPr>
          <w:p w:rsidR="00DC19F1" w:rsidRDefault="00DC19F1">
            <w:pPr>
              <w:pStyle w:val="BodyText"/>
              <w:spacing w:line="240" w:lineRule="auto"/>
              <w:rPr>
                <w:b/>
                <w:bCs/>
              </w:rPr>
            </w:pPr>
            <w:r>
              <w:rPr>
                <w:b/>
                <w:bCs/>
              </w:rPr>
              <w:t>Unconditionally Committed</w:t>
            </w:r>
          </w:p>
        </w:tc>
        <w:tc>
          <w:tcPr>
            <w:tcW w:w="4194" w:type="dxa"/>
          </w:tcPr>
          <w:p w:rsidR="00DC19F1" w:rsidRDefault="00DC19F1">
            <w:pPr>
              <w:pStyle w:val="BodyText"/>
              <w:spacing w:line="240" w:lineRule="auto"/>
              <w:rPr>
                <w:b/>
                <w:bCs/>
              </w:rPr>
            </w:pPr>
            <w:r>
              <w:rPr>
                <w:b/>
                <w:bCs/>
              </w:rPr>
              <w:t xml:space="preserve">Conditionally Committed </w:t>
            </w:r>
          </w:p>
        </w:tc>
      </w:tr>
      <w:tr w:rsidR="00DC19F1">
        <w:tblPrEx>
          <w:tblCellMar>
            <w:top w:w="0" w:type="dxa"/>
            <w:bottom w:w="0" w:type="dxa"/>
          </w:tblCellMar>
        </w:tblPrEx>
        <w:tc>
          <w:tcPr>
            <w:tcW w:w="4374" w:type="dxa"/>
          </w:tcPr>
          <w:p w:rsidR="00DC19F1" w:rsidRDefault="00DC19F1">
            <w:pPr>
              <w:pStyle w:val="BodyText"/>
              <w:spacing w:line="240" w:lineRule="auto"/>
              <w:rPr>
                <w:u w:val="single"/>
              </w:rPr>
            </w:pPr>
            <w:r>
              <w:rPr>
                <w:u w:val="single"/>
              </w:rPr>
              <w:t>Practitioners</w:t>
            </w:r>
          </w:p>
          <w:p w:rsidR="00DC19F1" w:rsidRDefault="00DC19F1">
            <w:pPr>
              <w:pStyle w:val="BodyText"/>
              <w:spacing w:line="240" w:lineRule="auto"/>
              <w:rPr>
                <w:b/>
                <w:bCs/>
                <w:sz w:val="20"/>
              </w:rPr>
            </w:pPr>
            <w:r>
              <w:rPr>
                <w:i/>
                <w:iCs/>
                <w:sz w:val="20"/>
              </w:rPr>
              <w:t xml:space="preserve">”If you have a pension, life, current account, credit account with Nat West … Because your entire portfolio, all your eggs are in one basket. Total, </w:t>
            </w:r>
            <w:r>
              <w:rPr>
                <w:i/>
                <w:iCs/>
                <w:sz w:val="20"/>
                <w:u w:val="single"/>
              </w:rPr>
              <w:t>utter longstanding commitment</w:t>
            </w:r>
            <w:r>
              <w:rPr>
                <w:sz w:val="20"/>
              </w:rPr>
              <w:t>.” (DM</w:t>
            </w:r>
            <w:r>
              <w:rPr>
                <w:b/>
                <w:bCs/>
                <w:sz w:val="20"/>
              </w:rPr>
              <w:t xml:space="preserve"> </w:t>
            </w:r>
            <w:r>
              <w:rPr>
                <w:sz w:val="20"/>
              </w:rPr>
              <w:t>arm of Marcomms group, D8)</w:t>
            </w:r>
          </w:p>
          <w:p w:rsidR="00DC19F1" w:rsidRDefault="00DC19F1">
            <w:pPr>
              <w:pStyle w:val="BodyText"/>
              <w:spacing w:line="240" w:lineRule="auto"/>
              <w:rPr>
                <w:sz w:val="20"/>
              </w:rPr>
            </w:pPr>
            <w:r>
              <w:rPr>
                <w:i/>
                <w:iCs/>
                <w:sz w:val="20"/>
              </w:rPr>
              <w:t>“…</w:t>
            </w:r>
            <w:r>
              <w:rPr>
                <w:i/>
                <w:iCs/>
                <w:sz w:val="20"/>
                <w:u w:val="single"/>
              </w:rPr>
              <w:t>emotional loyalty</w:t>
            </w:r>
            <w:r>
              <w:rPr>
                <w:i/>
                <w:iCs/>
                <w:sz w:val="20"/>
              </w:rPr>
              <w:t xml:space="preserve">… They have extraordinary levels of unprompted enthusiasm…I think that’s really rare and …it will reduce, not increase.” </w:t>
            </w:r>
            <w:r>
              <w:rPr>
                <w:sz w:val="20"/>
              </w:rPr>
              <w:t>(Creative, major dm agency G6)</w:t>
            </w:r>
          </w:p>
          <w:p w:rsidR="00DC19F1" w:rsidRDefault="00DC19F1">
            <w:pPr>
              <w:pStyle w:val="BodyText"/>
              <w:spacing w:line="240" w:lineRule="auto"/>
              <w:rPr>
                <w:b/>
                <w:bCs/>
                <w:sz w:val="20"/>
                <w:u w:val="single"/>
              </w:rPr>
            </w:pPr>
            <w:r>
              <w:rPr>
                <w:sz w:val="20"/>
                <w:u w:val="single"/>
              </w:rPr>
              <w:t>Customers</w:t>
            </w:r>
          </w:p>
          <w:p w:rsidR="00DC19F1" w:rsidRDefault="00DC19F1">
            <w:pPr>
              <w:pStyle w:val="BodyText"/>
              <w:spacing w:line="240" w:lineRule="auto"/>
              <w:rPr>
                <w:sz w:val="20"/>
              </w:rPr>
            </w:pPr>
            <w:r>
              <w:rPr>
                <w:i/>
                <w:iCs/>
                <w:sz w:val="20"/>
              </w:rPr>
              <w:t>“Personally I would just stay with this bank even if it meant losing money…I wouldn’t know where else to go…</w:t>
            </w:r>
            <w:r>
              <w:rPr>
                <w:i/>
                <w:iCs/>
                <w:sz w:val="20"/>
                <w:u w:val="single"/>
              </w:rPr>
              <w:t>It’s so important to me</w:t>
            </w:r>
            <w:r>
              <w:rPr>
                <w:i/>
                <w:iCs/>
                <w:sz w:val="20"/>
              </w:rPr>
              <w:t xml:space="preserve"> that it has got an ethical policy in these things that are important to me.”</w:t>
            </w:r>
            <w:r>
              <w:rPr>
                <w:sz w:val="20"/>
              </w:rPr>
              <w:t xml:space="preserve"> (Female 2, 35-44yrs, B/C1) </w:t>
            </w:r>
          </w:p>
          <w:p w:rsidR="00DC19F1" w:rsidRDefault="00DC19F1">
            <w:pPr>
              <w:pStyle w:val="BodyText"/>
              <w:spacing w:line="240" w:lineRule="auto"/>
              <w:rPr>
                <w:i/>
                <w:iCs/>
                <w:sz w:val="20"/>
              </w:rPr>
            </w:pPr>
            <w:r>
              <w:rPr>
                <w:i/>
                <w:iCs/>
                <w:sz w:val="20"/>
              </w:rPr>
              <w:t>“I would find it very difficult to move bank…</w:t>
            </w:r>
          </w:p>
          <w:p w:rsidR="00DC19F1" w:rsidRDefault="00DC19F1">
            <w:pPr>
              <w:pStyle w:val="BodyText"/>
              <w:spacing w:line="240" w:lineRule="auto"/>
              <w:rPr>
                <w:i/>
                <w:iCs/>
                <w:sz w:val="20"/>
              </w:rPr>
            </w:pPr>
            <w:r>
              <w:rPr>
                <w:i/>
                <w:iCs/>
                <w:sz w:val="20"/>
              </w:rPr>
              <w:t xml:space="preserve"> …There’s nothing that ties us in but we wouldn’t switch </w:t>
            </w:r>
            <w:r>
              <w:rPr>
                <w:i/>
                <w:iCs/>
                <w:sz w:val="20"/>
                <w:u w:val="single"/>
              </w:rPr>
              <w:t>because we’re happy</w:t>
            </w:r>
            <w:r>
              <w:rPr>
                <w:i/>
                <w:iCs/>
                <w:sz w:val="20"/>
              </w:rPr>
              <w:t>…”</w:t>
            </w:r>
          </w:p>
          <w:p w:rsidR="00DC19F1" w:rsidRDefault="00DC19F1">
            <w:pPr>
              <w:pStyle w:val="BodyText"/>
              <w:spacing w:line="240" w:lineRule="auto"/>
              <w:rPr>
                <w:sz w:val="20"/>
              </w:rPr>
            </w:pPr>
            <w:r>
              <w:rPr>
                <w:sz w:val="20"/>
              </w:rPr>
              <w:t>(Female 11, C1, 55-64yrs, part-time receptionist)</w:t>
            </w:r>
            <w:r>
              <w:rPr>
                <w:i/>
                <w:iCs/>
                <w:sz w:val="20"/>
              </w:rPr>
              <w:t xml:space="preserve"> </w:t>
            </w:r>
          </w:p>
          <w:p w:rsidR="00DC19F1" w:rsidRDefault="00DC19F1">
            <w:pPr>
              <w:pStyle w:val="BodyText"/>
              <w:spacing w:line="240" w:lineRule="auto"/>
              <w:rPr>
                <w:i/>
                <w:iCs/>
                <w:sz w:val="20"/>
              </w:rPr>
            </w:pPr>
            <w:r>
              <w:rPr>
                <w:i/>
                <w:iCs/>
                <w:sz w:val="20"/>
              </w:rPr>
              <w:t xml:space="preserve">“I don’t want to go because I’m happy with the service I receive…Also you get this sense of fairness from them and </w:t>
            </w:r>
            <w:r>
              <w:rPr>
                <w:i/>
                <w:iCs/>
                <w:sz w:val="20"/>
                <w:u w:val="single"/>
              </w:rPr>
              <w:t>that’s important to me</w:t>
            </w:r>
            <w:r>
              <w:rPr>
                <w:i/>
                <w:iCs/>
                <w:sz w:val="20"/>
              </w:rPr>
              <w:t xml:space="preserve">...customer service is obviously something they value, and also honesty, this openness…” </w:t>
            </w:r>
          </w:p>
          <w:p w:rsidR="00DC19F1" w:rsidRDefault="00DC19F1">
            <w:pPr>
              <w:pStyle w:val="BodyText"/>
              <w:spacing w:line="240" w:lineRule="auto"/>
              <w:rPr>
                <w:sz w:val="20"/>
              </w:rPr>
            </w:pPr>
            <w:r>
              <w:rPr>
                <w:sz w:val="20"/>
              </w:rPr>
              <w:t>(Female 8, 35-44yrs high income</w:t>
            </w:r>
            <w:r>
              <w:rPr>
                <w:sz w:val="18"/>
              </w:rPr>
              <w:t xml:space="preserve">) </w:t>
            </w:r>
          </w:p>
        </w:tc>
        <w:tc>
          <w:tcPr>
            <w:tcW w:w="4194" w:type="dxa"/>
          </w:tcPr>
          <w:p w:rsidR="00DC19F1" w:rsidRDefault="00DC19F1">
            <w:pPr>
              <w:pStyle w:val="BodyText"/>
              <w:spacing w:line="240" w:lineRule="auto"/>
              <w:rPr>
                <w:u w:val="single"/>
              </w:rPr>
            </w:pPr>
            <w:r>
              <w:rPr>
                <w:u w:val="single"/>
              </w:rPr>
              <w:t>Practitioners</w:t>
            </w:r>
          </w:p>
          <w:p w:rsidR="00DC19F1" w:rsidRDefault="00DC19F1">
            <w:pPr>
              <w:pStyle w:val="BodyText"/>
              <w:spacing w:line="240" w:lineRule="auto"/>
              <w:rPr>
                <w:u w:val="single"/>
              </w:rPr>
            </w:pPr>
          </w:p>
          <w:p w:rsidR="00DC19F1" w:rsidRDefault="00DC19F1">
            <w:pPr>
              <w:pStyle w:val="BodyText"/>
              <w:spacing w:line="240" w:lineRule="auto"/>
              <w:rPr>
                <w:i/>
                <w:iCs/>
                <w:sz w:val="20"/>
                <w:u w:val="single"/>
              </w:rPr>
            </w:pPr>
            <w:r>
              <w:rPr>
                <w:i/>
                <w:iCs/>
                <w:sz w:val="20"/>
              </w:rPr>
              <w:t xml:space="preserve">“Brand Commitment sounds a little more rational and not necessarily as long term, </w:t>
            </w:r>
            <w:r>
              <w:rPr>
                <w:i/>
                <w:iCs/>
                <w:sz w:val="20"/>
                <w:u w:val="single"/>
              </w:rPr>
              <w:t>not saying it’s unquestioning…‘Everything’s</w:t>
            </w:r>
          </w:p>
          <w:p w:rsidR="00DC19F1" w:rsidRDefault="00DC19F1">
            <w:pPr>
              <w:pStyle w:val="BodyText"/>
              <w:spacing w:line="240" w:lineRule="auto"/>
              <w:rPr>
                <w:i/>
                <w:iCs/>
                <w:sz w:val="20"/>
              </w:rPr>
            </w:pPr>
            <w:r>
              <w:rPr>
                <w:i/>
                <w:iCs/>
                <w:sz w:val="20"/>
                <w:u w:val="single"/>
              </w:rPr>
              <w:t xml:space="preserve"> OK, so I’ll stick with them’</w:t>
            </w:r>
            <w:r>
              <w:rPr>
                <w:i/>
                <w:iCs/>
                <w:sz w:val="20"/>
              </w:rPr>
              <w:t xml:space="preserve">” </w:t>
            </w:r>
            <w:r>
              <w:rPr>
                <w:sz w:val="20"/>
              </w:rPr>
              <w:t>(Creative, major dm agency G6)</w:t>
            </w:r>
          </w:p>
          <w:p w:rsidR="00DC19F1" w:rsidRDefault="00DC19F1">
            <w:pPr>
              <w:pStyle w:val="BodyText"/>
              <w:spacing w:line="240" w:lineRule="auto"/>
              <w:rPr>
                <w:i/>
                <w:iCs/>
                <w:sz w:val="20"/>
              </w:rPr>
            </w:pPr>
          </w:p>
          <w:p w:rsidR="00DC19F1" w:rsidRDefault="00DC19F1">
            <w:pPr>
              <w:pStyle w:val="BodyText"/>
              <w:spacing w:line="240" w:lineRule="auto"/>
              <w:rPr>
                <w:sz w:val="20"/>
                <w:u w:val="single"/>
              </w:rPr>
            </w:pPr>
            <w:r>
              <w:rPr>
                <w:sz w:val="20"/>
                <w:u w:val="single"/>
              </w:rPr>
              <w:t>Customers</w:t>
            </w:r>
          </w:p>
          <w:p w:rsidR="00DC19F1" w:rsidRDefault="00DC19F1">
            <w:pPr>
              <w:pStyle w:val="BodyText"/>
              <w:spacing w:line="240" w:lineRule="auto"/>
              <w:rPr>
                <w:sz w:val="20"/>
                <w:u w:val="single"/>
              </w:rPr>
            </w:pPr>
          </w:p>
          <w:p w:rsidR="00DC19F1" w:rsidRDefault="00DC19F1">
            <w:pPr>
              <w:pStyle w:val="BodyText"/>
              <w:spacing w:line="240" w:lineRule="auto"/>
              <w:rPr>
                <w:i/>
                <w:iCs/>
                <w:sz w:val="20"/>
              </w:rPr>
            </w:pPr>
            <w:r>
              <w:rPr>
                <w:i/>
                <w:iCs/>
                <w:sz w:val="20"/>
              </w:rPr>
              <w:t>“</w:t>
            </w:r>
            <w:r>
              <w:rPr>
                <w:i/>
                <w:iCs/>
                <w:sz w:val="20"/>
                <w:u w:val="single"/>
              </w:rPr>
              <w:t>As long as</w:t>
            </w:r>
            <w:r>
              <w:rPr>
                <w:i/>
                <w:iCs/>
                <w:sz w:val="20"/>
              </w:rPr>
              <w:t xml:space="preserve"> the service is fine and they don’t mess me around.” </w:t>
            </w:r>
            <w:r>
              <w:rPr>
                <w:sz w:val="20"/>
              </w:rPr>
              <w:t>(Male 4, 25-34yrs)</w:t>
            </w:r>
          </w:p>
          <w:p w:rsidR="00DC19F1" w:rsidRDefault="00DC19F1">
            <w:pPr>
              <w:pStyle w:val="BodyText"/>
              <w:spacing w:line="240" w:lineRule="auto"/>
              <w:rPr>
                <w:i/>
                <w:iCs/>
                <w:sz w:val="20"/>
              </w:rPr>
            </w:pPr>
          </w:p>
          <w:p w:rsidR="00DC19F1" w:rsidRDefault="00DC19F1">
            <w:pPr>
              <w:pStyle w:val="BodyText"/>
              <w:spacing w:line="240" w:lineRule="auto"/>
              <w:rPr>
                <w:b/>
                <w:bCs/>
                <w:i/>
                <w:iCs/>
                <w:sz w:val="20"/>
              </w:rPr>
            </w:pPr>
            <w:r>
              <w:rPr>
                <w:i/>
                <w:iCs/>
                <w:sz w:val="20"/>
              </w:rPr>
              <w:t>“</w:t>
            </w:r>
            <w:r>
              <w:rPr>
                <w:i/>
                <w:iCs/>
                <w:sz w:val="20"/>
                <w:u w:val="single"/>
              </w:rPr>
              <w:t>If</w:t>
            </w:r>
            <w:r>
              <w:rPr>
                <w:i/>
                <w:iCs/>
                <w:sz w:val="20"/>
              </w:rPr>
              <w:t xml:space="preserve"> they did </w:t>
            </w:r>
            <w:r>
              <w:rPr>
                <w:i/>
                <w:iCs/>
                <w:sz w:val="20"/>
                <w:u w:val="single"/>
              </w:rPr>
              <w:t>a rubbish service I would move elsewhere</w:t>
            </w:r>
            <w:r>
              <w:rPr>
                <w:i/>
                <w:iCs/>
                <w:sz w:val="20"/>
              </w:rPr>
              <w:t>”</w:t>
            </w:r>
            <w:r>
              <w:rPr>
                <w:sz w:val="20"/>
              </w:rPr>
              <w:t>(Male 13, 35-44yrs, B)</w:t>
            </w:r>
          </w:p>
          <w:p w:rsidR="00DC19F1" w:rsidRDefault="00DC19F1">
            <w:pPr>
              <w:pStyle w:val="BodyText"/>
              <w:spacing w:line="240" w:lineRule="auto"/>
              <w:rPr>
                <w:i/>
                <w:iCs/>
                <w:sz w:val="20"/>
              </w:rPr>
            </w:pPr>
          </w:p>
          <w:p w:rsidR="00DC19F1" w:rsidRDefault="00DC19F1">
            <w:pPr>
              <w:pStyle w:val="BodyText"/>
              <w:spacing w:line="240" w:lineRule="auto"/>
              <w:rPr>
                <w:i/>
                <w:iCs/>
                <w:sz w:val="20"/>
              </w:rPr>
            </w:pPr>
            <w:r>
              <w:rPr>
                <w:i/>
                <w:iCs/>
                <w:sz w:val="20"/>
              </w:rPr>
              <w:t xml:space="preserve">“…I think I will probably stay with them. If I can, </w:t>
            </w:r>
            <w:r>
              <w:rPr>
                <w:i/>
                <w:iCs/>
                <w:sz w:val="20"/>
                <w:u w:val="single"/>
              </w:rPr>
              <w:t>if they offer me a good service throughout my life</w:t>
            </w:r>
            <w:r>
              <w:rPr>
                <w:i/>
                <w:iCs/>
                <w:sz w:val="20"/>
              </w:rPr>
              <w:t xml:space="preserve">.” </w:t>
            </w:r>
            <w:r>
              <w:rPr>
                <w:sz w:val="20"/>
              </w:rPr>
              <w:t>(Female 14, student, C1)</w:t>
            </w:r>
          </w:p>
          <w:p w:rsidR="00DC19F1" w:rsidRDefault="00DC19F1">
            <w:pPr>
              <w:pStyle w:val="BodyText"/>
              <w:spacing w:line="240" w:lineRule="auto"/>
              <w:rPr>
                <w:i/>
                <w:iCs/>
                <w:sz w:val="20"/>
              </w:rPr>
            </w:pPr>
          </w:p>
          <w:p w:rsidR="00DC19F1" w:rsidRDefault="00DC19F1">
            <w:pPr>
              <w:pStyle w:val="BodyText"/>
              <w:spacing w:line="240" w:lineRule="auto"/>
              <w:rPr>
                <w:i/>
                <w:iCs/>
                <w:sz w:val="20"/>
              </w:rPr>
            </w:pPr>
            <w:r>
              <w:rPr>
                <w:i/>
                <w:iCs/>
                <w:sz w:val="20"/>
              </w:rPr>
              <w:t xml:space="preserve">“I might do </w:t>
            </w:r>
            <w:r>
              <w:rPr>
                <w:i/>
                <w:iCs/>
                <w:sz w:val="20"/>
                <w:u w:val="single"/>
              </w:rPr>
              <w:t>when I’m older</w:t>
            </w:r>
            <w:r>
              <w:rPr>
                <w:i/>
                <w:iCs/>
                <w:sz w:val="20"/>
              </w:rPr>
              <w:t>. I’m not one for any of that at the moment; I haven’t got the need to go looking.”</w:t>
            </w:r>
          </w:p>
          <w:p w:rsidR="00DC19F1" w:rsidRDefault="00DC19F1">
            <w:pPr>
              <w:pStyle w:val="BodyText"/>
              <w:spacing w:line="240" w:lineRule="auto"/>
              <w:rPr>
                <w:i/>
                <w:iCs/>
                <w:sz w:val="20"/>
              </w:rPr>
            </w:pPr>
            <w:r>
              <w:rPr>
                <w:i/>
                <w:iCs/>
                <w:sz w:val="20"/>
              </w:rPr>
              <w:t xml:space="preserve"> </w:t>
            </w:r>
            <w:r>
              <w:rPr>
                <w:sz w:val="20"/>
              </w:rPr>
              <w:t>(Female piii, nanny, 21yrs)</w:t>
            </w:r>
          </w:p>
          <w:p w:rsidR="00DC19F1" w:rsidRDefault="00DC19F1">
            <w:pPr>
              <w:pStyle w:val="BodyText"/>
              <w:spacing w:line="240" w:lineRule="auto"/>
              <w:rPr>
                <w:i/>
                <w:iCs/>
                <w:sz w:val="20"/>
              </w:rPr>
            </w:pPr>
          </w:p>
          <w:p w:rsidR="00DC19F1" w:rsidRDefault="00DC19F1">
            <w:pPr>
              <w:pStyle w:val="BodyText"/>
              <w:spacing w:line="240" w:lineRule="auto"/>
              <w:rPr>
                <w:i/>
                <w:iCs/>
                <w:sz w:val="20"/>
              </w:rPr>
            </w:pPr>
          </w:p>
        </w:tc>
      </w:tr>
    </w:tbl>
    <w:p w:rsidR="00DC19F1" w:rsidRDefault="00DC19F1">
      <w:pPr>
        <w:pStyle w:val="BodyText"/>
        <w:spacing w:line="240" w:lineRule="auto"/>
        <w:rPr>
          <w:b/>
          <w:bCs/>
        </w:rPr>
      </w:pPr>
    </w:p>
    <w:p w:rsidR="00DC19F1" w:rsidRDefault="00DC19F1">
      <w:pPr>
        <w:pStyle w:val="BodyText"/>
        <w:spacing w:line="240" w:lineRule="auto"/>
        <w:rPr>
          <w:b/>
          <w:bCs/>
        </w:rPr>
      </w:pPr>
    </w:p>
    <w:p w:rsidR="00DC19F1" w:rsidRDefault="00DC19F1">
      <w:pPr>
        <w:pStyle w:val="Caption"/>
      </w:pPr>
      <w:bookmarkStart w:id="44" w:name="_Toc113078008"/>
      <w:bookmarkStart w:id="45" w:name="_Toc113105184"/>
      <w:r>
        <w:t xml:space="preserve">Table </w:t>
      </w:r>
      <w:fldSimple w:instr=" SEQ Table \* ARABIC ">
        <w:r w:rsidR="00FA61D1">
          <w:rPr>
            <w:noProof/>
          </w:rPr>
          <w:t>7</w:t>
        </w:r>
      </w:fldSimple>
      <w:r>
        <w:t>: Extracts from ‘Inertia of Loyalty’ Data</w:t>
      </w:r>
      <w:bookmarkEnd w:id="44"/>
      <w:bookmarkEnd w:id="45"/>
    </w:p>
    <w:p w:rsidR="00DC19F1" w:rsidRDefault="00DC19F1">
      <w:pPr>
        <w:pStyle w:val="BodyText"/>
        <w:spacing w:line="240" w:lineRule="auto"/>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140"/>
      </w:tblGrid>
      <w:tr w:rsidR="00DC19F1">
        <w:tblPrEx>
          <w:tblCellMar>
            <w:top w:w="0" w:type="dxa"/>
            <w:bottom w:w="0" w:type="dxa"/>
          </w:tblCellMar>
        </w:tblPrEx>
        <w:tc>
          <w:tcPr>
            <w:tcW w:w="4428" w:type="dxa"/>
          </w:tcPr>
          <w:p w:rsidR="00DC19F1" w:rsidRDefault="00DC19F1">
            <w:pPr>
              <w:pStyle w:val="BodyText"/>
              <w:spacing w:line="240" w:lineRule="auto"/>
              <w:rPr>
                <w:b/>
                <w:bCs/>
                <w:sz w:val="20"/>
              </w:rPr>
            </w:pPr>
            <w:r>
              <w:rPr>
                <w:b/>
                <w:bCs/>
                <w:sz w:val="20"/>
              </w:rPr>
              <w:t>Practitioners</w:t>
            </w:r>
          </w:p>
        </w:tc>
        <w:tc>
          <w:tcPr>
            <w:tcW w:w="4140" w:type="dxa"/>
          </w:tcPr>
          <w:p w:rsidR="00DC19F1" w:rsidRDefault="00DC19F1">
            <w:pPr>
              <w:pStyle w:val="BodyText"/>
              <w:spacing w:line="240" w:lineRule="auto"/>
              <w:rPr>
                <w:b/>
                <w:bCs/>
                <w:sz w:val="20"/>
              </w:rPr>
            </w:pPr>
            <w:r>
              <w:rPr>
                <w:b/>
                <w:bCs/>
                <w:sz w:val="20"/>
              </w:rPr>
              <w:t>Customers</w:t>
            </w:r>
          </w:p>
        </w:tc>
      </w:tr>
      <w:tr w:rsidR="00DC19F1">
        <w:tblPrEx>
          <w:tblCellMar>
            <w:top w:w="0" w:type="dxa"/>
            <w:bottom w:w="0" w:type="dxa"/>
          </w:tblCellMar>
        </w:tblPrEx>
        <w:trPr>
          <w:cantSplit/>
          <w:trHeight w:val="2644"/>
        </w:trPr>
        <w:tc>
          <w:tcPr>
            <w:tcW w:w="4428" w:type="dxa"/>
            <w:tcBorders>
              <w:bottom w:val="single" w:sz="4" w:space="0" w:color="auto"/>
            </w:tcBorders>
          </w:tcPr>
          <w:p w:rsidR="00DC19F1" w:rsidRDefault="00DC19F1">
            <w:pPr>
              <w:pStyle w:val="BodyText"/>
              <w:spacing w:line="240" w:lineRule="auto"/>
              <w:rPr>
                <w:sz w:val="20"/>
              </w:rPr>
            </w:pPr>
            <w:r>
              <w:rPr>
                <w:i/>
                <w:iCs/>
                <w:sz w:val="20"/>
              </w:rPr>
              <w:t>“There is inertia of loyalty ‘It might be a good idea to shop around but I can’t be bothered.’ ”</w:t>
            </w:r>
            <w:r>
              <w:rPr>
                <w:sz w:val="20"/>
              </w:rPr>
              <w:t xml:space="preserve"> </w:t>
            </w:r>
          </w:p>
          <w:p w:rsidR="00DC19F1" w:rsidRDefault="00DC19F1">
            <w:pPr>
              <w:pStyle w:val="BodyText"/>
              <w:spacing w:line="240" w:lineRule="auto"/>
              <w:rPr>
                <w:sz w:val="20"/>
              </w:rPr>
            </w:pPr>
            <w:r>
              <w:rPr>
                <w:sz w:val="20"/>
              </w:rPr>
              <w:t xml:space="preserve">(DM Agency) </w:t>
            </w:r>
          </w:p>
          <w:p w:rsidR="00DC19F1" w:rsidRDefault="00DC19F1">
            <w:pPr>
              <w:pStyle w:val="BodyText"/>
              <w:spacing w:line="240" w:lineRule="auto"/>
              <w:rPr>
                <w:sz w:val="20"/>
              </w:rPr>
            </w:pPr>
          </w:p>
          <w:p w:rsidR="00DC19F1" w:rsidRDefault="00DC19F1">
            <w:pPr>
              <w:pStyle w:val="BodyText"/>
              <w:spacing w:line="240" w:lineRule="auto"/>
              <w:rPr>
                <w:sz w:val="20"/>
              </w:rPr>
            </w:pPr>
            <w:r>
              <w:rPr>
                <w:i/>
                <w:iCs/>
                <w:sz w:val="20"/>
              </w:rPr>
              <w:t xml:space="preserve">“…For most people it’s a big wrench and however easy … nobody really wants to change their banks; all those forms, worrying about the mortgage payments and standing orders. It’s a very off-putting process. It has to be a big, emotional drive to do that.” </w:t>
            </w:r>
            <w:r>
              <w:rPr>
                <w:sz w:val="20"/>
              </w:rPr>
              <w:t>(Agency/Branding judge, E6)</w:t>
            </w:r>
          </w:p>
          <w:p w:rsidR="00DC19F1" w:rsidRDefault="00DC19F1">
            <w:pPr>
              <w:pStyle w:val="BodyText"/>
              <w:spacing w:line="240" w:lineRule="auto"/>
              <w:rPr>
                <w:b/>
                <w:bCs/>
                <w:sz w:val="20"/>
              </w:rPr>
            </w:pPr>
          </w:p>
        </w:tc>
        <w:tc>
          <w:tcPr>
            <w:tcW w:w="4140" w:type="dxa"/>
            <w:tcBorders>
              <w:bottom w:val="single" w:sz="4" w:space="0" w:color="auto"/>
            </w:tcBorders>
          </w:tcPr>
          <w:p w:rsidR="00DC19F1" w:rsidRDefault="00DC19F1">
            <w:pPr>
              <w:pStyle w:val="BodyText"/>
              <w:spacing w:line="240" w:lineRule="auto"/>
              <w:rPr>
                <w:i/>
                <w:iCs/>
                <w:sz w:val="20"/>
              </w:rPr>
            </w:pPr>
            <w:r>
              <w:rPr>
                <w:i/>
                <w:iCs/>
                <w:sz w:val="20"/>
              </w:rPr>
              <w:t>“</w:t>
            </w:r>
            <w:r>
              <w:rPr>
                <w:i/>
                <w:iCs/>
                <w:sz w:val="20"/>
                <w:u w:val="single"/>
              </w:rPr>
              <w:t>No reason to believe it is better elsewhere”</w:t>
            </w:r>
            <w:r>
              <w:rPr>
                <w:i/>
                <w:iCs/>
                <w:sz w:val="20"/>
              </w:rPr>
              <w:t xml:space="preserve"> </w:t>
            </w:r>
          </w:p>
          <w:p w:rsidR="00DC19F1" w:rsidRDefault="00DC19F1">
            <w:pPr>
              <w:pStyle w:val="BodyText"/>
              <w:spacing w:line="240" w:lineRule="auto"/>
              <w:rPr>
                <w:sz w:val="20"/>
              </w:rPr>
            </w:pPr>
            <w:r>
              <w:rPr>
                <w:sz w:val="20"/>
              </w:rPr>
              <w:t>(Male 6, 69yrs, retired professional)</w:t>
            </w:r>
          </w:p>
          <w:p w:rsidR="00DC19F1" w:rsidRDefault="00DC19F1">
            <w:pPr>
              <w:pStyle w:val="BodyText"/>
              <w:spacing w:line="240" w:lineRule="auto"/>
              <w:rPr>
                <w:sz w:val="20"/>
              </w:rPr>
            </w:pPr>
          </w:p>
          <w:p w:rsidR="00DC19F1" w:rsidRDefault="00DC19F1">
            <w:pPr>
              <w:pStyle w:val="BodyText"/>
              <w:spacing w:line="240" w:lineRule="auto"/>
              <w:rPr>
                <w:b/>
                <w:bCs/>
                <w:sz w:val="20"/>
              </w:rPr>
            </w:pPr>
            <w:r>
              <w:rPr>
                <w:i/>
                <w:iCs/>
                <w:sz w:val="20"/>
              </w:rPr>
              <w:t xml:space="preserve">“It’s inertia really. It would be </w:t>
            </w:r>
            <w:r>
              <w:rPr>
                <w:i/>
                <w:iCs/>
                <w:sz w:val="20"/>
                <w:u w:val="single"/>
              </w:rPr>
              <w:t>quite a lot of faff, and I can’t see why</w:t>
            </w:r>
            <w:r>
              <w:rPr>
                <w:sz w:val="20"/>
              </w:rPr>
              <w:t>.” (Female 5, 55yrs+)</w:t>
            </w:r>
          </w:p>
          <w:p w:rsidR="00DC19F1" w:rsidRDefault="00DC19F1">
            <w:pPr>
              <w:pStyle w:val="BodyText"/>
              <w:spacing w:line="240" w:lineRule="auto"/>
              <w:rPr>
                <w:i/>
                <w:iCs/>
                <w:sz w:val="20"/>
              </w:rPr>
            </w:pPr>
          </w:p>
          <w:p w:rsidR="00DC19F1" w:rsidRDefault="00DC19F1">
            <w:pPr>
              <w:pStyle w:val="BodyText"/>
              <w:spacing w:line="240" w:lineRule="auto"/>
              <w:rPr>
                <w:i/>
                <w:iCs/>
                <w:sz w:val="20"/>
              </w:rPr>
            </w:pPr>
            <w:r>
              <w:rPr>
                <w:i/>
                <w:iCs/>
                <w:sz w:val="20"/>
              </w:rPr>
              <w:t xml:space="preserve">“I look at them but I just think they don’t give me </w:t>
            </w:r>
            <w:r>
              <w:rPr>
                <w:i/>
                <w:iCs/>
                <w:sz w:val="20"/>
                <w:u w:val="single"/>
              </w:rPr>
              <w:t>enough incentive to move</w:t>
            </w:r>
            <w:r>
              <w:rPr>
                <w:i/>
                <w:iCs/>
                <w:sz w:val="20"/>
              </w:rPr>
              <w:t>”</w:t>
            </w:r>
          </w:p>
          <w:p w:rsidR="00DC19F1" w:rsidRDefault="00DC19F1">
            <w:pPr>
              <w:pStyle w:val="BodyText"/>
              <w:spacing w:line="240" w:lineRule="auto"/>
              <w:rPr>
                <w:i/>
                <w:iCs/>
                <w:sz w:val="20"/>
              </w:rPr>
            </w:pPr>
            <w:r>
              <w:rPr>
                <w:sz w:val="20"/>
              </w:rPr>
              <w:t xml:space="preserve"> (Female 7, 35-44yrs mother, working part-time in high technology)</w:t>
            </w:r>
          </w:p>
          <w:p w:rsidR="00DC19F1" w:rsidRDefault="00DC19F1">
            <w:pPr>
              <w:pStyle w:val="BodyText"/>
              <w:spacing w:line="240" w:lineRule="auto"/>
              <w:rPr>
                <w:b/>
                <w:bCs/>
                <w:sz w:val="20"/>
              </w:rPr>
            </w:pPr>
          </w:p>
        </w:tc>
      </w:tr>
    </w:tbl>
    <w:p w:rsidR="00DC19F1" w:rsidRDefault="00DC19F1">
      <w:pPr>
        <w:pStyle w:val="BodyText"/>
        <w:spacing w:line="240" w:lineRule="auto"/>
        <w:rPr>
          <w:b/>
          <w:bCs/>
        </w:rPr>
      </w:pPr>
    </w:p>
    <w:p w:rsidR="00DC19F1" w:rsidRDefault="00DC19F1">
      <w:pPr>
        <w:pStyle w:val="BodyText"/>
        <w:spacing w:line="240" w:lineRule="auto"/>
        <w:rPr>
          <w:b/>
          <w:bCs/>
        </w:rPr>
      </w:pPr>
    </w:p>
    <w:p w:rsidR="00DC19F1" w:rsidRDefault="00DC19F1">
      <w:pPr>
        <w:pStyle w:val="Heading2"/>
        <w:rPr>
          <w:lang w:val="en-GB"/>
        </w:rPr>
      </w:pPr>
    </w:p>
    <w:p w:rsidR="00DC19F1" w:rsidRDefault="00DC19F1">
      <w:pPr>
        <w:pStyle w:val="Heading2"/>
        <w:rPr>
          <w:lang w:val="en-GB"/>
        </w:rPr>
      </w:pPr>
    </w:p>
    <w:p w:rsidR="00DC19F1" w:rsidRDefault="00DC19F1"/>
    <w:p w:rsidR="00DC19F1" w:rsidRDefault="00DC19F1"/>
    <w:p w:rsidR="00DC19F1" w:rsidRDefault="00DC19F1"/>
    <w:p w:rsidR="00DC19F1" w:rsidRDefault="00DC19F1"/>
    <w:p w:rsidR="00DC19F1" w:rsidRDefault="00DC19F1"/>
    <w:p w:rsidR="00DC19F1" w:rsidRDefault="00DC19F1"/>
    <w:p w:rsidR="00DC19F1" w:rsidRDefault="00DC19F1"/>
    <w:p w:rsidR="00DC19F1" w:rsidRDefault="00DC19F1">
      <w:pPr>
        <w:pStyle w:val="Caption"/>
      </w:pPr>
      <w:bookmarkStart w:id="46" w:name="_Toc113078009"/>
      <w:r>
        <w:rPr>
          <w:b w:val="0"/>
          <w:bCs w:val="0"/>
          <w:sz w:val="24"/>
          <w:szCs w:val="24"/>
        </w:rPr>
        <w:br w:type="page"/>
      </w:r>
      <w:bookmarkStart w:id="47" w:name="_Toc113105185"/>
      <w:r>
        <w:lastRenderedPageBreak/>
        <w:t xml:space="preserve">Table </w:t>
      </w:r>
      <w:fldSimple w:instr=" SEQ Table \* ARABIC ">
        <w:r w:rsidR="00FA61D1">
          <w:rPr>
            <w:noProof/>
          </w:rPr>
          <w:t>8</w:t>
        </w:r>
      </w:fldSimple>
      <w:r>
        <w:t>: Extracts from Prisoner and Temporary Hostage data</w:t>
      </w:r>
      <w:bookmarkEnd w:id="46"/>
      <w:bookmarkEnd w:id="47"/>
    </w:p>
    <w:p w:rsidR="00DC19F1" w:rsidRDefault="00DC19F1">
      <w:pPr>
        <w:pStyle w:val="BodyText"/>
        <w:spacing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74"/>
        <w:gridCol w:w="4194"/>
      </w:tblGrid>
      <w:tr w:rsidR="00DC19F1">
        <w:tblPrEx>
          <w:tblCellMar>
            <w:top w:w="0" w:type="dxa"/>
            <w:bottom w:w="0" w:type="dxa"/>
          </w:tblCellMar>
        </w:tblPrEx>
        <w:trPr>
          <w:trHeight w:val="1972"/>
        </w:trPr>
        <w:tc>
          <w:tcPr>
            <w:tcW w:w="4374" w:type="dxa"/>
          </w:tcPr>
          <w:p w:rsidR="00DC19F1" w:rsidRDefault="00DC19F1">
            <w:pPr>
              <w:pStyle w:val="BodyText"/>
              <w:spacing w:line="240" w:lineRule="auto"/>
              <w:rPr>
                <w:b/>
                <w:bCs/>
                <w:sz w:val="20"/>
              </w:rPr>
            </w:pPr>
            <w:r>
              <w:rPr>
                <w:b/>
                <w:bCs/>
                <w:sz w:val="20"/>
              </w:rPr>
              <w:t>Prisoner</w:t>
            </w:r>
          </w:p>
          <w:p w:rsidR="00DC19F1" w:rsidRDefault="00DC19F1">
            <w:pPr>
              <w:pStyle w:val="BodyText"/>
              <w:spacing w:line="240" w:lineRule="auto"/>
              <w:rPr>
                <w:b/>
                <w:bCs/>
                <w:sz w:val="20"/>
              </w:rPr>
            </w:pPr>
          </w:p>
          <w:p w:rsidR="00DC19F1" w:rsidRDefault="00DC19F1">
            <w:pPr>
              <w:pStyle w:val="BodyText"/>
              <w:spacing w:line="240" w:lineRule="auto"/>
              <w:rPr>
                <w:sz w:val="20"/>
                <w:u w:val="single"/>
              </w:rPr>
            </w:pPr>
            <w:r>
              <w:rPr>
                <w:sz w:val="20"/>
                <w:u w:val="single"/>
              </w:rPr>
              <w:t>Customers</w:t>
            </w:r>
          </w:p>
          <w:p w:rsidR="00DC19F1" w:rsidRDefault="00DC19F1">
            <w:pPr>
              <w:pStyle w:val="BodyText"/>
              <w:spacing w:line="240" w:lineRule="auto"/>
              <w:rPr>
                <w:b/>
                <w:bCs/>
                <w:i/>
                <w:iCs/>
                <w:sz w:val="20"/>
              </w:rPr>
            </w:pPr>
            <w:r>
              <w:rPr>
                <w:i/>
                <w:iCs/>
                <w:sz w:val="20"/>
              </w:rPr>
              <w:t xml:space="preserve">“My problem at the moment because of all the problems last summer, </w:t>
            </w:r>
            <w:r>
              <w:rPr>
                <w:i/>
                <w:iCs/>
                <w:sz w:val="20"/>
                <w:u w:val="single"/>
              </w:rPr>
              <w:t>I don’t think anyone will take me on</w:t>
            </w:r>
            <w:r>
              <w:rPr>
                <w:i/>
                <w:iCs/>
                <w:sz w:val="20"/>
              </w:rPr>
              <w:t>.”</w:t>
            </w:r>
            <w:r>
              <w:rPr>
                <w:b/>
                <w:bCs/>
                <w:i/>
                <w:iCs/>
                <w:sz w:val="20"/>
              </w:rPr>
              <w:t xml:space="preserve"> </w:t>
            </w:r>
            <w:r>
              <w:rPr>
                <w:sz w:val="20"/>
              </w:rPr>
              <w:t>(Male 4, 25-34yrs, B)</w:t>
            </w:r>
            <w:r>
              <w:rPr>
                <w:b/>
                <w:bCs/>
                <w:i/>
                <w:iCs/>
                <w:sz w:val="20"/>
              </w:rPr>
              <w:t xml:space="preserve"> </w:t>
            </w:r>
          </w:p>
          <w:p w:rsidR="00DC19F1" w:rsidRDefault="00DC19F1">
            <w:pPr>
              <w:pStyle w:val="BodyText"/>
              <w:spacing w:line="240" w:lineRule="auto"/>
              <w:rPr>
                <w:iCs/>
                <w:sz w:val="20"/>
              </w:rPr>
            </w:pPr>
          </w:p>
          <w:p w:rsidR="00DC19F1" w:rsidRDefault="00DC19F1">
            <w:pPr>
              <w:pStyle w:val="BodyText"/>
              <w:spacing w:line="240" w:lineRule="auto"/>
              <w:rPr>
                <w:iCs/>
                <w:sz w:val="20"/>
              </w:rPr>
            </w:pPr>
            <w:r>
              <w:rPr>
                <w:i/>
                <w:sz w:val="20"/>
              </w:rPr>
              <w:t xml:space="preserve">“The way things are going I would definitely flipping move, change over ...The main banks, unless you walk in there with a fat cheque, they’re </w:t>
            </w:r>
            <w:r>
              <w:rPr>
                <w:i/>
                <w:sz w:val="20"/>
                <w:u w:val="single"/>
              </w:rPr>
              <w:t>not too receptive</w:t>
            </w:r>
            <w:r>
              <w:rPr>
                <w:i/>
                <w:sz w:val="20"/>
              </w:rPr>
              <w:t xml:space="preserve"> of having you as one of their clientele.”</w:t>
            </w:r>
            <w:r>
              <w:rPr>
                <w:iCs/>
                <w:sz w:val="20"/>
              </w:rPr>
              <w:t xml:space="preserve"> (Male 1, 34-45yrs, E) </w:t>
            </w:r>
          </w:p>
          <w:p w:rsidR="00DC19F1" w:rsidRDefault="00DC19F1">
            <w:pPr>
              <w:pStyle w:val="BodyText"/>
              <w:spacing w:line="240" w:lineRule="auto"/>
              <w:rPr>
                <w:iCs/>
                <w:sz w:val="20"/>
              </w:rPr>
            </w:pPr>
          </w:p>
          <w:p w:rsidR="00DC19F1" w:rsidRDefault="00DC19F1">
            <w:pPr>
              <w:pStyle w:val="BodyText"/>
              <w:spacing w:line="240" w:lineRule="auto"/>
              <w:rPr>
                <w:iCs/>
                <w:sz w:val="20"/>
                <w:u w:val="single"/>
              </w:rPr>
            </w:pPr>
            <w:r>
              <w:rPr>
                <w:iCs/>
                <w:sz w:val="20"/>
                <w:u w:val="single"/>
              </w:rPr>
              <w:t>Practitioners</w:t>
            </w:r>
          </w:p>
          <w:p w:rsidR="00DC19F1" w:rsidRDefault="00DC19F1">
            <w:pPr>
              <w:pStyle w:val="BodyText"/>
              <w:spacing w:line="240" w:lineRule="auto"/>
              <w:rPr>
                <w:i/>
                <w:iCs/>
                <w:sz w:val="20"/>
              </w:rPr>
            </w:pPr>
            <w:r>
              <w:rPr>
                <w:i/>
                <w:sz w:val="20"/>
              </w:rPr>
              <w:t xml:space="preserve">“Credit scoring and even judgmental lending </w:t>
            </w:r>
            <w:r>
              <w:rPr>
                <w:i/>
                <w:sz w:val="20"/>
                <w:u w:val="single"/>
              </w:rPr>
              <w:t>penalise</w:t>
            </w:r>
            <w:r>
              <w:rPr>
                <w:i/>
                <w:sz w:val="20"/>
              </w:rPr>
              <w:t xml:space="preserve"> restless</w:t>
            </w:r>
            <w:r>
              <w:rPr>
                <w:b/>
                <w:bCs/>
                <w:i/>
                <w:sz w:val="20"/>
              </w:rPr>
              <w:t xml:space="preserve"> </w:t>
            </w:r>
            <w:r>
              <w:rPr>
                <w:i/>
                <w:sz w:val="20"/>
              </w:rPr>
              <w:t>customers heavily: if you haven’t been in the same house for several years, in the same job, with the same bank and you want to borrow money: the standard answer is ‘no’!”</w:t>
            </w:r>
            <w:r>
              <w:rPr>
                <w:iCs/>
                <w:sz w:val="20"/>
              </w:rPr>
              <w:t xml:space="preserve"> (Senior banker, HQ of a leading UK High Street bank)</w:t>
            </w:r>
          </w:p>
        </w:tc>
        <w:tc>
          <w:tcPr>
            <w:tcW w:w="4194" w:type="dxa"/>
          </w:tcPr>
          <w:p w:rsidR="00DC19F1" w:rsidRDefault="00DC19F1">
            <w:pPr>
              <w:pStyle w:val="BodyText"/>
              <w:spacing w:line="240" w:lineRule="auto"/>
              <w:rPr>
                <w:b/>
                <w:bCs/>
                <w:sz w:val="20"/>
              </w:rPr>
            </w:pPr>
            <w:r>
              <w:rPr>
                <w:b/>
                <w:bCs/>
                <w:sz w:val="20"/>
              </w:rPr>
              <w:t>Temporary Hostage</w:t>
            </w:r>
          </w:p>
          <w:p w:rsidR="00DC19F1" w:rsidRDefault="00DC19F1">
            <w:pPr>
              <w:pStyle w:val="BodyText"/>
              <w:spacing w:line="240" w:lineRule="auto"/>
              <w:rPr>
                <w:b/>
                <w:bCs/>
                <w:sz w:val="20"/>
              </w:rPr>
            </w:pPr>
          </w:p>
          <w:p w:rsidR="00DC19F1" w:rsidRDefault="00DC19F1">
            <w:pPr>
              <w:pStyle w:val="BodyText"/>
              <w:spacing w:line="240" w:lineRule="auto"/>
              <w:rPr>
                <w:sz w:val="20"/>
                <w:u w:val="single"/>
              </w:rPr>
            </w:pPr>
            <w:r>
              <w:rPr>
                <w:sz w:val="20"/>
                <w:u w:val="single"/>
              </w:rPr>
              <w:t>Customers</w:t>
            </w:r>
          </w:p>
          <w:p w:rsidR="00DC19F1" w:rsidRDefault="00DC19F1">
            <w:pPr>
              <w:pStyle w:val="BodyText"/>
              <w:spacing w:line="240" w:lineRule="auto"/>
              <w:rPr>
                <w:i/>
                <w:iCs/>
                <w:sz w:val="20"/>
                <w:u w:val="single"/>
              </w:rPr>
            </w:pPr>
            <w:r>
              <w:rPr>
                <w:sz w:val="20"/>
              </w:rPr>
              <w:t>(Female, nanny Piii, 21 yrs feels free to move at some point despite a loan, because:)</w:t>
            </w:r>
            <w:r>
              <w:rPr>
                <w:i/>
                <w:iCs/>
                <w:sz w:val="20"/>
              </w:rPr>
              <w:t xml:space="preserve"> “I pay my loan when it’s due and I have </w:t>
            </w:r>
            <w:r>
              <w:rPr>
                <w:i/>
                <w:iCs/>
                <w:sz w:val="20"/>
                <w:u w:val="single"/>
              </w:rPr>
              <w:t>no complaints, nor have they</w:t>
            </w:r>
            <w:r>
              <w:rPr>
                <w:i/>
                <w:iCs/>
                <w:sz w:val="20"/>
              </w:rPr>
              <w:t xml:space="preserve">” </w:t>
            </w:r>
          </w:p>
          <w:p w:rsidR="00DC19F1" w:rsidRDefault="00DC19F1">
            <w:pPr>
              <w:pStyle w:val="BodyText"/>
              <w:spacing w:line="240" w:lineRule="auto"/>
              <w:rPr>
                <w:i/>
                <w:iCs/>
                <w:sz w:val="20"/>
              </w:rPr>
            </w:pPr>
          </w:p>
          <w:p w:rsidR="00DC19F1" w:rsidRDefault="00DC19F1">
            <w:pPr>
              <w:pStyle w:val="BodyText"/>
              <w:spacing w:line="240" w:lineRule="auto"/>
              <w:rPr>
                <w:sz w:val="20"/>
                <w:u w:val="single"/>
              </w:rPr>
            </w:pPr>
            <w:r>
              <w:rPr>
                <w:sz w:val="20"/>
                <w:u w:val="single"/>
              </w:rPr>
              <w:t>Practitioners</w:t>
            </w:r>
          </w:p>
          <w:p w:rsidR="00DC19F1" w:rsidRDefault="00DC19F1">
            <w:pPr>
              <w:pStyle w:val="BodyText"/>
              <w:spacing w:line="240" w:lineRule="auto"/>
              <w:rPr>
                <w:sz w:val="20"/>
              </w:rPr>
            </w:pPr>
            <w:r>
              <w:rPr>
                <w:i/>
                <w:iCs/>
                <w:sz w:val="20"/>
              </w:rPr>
              <w:t xml:space="preserve">“Direct debits, that’s not commitment, that’s just of a long-term nature, as opposed to </w:t>
            </w:r>
            <w:r>
              <w:rPr>
                <w:i/>
                <w:iCs/>
                <w:sz w:val="20"/>
                <w:u w:val="single"/>
              </w:rPr>
              <w:t>whether they want to or not</w:t>
            </w:r>
            <w:r>
              <w:rPr>
                <w:i/>
                <w:iCs/>
                <w:sz w:val="20"/>
              </w:rPr>
              <w:t>. ”</w:t>
            </w:r>
            <w:r>
              <w:rPr>
                <w:sz w:val="20"/>
              </w:rPr>
              <w:t xml:space="preserve"> (Dm Agency)</w:t>
            </w:r>
          </w:p>
          <w:p w:rsidR="00DC19F1" w:rsidRDefault="00DC19F1">
            <w:pPr>
              <w:pStyle w:val="BodyText"/>
              <w:spacing w:line="240" w:lineRule="auto"/>
              <w:rPr>
                <w:sz w:val="20"/>
              </w:rPr>
            </w:pPr>
          </w:p>
          <w:p w:rsidR="00DC19F1" w:rsidRDefault="00DC19F1">
            <w:pPr>
              <w:pStyle w:val="BodyText"/>
              <w:spacing w:line="240" w:lineRule="auto"/>
              <w:rPr>
                <w:b/>
                <w:bCs/>
                <w:sz w:val="20"/>
              </w:rPr>
            </w:pPr>
            <w:r>
              <w:rPr>
                <w:i/>
                <w:iCs/>
                <w:sz w:val="20"/>
              </w:rPr>
              <w:t xml:space="preserve">“There is a danger that you create </w:t>
            </w:r>
            <w:r>
              <w:rPr>
                <w:i/>
                <w:iCs/>
                <w:sz w:val="20"/>
                <w:u w:val="single"/>
              </w:rPr>
              <w:t>prisoners</w:t>
            </w:r>
            <w:r>
              <w:rPr>
                <w:i/>
                <w:iCs/>
                <w:sz w:val="20"/>
              </w:rPr>
              <w:t xml:space="preserve">; that the actual grip is the emotional commitment not your structural commitment. </w:t>
            </w:r>
            <w:r>
              <w:rPr>
                <w:i/>
                <w:iCs/>
                <w:sz w:val="20"/>
                <w:u w:val="single"/>
              </w:rPr>
              <w:t>Prisoners</w:t>
            </w:r>
            <w:r>
              <w:rPr>
                <w:i/>
                <w:iCs/>
                <w:sz w:val="20"/>
              </w:rPr>
              <w:t xml:space="preserve"> would be people… on a direct debit…owes them £1,000 hasn’t got the money and </w:t>
            </w:r>
            <w:r>
              <w:rPr>
                <w:i/>
                <w:iCs/>
                <w:sz w:val="20"/>
                <w:u w:val="single"/>
              </w:rPr>
              <w:t>hasn’t got any choice but to keep</w:t>
            </w:r>
            <w:r>
              <w:rPr>
                <w:i/>
                <w:iCs/>
                <w:sz w:val="20"/>
              </w:rPr>
              <w:t xml:space="preserve"> the [credit] card.” </w:t>
            </w:r>
            <w:r>
              <w:rPr>
                <w:sz w:val="20"/>
              </w:rPr>
              <w:t>(Branding expert/Agency director)</w:t>
            </w:r>
          </w:p>
          <w:p w:rsidR="00DC19F1" w:rsidRDefault="00DC19F1">
            <w:pPr>
              <w:pStyle w:val="BodyText"/>
              <w:spacing w:line="240" w:lineRule="auto"/>
              <w:rPr>
                <w:i/>
                <w:iCs/>
                <w:sz w:val="20"/>
              </w:rPr>
            </w:pPr>
          </w:p>
        </w:tc>
      </w:tr>
    </w:tbl>
    <w:p w:rsidR="00DC19F1" w:rsidRDefault="00DC19F1">
      <w:pPr>
        <w:pStyle w:val="BodyText"/>
      </w:pPr>
    </w:p>
    <w:p w:rsidR="00DC19F1" w:rsidRDefault="00DC19F1">
      <w:pPr>
        <w:pStyle w:val="BodyText"/>
      </w:pPr>
    </w:p>
    <w:p w:rsidR="00DC19F1" w:rsidRDefault="00DC19F1">
      <w:pPr>
        <w:pStyle w:val="Heading1"/>
      </w:pPr>
      <w:r>
        <w:br w:type="page"/>
      </w:r>
      <w:bookmarkStart w:id="48" w:name="_Toc113078010"/>
      <w:bookmarkStart w:id="49" w:name="_Toc132368274"/>
      <w:r>
        <w:lastRenderedPageBreak/>
        <w:t xml:space="preserve">APPENDIX B: </w:t>
      </w:r>
      <w:bookmarkEnd w:id="48"/>
      <w:r>
        <w:t>CONSUMER BANKING SERVICES PROVIDER BRAND COMMITMENT SCALE</w:t>
      </w:r>
      <w:bookmarkEnd w:id="49"/>
    </w:p>
    <w:p w:rsidR="00DC19F1" w:rsidRDefault="00DC19F1"/>
    <w:p w:rsidR="00DC19F1" w:rsidRDefault="00DC19F1">
      <w:pPr>
        <w:pStyle w:val="BodyText"/>
        <w:rPr>
          <w:b/>
          <w:bCs/>
          <w:sz w:val="24"/>
        </w:rPr>
      </w:pPr>
      <w:r>
        <w:rPr>
          <w:b/>
          <w:bCs/>
          <w:sz w:val="24"/>
        </w:rPr>
        <w:t>STATED COMMITMENT</w:t>
      </w:r>
    </w:p>
    <w:p w:rsidR="00DC19F1" w:rsidRDefault="00DC19F1">
      <w:pPr>
        <w:spacing w:line="360" w:lineRule="auto"/>
        <w:rPr>
          <w:sz w:val="22"/>
        </w:rPr>
      </w:pPr>
    </w:p>
    <w:p w:rsidR="00DC19F1" w:rsidRDefault="00DC19F1">
      <w:pPr>
        <w:spacing w:line="360" w:lineRule="auto"/>
        <w:rPr>
          <w:sz w:val="22"/>
        </w:rPr>
      </w:pPr>
      <w:r>
        <w:rPr>
          <w:sz w:val="22"/>
        </w:rPr>
        <w:t>1S. I have seriously considered changing banks from my current main bank. [R]</w:t>
      </w:r>
    </w:p>
    <w:p w:rsidR="00DC19F1" w:rsidRDefault="00DC19F1">
      <w:pPr>
        <w:spacing w:line="360" w:lineRule="auto"/>
        <w:rPr>
          <w:sz w:val="22"/>
        </w:rPr>
      </w:pPr>
    </w:p>
    <w:p w:rsidR="00DC19F1" w:rsidRDefault="00DC19F1">
      <w:pPr>
        <w:spacing w:line="360" w:lineRule="auto"/>
        <w:rPr>
          <w:sz w:val="22"/>
        </w:rPr>
      </w:pPr>
      <w:r>
        <w:rPr>
          <w:sz w:val="22"/>
        </w:rPr>
        <w:t>2S. I consider myself to be highly committed to this bank. [Derived from Beatty and Kahle, 1988]</w:t>
      </w:r>
    </w:p>
    <w:p w:rsidR="00DC19F1" w:rsidRDefault="00DC19F1">
      <w:pPr>
        <w:pStyle w:val="BodyText"/>
        <w:ind w:left="360"/>
      </w:pPr>
    </w:p>
    <w:p w:rsidR="00DC19F1" w:rsidRDefault="00DC19F1">
      <w:pPr>
        <w:spacing w:line="360" w:lineRule="auto"/>
        <w:rPr>
          <w:b/>
          <w:bCs/>
          <w:sz w:val="22"/>
        </w:rPr>
      </w:pPr>
      <w:r>
        <w:rPr>
          <w:b/>
          <w:bCs/>
          <w:sz w:val="22"/>
        </w:rPr>
        <w:t>INTENTION TO STAY</w:t>
      </w:r>
    </w:p>
    <w:p w:rsidR="00DC19F1" w:rsidRDefault="00DC19F1">
      <w:pPr>
        <w:spacing w:line="360" w:lineRule="auto"/>
        <w:rPr>
          <w:sz w:val="22"/>
        </w:rPr>
      </w:pPr>
      <w:r>
        <w:rPr>
          <w:sz w:val="22"/>
        </w:rPr>
        <w:t xml:space="preserve">3I. I wish to discontinue my relationship with this bank. [R - Sanchez and Iniesta, 2004, reversed] </w:t>
      </w:r>
    </w:p>
    <w:p w:rsidR="00DC19F1" w:rsidRDefault="00DC19F1">
      <w:pPr>
        <w:spacing w:line="360" w:lineRule="auto"/>
        <w:rPr>
          <w:sz w:val="22"/>
        </w:rPr>
      </w:pPr>
    </w:p>
    <w:p w:rsidR="00DC19F1" w:rsidRDefault="00DC19F1">
      <w:pPr>
        <w:spacing w:line="360" w:lineRule="auto"/>
        <w:rPr>
          <w:sz w:val="22"/>
          <w:lang w:val="en-US"/>
        </w:rPr>
      </w:pPr>
      <w:r>
        <w:rPr>
          <w:sz w:val="22"/>
        </w:rPr>
        <w:t xml:space="preserve">4I. I intend to stay with this bank for the foreseeable future. </w:t>
      </w:r>
      <w:r>
        <w:rPr>
          <w:sz w:val="22"/>
          <w:lang w:val="en-US"/>
        </w:rPr>
        <w:t>[Kumar, Hibbard and Stern, 1994]</w:t>
      </w:r>
    </w:p>
    <w:p w:rsidR="00DC19F1" w:rsidRDefault="00DC19F1">
      <w:pPr>
        <w:spacing w:line="360" w:lineRule="auto"/>
        <w:rPr>
          <w:sz w:val="22"/>
          <w:lang w:val="en-US"/>
        </w:rPr>
      </w:pPr>
    </w:p>
    <w:p w:rsidR="00DC19F1" w:rsidRDefault="00DC19F1">
      <w:pPr>
        <w:pStyle w:val="BodyText"/>
        <w:rPr>
          <w:b/>
          <w:bCs/>
          <w:sz w:val="24"/>
        </w:rPr>
      </w:pPr>
      <w:r>
        <w:rPr>
          <w:b/>
          <w:bCs/>
          <w:sz w:val="24"/>
        </w:rPr>
        <w:t>RESISTANCE</w:t>
      </w:r>
    </w:p>
    <w:p w:rsidR="00DC19F1" w:rsidRDefault="00DC19F1">
      <w:pPr>
        <w:pStyle w:val="BodyText"/>
      </w:pPr>
      <w:r>
        <w:t>5R. I would be reluctant to leave this bank as it has a lot to offer. [Bloemer and de Ruyter, 1999]</w:t>
      </w:r>
    </w:p>
    <w:p w:rsidR="00DC19F1" w:rsidRDefault="00DC19F1">
      <w:pPr>
        <w:spacing w:line="360" w:lineRule="auto"/>
        <w:rPr>
          <w:sz w:val="22"/>
        </w:rPr>
      </w:pPr>
    </w:p>
    <w:p w:rsidR="00DC19F1" w:rsidRDefault="00DC19F1">
      <w:pPr>
        <w:pStyle w:val="BodyText"/>
      </w:pPr>
      <w:r>
        <w:t xml:space="preserve">6R. At this point in time, my </w:t>
      </w:r>
      <w:r>
        <w:rPr>
          <w:i/>
          <w:iCs/>
        </w:rPr>
        <w:t>strong preference</w:t>
      </w:r>
      <w:r>
        <w:t xml:space="preserve"> for this bank makes me feel it is </w:t>
      </w:r>
      <w:r>
        <w:rPr>
          <w:i/>
          <w:iCs/>
        </w:rPr>
        <w:t>essential</w:t>
      </w:r>
      <w:r>
        <w:t xml:space="preserve"> for me to remain a customer of this bank. </w:t>
      </w:r>
    </w:p>
    <w:p w:rsidR="00DC19F1" w:rsidRDefault="00DC19F1">
      <w:pPr>
        <w:pStyle w:val="BodyText"/>
      </w:pPr>
    </w:p>
    <w:p w:rsidR="00DC19F1" w:rsidRDefault="00DC19F1">
      <w:pPr>
        <w:pStyle w:val="BodyText"/>
      </w:pPr>
      <w:r>
        <w:t>7R. I would consider moving my main current account away from my present provider if I knew of another provider of banking services that offered a more personalised service. [R]</w:t>
      </w:r>
    </w:p>
    <w:p w:rsidR="00DC19F1" w:rsidRDefault="00DC19F1">
      <w:pPr>
        <w:pStyle w:val="BodyText2"/>
        <w:rPr>
          <w:sz w:val="22"/>
        </w:rPr>
      </w:pPr>
    </w:p>
    <w:p w:rsidR="00DC19F1" w:rsidRDefault="00DC19F1">
      <w:pPr>
        <w:pStyle w:val="BodyText2"/>
        <w:rPr>
          <w:i w:val="0"/>
          <w:iCs w:val="0"/>
          <w:sz w:val="22"/>
        </w:rPr>
      </w:pPr>
      <w:r>
        <w:rPr>
          <w:i w:val="0"/>
          <w:iCs w:val="0"/>
          <w:sz w:val="22"/>
        </w:rPr>
        <w:t xml:space="preserve">8R. Even if I knew of the existence of other banks that offered better conditions or rates, I would keep my main current account at this bank for the foreseeable future. </w:t>
      </w:r>
    </w:p>
    <w:p w:rsidR="00DC19F1" w:rsidRDefault="00DC19F1">
      <w:pPr>
        <w:spacing w:line="360" w:lineRule="auto"/>
        <w:rPr>
          <w:sz w:val="22"/>
        </w:rPr>
      </w:pPr>
      <w:r>
        <w:rPr>
          <w:sz w:val="22"/>
        </w:rPr>
        <w:t>[</w:t>
      </w:r>
      <w:r>
        <w:rPr>
          <w:sz w:val="22"/>
          <w:u w:val="single"/>
        </w:rPr>
        <w:t>Adapted from</w:t>
      </w:r>
      <w:r>
        <w:rPr>
          <w:sz w:val="22"/>
        </w:rPr>
        <w:t xml:space="preserve"> Sanchez and Iniesta, 2004 derived from Allen and Meyer, 1990; Anderson and Weitz, 1992]</w:t>
      </w:r>
    </w:p>
    <w:p w:rsidR="00DC19F1" w:rsidRDefault="00DC19F1">
      <w:pPr>
        <w:spacing w:line="360" w:lineRule="auto"/>
        <w:rPr>
          <w:sz w:val="22"/>
        </w:rPr>
      </w:pPr>
    </w:p>
    <w:p w:rsidR="00DC19F1" w:rsidRDefault="00DC19F1">
      <w:pPr>
        <w:pStyle w:val="BodyText"/>
      </w:pPr>
      <w:r>
        <w:rPr>
          <w:b/>
          <w:bCs/>
        </w:rPr>
        <w:t>AFFECTIVE COMMITMENT</w:t>
      </w:r>
    </w:p>
    <w:p w:rsidR="00DC19F1" w:rsidRDefault="00DC19F1">
      <w:pPr>
        <w:pStyle w:val="BodyText"/>
      </w:pPr>
      <w:r>
        <w:t xml:space="preserve">9A. I would </w:t>
      </w:r>
      <w:r>
        <w:rPr>
          <w:u w:val="single"/>
        </w:rPr>
        <w:t>not</w:t>
      </w:r>
      <w:r>
        <w:t xml:space="preserve"> consider leaving this bank because I am happy with the service. </w:t>
      </w:r>
    </w:p>
    <w:p w:rsidR="00DC19F1" w:rsidRDefault="00DC19F1">
      <w:pPr>
        <w:pStyle w:val="BodyText"/>
      </w:pPr>
    </w:p>
    <w:p w:rsidR="00DC19F1" w:rsidRDefault="00DC19F1">
      <w:pPr>
        <w:pStyle w:val="BodyText"/>
      </w:pPr>
      <w:r>
        <w:t xml:space="preserve">10A. (My </w:t>
      </w:r>
      <w:r>
        <w:rPr>
          <w:i/>
          <w:iCs/>
        </w:rPr>
        <w:t>positive feelings</w:t>
      </w:r>
      <w:r>
        <w:t xml:space="preserve"> for this bank mean…)</w:t>
      </w:r>
    </w:p>
    <w:p w:rsidR="00DC19F1" w:rsidRDefault="00DC19F1">
      <w:pPr>
        <w:pStyle w:val="BodyText"/>
      </w:pPr>
      <w:r>
        <w:t>I believe there is absolutely no substitute for this bank.</w:t>
      </w:r>
    </w:p>
    <w:p w:rsidR="00DC19F1" w:rsidRDefault="00DC19F1">
      <w:pPr>
        <w:pStyle w:val="BodyText"/>
      </w:pPr>
    </w:p>
    <w:p w:rsidR="00DC19F1" w:rsidRDefault="00DC19F1">
      <w:pPr>
        <w:pStyle w:val="BodyText"/>
        <w:rPr>
          <w:b/>
          <w:bCs/>
        </w:rPr>
      </w:pPr>
    </w:p>
    <w:p w:rsidR="00DC19F1" w:rsidRDefault="00DC19F1">
      <w:pPr>
        <w:pStyle w:val="BodyText"/>
        <w:rPr>
          <w:b/>
          <w:bCs/>
        </w:rPr>
      </w:pPr>
    </w:p>
    <w:p w:rsidR="00DC19F1" w:rsidRDefault="00DC19F1">
      <w:pPr>
        <w:pStyle w:val="BodyText"/>
        <w:rPr>
          <w:b/>
          <w:bCs/>
        </w:rPr>
      </w:pPr>
    </w:p>
    <w:p w:rsidR="00DC19F1" w:rsidRDefault="00DC19F1">
      <w:pPr>
        <w:pStyle w:val="BodyText"/>
        <w:rPr>
          <w:b/>
          <w:bCs/>
        </w:rPr>
      </w:pPr>
      <w:r>
        <w:rPr>
          <w:b/>
          <w:bCs/>
        </w:rPr>
        <w:lastRenderedPageBreak/>
        <w:t>[Self-identification]</w:t>
      </w:r>
    </w:p>
    <w:p w:rsidR="00DC19F1" w:rsidRDefault="00DC19F1">
      <w:pPr>
        <w:pStyle w:val="BodyText"/>
      </w:pPr>
      <w:r>
        <w:t xml:space="preserve">11A. My decision to remain a customer of this bank is based mainly on my attraction to things the bank stands for as a company. </w:t>
      </w:r>
    </w:p>
    <w:p w:rsidR="00DC19F1" w:rsidRDefault="00DC19F1">
      <w:pPr>
        <w:pStyle w:val="BodyText"/>
      </w:pPr>
      <w:r>
        <w:t xml:space="preserve">[Based on a Kumar et al. 1994 </w:t>
      </w:r>
      <w:r>
        <w:rPr>
          <w:i/>
          <w:iCs/>
        </w:rPr>
        <w:t>affective</w:t>
      </w:r>
      <w:r>
        <w:t xml:space="preserve"> commitment item]</w:t>
      </w:r>
    </w:p>
    <w:p w:rsidR="00DC19F1" w:rsidRDefault="00DC19F1">
      <w:pPr>
        <w:spacing w:line="360" w:lineRule="auto"/>
        <w:rPr>
          <w:sz w:val="22"/>
        </w:rPr>
      </w:pPr>
    </w:p>
    <w:p w:rsidR="00DC19F1" w:rsidRDefault="00DC19F1">
      <w:pPr>
        <w:spacing w:line="360" w:lineRule="auto"/>
        <w:rPr>
          <w:sz w:val="22"/>
        </w:rPr>
      </w:pPr>
      <w:r>
        <w:rPr>
          <w:sz w:val="22"/>
        </w:rPr>
        <w:t xml:space="preserve">12A. I prefer to stay with this bank mainly because in some way it provides me with a link with my past that I wish to preserve. </w:t>
      </w:r>
    </w:p>
    <w:p w:rsidR="00DC19F1" w:rsidRDefault="00DC19F1">
      <w:pPr>
        <w:spacing w:line="360" w:lineRule="auto"/>
        <w:rPr>
          <w:sz w:val="22"/>
        </w:rPr>
      </w:pPr>
      <w:r>
        <w:rPr>
          <w:sz w:val="22"/>
        </w:rPr>
        <w:t xml:space="preserve">(E.g. I associate it with experiences or people I have known: a firm I work/ed for; my family; where I used to live; the time when I was a student or growing up; previous bank personnel etc) </w:t>
      </w:r>
    </w:p>
    <w:p w:rsidR="00DC19F1" w:rsidRDefault="00DC19F1">
      <w:pPr>
        <w:spacing w:line="360" w:lineRule="auto"/>
        <w:rPr>
          <w:sz w:val="22"/>
        </w:rPr>
      </w:pPr>
    </w:p>
    <w:p w:rsidR="00DC19F1" w:rsidRDefault="00DC19F1">
      <w:pPr>
        <w:pStyle w:val="BodyText"/>
      </w:pPr>
      <w:r>
        <w:t>13A.This bank suits me better than other banks because it seems particularly relevant to my situation.</w:t>
      </w:r>
    </w:p>
    <w:p w:rsidR="00DC19F1" w:rsidRDefault="00DC19F1">
      <w:pPr>
        <w:pStyle w:val="BodyText"/>
      </w:pPr>
      <w:r>
        <w:t xml:space="preserve"> (E.g. This bank has some customers with similar circumstances, age, income, outlook, or life stage as me)</w:t>
      </w:r>
    </w:p>
    <w:p w:rsidR="00DC19F1" w:rsidRDefault="00DC19F1">
      <w:pPr>
        <w:spacing w:line="360" w:lineRule="auto"/>
        <w:rPr>
          <w:b/>
          <w:bCs/>
          <w:sz w:val="22"/>
        </w:rPr>
      </w:pPr>
    </w:p>
    <w:p w:rsidR="00DC19F1" w:rsidRDefault="00DC19F1">
      <w:pPr>
        <w:pStyle w:val="BodyText"/>
        <w:rPr>
          <w:b/>
          <w:bCs/>
          <w:sz w:val="24"/>
        </w:rPr>
      </w:pPr>
      <w:r>
        <w:rPr>
          <w:b/>
          <w:bCs/>
          <w:sz w:val="24"/>
        </w:rPr>
        <w:t>CALCULATIVE COMMITMENT</w:t>
      </w:r>
    </w:p>
    <w:p w:rsidR="00DC19F1" w:rsidRDefault="00DC19F1">
      <w:pPr>
        <w:pStyle w:val="BodyText"/>
        <w:rPr>
          <w:b/>
          <w:bCs/>
        </w:rPr>
      </w:pPr>
      <w:r>
        <w:rPr>
          <w:b/>
          <w:bCs/>
        </w:rPr>
        <w:t>[Temporary financial/contractual Hostage]</w:t>
      </w:r>
    </w:p>
    <w:p w:rsidR="00DC19F1" w:rsidRDefault="00DC19F1">
      <w:pPr>
        <w:spacing w:line="360" w:lineRule="auto"/>
        <w:rPr>
          <w:i/>
          <w:iCs/>
          <w:sz w:val="22"/>
        </w:rPr>
      </w:pPr>
      <w:r>
        <w:rPr>
          <w:sz w:val="22"/>
        </w:rPr>
        <w:t xml:space="preserve">14CH. At this point in time it is </w:t>
      </w:r>
      <w:r>
        <w:rPr>
          <w:i/>
          <w:iCs/>
          <w:sz w:val="22"/>
        </w:rPr>
        <w:t>essential</w:t>
      </w:r>
      <w:r>
        <w:rPr>
          <w:sz w:val="22"/>
        </w:rPr>
        <w:t xml:space="preserve"> for me to remain a customer of this bank because of</w:t>
      </w:r>
      <w:r>
        <w:rPr>
          <w:i/>
          <w:iCs/>
          <w:sz w:val="22"/>
        </w:rPr>
        <w:t xml:space="preserve"> </w:t>
      </w:r>
      <w:r>
        <w:rPr>
          <w:sz w:val="22"/>
        </w:rPr>
        <w:t>financial ties. [</w:t>
      </w:r>
      <w:r>
        <w:rPr>
          <w:sz w:val="22"/>
          <w:u w:val="single"/>
        </w:rPr>
        <w:t>Adapted from</w:t>
      </w:r>
      <w:r>
        <w:rPr>
          <w:sz w:val="22"/>
        </w:rPr>
        <w:t xml:space="preserve"> Bloemer de Ruyter, 1999]</w:t>
      </w:r>
    </w:p>
    <w:p w:rsidR="00DC19F1" w:rsidRDefault="00DC19F1">
      <w:pPr>
        <w:spacing w:line="360" w:lineRule="auto"/>
        <w:rPr>
          <w:sz w:val="22"/>
        </w:rPr>
      </w:pPr>
    </w:p>
    <w:p w:rsidR="00DC19F1" w:rsidRDefault="00DC19F1">
      <w:pPr>
        <w:spacing w:line="360" w:lineRule="auto"/>
        <w:rPr>
          <w:sz w:val="22"/>
          <w:lang w:val="fr-FR"/>
        </w:rPr>
      </w:pPr>
      <w:r>
        <w:rPr>
          <w:sz w:val="22"/>
        </w:rPr>
        <w:t xml:space="preserve">15CH. It is too </w:t>
      </w:r>
      <w:r>
        <w:rPr>
          <w:i/>
          <w:iCs/>
          <w:sz w:val="22"/>
        </w:rPr>
        <w:t>costly</w:t>
      </w:r>
      <w:r>
        <w:rPr>
          <w:sz w:val="22"/>
        </w:rPr>
        <w:t xml:space="preserve"> for me to switch bank in the next few years because I have accepted financial policies that tie me in for a certain time. </w:t>
      </w:r>
      <w:r>
        <w:rPr>
          <w:sz w:val="22"/>
          <w:lang w:val="fr-FR"/>
        </w:rPr>
        <w:t xml:space="preserve">(e.g. mortgage, deposit, pension, credit card etc) </w:t>
      </w:r>
    </w:p>
    <w:p w:rsidR="00DC19F1" w:rsidRDefault="00DC19F1">
      <w:pPr>
        <w:spacing w:line="360" w:lineRule="auto"/>
        <w:rPr>
          <w:sz w:val="22"/>
        </w:rPr>
      </w:pPr>
      <w:r>
        <w:rPr>
          <w:sz w:val="22"/>
        </w:rPr>
        <w:t>[</w:t>
      </w:r>
      <w:r>
        <w:rPr>
          <w:sz w:val="22"/>
          <w:u w:val="single"/>
        </w:rPr>
        <w:t>Adapted from</w:t>
      </w:r>
      <w:r>
        <w:rPr>
          <w:sz w:val="22"/>
        </w:rPr>
        <w:t xml:space="preserve"> Sanchez and Iniesta, 2004]</w:t>
      </w:r>
    </w:p>
    <w:p w:rsidR="00DC19F1" w:rsidRDefault="00DC19F1">
      <w:pPr>
        <w:spacing w:line="360" w:lineRule="auto"/>
        <w:rPr>
          <w:sz w:val="22"/>
        </w:rPr>
      </w:pPr>
    </w:p>
    <w:p w:rsidR="00DC19F1" w:rsidRDefault="00DC19F1">
      <w:pPr>
        <w:pStyle w:val="BodyText"/>
        <w:rPr>
          <w:b/>
          <w:bCs/>
        </w:rPr>
      </w:pPr>
      <w:r>
        <w:rPr>
          <w:b/>
          <w:bCs/>
        </w:rPr>
        <w:t>[Financial Prisoner]</w:t>
      </w:r>
    </w:p>
    <w:p w:rsidR="00DC19F1" w:rsidRDefault="00DC19F1">
      <w:pPr>
        <w:spacing w:line="360" w:lineRule="auto"/>
        <w:rPr>
          <w:sz w:val="22"/>
        </w:rPr>
      </w:pPr>
      <w:r>
        <w:rPr>
          <w:sz w:val="22"/>
        </w:rPr>
        <w:t xml:space="preserve">16CP. My personal financial history makes it </w:t>
      </w:r>
      <w:r>
        <w:rPr>
          <w:i/>
          <w:iCs/>
          <w:sz w:val="22"/>
        </w:rPr>
        <w:t>essential</w:t>
      </w:r>
      <w:r>
        <w:rPr>
          <w:sz w:val="22"/>
        </w:rPr>
        <w:t xml:space="preserve"> for me to remain at this bank for the foreseeable future; otherwise I would consider leaving.</w:t>
      </w:r>
    </w:p>
    <w:p w:rsidR="00DC19F1" w:rsidRDefault="00DC19F1">
      <w:pPr>
        <w:spacing w:line="360" w:lineRule="auto"/>
        <w:rPr>
          <w:sz w:val="22"/>
        </w:rPr>
      </w:pPr>
    </w:p>
    <w:p w:rsidR="00DC19F1" w:rsidRDefault="00DC19F1">
      <w:pPr>
        <w:pStyle w:val="BodyText"/>
      </w:pPr>
      <w:r>
        <w:t>17CP. I do not try to move banks because I believe other banks would not take me on as a customer; otherwise I would consider changing banks.</w:t>
      </w:r>
    </w:p>
    <w:p w:rsidR="00DC19F1" w:rsidRDefault="00DC19F1">
      <w:pPr>
        <w:pStyle w:val="BodyText"/>
        <w:rPr>
          <w:b/>
          <w:bCs/>
        </w:rPr>
      </w:pPr>
    </w:p>
    <w:p w:rsidR="00DC19F1" w:rsidRDefault="00DC19F1">
      <w:pPr>
        <w:pStyle w:val="BodyText"/>
        <w:rPr>
          <w:b/>
          <w:bCs/>
        </w:rPr>
      </w:pPr>
      <w:r>
        <w:rPr>
          <w:b/>
          <w:bCs/>
        </w:rPr>
        <w:t>[Inertia]</w:t>
      </w:r>
    </w:p>
    <w:p w:rsidR="00DC19F1" w:rsidRDefault="00DC19F1">
      <w:pPr>
        <w:pStyle w:val="BodyText"/>
      </w:pPr>
      <w:r>
        <w:t xml:space="preserve">18CI. If it were easy to do so, I would move my main personal banking account(s) to another provider. [Derived from Bloemer and de Ruyter, 1999 and Kumar et al., 1994] </w:t>
      </w:r>
    </w:p>
    <w:p w:rsidR="00DC19F1" w:rsidRDefault="00DC19F1">
      <w:pPr>
        <w:pStyle w:val="BodyText"/>
        <w:rPr>
          <w:b/>
          <w:bCs/>
        </w:rPr>
      </w:pPr>
    </w:p>
    <w:p w:rsidR="00DC19F1" w:rsidRDefault="00DC19F1">
      <w:pPr>
        <w:pStyle w:val="BodyText"/>
      </w:pPr>
      <w:r>
        <w:t>19CI. It is too much trouble for me to move to another bank because of the time and effort involved in changing banks; that is why I stay with this bank.</w:t>
      </w:r>
    </w:p>
    <w:p w:rsidR="00DC19F1" w:rsidRDefault="00DC19F1">
      <w:pPr>
        <w:pStyle w:val="BodyText"/>
      </w:pPr>
      <w:r>
        <w:lastRenderedPageBreak/>
        <w:t>[</w:t>
      </w:r>
      <w:r>
        <w:rPr>
          <w:u w:val="single"/>
        </w:rPr>
        <w:t>Adapted from</w:t>
      </w:r>
      <w:r>
        <w:t xml:space="preserve"> Bloemer and de Ruyter, 1999 and based on a Kumar et al., 1994 </w:t>
      </w:r>
      <w:r>
        <w:rPr>
          <w:i/>
          <w:iCs/>
        </w:rPr>
        <w:t>calculative</w:t>
      </w:r>
      <w:r>
        <w:t xml:space="preserve"> commitment item]</w:t>
      </w:r>
    </w:p>
    <w:p w:rsidR="00DC19F1" w:rsidRDefault="00DC19F1">
      <w:pPr>
        <w:spacing w:line="360" w:lineRule="auto"/>
        <w:rPr>
          <w:b/>
          <w:bCs/>
          <w:sz w:val="22"/>
          <w:u w:val="single"/>
        </w:rPr>
      </w:pPr>
    </w:p>
    <w:p w:rsidR="00DC19F1" w:rsidRDefault="00DC19F1">
      <w:pPr>
        <w:spacing w:line="360" w:lineRule="auto"/>
        <w:rPr>
          <w:sz w:val="22"/>
        </w:rPr>
      </w:pPr>
      <w:r>
        <w:rPr>
          <w:sz w:val="22"/>
        </w:rPr>
        <w:t>20CA. I do not switch to another bank because I see all banks as fairly similar on the things that are important to me.</w:t>
      </w:r>
    </w:p>
    <w:p w:rsidR="00DC19F1" w:rsidRDefault="00DC19F1">
      <w:pPr>
        <w:spacing w:line="360" w:lineRule="auto"/>
        <w:rPr>
          <w:sz w:val="22"/>
        </w:rPr>
      </w:pPr>
    </w:p>
    <w:p w:rsidR="00DC19F1" w:rsidRDefault="00DC19F1">
      <w:pPr>
        <w:spacing w:line="360" w:lineRule="auto"/>
        <w:rPr>
          <w:sz w:val="22"/>
        </w:rPr>
      </w:pPr>
      <w:r>
        <w:rPr>
          <w:sz w:val="22"/>
        </w:rPr>
        <w:t xml:space="preserve">21CA. It is not worth switching to another bank because of a lack of good alternatives; therefore I stay with the present bank; otherwise, I’d consider leaving. </w:t>
      </w:r>
    </w:p>
    <w:p w:rsidR="00DC19F1" w:rsidRDefault="00DC19F1">
      <w:pPr>
        <w:spacing w:line="360" w:lineRule="auto"/>
        <w:rPr>
          <w:sz w:val="22"/>
        </w:rPr>
      </w:pPr>
      <w:r>
        <w:rPr>
          <w:sz w:val="22"/>
        </w:rPr>
        <w:t xml:space="preserve">[Derived from amongst Kumar et al’s. 1994, </w:t>
      </w:r>
      <w:r>
        <w:rPr>
          <w:i/>
          <w:iCs/>
          <w:sz w:val="22"/>
        </w:rPr>
        <w:t>calculative</w:t>
      </w:r>
      <w:r>
        <w:rPr>
          <w:sz w:val="22"/>
        </w:rPr>
        <w:t xml:space="preserve"> commitment items]</w:t>
      </w:r>
    </w:p>
    <w:p w:rsidR="00DC19F1" w:rsidRDefault="00DC19F1">
      <w:pPr>
        <w:spacing w:line="360" w:lineRule="auto"/>
        <w:rPr>
          <w:sz w:val="22"/>
        </w:rPr>
      </w:pPr>
    </w:p>
    <w:p w:rsidR="00DC19F1" w:rsidRDefault="00DC19F1">
      <w:pPr>
        <w:spacing w:line="360" w:lineRule="auto"/>
        <w:rPr>
          <w:sz w:val="22"/>
        </w:rPr>
      </w:pPr>
      <w:r>
        <w:rPr>
          <w:b/>
          <w:bCs/>
          <w:sz w:val="22"/>
        </w:rPr>
        <w:t xml:space="preserve">WILLINGNESS TO ‘INVEST’ </w:t>
      </w:r>
    </w:p>
    <w:p w:rsidR="00DC19F1" w:rsidRDefault="00DC19F1">
      <w:pPr>
        <w:spacing w:line="360" w:lineRule="auto"/>
        <w:rPr>
          <w:sz w:val="22"/>
        </w:rPr>
      </w:pPr>
      <w:r>
        <w:rPr>
          <w:sz w:val="22"/>
        </w:rPr>
        <w:t xml:space="preserve">22B. I have recommended this bank to </w:t>
      </w:r>
      <w:r>
        <w:rPr>
          <w:i/>
          <w:iCs/>
          <w:sz w:val="22"/>
        </w:rPr>
        <w:t>approximately</w:t>
      </w:r>
      <w:r>
        <w:rPr>
          <w:sz w:val="22"/>
        </w:rPr>
        <w:t xml:space="preserve"> the following number of other people in the past:</w:t>
      </w:r>
    </w:p>
    <w:p w:rsidR="00DC19F1" w:rsidRDefault="00DC19F1">
      <w:pPr>
        <w:spacing w:line="360" w:lineRule="auto"/>
        <w:rPr>
          <w:sz w:val="22"/>
        </w:rPr>
      </w:pPr>
      <w:r>
        <w:rPr>
          <w:sz w:val="22"/>
        </w:rPr>
        <w:t xml:space="preserve">(Please tick </w:t>
      </w:r>
      <w:r>
        <w:rPr>
          <w:sz w:val="22"/>
          <w:u w:val="single"/>
        </w:rPr>
        <w:t>one</w:t>
      </w:r>
      <w:r>
        <w:rPr>
          <w:sz w:val="22"/>
        </w:rPr>
        <w:t xml:space="preserve"> box only): 0[]     1-2[]     3-5[]     6-9[]    10+[]</w:t>
      </w:r>
    </w:p>
    <w:p w:rsidR="00DC19F1" w:rsidRDefault="00DC19F1">
      <w:pPr>
        <w:spacing w:line="360" w:lineRule="auto"/>
        <w:rPr>
          <w:sz w:val="22"/>
        </w:rPr>
      </w:pPr>
    </w:p>
    <w:p w:rsidR="00DC19F1" w:rsidRDefault="00DC19F1">
      <w:pPr>
        <w:spacing w:line="360" w:lineRule="auto"/>
        <w:rPr>
          <w:sz w:val="22"/>
        </w:rPr>
      </w:pPr>
      <w:r>
        <w:rPr>
          <w:sz w:val="22"/>
        </w:rPr>
        <w:t xml:space="preserve">23B. If asked to recommend a bank, I would recommend this bank to other people.       </w:t>
      </w:r>
    </w:p>
    <w:p w:rsidR="00DC19F1" w:rsidRDefault="00DC19F1">
      <w:pPr>
        <w:pStyle w:val="BodyText"/>
      </w:pPr>
    </w:p>
    <w:p w:rsidR="00DC19F1" w:rsidRDefault="00DC19F1">
      <w:pPr>
        <w:pStyle w:val="BodyText"/>
      </w:pPr>
      <w:r>
        <w:t>24B. If I had enough money to acquire more financial products or services, I would first of all consider purchasing this bank’s offerings, before looking around.</w:t>
      </w:r>
    </w:p>
    <w:p w:rsidR="00DC19F1" w:rsidRDefault="00DC19F1">
      <w:pPr>
        <w:pStyle w:val="BodyText"/>
      </w:pPr>
    </w:p>
    <w:p w:rsidR="00DC19F1" w:rsidRDefault="00DC19F1">
      <w:pPr>
        <w:pStyle w:val="BodyText"/>
      </w:pPr>
      <w:r>
        <w:t xml:space="preserve">25B. At this bank I currently have </w:t>
      </w:r>
      <w:r>
        <w:rPr>
          <w:i/>
          <w:iCs/>
        </w:rPr>
        <w:t>more than the minimum</w:t>
      </w:r>
      <w:r>
        <w:t xml:space="preserve"> of basic financial ‘products’ or services from this </w:t>
      </w:r>
      <w:r>
        <w:rPr>
          <w:u w:val="single"/>
        </w:rPr>
        <w:t>same</w:t>
      </w:r>
      <w:r>
        <w:t xml:space="preserve"> institution. </w:t>
      </w:r>
    </w:p>
    <w:p w:rsidR="00DC19F1" w:rsidRDefault="00DC19F1">
      <w:pPr>
        <w:pStyle w:val="BodyText"/>
      </w:pPr>
    </w:p>
    <w:p w:rsidR="00DC19F1" w:rsidRDefault="00DC19F1">
      <w:pPr>
        <w:pStyle w:val="BodyText"/>
      </w:pPr>
      <w:r>
        <w:t xml:space="preserve"> (The minimum includes: a current account, cheque/switch card/debit card and overdraft facility. Additional products/services could include: higher rate savings accounts, insurances, credit card, mortgage or loans, investments, bonds, ISA, etc)</w:t>
      </w:r>
    </w:p>
    <w:p w:rsidR="00DC19F1" w:rsidRDefault="00DC19F1">
      <w:pPr>
        <w:pStyle w:val="BodyText"/>
      </w:pPr>
    </w:p>
    <w:p w:rsidR="00DC19F1" w:rsidRDefault="00DC19F1">
      <w:pPr>
        <w:pStyle w:val="BodyText"/>
      </w:pPr>
      <w:r>
        <w:t>[R] Is a reverse score item</w:t>
      </w:r>
    </w:p>
    <w:p w:rsidR="00DC19F1" w:rsidRDefault="00DC19F1">
      <w:pPr>
        <w:rPr>
          <w:b/>
          <w:bCs/>
        </w:rPr>
      </w:pPr>
    </w:p>
    <w:p w:rsidR="00DC19F1" w:rsidRDefault="00DC19F1">
      <w:pPr>
        <w:rPr>
          <w:b/>
          <w:bCs/>
          <w:lang w:val="fr-FR"/>
        </w:rPr>
      </w:pPr>
      <w:r>
        <w:rPr>
          <w:b/>
          <w:bCs/>
        </w:rPr>
        <w:br w:type="page"/>
      </w:r>
      <w:r>
        <w:rPr>
          <w:b/>
          <w:bCs/>
          <w:lang w:val="fr-FR"/>
        </w:rPr>
        <w:lastRenderedPageBreak/>
        <w:t>EXTRA ITEMS</w:t>
      </w:r>
    </w:p>
    <w:p w:rsidR="00DC19F1" w:rsidRDefault="00DC19F1">
      <w:pPr>
        <w:rPr>
          <w:b/>
          <w:bCs/>
          <w:lang w:val="fr-FR"/>
        </w:rPr>
      </w:pPr>
    </w:p>
    <w:p w:rsidR="00DC19F1" w:rsidRDefault="00DC19F1">
      <w:pPr>
        <w:rPr>
          <w:b/>
          <w:bCs/>
          <w:lang w:val="fr-FR"/>
        </w:rPr>
      </w:pPr>
    </w:p>
    <w:p w:rsidR="00DC19F1" w:rsidRDefault="00DC19F1">
      <w:pPr>
        <w:pStyle w:val="BodyText"/>
        <w:rPr>
          <w:b/>
          <w:bCs/>
          <w:lang w:val="fr-FR"/>
        </w:rPr>
      </w:pPr>
      <w:r>
        <w:rPr>
          <w:b/>
          <w:bCs/>
          <w:lang w:val="fr-FR"/>
        </w:rPr>
        <w:t>Personal Efficacy</w:t>
      </w:r>
    </w:p>
    <w:p w:rsidR="00DC19F1" w:rsidRDefault="00DC19F1">
      <w:pPr>
        <w:pStyle w:val="BodyText"/>
      </w:pPr>
      <w:r>
        <w:t>1. I feel confident when selecting personal financial services.</w:t>
      </w:r>
    </w:p>
    <w:p w:rsidR="00DC19F1" w:rsidRDefault="00DC19F1">
      <w:pPr>
        <w:pStyle w:val="BodyText"/>
      </w:pPr>
    </w:p>
    <w:p w:rsidR="00DC19F1" w:rsidRDefault="00DC19F1">
      <w:pPr>
        <w:pStyle w:val="BodyText"/>
      </w:pPr>
      <w:r>
        <w:t xml:space="preserve">2. I feel experienced at purchasing personal financial services. </w:t>
      </w:r>
    </w:p>
    <w:p w:rsidR="00DC19F1" w:rsidRDefault="00DC19F1">
      <w:pPr>
        <w:pStyle w:val="BodyText"/>
      </w:pPr>
    </w:p>
    <w:p w:rsidR="00DC19F1" w:rsidRDefault="00DC19F1">
      <w:pPr>
        <w:pStyle w:val="BodyText"/>
      </w:pPr>
      <w:r>
        <w:rPr>
          <w:b/>
          <w:bCs/>
        </w:rPr>
        <w:t>Propensity for loyalty within personal banking services</w:t>
      </w:r>
    </w:p>
    <w:p w:rsidR="00DC19F1" w:rsidRDefault="00DC19F1">
      <w:pPr>
        <w:pStyle w:val="BodyText"/>
      </w:pPr>
      <w:r>
        <w:t>1. I tend to receive or gather information from several suppliers before making a personal financial services purchase or decision.</w:t>
      </w:r>
    </w:p>
    <w:p w:rsidR="00DC19F1" w:rsidRDefault="00DC19F1">
      <w:pPr>
        <w:pStyle w:val="BodyText"/>
      </w:pPr>
    </w:p>
    <w:p w:rsidR="00DC19F1" w:rsidRDefault="00DC19F1">
      <w:pPr>
        <w:pStyle w:val="BodyText"/>
      </w:pPr>
      <w:r>
        <w:t xml:space="preserve">2 I already use </w:t>
      </w:r>
      <w:r>
        <w:rPr>
          <w:u w:val="single"/>
        </w:rPr>
        <w:t>more than two</w:t>
      </w:r>
      <w:r>
        <w:t xml:space="preserve"> providers for my personal banking services.</w:t>
      </w:r>
    </w:p>
    <w:p w:rsidR="00DC19F1" w:rsidRDefault="00DC19F1">
      <w:pPr>
        <w:pStyle w:val="BodyText"/>
      </w:pPr>
    </w:p>
    <w:p w:rsidR="00DC19F1" w:rsidRDefault="00DC19F1">
      <w:pPr>
        <w:pStyle w:val="BodyText"/>
      </w:pPr>
      <w:r>
        <w:t xml:space="preserve">3. I prefer the convenience of keeping my personal financial services with as few providers as possible. </w:t>
      </w:r>
    </w:p>
    <w:p w:rsidR="00DC19F1" w:rsidRDefault="00DC19F1">
      <w:pPr>
        <w:pStyle w:val="BodyText"/>
        <w:rPr>
          <w:b/>
          <w:bCs/>
        </w:rPr>
      </w:pPr>
    </w:p>
    <w:p w:rsidR="00DC19F1" w:rsidRDefault="00DC19F1">
      <w:pPr>
        <w:pStyle w:val="BodyText"/>
        <w:rPr>
          <w:b/>
          <w:bCs/>
        </w:rPr>
      </w:pPr>
      <w:r>
        <w:rPr>
          <w:b/>
          <w:bCs/>
        </w:rPr>
        <w:t xml:space="preserve">Normative influence </w:t>
      </w:r>
    </w:p>
    <w:p w:rsidR="00DC19F1" w:rsidRDefault="00DC19F1">
      <w:pPr>
        <w:pStyle w:val="BodyText"/>
      </w:pPr>
      <w:r>
        <w:t xml:space="preserve">1. I am influenced in my personal finance decisions by advice from others. </w:t>
      </w:r>
    </w:p>
    <w:p w:rsidR="00DC19F1" w:rsidRDefault="00DC19F1">
      <w:pPr>
        <w:pStyle w:val="BodyText"/>
      </w:pPr>
      <w:r>
        <w:t>(E.g. by a partner, member of family, friend, colleague, financial adviser, broker or agent)</w:t>
      </w:r>
    </w:p>
    <w:p w:rsidR="00DC19F1" w:rsidRDefault="00DC19F1">
      <w:pPr>
        <w:pStyle w:val="BodyText"/>
      </w:pPr>
    </w:p>
    <w:p w:rsidR="00DC19F1" w:rsidRDefault="00DC19F1">
      <w:pPr>
        <w:pStyle w:val="BodyText"/>
      </w:pPr>
      <w:r>
        <w:t>2. I entrust another person with some of my personal finance decision-making.</w:t>
      </w:r>
    </w:p>
    <w:p w:rsidR="00DC19F1" w:rsidRDefault="00DC19F1">
      <w:pPr>
        <w:pStyle w:val="BodyText"/>
      </w:pPr>
    </w:p>
    <w:p w:rsidR="00DC19F1" w:rsidRDefault="00DC19F1">
      <w:pPr>
        <w:pStyle w:val="BodyText"/>
      </w:pPr>
      <w:r>
        <w:t xml:space="preserve">3. I prefer to make my own personal finance decisions. </w:t>
      </w:r>
    </w:p>
    <w:p w:rsidR="00DC19F1" w:rsidRDefault="00DC19F1">
      <w:pPr>
        <w:pStyle w:val="BodyText"/>
        <w:rPr>
          <w:b/>
          <w:bCs/>
        </w:rPr>
      </w:pPr>
    </w:p>
    <w:p w:rsidR="00DC19F1" w:rsidRDefault="00DC19F1">
      <w:pPr>
        <w:spacing w:line="360" w:lineRule="auto"/>
        <w:rPr>
          <w:b/>
          <w:bCs/>
          <w:sz w:val="22"/>
        </w:rPr>
      </w:pPr>
      <w:r>
        <w:rPr>
          <w:b/>
          <w:bCs/>
          <w:sz w:val="22"/>
        </w:rPr>
        <w:t xml:space="preserve">Brand involvement </w:t>
      </w:r>
    </w:p>
    <w:p w:rsidR="00DC19F1" w:rsidRDefault="00DC19F1">
      <w:pPr>
        <w:spacing w:line="360" w:lineRule="auto"/>
        <w:rPr>
          <w:sz w:val="22"/>
        </w:rPr>
      </w:pPr>
      <w:r>
        <w:rPr>
          <w:sz w:val="22"/>
        </w:rPr>
        <w:t xml:space="preserve">1. My main bank account is an unimportant part of my life. </w:t>
      </w:r>
    </w:p>
    <w:p w:rsidR="00DC19F1" w:rsidRDefault="00DC19F1">
      <w:pPr>
        <w:spacing w:line="360" w:lineRule="auto"/>
        <w:rPr>
          <w:sz w:val="22"/>
        </w:rPr>
      </w:pPr>
    </w:p>
    <w:p w:rsidR="00DC19F1" w:rsidRDefault="00DC19F1">
      <w:pPr>
        <w:pStyle w:val="BodyText"/>
      </w:pPr>
      <w:r>
        <w:t>2. This bank is just a business, purely interested in making money. [R]</w:t>
      </w:r>
    </w:p>
    <w:p w:rsidR="00DC19F1" w:rsidRDefault="00DC19F1">
      <w:pPr>
        <w:pStyle w:val="BodyText"/>
      </w:pPr>
    </w:p>
    <w:p w:rsidR="00DC19F1" w:rsidRDefault="00DC19F1">
      <w:pPr>
        <w:pStyle w:val="BodyText"/>
      </w:pPr>
      <w:r>
        <w:t>3. A choice of bank can say something about the kind of person you are.</w:t>
      </w:r>
    </w:p>
    <w:p w:rsidR="00DC19F1" w:rsidRDefault="00DC19F1">
      <w:pPr>
        <w:pStyle w:val="BodyText"/>
        <w:rPr>
          <w:u w:val="single"/>
        </w:rPr>
      </w:pPr>
    </w:p>
    <w:p w:rsidR="00DC19F1" w:rsidRDefault="00DC19F1">
      <w:pPr>
        <w:pStyle w:val="BodyText"/>
        <w:rPr>
          <w:b/>
          <w:bCs/>
        </w:rPr>
      </w:pPr>
      <w:r>
        <w:rPr>
          <w:b/>
          <w:bCs/>
        </w:rPr>
        <w:t>Degree of Elaboration and deliberation in the bank selection process</w:t>
      </w:r>
    </w:p>
    <w:p w:rsidR="00DC19F1" w:rsidRDefault="00DC19F1">
      <w:pPr>
        <w:pStyle w:val="BodyText"/>
      </w:pPr>
      <w:r>
        <w:t xml:space="preserve">1. When I originally joined this bank I felt I had little choice in the matter. </w:t>
      </w:r>
    </w:p>
    <w:p w:rsidR="00DC19F1" w:rsidRDefault="00DC19F1">
      <w:pPr>
        <w:pStyle w:val="BodyText"/>
      </w:pPr>
      <w:r>
        <w:t>(E.g. because this bank was my partner’s/family’s/acquaintance’s or an employer’s bank; or because of ease of access/the only branch with a convenient location.)  [R]</w:t>
      </w:r>
    </w:p>
    <w:p w:rsidR="00DC19F1" w:rsidRDefault="00DC19F1">
      <w:pPr>
        <w:pStyle w:val="BodyText"/>
      </w:pPr>
    </w:p>
    <w:p w:rsidR="00DC19F1" w:rsidRDefault="00DC19F1">
      <w:pPr>
        <w:pStyle w:val="BodyText"/>
      </w:pPr>
      <w:r>
        <w:t xml:space="preserve">2. When I joined the bank </w:t>
      </w:r>
      <w:r>
        <w:rPr>
          <w:i/>
          <w:iCs/>
        </w:rPr>
        <w:t>I deliberately chose this particular bank</w:t>
      </w:r>
      <w:r>
        <w:t xml:space="preserve"> for one or more </w:t>
      </w:r>
      <w:r>
        <w:rPr>
          <w:u w:val="single"/>
        </w:rPr>
        <w:t>important</w:t>
      </w:r>
      <w:r>
        <w:t xml:space="preserve"> reason (s). </w:t>
      </w:r>
    </w:p>
    <w:p w:rsidR="00DC19F1" w:rsidRDefault="00DC19F1">
      <w:pPr>
        <w:pStyle w:val="BodyText"/>
      </w:pPr>
      <w:r>
        <w:lastRenderedPageBreak/>
        <w:t xml:space="preserve">(E.g.: Mortgage deal; special type of account; level of service contact or technology [online] offered; a particular type of incentive or reward like a Rail Card/Air Miles; or the bank’s ethical or conservation/sustainability values; or because it was a Credit Union or a Mutual Society etc). </w:t>
      </w:r>
    </w:p>
    <w:p w:rsidR="00DC19F1" w:rsidRDefault="00DC19F1">
      <w:pPr>
        <w:spacing w:line="360" w:lineRule="auto"/>
        <w:rPr>
          <w:sz w:val="22"/>
        </w:rPr>
      </w:pPr>
    </w:p>
    <w:p w:rsidR="00DC19F1" w:rsidRDefault="00DC19F1">
      <w:pPr>
        <w:pStyle w:val="BodyText"/>
      </w:pPr>
      <w:r>
        <w:rPr>
          <w:b/>
          <w:bCs/>
        </w:rPr>
        <w:t>Product class interest</w:t>
      </w:r>
    </w:p>
    <w:p w:rsidR="00DC19F1" w:rsidRDefault="00DC19F1">
      <w:pPr>
        <w:pStyle w:val="BodyText"/>
      </w:pPr>
      <w:r>
        <w:t xml:space="preserve">1. I am unaware of other providers offering much better </w:t>
      </w:r>
      <w:r>
        <w:rPr>
          <w:i/>
          <w:iCs/>
        </w:rPr>
        <w:t>economic value</w:t>
      </w:r>
      <w:r>
        <w:t xml:space="preserve"> than this bank</w:t>
      </w:r>
    </w:p>
    <w:p w:rsidR="00DC19F1" w:rsidRDefault="00DC19F1">
      <w:pPr>
        <w:pStyle w:val="BodyText"/>
        <w:rPr>
          <w:lang w:val="fr-FR"/>
        </w:rPr>
      </w:pPr>
      <w:r>
        <w:rPr>
          <w:lang w:val="fr-FR"/>
        </w:rPr>
        <w:t xml:space="preserve"> (E.g. rates, charges etc).</w:t>
      </w:r>
    </w:p>
    <w:p w:rsidR="00DC19F1" w:rsidRDefault="00DC19F1">
      <w:pPr>
        <w:pStyle w:val="BodyText"/>
        <w:rPr>
          <w:lang w:val="fr-FR"/>
        </w:rPr>
      </w:pPr>
    </w:p>
    <w:p w:rsidR="00DC19F1" w:rsidRDefault="00DC19F1">
      <w:pPr>
        <w:pStyle w:val="BodyText"/>
      </w:pPr>
      <w:r>
        <w:t xml:space="preserve">2. I read about personal finance (E.g. in newspapers, ‘Money Pages’; on the Internet; or in other sources of information about personal finance, like CEEFAX) usually, </w:t>
      </w:r>
    </w:p>
    <w:p w:rsidR="00DC19F1" w:rsidRDefault="00DC19F1">
      <w:pPr>
        <w:pStyle w:val="BodyText"/>
      </w:pPr>
      <w:r>
        <w:t>(Tick ONE box only):</w:t>
      </w:r>
    </w:p>
    <w:p w:rsidR="00DC19F1" w:rsidRDefault="00DC19F1">
      <w:pPr>
        <w:pStyle w:val="BodyText"/>
      </w:pPr>
      <w:r>
        <w:t xml:space="preserve">Once a week to daily  []  </w:t>
      </w:r>
    </w:p>
    <w:p w:rsidR="00DC19F1" w:rsidRDefault="00DC19F1">
      <w:pPr>
        <w:pStyle w:val="BodyText"/>
      </w:pPr>
      <w:r>
        <w:t xml:space="preserve">Once a month []  </w:t>
      </w:r>
    </w:p>
    <w:p w:rsidR="00DC19F1" w:rsidRDefault="00DC19F1">
      <w:pPr>
        <w:pStyle w:val="BodyText"/>
      </w:pPr>
      <w:r>
        <w:t xml:space="preserve">Less than monthly but at least once per year []   </w:t>
      </w:r>
    </w:p>
    <w:p w:rsidR="00DC19F1" w:rsidRDefault="00DC19F1">
      <w:pPr>
        <w:pStyle w:val="BodyText"/>
      </w:pPr>
      <w:r>
        <w:t xml:space="preserve">When the need arises (less than once per year)  []  </w:t>
      </w:r>
    </w:p>
    <w:p w:rsidR="00DC19F1" w:rsidRDefault="00DC19F1">
      <w:pPr>
        <w:pStyle w:val="BodyText"/>
      </w:pPr>
      <w:r>
        <w:t xml:space="preserve">Never []   </w:t>
      </w:r>
    </w:p>
    <w:p w:rsidR="00DC19F1" w:rsidRDefault="00DC19F1">
      <w:pPr>
        <w:pStyle w:val="BodyText"/>
        <w:rPr>
          <w:b/>
          <w:bCs/>
        </w:rPr>
      </w:pPr>
    </w:p>
    <w:p w:rsidR="00DC19F1" w:rsidRDefault="00DC19F1">
      <w:pPr>
        <w:pStyle w:val="BodyText"/>
        <w:rPr>
          <w:b/>
          <w:bCs/>
        </w:rPr>
      </w:pPr>
      <w:r>
        <w:rPr>
          <w:b/>
          <w:bCs/>
        </w:rPr>
        <w:t>Risk involvement</w:t>
      </w:r>
    </w:p>
    <w:p w:rsidR="00DC19F1" w:rsidRDefault="00DC19F1">
      <w:pPr>
        <w:pStyle w:val="BodyText"/>
      </w:pPr>
      <w:r>
        <w:t>1.To change bank is risky because I would not know a new bank.</w:t>
      </w:r>
    </w:p>
    <w:p w:rsidR="00DC19F1" w:rsidRDefault="00DC19F1">
      <w:pPr>
        <w:pStyle w:val="BodyText"/>
        <w:rPr>
          <w:u w:val="single"/>
        </w:rPr>
      </w:pPr>
    </w:p>
    <w:p w:rsidR="00DC19F1" w:rsidRDefault="00DC19F1">
      <w:pPr>
        <w:pStyle w:val="BodyText"/>
      </w:pPr>
      <w:r>
        <w:t xml:space="preserve">2. To change bank is risky because a new bank might make errors. </w:t>
      </w:r>
    </w:p>
    <w:p w:rsidR="00DC19F1" w:rsidRDefault="00DC19F1">
      <w:pPr>
        <w:pStyle w:val="BodyText"/>
      </w:pPr>
    </w:p>
    <w:p w:rsidR="00DC19F1" w:rsidRDefault="00DC19F1">
      <w:pPr>
        <w:pStyle w:val="BodyText"/>
        <w:rPr>
          <w:b/>
          <w:bCs/>
        </w:rPr>
      </w:pPr>
      <w:r>
        <w:rPr>
          <w:b/>
          <w:bCs/>
        </w:rPr>
        <w:t>Trust</w:t>
      </w:r>
    </w:p>
    <w:p w:rsidR="00DC19F1" w:rsidRDefault="00DC19F1">
      <w:pPr>
        <w:pStyle w:val="BodyText"/>
      </w:pPr>
      <w:r>
        <w:t xml:space="preserve">[Safety/security] </w:t>
      </w:r>
    </w:p>
    <w:p w:rsidR="00DC19F1" w:rsidRDefault="00DC19F1">
      <w:pPr>
        <w:pStyle w:val="BodyText"/>
      </w:pPr>
      <w:r>
        <w:t>1. I stay at this bank mainly because I feel safe with them.</w:t>
      </w:r>
    </w:p>
    <w:p w:rsidR="00DC19F1" w:rsidRDefault="00DC19F1">
      <w:pPr>
        <w:pStyle w:val="BodyText"/>
      </w:pPr>
    </w:p>
    <w:p w:rsidR="00DC19F1" w:rsidRDefault="00DC19F1">
      <w:pPr>
        <w:pStyle w:val="BodyText"/>
      </w:pPr>
      <w:r>
        <w:t>2.  I remain as a customer of this bank because I would be less trusting of another bank.</w:t>
      </w:r>
    </w:p>
    <w:p w:rsidR="00DC19F1" w:rsidRDefault="00DC19F1">
      <w:pPr>
        <w:pStyle w:val="BodyText"/>
      </w:pPr>
    </w:p>
    <w:p w:rsidR="00DC19F1" w:rsidRDefault="00DC19F1">
      <w:pPr>
        <w:pStyle w:val="BodyText"/>
      </w:pPr>
      <w:r>
        <w:t>[Infallibility – accuracy, reliability, responsiveness, willingness]</w:t>
      </w:r>
    </w:p>
    <w:p w:rsidR="00DC19F1" w:rsidRDefault="00DC19F1">
      <w:pPr>
        <w:pStyle w:val="BodyText"/>
      </w:pPr>
      <w:r>
        <w:t>3. I remain with this bank because they always deliver what they promise.</w:t>
      </w:r>
    </w:p>
    <w:p w:rsidR="00DC19F1" w:rsidRDefault="00DC19F1">
      <w:pPr>
        <w:pStyle w:val="BodyText"/>
      </w:pPr>
    </w:p>
    <w:p w:rsidR="00DC19F1" w:rsidRDefault="00DC19F1">
      <w:pPr>
        <w:pStyle w:val="BodyText"/>
      </w:pPr>
      <w:r>
        <w:t>4. I stay with this bank because I find them reliable.</w:t>
      </w:r>
    </w:p>
    <w:p w:rsidR="00DC19F1" w:rsidRDefault="00DC19F1">
      <w:pPr>
        <w:pStyle w:val="BodyText"/>
      </w:pPr>
    </w:p>
    <w:p w:rsidR="00DC19F1" w:rsidRDefault="00DC19F1">
      <w:pPr>
        <w:pStyle w:val="BodyText"/>
      </w:pPr>
      <w:r>
        <w:t>[Integrity – clarity, honesty, lack of opportunism]</w:t>
      </w:r>
    </w:p>
    <w:p w:rsidR="00DC19F1" w:rsidRDefault="00DC19F1">
      <w:pPr>
        <w:pStyle w:val="BodyText"/>
      </w:pPr>
      <w:r>
        <w:t>5. I remain with this bank because they treat me with honesty.</w:t>
      </w:r>
    </w:p>
    <w:p w:rsidR="00DC19F1" w:rsidRDefault="00DC19F1">
      <w:pPr>
        <w:pStyle w:val="BodyText"/>
      </w:pPr>
    </w:p>
    <w:p w:rsidR="00DC19F1" w:rsidRDefault="00DC19F1">
      <w:pPr>
        <w:pStyle w:val="BodyText"/>
      </w:pPr>
      <w:r>
        <w:t>6. I stay with this bank because I believe they would be unlikely to act against my best interests.</w:t>
      </w:r>
    </w:p>
    <w:p w:rsidR="00DC19F1" w:rsidRDefault="00DC19F1">
      <w:pPr>
        <w:pStyle w:val="BodyText"/>
        <w:rPr>
          <w:b/>
          <w:bCs/>
        </w:rPr>
      </w:pPr>
      <w:r>
        <w:t>(That is, unlikely to ‘rip me off’, to take advantage of me or to change or restrict policies in a way that would have a negative impact on my finances).</w:t>
      </w:r>
    </w:p>
    <w:p w:rsidR="00DC19F1" w:rsidRDefault="00DC19F1">
      <w:pPr>
        <w:pStyle w:val="BodyText"/>
        <w:rPr>
          <w:b/>
          <w:bCs/>
        </w:rPr>
      </w:pPr>
    </w:p>
    <w:p w:rsidR="00DC19F1" w:rsidRDefault="00DC19F1">
      <w:pPr>
        <w:pStyle w:val="BodyText"/>
      </w:pPr>
    </w:p>
    <w:p w:rsidR="00831636" w:rsidRDefault="00831636" w:rsidP="00831636">
      <w:pPr>
        <w:pStyle w:val="Heading1"/>
      </w:pPr>
      <w:bookmarkStart w:id="50" w:name="_Toc132368275"/>
      <w:r>
        <w:t>APPENDIX C: PUBLISHED ARTICLES</w:t>
      </w:r>
      <w:bookmarkEnd w:id="50"/>
    </w:p>
    <w:p w:rsidR="00831636" w:rsidRDefault="00831636" w:rsidP="00831636">
      <w:pPr>
        <w:rPr>
          <w:b/>
        </w:rPr>
      </w:pPr>
    </w:p>
    <w:p w:rsidR="00831636" w:rsidRDefault="00831636" w:rsidP="00831636">
      <w:pPr>
        <w:rPr>
          <w:b/>
        </w:rPr>
      </w:pPr>
    </w:p>
    <w:p w:rsidR="00831636" w:rsidRDefault="00831636" w:rsidP="00831636">
      <w:pPr>
        <w:rPr>
          <w:b/>
        </w:rPr>
      </w:pPr>
    </w:p>
    <w:p w:rsidR="00831636" w:rsidRDefault="00831636" w:rsidP="00831636">
      <w:pPr>
        <w:rPr>
          <w:b/>
        </w:rPr>
      </w:pPr>
    </w:p>
    <w:p w:rsidR="00831636" w:rsidRDefault="00831636" w:rsidP="00831636">
      <w:pPr>
        <w:rPr>
          <w:b/>
        </w:rPr>
      </w:pPr>
    </w:p>
    <w:p w:rsidR="00831636" w:rsidRDefault="00831636" w:rsidP="00831636">
      <w:pPr>
        <w:rPr>
          <w:b/>
        </w:rPr>
      </w:pPr>
    </w:p>
    <w:p w:rsidR="00831636" w:rsidRDefault="00831636" w:rsidP="00831636">
      <w:pPr>
        <w:rPr>
          <w:b/>
        </w:rPr>
      </w:pPr>
    </w:p>
    <w:p w:rsidR="00831636" w:rsidRDefault="00831636" w:rsidP="00831636">
      <w:pPr>
        <w:rPr>
          <w:b/>
        </w:rPr>
      </w:pPr>
    </w:p>
    <w:p w:rsidR="00831636" w:rsidRDefault="00831636" w:rsidP="00831636">
      <w:pPr>
        <w:rPr>
          <w:b/>
        </w:rPr>
      </w:pPr>
    </w:p>
    <w:p w:rsidR="00831636" w:rsidRDefault="00831636" w:rsidP="00831636">
      <w:pPr>
        <w:rPr>
          <w:b/>
        </w:rPr>
      </w:pPr>
      <w:r>
        <w:rPr>
          <w:b/>
        </w:rPr>
        <w:t>Draft Conceptual Framework</w:t>
      </w:r>
    </w:p>
    <w:p w:rsidR="00831636" w:rsidRDefault="00831636" w:rsidP="00831636">
      <w:pPr>
        <w:rPr>
          <w:b/>
        </w:rPr>
      </w:pPr>
    </w:p>
    <w:p w:rsidR="00831636" w:rsidRDefault="00831636" w:rsidP="00831636">
      <w:r>
        <w:t>Debling, F. (1998) ‘Mail Myopia: or examining financial services marketing from a brand commitment perspective’, Marketing Intelligence and Planning, 16/1:38-46.</w:t>
      </w:r>
    </w:p>
    <w:p w:rsidR="00831636" w:rsidRDefault="00831636" w:rsidP="00831636">
      <w:r>
        <w:t>[Reprinted (1999) in The International Journal of Bank Marketing, 17/5:251:259.]</w:t>
      </w:r>
    </w:p>
    <w:p w:rsidR="00831636" w:rsidRDefault="00831636" w:rsidP="00831636"/>
    <w:p w:rsidR="00831636" w:rsidRDefault="00831636" w:rsidP="00831636"/>
    <w:p w:rsidR="00831636" w:rsidRPr="004E1D57" w:rsidRDefault="00831636" w:rsidP="00831636">
      <w:pPr>
        <w:rPr>
          <w:b/>
        </w:rPr>
      </w:pPr>
      <w:r w:rsidRPr="004E1D57">
        <w:rPr>
          <w:b/>
        </w:rPr>
        <w:t xml:space="preserve">Phase One Primary Research Findings </w:t>
      </w:r>
    </w:p>
    <w:p w:rsidR="00831636" w:rsidRDefault="00831636" w:rsidP="00831636"/>
    <w:p w:rsidR="00831636" w:rsidRDefault="00831636" w:rsidP="00831636">
      <w:r>
        <w:t>Debling, F., de Chernatony, L. and Middleton, S. (2000) ‘What can direct marketing do for branding and bonding?’ Journal of Targeting, Measurement and Analysis for Marketing, vol. 9, 2: 128-147.</w:t>
      </w:r>
    </w:p>
    <w:p w:rsidR="00831636" w:rsidRDefault="00831636" w:rsidP="00831636"/>
    <w:p w:rsidR="00831636" w:rsidRDefault="00831636" w:rsidP="00831636">
      <w:r>
        <w:t>Debling, F. (2000) ‘On-brand banking: An examination of the factors contributing to effective branding and brand development through direct marketing in the consumer financial services sector’, Journal of Financial Services Marketing, vol.5, 2: 150-173.</w:t>
      </w:r>
    </w:p>
    <w:p w:rsidR="00831636" w:rsidRDefault="00831636" w:rsidP="00831636"/>
    <w:p w:rsidR="00831636" w:rsidRDefault="00831636" w:rsidP="00831636">
      <w:pPr>
        <w:rPr>
          <w:b/>
        </w:rPr>
      </w:pPr>
    </w:p>
    <w:p w:rsidR="00831636" w:rsidRDefault="00831636" w:rsidP="00831636">
      <w:pPr>
        <w:rPr>
          <w:b/>
        </w:rPr>
      </w:pPr>
    </w:p>
    <w:p w:rsidR="00DC19F1" w:rsidRDefault="00DC19F1">
      <w:pPr>
        <w:pStyle w:val="BodyText"/>
      </w:pPr>
    </w:p>
    <w:sectPr w:rsidR="00DC19F1">
      <w:pgSz w:w="11909" w:h="16834" w:code="9"/>
      <w:pgMar w:top="850" w:right="850" w:bottom="850" w:left="2275" w:header="720" w:footer="720" w:gutter="288"/>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80D" w:rsidRDefault="00B0680D">
      <w:r>
        <w:separator/>
      </w:r>
    </w:p>
  </w:endnote>
  <w:endnote w:type="continuationSeparator" w:id="0">
    <w:p w:rsidR="00B0680D" w:rsidRDefault="00B06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9F1" w:rsidRDefault="00DC1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19F1" w:rsidRDefault="00DC19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9F1" w:rsidRDefault="00DC1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73CA">
      <w:rPr>
        <w:rStyle w:val="PageNumber"/>
        <w:noProof/>
      </w:rPr>
      <w:t>i</w:t>
    </w:r>
    <w:r>
      <w:rPr>
        <w:rStyle w:val="PageNumber"/>
      </w:rPr>
      <w:fldChar w:fldCharType="end"/>
    </w:r>
  </w:p>
  <w:p w:rsidR="00DC19F1" w:rsidRDefault="00DC19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80D" w:rsidRDefault="00B0680D">
      <w:r>
        <w:separator/>
      </w:r>
    </w:p>
  </w:footnote>
  <w:footnote w:type="continuationSeparator" w:id="0">
    <w:p w:rsidR="00B0680D" w:rsidRDefault="00B068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9C3"/>
    <w:multiLevelType w:val="hybridMultilevel"/>
    <w:tmpl w:val="41FAA736"/>
    <w:lvl w:ilvl="0" w:tplc="D974E41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3E5D75"/>
    <w:multiLevelType w:val="multilevel"/>
    <w:tmpl w:val="80D264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17233CDF"/>
    <w:multiLevelType w:val="hybridMultilevel"/>
    <w:tmpl w:val="12A21546"/>
    <w:lvl w:ilvl="0" w:tplc="85E29D82">
      <w:start w:val="1"/>
      <w:numFmt w:val="bullet"/>
      <w:lvlText w:val="Ш"/>
      <w:lvlJc w:val="left"/>
      <w:pPr>
        <w:tabs>
          <w:tab w:val="num" w:pos="413"/>
        </w:tabs>
        <w:ind w:left="413" w:hanging="360"/>
      </w:pPr>
      <w:rPr>
        <w:rFonts w:ascii="Arial" w:hAnsi="Arial" w:hint="default"/>
        <w:b/>
        <w:i w:val="0"/>
        <w:color w:val="auto"/>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3">
    <w:nsid w:val="1A95036F"/>
    <w:multiLevelType w:val="hybridMultilevel"/>
    <w:tmpl w:val="226843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8772E9"/>
    <w:multiLevelType w:val="hybridMultilevel"/>
    <w:tmpl w:val="570A7C9E"/>
    <w:lvl w:ilvl="0" w:tplc="E144911C">
      <w:numFmt w:val="bullet"/>
      <w:lvlText w:val="-"/>
      <w:lvlJc w:val="left"/>
      <w:pPr>
        <w:tabs>
          <w:tab w:val="num" w:pos="413"/>
        </w:tabs>
        <w:ind w:left="413"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670E37"/>
    <w:multiLevelType w:val="hybridMultilevel"/>
    <w:tmpl w:val="2F0EAFA2"/>
    <w:lvl w:ilvl="0" w:tplc="85E29D82">
      <w:start w:val="1"/>
      <w:numFmt w:val="bullet"/>
      <w:lvlText w:val="Ш"/>
      <w:lvlJc w:val="left"/>
      <w:pPr>
        <w:tabs>
          <w:tab w:val="num" w:pos="360"/>
        </w:tabs>
        <w:ind w:left="360" w:hanging="360"/>
      </w:pPr>
      <w:rPr>
        <w:rFonts w:ascii="Arial" w:hAnsi="Arial" w:hint="default"/>
        <w:b/>
        <w:i w:val="0"/>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65046C"/>
    <w:multiLevelType w:val="hybridMultilevel"/>
    <w:tmpl w:val="5142A2F2"/>
    <w:lvl w:ilvl="0" w:tplc="E144911C">
      <w:numFmt w:val="bullet"/>
      <w:lvlText w:val="-"/>
      <w:lvlJc w:val="left"/>
      <w:pPr>
        <w:tabs>
          <w:tab w:val="num" w:pos="413"/>
        </w:tabs>
        <w:ind w:left="413" w:hanging="360"/>
      </w:pPr>
      <w:rPr>
        <w:rFonts w:ascii="Times New Roman" w:eastAsia="Times New Roman" w:hAnsi="Times New Roman" w:cs="Times New Roman" w:hint="default"/>
      </w:rPr>
    </w:lvl>
    <w:lvl w:ilvl="1" w:tplc="04090003" w:tentative="1">
      <w:start w:val="1"/>
      <w:numFmt w:val="bullet"/>
      <w:lvlText w:val="o"/>
      <w:lvlJc w:val="left"/>
      <w:pPr>
        <w:tabs>
          <w:tab w:val="num" w:pos="1133"/>
        </w:tabs>
        <w:ind w:left="1133" w:hanging="360"/>
      </w:pPr>
      <w:rPr>
        <w:rFonts w:ascii="Courier New" w:hAnsi="Courier New" w:hint="default"/>
      </w:rPr>
    </w:lvl>
    <w:lvl w:ilvl="2" w:tplc="04090005" w:tentative="1">
      <w:start w:val="1"/>
      <w:numFmt w:val="bullet"/>
      <w:lvlText w:val=""/>
      <w:lvlJc w:val="left"/>
      <w:pPr>
        <w:tabs>
          <w:tab w:val="num" w:pos="1853"/>
        </w:tabs>
        <w:ind w:left="1853" w:hanging="360"/>
      </w:pPr>
      <w:rPr>
        <w:rFonts w:ascii="Wingdings" w:hAnsi="Wingdings" w:hint="default"/>
      </w:rPr>
    </w:lvl>
    <w:lvl w:ilvl="3" w:tplc="04090001" w:tentative="1">
      <w:start w:val="1"/>
      <w:numFmt w:val="bullet"/>
      <w:lvlText w:val=""/>
      <w:lvlJc w:val="left"/>
      <w:pPr>
        <w:tabs>
          <w:tab w:val="num" w:pos="2573"/>
        </w:tabs>
        <w:ind w:left="2573" w:hanging="360"/>
      </w:pPr>
      <w:rPr>
        <w:rFonts w:ascii="Symbol" w:hAnsi="Symbol" w:hint="default"/>
      </w:rPr>
    </w:lvl>
    <w:lvl w:ilvl="4" w:tplc="04090003" w:tentative="1">
      <w:start w:val="1"/>
      <w:numFmt w:val="bullet"/>
      <w:lvlText w:val="o"/>
      <w:lvlJc w:val="left"/>
      <w:pPr>
        <w:tabs>
          <w:tab w:val="num" w:pos="3293"/>
        </w:tabs>
        <w:ind w:left="3293" w:hanging="360"/>
      </w:pPr>
      <w:rPr>
        <w:rFonts w:ascii="Courier New" w:hAnsi="Courier New" w:hint="default"/>
      </w:rPr>
    </w:lvl>
    <w:lvl w:ilvl="5" w:tplc="04090005" w:tentative="1">
      <w:start w:val="1"/>
      <w:numFmt w:val="bullet"/>
      <w:lvlText w:val=""/>
      <w:lvlJc w:val="left"/>
      <w:pPr>
        <w:tabs>
          <w:tab w:val="num" w:pos="4013"/>
        </w:tabs>
        <w:ind w:left="4013" w:hanging="360"/>
      </w:pPr>
      <w:rPr>
        <w:rFonts w:ascii="Wingdings" w:hAnsi="Wingdings" w:hint="default"/>
      </w:rPr>
    </w:lvl>
    <w:lvl w:ilvl="6" w:tplc="04090001" w:tentative="1">
      <w:start w:val="1"/>
      <w:numFmt w:val="bullet"/>
      <w:lvlText w:val=""/>
      <w:lvlJc w:val="left"/>
      <w:pPr>
        <w:tabs>
          <w:tab w:val="num" w:pos="4733"/>
        </w:tabs>
        <w:ind w:left="4733" w:hanging="360"/>
      </w:pPr>
      <w:rPr>
        <w:rFonts w:ascii="Symbol" w:hAnsi="Symbol" w:hint="default"/>
      </w:rPr>
    </w:lvl>
    <w:lvl w:ilvl="7" w:tplc="04090003" w:tentative="1">
      <w:start w:val="1"/>
      <w:numFmt w:val="bullet"/>
      <w:lvlText w:val="o"/>
      <w:lvlJc w:val="left"/>
      <w:pPr>
        <w:tabs>
          <w:tab w:val="num" w:pos="5453"/>
        </w:tabs>
        <w:ind w:left="5453" w:hanging="360"/>
      </w:pPr>
      <w:rPr>
        <w:rFonts w:ascii="Courier New" w:hAnsi="Courier New" w:hint="default"/>
      </w:rPr>
    </w:lvl>
    <w:lvl w:ilvl="8" w:tplc="04090005" w:tentative="1">
      <w:start w:val="1"/>
      <w:numFmt w:val="bullet"/>
      <w:lvlText w:val=""/>
      <w:lvlJc w:val="left"/>
      <w:pPr>
        <w:tabs>
          <w:tab w:val="num" w:pos="6173"/>
        </w:tabs>
        <w:ind w:left="6173" w:hanging="360"/>
      </w:pPr>
      <w:rPr>
        <w:rFonts w:ascii="Wingdings" w:hAnsi="Wingdings" w:hint="default"/>
      </w:rPr>
    </w:lvl>
  </w:abstractNum>
  <w:abstractNum w:abstractNumId="7">
    <w:nsid w:val="32A22C2A"/>
    <w:multiLevelType w:val="hybridMultilevel"/>
    <w:tmpl w:val="EE003712"/>
    <w:lvl w:ilvl="0" w:tplc="85E29D82">
      <w:start w:val="1"/>
      <w:numFmt w:val="bullet"/>
      <w:lvlText w:val="Ш"/>
      <w:lvlJc w:val="left"/>
      <w:pPr>
        <w:tabs>
          <w:tab w:val="num" w:pos="360"/>
        </w:tabs>
        <w:ind w:left="360" w:hanging="360"/>
      </w:pPr>
      <w:rPr>
        <w:rFonts w:ascii="Arial" w:hAnsi="Arial" w:hint="default"/>
        <w:b/>
        <w:i w:val="0"/>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A56515"/>
    <w:multiLevelType w:val="hybridMultilevel"/>
    <w:tmpl w:val="B67434E4"/>
    <w:lvl w:ilvl="0" w:tplc="85E29D82">
      <w:start w:val="1"/>
      <w:numFmt w:val="bullet"/>
      <w:lvlText w:val="Ш"/>
      <w:lvlJc w:val="left"/>
      <w:pPr>
        <w:tabs>
          <w:tab w:val="num" w:pos="720"/>
        </w:tabs>
        <w:ind w:left="720" w:hanging="360"/>
      </w:pPr>
      <w:rPr>
        <w:rFonts w:ascii="Arial" w:hAnsi="Arial"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442AB5"/>
    <w:multiLevelType w:val="hybridMultilevel"/>
    <w:tmpl w:val="B67434E4"/>
    <w:lvl w:ilvl="0" w:tplc="2D0EE22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1007BB"/>
    <w:multiLevelType w:val="hybridMultilevel"/>
    <w:tmpl w:val="6270F394"/>
    <w:lvl w:ilvl="0" w:tplc="85E29D82">
      <w:start w:val="1"/>
      <w:numFmt w:val="bullet"/>
      <w:lvlText w:val="Ш"/>
      <w:lvlJc w:val="left"/>
      <w:pPr>
        <w:tabs>
          <w:tab w:val="num" w:pos="360"/>
        </w:tabs>
        <w:ind w:left="360" w:hanging="360"/>
      </w:pPr>
      <w:rPr>
        <w:rFonts w:ascii="Arial" w:hAnsi="Arial" w:hint="default"/>
        <w:b/>
        <w:i w:val="0"/>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128260E"/>
    <w:multiLevelType w:val="hybridMultilevel"/>
    <w:tmpl w:val="B78E7B82"/>
    <w:lvl w:ilvl="0" w:tplc="D1DA5532">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5B7D08EB"/>
    <w:multiLevelType w:val="hybridMultilevel"/>
    <w:tmpl w:val="80E2C2CE"/>
    <w:lvl w:ilvl="0" w:tplc="85E29D82">
      <w:start w:val="1"/>
      <w:numFmt w:val="bullet"/>
      <w:lvlText w:val="Ш"/>
      <w:lvlJc w:val="left"/>
      <w:pPr>
        <w:tabs>
          <w:tab w:val="num" w:pos="1080"/>
        </w:tabs>
        <w:ind w:left="1080" w:hanging="360"/>
      </w:pPr>
      <w:rPr>
        <w:rFonts w:ascii="Arial" w:hAnsi="Arial" w:hint="default"/>
        <w:b/>
        <w:i w:val="0"/>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07E1DB9"/>
    <w:multiLevelType w:val="hybridMultilevel"/>
    <w:tmpl w:val="4734E826"/>
    <w:lvl w:ilvl="0" w:tplc="CFE404EC">
      <w:start w:val="3"/>
      <w:numFmt w:val="lowerLetter"/>
      <w:lvlText w:val="(%1)"/>
      <w:lvlJc w:val="left"/>
      <w:pPr>
        <w:tabs>
          <w:tab w:val="num" w:pos="480"/>
        </w:tabs>
        <w:ind w:left="480" w:hanging="42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688B7A95"/>
    <w:multiLevelType w:val="hybridMultilevel"/>
    <w:tmpl w:val="EB56F0D6"/>
    <w:lvl w:ilvl="0" w:tplc="85E29D82">
      <w:start w:val="1"/>
      <w:numFmt w:val="bullet"/>
      <w:lvlText w:val="Ш"/>
      <w:lvlJc w:val="left"/>
      <w:pPr>
        <w:tabs>
          <w:tab w:val="num" w:pos="360"/>
        </w:tabs>
        <w:ind w:left="360" w:hanging="360"/>
      </w:pPr>
      <w:rPr>
        <w:rFonts w:ascii="Arial" w:hAnsi="Arial" w:hint="default"/>
        <w:b/>
        <w:i w:val="0"/>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D024294"/>
    <w:multiLevelType w:val="hybridMultilevel"/>
    <w:tmpl w:val="65CEF0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E57C21"/>
    <w:multiLevelType w:val="hybridMultilevel"/>
    <w:tmpl w:val="C0C8431E"/>
    <w:lvl w:ilvl="0" w:tplc="987AF392">
      <w:start w:val="1"/>
      <w:numFmt w:val="bullet"/>
      <w:lvlText w:val=""/>
      <w:lvlJc w:val="left"/>
      <w:pPr>
        <w:tabs>
          <w:tab w:val="num" w:pos="720"/>
        </w:tabs>
        <w:ind w:left="72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C9C4D5B"/>
    <w:multiLevelType w:val="multilevel"/>
    <w:tmpl w:val="1A6C2A3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7"/>
  </w:num>
  <w:num w:numId="2">
    <w:abstractNumId w:val="2"/>
  </w:num>
  <w:num w:numId="3">
    <w:abstractNumId w:val="6"/>
  </w:num>
  <w:num w:numId="4">
    <w:abstractNumId w:val="5"/>
  </w:num>
  <w:num w:numId="5">
    <w:abstractNumId w:val="16"/>
  </w:num>
  <w:num w:numId="6">
    <w:abstractNumId w:val="12"/>
  </w:num>
  <w:num w:numId="7">
    <w:abstractNumId w:val="11"/>
  </w:num>
  <w:num w:numId="8">
    <w:abstractNumId w:val="14"/>
  </w:num>
  <w:num w:numId="9">
    <w:abstractNumId w:val="13"/>
  </w:num>
  <w:num w:numId="10">
    <w:abstractNumId w:val="10"/>
  </w:num>
  <w:num w:numId="11">
    <w:abstractNumId w:val="0"/>
  </w:num>
  <w:num w:numId="12">
    <w:abstractNumId w:val="3"/>
  </w:num>
  <w:num w:numId="13">
    <w:abstractNumId w:val="9"/>
  </w:num>
  <w:num w:numId="14">
    <w:abstractNumId w:val="8"/>
  </w:num>
  <w:num w:numId="15">
    <w:abstractNumId w:val="7"/>
  </w:num>
  <w:num w:numId="16">
    <w:abstractNumId w:val="4"/>
  </w:num>
  <w:num w:numId="17">
    <w:abstractNumId w:val="15"/>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07BE"/>
    <w:rsid w:val="00014076"/>
    <w:rsid w:val="00200A72"/>
    <w:rsid w:val="00236F60"/>
    <w:rsid w:val="002673CA"/>
    <w:rsid w:val="00267A77"/>
    <w:rsid w:val="002813AC"/>
    <w:rsid w:val="003C22CB"/>
    <w:rsid w:val="00417C6E"/>
    <w:rsid w:val="004642D6"/>
    <w:rsid w:val="004E1D57"/>
    <w:rsid w:val="0065680C"/>
    <w:rsid w:val="00665405"/>
    <w:rsid w:val="007016DB"/>
    <w:rsid w:val="0071390C"/>
    <w:rsid w:val="007F07BA"/>
    <w:rsid w:val="00831636"/>
    <w:rsid w:val="008B742B"/>
    <w:rsid w:val="008E77FF"/>
    <w:rsid w:val="0091530D"/>
    <w:rsid w:val="009753B8"/>
    <w:rsid w:val="009F10B8"/>
    <w:rsid w:val="00A40155"/>
    <w:rsid w:val="00B0680D"/>
    <w:rsid w:val="00B54863"/>
    <w:rsid w:val="00C326F9"/>
    <w:rsid w:val="00C5051C"/>
    <w:rsid w:val="00CA2EB1"/>
    <w:rsid w:val="00CB2CE5"/>
    <w:rsid w:val="00CB4503"/>
    <w:rsid w:val="00CF5DC4"/>
    <w:rsid w:val="00D54294"/>
    <w:rsid w:val="00D71FED"/>
    <w:rsid w:val="00DA048C"/>
    <w:rsid w:val="00DC19F1"/>
    <w:rsid w:val="00DE0F70"/>
    <w:rsid w:val="00E156AF"/>
    <w:rsid w:val="00E57405"/>
    <w:rsid w:val="00E707BE"/>
    <w:rsid w:val="00EA040B"/>
    <w:rsid w:val="00EC4CF2"/>
    <w:rsid w:val="00FA61D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contacts" w:name="middlenam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line="360" w:lineRule="auto"/>
      <w:outlineLvl w:val="1"/>
    </w:pPr>
    <w:rPr>
      <w:b/>
      <w:bCs/>
      <w:lang w:val="en-US"/>
    </w:rPr>
  </w:style>
  <w:style w:type="paragraph" w:styleId="Heading3">
    <w:name w:val="heading 3"/>
    <w:basedOn w:val="Normal"/>
    <w:next w:val="Normal"/>
    <w:qFormat/>
    <w:pPr>
      <w:keepNext/>
      <w:numPr>
        <w:ilvl w:val="2"/>
        <w:numId w:val="18"/>
      </w:numPr>
      <w:outlineLvl w:val="2"/>
    </w:pPr>
    <w:rPr>
      <w:b/>
      <w:bCs/>
      <w:sz w:val="20"/>
    </w:rPr>
  </w:style>
  <w:style w:type="paragraph" w:styleId="Heading4">
    <w:name w:val="heading 4"/>
    <w:basedOn w:val="Normal"/>
    <w:next w:val="Normal"/>
    <w:qFormat/>
    <w:pPr>
      <w:keepNext/>
      <w:numPr>
        <w:ilvl w:val="3"/>
        <w:numId w:val="18"/>
      </w:numPr>
      <w:outlineLvl w:val="3"/>
    </w:pPr>
    <w:rPr>
      <w:i/>
      <w:iCs/>
      <w:sz w:val="22"/>
    </w:rPr>
  </w:style>
  <w:style w:type="paragraph" w:styleId="Heading5">
    <w:name w:val="heading 5"/>
    <w:basedOn w:val="Normal"/>
    <w:next w:val="Normal"/>
    <w:qFormat/>
    <w:pPr>
      <w:keepNext/>
      <w:numPr>
        <w:ilvl w:val="4"/>
        <w:numId w:val="18"/>
      </w:numPr>
      <w:outlineLvl w:val="4"/>
    </w:pPr>
    <w:rPr>
      <w:b/>
      <w:bCs/>
      <w:i/>
      <w:iCs/>
    </w:rPr>
  </w:style>
  <w:style w:type="paragraph" w:styleId="Heading6">
    <w:name w:val="heading 6"/>
    <w:basedOn w:val="Normal"/>
    <w:next w:val="Normal"/>
    <w:qFormat/>
    <w:pPr>
      <w:keepNext/>
      <w:spacing w:line="360" w:lineRule="auto"/>
      <w:outlineLvl w:val="5"/>
    </w:pPr>
    <w:rPr>
      <w:sz w:val="22"/>
    </w:rPr>
  </w:style>
  <w:style w:type="paragraph" w:styleId="Heading7">
    <w:name w:val="heading 7"/>
    <w:basedOn w:val="Normal"/>
    <w:next w:val="Normal"/>
    <w:qFormat/>
    <w:pPr>
      <w:keepNext/>
      <w:numPr>
        <w:ilvl w:val="6"/>
        <w:numId w:val="18"/>
      </w:numPr>
      <w:outlineLvl w:val="6"/>
    </w:pPr>
    <w:rPr>
      <w:b/>
      <w:bCs/>
      <w:sz w:val="18"/>
      <w:lang w:val="en-US"/>
    </w:rPr>
  </w:style>
  <w:style w:type="paragraph" w:styleId="Heading8">
    <w:name w:val="heading 8"/>
    <w:basedOn w:val="Normal"/>
    <w:next w:val="Normal"/>
    <w:qFormat/>
    <w:pPr>
      <w:numPr>
        <w:ilvl w:val="7"/>
        <w:numId w:val="18"/>
      </w:numPr>
      <w:spacing w:before="240" w:after="60"/>
      <w:outlineLvl w:val="7"/>
    </w:pPr>
    <w:rPr>
      <w:rFonts w:ascii="Arial" w:hAnsi="Arial"/>
      <w:i/>
      <w:sz w:val="20"/>
      <w:szCs w:val="20"/>
    </w:rPr>
  </w:style>
  <w:style w:type="paragraph" w:styleId="Heading9">
    <w:name w:val="heading 9"/>
    <w:basedOn w:val="Normal"/>
    <w:next w:val="Normal"/>
    <w:qFormat/>
    <w:pPr>
      <w:keepNext/>
      <w:numPr>
        <w:ilvl w:val="8"/>
        <w:numId w:val="18"/>
      </w:numPr>
      <w:outlineLvl w:val="8"/>
    </w:pPr>
    <w:rPr>
      <w:i/>
      <w:iCs/>
      <w:sz w:val="18"/>
      <w:u w:val="single"/>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360" w:lineRule="auto"/>
    </w:pPr>
    <w:rPr>
      <w:sz w:val="22"/>
    </w:rPr>
  </w:style>
  <w:style w:type="paragraph" w:styleId="BodyText3">
    <w:name w:val="Body Text 3"/>
    <w:basedOn w:val="Normal"/>
    <w:rPr>
      <w:b/>
      <w:sz w:val="20"/>
      <w:szCs w:val="20"/>
    </w:rPr>
  </w:style>
  <w:style w:type="paragraph" w:styleId="BodyText2">
    <w:name w:val="Body Text 2"/>
    <w:basedOn w:val="Normal"/>
    <w:pPr>
      <w:tabs>
        <w:tab w:val="left" w:pos="4230"/>
      </w:tabs>
      <w:spacing w:line="360" w:lineRule="auto"/>
    </w:pPr>
    <w:rPr>
      <w:i/>
      <w:iCs/>
      <w:sz w:val="20"/>
    </w:rPr>
  </w:style>
  <w:style w:type="paragraph" w:styleId="PlainText">
    <w:name w:val="Plain Text"/>
    <w:basedOn w:val="Normal"/>
    <w:pPr>
      <w:spacing w:line="360" w:lineRule="auto"/>
      <w:outlineLvl w:val="0"/>
    </w:pPr>
    <w:rPr>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customStyle="1" w:styleId="Reference">
    <w:name w:val="Reference"/>
    <w:basedOn w:val="DefaultParagraphFont"/>
    <w:rPr>
      <w:sz w:val="18"/>
    </w:rPr>
  </w:style>
  <w:style w:type="paragraph" w:styleId="BodyTextIndent">
    <w:name w:val="Body Text Indent"/>
    <w:basedOn w:val="Normal"/>
    <w:pPr>
      <w:ind w:left="720"/>
    </w:pPr>
  </w:style>
  <w:style w:type="paragraph" w:styleId="TOC2">
    <w:name w:val="toc 2"/>
    <w:basedOn w:val="Normal"/>
    <w:next w:val="Normal"/>
    <w:autoRedefine/>
    <w:semiHidden/>
    <w:pPr>
      <w:ind w:left="240"/>
    </w:pPr>
    <w:rPr>
      <w:smallCaps/>
    </w:rPr>
  </w:style>
  <w:style w:type="paragraph" w:styleId="TOC1">
    <w:name w:val="toc 1"/>
    <w:basedOn w:val="Normal"/>
    <w:next w:val="Normal"/>
    <w:autoRedefine/>
    <w:semiHidden/>
    <w:pPr>
      <w:spacing w:before="120" w:after="120"/>
    </w:pPr>
    <w:rPr>
      <w:b/>
      <w:bCs/>
      <w:caps/>
    </w:rPr>
  </w:style>
  <w:style w:type="paragraph" w:styleId="TOC3">
    <w:name w:val="toc 3"/>
    <w:basedOn w:val="Normal"/>
    <w:next w:val="Normal"/>
    <w:autoRedefine/>
    <w:semiHidden/>
    <w:pPr>
      <w:ind w:left="480"/>
    </w:pPr>
    <w:rPr>
      <w:i/>
      <w:iCs/>
    </w:r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paragraph" w:styleId="Caption">
    <w:name w:val="caption"/>
    <w:basedOn w:val="Normal"/>
    <w:next w:val="Normal"/>
    <w:qFormat/>
    <w:pPr>
      <w:spacing w:before="120" w:after="120"/>
    </w:pPr>
    <w:rPr>
      <w:b/>
      <w:bCs/>
      <w:sz w:val="22"/>
      <w:szCs w:val="20"/>
    </w:rPr>
  </w:style>
  <w:style w:type="paragraph" w:styleId="TableofFigures">
    <w:name w:val="table of figures"/>
    <w:basedOn w:val="Normal"/>
    <w:next w:val="Normal"/>
    <w:semiHidden/>
    <w:pPr>
      <w:ind w:left="480" w:hanging="480"/>
    </w:pPr>
  </w:style>
</w:styles>
</file>

<file path=word/webSettings.xml><?xml version="1.0" encoding="utf-8"?>
<w:webSettings xmlns:r="http://schemas.openxmlformats.org/officeDocument/2006/relationships" xmlns:w="http://schemas.openxmlformats.org/wordprocessingml/2006/main">
  <w:divs>
    <w:div w:id="32841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16670</Words>
  <Characters>95019</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ADDENDUM TO:</vt:lpstr>
    </vt:vector>
  </TitlesOfParts>
  <Company>STMicroelectronics</Company>
  <LinksUpToDate>false</LinksUpToDate>
  <CharactersWithSpaces>111467</CharactersWithSpaces>
  <SharedDoc>false</SharedDoc>
  <HLinks>
    <vt:vector size="180" baseType="variant">
      <vt:variant>
        <vt:i4>1703987</vt:i4>
      </vt:variant>
      <vt:variant>
        <vt:i4>182</vt:i4>
      </vt:variant>
      <vt:variant>
        <vt:i4>0</vt:i4>
      </vt:variant>
      <vt:variant>
        <vt:i4>5</vt:i4>
      </vt:variant>
      <vt:variant>
        <vt:lpwstr/>
      </vt:variant>
      <vt:variant>
        <vt:lpwstr>_Toc113105185</vt:lpwstr>
      </vt:variant>
      <vt:variant>
        <vt:i4>1703987</vt:i4>
      </vt:variant>
      <vt:variant>
        <vt:i4>176</vt:i4>
      </vt:variant>
      <vt:variant>
        <vt:i4>0</vt:i4>
      </vt:variant>
      <vt:variant>
        <vt:i4>5</vt:i4>
      </vt:variant>
      <vt:variant>
        <vt:lpwstr/>
      </vt:variant>
      <vt:variant>
        <vt:lpwstr>_Toc113105184</vt:lpwstr>
      </vt:variant>
      <vt:variant>
        <vt:i4>1703987</vt:i4>
      </vt:variant>
      <vt:variant>
        <vt:i4>170</vt:i4>
      </vt:variant>
      <vt:variant>
        <vt:i4>0</vt:i4>
      </vt:variant>
      <vt:variant>
        <vt:i4>5</vt:i4>
      </vt:variant>
      <vt:variant>
        <vt:lpwstr/>
      </vt:variant>
      <vt:variant>
        <vt:lpwstr>_Toc113105183</vt:lpwstr>
      </vt:variant>
      <vt:variant>
        <vt:i4>1703987</vt:i4>
      </vt:variant>
      <vt:variant>
        <vt:i4>164</vt:i4>
      </vt:variant>
      <vt:variant>
        <vt:i4>0</vt:i4>
      </vt:variant>
      <vt:variant>
        <vt:i4>5</vt:i4>
      </vt:variant>
      <vt:variant>
        <vt:lpwstr/>
      </vt:variant>
      <vt:variant>
        <vt:lpwstr>_Toc113105182</vt:lpwstr>
      </vt:variant>
      <vt:variant>
        <vt:i4>1703987</vt:i4>
      </vt:variant>
      <vt:variant>
        <vt:i4>158</vt:i4>
      </vt:variant>
      <vt:variant>
        <vt:i4>0</vt:i4>
      </vt:variant>
      <vt:variant>
        <vt:i4>5</vt:i4>
      </vt:variant>
      <vt:variant>
        <vt:lpwstr/>
      </vt:variant>
      <vt:variant>
        <vt:lpwstr>_Toc113105181</vt:lpwstr>
      </vt:variant>
      <vt:variant>
        <vt:i4>1703987</vt:i4>
      </vt:variant>
      <vt:variant>
        <vt:i4>152</vt:i4>
      </vt:variant>
      <vt:variant>
        <vt:i4>0</vt:i4>
      </vt:variant>
      <vt:variant>
        <vt:i4>5</vt:i4>
      </vt:variant>
      <vt:variant>
        <vt:lpwstr/>
      </vt:variant>
      <vt:variant>
        <vt:lpwstr>_Toc113105180</vt:lpwstr>
      </vt:variant>
      <vt:variant>
        <vt:i4>1376307</vt:i4>
      </vt:variant>
      <vt:variant>
        <vt:i4>146</vt:i4>
      </vt:variant>
      <vt:variant>
        <vt:i4>0</vt:i4>
      </vt:variant>
      <vt:variant>
        <vt:i4>5</vt:i4>
      </vt:variant>
      <vt:variant>
        <vt:lpwstr/>
      </vt:variant>
      <vt:variant>
        <vt:lpwstr>_Toc113105179</vt:lpwstr>
      </vt:variant>
      <vt:variant>
        <vt:i4>1376307</vt:i4>
      </vt:variant>
      <vt:variant>
        <vt:i4>140</vt:i4>
      </vt:variant>
      <vt:variant>
        <vt:i4>0</vt:i4>
      </vt:variant>
      <vt:variant>
        <vt:i4>5</vt:i4>
      </vt:variant>
      <vt:variant>
        <vt:lpwstr/>
      </vt:variant>
      <vt:variant>
        <vt:lpwstr>_Toc113105178</vt:lpwstr>
      </vt:variant>
      <vt:variant>
        <vt:i4>1048627</vt:i4>
      </vt:variant>
      <vt:variant>
        <vt:i4>131</vt:i4>
      </vt:variant>
      <vt:variant>
        <vt:i4>0</vt:i4>
      </vt:variant>
      <vt:variant>
        <vt:i4>5</vt:i4>
      </vt:variant>
      <vt:variant>
        <vt:lpwstr/>
      </vt:variant>
      <vt:variant>
        <vt:lpwstr>_Toc113105121</vt:lpwstr>
      </vt:variant>
      <vt:variant>
        <vt:i4>1048627</vt:i4>
      </vt:variant>
      <vt:variant>
        <vt:i4>125</vt:i4>
      </vt:variant>
      <vt:variant>
        <vt:i4>0</vt:i4>
      </vt:variant>
      <vt:variant>
        <vt:i4>5</vt:i4>
      </vt:variant>
      <vt:variant>
        <vt:lpwstr/>
      </vt:variant>
      <vt:variant>
        <vt:lpwstr>_Toc113105120</vt:lpwstr>
      </vt:variant>
      <vt:variant>
        <vt:i4>1245235</vt:i4>
      </vt:variant>
      <vt:variant>
        <vt:i4>119</vt:i4>
      </vt:variant>
      <vt:variant>
        <vt:i4>0</vt:i4>
      </vt:variant>
      <vt:variant>
        <vt:i4>5</vt:i4>
      </vt:variant>
      <vt:variant>
        <vt:lpwstr/>
      </vt:variant>
      <vt:variant>
        <vt:lpwstr>_Toc113105119</vt:lpwstr>
      </vt:variant>
      <vt:variant>
        <vt:i4>1245235</vt:i4>
      </vt:variant>
      <vt:variant>
        <vt:i4>113</vt:i4>
      </vt:variant>
      <vt:variant>
        <vt:i4>0</vt:i4>
      </vt:variant>
      <vt:variant>
        <vt:i4>5</vt:i4>
      </vt:variant>
      <vt:variant>
        <vt:lpwstr/>
      </vt:variant>
      <vt:variant>
        <vt:lpwstr>_Toc113105118</vt:lpwstr>
      </vt:variant>
      <vt:variant>
        <vt:i4>1572919</vt:i4>
      </vt:variant>
      <vt:variant>
        <vt:i4>104</vt:i4>
      </vt:variant>
      <vt:variant>
        <vt:i4>0</vt:i4>
      </vt:variant>
      <vt:variant>
        <vt:i4>5</vt:i4>
      </vt:variant>
      <vt:variant>
        <vt:lpwstr/>
      </vt:variant>
      <vt:variant>
        <vt:lpwstr>_Toc132368275</vt:lpwstr>
      </vt:variant>
      <vt:variant>
        <vt:i4>1572919</vt:i4>
      </vt:variant>
      <vt:variant>
        <vt:i4>98</vt:i4>
      </vt:variant>
      <vt:variant>
        <vt:i4>0</vt:i4>
      </vt:variant>
      <vt:variant>
        <vt:i4>5</vt:i4>
      </vt:variant>
      <vt:variant>
        <vt:lpwstr/>
      </vt:variant>
      <vt:variant>
        <vt:lpwstr>_Toc132368274</vt:lpwstr>
      </vt:variant>
      <vt:variant>
        <vt:i4>1572919</vt:i4>
      </vt:variant>
      <vt:variant>
        <vt:i4>92</vt:i4>
      </vt:variant>
      <vt:variant>
        <vt:i4>0</vt:i4>
      </vt:variant>
      <vt:variant>
        <vt:i4>5</vt:i4>
      </vt:variant>
      <vt:variant>
        <vt:lpwstr/>
      </vt:variant>
      <vt:variant>
        <vt:lpwstr>_Toc132368273</vt:lpwstr>
      </vt:variant>
      <vt:variant>
        <vt:i4>1572919</vt:i4>
      </vt:variant>
      <vt:variant>
        <vt:i4>86</vt:i4>
      </vt:variant>
      <vt:variant>
        <vt:i4>0</vt:i4>
      </vt:variant>
      <vt:variant>
        <vt:i4>5</vt:i4>
      </vt:variant>
      <vt:variant>
        <vt:lpwstr/>
      </vt:variant>
      <vt:variant>
        <vt:lpwstr>_Toc132368272</vt:lpwstr>
      </vt:variant>
      <vt:variant>
        <vt:i4>1572919</vt:i4>
      </vt:variant>
      <vt:variant>
        <vt:i4>80</vt:i4>
      </vt:variant>
      <vt:variant>
        <vt:i4>0</vt:i4>
      </vt:variant>
      <vt:variant>
        <vt:i4>5</vt:i4>
      </vt:variant>
      <vt:variant>
        <vt:lpwstr/>
      </vt:variant>
      <vt:variant>
        <vt:lpwstr>_Toc132368271</vt:lpwstr>
      </vt:variant>
      <vt:variant>
        <vt:i4>1572919</vt:i4>
      </vt:variant>
      <vt:variant>
        <vt:i4>74</vt:i4>
      </vt:variant>
      <vt:variant>
        <vt:i4>0</vt:i4>
      </vt:variant>
      <vt:variant>
        <vt:i4>5</vt:i4>
      </vt:variant>
      <vt:variant>
        <vt:lpwstr/>
      </vt:variant>
      <vt:variant>
        <vt:lpwstr>_Toc132368270</vt:lpwstr>
      </vt:variant>
      <vt:variant>
        <vt:i4>1638455</vt:i4>
      </vt:variant>
      <vt:variant>
        <vt:i4>68</vt:i4>
      </vt:variant>
      <vt:variant>
        <vt:i4>0</vt:i4>
      </vt:variant>
      <vt:variant>
        <vt:i4>5</vt:i4>
      </vt:variant>
      <vt:variant>
        <vt:lpwstr/>
      </vt:variant>
      <vt:variant>
        <vt:lpwstr>_Toc132368269</vt:lpwstr>
      </vt:variant>
      <vt:variant>
        <vt:i4>1638455</vt:i4>
      </vt:variant>
      <vt:variant>
        <vt:i4>62</vt:i4>
      </vt:variant>
      <vt:variant>
        <vt:i4>0</vt:i4>
      </vt:variant>
      <vt:variant>
        <vt:i4>5</vt:i4>
      </vt:variant>
      <vt:variant>
        <vt:lpwstr/>
      </vt:variant>
      <vt:variant>
        <vt:lpwstr>_Toc132368268</vt:lpwstr>
      </vt:variant>
      <vt:variant>
        <vt:i4>1638455</vt:i4>
      </vt:variant>
      <vt:variant>
        <vt:i4>56</vt:i4>
      </vt:variant>
      <vt:variant>
        <vt:i4>0</vt:i4>
      </vt:variant>
      <vt:variant>
        <vt:i4>5</vt:i4>
      </vt:variant>
      <vt:variant>
        <vt:lpwstr/>
      </vt:variant>
      <vt:variant>
        <vt:lpwstr>_Toc132368267</vt:lpwstr>
      </vt:variant>
      <vt:variant>
        <vt:i4>1638455</vt:i4>
      </vt:variant>
      <vt:variant>
        <vt:i4>50</vt:i4>
      </vt:variant>
      <vt:variant>
        <vt:i4>0</vt:i4>
      </vt:variant>
      <vt:variant>
        <vt:i4>5</vt:i4>
      </vt:variant>
      <vt:variant>
        <vt:lpwstr/>
      </vt:variant>
      <vt:variant>
        <vt:lpwstr>_Toc132368266</vt:lpwstr>
      </vt:variant>
      <vt:variant>
        <vt:i4>1638455</vt:i4>
      </vt:variant>
      <vt:variant>
        <vt:i4>44</vt:i4>
      </vt:variant>
      <vt:variant>
        <vt:i4>0</vt:i4>
      </vt:variant>
      <vt:variant>
        <vt:i4>5</vt:i4>
      </vt:variant>
      <vt:variant>
        <vt:lpwstr/>
      </vt:variant>
      <vt:variant>
        <vt:lpwstr>_Toc132368265</vt:lpwstr>
      </vt:variant>
      <vt:variant>
        <vt:i4>1638455</vt:i4>
      </vt:variant>
      <vt:variant>
        <vt:i4>38</vt:i4>
      </vt:variant>
      <vt:variant>
        <vt:i4>0</vt:i4>
      </vt:variant>
      <vt:variant>
        <vt:i4>5</vt:i4>
      </vt:variant>
      <vt:variant>
        <vt:lpwstr/>
      </vt:variant>
      <vt:variant>
        <vt:lpwstr>_Toc132368264</vt:lpwstr>
      </vt:variant>
      <vt:variant>
        <vt:i4>1638455</vt:i4>
      </vt:variant>
      <vt:variant>
        <vt:i4>32</vt:i4>
      </vt:variant>
      <vt:variant>
        <vt:i4>0</vt:i4>
      </vt:variant>
      <vt:variant>
        <vt:i4>5</vt:i4>
      </vt:variant>
      <vt:variant>
        <vt:lpwstr/>
      </vt:variant>
      <vt:variant>
        <vt:lpwstr>_Toc132368263</vt:lpwstr>
      </vt:variant>
      <vt:variant>
        <vt:i4>1638455</vt:i4>
      </vt:variant>
      <vt:variant>
        <vt:i4>26</vt:i4>
      </vt:variant>
      <vt:variant>
        <vt:i4>0</vt:i4>
      </vt:variant>
      <vt:variant>
        <vt:i4>5</vt:i4>
      </vt:variant>
      <vt:variant>
        <vt:lpwstr/>
      </vt:variant>
      <vt:variant>
        <vt:lpwstr>_Toc132368262</vt:lpwstr>
      </vt:variant>
      <vt:variant>
        <vt:i4>1638455</vt:i4>
      </vt:variant>
      <vt:variant>
        <vt:i4>20</vt:i4>
      </vt:variant>
      <vt:variant>
        <vt:i4>0</vt:i4>
      </vt:variant>
      <vt:variant>
        <vt:i4>5</vt:i4>
      </vt:variant>
      <vt:variant>
        <vt:lpwstr/>
      </vt:variant>
      <vt:variant>
        <vt:lpwstr>_Toc132368261</vt:lpwstr>
      </vt:variant>
      <vt:variant>
        <vt:i4>1638455</vt:i4>
      </vt:variant>
      <vt:variant>
        <vt:i4>14</vt:i4>
      </vt:variant>
      <vt:variant>
        <vt:i4>0</vt:i4>
      </vt:variant>
      <vt:variant>
        <vt:i4>5</vt:i4>
      </vt:variant>
      <vt:variant>
        <vt:lpwstr/>
      </vt:variant>
      <vt:variant>
        <vt:lpwstr>_Toc132368260</vt:lpwstr>
      </vt:variant>
      <vt:variant>
        <vt:i4>1703991</vt:i4>
      </vt:variant>
      <vt:variant>
        <vt:i4>8</vt:i4>
      </vt:variant>
      <vt:variant>
        <vt:i4>0</vt:i4>
      </vt:variant>
      <vt:variant>
        <vt:i4>5</vt:i4>
      </vt:variant>
      <vt:variant>
        <vt:lpwstr/>
      </vt:variant>
      <vt:variant>
        <vt:lpwstr>_Toc132368259</vt:lpwstr>
      </vt:variant>
      <vt:variant>
        <vt:i4>1703991</vt:i4>
      </vt:variant>
      <vt:variant>
        <vt:i4>2</vt:i4>
      </vt:variant>
      <vt:variant>
        <vt:i4>0</vt:i4>
      </vt:variant>
      <vt:variant>
        <vt:i4>5</vt:i4>
      </vt:variant>
      <vt:variant>
        <vt:lpwstr/>
      </vt:variant>
      <vt:variant>
        <vt:lpwstr>_Toc132368258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dc:title>
  <dc:subject/>
  <dc:creator>Packard Bell NEC</dc:creator>
  <cp:keywords/>
  <cp:lastModifiedBy>Anna Lawson</cp:lastModifiedBy>
  <cp:revision>2</cp:revision>
  <cp:lastPrinted>2006-04-18T20:14:00Z</cp:lastPrinted>
  <dcterms:created xsi:type="dcterms:W3CDTF">2011-01-26T10:26:00Z</dcterms:created>
  <dcterms:modified xsi:type="dcterms:W3CDTF">2011-01-26T10:26:00Z</dcterms:modified>
</cp:coreProperties>
</file>