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DCBD" w14:textId="713BD382" w:rsidR="00DF47F6" w:rsidRPr="00572FD0" w:rsidRDefault="005A12E0" w:rsidP="007909E0">
      <w:pPr>
        <w:rPr>
          <w:rFonts w:cstheme="minorHAnsi"/>
        </w:rPr>
      </w:pPr>
      <w:r>
        <w:rPr>
          <w:rFonts w:cstheme="minorHAnsi"/>
          <w:b/>
        </w:rPr>
        <w:t xml:space="preserve">Paediatric Major Incident Triage: </w:t>
      </w:r>
      <w:r w:rsidR="00917CE8" w:rsidRPr="00572FD0">
        <w:rPr>
          <w:rFonts w:cstheme="minorHAnsi"/>
          <w:b/>
        </w:rPr>
        <w:t>A Delphi process to determine clinicians</w:t>
      </w:r>
      <w:r w:rsidR="001431C1" w:rsidRPr="00572FD0">
        <w:rPr>
          <w:rFonts w:cstheme="minorHAnsi"/>
          <w:b/>
        </w:rPr>
        <w:t>’ attitudes and beliefs within the United Kingdom</w:t>
      </w:r>
      <w:r w:rsidR="0034512C">
        <w:rPr>
          <w:rFonts w:cstheme="minorHAnsi"/>
          <w:b/>
        </w:rPr>
        <w:t xml:space="preserve"> and Ireland</w:t>
      </w:r>
      <w:r w:rsidR="001B2DFF" w:rsidRPr="00572FD0">
        <w:rPr>
          <w:rFonts w:cstheme="minorHAnsi"/>
          <w:b/>
        </w:rPr>
        <w:t>.</w:t>
      </w:r>
    </w:p>
    <w:p w14:paraId="4EBF3300" w14:textId="0D63E0B9" w:rsidR="00D64C9F" w:rsidRPr="00D64C9F" w:rsidRDefault="00DF47F6" w:rsidP="00D64C9F">
      <w:pPr>
        <w:rPr>
          <w:rFonts w:cstheme="minorHAnsi"/>
          <w:b/>
          <w:bCs/>
          <w:i/>
          <w:iCs/>
        </w:rPr>
      </w:pPr>
      <w:r w:rsidRPr="00572FD0">
        <w:rPr>
          <w:rFonts w:cstheme="minorHAnsi"/>
          <w:b/>
          <w:bCs/>
        </w:rPr>
        <w:t>J</w:t>
      </w:r>
      <w:r w:rsidR="00D64C9F">
        <w:rPr>
          <w:rFonts w:cstheme="minorHAnsi"/>
          <w:b/>
          <w:bCs/>
        </w:rPr>
        <w:t xml:space="preserve"> </w:t>
      </w:r>
      <w:r w:rsidRPr="00572FD0">
        <w:rPr>
          <w:rFonts w:cstheme="minorHAnsi"/>
          <w:b/>
          <w:bCs/>
        </w:rPr>
        <w:t>V</w:t>
      </w:r>
      <w:r w:rsidR="00F9757A">
        <w:rPr>
          <w:rFonts w:cstheme="minorHAnsi"/>
          <w:b/>
          <w:bCs/>
        </w:rPr>
        <w:t>assallo</w:t>
      </w:r>
      <w:r w:rsidR="00C86383" w:rsidRPr="00572FD0">
        <w:rPr>
          <w:rFonts w:cstheme="minorHAnsi"/>
          <w:b/>
          <w:bCs/>
          <w:vertAlign w:val="superscript"/>
        </w:rPr>
        <w:t>1,2,3</w:t>
      </w:r>
      <w:r w:rsidRPr="00572FD0">
        <w:rPr>
          <w:rFonts w:cstheme="minorHAnsi"/>
          <w:b/>
          <w:bCs/>
        </w:rPr>
        <w:t xml:space="preserve">, </w:t>
      </w:r>
      <w:r w:rsidR="004062C5" w:rsidRPr="00572FD0">
        <w:rPr>
          <w:rFonts w:cstheme="minorHAnsi"/>
          <w:b/>
          <w:bCs/>
        </w:rPr>
        <w:t>S B</w:t>
      </w:r>
      <w:r w:rsidR="00F9757A">
        <w:rPr>
          <w:rFonts w:cstheme="minorHAnsi"/>
          <w:b/>
          <w:bCs/>
        </w:rPr>
        <w:t>lakey</w:t>
      </w:r>
      <w:r w:rsidR="00C86383" w:rsidRPr="00572FD0">
        <w:rPr>
          <w:rFonts w:cstheme="minorHAnsi"/>
          <w:b/>
          <w:bCs/>
          <w:vertAlign w:val="superscript"/>
        </w:rPr>
        <w:t>4,5</w:t>
      </w:r>
      <w:r w:rsidR="004062C5" w:rsidRPr="00572FD0">
        <w:rPr>
          <w:rFonts w:cstheme="minorHAnsi"/>
          <w:b/>
          <w:bCs/>
        </w:rPr>
        <w:t>, P</w:t>
      </w:r>
      <w:r w:rsidRPr="00572FD0">
        <w:rPr>
          <w:rFonts w:cstheme="minorHAnsi"/>
          <w:b/>
          <w:bCs/>
        </w:rPr>
        <w:t xml:space="preserve"> C</w:t>
      </w:r>
      <w:r w:rsidR="00F9757A">
        <w:rPr>
          <w:rFonts w:cstheme="minorHAnsi"/>
          <w:b/>
          <w:bCs/>
        </w:rPr>
        <w:t>owburn</w:t>
      </w:r>
      <w:r w:rsidR="00B375E0" w:rsidRPr="00572FD0">
        <w:rPr>
          <w:rFonts w:cstheme="minorHAnsi"/>
          <w:b/>
          <w:bCs/>
          <w:vertAlign w:val="superscript"/>
        </w:rPr>
        <w:t>3,6,7,8</w:t>
      </w:r>
      <w:r w:rsidRPr="00572FD0">
        <w:rPr>
          <w:rFonts w:cstheme="minorHAnsi"/>
          <w:b/>
          <w:bCs/>
        </w:rPr>
        <w:t>, J S</w:t>
      </w:r>
      <w:r w:rsidR="00F9757A">
        <w:rPr>
          <w:rFonts w:cstheme="minorHAnsi"/>
          <w:b/>
          <w:bCs/>
        </w:rPr>
        <w:t>urridge</w:t>
      </w:r>
      <w:r w:rsidR="00B375E0" w:rsidRPr="00572FD0">
        <w:rPr>
          <w:rFonts w:cstheme="minorHAnsi"/>
          <w:b/>
          <w:bCs/>
          <w:vertAlign w:val="superscript"/>
        </w:rPr>
        <w:t>9</w:t>
      </w:r>
      <w:r w:rsidRPr="00572FD0">
        <w:rPr>
          <w:rFonts w:cstheme="minorHAnsi"/>
          <w:b/>
          <w:bCs/>
        </w:rPr>
        <w:t>, J</w:t>
      </w:r>
      <w:r w:rsidR="00F9757A">
        <w:rPr>
          <w:rFonts w:cstheme="minorHAnsi"/>
          <w:b/>
          <w:bCs/>
        </w:rPr>
        <w:t xml:space="preserve"> </w:t>
      </w:r>
      <w:r w:rsidR="004062C5" w:rsidRPr="00572FD0">
        <w:rPr>
          <w:rFonts w:cstheme="minorHAnsi"/>
          <w:b/>
          <w:bCs/>
        </w:rPr>
        <w:t>E</w:t>
      </w:r>
      <w:r w:rsidRPr="00572FD0">
        <w:rPr>
          <w:rFonts w:cstheme="minorHAnsi"/>
          <w:b/>
          <w:bCs/>
        </w:rPr>
        <w:t xml:space="preserve"> S</w:t>
      </w:r>
      <w:r w:rsidR="00F9757A">
        <w:rPr>
          <w:rFonts w:cstheme="minorHAnsi"/>
          <w:b/>
          <w:bCs/>
        </w:rPr>
        <w:t>mith</w:t>
      </w:r>
      <w:r w:rsidR="00B375E0" w:rsidRPr="00572FD0">
        <w:rPr>
          <w:rFonts w:cstheme="minorHAnsi"/>
          <w:b/>
          <w:bCs/>
          <w:vertAlign w:val="superscript"/>
        </w:rPr>
        <w:t>2,10</w:t>
      </w:r>
      <w:r w:rsidRPr="00572FD0">
        <w:rPr>
          <w:rFonts w:cstheme="minorHAnsi"/>
          <w:b/>
          <w:bCs/>
        </w:rPr>
        <w:t xml:space="preserve">, </w:t>
      </w:r>
      <w:r w:rsidR="00441BB5" w:rsidRPr="00572FD0">
        <w:rPr>
          <w:rFonts w:cstheme="minorHAnsi"/>
          <w:b/>
          <w:bCs/>
        </w:rPr>
        <w:t>B S</w:t>
      </w:r>
      <w:r w:rsidR="00F9757A">
        <w:rPr>
          <w:rFonts w:cstheme="minorHAnsi"/>
          <w:b/>
          <w:bCs/>
        </w:rPr>
        <w:t>cholefield</w:t>
      </w:r>
      <w:r w:rsidR="00B375E0" w:rsidRPr="00572FD0">
        <w:rPr>
          <w:rFonts w:cstheme="minorHAnsi"/>
          <w:b/>
          <w:bCs/>
          <w:vertAlign w:val="superscript"/>
        </w:rPr>
        <w:t>11,12</w:t>
      </w:r>
      <w:r w:rsidR="00441BB5" w:rsidRPr="00572FD0">
        <w:rPr>
          <w:rFonts w:cstheme="minorHAnsi"/>
          <w:b/>
          <w:bCs/>
        </w:rPr>
        <w:t xml:space="preserve">, </w:t>
      </w:r>
      <w:r w:rsidRPr="00572FD0">
        <w:rPr>
          <w:rFonts w:cstheme="minorHAnsi"/>
          <w:b/>
          <w:bCs/>
        </w:rPr>
        <w:t>M</w:t>
      </w:r>
      <w:r w:rsidR="00F9757A">
        <w:rPr>
          <w:rFonts w:cstheme="minorHAnsi"/>
          <w:b/>
          <w:bCs/>
        </w:rPr>
        <w:t xml:space="preserve"> </w:t>
      </w:r>
      <w:r w:rsidR="004062C5" w:rsidRPr="00572FD0">
        <w:rPr>
          <w:rFonts w:cstheme="minorHAnsi"/>
          <w:b/>
          <w:bCs/>
        </w:rPr>
        <w:t xml:space="preserve">D </w:t>
      </w:r>
      <w:r w:rsidRPr="00572FD0">
        <w:rPr>
          <w:rFonts w:cstheme="minorHAnsi"/>
          <w:b/>
          <w:bCs/>
        </w:rPr>
        <w:t>L</w:t>
      </w:r>
      <w:r w:rsidR="00F9757A">
        <w:rPr>
          <w:rFonts w:cstheme="minorHAnsi"/>
          <w:b/>
          <w:bCs/>
        </w:rPr>
        <w:t>yttle</w:t>
      </w:r>
      <w:r w:rsidR="0028161C">
        <w:rPr>
          <w:rFonts w:cstheme="minorHAnsi"/>
          <w:b/>
          <w:bCs/>
          <w:vertAlign w:val="superscript"/>
        </w:rPr>
        <w:t>4,5</w:t>
      </w:r>
      <w:r w:rsidR="00C86383" w:rsidRPr="00572FD0">
        <w:rPr>
          <w:rFonts w:cstheme="minorHAnsi"/>
          <w:b/>
          <w:bCs/>
        </w:rPr>
        <w:t xml:space="preserve"> </w:t>
      </w:r>
      <w:r w:rsidR="00F113D4" w:rsidRPr="00572FD0">
        <w:rPr>
          <w:rFonts w:cstheme="minorHAnsi"/>
          <w:b/>
          <w:bCs/>
          <w:i/>
        </w:rPr>
        <w:t>on behalf of</w:t>
      </w:r>
      <w:r w:rsidR="00C86383" w:rsidRPr="00572FD0">
        <w:rPr>
          <w:rFonts w:cstheme="minorHAnsi"/>
          <w:b/>
          <w:bCs/>
          <w:i/>
          <w:iCs/>
        </w:rPr>
        <w:t xml:space="preserve"> PERUKI (Paediatric Emergency Research in the UK and Ireland).</w:t>
      </w:r>
    </w:p>
    <w:p w14:paraId="4767CF14" w14:textId="18145E25" w:rsidR="00247622" w:rsidRPr="00572FD0" w:rsidRDefault="00C86383" w:rsidP="00B375E0">
      <w:pPr>
        <w:pStyle w:val="NoSpacing"/>
        <w:spacing w:line="480" w:lineRule="auto"/>
        <w:rPr>
          <w:rFonts w:cstheme="minorHAnsi"/>
          <w:i/>
        </w:rPr>
      </w:pPr>
      <w:r w:rsidRPr="00572FD0">
        <w:rPr>
          <w:rFonts w:cstheme="minorHAnsi"/>
        </w:rPr>
        <w:t>Author details:</w:t>
      </w:r>
      <w:r w:rsidR="00B375E0" w:rsidRPr="00572FD0" w:rsidDel="00B375E0">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C86383" w:rsidRPr="00572FD0" w14:paraId="32648EA5" w14:textId="77777777" w:rsidTr="007909E0">
        <w:tc>
          <w:tcPr>
            <w:tcW w:w="562" w:type="dxa"/>
          </w:tcPr>
          <w:p w14:paraId="59D9A970" w14:textId="588BE8EF" w:rsidR="00C86383" w:rsidRPr="00572FD0" w:rsidRDefault="00C86383" w:rsidP="007909E0">
            <w:pPr>
              <w:pStyle w:val="NoSpacing"/>
              <w:jc w:val="right"/>
              <w:rPr>
                <w:rFonts w:cstheme="minorHAnsi"/>
                <w:iCs/>
              </w:rPr>
            </w:pPr>
            <w:r w:rsidRPr="00572FD0">
              <w:rPr>
                <w:rFonts w:cstheme="minorHAnsi"/>
                <w:iCs/>
              </w:rPr>
              <w:t>1</w:t>
            </w:r>
          </w:p>
        </w:tc>
        <w:tc>
          <w:tcPr>
            <w:tcW w:w="8454" w:type="dxa"/>
          </w:tcPr>
          <w:p w14:paraId="0E461A1D" w14:textId="6713124C" w:rsidR="00C86383" w:rsidRPr="00572FD0" w:rsidRDefault="00C86383" w:rsidP="00AE320C">
            <w:pPr>
              <w:pStyle w:val="NoSpacing"/>
              <w:rPr>
                <w:rFonts w:cstheme="minorHAnsi"/>
                <w:iCs/>
              </w:rPr>
            </w:pPr>
            <w:r w:rsidRPr="00572FD0">
              <w:rPr>
                <w:rFonts w:cstheme="minorHAnsi"/>
              </w:rPr>
              <w:t>Institute of Naval Medicine, Gosport, PO12 2DL, UK</w:t>
            </w:r>
          </w:p>
        </w:tc>
      </w:tr>
      <w:tr w:rsidR="00C86383" w:rsidRPr="00572FD0" w14:paraId="313C96AD" w14:textId="77777777" w:rsidTr="007909E0">
        <w:tc>
          <w:tcPr>
            <w:tcW w:w="562" w:type="dxa"/>
          </w:tcPr>
          <w:p w14:paraId="56C12E0D" w14:textId="07C3F07A" w:rsidR="00C86383" w:rsidRPr="00572FD0" w:rsidRDefault="00C86383" w:rsidP="007909E0">
            <w:pPr>
              <w:pStyle w:val="NoSpacing"/>
              <w:jc w:val="right"/>
              <w:rPr>
                <w:rFonts w:cstheme="minorHAnsi"/>
                <w:iCs/>
              </w:rPr>
            </w:pPr>
            <w:r w:rsidRPr="00572FD0">
              <w:rPr>
                <w:rFonts w:cstheme="minorHAnsi"/>
                <w:iCs/>
              </w:rPr>
              <w:t>2</w:t>
            </w:r>
          </w:p>
        </w:tc>
        <w:tc>
          <w:tcPr>
            <w:tcW w:w="8454" w:type="dxa"/>
          </w:tcPr>
          <w:p w14:paraId="4C1087F5" w14:textId="7965A5F8" w:rsidR="00C86383" w:rsidRPr="00572FD0" w:rsidRDefault="00C86383" w:rsidP="00AE320C">
            <w:pPr>
              <w:pStyle w:val="NoSpacing"/>
              <w:rPr>
                <w:rFonts w:cstheme="minorHAnsi"/>
              </w:rPr>
            </w:pPr>
            <w:r w:rsidRPr="00572FD0">
              <w:rPr>
                <w:rFonts w:cstheme="minorHAnsi"/>
              </w:rPr>
              <w:t>Academic Department of Military Emergency Medicine, Royal Centre for Defence Medicine, Birmingham, UK</w:t>
            </w:r>
          </w:p>
        </w:tc>
      </w:tr>
      <w:tr w:rsidR="00C86383" w:rsidRPr="00572FD0" w14:paraId="559368D4" w14:textId="77777777" w:rsidTr="007909E0">
        <w:tc>
          <w:tcPr>
            <w:tcW w:w="562" w:type="dxa"/>
          </w:tcPr>
          <w:p w14:paraId="7C6D2810" w14:textId="58C8941D" w:rsidR="00C86383" w:rsidRPr="00572FD0" w:rsidRDefault="00C86383" w:rsidP="007909E0">
            <w:pPr>
              <w:pStyle w:val="NoSpacing"/>
              <w:jc w:val="right"/>
              <w:rPr>
                <w:rFonts w:cstheme="minorHAnsi"/>
                <w:iCs/>
              </w:rPr>
            </w:pPr>
            <w:r w:rsidRPr="00572FD0">
              <w:rPr>
                <w:rFonts w:cstheme="minorHAnsi"/>
                <w:iCs/>
              </w:rPr>
              <w:t>3</w:t>
            </w:r>
          </w:p>
        </w:tc>
        <w:tc>
          <w:tcPr>
            <w:tcW w:w="8454" w:type="dxa"/>
          </w:tcPr>
          <w:p w14:paraId="02A6D704" w14:textId="0FD33FD1" w:rsidR="00C86383" w:rsidRPr="00572FD0" w:rsidRDefault="00C86383" w:rsidP="00AE320C">
            <w:pPr>
              <w:pStyle w:val="NoSpacing"/>
              <w:rPr>
                <w:rFonts w:cstheme="minorHAnsi"/>
                <w:iCs/>
              </w:rPr>
            </w:pPr>
            <w:r w:rsidRPr="00572FD0">
              <w:rPr>
                <w:rFonts w:cstheme="minorHAnsi"/>
                <w:iCs/>
              </w:rPr>
              <w:t>Great Western Air Ambulance Charity, Almondsbury, Bristol, UK</w:t>
            </w:r>
          </w:p>
        </w:tc>
      </w:tr>
      <w:tr w:rsidR="00C86383" w:rsidRPr="00572FD0" w14:paraId="27706DFB" w14:textId="77777777" w:rsidTr="007909E0">
        <w:tc>
          <w:tcPr>
            <w:tcW w:w="562" w:type="dxa"/>
          </w:tcPr>
          <w:p w14:paraId="13296596" w14:textId="33893D35" w:rsidR="00C86383" w:rsidRPr="00572FD0" w:rsidRDefault="00C86383" w:rsidP="007909E0">
            <w:pPr>
              <w:pStyle w:val="NoSpacing"/>
              <w:jc w:val="right"/>
              <w:rPr>
                <w:rFonts w:cstheme="minorHAnsi"/>
                <w:iCs/>
              </w:rPr>
            </w:pPr>
            <w:r w:rsidRPr="00572FD0">
              <w:rPr>
                <w:rFonts w:cstheme="minorHAnsi"/>
                <w:iCs/>
              </w:rPr>
              <w:t>4</w:t>
            </w:r>
          </w:p>
        </w:tc>
        <w:tc>
          <w:tcPr>
            <w:tcW w:w="8454" w:type="dxa"/>
          </w:tcPr>
          <w:p w14:paraId="362AEA6F" w14:textId="3B865059" w:rsidR="00C86383" w:rsidRPr="00572FD0" w:rsidRDefault="00C86383" w:rsidP="00AE320C">
            <w:pPr>
              <w:pStyle w:val="NoSpacing"/>
              <w:rPr>
                <w:rFonts w:cstheme="minorHAnsi"/>
              </w:rPr>
            </w:pPr>
            <w:r w:rsidRPr="00572FD0">
              <w:rPr>
                <w:rFonts w:cstheme="minorHAnsi"/>
              </w:rPr>
              <w:t>Emergency Department, Bristol Royal Hospital for Children, Bristol UK</w:t>
            </w:r>
          </w:p>
        </w:tc>
      </w:tr>
      <w:tr w:rsidR="00C86383" w:rsidRPr="00572FD0" w14:paraId="2A2AD6A0" w14:textId="77777777" w:rsidTr="007909E0">
        <w:tc>
          <w:tcPr>
            <w:tcW w:w="562" w:type="dxa"/>
          </w:tcPr>
          <w:p w14:paraId="1F37FEDE" w14:textId="7BAB9338" w:rsidR="00C86383" w:rsidRPr="00572FD0" w:rsidRDefault="00C86383" w:rsidP="007909E0">
            <w:pPr>
              <w:pStyle w:val="NoSpacing"/>
              <w:jc w:val="right"/>
              <w:rPr>
                <w:rFonts w:cstheme="minorHAnsi"/>
                <w:iCs/>
              </w:rPr>
            </w:pPr>
            <w:r w:rsidRPr="00572FD0">
              <w:rPr>
                <w:rFonts w:cstheme="minorHAnsi"/>
                <w:iCs/>
              </w:rPr>
              <w:t>5</w:t>
            </w:r>
          </w:p>
        </w:tc>
        <w:tc>
          <w:tcPr>
            <w:tcW w:w="8454" w:type="dxa"/>
          </w:tcPr>
          <w:p w14:paraId="42394578" w14:textId="125A1500" w:rsidR="00C86383" w:rsidRPr="00572FD0" w:rsidRDefault="00B375E0" w:rsidP="00AE320C">
            <w:pPr>
              <w:pStyle w:val="NoSpacing"/>
              <w:rPr>
                <w:rFonts w:cstheme="minorHAnsi"/>
                <w:iCs/>
              </w:rPr>
            </w:pPr>
            <w:r w:rsidRPr="00572FD0">
              <w:rPr>
                <w:rFonts w:cstheme="minorHAnsi"/>
                <w:iCs/>
              </w:rPr>
              <w:t>Research in Emergency Care, Avon Collaborative Hub (REACH), University of the West of England, Bristol, UK</w:t>
            </w:r>
          </w:p>
        </w:tc>
      </w:tr>
      <w:tr w:rsidR="00C86383" w:rsidRPr="00572FD0" w14:paraId="16A158FD" w14:textId="77777777" w:rsidTr="007909E0">
        <w:tc>
          <w:tcPr>
            <w:tcW w:w="562" w:type="dxa"/>
          </w:tcPr>
          <w:p w14:paraId="48787D49" w14:textId="6AB0A044" w:rsidR="00C86383" w:rsidRPr="00572FD0" w:rsidRDefault="00B375E0" w:rsidP="007909E0">
            <w:pPr>
              <w:pStyle w:val="NoSpacing"/>
              <w:jc w:val="right"/>
              <w:rPr>
                <w:rFonts w:cstheme="minorHAnsi"/>
                <w:iCs/>
              </w:rPr>
            </w:pPr>
            <w:r w:rsidRPr="00572FD0">
              <w:rPr>
                <w:rFonts w:cstheme="minorHAnsi"/>
                <w:iCs/>
              </w:rPr>
              <w:t>6</w:t>
            </w:r>
          </w:p>
        </w:tc>
        <w:tc>
          <w:tcPr>
            <w:tcW w:w="8454" w:type="dxa"/>
          </w:tcPr>
          <w:p w14:paraId="516B2618" w14:textId="19CCF08F" w:rsidR="00C86383" w:rsidRPr="00572FD0" w:rsidRDefault="00B375E0" w:rsidP="00AE320C">
            <w:pPr>
              <w:pStyle w:val="NoSpacing"/>
              <w:rPr>
                <w:rFonts w:cstheme="minorHAnsi"/>
                <w:iCs/>
              </w:rPr>
            </w:pPr>
            <w:r w:rsidRPr="00572FD0">
              <w:rPr>
                <w:rFonts w:cstheme="minorHAnsi"/>
              </w:rPr>
              <w:t>Emergency Department, University Hospitals Bristol and Weston NHS Foundation Trust, Bristol UK</w:t>
            </w:r>
          </w:p>
        </w:tc>
      </w:tr>
      <w:tr w:rsidR="00C86383" w:rsidRPr="00572FD0" w14:paraId="5ECE587E" w14:textId="77777777" w:rsidTr="007909E0">
        <w:tc>
          <w:tcPr>
            <w:tcW w:w="562" w:type="dxa"/>
          </w:tcPr>
          <w:p w14:paraId="46DF9576" w14:textId="13CF798E" w:rsidR="00C86383" w:rsidRPr="00572FD0" w:rsidRDefault="00B375E0" w:rsidP="007909E0">
            <w:pPr>
              <w:pStyle w:val="NoSpacing"/>
              <w:jc w:val="right"/>
              <w:rPr>
                <w:rFonts w:cstheme="minorHAnsi"/>
                <w:iCs/>
              </w:rPr>
            </w:pPr>
            <w:r w:rsidRPr="00572FD0">
              <w:rPr>
                <w:rFonts w:cstheme="minorHAnsi"/>
                <w:iCs/>
              </w:rPr>
              <w:t>7</w:t>
            </w:r>
          </w:p>
        </w:tc>
        <w:tc>
          <w:tcPr>
            <w:tcW w:w="8454" w:type="dxa"/>
          </w:tcPr>
          <w:p w14:paraId="0A75A883" w14:textId="713873AF" w:rsidR="00C86383" w:rsidRPr="00572FD0" w:rsidRDefault="00B375E0" w:rsidP="00AE320C">
            <w:pPr>
              <w:pStyle w:val="NoSpacing"/>
              <w:rPr>
                <w:rFonts w:cstheme="minorHAnsi"/>
                <w:iCs/>
              </w:rPr>
            </w:pPr>
            <w:proofErr w:type="gramStart"/>
            <w:r w:rsidRPr="00572FD0">
              <w:rPr>
                <w:rFonts w:cstheme="minorHAnsi"/>
                <w:iCs/>
              </w:rPr>
              <w:t>South Western</w:t>
            </w:r>
            <w:proofErr w:type="gramEnd"/>
            <w:r w:rsidRPr="00572FD0">
              <w:rPr>
                <w:rFonts w:cstheme="minorHAnsi"/>
                <w:iCs/>
              </w:rPr>
              <w:t xml:space="preserve"> Ambulance Service NHS Foundation Trust, North Bristol Operations Centre, Bristol, UK</w:t>
            </w:r>
          </w:p>
        </w:tc>
      </w:tr>
      <w:tr w:rsidR="00C86383" w:rsidRPr="00572FD0" w14:paraId="20BE3891" w14:textId="77777777" w:rsidTr="007909E0">
        <w:tc>
          <w:tcPr>
            <w:tcW w:w="562" w:type="dxa"/>
          </w:tcPr>
          <w:p w14:paraId="2D25CEBD" w14:textId="5AEABB8F" w:rsidR="00C86383" w:rsidRPr="00572FD0" w:rsidRDefault="00B375E0" w:rsidP="007909E0">
            <w:pPr>
              <w:pStyle w:val="NoSpacing"/>
              <w:jc w:val="right"/>
              <w:rPr>
                <w:rFonts w:cstheme="minorHAnsi"/>
                <w:iCs/>
              </w:rPr>
            </w:pPr>
            <w:r w:rsidRPr="00572FD0">
              <w:rPr>
                <w:rFonts w:cstheme="minorHAnsi"/>
                <w:iCs/>
              </w:rPr>
              <w:t>8</w:t>
            </w:r>
          </w:p>
        </w:tc>
        <w:tc>
          <w:tcPr>
            <w:tcW w:w="8454" w:type="dxa"/>
          </w:tcPr>
          <w:p w14:paraId="1E78F0E5" w14:textId="6C56B6ED" w:rsidR="00C86383" w:rsidRPr="00572FD0" w:rsidRDefault="00B375E0" w:rsidP="00AE320C">
            <w:pPr>
              <w:pStyle w:val="NoSpacing"/>
              <w:rPr>
                <w:rFonts w:cstheme="minorHAnsi"/>
                <w:iCs/>
              </w:rPr>
            </w:pPr>
            <w:r w:rsidRPr="00572FD0">
              <w:rPr>
                <w:rFonts w:cstheme="minorHAnsi"/>
                <w:iCs/>
              </w:rPr>
              <w:t>National Ambulance Resilience Unit (NARU), College of Policing, Ryton on Dunsmore, UK</w:t>
            </w:r>
          </w:p>
        </w:tc>
      </w:tr>
      <w:tr w:rsidR="00B375E0" w:rsidRPr="00572FD0" w14:paraId="05C8C527" w14:textId="77777777" w:rsidTr="007909E0">
        <w:tc>
          <w:tcPr>
            <w:tcW w:w="562" w:type="dxa"/>
          </w:tcPr>
          <w:p w14:paraId="1AF904D1" w14:textId="2EF7F9EB" w:rsidR="00B375E0" w:rsidRPr="00572FD0" w:rsidRDefault="00B375E0" w:rsidP="007909E0">
            <w:pPr>
              <w:pStyle w:val="NoSpacing"/>
              <w:jc w:val="right"/>
              <w:rPr>
                <w:rFonts w:cstheme="minorHAnsi"/>
                <w:iCs/>
              </w:rPr>
            </w:pPr>
            <w:r w:rsidRPr="00572FD0">
              <w:rPr>
                <w:rFonts w:cstheme="minorHAnsi"/>
                <w:iCs/>
              </w:rPr>
              <w:t>9</w:t>
            </w:r>
          </w:p>
        </w:tc>
        <w:tc>
          <w:tcPr>
            <w:tcW w:w="8454" w:type="dxa"/>
          </w:tcPr>
          <w:p w14:paraId="5E3A8337" w14:textId="0FABFAD5" w:rsidR="00B375E0" w:rsidRPr="00572FD0" w:rsidRDefault="001B2DFF" w:rsidP="00AE320C">
            <w:pPr>
              <w:pStyle w:val="NoSpacing"/>
              <w:rPr>
                <w:rFonts w:cstheme="minorHAnsi"/>
                <w:iCs/>
              </w:rPr>
            </w:pPr>
            <w:r w:rsidRPr="00572FD0">
              <w:rPr>
                <w:rFonts w:cstheme="minorHAnsi"/>
                <w:iCs/>
              </w:rPr>
              <w:t>Emergency Department, University Hospitals of Derby and Burton NHS Foundation Trust, Derby, UK</w:t>
            </w:r>
          </w:p>
        </w:tc>
      </w:tr>
      <w:tr w:rsidR="00B375E0" w:rsidRPr="00572FD0" w14:paraId="32125CDF" w14:textId="77777777" w:rsidTr="007909E0">
        <w:tc>
          <w:tcPr>
            <w:tcW w:w="562" w:type="dxa"/>
          </w:tcPr>
          <w:p w14:paraId="23DCB5A6" w14:textId="656F973D" w:rsidR="00B375E0" w:rsidRPr="00572FD0" w:rsidRDefault="00B375E0" w:rsidP="007909E0">
            <w:pPr>
              <w:pStyle w:val="NoSpacing"/>
              <w:jc w:val="right"/>
              <w:rPr>
                <w:rFonts w:cstheme="minorHAnsi"/>
                <w:iCs/>
              </w:rPr>
            </w:pPr>
            <w:r w:rsidRPr="00572FD0">
              <w:rPr>
                <w:rFonts w:cstheme="minorHAnsi"/>
                <w:iCs/>
              </w:rPr>
              <w:t>10</w:t>
            </w:r>
          </w:p>
        </w:tc>
        <w:tc>
          <w:tcPr>
            <w:tcW w:w="8454" w:type="dxa"/>
          </w:tcPr>
          <w:p w14:paraId="65315EE5" w14:textId="16F4C850" w:rsidR="00B375E0" w:rsidRPr="00572FD0" w:rsidRDefault="00B375E0" w:rsidP="00AE320C">
            <w:pPr>
              <w:pStyle w:val="NoSpacing"/>
              <w:rPr>
                <w:rFonts w:cstheme="minorHAnsi"/>
              </w:rPr>
            </w:pPr>
            <w:r w:rsidRPr="00572FD0">
              <w:rPr>
                <w:rFonts w:cstheme="minorHAnsi"/>
              </w:rPr>
              <w:t>Emergency department, University Hospitals Plymouth NHS Trust, Plymouth, UK</w:t>
            </w:r>
          </w:p>
        </w:tc>
      </w:tr>
      <w:tr w:rsidR="00B375E0" w:rsidRPr="00572FD0" w14:paraId="73D6FAAC" w14:textId="77777777" w:rsidTr="007909E0">
        <w:tc>
          <w:tcPr>
            <w:tcW w:w="562" w:type="dxa"/>
          </w:tcPr>
          <w:p w14:paraId="6393D8CD" w14:textId="143A01FA" w:rsidR="00B375E0" w:rsidRPr="00572FD0" w:rsidRDefault="00B375E0" w:rsidP="007909E0">
            <w:pPr>
              <w:pStyle w:val="NoSpacing"/>
              <w:jc w:val="right"/>
              <w:rPr>
                <w:rFonts w:cstheme="minorHAnsi"/>
                <w:iCs/>
              </w:rPr>
            </w:pPr>
            <w:r w:rsidRPr="00572FD0">
              <w:rPr>
                <w:rFonts w:cstheme="minorHAnsi"/>
                <w:iCs/>
              </w:rPr>
              <w:t>11</w:t>
            </w:r>
          </w:p>
        </w:tc>
        <w:tc>
          <w:tcPr>
            <w:tcW w:w="8454" w:type="dxa"/>
          </w:tcPr>
          <w:p w14:paraId="39F129A2" w14:textId="67E006BF" w:rsidR="00B375E0" w:rsidRPr="00572FD0" w:rsidRDefault="003E62B5" w:rsidP="0083495F">
            <w:pPr>
              <w:pStyle w:val="NoSpacing"/>
              <w:rPr>
                <w:rFonts w:cstheme="minorHAnsi"/>
              </w:rPr>
            </w:pPr>
            <w:r w:rsidRPr="00572FD0">
              <w:rPr>
                <w:rFonts w:cstheme="minorHAnsi"/>
              </w:rPr>
              <w:t>Birmingham Acute</w:t>
            </w:r>
            <w:r w:rsidR="0083495F" w:rsidRPr="00572FD0">
              <w:rPr>
                <w:rFonts w:cstheme="minorHAnsi"/>
              </w:rPr>
              <w:t xml:space="preserve"> Care Research Group, Institute of Inflammation and Ageing, University of Birmingham, UK</w:t>
            </w:r>
          </w:p>
        </w:tc>
      </w:tr>
      <w:tr w:rsidR="00B375E0" w:rsidRPr="00572FD0" w14:paraId="6206608D" w14:textId="77777777" w:rsidTr="007909E0">
        <w:tc>
          <w:tcPr>
            <w:tcW w:w="562" w:type="dxa"/>
          </w:tcPr>
          <w:p w14:paraId="2B5D678E" w14:textId="58C8E03A" w:rsidR="00B375E0" w:rsidRPr="00572FD0" w:rsidRDefault="00B375E0" w:rsidP="007909E0">
            <w:pPr>
              <w:pStyle w:val="NoSpacing"/>
              <w:jc w:val="right"/>
              <w:rPr>
                <w:rFonts w:cstheme="minorHAnsi"/>
                <w:iCs/>
              </w:rPr>
            </w:pPr>
            <w:r w:rsidRPr="00572FD0">
              <w:rPr>
                <w:rFonts w:cstheme="minorHAnsi"/>
                <w:iCs/>
              </w:rPr>
              <w:t>12</w:t>
            </w:r>
          </w:p>
        </w:tc>
        <w:tc>
          <w:tcPr>
            <w:tcW w:w="8454" w:type="dxa"/>
          </w:tcPr>
          <w:p w14:paraId="395A8E00" w14:textId="01FF0E91" w:rsidR="00B375E0" w:rsidRPr="00572FD0" w:rsidRDefault="0083495F" w:rsidP="0083495F">
            <w:pPr>
              <w:pStyle w:val="NoSpacing"/>
              <w:rPr>
                <w:rFonts w:cstheme="minorHAnsi"/>
              </w:rPr>
            </w:pPr>
            <w:r w:rsidRPr="00572FD0">
              <w:rPr>
                <w:rFonts w:cstheme="minorHAnsi"/>
              </w:rPr>
              <w:t>Paediatric Intensive Care, Birmingham Women &amp; Children’s Hospital, NHS Foundation Trust, Birmingham, UK</w:t>
            </w:r>
          </w:p>
        </w:tc>
      </w:tr>
    </w:tbl>
    <w:p w14:paraId="42B335AC" w14:textId="77777777" w:rsidR="00FE0FD1" w:rsidRDefault="00FE0FD1" w:rsidP="00FE0FD1">
      <w:pPr>
        <w:pStyle w:val="NoSpacing"/>
        <w:spacing w:line="480" w:lineRule="auto"/>
        <w:rPr>
          <w:rFonts w:cstheme="minorHAnsi"/>
          <w:b/>
          <w:bCs/>
        </w:rPr>
      </w:pPr>
    </w:p>
    <w:p w14:paraId="550EAB33" w14:textId="2EBA78A6" w:rsidR="00FE0FD1" w:rsidRPr="00D64C9F" w:rsidRDefault="00FE0FD1" w:rsidP="00FE0FD1">
      <w:pPr>
        <w:pStyle w:val="NoSpacing"/>
        <w:spacing w:line="480" w:lineRule="auto"/>
        <w:rPr>
          <w:rFonts w:cstheme="minorHAnsi"/>
          <w:b/>
          <w:bCs/>
        </w:rPr>
      </w:pPr>
      <w:r>
        <w:rPr>
          <w:rFonts w:cstheme="minorHAnsi"/>
          <w:b/>
          <w:bCs/>
        </w:rPr>
        <w:t xml:space="preserve">Running Title: </w:t>
      </w:r>
      <w:r w:rsidRPr="00D64C9F">
        <w:rPr>
          <w:rFonts w:cstheme="minorHAnsi"/>
        </w:rPr>
        <w:t>Paediatric Major Incident Triage Delphi</w:t>
      </w:r>
    </w:p>
    <w:p w14:paraId="7E5346B3" w14:textId="77777777" w:rsidR="00FE0FD1" w:rsidRPr="00572FD0" w:rsidRDefault="00FE0FD1" w:rsidP="00FE0FD1">
      <w:pPr>
        <w:rPr>
          <w:rFonts w:cstheme="minorHAnsi"/>
          <w:b/>
          <w:bCs/>
        </w:rPr>
      </w:pPr>
      <w:r w:rsidRPr="00572FD0">
        <w:rPr>
          <w:rFonts w:cstheme="minorHAnsi"/>
          <w:b/>
          <w:bCs/>
        </w:rPr>
        <w:t>Author contributions</w:t>
      </w:r>
    </w:p>
    <w:p w14:paraId="5BCC335E" w14:textId="77777777" w:rsidR="00FE0FD1" w:rsidRPr="00572FD0" w:rsidRDefault="00FE0FD1" w:rsidP="00FE0FD1">
      <w:pPr>
        <w:rPr>
          <w:rFonts w:cstheme="minorHAnsi"/>
        </w:rPr>
      </w:pPr>
      <w:r w:rsidRPr="00572FD0">
        <w:rPr>
          <w:rFonts w:cstheme="minorHAnsi"/>
        </w:rPr>
        <w:t xml:space="preserve">JV and ML conceived the study idea, with survey content designed by JV, JES, PC, ML. The study was conducted by JV and ML. JV, SB, ML conducted the analysis and interpretation. SB wrote the initial draft of the manuscript. All authors contributed with critical revisions to the manuscript and approved the final manuscript.  JV takes responsibility for the </w:t>
      </w:r>
      <w:proofErr w:type="gramStart"/>
      <w:r w:rsidRPr="00572FD0">
        <w:rPr>
          <w:rFonts w:cstheme="minorHAnsi"/>
        </w:rPr>
        <w:t>manuscript as a whole</w:t>
      </w:r>
      <w:proofErr w:type="gramEnd"/>
      <w:r w:rsidRPr="00572FD0">
        <w:rPr>
          <w:rFonts w:cstheme="minorHAnsi"/>
        </w:rPr>
        <w:t>.</w:t>
      </w:r>
    </w:p>
    <w:p w14:paraId="65D101AC" w14:textId="77777777" w:rsidR="00FE0FD1" w:rsidRPr="00D64C9F" w:rsidRDefault="00FE0FD1" w:rsidP="00FE0FD1">
      <w:pPr>
        <w:rPr>
          <w:rFonts w:cstheme="minorHAnsi"/>
          <w:b/>
        </w:rPr>
      </w:pPr>
      <w:r w:rsidRPr="00572FD0">
        <w:rPr>
          <w:rFonts w:cstheme="minorHAnsi"/>
          <w:b/>
        </w:rPr>
        <w:t>Corresponding author</w:t>
      </w:r>
      <w:r>
        <w:rPr>
          <w:rFonts w:cstheme="minorHAnsi"/>
          <w:b/>
        </w:rPr>
        <w:t>/requests for reprints</w:t>
      </w:r>
      <w:r w:rsidRPr="00572FD0">
        <w:rPr>
          <w:rFonts w:cstheme="minorHAnsi"/>
          <w:b/>
        </w:rPr>
        <w:t>:</w:t>
      </w:r>
      <w:r>
        <w:rPr>
          <w:rFonts w:cstheme="minorHAnsi"/>
          <w:b/>
        </w:rPr>
        <w:t xml:space="preserve"> </w:t>
      </w:r>
      <w:r w:rsidRPr="00572FD0">
        <w:rPr>
          <w:rFonts w:cstheme="minorHAnsi"/>
          <w:bCs/>
        </w:rPr>
        <w:t xml:space="preserve">Dr J Vassallo. Institute of Naval Medicine, </w:t>
      </w:r>
      <w:proofErr w:type="spellStart"/>
      <w:r w:rsidRPr="00572FD0">
        <w:rPr>
          <w:rFonts w:cstheme="minorHAnsi"/>
          <w:bCs/>
        </w:rPr>
        <w:t>Alverstoke</w:t>
      </w:r>
      <w:proofErr w:type="spellEnd"/>
      <w:r w:rsidRPr="00572FD0">
        <w:rPr>
          <w:rFonts w:cstheme="minorHAnsi"/>
          <w:bCs/>
        </w:rPr>
        <w:t xml:space="preserve">, Gosport, PO12 2DL, UK. </w:t>
      </w:r>
      <w:hyperlink r:id="rId8" w:history="1">
        <w:r w:rsidRPr="00572FD0">
          <w:rPr>
            <w:rStyle w:val="Hyperlink"/>
            <w:rFonts w:cstheme="minorHAnsi"/>
            <w:bCs/>
          </w:rPr>
          <w:t>jamie.vassallo@nhs.net</w:t>
        </w:r>
      </w:hyperlink>
      <w:r w:rsidRPr="00572FD0">
        <w:rPr>
          <w:rFonts w:cstheme="minorHAnsi"/>
          <w:bCs/>
        </w:rPr>
        <w:t>, +447779572621, fax +441752202082</w:t>
      </w:r>
    </w:p>
    <w:p w14:paraId="3812A059" w14:textId="77777777" w:rsidR="00FE0FD1" w:rsidRPr="00572FD0" w:rsidRDefault="00FE0FD1" w:rsidP="00FE0FD1">
      <w:pPr>
        <w:rPr>
          <w:rFonts w:cstheme="minorHAnsi"/>
          <w:b/>
          <w:bCs/>
        </w:rPr>
      </w:pPr>
      <w:r w:rsidRPr="00572FD0">
        <w:rPr>
          <w:rFonts w:cstheme="minorHAnsi"/>
          <w:b/>
          <w:bCs/>
        </w:rPr>
        <w:t>Funding</w:t>
      </w:r>
    </w:p>
    <w:p w14:paraId="3D9E3B1E" w14:textId="77777777" w:rsidR="00FE0FD1" w:rsidRPr="00572FD0" w:rsidRDefault="00FE0FD1" w:rsidP="00FE0FD1">
      <w:pPr>
        <w:rPr>
          <w:rFonts w:cstheme="minorHAnsi"/>
        </w:rPr>
      </w:pPr>
      <w:r w:rsidRPr="00572FD0">
        <w:rPr>
          <w:rFonts w:cstheme="minorHAnsi"/>
        </w:rPr>
        <w:t xml:space="preserve">No additional funding was received for the conduct of this study. </w:t>
      </w:r>
    </w:p>
    <w:p w14:paraId="6E81B123" w14:textId="798751B4" w:rsidR="00FE0FD1" w:rsidRPr="00D64C9F" w:rsidRDefault="00FE0FD1" w:rsidP="00FE0FD1">
      <w:pPr>
        <w:rPr>
          <w:rFonts w:cstheme="minorHAnsi"/>
          <w:b/>
          <w:bCs/>
        </w:rPr>
      </w:pPr>
      <w:r w:rsidRPr="00572FD0">
        <w:rPr>
          <w:rFonts w:cstheme="minorHAnsi"/>
          <w:b/>
          <w:bCs/>
        </w:rPr>
        <w:t>Word Count</w:t>
      </w:r>
      <w:r>
        <w:rPr>
          <w:rFonts w:cstheme="minorHAnsi"/>
          <w:b/>
          <w:bCs/>
        </w:rPr>
        <w:t xml:space="preserve">: </w:t>
      </w:r>
      <w:r w:rsidR="00DC6F9C" w:rsidRPr="00572FD0">
        <w:rPr>
          <w:rFonts w:cstheme="minorHAnsi"/>
        </w:rPr>
        <w:t>2</w:t>
      </w:r>
      <w:r w:rsidR="00DC6F9C">
        <w:rPr>
          <w:rFonts w:cstheme="minorHAnsi"/>
        </w:rPr>
        <w:t>6</w:t>
      </w:r>
      <w:r w:rsidR="00992027">
        <w:rPr>
          <w:rFonts w:cstheme="minorHAnsi"/>
        </w:rPr>
        <w:t>46</w:t>
      </w:r>
    </w:p>
    <w:p w14:paraId="007585A1" w14:textId="77777777" w:rsidR="00FE0FD1" w:rsidRPr="00D64C9F" w:rsidRDefault="00FE0FD1" w:rsidP="00FE0FD1">
      <w:pPr>
        <w:rPr>
          <w:rFonts w:cstheme="minorHAnsi"/>
          <w:b/>
          <w:bCs/>
        </w:rPr>
      </w:pPr>
      <w:r w:rsidRPr="00572FD0">
        <w:rPr>
          <w:rFonts w:cstheme="minorHAnsi"/>
          <w:b/>
          <w:bCs/>
        </w:rPr>
        <w:t>Key Words</w:t>
      </w:r>
      <w:r>
        <w:rPr>
          <w:rFonts w:cstheme="minorHAnsi"/>
          <w:b/>
          <w:bCs/>
        </w:rPr>
        <w:t xml:space="preserve">: </w:t>
      </w:r>
      <w:r w:rsidRPr="00572FD0">
        <w:rPr>
          <w:rFonts w:cstheme="minorHAnsi"/>
          <w:bCs/>
        </w:rPr>
        <w:t>Triage, paediatrics, major incidents, life-saving interventions</w:t>
      </w:r>
    </w:p>
    <w:p w14:paraId="34EB7A2F" w14:textId="77777777" w:rsidR="00944AD9" w:rsidRPr="00944AD9" w:rsidRDefault="00944AD9" w:rsidP="00F024B8">
      <w:pPr>
        <w:rPr>
          <w:rFonts w:ascii="Times New Roman" w:eastAsia="Times New Roman" w:hAnsi="Times New Roman" w:cs="Times New Roman"/>
          <w:sz w:val="24"/>
          <w:szCs w:val="24"/>
          <w:lang w:eastAsia="en-GB"/>
        </w:rPr>
      </w:pPr>
    </w:p>
    <w:p w14:paraId="6E8B5F59" w14:textId="1368CF22" w:rsidR="00F024B8" w:rsidRPr="00F024B8" w:rsidRDefault="00F024B8">
      <w:pPr>
        <w:rPr>
          <w:rFonts w:cstheme="minorHAnsi"/>
        </w:rPr>
      </w:pPr>
    </w:p>
    <w:p w14:paraId="0DB858BB" w14:textId="77777777" w:rsidR="005C0B49" w:rsidRDefault="005C0B49" w:rsidP="007909E0">
      <w:pPr>
        <w:rPr>
          <w:rFonts w:cstheme="minorHAnsi"/>
          <w:b/>
        </w:rPr>
      </w:pPr>
    </w:p>
    <w:p w14:paraId="461B3CD2" w14:textId="77777777" w:rsidR="00D64C9F" w:rsidRDefault="00D64C9F" w:rsidP="007909E0">
      <w:pPr>
        <w:rPr>
          <w:rFonts w:cstheme="minorHAnsi"/>
          <w:b/>
        </w:rPr>
        <w:sectPr w:rsidR="00D64C9F">
          <w:headerReference w:type="default" r:id="rId9"/>
          <w:footerReference w:type="default" r:id="rId10"/>
          <w:pgSz w:w="11906" w:h="16838"/>
          <w:pgMar w:top="1440" w:right="1440" w:bottom="1440" w:left="1440" w:header="708" w:footer="708" w:gutter="0"/>
          <w:cols w:space="708"/>
          <w:docGrid w:linePitch="360"/>
        </w:sectPr>
      </w:pPr>
    </w:p>
    <w:p w14:paraId="2CA670B9" w14:textId="27834005" w:rsidR="005A12E0" w:rsidRPr="00572FD0" w:rsidRDefault="005A12E0" w:rsidP="005A12E0">
      <w:pPr>
        <w:rPr>
          <w:rFonts w:cstheme="minorHAnsi"/>
        </w:rPr>
      </w:pPr>
      <w:r>
        <w:rPr>
          <w:rFonts w:cstheme="minorHAnsi"/>
          <w:b/>
        </w:rPr>
        <w:lastRenderedPageBreak/>
        <w:t xml:space="preserve">Paediatric Major Incident Triage: </w:t>
      </w:r>
      <w:r w:rsidRPr="00572FD0">
        <w:rPr>
          <w:rFonts w:cstheme="minorHAnsi"/>
          <w:b/>
        </w:rPr>
        <w:t>A Delphi process to determine clinicians’ attitudes and beliefs within the United Kingdom</w:t>
      </w:r>
      <w:r>
        <w:rPr>
          <w:rFonts w:cstheme="minorHAnsi"/>
          <w:b/>
        </w:rPr>
        <w:t xml:space="preserve"> and Ireland</w:t>
      </w:r>
      <w:r w:rsidRPr="00572FD0">
        <w:rPr>
          <w:rFonts w:cstheme="minorHAnsi"/>
          <w:b/>
        </w:rPr>
        <w:t>.</w:t>
      </w:r>
    </w:p>
    <w:p w14:paraId="1EF91F69" w14:textId="6F4F0771" w:rsidR="0028745E" w:rsidRPr="00572FD0" w:rsidRDefault="002F18C9" w:rsidP="00CB623C">
      <w:pPr>
        <w:spacing w:line="360" w:lineRule="auto"/>
        <w:rPr>
          <w:rFonts w:cstheme="minorHAnsi"/>
          <w:b/>
        </w:rPr>
      </w:pPr>
      <w:r w:rsidRPr="00572FD0">
        <w:rPr>
          <w:rFonts w:cstheme="minorHAnsi"/>
          <w:b/>
        </w:rPr>
        <w:t>ABSTRACT</w:t>
      </w:r>
      <w:r w:rsidR="00BF2A23">
        <w:rPr>
          <w:rFonts w:cstheme="minorHAnsi"/>
          <w:b/>
        </w:rPr>
        <w:t xml:space="preserve"> </w:t>
      </w:r>
    </w:p>
    <w:p w14:paraId="04CFA0FA" w14:textId="5C2F47A9" w:rsidR="00BE3718" w:rsidRDefault="00B555E8" w:rsidP="00CB623C">
      <w:pPr>
        <w:pStyle w:val="NoSpacing"/>
        <w:spacing w:line="360" w:lineRule="auto"/>
        <w:rPr>
          <w:rFonts w:cstheme="minorHAnsi"/>
          <w:b/>
        </w:rPr>
      </w:pPr>
      <w:r>
        <w:rPr>
          <w:rFonts w:cstheme="minorHAnsi"/>
          <w:b/>
        </w:rPr>
        <w:t>AIMS</w:t>
      </w:r>
    </w:p>
    <w:p w14:paraId="5E333D90" w14:textId="08050D99" w:rsidR="007C78FE" w:rsidRPr="00572FD0" w:rsidRDefault="00BE3718" w:rsidP="00CB623C">
      <w:pPr>
        <w:pStyle w:val="NoSpacing"/>
        <w:spacing w:line="360" w:lineRule="auto"/>
        <w:rPr>
          <w:rFonts w:cstheme="minorHAnsi"/>
        </w:rPr>
      </w:pPr>
      <w:r w:rsidRPr="00572FD0">
        <w:rPr>
          <w:rFonts w:cstheme="minorHAnsi"/>
        </w:rPr>
        <w:t xml:space="preserve">Triage is key </w:t>
      </w:r>
      <w:r>
        <w:rPr>
          <w:rFonts w:cstheme="minorHAnsi"/>
        </w:rPr>
        <w:t>to</w:t>
      </w:r>
      <w:r w:rsidRPr="00572FD0">
        <w:rPr>
          <w:rFonts w:cstheme="minorHAnsi"/>
        </w:rPr>
        <w:t xml:space="preserve"> effective management of major incidents, yet there is </w:t>
      </w:r>
      <w:r>
        <w:rPr>
          <w:rFonts w:cstheme="minorHAnsi"/>
        </w:rPr>
        <w:t xml:space="preserve">scarce </w:t>
      </w:r>
      <w:r w:rsidRPr="00572FD0">
        <w:rPr>
          <w:rFonts w:cstheme="minorHAnsi"/>
        </w:rPr>
        <w:t>evidence surrounding the optimal method of paediatric major incident triage (MIT).</w:t>
      </w:r>
      <w:r w:rsidR="00AD3851">
        <w:rPr>
          <w:rFonts w:cstheme="minorHAnsi"/>
          <w:b/>
        </w:rPr>
        <w:t xml:space="preserve"> </w:t>
      </w:r>
      <w:r w:rsidR="007C78FE" w:rsidRPr="00572FD0">
        <w:rPr>
          <w:rFonts w:cstheme="minorHAnsi"/>
        </w:rPr>
        <w:t>Th</w:t>
      </w:r>
      <w:r w:rsidR="002F18C9" w:rsidRPr="00572FD0">
        <w:rPr>
          <w:rFonts w:cstheme="minorHAnsi"/>
        </w:rPr>
        <w:t>is study aimed</w:t>
      </w:r>
      <w:r w:rsidR="007C78FE" w:rsidRPr="00572FD0">
        <w:rPr>
          <w:rFonts w:cstheme="minorHAnsi"/>
        </w:rPr>
        <w:t xml:space="preserve"> to </w:t>
      </w:r>
      <w:r w:rsidR="002F18C9" w:rsidRPr="00572FD0">
        <w:rPr>
          <w:rFonts w:cstheme="minorHAnsi"/>
        </w:rPr>
        <w:t xml:space="preserve">derive </w:t>
      </w:r>
      <w:r w:rsidR="007C78FE" w:rsidRPr="00572FD0">
        <w:rPr>
          <w:rFonts w:cstheme="minorHAnsi"/>
        </w:rPr>
        <w:t xml:space="preserve">consensus </w:t>
      </w:r>
      <w:r w:rsidR="002F18C9" w:rsidRPr="00572FD0">
        <w:rPr>
          <w:rFonts w:cstheme="minorHAnsi"/>
        </w:rPr>
        <w:t xml:space="preserve">on </w:t>
      </w:r>
      <w:r w:rsidR="00F113D4" w:rsidRPr="00572FD0">
        <w:rPr>
          <w:rFonts w:cstheme="minorHAnsi"/>
        </w:rPr>
        <w:t xml:space="preserve">key components of </w:t>
      </w:r>
      <w:r w:rsidR="002F18C9" w:rsidRPr="00572FD0">
        <w:rPr>
          <w:rFonts w:cstheme="minorHAnsi"/>
        </w:rPr>
        <w:t xml:space="preserve">paediatric MIT among </w:t>
      </w:r>
      <w:r w:rsidR="007C78FE" w:rsidRPr="00572FD0">
        <w:rPr>
          <w:rFonts w:cstheme="minorHAnsi"/>
        </w:rPr>
        <w:t xml:space="preserve">healthcare professionals </w:t>
      </w:r>
      <w:r w:rsidR="0028161C">
        <w:rPr>
          <w:rFonts w:cstheme="minorHAnsi"/>
        </w:rPr>
        <w:t>responsible for triage during p</w:t>
      </w:r>
      <w:r w:rsidR="007C78FE" w:rsidRPr="00572FD0">
        <w:rPr>
          <w:rFonts w:cstheme="minorHAnsi"/>
        </w:rPr>
        <w:t>aediatric major incidents</w:t>
      </w:r>
      <w:r w:rsidR="003D31CB" w:rsidRPr="00572FD0">
        <w:rPr>
          <w:rFonts w:cstheme="minorHAnsi"/>
        </w:rPr>
        <w:t>.</w:t>
      </w:r>
      <w:r w:rsidR="007C78FE" w:rsidRPr="00572FD0">
        <w:rPr>
          <w:rFonts w:cstheme="minorHAnsi"/>
        </w:rPr>
        <w:t xml:space="preserve"> </w:t>
      </w:r>
      <w:r w:rsidR="00473D59" w:rsidRPr="00572FD0">
        <w:rPr>
          <w:rFonts w:cstheme="minorHAnsi"/>
        </w:rPr>
        <w:t xml:space="preserve">  </w:t>
      </w:r>
    </w:p>
    <w:p w14:paraId="5C102468" w14:textId="6AB1C4D0" w:rsidR="007C78FE" w:rsidRPr="00572FD0" w:rsidRDefault="007C78FE" w:rsidP="00CB623C">
      <w:pPr>
        <w:pStyle w:val="NoSpacing"/>
        <w:spacing w:line="360" w:lineRule="auto"/>
        <w:rPr>
          <w:rFonts w:cstheme="minorHAnsi"/>
          <w:bCs/>
        </w:rPr>
      </w:pPr>
    </w:p>
    <w:p w14:paraId="0D74B829" w14:textId="6771C2FC" w:rsidR="0028745E" w:rsidRPr="00572FD0" w:rsidRDefault="00E808BA" w:rsidP="00CB623C">
      <w:pPr>
        <w:pStyle w:val="NoSpacing"/>
        <w:spacing w:line="360" w:lineRule="auto"/>
        <w:rPr>
          <w:rFonts w:cstheme="minorHAnsi"/>
          <w:b/>
        </w:rPr>
      </w:pPr>
      <w:r>
        <w:rPr>
          <w:rFonts w:cstheme="minorHAnsi"/>
          <w:b/>
        </w:rPr>
        <w:t>METHODS</w:t>
      </w:r>
    </w:p>
    <w:p w14:paraId="28E7831F" w14:textId="7F79FB90" w:rsidR="00254D2A" w:rsidRPr="00572FD0" w:rsidRDefault="00AD3851" w:rsidP="00CB623C">
      <w:pPr>
        <w:pStyle w:val="NoSpacing"/>
        <w:spacing w:line="360" w:lineRule="auto"/>
        <w:rPr>
          <w:rFonts w:cstheme="minorHAnsi"/>
        </w:rPr>
      </w:pPr>
      <w:r>
        <w:rPr>
          <w:rFonts w:cstheme="minorHAnsi"/>
        </w:rPr>
        <w:t>T</w:t>
      </w:r>
      <w:r w:rsidR="007C78FE" w:rsidRPr="00572FD0">
        <w:rPr>
          <w:rFonts w:cstheme="minorHAnsi"/>
        </w:rPr>
        <w:t xml:space="preserve">wo-round online Delphi </w:t>
      </w:r>
      <w:r w:rsidR="002F18C9" w:rsidRPr="00572FD0">
        <w:rPr>
          <w:rFonts w:cstheme="minorHAnsi"/>
        </w:rPr>
        <w:t xml:space="preserve">consensus </w:t>
      </w:r>
      <w:r w:rsidR="007C78FE" w:rsidRPr="00572FD0">
        <w:rPr>
          <w:rFonts w:cstheme="minorHAnsi"/>
        </w:rPr>
        <w:t>study</w:t>
      </w:r>
      <w:r w:rsidR="00674770" w:rsidRPr="00572FD0">
        <w:rPr>
          <w:rFonts w:cstheme="minorHAnsi"/>
        </w:rPr>
        <w:t xml:space="preserve"> delivered July </w:t>
      </w:r>
      <w:r w:rsidR="0028161C">
        <w:rPr>
          <w:rFonts w:cstheme="minorHAnsi"/>
        </w:rPr>
        <w:t>2021-</w:t>
      </w:r>
      <w:r w:rsidR="00674770" w:rsidRPr="00572FD0">
        <w:rPr>
          <w:rFonts w:cstheme="minorHAnsi"/>
        </w:rPr>
        <w:t>October 2021,</w:t>
      </w:r>
      <w:r w:rsidR="002F18C9" w:rsidRPr="00572FD0">
        <w:rPr>
          <w:rFonts w:cstheme="minorHAnsi"/>
        </w:rPr>
        <w:t xml:space="preserve"> includ</w:t>
      </w:r>
      <w:r>
        <w:rPr>
          <w:rFonts w:cstheme="minorHAnsi"/>
        </w:rPr>
        <w:t>ing</w:t>
      </w:r>
      <w:r w:rsidR="002F18C9" w:rsidRPr="00572FD0">
        <w:rPr>
          <w:rFonts w:cstheme="minorHAnsi"/>
        </w:rPr>
        <w:t xml:space="preserve"> </w:t>
      </w:r>
      <w:r w:rsidR="007C78FE" w:rsidRPr="00572FD0">
        <w:rPr>
          <w:rFonts w:cstheme="minorHAnsi"/>
        </w:rPr>
        <w:t xml:space="preserve">participants from pre-hospital and hospital specialities </w:t>
      </w:r>
      <w:r w:rsidR="0028161C">
        <w:rPr>
          <w:rFonts w:cstheme="minorHAnsi"/>
        </w:rPr>
        <w:t xml:space="preserve">responsible for triage during </w:t>
      </w:r>
      <w:r w:rsidR="007C78FE" w:rsidRPr="00572FD0">
        <w:rPr>
          <w:rFonts w:cstheme="minorHAnsi"/>
        </w:rPr>
        <w:t>paediatric major incident</w:t>
      </w:r>
      <w:r w:rsidR="0028161C">
        <w:rPr>
          <w:rFonts w:cstheme="minorHAnsi"/>
        </w:rPr>
        <w:t>s</w:t>
      </w:r>
      <w:r w:rsidR="007C78FE" w:rsidRPr="00572FD0">
        <w:rPr>
          <w:rFonts w:cstheme="minorHAnsi"/>
        </w:rPr>
        <w:t xml:space="preserve">. </w:t>
      </w:r>
      <w:r w:rsidR="00254D2A" w:rsidRPr="00572FD0">
        <w:rPr>
          <w:rFonts w:cstheme="minorHAnsi"/>
        </w:rPr>
        <w:t>A 5-point Likert scale was used to determine consensus</w:t>
      </w:r>
      <w:r w:rsidR="00F113D4" w:rsidRPr="00572FD0">
        <w:rPr>
          <w:rFonts w:cstheme="minorHAnsi"/>
        </w:rPr>
        <w:t>,</w:t>
      </w:r>
      <w:r w:rsidR="00254D2A" w:rsidRPr="00572FD0">
        <w:rPr>
          <w:rFonts w:cstheme="minorHAnsi"/>
        </w:rPr>
        <w:t xml:space="preserve"> set a priori at 70%. </w:t>
      </w:r>
    </w:p>
    <w:p w14:paraId="137DC594" w14:textId="77777777" w:rsidR="0028745E" w:rsidRPr="00572FD0" w:rsidRDefault="0028745E" w:rsidP="00CB623C">
      <w:pPr>
        <w:pStyle w:val="NoSpacing"/>
        <w:spacing w:line="360" w:lineRule="auto"/>
        <w:rPr>
          <w:rFonts w:cstheme="minorHAnsi"/>
        </w:rPr>
      </w:pPr>
    </w:p>
    <w:p w14:paraId="5B117B9B" w14:textId="354803E4" w:rsidR="0028745E" w:rsidRPr="00572FD0" w:rsidRDefault="00E808BA" w:rsidP="00CB623C">
      <w:pPr>
        <w:pStyle w:val="NoSpacing"/>
        <w:spacing w:line="360" w:lineRule="auto"/>
        <w:rPr>
          <w:rFonts w:cstheme="minorHAnsi"/>
          <w:b/>
        </w:rPr>
      </w:pPr>
      <w:r>
        <w:rPr>
          <w:rFonts w:cstheme="minorHAnsi"/>
          <w:b/>
        </w:rPr>
        <w:t>RESULTS</w:t>
      </w:r>
    </w:p>
    <w:p w14:paraId="3B5F0051" w14:textId="05B4AD0A" w:rsidR="0004236A" w:rsidRPr="00572FD0" w:rsidRDefault="00254D2A" w:rsidP="00CB623C">
      <w:pPr>
        <w:pStyle w:val="NoSpacing"/>
        <w:spacing w:line="360" w:lineRule="auto"/>
        <w:rPr>
          <w:rFonts w:cstheme="minorHAnsi"/>
        </w:rPr>
      </w:pPr>
      <w:r w:rsidRPr="00572FD0">
        <w:rPr>
          <w:rFonts w:cstheme="minorHAnsi"/>
        </w:rPr>
        <w:t>111 clinicians completed both rounds</w:t>
      </w:r>
      <w:r w:rsidR="0028161C">
        <w:rPr>
          <w:rFonts w:cstheme="minorHAnsi"/>
        </w:rPr>
        <w:t xml:space="preserve">; </w:t>
      </w:r>
      <w:r w:rsidRPr="00572FD0">
        <w:rPr>
          <w:rFonts w:cstheme="minorHAnsi"/>
        </w:rPr>
        <w:t>13 of 17 statements reach</w:t>
      </w:r>
      <w:r w:rsidR="0028161C">
        <w:rPr>
          <w:rFonts w:cstheme="minorHAnsi"/>
        </w:rPr>
        <w:t>ed</w:t>
      </w:r>
      <w:r w:rsidRPr="00572FD0">
        <w:rPr>
          <w:rFonts w:cstheme="minorHAnsi"/>
        </w:rPr>
        <w:t xml:space="preserve"> consensus. </w:t>
      </w:r>
      <w:r w:rsidR="00674770" w:rsidRPr="00572FD0">
        <w:rPr>
          <w:rFonts w:cstheme="minorHAnsi"/>
        </w:rPr>
        <w:t>Positive c</w:t>
      </w:r>
      <w:r w:rsidRPr="00572FD0">
        <w:rPr>
          <w:rFonts w:cstheme="minorHAnsi"/>
        </w:rPr>
        <w:t xml:space="preserve">onsensus was reached </w:t>
      </w:r>
      <w:r w:rsidR="00674770" w:rsidRPr="00572FD0">
        <w:rPr>
          <w:rFonts w:cstheme="minorHAnsi"/>
        </w:rPr>
        <w:t xml:space="preserve">on </w:t>
      </w:r>
      <w:r w:rsidRPr="00572FD0">
        <w:rPr>
          <w:rFonts w:cstheme="minorHAnsi"/>
        </w:rPr>
        <w:t>rescue breaths in mechanisms associated with hypoxia or asphyxiation, mobility assessment as a crude discriminator</w:t>
      </w:r>
      <w:r w:rsidR="00674770" w:rsidRPr="00572FD0">
        <w:rPr>
          <w:rFonts w:cstheme="minorHAnsi"/>
        </w:rPr>
        <w:t>,</w:t>
      </w:r>
      <w:r w:rsidRPr="00572FD0">
        <w:rPr>
          <w:rFonts w:cstheme="minorHAnsi"/>
        </w:rPr>
        <w:t xml:space="preserve"> and use of adult physiology for older children. Whilst </w:t>
      </w:r>
      <w:r w:rsidR="00674770" w:rsidRPr="00572FD0">
        <w:rPr>
          <w:rFonts w:cstheme="minorHAnsi"/>
        </w:rPr>
        <w:t xml:space="preserve">positive </w:t>
      </w:r>
      <w:r w:rsidRPr="00572FD0">
        <w:rPr>
          <w:rFonts w:cstheme="minorHAnsi"/>
        </w:rPr>
        <w:t xml:space="preserve">consensus was reached on the benefits of a single </w:t>
      </w:r>
      <w:r w:rsidR="00674770" w:rsidRPr="00572FD0">
        <w:rPr>
          <w:rFonts w:cstheme="minorHAnsi"/>
        </w:rPr>
        <w:t xml:space="preserve">MIT </w:t>
      </w:r>
      <w:r w:rsidRPr="00572FD0">
        <w:rPr>
          <w:rFonts w:cstheme="minorHAnsi"/>
        </w:rPr>
        <w:t>tool across</w:t>
      </w:r>
      <w:r w:rsidR="0004236A" w:rsidRPr="00572FD0">
        <w:rPr>
          <w:rFonts w:cstheme="minorHAnsi"/>
        </w:rPr>
        <w:t xml:space="preserve"> </w:t>
      </w:r>
      <w:r w:rsidR="0028161C">
        <w:rPr>
          <w:rFonts w:cstheme="minorHAnsi"/>
        </w:rPr>
        <w:t>all</w:t>
      </w:r>
      <w:r w:rsidRPr="00572FD0">
        <w:rPr>
          <w:rFonts w:cstheme="minorHAnsi"/>
        </w:rPr>
        <w:t xml:space="preserve"> adult and paediatric age range</w:t>
      </w:r>
      <w:r w:rsidR="0028161C">
        <w:rPr>
          <w:rFonts w:cstheme="minorHAnsi"/>
        </w:rPr>
        <w:t>s</w:t>
      </w:r>
      <w:r w:rsidR="0004236A" w:rsidRPr="00572FD0">
        <w:rPr>
          <w:rFonts w:cstheme="minorHAnsi"/>
        </w:rPr>
        <w:t xml:space="preserve">, </w:t>
      </w:r>
      <w:r w:rsidRPr="00572FD0">
        <w:rPr>
          <w:rFonts w:cstheme="minorHAnsi"/>
        </w:rPr>
        <w:t>there was n</w:t>
      </w:r>
      <w:r w:rsidR="00674770" w:rsidRPr="00572FD0">
        <w:rPr>
          <w:rFonts w:cstheme="minorHAnsi"/>
        </w:rPr>
        <w:t>egative consensus in relation to clinical implementation</w:t>
      </w:r>
      <w:r w:rsidRPr="00572FD0">
        <w:rPr>
          <w:rFonts w:cstheme="minorHAnsi"/>
        </w:rPr>
        <w:t xml:space="preserve">. </w:t>
      </w:r>
    </w:p>
    <w:p w14:paraId="5E3B7EA7" w14:textId="0AEF1C92" w:rsidR="00060A1C" w:rsidRPr="00572FD0" w:rsidRDefault="00060A1C" w:rsidP="00CB623C">
      <w:pPr>
        <w:pStyle w:val="NoSpacing"/>
        <w:spacing w:line="360" w:lineRule="auto"/>
        <w:rPr>
          <w:rFonts w:cstheme="minorHAnsi"/>
        </w:rPr>
      </w:pPr>
    </w:p>
    <w:p w14:paraId="3A7B02C9" w14:textId="1CDD111D" w:rsidR="0028745E" w:rsidRPr="00572FD0" w:rsidRDefault="00B555E8" w:rsidP="00674770">
      <w:pPr>
        <w:spacing w:after="0" w:line="360" w:lineRule="auto"/>
        <w:rPr>
          <w:rFonts w:cstheme="minorHAnsi"/>
          <w:b/>
        </w:rPr>
      </w:pPr>
      <w:r>
        <w:rPr>
          <w:rFonts w:cstheme="minorHAnsi"/>
          <w:b/>
        </w:rPr>
        <w:t>CONCLUSION</w:t>
      </w:r>
    </w:p>
    <w:p w14:paraId="6C8E541F" w14:textId="249AEC80" w:rsidR="00254D2A" w:rsidRPr="00572FD0" w:rsidRDefault="003D31CB" w:rsidP="417D4976">
      <w:pPr>
        <w:spacing w:line="360" w:lineRule="auto"/>
        <w:rPr>
          <w:rFonts w:cstheme="minorHAnsi"/>
          <w:b/>
          <w:bCs/>
        </w:rPr>
      </w:pPr>
      <w:r w:rsidRPr="00572FD0">
        <w:rPr>
          <w:rFonts w:cstheme="minorHAnsi"/>
        </w:rPr>
        <w:t xml:space="preserve">This Delphi study has established consensus among a large group of </w:t>
      </w:r>
      <w:r w:rsidR="00306597">
        <w:rPr>
          <w:rFonts w:cstheme="minorHAnsi"/>
        </w:rPr>
        <w:t xml:space="preserve">clinicians involved in the management of major incidents </w:t>
      </w:r>
      <w:r w:rsidRPr="00572FD0">
        <w:rPr>
          <w:rFonts w:cstheme="minorHAnsi"/>
        </w:rPr>
        <w:t xml:space="preserve">on several key elements of paediatric </w:t>
      </w:r>
      <w:r w:rsidR="00856529">
        <w:rPr>
          <w:rFonts w:cstheme="minorHAnsi"/>
        </w:rPr>
        <w:t>major incident triage</w:t>
      </w:r>
      <w:r w:rsidRPr="00572FD0">
        <w:rPr>
          <w:rFonts w:cstheme="minorHAnsi"/>
        </w:rPr>
        <w:t>. Further work is required to develop a triage tool that can be implemented based on emerging and ongoing research</w:t>
      </w:r>
      <w:r w:rsidR="00674770" w:rsidRPr="00572FD0">
        <w:rPr>
          <w:rFonts w:cstheme="minorHAnsi"/>
        </w:rPr>
        <w:t xml:space="preserve">, </w:t>
      </w:r>
      <w:r w:rsidR="00D118E0" w:rsidRPr="00572FD0">
        <w:rPr>
          <w:rFonts w:cstheme="minorHAnsi"/>
        </w:rPr>
        <w:t xml:space="preserve">and </w:t>
      </w:r>
      <w:r w:rsidR="00674770" w:rsidRPr="00572FD0">
        <w:rPr>
          <w:rFonts w:cstheme="minorHAnsi"/>
        </w:rPr>
        <w:t xml:space="preserve">which is acceptable to </w:t>
      </w:r>
      <w:r w:rsidR="00D118E0" w:rsidRPr="00572FD0">
        <w:rPr>
          <w:rFonts w:cstheme="minorHAnsi"/>
        </w:rPr>
        <w:t>clinicians</w:t>
      </w:r>
      <w:r w:rsidRPr="00572FD0">
        <w:rPr>
          <w:rFonts w:cstheme="minorHAnsi"/>
        </w:rPr>
        <w:t>.</w:t>
      </w:r>
    </w:p>
    <w:p w14:paraId="025A03E8" w14:textId="701144DA" w:rsidR="00E808BA" w:rsidRDefault="00E808BA" w:rsidP="00644311">
      <w:pPr>
        <w:spacing w:after="0"/>
        <w:rPr>
          <w:rFonts w:cstheme="minorHAnsi"/>
          <w:b/>
        </w:rPr>
        <w:sectPr w:rsidR="00E808BA">
          <w:headerReference w:type="default" r:id="rId11"/>
          <w:footerReference w:type="default" r:id="rId12"/>
          <w:pgSz w:w="11906" w:h="16838"/>
          <w:pgMar w:top="1440" w:right="1440" w:bottom="1440" w:left="1440" w:header="708" w:footer="708" w:gutter="0"/>
          <w:cols w:space="708"/>
          <w:docGrid w:linePitch="360"/>
        </w:sectPr>
      </w:pPr>
    </w:p>
    <w:p w14:paraId="4D5B67E9" w14:textId="622C04CC" w:rsidR="00466FBA" w:rsidRDefault="00466FBA" w:rsidP="00E808BA">
      <w:pPr>
        <w:rPr>
          <w:rFonts w:cstheme="minorHAnsi"/>
          <w:b/>
        </w:rPr>
      </w:pPr>
      <w:r>
        <w:rPr>
          <w:rFonts w:cstheme="minorHAnsi"/>
          <w:b/>
        </w:rPr>
        <w:lastRenderedPageBreak/>
        <w:t>Key Notes:</w:t>
      </w:r>
    </w:p>
    <w:p w14:paraId="4DC0EAAA" w14:textId="59491716" w:rsidR="00466FBA" w:rsidRDefault="00466FBA" w:rsidP="00E808BA">
      <w:pPr>
        <w:rPr>
          <w:rFonts w:cstheme="minorHAnsi"/>
          <w:b/>
        </w:rPr>
      </w:pPr>
    </w:p>
    <w:p w14:paraId="64079895" w14:textId="4CE53985" w:rsidR="00466FBA" w:rsidRPr="00143639" w:rsidRDefault="00466FBA" w:rsidP="00466FBA">
      <w:pPr>
        <w:pStyle w:val="ListParagraph"/>
        <w:numPr>
          <w:ilvl w:val="0"/>
          <w:numId w:val="36"/>
        </w:numPr>
        <w:rPr>
          <w:rFonts w:cstheme="minorHAnsi"/>
          <w:b/>
        </w:rPr>
      </w:pPr>
      <w:r>
        <w:rPr>
          <w:rFonts w:cstheme="minorHAnsi"/>
          <w:bCs/>
        </w:rPr>
        <w:t>We conducted a large</w:t>
      </w:r>
      <w:r w:rsidR="000E6B25">
        <w:rPr>
          <w:rFonts w:cstheme="minorHAnsi"/>
          <w:bCs/>
        </w:rPr>
        <w:t xml:space="preserve"> (over 100 respondents)</w:t>
      </w:r>
      <w:r>
        <w:rPr>
          <w:rFonts w:cstheme="minorHAnsi"/>
          <w:bCs/>
        </w:rPr>
        <w:t xml:space="preserve">, online Delphi study </w:t>
      </w:r>
      <w:r w:rsidR="000E6B25">
        <w:rPr>
          <w:rFonts w:cstheme="minorHAnsi"/>
          <w:bCs/>
        </w:rPr>
        <w:t xml:space="preserve">to determine consensus on key components of paediatric major incident triage.  </w:t>
      </w:r>
    </w:p>
    <w:p w14:paraId="10DC7418" w14:textId="78E97A4D" w:rsidR="000E6B25" w:rsidRPr="00143639" w:rsidRDefault="000E6B25" w:rsidP="00466FBA">
      <w:pPr>
        <w:pStyle w:val="ListParagraph"/>
        <w:numPr>
          <w:ilvl w:val="0"/>
          <w:numId w:val="36"/>
        </w:numPr>
        <w:rPr>
          <w:rFonts w:cstheme="minorHAnsi"/>
          <w:b/>
        </w:rPr>
      </w:pPr>
      <w:r>
        <w:rPr>
          <w:rFonts w:cstheme="minorHAnsi"/>
        </w:rPr>
        <w:t>C</w:t>
      </w:r>
      <w:r w:rsidRPr="00572FD0">
        <w:rPr>
          <w:rFonts w:cstheme="minorHAnsi"/>
        </w:rPr>
        <w:t xml:space="preserve">onsensus was reached on </w:t>
      </w:r>
      <w:r>
        <w:rPr>
          <w:rFonts w:cstheme="minorHAnsi"/>
        </w:rPr>
        <w:t xml:space="preserve">the inclusion of </w:t>
      </w:r>
      <w:r w:rsidRPr="00572FD0">
        <w:rPr>
          <w:rFonts w:cstheme="minorHAnsi"/>
        </w:rPr>
        <w:t>rescue breaths in mechanisms associated with hypoxia or asphyxiation,</w:t>
      </w:r>
      <w:r>
        <w:rPr>
          <w:rFonts w:cstheme="minorHAnsi"/>
        </w:rPr>
        <w:t xml:space="preserve"> the use of</w:t>
      </w:r>
      <w:r w:rsidRPr="00572FD0">
        <w:rPr>
          <w:rFonts w:cstheme="minorHAnsi"/>
        </w:rPr>
        <w:t xml:space="preserve"> mobility assessment as a crude discriminator</w:t>
      </w:r>
      <w:r>
        <w:rPr>
          <w:rFonts w:cstheme="minorHAnsi"/>
        </w:rPr>
        <w:t xml:space="preserve"> of injury</w:t>
      </w:r>
      <w:r w:rsidRPr="00572FD0">
        <w:rPr>
          <w:rFonts w:cstheme="minorHAnsi"/>
        </w:rPr>
        <w:t xml:space="preserve"> and</w:t>
      </w:r>
      <w:r>
        <w:rPr>
          <w:rFonts w:cstheme="minorHAnsi"/>
        </w:rPr>
        <w:t xml:space="preserve"> the</w:t>
      </w:r>
      <w:r w:rsidRPr="00572FD0">
        <w:rPr>
          <w:rFonts w:cstheme="minorHAnsi"/>
        </w:rPr>
        <w:t xml:space="preserve"> use of adult physiology for older children</w:t>
      </w:r>
      <w:r>
        <w:rPr>
          <w:rFonts w:cstheme="minorHAnsi"/>
        </w:rPr>
        <w:t>.</w:t>
      </w:r>
    </w:p>
    <w:p w14:paraId="33051DBF" w14:textId="77777777" w:rsidR="000268D8" w:rsidRPr="00E808BA" w:rsidRDefault="000268D8" w:rsidP="00143639">
      <w:pPr>
        <w:pStyle w:val="ListParagraph"/>
        <w:numPr>
          <w:ilvl w:val="1"/>
          <w:numId w:val="1"/>
        </w:numPr>
        <w:spacing w:line="240" w:lineRule="auto"/>
        <w:rPr>
          <w:rFonts w:cstheme="minorHAnsi"/>
        </w:rPr>
      </w:pPr>
      <w:r w:rsidRPr="00572FD0">
        <w:rPr>
          <w:rFonts w:cstheme="minorHAnsi"/>
        </w:rPr>
        <w:t>Whilst consensus was reached on benefits related to use of a single tool across all age ranges (adult and paediatric), the expert panel did not support this approach for actual clinical practice</w:t>
      </w:r>
    </w:p>
    <w:p w14:paraId="5D03059B" w14:textId="77777777" w:rsidR="00466FBA" w:rsidRDefault="00466FBA" w:rsidP="00E808BA">
      <w:pPr>
        <w:rPr>
          <w:rFonts w:cstheme="minorHAnsi"/>
          <w:b/>
        </w:rPr>
      </w:pPr>
    </w:p>
    <w:p w14:paraId="51749A9C" w14:textId="77777777" w:rsidR="000268D8" w:rsidRDefault="000268D8" w:rsidP="00E808BA">
      <w:pPr>
        <w:rPr>
          <w:rFonts w:cstheme="minorHAnsi"/>
          <w:b/>
        </w:rPr>
      </w:pPr>
    </w:p>
    <w:p w14:paraId="30ACDAA0" w14:textId="77777777" w:rsidR="000268D8" w:rsidRDefault="000268D8" w:rsidP="00E808BA">
      <w:pPr>
        <w:rPr>
          <w:rFonts w:cstheme="minorHAnsi"/>
          <w:b/>
        </w:rPr>
      </w:pPr>
    </w:p>
    <w:p w14:paraId="304FF45E" w14:textId="1C638332" w:rsidR="000268D8" w:rsidRDefault="000268D8" w:rsidP="00E808BA">
      <w:pPr>
        <w:rPr>
          <w:rFonts w:cstheme="minorHAnsi"/>
          <w:b/>
        </w:rPr>
        <w:sectPr w:rsidR="000268D8">
          <w:pgSz w:w="11906" w:h="16838"/>
          <w:pgMar w:top="1440" w:right="1440" w:bottom="1440" w:left="1440" w:header="708" w:footer="708" w:gutter="0"/>
          <w:cols w:space="708"/>
          <w:docGrid w:linePitch="360"/>
        </w:sectPr>
      </w:pPr>
    </w:p>
    <w:p w14:paraId="371B92E9" w14:textId="77777777" w:rsidR="00C05609" w:rsidRPr="00572FD0" w:rsidRDefault="00C05609" w:rsidP="00C05609">
      <w:pPr>
        <w:rPr>
          <w:rFonts w:cstheme="minorHAnsi"/>
        </w:rPr>
      </w:pPr>
      <w:r>
        <w:rPr>
          <w:rFonts w:cstheme="minorHAnsi"/>
          <w:b/>
        </w:rPr>
        <w:lastRenderedPageBreak/>
        <w:t xml:space="preserve">Paediatric Major Incident Triage: </w:t>
      </w:r>
      <w:r w:rsidRPr="00572FD0">
        <w:rPr>
          <w:rFonts w:cstheme="minorHAnsi"/>
          <w:b/>
        </w:rPr>
        <w:t>A Delphi process to determine clinicians’ attitudes and beliefs within the United Kingdom</w:t>
      </w:r>
      <w:r>
        <w:rPr>
          <w:rFonts w:cstheme="minorHAnsi"/>
          <w:b/>
        </w:rPr>
        <w:t xml:space="preserve"> and Ireland</w:t>
      </w:r>
      <w:r w:rsidRPr="00572FD0">
        <w:rPr>
          <w:rFonts w:cstheme="minorHAnsi"/>
          <w:b/>
        </w:rPr>
        <w:t>.</w:t>
      </w:r>
    </w:p>
    <w:p w14:paraId="1711C9BD" w14:textId="77777777" w:rsidR="00E808BA" w:rsidRDefault="00E808BA" w:rsidP="00644311">
      <w:pPr>
        <w:spacing w:after="0"/>
        <w:rPr>
          <w:rFonts w:cstheme="minorHAnsi"/>
          <w:b/>
        </w:rPr>
      </w:pPr>
    </w:p>
    <w:p w14:paraId="06B2233A" w14:textId="013CDDB3" w:rsidR="00EE0743" w:rsidRDefault="007055F9" w:rsidP="00644311">
      <w:pPr>
        <w:spacing w:after="0"/>
        <w:rPr>
          <w:rFonts w:cstheme="minorHAnsi"/>
          <w:b/>
        </w:rPr>
      </w:pPr>
      <w:r>
        <w:rPr>
          <w:rFonts w:cstheme="minorHAnsi"/>
          <w:b/>
        </w:rPr>
        <w:t>INTRODUCTION</w:t>
      </w:r>
    </w:p>
    <w:p w14:paraId="683B12D2" w14:textId="77777777" w:rsidR="007055F9" w:rsidRPr="00572FD0" w:rsidRDefault="007055F9" w:rsidP="00644311">
      <w:pPr>
        <w:spacing w:after="0"/>
        <w:rPr>
          <w:rFonts w:cstheme="minorHAnsi"/>
        </w:rPr>
      </w:pPr>
    </w:p>
    <w:p w14:paraId="743322F5" w14:textId="49CA3046" w:rsidR="00AB3684" w:rsidRPr="00572FD0" w:rsidRDefault="00E55A3E" w:rsidP="005B75F1">
      <w:pPr>
        <w:pStyle w:val="NoSpacing"/>
        <w:spacing w:after="240" w:line="360" w:lineRule="auto"/>
        <w:rPr>
          <w:rFonts w:cstheme="minorHAnsi"/>
        </w:rPr>
      </w:pPr>
      <w:r w:rsidRPr="00572FD0">
        <w:rPr>
          <w:rFonts w:cstheme="minorHAnsi"/>
        </w:rPr>
        <w:t xml:space="preserve">Major </w:t>
      </w:r>
      <w:r w:rsidR="5518062D" w:rsidRPr="00572FD0">
        <w:rPr>
          <w:rFonts w:cstheme="minorHAnsi"/>
        </w:rPr>
        <w:t>incidents occur</w:t>
      </w:r>
      <w:r w:rsidR="00561426" w:rsidRPr="00572FD0">
        <w:rPr>
          <w:rFonts w:cstheme="minorHAnsi"/>
        </w:rPr>
        <w:t xml:space="preserve"> worldwide on a regular basis and are </w:t>
      </w:r>
      <w:r w:rsidR="005459B3" w:rsidRPr="00572FD0">
        <w:rPr>
          <w:rFonts w:cstheme="minorHAnsi"/>
        </w:rPr>
        <w:t>characterised</w:t>
      </w:r>
      <w:r w:rsidR="00561426" w:rsidRPr="00572FD0">
        <w:rPr>
          <w:rFonts w:cstheme="minorHAnsi"/>
        </w:rPr>
        <w:t xml:space="preserve"> by the need for additional resources with which to respond to the incident; </w:t>
      </w:r>
      <w:r w:rsidR="00406673" w:rsidRPr="00572FD0">
        <w:rPr>
          <w:rFonts w:cstheme="minorHAnsi"/>
        </w:rPr>
        <w:t>furthermore,</w:t>
      </w:r>
      <w:r w:rsidR="00561426" w:rsidRPr="00572FD0">
        <w:rPr>
          <w:rFonts w:cstheme="minorHAnsi"/>
        </w:rPr>
        <w:t xml:space="preserve"> they have the potential to </w:t>
      </w:r>
      <w:r w:rsidR="00337D9D" w:rsidRPr="00572FD0">
        <w:rPr>
          <w:rFonts w:cstheme="minorHAnsi"/>
        </w:rPr>
        <w:t xml:space="preserve">overwhelm </w:t>
      </w:r>
      <w:r w:rsidRPr="00572FD0">
        <w:rPr>
          <w:rFonts w:cstheme="minorHAnsi"/>
        </w:rPr>
        <w:t>healthcare resources</w:t>
      </w:r>
      <w:r w:rsidR="00B35C12" w:rsidRPr="00572FD0">
        <w:rPr>
          <w:rFonts w:cstheme="minorHAnsi"/>
        </w:rPr>
        <w:t xml:space="preserve"> and </w:t>
      </w:r>
      <w:r w:rsidR="00D118E0" w:rsidRPr="00572FD0">
        <w:rPr>
          <w:rFonts w:cstheme="minorHAnsi"/>
        </w:rPr>
        <w:t xml:space="preserve">cause </w:t>
      </w:r>
      <w:r w:rsidR="00B35C12" w:rsidRPr="00572FD0">
        <w:rPr>
          <w:rFonts w:cstheme="minorHAnsi"/>
        </w:rPr>
        <w:t xml:space="preserve">patient </w:t>
      </w:r>
      <w:proofErr w:type="gramStart"/>
      <w:r w:rsidR="00D118E0" w:rsidRPr="00572FD0">
        <w:rPr>
          <w:rFonts w:cstheme="minorHAnsi"/>
        </w:rPr>
        <w:t>harm</w:t>
      </w:r>
      <w:r w:rsidR="00337D9D" w:rsidRPr="00572FD0">
        <w:rPr>
          <w:rFonts w:cstheme="minorHAnsi"/>
        </w:rPr>
        <w:t>.</w:t>
      </w:r>
      <w:r w:rsidR="00226311">
        <w:rPr>
          <w:rFonts w:cstheme="minorHAnsi"/>
        </w:rPr>
        <w:t>[</w:t>
      </w:r>
      <w:proofErr w:type="gramEnd"/>
      <w:r w:rsidR="00226311">
        <w:rPr>
          <w:rFonts w:cstheme="minorHAnsi"/>
        </w:rPr>
        <w:t>1,2]</w:t>
      </w:r>
      <w:r w:rsidR="00763950" w:rsidRPr="00572FD0">
        <w:rPr>
          <w:rFonts w:cstheme="minorHAnsi"/>
        </w:rPr>
        <w:t xml:space="preserve"> </w:t>
      </w:r>
      <w:r w:rsidRPr="00572FD0">
        <w:rPr>
          <w:rFonts w:cstheme="minorHAnsi"/>
        </w:rPr>
        <w:t xml:space="preserve"> </w:t>
      </w:r>
      <w:r w:rsidR="00F062AC">
        <w:rPr>
          <w:rFonts w:cstheme="minorHAnsi"/>
        </w:rPr>
        <w:t xml:space="preserve">Whilst these occur in either pre-hospital or hospital settings, the challenges and risks faced are broadly similar. </w:t>
      </w:r>
      <w:r w:rsidRPr="00572FD0">
        <w:rPr>
          <w:rFonts w:cstheme="minorHAnsi"/>
        </w:rPr>
        <w:t xml:space="preserve">Major Incident </w:t>
      </w:r>
      <w:r w:rsidR="00EE0743" w:rsidRPr="00572FD0">
        <w:rPr>
          <w:rFonts w:cstheme="minorHAnsi"/>
        </w:rPr>
        <w:t xml:space="preserve">Triage </w:t>
      </w:r>
      <w:r w:rsidRPr="00572FD0">
        <w:rPr>
          <w:rFonts w:cstheme="minorHAnsi"/>
        </w:rPr>
        <w:t xml:space="preserve">(MIT) </w:t>
      </w:r>
      <w:r w:rsidR="003A7DB3" w:rsidRPr="00572FD0">
        <w:rPr>
          <w:rFonts w:cstheme="minorHAnsi"/>
        </w:rPr>
        <w:t>tool</w:t>
      </w:r>
      <w:r w:rsidR="00562494" w:rsidRPr="00572FD0">
        <w:rPr>
          <w:rFonts w:cstheme="minorHAnsi"/>
        </w:rPr>
        <w:t>s</w:t>
      </w:r>
      <w:r w:rsidR="005459B3" w:rsidRPr="00572FD0">
        <w:rPr>
          <w:rFonts w:cstheme="minorHAnsi"/>
        </w:rPr>
        <w:t xml:space="preserve"> aim to </w:t>
      </w:r>
      <w:r w:rsidR="003A7DB3" w:rsidRPr="00572FD0">
        <w:rPr>
          <w:rFonts w:cstheme="minorHAnsi"/>
        </w:rPr>
        <w:t xml:space="preserve">mitigate </w:t>
      </w:r>
      <w:r w:rsidR="00337D9D" w:rsidRPr="00572FD0">
        <w:rPr>
          <w:rFonts w:cstheme="minorHAnsi"/>
        </w:rPr>
        <w:t>these</w:t>
      </w:r>
      <w:r w:rsidR="003A7DB3" w:rsidRPr="00572FD0">
        <w:rPr>
          <w:rFonts w:cstheme="minorHAnsi"/>
        </w:rPr>
        <w:t xml:space="preserve"> risks</w:t>
      </w:r>
      <w:r w:rsidR="00B35C12" w:rsidRPr="00572FD0">
        <w:rPr>
          <w:rFonts w:cstheme="minorHAnsi"/>
        </w:rPr>
        <w:t xml:space="preserve"> by</w:t>
      </w:r>
      <w:r w:rsidR="003A7DB3" w:rsidRPr="00572FD0">
        <w:rPr>
          <w:rFonts w:cstheme="minorHAnsi"/>
        </w:rPr>
        <w:t xml:space="preserve"> </w:t>
      </w:r>
      <w:r w:rsidRPr="00572FD0">
        <w:rPr>
          <w:rFonts w:cstheme="minorHAnsi"/>
        </w:rPr>
        <w:t>prioritis</w:t>
      </w:r>
      <w:r w:rsidR="003A7DB3" w:rsidRPr="00572FD0">
        <w:rPr>
          <w:rFonts w:cstheme="minorHAnsi"/>
        </w:rPr>
        <w:t>ing</w:t>
      </w:r>
      <w:r w:rsidRPr="00572FD0">
        <w:rPr>
          <w:rFonts w:cstheme="minorHAnsi"/>
        </w:rPr>
        <w:t xml:space="preserve"> </w:t>
      </w:r>
      <w:r w:rsidR="00B35C12" w:rsidRPr="00572FD0">
        <w:rPr>
          <w:rFonts w:cstheme="minorHAnsi"/>
        </w:rPr>
        <w:t>patients</w:t>
      </w:r>
      <w:r w:rsidR="00EE0743" w:rsidRPr="00572FD0">
        <w:rPr>
          <w:rFonts w:cstheme="minorHAnsi"/>
        </w:rPr>
        <w:t xml:space="preserve"> </w:t>
      </w:r>
      <w:r w:rsidR="00B35C12" w:rsidRPr="00572FD0">
        <w:rPr>
          <w:rFonts w:cstheme="minorHAnsi"/>
        </w:rPr>
        <w:t>with high</w:t>
      </w:r>
      <w:r w:rsidR="00EE0743" w:rsidRPr="00572FD0">
        <w:rPr>
          <w:rFonts w:cstheme="minorHAnsi"/>
        </w:rPr>
        <w:t xml:space="preserve"> clinical acuity and need for life-saving intervention</w:t>
      </w:r>
      <w:r w:rsidRPr="00572FD0">
        <w:rPr>
          <w:rFonts w:cstheme="minorHAnsi"/>
        </w:rPr>
        <w:t xml:space="preserve">, </w:t>
      </w:r>
      <w:r w:rsidR="003A7DB3" w:rsidRPr="00572FD0">
        <w:rPr>
          <w:rFonts w:cstheme="minorHAnsi"/>
        </w:rPr>
        <w:t>whilst</w:t>
      </w:r>
      <w:r w:rsidRPr="00572FD0">
        <w:rPr>
          <w:rFonts w:cstheme="minorHAnsi"/>
        </w:rPr>
        <w:t xml:space="preserve"> </w:t>
      </w:r>
      <w:r w:rsidR="00D118E0" w:rsidRPr="00572FD0">
        <w:rPr>
          <w:rFonts w:cstheme="minorHAnsi"/>
        </w:rPr>
        <w:t xml:space="preserve">also </w:t>
      </w:r>
      <w:r w:rsidR="003A7DB3" w:rsidRPr="00572FD0">
        <w:rPr>
          <w:rFonts w:cstheme="minorHAnsi"/>
        </w:rPr>
        <w:t xml:space="preserve">identifying </w:t>
      </w:r>
      <w:r w:rsidR="00337D9D" w:rsidRPr="00572FD0">
        <w:rPr>
          <w:rFonts w:cstheme="minorHAnsi"/>
        </w:rPr>
        <w:t xml:space="preserve">a </w:t>
      </w:r>
      <w:r w:rsidR="003A7DB3" w:rsidRPr="00572FD0">
        <w:rPr>
          <w:rFonts w:cstheme="minorHAnsi"/>
        </w:rPr>
        <w:t>cohort at lower risk.</w:t>
      </w:r>
      <w:r w:rsidR="00226311">
        <w:rPr>
          <w:rFonts w:cstheme="minorHAnsi"/>
        </w:rPr>
        <w:t>[1]</w:t>
      </w:r>
      <w:r w:rsidR="008148A2" w:rsidRPr="00572FD0">
        <w:rPr>
          <w:rFonts w:cstheme="minorHAnsi"/>
        </w:rPr>
        <w:t xml:space="preserve">  </w:t>
      </w:r>
      <w:r w:rsidR="00FD2276" w:rsidRPr="00572FD0">
        <w:rPr>
          <w:rFonts w:cstheme="minorHAnsi"/>
        </w:rPr>
        <w:t>M</w:t>
      </w:r>
      <w:r w:rsidR="516ED5C4" w:rsidRPr="00572FD0">
        <w:rPr>
          <w:rFonts w:cstheme="minorHAnsi"/>
        </w:rPr>
        <w:t>ajor incidents</w:t>
      </w:r>
      <w:r w:rsidR="00FD2276" w:rsidRPr="00572FD0">
        <w:rPr>
          <w:rFonts w:cstheme="minorHAnsi"/>
        </w:rPr>
        <w:t xml:space="preserve"> involving children </w:t>
      </w:r>
      <w:r w:rsidRPr="00572FD0">
        <w:rPr>
          <w:rFonts w:cstheme="minorHAnsi"/>
        </w:rPr>
        <w:t xml:space="preserve">are </w:t>
      </w:r>
      <w:r w:rsidR="00561426" w:rsidRPr="00572FD0">
        <w:rPr>
          <w:rFonts w:cstheme="minorHAnsi"/>
        </w:rPr>
        <w:t xml:space="preserve">less </w:t>
      </w:r>
      <w:r w:rsidRPr="00572FD0">
        <w:rPr>
          <w:rFonts w:cstheme="minorHAnsi"/>
        </w:rPr>
        <w:t>common</w:t>
      </w:r>
      <w:r w:rsidR="00B35C12" w:rsidRPr="00572FD0">
        <w:rPr>
          <w:rFonts w:cstheme="minorHAnsi"/>
        </w:rPr>
        <w:t>,</w:t>
      </w:r>
      <w:r w:rsidRPr="00572FD0">
        <w:rPr>
          <w:rFonts w:cstheme="minorHAnsi"/>
        </w:rPr>
        <w:t xml:space="preserve"> </w:t>
      </w:r>
      <w:r w:rsidR="00561426" w:rsidRPr="00572FD0">
        <w:rPr>
          <w:rFonts w:cstheme="minorHAnsi"/>
        </w:rPr>
        <w:t>but</w:t>
      </w:r>
      <w:r w:rsidR="005459B3" w:rsidRPr="00572FD0">
        <w:rPr>
          <w:rFonts w:cstheme="minorHAnsi"/>
        </w:rPr>
        <w:t xml:space="preserve"> </w:t>
      </w:r>
      <w:r w:rsidR="00CD6BA6" w:rsidRPr="00572FD0">
        <w:rPr>
          <w:rFonts w:cstheme="minorHAnsi"/>
        </w:rPr>
        <w:t xml:space="preserve">they </w:t>
      </w:r>
      <w:r w:rsidR="00B35C12" w:rsidRPr="00572FD0">
        <w:rPr>
          <w:rFonts w:cstheme="minorHAnsi"/>
        </w:rPr>
        <w:t xml:space="preserve">also carry potential for </w:t>
      </w:r>
      <w:r w:rsidR="000D6973" w:rsidRPr="00572FD0">
        <w:rPr>
          <w:rFonts w:cstheme="minorHAnsi"/>
        </w:rPr>
        <w:t>long-lasting</w:t>
      </w:r>
      <w:r w:rsidR="00FC4C7D" w:rsidRPr="00572FD0">
        <w:rPr>
          <w:rFonts w:cstheme="minorHAnsi"/>
        </w:rPr>
        <w:t xml:space="preserve"> </w:t>
      </w:r>
      <w:r w:rsidR="00B35C12" w:rsidRPr="00572FD0">
        <w:rPr>
          <w:rFonts w:cstheme="minorHAnsi"/>
        </w:rPr>
        <w:t xml:space="preserve">negative psychological </w:t>
      </w:r>
      <w:r w:rsidR="00FC4C7D" w:rsidRPr="00572FD0">
        <w:rPr>
          <w:rFonts w:cstheme="minorHAnsi"/>
        </w:rPr>
        <w:t xml:space="preserve">effects on </w:t>
      </w:r>
      <w:r w:rsidR="00AA3675" w:rsidRPr="00572FD0">
        <w:rPr>
          <w:rFonts w:cstheme="minorHAnsi"/>
        </w:rPr>
        <w:t>clinicians</w:t>
      </w:r>
      <w:r w:rsidR="00A900A9" w:rsidRPr="00572FD0">
        <w:rPr>
          <w:rFonts w:cstheme="minorHAnsi"/>
        </w:rPr>
        <w:t>.</w:t>
      </w:r>
      <w:r w:rsidR="00226311">
        <w:rPr>
          <w:rFonts w:cstheme="minorHAnsi"/>
        </w:rPr>
        <w:t>[3,4]</w:t>
      </w:r>
      <w:r w:rsidR="00FC4C7D" w:rsidRPr="00572FD0">
        <w:rPr>
          <w:rFonts w:cstheme="minorHAnsi"/>
        </w:rPr>
        <w:t xml:space="preserve"> </w:t>
      </w:r>
      <w:r w:rsidR="009B4BAE" w:rsidRPr="00572FD0">
        <w:rPr>
          <w:rFonts w:cstheme="minorHAnsi"/>
        </w:rPr>
        <w:t xml:space="preserve">The ideal paediatric MIT tool should therefore be </w:t>
      </w:r>
      <w:r w:rsidR="00AB3684" w:rsidRPr="00572FD0">
        <w:rPr>
          <w:rFonts w:cstheme="minorHAnsi"/>
        </w:rPr>
        <w:t xml:space="preserve">simple </w:t>
      </w:r>
      <w:r w:rsidR="00B35C12" w:rsidRPr="00572FD0">
        <w:rPr>
          <w:rFonts w:cstheme="minorHAnsi"/>
        </w:rPr>
        <w:t xml:space="preserve">and rapid to </w:t>
      </w:r>
      <w:r w:rsidR="00AB3684" w:rsidRPr="00572FD0">
        <w:rPr>
          <w:rFonts w:cstheme="minorHAnsi"/>
        </w:rPr>
        <w:t xml:space="preserve">apply, </w:t>
      </w:r>
      <w:r w:rsidR="00B35C12" w:rsidRPr="00572FD0">
        <w:rPr>
          <w:rFonts w:cstheme="minorHAnsi"/>
        </w:rPr>
        <w:t xml:space="preserve">demonstrate good performance accuracy, </w:t>
      </w:r>
      <w:r w:rsidR="009B4BAE" w:rsidRPr="00572FD0">
        <w:rPr>
          <w:rFonts w:cstheme="minorHAnsi"/>
        </w:rPr>
        <w:t>and provide decision making support to clinicians</w:t>
      </w:r>
      <w:r w:rsidR="00D65A42" w:rsidRPr="00572FD0">
        <w:rPr>
          <w:rFonts w:cstheme="minorHAnsi"/>
        </w:rPr>
        <w:t>.</w:t>
      </w:r>
      <w:r w:rsidR="00226311">
        <w:rPr>
          <w:rFonts w:cstheme="minorHAnsi"/>
        </w:rPr>
        <w:t>[5]</w:t>
      </w:r>
    </w:p>
    <w:p w14:paraId="5F7E451F" w14:textId="76631C8B" w:rsidR="00B31470" w:rsidRPr="00572FD0" w:rsidRDefault="00ED4BCB" w:rsidP="005B75F1">
      <w:pPr>
        <w:pStyle w:val="NoSpacing"/>
        <w:spacing w:after="240" w:line="360" w:lineRule="auto"/>
        <w:rPr>
          <w:rFonts w:cstheme="minorHAnsi"/>
        </w:rPr>
      </w:pPr>
      <w:r w:rsidRPr="00572FD0">
        <w:rPr>
          <w:rFonts w:cstheme="minorHAnsi"/>
        </w:rPr>
        <w:t>Whilst a number of MIT tools are used internationally</w:t>
      </w:r>
      <w:r w:rsidR="00C31660" w:rsidRPr="00572FD0">
        <w:rPr>
          <w:rFonts w:cstheme="minorHAnsi"/>
        </w:rPr>
        <w:t>,</w:t>
      </w:r>
      <w:r w:rsidRPr="00572FD0">
        <w:rPr>
          <w:rFonts w:cstheme="minorHAnsi"/>
        </w:rPr>
        <w:t xml:space="preserve"> the </w:t>
      </w:r>
      <w:r w:rsidR="00EE0743" w:rsidRPr="00572FD0">
        <w:rPr>
          <w:rFonts w:cstheme="minorHAnsi"/>
        </w:rPr>
        <w:t>Modified Physiological Triage Tool-24 (MPTT-24</w:t>
      </w:r>
      <w:r w:rsidR="00562C01">
        <w:rPr>
          <w:rFonts w:cstheme="minorHAnsi"/>
        </w:rPr>
        <w:t xml:space="preserve">, </w:t>
      </w:r>
      <w:r w:rsidR="00562C01">
        <w:rPr>
          <w:rFonts w:cstheme="minorHAnsi"/>
          <w:b/>
          <w:bCs/>
          <w:i/>
          <w:iCs/>
        </w:rPr>
        <w:t>supplementary figure 1</w:t>
      </w:r>
      <w:r w:rsidR="00EE0743" w:rsidRPr="00572FD0">
        <w:rPr>
          <w:rFonts w:cstheme="minorHAnsi"/>
        </w:rPr>
        <w:t>)</w:t>
      </w:r>
      <w:r w:rsidR="00EC7D09" w:rsidRPr="00572FD0">
        <w:rPr>
          <w:rFonts w:cstheme="minorHAnsi"/>
        </w:rPr>
        <w:t xml:space="preserve"> has recently been implemented as the MIT</w:t>
      </w:r>
      <w:r w:rsidR="00203CA4" w:rsidRPr="00572FD0">
        <w:rPr>
          <w:rFonts w:cstheme="minorHAnsi"/>
        </w:rPr>
        <w:t xml:space="preserve"> tool</w:t>
      </w:r>
      <w:r w:rsidR="00EC7D09" w:rsidRPr="00572FD0">
        <w:rPr>
          <w:rFonts w:cstheme="minorHAnsi"/>
        </w:rPr>
        <w:t xml:space="preserve"> of choice</w:t>
      </w:r>
      <w:r w:rsidR="009E0628" w:rsidRPr="00572FD0">
        <w:rPr>
          <w:rFonts w:cstheme="minorHAnsi"/>
        </w:rPr>
        <w:t xml:space="preserve"> for adults</w:t>
      </w:r>
      <w:r w:rsidR="00EC7D09" w:rsidRPr="00572FD0">
        <w:rPr>
          <w:rFonts w:cstheme="minorHAnsi"/>
        </w:rPr>
        <w:t xml:space="preserve"> in </w:t>
      </w:r>
      <w:r w:rsidR="00DB54FC" w:rsidRPr="00572FD0">
        <w:rPr>
          <w:rFonts w:cstheme="minorHAnsi"/>
        </w:rPr>
        <w:t>UK</w:t>
      </w:r>
      <w:r w:rsidR="009E0628" w:rsidRPr="00572FD0">
        <w:rPr>
          <w:rFonts w:cstheme="minorHAnsi"/>
        </w:rPr>
        <w:t xml:space="preserve"> in-hospital</w:t>
      </w:r>
      <w:r w:rsidR="00DB54FC" w:rsidRPr="00572FD0">
        <w:rPr>
          <w:rFonts w:cstheme="minorHAnsi"/>
        </w:rPr>
        <w:t xml:space="preserve"> </w:t>
      </w:r>
      <w:r w:rsidR="00EC7D09" w:rsidRPr="00572FD0">
        <w:rPr>
          <w:rFonts w:cstheme="minorHAnsi"/>
        </w:rPr>
        <w:t>practice</w:t>
      </w:r>
      <w:r w:rsidR="00203CA4" w:rsidRPr="00572FD0">
        <w:rPr>
          <w:rFonts w:cstheme="minorHAnsi"/>
        </w:rPr>
        <w:t xml:space="preserve"> </w:t>
      </w:r>
      <w:r w:rsidR="00EC7D09" w:rsidRPr="00572FD0">
        <w:rPr>
          <w:rFonts w:cstheme="minorHAnsi"/>
        </w:rPr>
        <w:t>due to its performance accuracy</w:t>
      </w:r>
      <w:r w:rsidR="00805EFC" w:rsidRPr="00572FD0">
        <w:rPr>
          <w:rFonts w:cstheme="minorHAnsi"/>
        </w:rPr>
        <w:t>.</w:t>
      </w:r>
      <w:r w:rsidR="00226311">
        <w:rPr>
          <w:rFonts w:cstheme="minorHAnsi"/>
        </w:rPr>
        <w:t>[2,6,7]</w:t>
      </w:r>
      <w:r w:rsidR="00F145C2" w:rsidRPr="00572FD0">
        <w:rPr>
          <w:rFonts w:cstheme="minorHAnsi"/>
        </w:rPr>
        <w:t xml:space="preserve"> </w:t>
      </w:r>
      <w:r w:rsidR="00EC7D09" w:rsidRPr="00572FD0">
        <w:rPr>
          <w:rFonts w:cstheme="minorHAnsi"/>
        </w:rPr>
        <w:t>The two most widely used paediatric MIT tools in the UK are JumpSTART</w:t>
      </w:r>
      <w:r w:rsidR="00226311">
        <w:rPr>
          <w:rFonts w:cstheme="minorHAnsi"/>
        </w:rPr>
        <w:t xml:space="preserve"> [8]</w:t>
      </w:r>
      <w:r w:rsidR="009012C0" w:rsidRPr="00572FD0">
        <w:rPr>
          <w:rFonts w:cstheme="minorHAnsi"/>
        </w:rPr>
        <w:t xml:space="preserve"> </w:t>
      </w:r>
      <w:r w:rsidR="00602436" w:rsidRPr="00572FD0">
        <w:rPr>
          <w:rFonts w:cstheme="minorHAnsi"/>
        </w:rPr>
        <w:t xml:space="preserve">for hospital settings, </w:t>
      </w:r>
      <w:r w:rsidR="00EC7D09" w:rsidRPr="00572FD0">
        <w:rPr>
          <w:rFonts w:cstheme="minorHAnsi"/>
        </w:rPr>
        <w:t>and the Paediatric Triage Tape (PTT)</w:t>
      </w:r>
      <w:r w:rsidR="00226311">
        <w:rPr>
          <w:rFonts w:cstheme="minorHAnsi"/>
        </w:rPr>
        <w:t xml:space="preserve"> [9]</w:t>
      </w:r>
      <w:r w:rsidR="00F145C2" w:rsidRPr="00572FD0">
        <w:rPr>
          <w:rFonts w:cstheme="minorHAnsi"/>
        </w:rPr>
        <w:t xml:space="preserve"> </w:t>
      </w:r>
      <w:r w:rsidR="00602436" w:rsidRPr="00572FD0">
        <w:rPr>
          <w:rFonts w:cstheme="minorHAnsi"/>
        </w:rPr>
        <w:t>for the pre-hospital setting</w:t>
      </w:r>
      <w:r w:rsidR="00562C01">
        <w:rPr>
          <w:rFonts w:cstheme="minorHAnsi"/>
        </w:rPr>
        <w:t xml:space="preserve"> (</w:t>
      </w:r>
      <w:r w:rsidR="00562C01">
        <w:rPr>
          <w:rFonts w:cstheme="minorHAnsi"/>
          <w:b/>
          <w:bCs/>
          <w:i/>
          <w:iCs/>
        </w:rPr>
        <w:t>supplementary figures 2 and 3)</w:t>
      </w:r>
      <w:r w:rsidR="00EC7D09" w:rsidRPr="00572FD0">
        <w:rPr>
          <w:rFonts w:cstheme="minorHAnsi"/>
        </w:rPr>
        <w:t xml:space="preserve">. </w:t>
      </w:r>
      <w:r w:rsidR="00B62149" w:rsidRPr="00572FD0">
        <w:rPr>
          <w:rFonts w:cstheme="minorHAnsi"/>
        </w:rPr>
        <w:t>Th</w:t>
      </w:r>
      <w:r w:rsidR="00EC7D09" w:rsidRPr="00572FD0">
        <w:rPr>
          <w:rFonts w:cstheme="minorHAnsi"/>
        </w:rPr>
        <w:t xml:space="preserve">e MPTT-24 (and a </w:t>
      </w:r>
      <w:r w:rsidR="00602436" w:rsidRPr="00572FD0">
        <w:rPr>
          <w:rFonts w:cstheme="minorHAnsi"/>
        </w:rPr>
        <w:t xml:space="preserve">paediatric </w:t>
      </w:r>
      <w:r w:rsidR="00EC7D09" w:rsidRPr="00572FD0">
        <w:rPr>
          <w:rFonts w:cstheme="minorHAnsi"/>
        </w:rPr>
        <w:t>version</w:t>
      </w:r>
      <w:r w:rsidR="00562C01">
        <w:rPr>
          <w:rFonts w:cstheme="minorHAnsi"/>
        </w:rPr>
        <w:t xml:space="preserve">, </w:t>
      </w:r>
      <w:r w:rsidR="00562C01">
        <w:rPr>
          <w:rFonts w:cstheme="minorHAnsi"/>
          <w:b/>
          <w:bCs/>
          <w:i/>
          <w:iCs/>
        </w:rPr>
        <w:t>supplementary figure 4</w:t>
      </w:r>
      <w:r w:rsidR="00602436" w:rsidRPr="00572FD0">
        <w:rPr>
          <w:rFonts w:cstheme="minorHAnsi"/>
        </w:rPr>
        <w:t xml:space="preserve">) </w:t>
      </w:r>
      <w:r w:rsidR="00561426" w:rsidRPr="00572FD0">
        <w:rPr>
          <w:rFonts w:cstheme="minorHAnsi"/>
        </w:rPr>
        <w:t xml:space="preserve">have recently been found to </w:t>
      </w:r>
      <w:r w:rsidR="00B62149" w:rsidRPr="00572FD0">
        <w:rPr>
          <w:rFonts w:cstheme="minorHAnsi"/>
        </w:rPr>
        <w:t>o</w:t>
      </w:r>
      <w:r w:rsidR="00602436" w:rsidRPr="00572FD0">
        <w:rPr>
          <w:rFonts w:cstheme="minorHAnsi"/>
        </w:rPr>
        <w:t xml:space="preserve">utperform </w:t>
      </w:r>
      <w:r w:rsidR="00561426" w:rsidRPr="00572FD0">
        <w:rPr>
          <w:rFonts w:cstheme="minorHAnsi"/>
        </w:rPr>
        <w:t xml:space="preserve">existing </w:t>
      </w:r>
      <w:r w:rsidR="00B62149" w:rsidRPr="00572FD0">
        <w:rPr>
          <w:rFonts w:cstheme="minorHAnsi"/>
        </w:rPr>
        <w:t xml:space="preserve">paediatric </w:t>
      </w:r>
      <w:r w:rsidR="00602436" w:rsidRPr="00572FD0">
        <w:rPr>
          <w:rFonts w:cstheme="minorHAnsi"/>
        </w:rPr>
        <w:t>MIT tools on a trauma registry dataset</w:t>
      </w:r>
      <w:r w:rsidR="00B62149" w:rsidRPr="00572FD0">
        <w:rPr>
          <w:rFonts w:cstheme="minorHAnsi"/>
        </w:rPr>
        <w:t xml:space="preserve">, in their ability to identify patients in need of a life-saving </w:t>
      </w:r>
      <w:proofErr w:type="gramStart"/>
      <w:r w:rsidR="00B62149" w:rsidRPr="00572FD0">
        <w:rPr>
          <w:rFonts w:cstheme="minorHAnsi"/>
        </w:rPr>
        <w:t>intervention.</w:t>
      </w:r>
      <w:r w:rsidR="00226311">
        <w:rPr>
          <w:rFonts w:cstheme="minorHAnsi"/>
        </w:rPr>
        <w:t>[</w:t>
      </w:r>
      <w:proofErr w:type="gramEnd"/>
      <w:r w:rsidR="00226311">
        <w:rPr>
          <w:rFonts w:cstheme="minorHAnsi"/>
        </w:rPr>
        <w:t>10,11]</w:t>
      </w:r>
      <w:r w:rsidR="00E1339C" w:rsidRPr="00572FD0">
        <w:rPr>
          <w:rFonts w:cstheme="minorHAnsi"/>
        </w:rPr>
        <w:t xml:space="preserve"> </w:t>
      </w:r>
      <w:r w:rsidR="00B62149" w:rsidRPr="00572FD0">
        <w:rPr>
          <w:rFonts w:cstheme="minorHAnsi"/>
        </w:rPr>
        <w:t xml:space="preserve">However, limitations of </w:t>
      </w:r>
      <w:r w:rsidR="000B23B5" w:rsidRPr="00572FD0">
        <w:rPr>
          <w:rFonts w:cstheme="minorHAnsi"/>
        </w:rPr>
        <w:t xml:space="preserve">existing </w:t>
      </w:r>
      <w:r w:rsidR="00B62149" w:rsidRPr="00572FD0">
        <w:rPr>
          <w:rFonts w:cstheme="minorHAnsi"/>
        </w:rPr>
        <w:t>evidence, patient and professional factors, and existing life support guidance cloud direct translation of these findings to practice.</w:t>
      </w:r>
      <w:r w:rsidR="00226311">
        <w:rPr>
          <w:rFonts w:cstheme="minorHAnsi"/>
        </w:rPr>
        <w:t>[12]</w:t>
      </w:r>
      <w:r w:rsidR="009C6EB5" w:rsidRPr="00572FD0">
        <w:rPr>
          <w:rFonts w:cstheme="minorHAnsi"/>
        </w:rPr>
        <w:t xml:space="preserve">  </w:t>
      </w:r>
      <w:r w:rsidR="00E319D3" w:rsidRPr="00572FD0">
        <w:rPr>
          <w:rFonts w:cstheme="minorHAnsi"/>
        </w:rPr>
        <w:t xml:space="preserve"> </w:t>
      </w:r>
    </w:p>
    <w:p w14:paraId="2FE274A9" w14:textId="5323EE0C" w:rsidR="00D913EF" w:rsidRPr="00572FD0" w:rsidRDefault="00F04547">
      <w:pPr>
        <w:pStyle w:val="NoSpacing"/>
        <w:spacing w:after="240" w:line="360" w:lineRule="auto"/>
        <w:rPr>
          <w:rFonts w:cstheme="minorHAnsi"/>
        </w:rPr>
      </w:pPr>
      <w:r w:rsidRPr="00572FD0">
        <w:rPr>
          <w:rFonts w:cstheme="minorHAnsi"/>
        </w:rPr>
        <w:t xml:space="preserve">Although the MPTT-24 incorporates physiological variables, </w:t>
      </w:r>
      <w:r w:rsidR="007A69DD" w:rsidRPr="00572FD0">
        <w:rPr>
          <w:rFonts w:cstheme="minorHAnsi"/>
        </w:rPr>
        <w:t xml:space="preserve">translation into paediatric clinical practice </w:t>
      </w:r>
      <w:r w:rsidRPr="00572FD0">
        <w:rPr>
          <w:rFonts w:cstheme="minorHAnsi"/>
        </w:rPr>
        <w:t xml:space="preserve">is more complex </w:t>
      </w:r>
      <w:r w:rsidR="000B23B5" w:rsidRPr="00572FD0">
        <w:rPr>
          <w:rFonts w:cstheme="minorHAnsi"/>
        </w:rPr>
        <w:t xml:space="preserve">as </w:t>
      </w:r>
      <w:r w:rsidRPr="00572FD0">
        <w:rPr>
          <w:rFonts w:cstheme="minorHAnsi"/>
        </w:rPr>
        <w:t xml:space="preserve">normal </w:t>
      </w:r>
      <w:r w:rsidR="00596354">
        <w:rPr>
          <w:rFonts w:cstheme="minorHAnsi"/>
        </w:rPr>
        <w:t xml:space="preserve">physiological </w:t>
      </w:r>
      <w:r w:rsidRPr="00572FD0">
        <w:rPr>
          <w:rFonts w:cstheme="minorHAnsi"/>
        </w:rPr>
        <w:t xml:space="preserve">ranges </w:t>
      </w:r>
      <w:r w:rsidR="00596354">
        <w:rPr>
          <w:rFonts w:cstheme="minorHAnsi"/>
        </w:rPr>
        <w:t>differ</w:t>
      </w:r>
      <w:r w:rsidR="00596354" w:rsidRPr="00572FD0">
        <w:rPr>
          <w:rFonts w:cstheme="minorHAnsi"/>
        </w:rPr>
        <w:t xml:space="preserve"> </w:t>
      </w:r>
      <w:r w:rsidRPr="00572FD0">
        <w:rPr>
          <w:rFonts w:cstheme="minorHAnsi"/>
        </w:rPr>
        <w:t>with age</w:t>
      </w:r>
      <w:r w:rsidR="00761721" w:rsidRPr="00572FD0">
        <w:rPr>
          <w:rFonts w:cstheme="minorHAnsi"/>
        </w:rPr>
        <w:t>.</w:t>
      </w:r>
      <w:r w:rsidR="009012C0" w:rsidRPr="00572FD0">
        <w:rPr>
          <w:rFonts w:cstheme="minorHAnsi"/>
        </w:rPr>
        <w:t xml:space="preserve"> </w:t>
      </w:r>
      <w:r w:rsidR="00761721" w:rsidRPr="00572FD0">
        <w:rPr>
          <w:rFonts w:cstheme="minorHAnsi"/>
        </w:rPr>
        <w:t xml:space="preserve"> The consequent </w:t>
      </w:r>
      <w:r w:rsidRPr="00572FD0">
        <w:rPr>
          <w:rFonts w:cstheme="minorHAnsi"/>
        </w:rPr>
        <w:t>potential</w:t>
      </w:r>
      <w:r w:rsidR="00761721" w:rsidRPr="00572FD0">
        <w:rPr>
          <w:rFonts w:cstheme="minorHAnsi"/>
        </w:rPr>
        <w:t xml:space="preserve"> for operator error has led to suggestions that physiological variables should be removed from paediatric MIT tools, or that adult variables should be used for adolescents</w:t>
      </w:r>
      <w:r w:rsidRPr="00572FD0">
        <w:rPr>
          <w:rFonts w:cstheme="minorHAnsi"/>
        </w:rPr>
        <w:t>. Whilst rescue breaths are recommended in resuscitation guidance for individual children</w:t>
      </w:r>
      <w:r w:rsidR="00226311">
        <w:rPr>
          <w:rFonts w:cstheme="minorHAnsi"/>
        </w:rPr>
        <w:t xml:space="preserve"> [12]</w:t>
      </w:r>
      <w:r w:rsidR="00D659BB" w:rsidRPr="00572FD0">
        <w:rPr>
          <w:rFonts w:cstheme="minorHAnsi"/>
        </w:rPr>
        <w:t xml:space="preserve"> </w:t>
      </w:r>
      <w:r w:rsidRPr="00572FD0">
        <w:rPr>
          <w:rFonts w:cstheme="minorHAnsi"/>
        </w:rPr>
        <w:t xml:space="preserve">and in </w:t>
      </w:r>
      <w:r w:rsidR="2AE9C079" w:rsidRPr="00572FD0">
        <w:rPr>
          <w:rFonts w:cstheme="minorHAnsi"/>
        </w:rPr>
        <w:t>JumpSTART</w:t>
      </w:r>
      <w:r w:rsidRPr="00572FD0">
        <w:rPr>
          <w:rFonts w:cstheme="minorHAnsi"/>
        </w:rPr>
        <w:t xml:space="preserve">, this </w:t>
      </w:r>
      <w:r w:rsidR="00561426" w:rsidRPr="00572FD0">
        <w:rPr>
          <w:rFonts w:cstheme="minorHAnsi"/>
        </w:rPr>
        <w:t xml:space="preserve">is likely to </w:t>
      </w:r>
      <w:r w:rsidRPr="00572FD0">
        <w:rPr>
          <w:rFonts w:cstheme="minorHAnsi"/>
        </w:rPr>
        <w:t>delay</w:t>
      </w:r>
      <w:r w:rsidR="00561426" w:rsidRPr="00572FD0">
        <w:rPr>
          <w:rFonts w:cstheme="minorHAnsi"/>
        </w:rPr>
        <w:t xml:space="preserve"> the</w:t>
      </w:r>
      <w:r w:rsidRPr="00572FD0">
        <w:rPr>
          <w:rFonts w:cstheme="minorHAnsi"/>
        </w:rPr>
        <w:t xml:space="preserve"> assessment of subsequent patients when faced with multiple casualties. </w:t>
      </w:r>
      <w:r w:rsidR="00D659BB" w:rsidRPr="00572FD0">
        <w:rPr>
          <w:rFonts w:cstheme="minorHAnsi"/>
        </w:rPr>
        <w:t xml:space="preserve"> </w:t>
      </w:r>
      <w:r w:rsidR="00596354">
        <w:rPr>
          <w:rFonts w:cstheme="minorHAnsi"/>
        </w:rPr>
        <w:t>Both m</w:t>
      </w:r>
      <w:r w:rsidR="00596354" w:rsidRPr="00572FD0">
        <w:rPr>
          <w:rFonts w:cstheme="minorHAnsi"/>
        </w:rPr>
        <w:t xml:space="preserve">ortality </w:t>
      </w:r>
      <w:r w:rsidR="00761721" w:rsidRPr="00572FD0">
        <w:rPr>
          <w:rFonts w:cstheme="minorHAnsi"/>
        </w:rPr>
        <w:t xml:space="preserve">and </w:t>
      </w:r>
      <w:r w:rsidR="00596354">
        <w:rPr>
          <w:rFonts w:cstheme="minorHAnsi"/>
        </w:rPr>
        <w:t xml:space="preserve">the </w:t>
      </w:r>
      <w:r w:rsidR="00761721" w:rsidRPr="00572FD0">
        <w:rPr>
          <w:rFonts w:cstheme="minorHAnsi"/>
        </w:rPr>
        <w:t xml:space="preserve">need for </w:t>
      </w:r>
      <w:r w:rsidR="3D0A4303" w:rsidRPr="00572FD0">
        <w:rPr>
          <w:rFonts w:cstheme="minorHAnsi"/>
        </w:rPr>
        <w:t xml:space="preserve">life-saving </w:t>
      </w:r>
      <w:r w:rsidR="002B7D58" w:rsidRPr="00572FD0">
        <w:rPr>
          <w:rFonts w:cstheme="minorHAnsi"/>
        </w:rPr>
        <w:t>interventions are</w:t>
      </w:r>
      <w:r w:rsidR="00761721" w:rsidRPr="00572FD0">
        <w:rPr>
          <w:rFonts w:cstheme="minorHAnsi"/>
        </w:rPr>
        <w:t xml:space="preserve"> highest in the youngest age </w:t>
      </w:r>
      <w:r w:rsidR="000B23B5" w:rsidRPr="00572FD0">
        <w:rPr>
          <w:rFonts w:cstheme="minorHAnsi"/>
        </w:rPr>
        <w:t>cohort,</w:t>
      </w:r>
      <w:r w:rsidR="00226311">
        <w:rPr>
          <w:rFonts w:cstheme="minorHAnsi"/>
        </w:rPr>
        <w:t>[10]</w:t>
      </w:r>
      <w:r w:rsidR="00203FA2" w:rsidRPr="00572FD0">
        <w:rPr>
          <w:rFonts w:cstheme="minorHAnsi"/>
        </w:rPr>
        <w:t xml:space="preserve"> </w:t>
      </w:r>
      <w:r w:rsidR="000B23B5" w:rsidRPr="00572FD0">
        <w:rPr>
          <w:rFonts w:cstheme="minorHAnsi"/>
        </w:rPr>
        <w:t xml:space="preserve">yet </w:t>
      </w:r>
      <w:r w:rsidR="00761721" w:rsidRPr="00572FD0">
        <w:rPr>
          <w:rFonts w:cstheme="minorHAnsi"/>
        </w:rPr>
        <w:t xml:space="preserve">these </w:t>
      </w:r>
      <w:r w:rsidR="000B23B5" w:rsidRPr="00572FD0">
        <w:rPr>
          <w:rFonts w:cstheme="minorHAnsi"/>
        </w:rPr>
        <w:t xml:space="preserve">patients </w:t>
      </w:r>
      <w:r w:rsidR="00761721" w:rsidRPr="00572FD0">
        <w:rPr>
          <w:rFonts w:cstheme="minorHAnsi"/>
        </w:rPr>
        <w:t xml:space="preserve">are the most </w:t>
      </w:r>
      <w:r w:rsidR="000B23B5" w:rsidRPr="00572FD0">
        <w:rPr>
          <w:rFonts w:cstheme="minorHAnsi"/>
        </w:rPr>
        <w:t xml:space="preserve">difficult to rapidly assess. For example, mobility assessment is a key factor in several MIT tools, but often does not account for </w:t>
      </w:r>
      <w:r w:rsidR="00EA7995" w:rsidRPr="00572FD0">
        <w:rPr>
          <w:rFonts w:cstheme="minorHAnsi"/>
        </w:rPr>
        <w:t xml:space="preserve">young children </w:t>
      </w:r>
      <w:r w:rsidR="000B23B5" w:rsidRPr="00572FD0">
        <w:rPr>
          <w:rFonts w:cstheme="minorHAnsi"/>
        </w:rPr>
        <w:t xml:space="preserve">being </w:t>
      </w:r>
      <w:r w:rsidR="00EA7995" w:rsidRPr="00572FD0">
        <w:rPr>
          <w:rFonts w:cstheme="minorHAnsi"/>
        </w:rPr>
        <w:t>developmentally p</w:t>
      </w:r>
      <w:r w:rsidR="000B23B5" w:rsidRPr="00572FD0">
        <w:rPr>
          <w:rFonts w:cstheme="minorHAnsi"/>
        </w:rPr>
        <w:t xml:space="preserve">re-mobile. </w:t>
      </w:r>
      <w:r w:rsidR="00EA7995" w:rsidRPr="00572FD0">
        <w:rPr>
          <w:rFonts w:cstheme="minorHAnsi"/>
        </w:rPr>
        <w:t xml:space="preserve">Some have therefore </w:t>
      </w:r>
      <w:r w:rsidR="00761721" w:rsidRPr="00572FD0">
        <w:rPr>
          <w:rFonts w:cstheme="minorHAnsi"/>
        </w:rPr>
        <w:t>suggest</w:t>
      </w:r>
      <w:r w:rsidR="00EA7995" w:rsidRPr="00572FD0">
        <w:rPr>
          <w:rFonts w:cstheme="minorHAnsi"/>
        </w:rPr>
        <w:t>ed</w:t>
      </w:r>
      <w:r w:rsidR="00761721" w:rsidRPr="00572FD0">
        <w:rPr>
          <w:rFonts w:cstheme="minorHAnsi"/>
        </w:rPr>
        <w:t xml:space="preserve"> that all patients below a lower age threshold should be assigned the highest priority (Priority 1; P1).</w:t>
      </w:r>
    </w:p>
    <w:p w14:paraId="01228168" w14:textId="77777777" w:rsidR="0017129E" w:rsidRPr="0017129E" w:rsidRDefault="0017129E" w:rsidP="0017129E">
      <w:pPr>
        <w:pStyle w:val="NoSpacing"/>
        <w:spacing w:after="240" w:line="360" w:lineRule="auto"/>
        <w:rPr>
          <w:rFonts w:cstheme="minorHAnsi"/>
        </w:rPr>
      </w:pPr>
      <w:r w:rsidRPr="0017129E">
        <w:rPr>
          <w:rFonts w:cstheme="minorHAnsi"/>
        </w:rPr>
        <w:lastRenderedPageBreak/>
        <w:t xml:space="preserve">The aim of this study was to seek consensus opinion of healthcare professionals involved in the triage and management of paediatric patients at major incidents. This determined the level of agreement with existing practice and concepts arising from emerging evidence, </w:t>
      </w:r>
      <w:proofErr w:type="gramStart"/>
      <w:r w:rsidRPr="0017129E">
        <w:rPr>
          <w:rFonts w:cstheme="minorHAnsi"/>
        </w:rPr>
        <w:t>in order to</w:t>
      </w:r>
      <w:proofErr w:type="gramEnd"/>
      <w:r w:rsidRPr="0017129E">
        <w:rPr>
          <w:rFonts w:cstheme="minorHAnsi"/>
        </w:rPr>
        <w:t xml:space="preserve"> inform policymakers of the optimum manner in which paediatric MIT should be conducted.</w:t>
      </w:r>
    </w:p>
    <w:p w14:paraId="190DEC03" w14:textId="471806CF" w:rsidR="007108E5" w:rsidRPr="00572FD0" w:rsidRDefault="00D17316" w:rsidP="417D4976">
      <w:pPr>
        <w:spacing w:line="360" w:lineRule="auto"/>
        <w:rPr>
          <w:rFonts w:cstheme="minorHAnsi"/>
          <w:b/>
          <w:bCs/>
        </w:rPr>
      </w:pPr>
      <w:r>
        <w:rPr>
          <w:rFonts w:cstheme="minorHAnsi"/>
        </w:rPr>
        <w:t>.</w:t>
      </w:r>
      <w:r w:rsidR="00B615D4" w:rsidRPr="00572FD0">
        <w:rPr>
          <w:rFonts w:cstheme="minorHAnsi"/>
        </w:rPr>
        <w:t xml:space="preserve"> </w:t>
      </w:r>
      <w:r w:rsidR="005459B3" w:rsidRPr="00572FD0">
        <w:rPr>
          <w:rFonts w:cstheme="minorHAnsi"/>
        </w:rPr>
        <w:t xml:space="preserve"> </w:t>
      </w:r>
    </w:p>
    <w:p w14:paraId="1CE6B21B" w14:textId="77777777" w:rsidR="005516C1" w:rsidRDefault="005516C1" w:rsidP="00A432A1">
      <w:pPr>
        <w:rPr>
          <w:rFonts w:cstheme="minorHAnsi"/>
          <w:b/>
        </w:rPr>
        <w:sectPr w:rsidR="005516C1">
          <w:pgSz w:w="11906" w:h="16838"/>
          <w:pgMar w:top="1440" w:right="1440" w:bottom="1440" w:left="1440" w:header="708" w:footer="708" w:gutter="0"/>
          <w:cols w:space="708"/>
          <w:docGrid w:linePitch="360"/>
        </w:sectPr>
      </w:pPr>
    </w:p>
    <w:p w14:paraId="723A55A2" w14:textId="12A07A6F" w:rsidR="00EA7D6E" w:rsidRPr="00572FD0" w:rsidRDefault="005A65A0" w:rsidP="00A432A1">
      <w:pPr>
        <w:rPr>
          <w:rFonts w:cstheme="minorHAnsi"/>
        </w:rPr>
      </w:pPr>
      <w:r w:rsidRPr="00572FD0">
        <w:rPr>
          <w:rFonts w:cstheme="minorHAnsi"/>
          <w:b/>
        </w:rPr>
        <w:lastRenderedPageBreak/>
        <w:t>M</w:t>
      </w:r>
      <w:r w:rsidR="005515D9" w:rsidRPr="00572FD0">
        <w:rPr>
          <w:rFonts w:cstheme="minorHAnsi"/>
          <w:b/>
        </w:rPr>
        <w:t>ETHODS</w:t>
      </w:r>
    </w:p>
    <w:p w14:paraId="450D545F" w14:textId="0162D84F" w:rsidR="00493BC1" w:rsidRPr="00572FD0" w:rsidRDefault="005F5CF4">
      <w:pPr>
        <w:spacing w:line="360" w:lineRule="auto"/>
        <w:rPr>
          <w:rFonts w:cstheme="minorHAnsi"/>
        </w:rPr>
      </w:pPr>
      <w:r w:rsidRPr="00572FD0">
        <w:rPr>
          <w:rFonts w:cstheme="minorHAnsi"/>
        </w:rPr>
        <w:t>A</w:t>
      </w:r>
      <w:r w:rsidR="002B3CBD" w:rsidRPr="00572FD0">
        <w:rPr>
          <w:rFonts w:cstheme="minorHAnsi"/>
        </w:rPr>
        <w:t xml:space="preserve">n online </w:t>
      </w:r>
      <w:r w:rsidR="009D483C" w:rsidRPr="00572FD0">
        <w:rPr>
          <w:rFonts w:cstheme="minorHAnsi"/>
        </w:rPr>
        <w:t>modified</w:t>
      </w:r>
      <w:r w:rsidR="00C07607" w:rsidRPr="00572FD0">
        <w:rPr>
          <w:rFonts w:cstheme="minorHAnsi"/>
        </w:rPr>
        <w:t xml:space="preserve"> </w:t>
      </w:r>
      <w:r w:rsidRPr="00572FD0">
        <w:rPr>
          <w:rFonts w:cstheme="minorHAnsi"/>
        </w:rPr>
        <w:t xml:space="preserve">Delphi </w:t>
      </w:r>
      <w:r w:rsidR="004062C5" w:rsidRPr="00572FD0">
        <w:rPr>
          <w:rFonts w:cstheme="minorHAnsi"/>
        </w:rPr>
        <w:t xml:space="preserve">consensus </w:t>
      </w:r>
      <w:proofErr w:type="gramStart"/>
      <w:r w:rsidRPr="00572FD0">
        <w:rPr>
          <w:rFonts w:cstheme="minorHAnsi"/>
        </w:rPr>
        <w:t>study</w:t>
      </w:r>
      <w:r w:rsidR="004062C5" w:rsidRPr="00572FD0">
        <w:rPr>
          <w:rFonts w:cstheme="minorHAnsi"/>
        </w:rPr>
        <w:t>,</w:t>
      </w:r>
      <w:r w:rsidR="00295336">
        <w:rPr>
          <w:rFonts w:cstheme="minorHAnsi"/>
        </w:rPr>
        <w:t>[</w:t>
      </w:r>
      <w:proofErr w:type="gramEnd"/>
      <w:r w:rsidR="00295336">
        <w:rPr>
          <w:rFonts w:cstheme="minorHAnsi"/>
        </w:rPr>
        <w:t>13,14]</w:t>
      </w:r>
      <w:r w:rsidR="000A7CC7" w:rsidRPr="00572FD0">
        <w:rPr>
          <w:rFonts w:cstheme="minorHAnsi"/>
        </w:rPr>
        <w:t xml:space="preserve"> </w:t>
      </w:r>
      <w:r w:rsidR="004062C5" w:rsidRPr="00572FD0">
        <w:rPr>
          <w:rFonts w:cstheme="minorHAnsi"/>
        </w:rPr>
        <w:t>consisting of</w:t>
      </w:r>
      <w:r w:rsidRPr="00572FD0">
        <w:rPr>
          <w:rFonts w:cstheme="minorHAnsi"/>
        </w:rPr>
        <w:t xml:space="preserve"> two rounds</w:t>
      </w:r>
      <w:r w:rsidR="004062C5" w:rsidRPr="00572FD0">
        <w:rPr>
          <w:rFonts w:cstheme="minorHAnsi"/>
        </w:rPr>
        <w:t xml:space="preserve">, </w:t>
      </w:r>
      <w:r w:rsidRPr="00572FD0">
        <w:rPr>
          <w:rFonts w:cstheme="minorHAnsi"/>
        </w:rPr>
        <w:t xml:space="preserve">was undertaken between </w:t>
      </w:r>
      <w:r w:rsidR="00AA1F14" w:rsidRPr="00572FD0">
        <w:rPr>
          <w:rFonts w:cstheme="minorHAnsi"/>
        </w:rPr>
        <w:t>July</w:t>
      </w:r>
      <w:r w:rsidR="007C5D08" w:rsidRPr="00572FD0">
        <w:rPr>
          <w:rFonts w:cstheme="minorHAnsi"/>
        </w:rPr>
        <w:t xml:space="preserve"> and</w:t>
      </w:r>
      <w:r w:rsidRPr="00572FD0">
        <w:rPr>
          <w:rFonts w:cstheme="minorHAnsi"/>
        </w:rPr>
        <w:t xml:space="preserve"> October 2021</w:t>
      </w:r>
      <w:r w:rsidR="00260B68">
        <w:rPr>
          <w:rFonts w:cstheme="minorHAnsi"/>
        </w:rPr>
        <w:t xml:space="preserve"> </w:t>
      </w:r>
      <w:r w:rsidR="001134ED">
        <w:rPr>
          <w:rFonts w:cstheme="minorHAnsi"/>
          <w:b/>
          <w:bCs/>
        </w:rPr>
        <w:t>(</w:t>
      </w:r>
      <w:r w:rsidR="00260B68">
        <w:rPr>
          <w:rFonts w:cstheme="minorHAnsi"/>
          <w:b/>
          <w:bCs/>
        </w:rPr>
        <w:t xml:space="preserve">supplementary file). </w:t>
      </w:r>
      <w:r w:rsidR="004062C5" w:rsidRPr="00572FD0">
        <w:rPr>
          <w:rFonts w:cstheme="minorHAnsi"/>
        </w:rPr>
        <w:t>Round 1 ran for 4 weeks (23/07/2021-20/0</w:t>
      </w:r>
      <w:r w:rsidR="00CD6BA6" w:rsidRPr="00572FD0">
        <w:rPr>
          <w:rFonts w:cstheme="minorHAnsi"/>
        </w:rPr>
        <w:t>8</w:t>
      </w:r>
      <w:r w:rsidR="004062C5" w:rsidRPr="00572FD0">
        <w:rPr>
          <w:rFonts w:cstheme="minorHAnsi"/>
        </w:rPr>
        <w:t xml:space="preserve">/2021) and Round 2 for 3 weeks (15/09/2021-06/10/2021), with a maximum of three reminders sent in each round. Surveys were delivered using Research Electronic Data Capture tools (REDCap), </w:t>
      </w:r>
      <w:r w:rsidR="00D9441E" w:rsidRPr="00572FD0">
        <w:rPr>
          <w:rFonts w:cstheme="minorHAnsi"/>
        </w:rPr>
        <w:t xml:space="preserve">a secure, web-based software </w:t>
      </w:r>
      <w:proofErr w:type="gramStart"/>
      <w:r w:rsidR="00D9441E" w:rsidRPr="00572FD0">
        <w:rPr>
          <w:rFonts w:cstheme="minorHAnsi"/>
        </w:rPr>
        <w:t>platform.</w:t>
      </w:r>
      <w:r w:rsidR="00295336">
        <w:rPr>
          <w:rFonts w:cstheme="minorHAnsi"/>
        </w:rPr>
        <w:t>[</w:t>
      </w:r>
      <w:proofErr w:type="gramEnd"/>
      <w:r w:rsidR="00295336">
        <w:rPr>
          <w:rFonts w:cstheme="minorHAnsi"/>
        </w:rPr>
        <w:t>15,16]</w:t>
      </w:r>
      <w:r w:rsidR="00D9441E" w:rsidRPr="00572FD0">
        <w:rPr>
          <w:rFonts w:cstheme="minorHAnsi"/>
        </w:rPr>
        <w:t xml:space="preserve"> Data were stored securely on a server within University Hospitals Bristol and Weston NHS Foundation Trust. </w:t>
      </w:r>
      <w:r w:rsidR="006C4582" w:rsidRPr="00572FD0">
        <w:rPr>
          <w:rFonts w:cstheme="minorHAnsi"/>
        </w:rPr>
        <w:t xml:space="preserve"> </w:t>
      </w:r>
    </w:p>
    <w:p w14:paraId="41B2768D" w14:textId="18647CBF" w:rsidR="009D483C" w:rsidRPr="00572FD0" w:rsidRDefault="009D483C">
      <w:pPr>
        <w:spacing w:line="360" w:lineRule="auto"/>
        <w:rPr>
          <w:rFonts w:cstheme="minorHAnsi"/>
        </w:rPr>
      </w:pPr>
      <w:r w:rsidRPr="00572FD0">
        <w:rPr>
          <w:rFonts w:cstheme="minorHAnsi"/>
        </w:rPr>
        <w:t>P</w:t>
      </w:r>
      <w:r w:rsidR="00D9441E" w:rsidRPr="00572FD0">
        <w:rPr>
          <w:rFonts w:cstheme="minorHAnsi"/>
        </w:rPr>
        <w:t>otential p</w:t>
      </w:r>
      <w:r w:rsidRPr="00572FD0">
        <w:rPr>
          <w:rFonts w:cstheme="minorHAnsi"/>
        </w:rPr>
        <w:t xml:space="preserve">articipants were </w:t>
      </w:r>
      <w:r w:rsidR="00D9441E" w:rsidRPr="00572FD0">
        <w:rPr>
          <w:rFonts w:cstheme="minorHAnsi"/>
        </w:rPr>
        <w:t xml:space="preserve">identified </w:t>
      </w:r>
      <w:r w:rsidRPr="00572FD0">
        <w:rPr>
          <w:rFonts w:cstheme="minorHAnsi"/>
        </w:rPr>
        <w:t>by accessing</w:t>
      </w:r>
      <w:r w:rsidR="002C406A" w:rsidRPr="00572FD0">
        <w:rPr>
          <w:rFonts w:cstheme="minorHAnsi"/>
        </w:rPr>
        <w:t xml:space="preserve"> </w:t>
      </w:r>
      <w:r w:rsidR="00A542F8">
        <w:rPr>
          <w:rFonts w:cstheme="minorHAnsi"/>
        </w:rPr>
        <w:t>s</w:t>
      </w:r>
      <w:r w:rsidR="002C406A" w:rsidRPr="00572FD0">
        <w:rPr>
          <w:rFonts w:cstheme="minorHAnsi"/>
        </w:rPr>
        <w:t xml:space="preserve">ubject </w:t>
      </w:r>
      <w:r w:rsidR="00426217">
        <w:rPr>
          <w:rFonts w:cstheme="minorHAnsi"/>
        </w:rPr>
        <w:t>m</w:t>
      </w:r>
      <w:r w:rsidR="002C406A" w:rsidRPr="00572FD0">
        <w:rPr>
          <w:rFonts w:cstheme="minorHAnsi"/>
        </w:rPr>
        <w:t xml:space="preserve">atter </w:t>
      </w:r>
      <w:r w:rsidR="00426217">
        <w:rPr>
          <w:rFonts w:cstheme="minorHAnsi"/>
        </w:rPr>
        <w:t>e</w:t>
      </w:r>
      <w:r w:rsidR="002C406A" w:rsidRPr="00572FD0">
        <w:rPr>
          <w:rFonts w:cstheme="minorHAnsi"/>
        </w:rPr>
        <w:t xml:space="preserve">xpert </w:t>
      </w:r>
      <w:r w:rsidRPr="00572FD0">
        <w:rPr>
          <w:rFonts w:cstheme="minorHAnsi"/>
        </w:rPr>
        <w:t>groups across the UK and Ireland including</w:t>
      </w:r>
      <w:r w:rsidR="00816F8A" w:rsidRPr="00572FD0">
        <w:rPr>
          <w:rFonts w:cstheme="minorHAnsi"/>
        </w:rPr>
        <w:t xml:space="preserve"> the </w:t>
      </w:r>
      <w:r w:rsidRPr="00572FD0">
        <w:rPr>
          <w:rFonts w:cstheme="minorHAnsi"/>
        </w:rPr>
        <w:t xml:space="preserve">National Ambulance Services Medical Directors </w:t>
      </w:r>
      <w:r w:rsidR="00A22B42">
        <w:rPr>
          <w:rFonts w:cstheme="minorHAnsi"/>
        </w:rPr>
        <w:t>(</w:t>
      </w:r>
      <w:r w:rsidR="00AF4824">
        <w:rPr>
          <w:rFonts w:cstheme="minorHAnsi"/>
        </w:rPr>
        <w:t>NASMeD</w:t>
      </w:r>
      <w:r w:rsidR="00A22B42">
        <w:rPr>
          <w:rFonts w:cstheme="minorHAnsi"/>
        </w:rPr>
        <w:t>)</w:t>
      </w:r>
      <w:r w:rsidR="00AF4824">
        <w:rPr>
          <w:rFonts w:cstheme="minorHAnsi"/>
        </w:rPr>
        <w:t xml:space="preserve"> </w:t>
      </w:r>
      <w:r w:rsidRPr="00572FD0">
        <w:rPr>
          <w:rFonts w:cstheme="minorHAnsi"/>
        </w:rPr>
        <w:t>Group</w:t>
      </w:r>
      <w:r w:rsidR="00816F8A" w:rsidRPr="00572FD0">
        <w:rPr>
          <w:rFonts w:cstheme="minorHAnsi"/>
        </w:rPr>
        <w:t xml:space="preserve">, </w:t>
      </w:r>
      <w:r w:rsidRPr="00572FD0">
        <w:rPr>
          <w:rFonts w:cstheme="minorHAnsi"/>
        </w:rPr>
        <w:t>Faculty of Pre-Hospital Care (F</w:t>
      </w:r>
      <w:r w:rsidR="00561426" w:rsidRPr="00572FD0">
        <w:rPr>
          <w:rFonts w:cstheme="minorHAnsi"/>
        </w:rPr>
        <w:t>P</w:t>
      </w:r>
      <w:r w:rsidRPr="00572FD0">
        <w:rPr>
          <w:rFonts w:cstheme="minorHAnsi"/>
        </w:rPr>
        <w:t>HC</w:t>
      </w:r>
      <w:r w:rsidR="00816F8A" w:rsidRPr="00572FD0">
        <w:rPr>
          <w:rFonts w:cstheme="minorHAnsi"/>
        </w:rPr>
        <w:t xml:space="preserve">), </w:t>
      </w:r>
      <w:r w:rsidRPr="00572FD0">
        <w:rPr>
          <w:rFonts w:cstheme="minorHAnsi"/>
        </w:rPr>
        <w:t xml:space="preserve">Paediatric Emergency Research in the UK </w:t>
      </w:r>
      <w:r w:rsidR="00CE2103" w:rsidRPr="00572FD0">
        <w:rPr>
          <w:rFonts w:cstheme="minorHAnsi"/>
        </w:rPr>
        <w:t xml:space="preserve">&amp; </w:t>
      </w:r>
      <w:r w:rsidRPr="00572FD0">
        <w:rPr>
          <w:rFonts w:cstheme="minorHAnsi"/>
        </w:rPr>
        <w:t>Ireland (PERUKI</w:t>
      </w:r>
      <w:proofErr w:type="gramStart"/>
      <w:r w:rsidRPr="00572FD0">
        <w:rPr>
          <w:rFonts w:cstheme="minorHAnsi"/>
        </w:rPr>
        <w:t>)</w:t>
      </w:r>
      <w:r w:rsidR="00295336">
        <w:rPr>
          <w:rFonts w:cstheme="minorHAnsi"/>
        </w:rPr>
        <w:t>[</w:t>
      </w:r>
      <w:proofErr w:type="gramEnd"/>
      <w:r w:rsidR="00295336">
        <w:rPr>
          <w:rFonts w:cstheme="minorHAnsi"/>
        </w:rPr>
        <w:t>17]</w:t>
      </w:r>
      <w:r w:rsidR="00253FD8" w:rsidRPr="00572FD0">
        <w:rPr>
          <w:rFonts w:cstheme="minorHAnsi"/>
        </w:rPr>
        <w:t xml:space="preserve"> </w:t>
      </w:r>
      <w:r w:rsidR="00816F8A" w:rsidRPr="00572FD0">
        <w:rPr>
          <w:rFonts w:cstheme="minorHAnsi"/>
        </w:rPr>
        <w:t xml:space="preserve">and the </w:t>
      </w:r>
      <w:r w:rsidRPr="00572FD0">
        <w:rPr>
          <w:rFonts w:cstheme="minorHAnsi"/>
        </w:rPr>
        <w:t xml:space="preserve">Paediatric </w:t>
      </w:r>
      <w:r w:rsidR="1B730A08" w:rsidRPr="00572FD0">
        <w:rPr>
          <w:rFonts w:cstheme="minorHAnsi"/>
        </w:rPr>
        <w:t>Critical</w:t>
      </w:r>
      <w:r w:rsidRPr="00572FD0">
        <w:rPr>
          <w:rFonts w:cstheme="minorHAnsi"/>
        </w:rPr>
        <w:t xml:space="preserve"> Care Society Study Group (P</w:t>
      </w:r>
      <w:r w:rsidR="47685E2F" w:rsidRPr="00572FD0">
        <w:rPr>
          <w:rFonts w:cstheme="minorHAnsi"/>
        </w:rPr>
        <w:t>C</w:t>
      </w:r>
      <w:r w:rsidRPr="00572FD0">
        <w:rPr>
          <w:rFonts w:cstheme="minorHAnsi"/>
        </w:rPr>
        <w:t>CS-SG)</w:t>
      </w:r>
      <w:r w:rsidR="00816F8A" w:rsidRPr="00572FD0">
        <w:rPr>
          <w:rFonts w:cstheme="minorHAnsi"/>
        </w:rPr>
        <w:t>.</w:t>
      </w:r>
      <w:r w:rsidR="0043244B">
        <w:rPr>
          <w:rFonts w:cstheme="minorHAnsi"/>
        </w:rPr>
        <w:t xml:space="preserve"> These groups were selected to ensure representation across fields in which patients may be involved in a major incident</w:t>
      </w:r>
      <w:r w:rsidR="006B56C7">
        <w:rPr>
          <w:rFonts w:cstheme="minorHAnsi"/>
        </w:rPr>
        <w:t xml:space="preserve">.  </w:t>
      </w:r>
      <w:r w:rsidR="00D9441E" w:rsidRPr="00572FD0">
        <w:rPr>
          <w:rFonts w:cstheme="minorHAnsi"/>
        </w:rPr>
        <w:t>P</w:t>
      </w:r>
      <w:r w:rsidRPr="00572FD0">
        <w:rPr>
          <w:rFonts w:cstheme="minorHAnsi"/>
        </w:rPr>
        <w:t>articipants were invited by email</w:t>
      </w:r>
      <w:r w:rsidR="00522BE0" w:rsidRPr="00572FD0">
        <w:rPr>
          <w:rFonts w:cstheme="minorHAnsi"/>
        </w:rPr>
        <w:t xml:space="preserve">, using a link </w:t>
      </w:r>
      <w:r w:rsidR="00452FE9">
        <w:rPr>
          <w:rFonts w:cstheme="minorHAnsi"/>
        </w:rPr>
        <w:t xml:space="preserve">containing </w:t>
      </w:r>
      <w:r w:rsidRPr="00572FD0">
        <w:rPr>
          <w:rFonts w:cstheme="minorHAnsi"/>
        </w:rPr>
        <w:t xml:space="preserve">relevant background study information. This included </w:t>
      </w:r>
      <w:r w:rsidR="00522BE0" w:rsidRPr="00572FD0">
        <w:rPr>
          <w:rFonts w:cstheme="minorHAnsi"/>
        </w:rPr>
        <w:t xml:space="preserve">existing and </w:t>
      </w:r>
      <w:r w:rsidRPr="00572FD0">
        <w:rPr>
          <w:rFonts w:cstheme="minorHAnsi"/>
        </w:rPr>
        <w:t>emerging research</w:t>
      </w:r>
      <w:r w:rsidR="000F53E0" w:rsidRPr="00572FD0">
        <w:rPr>
          <w:rFonts w:cstheme="minorHAnsi"/>
        </w:rPr>
        <w:t>,</w:t>
      </w:r>
      <w:r w:rsidRPr="00572FD0">
        <w:rPr>
          <w:rFonts w:cstheme="minorHAnsi"/>
        </w:rPr>
        <w:t xml:space="preserve"> </w:t>
      </w:r>
      <w:r w:rsidR="006A50A6" w:rsidRPr="00572FD0">
        <w:rPr>
          <w:rFonts w:cstheme="minorHAnsi"/>
        </w:rPr>
        <w:t>example scenarios</w:t>
      </w:r>
      <w:r w:rsidR="00522BE0" w:rsidRPr="00572FD0">
        <w:rPr>
          <w:rFonts w:cstheme="minorHAnsi"/>
        </w:rPr>
        <w:t>,</w:t>
      </w:r>
      <w:r w:rsidR="006A50A6" w:rsidRPr="00572FD0">
        <w:rPr>
          <w:rFonts w:cstheme="minorHAnsi"/>
        </w:rPr>
        <w:t xml:space="preserve"> </w:t>
      </w:r>
      <w:r w:rsidR="00AF4824">
        <w:rPr>
          <w:rFonts w:cstheme="minorHAnsi"/>
        </w:rPr>
        <w:t>and the</w:t>
      </w:r>
      <w:r w:rsidR="006A50A6" w:rsidRPr="00572FD0">
        <w:rPr>
          <w:rFonts w:cstheme="minorHAnsi"/>
        </w:rPr>
        <w:t xml:space="preserve"> </w:t>
      </w:r>
      <w:r w:rsidR="00522BE0" w:rsidRPr="00572FD0">
        <w:rPr>
          <w:rFonts w:cstheme="minorHAnsi"/>
        </w:rPr>
        <w:t>MIT</w:t>
      </w:r>
      <w:r w:rsidRPr="00572FD0">
        <w:rPr>
          <w:rFonts w:cstheme="minorHAnsi"/>
        </w:rPr>
        <w:t xml:space="preserve"> tools </w:t>
      </w:r>
      <w:r w:rsidR="000F53E0" w:rsidRPr="00572FD0">
        <w:rPr>
          <w:rFonts w:cstheme="minorHAnsi"/>
        </w:rPr>
        <w:t xml:space="preserve">used in </w:t>
      </w:r>
      <w:r w:rsidR="005459B3" w:rsidRPr="00572FD0">
        <w:rPr>
          <w:rFonts w:cstheme="minorHAnsi"/>
        </w:rPr>
        <w:t>children.</w:t>
      </w:r>
      <w:r w:rsidR="000F53E0" w:rsidRPr="00572FD0">
        <w:rPr>
          <w:rFonts w:cstheme="minorHAnsi"/>
        </w:rPr>
        <w:t xml:space="preserve"> </w:t>
      </w:r>
      <w:r w:rsidR="00960871" w:rsidRPr="00572FD0">
        <w:rPr>
          <w:rFonts w:cstheme="minorHAnsi"/>
        </w:rPr>
        <w:t xml:space="preserve"> </w:t>
      </w:r>
      <w:r w:rsidRPr="00572FD0">
        <w:rPr>
          <w:rFonts w:cstheme="minorHAnsi"/>
        </w:rPr>
        <w:t xml:space="preserve">The invitation highlighted the need for participation in </w:t>
      </w:r>
      <w:r w:rsidR="00522BE0" w:rsidRPr="00572FD0">
        <w:rPr>
          <w:rFonts w:cstheme="minorHAnsi"/>
        </w:rPr>
        <w:t>both</w:t>
      </w:r>
      <w:r w:rsidRPr="00572FD0">
        <w:rPr>
          <w:rFonts w:cstheme="minorHAnsi"/>
        </w:rPr>
        <w:t xml:space="preserve"> rounds, anticipated time for completion</w:t>
      </w:r>
      <w:r w:rsidR="00117BB4" w:rsidRPr="00572FD0">
        <w:rPr>
          <w:rFonts w:cstheme="minorHAnsi"/>
        </w:rPr>
        <w:t>,</w:t>
      </w:r>
      <w:r w:rsidRPr="00572FD0">
        <w:rPr>
          <w:rFonts w:cstheme="minorHAnsi"/>
        </w:rPr>
        <w:t xml:space="preserve"> and the link to the </w:t>
      </w:r>
      <w:r w:rsidR="00522BE0" w:rsidRPr="00572FD0">
        <w:rPr>
          <w:rFonts w:cstheme="minorHAnsi"/>
        </w:rPr>
        <w:t xml:space="preserve">consensus </w:t>
      </w:r>
      <w:r w:rsidR="00117BB4" w:rsidRPr="00572FD0">
        <w:rPr>
          <w:rFonts w:cstheme="minorHAnsi"/>
        </w:rPr>
        <w:t>statements</w:t>
      </w:r>
      <w:r w:rsidR="00522BE0" w:rsidRPr="00572FD0">
        <w:rPr>
          <w:rFonts w:cstheme="minorHAnsi"/>
        </w:rPr>
        <w:t xml:space="preserve">. </w:t>
      </w:r>
      <w:r w:rsidR="00D71DC6" w:rsidRPr="00572FD0">
        <w:rPr>
          <w:rFonts w:cstheme="minorHAnsi"/>
        </w:rPr>
        <w:t xml:space="preserve"> </w:t>
      </w:r>
      <w:r w:rsidR="00522BE0" w:rsidRPr="00572FD0">
        <w:rPr>
          <w:rFonts w:cstheme="minorHAnsi"/>
        </w:rPr>
        <w:t xml:space="preserve">Those </w:t>
      </w:r>
      <w:r w:rsidRPr="00572FD0">
        <w:rPr>
          <w:rFonts w:cstheme="minorHAnsi"/>
        </w:rPr>
        <w:t xml:space="preserve">who did not complete </w:t>
      </w:r>
      <w:r w:rsidR="00522BE0" w:rsidRPr="00572FD0">
        <w:rPr>
          <w:rFonts w:cstheme="minorHAnsi"/>
        </w:rPr>
        <w:t>R</w:t>
      </w:r>
      <w:r w:rsidRPr="00572FD0">
        <w:rPr>
          <w:rFonts w:cstheme="minorHAnsi"/>
        </w:rPr>
        <w:t xml:space="preserve">ound 1 were </w:t>
      </w:r>
      <w:r w:rsidR="00117BB4" w:rsidRPr="00572FD0">
        <w:rPr>
          <w:rFonts w:cstheme="minorHAnsi"/>
        </w:rPr>
        <w:t>in</w:t>
      </w:r>
      <w:r w:rsidRPr="00572FD0">
        <w:rPr>
          <w:rFonts w:cstheme="minorHAnsi"/>
        </w:rPr>
        <w:t>eligible to complete the subsequent round</w:t>
      </w:r>
      <w:r w:rsidR="00522BE0" w:rsidRPr="00572FD0">
        <w:rPr>
          <w:rFonts w:cstheme="minorHAnsi"/>
        </w:rPr>
        <w:t>, and n</w:t>
      </w:r>
      <w:r w:rsidRPr="00572FD0">
        <w:rPr>
          <w:rFonts w:cstheme="minorHAnsi"/>
        </w:rPr>
        <w:t>o new</w:t>
      </w:r>
      <w:r w:rsidR="00117BB4" w:rsidRPr="00572FD0">
        <w:rPr>
          <w:rFonts w:cstheme="minorHAnsi"/>
        </w:rPr>
        <w:t xml:space="preserve"> invitations were sent </w:t>
      </w:r>
      <w:r w:rsidRPr="00572FD0">
        <w:rPr>
          <w:rFonts w:cstheme="minorHAnsi"/>
        </w:rPr>
        <w:t xml:space="preserve">after completion of </w:t>
      </w:r>
      <w:r w:rsidR="00522BE0" w:rsidRPr="00572FD0">
        <w:rPr>
          <w:rFonts w:cstheme="minorHAnsi"/>
        </w:rPr>
        <w:t>R</w:t>
      </w:r>
      <w:r w:rsidRPr="00572FD0">
        <w:rPr>
          <w:rFonts w:cstheme="minorHAnsi"/>
        </w:rPr>
        <w:t xml:space="preserve">ound 1. </w:t>
      </w:r>
      <w:r w:rsidR="00D71DC6" w:rsidRPr="00572FD0">
        <w:rPr>
          <w:rFonts w:cstheme="minorHAnsi"/>
        </w:rPr>
        <w:t xml:space="preserve"> </w:t>
      </w:r>
      <w:r w:rsidR="00522BE0" w:rsidRPr="00572FD0">
        <w:rPr>
          <w:rFonts w:cstheme="minorHAnsi"/>
        </w:rPr>
        <w:t>Participants could exit either round, at any stage, if they no longer wished to continue.</w:t>
      </w:r>
      <w:r w:rsidR="00156F0F" w:rsidRPr="00572FD0">
        <w:rPr>
          <w:rFonts w:cstheme="minorHAnsi"/>
        </w:rPr>
        <w:t xml:space="preserve"> </w:t>
      </w:r>
      <w:r w:rsidR="00D71DC6" w:rsidRPr="00572FD0">
        <w:rPr>
          <w:rFonts w:cstheme="minorHAnsi"/>
        </w:rPr>
        <w:t xml:space="preserve"> </w:t>
      </w:r>
      <w:r w:rsidR="00156F0F" w:rsidRPr="00572FD0">
        <w:rPr>
          <w:rFonts w:cstheme="minorHAnsi"/>
        </w:rPr>
        <w:t>Participants were identifiable through their email address, but these were only available to the data manager, and</w:t>
      </w:r>
      <w:r w:rsidR="00561426" w:rsidRPr="00572FD0">
        <w:rPr>
          <w:rFonts w:cstheme="minorHAnsi"/>
        </w:rPr>
        <w:t xml:space="preserve"> all</w:t>
      </w:r>
      <w:r w:rsidR="00156F0F" w:rsidRPr="00572FD0">
        <w:rPr>
          <w:rFonts w:cstheme="minorHAnsi"/>
        </w:rPr>
        <w:t xml:space="preserve"> data extracted for analysis were anonymised.</w:t>
      </w:r>
    </w:p>
    <w:p w14:paraId="2A3F76E2" w14:textId="3CD4BFE0" w:rsidR="009B1E59" w:rsidRPr="00572FD0" w:rsidRDefault="00BA19C4">
      <w:pPr>
        <w:spacing w:line="360" w:lineRule="auto"/>
        <w:rPr>
          <w:rFonts w:cstheme="minorHAnsi"/>
        </w:rPr>
      </w:pPr>
      <w:r w:rsidRPr="00572FD0">
        <w:rPr>
          <w:rFonts w:cstheme="minorHAnsi"/>
        </w:rPr>
        <w:t xml:space="preserve">Consensus statements </w:t>
      </w:r>
      <w:r w:rsidR="00037969" w:rsidRPr="00572FD0">
        <w:rPr>
          <w:rFonts w:cstheme="minorHAnsi"/>
        </w:rPr>
        <w:t xml:space="preserve">were developed </w:t>
      </w:r>
      <w:r w:rsidRPr="00572FD0">
        <w:rPr>
          <w:rFonts w:cstheme="minorHAnsi"/>
        </w:rPr>
        <w:t xml:space="preserve">iteratively </w:t>
      </w:r>
      <w:r w:rsidR="00037969" w:rsidRPr="00572FD0">
        <w:rPr>
          <w:rFonts w:cstheme="minorHAnsi"/>
        </w:rPr>
        <w:t>by</w:t>
      </w:r>
      <w:r w:rsidR="003A4B5C" w:rsidRPr="00572FD0">
        <w:rPr>
          <w:rFonts w:cstheme="minorHAnsi"/>
        </w:rPr>
        <w:t xml:space="preserve"> </w:t>
      </w:r>
      <w:r w:rsidRPr="00572FD0">
        <w:rPr>
          <w:rFonts w:cstheme="minorHAnsi"/>
        </w:rPr>
        <w:t xml:space="preserve">the study team </w:t>
      </w:r>
      <w:r w:rsidR="00EC20A8" w:rsidRPr="00572FD0">
        <w:rPr>
          <w:rFonts w:cstheme="minorHAnsi"/>
        </w:rPr>
        <w:t xml:space="preserve">following </w:t>
      </w:r>
      <w:r w:rsidRPr="00572FD0">
        <w:rPr>
          <w:rFonts w:cstheme="minorHAnsi"/>
        </w:rPr>
        <w:t>a</w:t>
      </w:r>
      <w:r w:rsidR="00037969" w:rsidRPr="00572FD0">
        <w:rPr>
          <w:rFonts w:cstheme="minorHAnsi"/>
        </w:rPr>
        <w:t xml:space="preserve"> review of </w:t>
      </w:r>
      <w:r w:rsidRPr="00572FD0">
        <w:rPr>
          <w:rFonts w:cstheme="minorHAnsi"/>
        </w:rPr>
        <w:t xml:space="preserve">relevant </w:t>
      </w:r>
      <w:r w:rsidR="00037969" w:rsidRPr="00572FD0">
        <w:rPr>
          <w:rFonts w:cstheme="minorHAnsi"/>
        </w:rPr>
        <w:t>literature</w:t>
      </w:r>
      <w:r w:rsidRPr="00572FD0">
        <w:rPr>
          <w:rFonts w:cstheme="minorHAnsi"/>
        </w:rPr>
        <w:t>,</w:t>
      </w:r>
      <w:r w:rsidR="00E43561" w:rsidRPr="00572FD0">
        <w:rPr>
          <w:rFonts w:cstheme="minorHAnsi"/>
        </w:rPr>
        <w:t xml:space="preserve"> and </w:t>
      </w:r>
      <w:r w:rsidRPr="00572FD0">
        <w:rPr>
          <w:rFonts w:cstheme="minorHAnsi"/>
        </w:rPr>
        <w:t xml:space="preserve">adult and paediatric MIT </w:t>
      </w:r>
      <w:r w:rsidR="00E43561" w:rsidRPr="00572FD0">
        <w:rPr>
          <w:rFonts w:cstheme="minorHAnsi"/>
        </w:rPr>
        <w:t>tools</w:t>
      </w:r>
      <w:r w:rsidRPr="00572FD0">
        <w:rPr>
          <w:rFonts w:cstheme="minorHAnsi"/>
        </w:rPr>
        <w:t>.</w:t>
      </w:r>
      <w:r w:rsidR="00AC29B6" w:rsidRPr="00572FD0">
        <w:rPr>
          <w:rFonts w:cstheme="minorHAnsi"/>
        </w:rPr>
        <w:t xml:space="preserve">  </w:t>
      </w:r>
      <w:r w:rsidRPr="00572FD0">
        <w:rPr>
          <w:rFonts w:cstheme="minorHAnsi"/>
        </w:rPr>
        <w:t xml:space="preserve">Statements were grouped in categories, with supplementary information provided for each topic area: (i) rescue breaths, (ii) mobility assessment, (iii) physiological variables and age ranges, (iv) older paediatric patients, and (v) very young children. </w:t>
      </w:r>
      <w:r w:rsidR="00537CF6" w:rsidRPr="00572FD0">
        <w:rPr>
          <w:rFonts w:cstheme="minorHAnsi"/>
        </w:rPr>
        <w:t xml:space="preserve">A </w:t>
      </w:r>
      <w:r w:rsidR="00EA7D6E" w:rsidRPr="00572FD0">
        <w:rPr>
          <w:rFonts w:cstheme="minorHAnsi"/>
        </w:rPr>
        <w:t>five-point Likert scale</w:t>
      </w:r>
      <w:r w:rsidRPr="00572FD0">
        <w:rPr>
          <w:rFonts w:cstheme="minorHAnsi"/>
        </w:rPr>
        <w:t xml:space="preserve">, from strongly disagree </w:t>
      </w:r>
      <w:r w:rsidR="00731F36">
        <w:rPr>
          <w:rFonts w:cstheme="minorHAnsi"/>
        </w:rPr>
        <w:t xml:space="preserve">(score of 1) </w:t>
      </w:r>
      <w:r w:rsidRPr="00572FD0">
        <w:rPr>
          <w:rFonts w:cstheme="minorHAnsi"/>
        </w:rPr>
        <w:t>to strongly agree</w:t>
      </w:r>
      <w:r w:rsidR="00731F36">
        <w:rPr>
          <w:rFonts w:cstheme="minorHAnsi"/>
        </w:rPr>
        <w:t xml:space="preserve"> (score of 5)</w:t>
      </w:r>
      <w:r w:rsidRPr="00572FD0">
        <w:rPr>
          <w:rFonts w:cstheme="minorHAnsi"/>
        </w:rPr>
        <w:t xml:space="preserve">, </w:t>
      </w:r>
      <w:r w:rsidR="00EA7D6E" w:rsidRPr="00572FD0">
        <w:rPr>
          <w:rFonts w:cstheme="minorHAnsi"/>
        </w:rPr>
        <w:t xml:space="preserve">was used for </w:t>
      </w:r>
      <w:r w:rsidRPr="00572FD0">
        <w:rPr>
          <w:rFonts w:cstheme="minorHAnsi"/>
        </w:rPr>
        <w:t>categorical statements.</w:t>
      </w:r>
      <w:r w:rsidR="00AC29B6" w:rsidRPr="00572FD0">
        <w:rPr>
          <w:rFonts w:cstheme="minorHAnsi"/>
        </w:rPr>
        <w:t xml:space="preserve">  </w:t>
      </w:r>
      <w:r w:rsidRPr="00572FD0">
        <w:rPr>
          <w:rFonts w:cstheme="minorHAnsi"/>
        </w:rPr>
        <w:t xml:space="preserve">For statements seeking opinion on continuous variables (for example, upper or lower age thresholds), a range of options was presented using a drop-down list. </w:t>
      </w:r>
      <w:r w:rsidR="006600A6" w:rsidRPr="00572FD0">
        <w:rPr>
          <w:rFonts w:cstheme="minorHAnsi"/>
        </w:rPr>
        <w:t xml:space="preserve"> </w:t>
      </w:r>
      <w:r w:rsidR="00561426" w:rsidRPr="00572FD0">
        <w:rPr>
          <w:rFonts w:cstheme="minorHAnsi"/>
        </w:rPr>
        <w:t>Consensus was agreed a priori and set at 70% (</w:t>
      </w:r>
      <w:r w:rsidR="1838A249" w:rsidRPr="00572FD0">
        <w:rPr>
          <w:rFonts w:cstheme="minorHAnsi"/>
        </w:rPr>
        <w:t>either agree/strongly agree or disagree/strongly disagree)</w:t>
      </w:r>
      <w:r w:rsidR="00203353">
        <w:rPr>
          <w:rFonts w:cstheme="minorHAnsi"/>
        </w:rPr>
        <w:t xml:space="preserve"> for both categorical and continuous statements</w:t>
      </w:r>
      <w:r w:rsidR="1838A249" w:rsidRPr="00572FD0">
        <w:rPr>
          <w:rFonts w:cstheme="minorHAnsi"/>
        </w:rPr>
        <w:t xml:space="preserve">. </w:t>
      </w:r>
      <w:r w:rsidR="00561426" w:rsidRPr="00572FD0">
        <w:rPr>
          <w:rFonts w:cstheme="minorHAnsi"/>
        </w:rPr>
        <w:t xml:space="preserve"> </w:t>
      </w:r>
    </w:p>
    <w:p w14:paraId="2B019F3D" w14:textId="42E9BA53" w:rsidR="00DF18E9" w:rsidRPr="00572FD0" w:rsidRDefault="00BA19C4">
      <w:pPr>
        <w:spacing w:line="360" w:lineRule="auto"/>
        <w:rPr>
          <w:rFonts w:cstheme="minorHAnsi"/>
        </w:rPr>
      </w:pPr>
      <w:r w:rsidRPr="00572FD0">
        <w:rPr>
          <w:rFonts w:cstheme="minorHAnsi"/>
        </w:rPr>
        <w:t>Round 1</w:t>
      </w:r>
      <w:r w:rsidR="000A7CC7" w:rsidRPr="00572FD0">
        <w:rPr>
          <w:rFonts w:cstheme="minorHAnsi"/>
        </w:rPr>
        <w:t xml:space="preserve"> consisted of </w:t>
      </w:r>
      <w:r w:rsidR="002879E2" w:rsidRPr="00572FD0">
        <w:rPr>
          <w:rFonts w:cstheme="minorHAnsi"/>
        </w:rPr>
        <w:t>16 statements</w:t>
      </w:r>
      <w:r w:rsidR="00156F0F" w:rsidRPr="00572FD0">
        <w:rPr>
          <w:rFonts w:cstheme="minorHAnsi"/>
        </w:rPr>
        <w:t xml:space="preserve">; </w:t>
      </w:r>
      <w:r w:rsidRPr="00572FD0">
        <w:rPr>
          <w:rFonts w:cstheme="minorHAnsi"/>
        </w:rPr>
        <w:t xml:space="preserve">any that reached the pre-specified level for consensus were removed in </w:t>
      </w:r>
      <w:r w:rsidR="00156F0F" w:rsidRPr="00572FD0">
        <w:rPr>
          <w:rFonts w:cstheme="minorHAnsi"/>
        </w:rPr>
        <w:t>Round 2</w:t>
      </w:r>
      <w:r w:rsidR="00A363F7" w:rsidRPr="00572FD0">
        <w:rPr>
          <w:rFonts w:cstheme="minorHAnsi"/>
        </w:rPr>
        <w:t xml:space="preserve">. </w:t>
      </w:r>
      <w:r w:rsidR="00156F0F" w:rsidRPr="00572FD0">
        <w:rPr>
          <w:rFonts w:cstheme="minorHAnsi"/>
        </w:rPr>
        <w:t xml:space="preserve">Statements </w:t>
      </w:r>
      <w:r w:rsidR="00BB582C">
        <w:rPr>
          <w:rFonts w:cstheme="minorHAnsi"/>
        </w:rPr>
        <w:t xml:space="preserve">not reaching consensus </w:t>
      </w:r>
      <w:r w:rsidR="00156F0F" w:rsidRPr="00572FD0">
        <w:rPr>
          <w:rFonts w:cstheme="minorHAnsi"/>
        </w:rPr>
        <w:t>in Round 1 were reviewed in line with respondent feedback</w:t>
      </w:r>
      <w:r w:rsidR="00BB582C">
        <w:rPr>
          <w:rFonts w:cstheme="minorHAnsi"/>
        </w:rPr>
        <w:t xml:space="preserve">, </w:t>
      </w:r>
      <w:r w:rsidR="009B1E59">
        <w:rPr>
          <w:rFonts w:cstheme="minorHAnsi"/>
        </w:rPr>
        <w:t>provided in free text form</w:t>
      </w:r>
      <w:r w:rsidR="00BB582C">
        <w:rPr>
          <w:rFonts w:cstheme="minorHAnsi"/>
        </w:rPr>
        <w:t xml:space="preserve"> and</w:t>
      </w:r>
      <w:r w:rsidR="00531A59">
        <w:rPr>
          <w:rFonts w:cstheme="minorHAnsi"/>
        </w:rPr>
        <w:t xml:space="preserve"> with the opportunity f</w:t>
      </w:r>
      <w:r w:rsidR="00BB582C">
        <w:rPr>
          <w:rFonts w:cstheme="minorHAnsi"/>
        </w:rPr>
        <w:t xml:space="preserve">or respondents to submit new statements.  Statements were </w:t>
      </w:r>
      <w:r w:rsidR="00156F0F" w:rsidRPr="00572FD0">
        <w:rPr>
          <w:rFonts w:cstheme="minorHAnsi"/>
        </w:rPr>
        <w:t xml:space="preserve">either repeated verbatim or modified for Round 2 where </w:t>
      </w:r>
      <w:r w:rsidR="00156F0F" w:rsidRPr="00572FD0">
        <w:rPr>
          <w:rFonts w:cstheme="minorHAnsi"/>
        </w:rPr>
        <w:lastRenderedPageBreak/>
        <w:t xml:space="preserve">necessary. </w:t>
      </w:r>
      <w:r w:rsidR="002B7D58">
        <w:rPr>
          <w:rFonts w:cstheme="minorHAnsi"/>
        </w:rPr>
        <w:t>In keeping with</w:t>
      </w:r>
      <w:r w:rsidR="00BB582C">
        <w:rPr>
          <w:rFonts w:cstheme="minorHAnsi"/>
        </w:rPr>
        <w:t xml:space="preserve"> best practice recommendations for</w:t>
      </w:r>
      <w:r w:rsidR="002B7D58">
        <w:rPr>
          <w:rFonts w:cstheme="minorHAnsi"/>
        </w:rPr>
        <w:t xml:space="preserve"> Delphi studies, p</w:t>
      </w:r>
      <w:r w:rsidR="002B7D58" w:rsidRPr="00572FD0">
        <w:rPr>
          <w:rFonts w:cstheme="minorHAnsi"/>
        </w:rPr>
        <w:t xml:space="preserve">rior </w:t>
      </w:r>
      <w:r w:rsidR="009D483C" w:rsidRPr="00572FD0">
        <w:rPr>
          <w:rFonts w:cstheme="minorHAnsi"/>
        </w:rPr>
        <w:t xml:space="preserve">to </w:t>
      </w:r>
      <w:r w:rsidR="00156F0F" w:rsidRPr="00572FD0">
        <w:rPr>
          <w:rFonts w:cstheme="minorHAnsi"/>
        </w:rPr>
        <w:t xml:space="preserve">Round 2, respondents were sent </w:t>
      </w:r>
      <w:r w:rsidR="009D483C" w:rsidRPr="00572FD0">
        <w:rPr>
          <w:rFonts w:cstheme="minorHAnsi"/>
        </w:rPr>
        <w:t xml:space="preserve">summary results </w:t>
      </w:r>
      <w:r w:rsidR="00156F0F" w:rsidRPr="00572FD0">
        <w:rPr>
          <w:rFonts w:cstheme="minorHAnsi"/>
        </w:rPr>
        <w:t xml:space="preserve">and their individual responses </w:t>
      </w:r>
      <w:r w:rsidR="009D483C" w:rsidRPr="00572FD0">
        <w:rPr>
          <w:rFonts w:cstheme="minorHAnsi"/>
        </w:rPr>
        <w:t xml:space="preserve">from </w:t>
      </w:r>
      <w:r w:rsidR="00156F0F" w:rsidRPr="00572FD0">
        <w:rPr>
          <w:rFonts w:cstheme="minorHAnsi"/>
        </w:rPr>
        <w:t>Round 1,</w:t>
      </w:r>
      <w:r w:rsidR="009D483C" w:rsidRPr="00572FD0">
        <w:rPr>
          <w:rFonts w:cstheme="minorHAnsi"/>
        </w:rPr>
        <w:t xml:space="preserve"> </w:t>
      </w:r>
      <w:r w:rsidR="00156F0F" w:rsidRPr="00572FD0">
        <w:rPr>
          <w:rFonts w:cstheme="minorHAnsi"/>
        </w:rPr>
        <w:t>and a document providing the rationale for any changes to statements in Round 2.</w:t>
      </w:r>
      <w:r w:rsidR="00295336">
        <w:rPr>
          <w:rFonts w:cstheme="minorHAnsi"/>
        </w:rPr>
        <w:t>[18]</w:t>
      </w:r>
      <w:r w:rsidR="00156F0F" w:rsidRPr="00572FD0">
        <w:rPr>
          <w:rFonts w:cstheme="minorHAnsi"/>
        </w:rPr>
        <w:t xml:space="preserve"> One question was modified for Round 2</w:t>
      </w:r>
      <w:r w:rsidR="00561426" w:rsidRPr="00572FD0">
        <w:rPr>
          <w:rFonts w:cstheme="minorHAnsi"/>
        </w:rPr>
        <w:t>,</w:t>
      </w:r>
      <w:r w:rsidR="00156F0F" w:rsidRPr="00572FD0">
        <w:rPr>
          <w:rFonts w:cstheme="minorHAnsi"/>
        </w:rPr>
        <w:t xml:space="preserve"> differentiating the use of rescue breaths into cohor</w:t>
      </w:r>
      <w:r w:rsidR="00EC20A8" w:rsidRPr="00572FD0">
        <w:rPr>
          <w:rFonts w:cstheme="minorHAnsi"/>
        </w:rPr>
        <w:t>ts of blunt and penetrating trauma</w:t>
      </w:r>
      <w:r w:rsidR="002A1520" w:rsidRPr="00572FD0">
        <w:rPr>
          <w:rFonts w:cstheme="minorHAnsi"/>
        </w:rPr>
        <w:t>.</w:t>
      </w:r>
      <w:r w:rsidR="00406100" w:rsidRPr="00572FD0">
        <w:rPr>
          <w:rFonts w:cstheme="minorHAnsi"/>
        </w:rPr>
        <w:t xml:space="preserve">  </w:t>
      </w:r>
      <w:r w:rsidR="00BB582C">
        <w:rPr>
          <w:rFonts w:cstheme="minorHAnsi"/>
        </w:rPr>
        <w:t>No new areas in which to seek consensus on were identified from the free text responses following Round 1.</w:t>
      </w:r>
    </w:p>
    <w:p w14:paraId="6180ACE4" w14:textId="7FCA1221" w:rsidR="000247DE" w:rsidRPr="00572FD0" w:rsidRDefault="00EC20A8" w:rsidP="005A65A0">
      <w:pPr>
        <w:spacing w:line="360" w:lineRule="auto"/>
        <w:rPr>
          <w:rFonts w:cstheme="minorHAnsi"/>
        </w:rPr>
      </w:pPr>
      <w:r w:rsidRPr="00572FD0">
        <w:rPr>
          <w:rFonts w:cstheme="minorHAnsi"/>
        </w:rPr>
        <w:t>Data were analysed anonymously</w:t>
      </w:r>
      <w:r w:rsidR="00CE3263">
        <w:rPr>
          <w:rFonts w:cstheme="minorHAnsi"/>
        </w:rPr>
        <w:t>. F</w:t>
      </w:r>
      <w:r w:rsidRPr="00572FD0">
        <w:rPr>
          <w:rFonts w:cstheme="minorHAnsi"/>
        </w:rPr>
        <w:t>ollowing each round</w:t>
      </w:r>
      <w:r w:rsidR="00D3096A" w:rsidRPr="00572FD0">
        <w:rPr>
          <w:rFonts w:cstheme="minorHAnsi"/>
        </w:rPr>
        <w:t>,</w:t>
      </w:r>
      <w:r w:rsidRPr="00572FD0">
        <w:rPr>
          <w:rFonts w:cstheme="minorHAnsi"/>
        </w:rPr>
        <w:t xml:space="preserve"> responses were grouped into three categories consisting of “Agree” (agree/strongly agree</w:t>
      </w:r>
      <w:r w:rsidR="004A24BD">
        <w:rPr>
          <w:rFonts w:cstheme="minorHAnsi"/>
        </w:rPr>
        <w:t xml:space="preserve"> – score of 4 or 5</w:t>
      </w:r>
      <w:r w:rsidRPr="00572FD0">
        <w:rPr>
          <w:rFonts w:cstheme="minorHAnsi"/>
        </w:rPr>
        <w:t>), “Neither Agree/Disagree”</w:t>
      </w:r>
      <w:r w:rsidR="004A24BD">
        <w:rPr>
          <w:rFonts w:cstheme="minorHAnsi"/>
        </w:rPr>
        <w:t xml:space="preserve"> (score of 3</w:t>
      </w:r>
      <w:proofErr w:type="gramStart"/>
      <w:r w:rsidR="004A24BD">
        <w:rPr>
          <w:rFonts w:cstheme="minorHAnsi"/>
        </w:rPr>
        <w:t xml:space="preserve">) </w:t>
      </w:r>
      <w:r w:rsidRPr="00572FD0">
        <w:rPr>
          <w:rFonts w:cstheme="minorHAnsi"/>
        </w:rPr>
        <w:t xml:space="preserve"> and</w:t>
      </w:r>
      <w:proofErr w:type="gramEnd"/>
      <w:r w:rsidRPr="00572FD0">
        <w:rPr>
          <w:rFonts w:cstheme="minorHAnsi"/>
        </w:rPr>
        <w:t xml:space="preserve"> “Disagree” (disagree/strongly disagree</w:t>
      </w:r>
      <w:r w:rsidR="004A24BD">
        <w:rPr>
          <w:rFonts w:cstheme="minorHAnsi"/>
        </w:rPr>
        <w:t xml:space="preserve"> – score of 1 or 2</w:t>
      </w:r>
      <w:r w:rsidRPr="00572FD0">
        <w:rPr>
          <w:rFonts w:cstheme="minorHAnsi"/>
        </w:rPr>
        <w:t xml:space="preserve">). Incomplete responses were excluded in each round; </w:t>
      </w:r>
      <w:r w:rsidR="00C27047" w:rsidRPr="00572FD0">
        <w:rPr>
          <w:rFonts w:cstheme="minorHAnsi"/>
        </w:rPr>
        <w:t>however</w:t>
      </w:r>
      <w:r w:rsidR="007A69DD" w:rsidRPr="00572FD0">
        <w:rPr>
          <w:rFonts w:cstheme="minorHAnsi"/>
        </w:rPr>
        <w:t>,</w:t>
      </w:r>
      <w:r w:rsidRPr="00572FD0">
        <w:rPr>
          <w:rFonts w:cstheme="minorHAnsi"/>
        </w:rPr>
        <w:t xml:space="preserve"> i</w:t>
      </w:r>
      <w:r w:rsidR="00884220" w:rsidRPr="00572FD0">
        <w:rPr>
          <w:rFonts w:cstheme="minorHAnsi"/>
        </w:rPr>
        <w:t xml:space="preserve">f a participant’s response was incomplete </w:t>
      </w:r>
      <w:r w:rsidRPr="00572FD0">
        <w:rPr>
          <w:rFonts w:cstheme="minorHAnsi"/>
        </w:rPr>
        <w:t xml:space="preserve">only </w:t>
      </w:r>
      <w:r w:rsidR="00884220" w:rsidRPr="00572FD0">
        <w:rPr>
          <w:rFonts w:cstheme="minorHAnsi"/>
        </w:rPr>
        <w:t xml:space="preserve">for </w:t>
      </w:r>
      <w:r w:rsidRPr="00572FD0">
        <w:rPr>
          <w:rFonts w:cstheme="minorHAnsi"/>
        </w:rPr>
        <w:t>R</w:t>
      </w:r>
      <w:r w:rsidR="00884220" w:rsidRPr="00572FD0">
        <w:rPr>
          <w:rFonts w:cstheme="minorHAnsi"/>
        </w:rPr>
        <w:t xml:space="preserve">ound 2, </w:t>
      </w:r>
      <w:r w:rsidRPr="00572FD0">
        <w:rPr>
          <w:rFonts w:cstheme="minorHAnsi"/>
        </w:rPr>
        <w:t>their responses to R</w:t>
      </w:r>
      <w:r w:rsidR="00884220" w:rsidRPr="00572FD0">
        <w:rPr>
          <w:rFonts w:cstheme="minorHAnsi"/>
        </w:rPr>
        <w:t>ound 1 w</w:t>
      </w:r>
      <w:r w:rsidRPr="00572FD0">
        <w:rPr>
          <w:rFonts w:cstheme="minorHAnsi"/>
        </w:rPr>
        <w:t>ere included</w:t>
      </w:r>
      <w:r w:rsidR="00884220" w:rsidRPr="00572FD0">
        <w:rPr>
          <w:rFonts w:cstheme="minorHAnsi"/>
        </w:rPr>
        <w:t xml:space="preserve">. </w:t>
      </w:r>
      <w:r w:rsidR="001E6AE0">
        <w:rPr>
          <w:rFonts w:cstheme="minorHAnsi"/>
        </w:rPr>
        <w:t>For statements not reaching consensus following Round 2, no further attempts at deriving consensus were undertaken. An analysis of these statements was undertaken and is presented in Table 3.</w:t>
      </w:r>
      <w:r w:rsidR="00D17316">
        <w:rPr>
          <w:rFonts w:cstheme="minorHAnsi"/>
        </w:rPr>
        <w:t xml:space="preserve"> </w:t>
      </w:r>
      <w:r w:rsidRPr="00572FD0">
        <w:rPr>
          <w:rFonts w:cstheme="minorHAnsi"/>
        </w:rPr>
        <w:t>Consensus agreement is presented as proportions for both categorical and continuous variables; m</w:t>
      </w:r>
      <w:r w:rsidR="00456A21" w:rsidRPr="00572FD0">
        <w:rPr>
          <w:rFonts w:cstheme="minorHAnsi"/>
        </w:rPr>
        <w:t>edian</w:t>
      </w:r>
      <w:r w:rsidRPr="00572FD0">
        <w:rPr>
          <w:rFonts w:cstheme="minorHAnsi"/>
        </w:rPr>
        <w:t>s</w:t>
      </w:r>
      <w:r w:rsidR="00456A21" w:rsidRPr="00572FD0">
        <w:rPr>
          <w:rFonts w:cstheme="minorHAnsi"/>
        </w:rPr>
        <w:t xml:space="preserve"> and </w:t>
      </w:r>
      <w:r w:rsidRPr="00572FD0">
        <w:rPr>
          <w:rFonts w:cstheme="minorHAnsi"/>
        </w:rPr>
        <w:t>interquartile ranges are presented using t</w:t>
      </w:r>
      <w:r w:rsidR="00456A21" w:rsidRPr="00572FD0">
        <w:rPr>
          <w:rFonts w:cstheme="minorHAnsi"/>
        </w:rPr>
        <w:t xml:space="preserve">he 5-point Likert to </w:t>
      </w:r>
      <w:r w:rsidR="0047187A" w:rsidRPr="00572FD0">
        <w:rPr>
          <w:rFonts w:cstheme="minorHAnsi"/>
        </w:rPr>
        <w:t>show spread of opinion</w:t>
      </w:r>
      <w:r w:rsidR="002B742B" w:rsidRPr="00572FD0">
        <w:rPr>
          <w:rFonts w:cstheme="minorHAnsi"/>
        </w:rPr>
        <w:t>.</w:t>
      </w:r>
      <w:r w:rsidR="00381262" w:rsidRPr="00572FD0">
        <w:rPr>
          <w:rFonts w:cstheme="minorHAnsi"/>
        </w:rPr>
        <w:t xml:space="preserve"> Analyses were conducted in Microsoft Excel</w:t>
      </w:r>
      <w:r w:rsidR="00D3096A" w:rsidRPr="00572FD0">
        <w:rPr>
          <w:rFonts w:cstheme="minorHAnsi"/>
        </w:rPr>
        <w:t xml:space="preserve"> </w:t>
      </w:r>
      <w:r w:rsidR="000745AF" w:rsidRPr="00572FD0">
        <w:rPr>
          <w:rFonts w:cstheme="minorHAnsi"/>
        </w:rPr>
        <w:t>(Versio</w:t>
      </w:r>
      <w:r w:rsidR="0029550F" w:rsidRPr="00572FD0">
        <w:rPr>
          <w:rFonts w:cstheme="minorHAnsi"/>
        </w:rPr>
        <w:t>n 20</w:t>
      </w:r>
      <w:r w:rsidR="00E576CB" w:rsidRPr="00572FD0">
        <w:rPr>
          <w:rFonts w:cstheme="minorHAnsi"/>
        </w:rPr>
        <w:t>1</w:t>
      </w:r>
      <w:r w:rsidR="0029550F" w:rsidRPr="00572FD0">
        <w:rPr>
          <w:rFonts w:cstheme="minorHAnsi"/>
        </w:rPr>
        <w:t>6</w:t>
      </w:r>
      <w:r w:rsidR="00E576CB" w:rsidRPr="00572FD0">
        <w:rPr>
          <w:rFonts w:cstheme="minorHAnsi"/>
        </w:rPr>
        <w:t>).</w:t>
      </w:r>
    </w:p>
    <w:p w14:paraId="57AAA839" w14:textId="4847FBEE" w:rsidR="0028745E" w:rsidRPr="00572FD0" w:rsidRDefault="0028745E" w:rsidP="00644311">
      <w:pPr>
        <w:tabs>
          <w:tab w:val="left" w:pos="1110"/>
        </w:tabs>
        <w:spacing w:after="0" w:line="360" w:lineRule="auto"/>
        <w:rPr>
          <w:rFonts w:cstheme="minorHAnsi"/>
        </w:rPr>
      </w:pPr>
      <w:r w:rsidRPr="00572FD0">
        <w:rPr>
          <w:rFonts w:cstheme="minorHAnsi"/>
          <w:b/>
        </w:rPr>
        <w:t>Ethic</w:t>
      </w:r>
      <w:r w:rsidR="00C77297">
        <w:rPr>
          <w:rFonts w:cstheme="minorHAnsi"/>
          <w:b/>
        </w:rPr>
        <w:t xml:space="preserve">al </w:t>
      </w:r>
      <w:r w:rsidR="00F61893">
        <w:rPr>
          <w:rFonts w:cstheme="minorHAnsi"/>
          <w:b/>
        </w:rPr>
        <w:t>Approval</w:t>
      </w:r>
      <w:r w:rsidRPr="00572FD0">
        <w:rPr>
          <w:rFonts w:cstheme="minorHAnsi"/>
          <w:b/>
        </w:rPr>
        <w:t>s</w:t>
      </w:r>
    </w:p>
    <w:p w14:paraId="49046E0B" w14:textId="17072C87" w:rsidR="0028745E" w:rsidRPr="00572FD0" w:rsidRDefault="000247DE" w:rsidP="005A65A0">
      <w:pPr>
        <w:tabs>
          <w:tab w:val="left" w:pos="1110"/>
        </w:tabs>
        <w:spacing w:line="360" w:lineRule="auto"/>
        <w:rPr>
          <w:rFonts w:cstheme="minorHAnsi"/>
        </w:rPr>
      </w:pPr>
      <w:r w:rsidRPr="00572FD0">
        <w:rPr>
          <w:rFonts w:cstheme="minorHAnsi"/>
        </w:rPr>
        <w:t xml:space="preserve">As this was a survey of health professionals identified </w:t>
      </w:r>
      <w:r w:rsidR="00522BE0" w:rsidRPr="00572FD0">
        <w:rPr>
          <w:rFonts w:cstheme="minorHAnsi"/>
        </w:rPr>
        <w:t>via</w:t>
      </w:r>
      <w:r w:rsidRPr="00572FD0">
        <w:rPr>
          <w:rFonts w:cstheme="minorHAnsi"/>
        </w:rPr>
        <w:t xml:space="preserve"> existing </w:t>
      </w:r>
      <w:r w:rsidR="00522BE0" w:rsidRPr="00572FD0">
        <w:rPr>
          <w:rFonts w:cstheme="minorHAnsi"/>
        </w:rPr>
        <w:t xml:space="preserve">collaborative </w:t>
      </w:r>
      <w:r w:rsidRPr="00572FD0">
        <w:rPr>
          <w:rFonts w:cstheme="minorHAnsi"/>
        </w:rPr>
        <w:t>networks, formal ethic</w:t>
      </w:r>
      <w:r w:rsidR="00F61893">
        <w:rPr>
          <w:rFonts w:cstheme="minorHAnsi"/>
        </w:rPr>
        <w:t>al</w:t>
      </w:r>
      <w:r w:rsidRPr="00572FD0">
        <w:rPr>
          <w:rFonts w:cstheme="minorHAnsi"/>
        </w:rPr>
        <w:t xml:space="preserve"> approval was not required</w:t>
      </w:r>
      <w:r w:rsidR="00522BE0" w:rsidRPr="00572FD0">
        <w:rPr>
          <w:rFonts w:cstheme="minorHAnsi"/>
        </w:rPr>
        <w:t xml:space="preserve"> according to the H</w:t>
      </w:r>
      <w:r w:rsidR="0026152D">
        <w:rPr>
          <w:rFonts w:cstheme="minorHAnsi"/>
        </w:rPr>
        <w:t xml:space="preserve">ealth Research </w:t>
      </w:r>
      <w:r w:rsidR="00522BE0" w:rsidRPr="00572FD0">
        <w:rPr>
          <w:rFonts w:cstheme="minorHAnsi"/>
        </w:rPr>
        <w:t>A</w:t>
      </w:r>
      <w:r w:rsidR="0026152D">
        <w:rPr>
          <w:rFonts w:cstheme="minorHAnsi"/>
        </w:rPr>
        <w:t>uthority</w:t>
      </w:r>
      <w:r w:rsidR="00522BE0" w:rsidRPr="00572FD0">
        <w:rPr>
          <w:rFonts w:cstheme="minorHAnsi"/>
        </w:rPr>
        <w:t xml:space="preserve"> framework decision tool</w:t>
      </w:r>
      <w:r w:rsidR="00E576CB" w:rsidRPr="00572FD0">
        <w:rPr>
          <w:rFonts w:cstheme="minorHAnsi"/>
        </w:rPr>
        <w:t>.</w:t>
      </w:r>
      <w:r w:rsidR="00295336">
        <w:rPr>
          <w:rFonts w:cstheme="minorHAnsi"/>
        </w:rPr>
        <w:t>[19]</w:t>
      </w:r>
    </w:p>
    <w:p w14:paraId="69FC18F7" w14:textId="77777777" w:rsidR="00722F9A" w:rsidRPr="00572FD0" w:rsidRDefault="00722F9A" w:rsidP="00377287">
      <w:pPr>
        <w:tabs>
          <w:tab w:val="left" w:pos="1110"/>
        </w:tabs>
        <w:spacing w:after="0" w:line="360" w:lineRule="auto"/>
        <w:rPr>
          <w:rFonts w:cstheme="minorHAnsi"/>
          <w:b/>
        </w:rPr>
      </w:pPr>
    </w:p>
    <w:p w14:paraId="22D3EFC3" w14:textId="77777777" w:rsidR="00722F9A" w:rsidRPr="00572FD0" w:rsidRDefault="00722F9A">
      <w:pPr>
        <w:rPr>
          <w:rFonts w:cstheme="minorHAnsi"/>
          <w:b/>
        </w:rPr>
      </w:pPr>
      <w:r w:rsidRPr="00572FD0">
        <w:rPr>
          <w:rFonts w:cstheme="minorHAnsi"/>
          <w:b/>
        </w:rPr>
        <w:br w:type="page"/>
      </w:r>
    </w:p>
    <w:p w14:paraId="49FE85F2" w14:textId="0756AA67" w:rsidR="0028745E" w:rsidRPr="00572FD0" w:rsidRDefault="005A65A0" w:rsidP="00377287">
      <w:pPr>
        <w:tabs>
          <w:tab w:val="left" w:pos="1110"/>
        </w:tabs>
        <w:spacing w:after="0" w:line="360" w:lineRule="auto"/>
        <w:rPr>
          <w:rFonts w:cstheme="minorHAnsi"/>
          <w:b/>
        </w:rPr>
      </w:pPr>
      <w:r w:rsidRPr="00572FD0">
        <w:rPr>
          <w:rFonts w:cstheme="minorHAnsi"/>
          <w:b/>
        </w:rPr>
        <w:lastRenderedPageBreak/>
        <w:t>R</w:t>
      </w:r>
      <w:r w:rsidR="005515D9" w:rsidRPr="00572FD0">
        <w:rPr>
          <w:rFonts w:cstheme="minorHAnsi"/>
          <w:b/>
        </w:rPr>
        <w:t>ESULTS</w:t>
      </w:r>
    </w:p>
    <w:p w14:paraId="7CDBF576" w14:textId="4C80CEE0" w:rsidR="00087069" w:rsidRPr="00572FD0" w:rsidRDefault="00381262" w:rsidP="00087069">
      <w:pPr>
        <w:tabs>
          <w:tab w:val="left" w:pos="1110"/>
        </w:tabs>
        <w:spacing w:line="360" w:lineRule="auto"/>
        <w:rPr>
          <w:rFonts w:cstheme="minorHAnsi"/>
        </w:rPr>
      </w:pPr>
      <w:r w:rsidRPr="00572FD0">
        <w:rPr>
          <w:rFonts w:cstheme="minorHAnsi"/>
        </w:rPr>
        <w:t xml:space="preserve">In total </w:t>
      </w:r>
      <w:r w:rsidR="00E20BF7" w:rsidRPr="00572FD0">
        <w:rPr>
          <w:rFonts w:cstheme="minorHAnsi"/>
        </w:rPr>
        <w:t>15</w:t>
      </w:r>
      <w:r w:rsidR="00716817" w:rsidRPr="00572FD0">
        <w:rPr>
          <w:rFonts w:cstheme="minorHAnsi"/>
        </w:rPr>
        <w:t>7</w:t>
      </w:r>
      <w:r w:rsidR="00E20BF7" w:rsidRPr="00572FD0">
        <w:rPr>
          <w:rFonts w:cstheme="minorHAnsi"/>
        </w:rPr>
        <w:t xml:space="preserve"> </w:t>
      </w:r>
      <w:r w:rsidRPr="00572FD0">
        <w:rPr>
          <w:rFonts w:cstheme="minorHAnsi"/>
        </w:rPr>
        <w:t>participants completed Round 1, of which 111 (7</w:t>
      </w:r>
      <w:r w:rsidR="00B615D4" w:rsidRPr="00572FD0">
        <w:rPr>
          <w:rFonts w:cstheme="minorHAnsi"/>
        </w:rPr>
        <w:t>0.7</w:t>
      </w:r>
      <w:r w:rsidRPr="00572FD0">
        <w:rPr>
          <w:rFonts w:cstheme="minorHAnsi"/>
        </w:rPr>
        <w:t xml:space="preserve">%) provided complete responses in Round 2. </w:t>
      </w:r>
      <w:r w:rsidR="00B615D4" w:rsidRPr="00572FD0">
        <w:rPr>
          <w:rFonts w:cstheme="minorHAnsi"/>
        </w:rPr>
        <w:t>Participants were predomina</w:t>
      </w:r>
      <w:r w:rsidR="00CF3714" w:rsidRPr="00572FD0">
        <w:rPr>
          <w:rFonts w:cstheme="minorHAnsi"/>
        </w:rPr>
        <w:t>n</w:t>
      </w:r>
      <w:r w:rsidR="00B615D4" w:rsidRPr="00572FD0">
        <w:rPr>
          <w:rFonts w:cstheme="minorHAnsi"/>
        </w:rPr>
        <w:t>tly from a pre-hospital</w:t>
      </w:r>
      <w:r w:rsidR="002B7706" w:rsidRPr="00572FD0">
        <w:rPr>
          <w:rFonts w:cstheme="minorHAnsi"/>
        </w:rPr>
        <w:t xml:space="preserve"> (47%)</w:t>
      </w:r>
      <w:r w:rsidR="0095449D" w:rsidRPr="00572FD0">
        <w:rPr>
          <w:rFonts w:cstheme="minorHAnsi"/>
        </w:rPr>
        <w:t xml:space="preserve"> </w:t>
      </w:r>
      <w:r w:rsidR="00157FC3" w:rsidRPr="00572FD0">
        <w:rPr>
          <w:rFonts w:cstheme="minorHAnsi"/>
        </w:rPr>
        <w:t>or Paediatric Emergency Medicine (PEM</w:t>
      </w:r>
      <w:r w:rsidR="00932284" w:rsidRPr="00572FD0">
        <w:rPr>
          <w:rFonts w:cstheme="minorHAnsi"/>
        </w:rPr>
        <w:t>; 41%) background</w:t>
      </w:r>
      <w:r w:rsidR="00B615D4" w:rsidRPr="00572FD0">
        <w:rPr>
          <w:rFonts w:cstheme="minorHAnsi"/>
        </w:rPr>
        <w:t xml:space="preserve">, with 63.7% being of consultant grade and 24.2% either paramedics or extended-scope paramedics. </w:t>
      </w:r>
      <w:r w:rsidR="00E20BF7" w:rsidRPr="00572FD0">
        <w:rPr>
          <w:rFonts w:cstheme="minorHAnsi"/>
        </w:rPr>
        <w:t xml:space="preserve">Specialities and grades of participants are </w:t>
      </w:r>
      <w:r w:rsidR="00117BB4" w:rsidRPr="00572FD0">
        <w:rPr>
          <w:rFonts w:cstheme="minorHAnsi"/>
        </w:rPr>
        <w:t xml:space="preserve">presented </w:t>
      </w:r>
      <w:r w:rsidR="00B615D4" w:rsidRPr="00572FD0">
        <w:rPr>
          <w:rFonts w:cstheme="minorHAnsi"/>
        </w:rPr>
        <w:t>in</w:t>
      </w:r>
      <w:r w:rsidR="00C27047" w:rsidRPr="00572FD0">
        <w:rPr>
          <w:rFonts w:cstheme="minorHAnsi"/>
        </w:rPr>
        <w:t xml:space="preserve"> Table 1.</w:t>
      </w:r>
      <w:r w:rsidR="00E20BF7" w:rsidRPr="00572FD0">
        <w:rPr>
          <w:rFonts w:cstheme="minorHAnsi"/>
        </w:rPr>
        <w:t xml:space="preserve"> </w:t>
      </w:r>
    </w:p>
    <w:p w14:paraId="29C0BE5E" w14:textId="592B3E09" w:rsidR="00087069" w:rsidRPr="004548B7" w:rsidRDefault="00087069" w:rsidP="004548B7">
      <w:pPr>
        <w:tabs>
          <w:tab w:val="left" w:pos="1110"/>
        </w:tabs>
        <w:rPr>
          <w:rFonts w:cstheme="minorHAnsi"/>
          <w:b/>
        </w:rPr>
      </w:pPr>
      <w:r w:rsidRPr="00572FD0">
        <w:rPr>
          <w:rFonts w:cstheme="minorHAnsi"/>
          <w:b/>
        </w:rPr>
        <w:t>Table 1: Demographics of study participants.</w:t>
      </w:r>
    </w:p>
    <w:p w14:paraId="6A30D83F" w14:textId="5B588A6C" w:rsidR="00E5534C" w:rsidRDefault="00E214AB" w:rsidP="005A65A0">
      <w:pPr>
        <w:tabs>
          <w:tab w:val="left" w:pos="1110"/>
        </w:tabs>
        <w:spacing w:line="360" w:lineRule="auto"/>
        <w:rPr>
          <w:rFonts w:cstheme="minorHAnsi"/>
        </w:rPr>
      </w:pPr>
      <w:r w:rsidRPr="00572FD0">
        <w:rPr>
          <w:rFonts w:cstheme="minorHAnsi"/>
        </w:rPr>
        <w:t>Of the 16 statements</w:t>
      </w:r>
      <w:r w:rsidR="006969FC" w:rsidRPr="00572FD0">
        <w:rPr>
          <w:rFonts w:cstheme="minorHAnsi"/>
        </w:rPr>
        <w:t xml:space="preserve"> in Round 1</w:t>
      </w:r>
      <w:r w:rsidR="00CF3714" w:rsidRPr="00572FD0">
        <w:rPr>
          <w:rFonts w:cstheme="minorHAnsi"/>
        </w:rPr>
        <w:t xml:space="preserve"> (R1)</w:t>
      </w:r>
      <w:r w:rsidRPr="00572FD0">
        <w:rPr>
          <w:rFonts w:cstheme="minorHAnsi"/>
        </w:rPr>
        <w:t xml:space="preserve">, </w:t>
      </w:r>
      <w:r w:rsidR="00381262" w:rsidRPr="00572FD0">
        <w:rPr>
          <w:rFonts w:cstheme="minorHAnsi"/>
        </w:rPr>
        <w:t>nine</w:t>
      </w:r>
      <w:r w:rsidRPr="00572FD0">
        <w:rPr>
          <w:rFonts w:cstheme="minorHAnsi"/>
        </w:rPr>
        <w:t xml:space="preserve"> reached positive consensus</w:t>
      </w:r>
      <w:r w:rsidR="00381262" w:rsidRPr="00572FD0">
        <w:rPr>
          <w:rFonts w:cstheme="minorHAnsi"/>
        </w:rPr>
        <w:t>; n</w:t>
      </w:r>
      <w:r w:rsidR="00F728C8" w:rsidRPr="00572FD0">
        <w:rPr>
          <w:rFonts w:cstheme="minorHAnsi"/>
        </w:rPr>
        <w:t>o</w:t>
      </w:r>
      <w:r w:rsidR="00381262" w:rsidRPr="00572FD0">
        <w:rPr>
          <w:rFonts w:cstheme="minorHAnsi"/>
        </w:rPr>
        <w:t>ne</w:t>
      </w:r>
      <w:r w:rsidR="00F728C8" w:rsidRPr="00572FD0">
        <w:rPr>
          <w:rFonts w:cstheme="minorHAnsi"/>
        </w:rPr>
        <w:t xml:space="preserve"> reached negative consensus</w:t>
      </w:r>
      <w:r w:rsidR="006969FC" w:rsidRPr="00572FD0">
        <w:rPr>
          <w:rFonts w:cstheme="minorHAnsi"/>
        </w:rPr>
        <w:t xml:space="preserve">. </w:t>
      </w:r>
      <w:r w:rsidR="00381262" w:rsidRPr="00572FD0">
        <w:rPr>
          <w:rFonts w:cstheme="minorHAnsi"/>
        </w:rPr>
        <w:t>Of the eight</w:t>
      </w:r>
      <w:r w:rsidR="003A5468" w:rsidRPr="00572FD0">
        <w:rPr>
          <w:rFonts w:cstheme="minorHAnsi"/>
        </w:rPr>
        <w:t xml:space="preserve"> statements</w:t>
      </w:r>
      <w:r w:rsidR="00381262" w:rsidRPr="00572FD0">
        <w:rPr>
          <w:rFonts w:cstheme="minorHAnsi"/>
        </w:rPr>
        <w:t xml:space="preserve"> i</w:t>
      </w:r>
      <w:r w:rsidR="006969FC" w:rsidRPr="00572FD0">
        <w:rPr>
          <w:rFonts w:cstheme="minorHAnsi"/>
        </w:rPr>
        <w:t xml:space="preserve">n </w:t>
      </w:r>
      <w:r w:rsidR="00381262" w:rsidRPr="00572FD0">
        <w:rPr>
          <w:rFonts w:cstheme="minorHAnsi"/>
        </w:rPr>
        <w:t>R</w:t>
      </w:r>
      <w:r w:rsidR="006969FC" w:rsidRPr="00572FD0">
        <w:rPr>
          <w:rFonts w:cstheme="minorHAnsi"/>
        </w:rPr>
        <w:t>ound</w:t>
      </w:r>
      <w:r w:rsidR="00F728C8" w:rsidRPr="00572FD0">
        <w:rPr>
          <w:rFonts w:cstheme="minorHAnsi"/>
        </w:rPr>
        <w:t xml:space="preserve"> </w:t>
      </w:r>
      <w:r w:rsidR="00015A2E" w:rsidRPr="00572FD0">
        <w:rPr>
          <w:rFonts w:cstheme="minorHAnsi"/>
        </w:rPr>
        <w:t>2</w:t>
      </w:r>
      <w:r w:rsidR="00CF3714" w:rsidRPr="00572FD0">
        <w:rPr>
          <w:rFonts w:cstheme="minorHAnsi"/>
        </w:rPr>
        <w:t xml:space="preserve"> (R2)</w:t>
      </w:r>
      <w:r w:rsidR="00015A2E" w:rsidRPr="00572FD0">
        <w:rPr>
          <w:rFonts w:cstheme="minorHAnsi"/>
        </w:rPr>
        <w:t xml:space="preserve">, </w:t>
      </w:r>
      <w:r w:rsidR="00381262" w:rsidRPr="00572FD0">
        <w:rPr>
          <w:rFonts w:cstheme="minorHAnsi"/>
        </w:rPr>
        <w:t>four</w:t>
      </w:r>
      <w:r w:rsidR="00015A2E" w:rsidRPr="00572FD0">
        <w:rPr>
          <w:rFonts w:cstheme="minorHAnsi"/>
        </w:rPr>
        <w:t xml:space="preserve"> </w:t>
      </w:r>
      <w:r w:rsidR="006969FC" w:rsidRPr="00572FD0">
        <w:rPr>
          <w:rFonts w:cstheme="minorHAnsi"/>
        </w:rPr>
        <w:t>reached consensus (</w:t>
      </w:r>
      <w:r w:rsidR="00015A2E" w:rsidRPr="00572FD0">
        <w:rPr>
          <w:rFonts w:cstheme="minorHAnsi"/>
        </w:rPr>
        <w:t xml:space="preserve">2 </w:t>
      </w:r>
      <w:r w:rsidR="006969FC" w:rsidRPr="00572FD0">
        <w:rPr>
          <w:rFonts w:cstheme="minorHAnsi"/>
        </w:rPr>
        <w:t>positive</w:t>
      </w:r>
      <w:r w:rsidR="00F728C8" w:rsidRPr="00572FD0">
        <w:rPr>
          <w:rFonts w:cstheme="minorHAnsi"/>
        </w:rPr>
        <w:t xml:space="preserve">, </w:t>
      </w:r>
      <w:r w:rsidR="00015A2E" w:rsidRPr="00572FD0">
        <w:rPr>
          <w:rFonts w:cstheme="minorHAnsi"/>
        </w:rPr>
        <w:t xml:space="preserve">2 </w:t>
      </w:r>
      <w:r w:rsidR="006969FC" w:rsidRPr="00572FD0">
        <w:rPr>
          <w:rFonts w:cstheme="minorHAnsi"/>
        </w:rPr>
        <w:t>negative)</w:t>
      </w:r>
      <w:r w:rsidR="00381262" w:rsidRPr="00572FD0">
        <w:rPr>
          <w:rFonts w:cstheme="minorHAnsi"/>
        </w:rPr>
        <w:t>; four statements did not meet the threshold for consensus</w:t>
      </w:r>
      <w:r w:rsidR="00001289" w:rsidRPr="00572FD0">
        <w:rPr>
          <w:rFonts w:cstheme="minorHAnsi"/>
        </w:rPr>
        <w:t>.</w:t>
      </w:r>
      <w:r w:rsidR="00C27047" w:rsidRPr="00572FD0">
        <w:rPr>
          <w:rFonts w:cstheme="minorHAnsi"/>
        </w:rPr>
        <w:t xml:space="preserve">  Figure 1</w:t>
      </w:r>
      <w:r w:rsidR="00001289" w:rsidRPr="00572FD0">
        <w:rPr>
          <w:rFonts w:cstheme="minorHAnsi"/>
        </w:rPr>
        <w:t xml:space="preserve"> shows the flow of statements throughout the study</w:t>
      </w:r>
      <w:r w:rsidR="00375A12" w:rsidRPr="00572FD0">
        <w:rPr>
          <w:rFonts w:cstheme="minorHAnsi"/>
        </w:rPr>
        <w:t>.</w:t>
      </w:r>
      <w:r w:rsidR="000327CC" w:rsidRPr="00572FD0">
        <w:rPr>
          <w:rFonts w:cstheme="minorHAnsi"/>
        </w:rPr>
        <w:t xml:space="preserve">  </w:t>
      </w:r>
    </w:p>
    <w:p w14:paraId="6EC33F74" w14:textId="628ACD77" w:rsidR="00EE0C87" w:rsidRPr="00EE0C87" w:rsidRDefault="00EE0C87" w:rsidP="005A65A0">
      <w:pPr>
        <w:tabs>
          <w:tab w:val="left" w:pos="1110"/>
        </w:tabs>
        <w:spacing w:line="360" w:lineRule="auto"/>
        <w:rPr>
          <w:rFonts w:cstheme="minorHAnsi"/>
          <w:b/>
          <w:bCs/>
        </w:rPr>
      </w:pPr>
      <w:r>
        <w:rPr>
          <w:rFonts w:cstheme="minorHAnsi"/>
          <w:b/>
          <w:bCs/>
        </w:rPr>
        <w:t>Figure 1: Flow of statements through study</w:t>
      </w:r>
    </w:p>
    <w:p w14:paraId="77A7AEB1" w14:textId="77777777" w:rsidR="004548B7" w:rsidRDefault="00CD4606" w:rsidP="004548B7">
      <w:pPr>
        <w:tabs>
          <w:tab w:val="left" w:pos="1110"/>
        </w:tabs>
        <w:spacing w:line="360" w:lineRule="auto"/>
        <w:rPr>
          <w:rFonts w:cstheme="minorHAnsi"/>
        </w:rPr>
      </w:pPr>
      <w:r w:rsidRPr="00572FD0">
        <w:rPr>
          <w:rFonts w:cstheme="minorHAnsi"/>
        </w:rPr>
        <w:t xml:space="preserve">The </w:t>
      </w:r>
      <w:r w:rsidR="00337568" w:rsidRPr="00572FD0">
        <w:rPr>
          <w:rFonts w:cstheme="minorHAnsi"/>
        </w:rPr>
        <w:t>breakdown of responses for statement</w:t>
      </w:r>
      <w:r w:rsidR="00981429" w:rsidRPr="00572FD0">
        <w:rPr>
          <w:rFonts w:cstheme="minorHAnsi"/>
        </w:rPr>
        <w:t>s</w:t>
      </w:r>
      <w:r w:rsidR="00337568" w:rsidRPr="00572FD0">
        <w:rPr>
          <w:rFonts w:cstheme="minorHAnsi"/>
        </w:rPr>
        <w:t xml:space="preserve"> </w:t>
      </w:r>
      <w:r w:rsidR="00981429" w:rsidRPr="00572FD0">
        <w:rPr>
          <w:rFonts w:cstheme="minorHAnsi"/>
        </w:rPr>
        <w:t xml:space="preserve">reaching consensus </w:t>
      </w:r>
      <w:r w:rsidR="00337568" w:rsidRPr="00572FD0">
        <w:rPr>
          <w:rFonts w:cstheme="minorHAnsi"/>
        </w:rPr>
        <w:t xml:space="preserve">are </w:t>
      </w:r>
      <w:r w:rsidR="00981429" w:rsidRPr="00572FD0">
        <w:rPr>
          <w:rFonts w:cstheme="minorHAnsi"/>
        </w:rPr>
        <w:t>presented i</w:t>
      </w:r>
      <w:r w:rsidR="00337568" w:rsidRPr="00572FD0">
        <w:rPr>
          <w:rFonts w:cstheme="minorHAnsi"/>
        </w:rPr>
        <w:t>n</w:t>
      </w:r>
      <w:r w:rsidR="000522CC" w:rsidRPr="00572FD0">
        <w:rPr>
          <w:rFonts w:cstheme="minorHAnsi"/>
        </w:rPr>
        <w:t xml:space="preserve"> Table 2</w:t>
      </w:r>
      <w:r w:rsidR="00981429" w:rsidRPr="00572FD0">
        <w:rPr>
          <w:rFonts w:cstheme="minorHAnsi"/>
        </w:rPr>
        <w:t>; those not reaching consensus after both rounds are presented</w:t>
      </w:r>
      <w:r w:rsidR="000522CC" w:rsidRPr="00572FD0">
        <w:rPr>
          <w:rFonts w:cstheme="minorHAnsi"/>
        </w:rPr>
        <w:t xml:space="preserve"> in Table 3</w:t>
      </w:r>
      <w:r w:rsidR="00AA6B1B" w:rsidRPr="00572FD0">
        <w:rPr>
          <w:rFonts w:cstheme="minorHAnsi"/>
        </w:rPr>
        <w:t xml:space="preserve">.  </w:t>
      </w:r>
      <w:r w:rsidR="00337568" w:rsidRPr="00572FD0">
        <w:rPr>
          <w:rFonts w:cstheme="minorHAnsi"/>
        </w:rPr>
        <w:t>The median score was 4 (equivalent to agree) for all statements reaching positive consensus</w:t>
      </w:r>
      <w:r w:rsidR="0093620C" w:rsidRPr="00572FD0">
        <w:rPr>
          <w:rFonts w:cstheme="minorHAnsi"/>
        </w:rPr>
        <w:t xml:space="preserve"> </w:t>
      </w:r>
      <w:r w:rsidR="00337568" w:rsidRPr="00572FD0">
        <w:rPr>
          <w:rFonts w:cstheme="minorHAnsi"/>
        </w:rPr>
        <w:t xml:space="preserve">and 2 (equivalent to disagree) for statements reaching </w:t>
      </w:r>
      <w:r w:rsidR="008B14C9" w:rsidRPr="00572FD0">
        <w:rPr>
          <w:rFonts w:cstheme="minorHAnsi"/>
        </w:rPr>
        <w:t xml:space="preserve">negative </w:t>
      </w:r>
      <w:r w:rsidR="00337568" w:rsidRPr="00572FD0">
        <w:rPr>
          <w:rFonts w:cstheme="minorHAnsi"/>
        </w:rPr>
        <w:t>consensus</w:t>
      </w:r>
      <w:r w:rsidR="00981429" w:rsidRPr="00572FD0">
        <w:rPr>
          <w:rFonts w:cstheme="minorHAnsi"/>
        </w:rPr>
        <w:t xml:space="preserve">; </w:t>
      </w:r>
      <w:r w:rsidR="00561426" w:rsidRPr="00572FD0">
        <w:rPr>
          <w:rFonts w:cstheme="minorHAnsi"/>
        </w:rPr>
        <w:t xml:space="preserve">the majority </w:t>
      </w:r>
      <w:r w:rsidR="00337568" w:rsidRPr="00572FD0">
        <w:rPr>
          <w:rFonts w:cstheme="minorHAnsi"/>
        </w:rPr>
        <w:t>ha</w:t>
      </w:r>
      <w:r w:rsidR="00981429" w:rsidRPr="00572FD0">
        <w:rPr>
          <w:rFonts w:cstheme="minorHAnsi"/>
        </w:rPr>
        <w:t>d</w:t>
      </w:r>
      <w:r w:rsidR="00337568" w:rsidRPr="00572FD0">
        <w:rPr>
          <w:rFonts w:cstheme="minorHAnsi"/>
        </w:rPr>
        <w:t xml:space="preserve"> an IQR of 1.  </w:t>
      </w:r>
    </w:p>
    <w:p w14:paraId="7CEC301E" w14:textId="123789A1" w:rsidR="00087069" w:rsidRPr="00572FD0" w:rsidRDefault="00087069" w:rsidP="004548B7">
      <w:pPr>
        <w:tabs>
          <w:tab w:val="left" w:pos="1110"/>
        </w:tabs>
        <w:spacing w:line="360" w:lineRule="auto"/>
        <w:rPr>
          <w:rFonts w:cstheme="minorHAnsi"/>
          <w:b/>
        </w:rPr>
      </w:pPr>
      <w:r w:rsidRPr="00572FD0">
        <w:rPr>
          <w:rFonts w:cstheme="minorHAnsi"/>
          <w:b/>
        </w:rPr>
        <w:t>Table 2: Percentages of consensus and median (IQR) scores for statements on which consensus was reached (based on ≥ 70% cut off)</w:t>
      </w:r>
    </w:p>
    <w:p w14:paraId="034A6A3C" w14:textId="77777777" w:rsidR="004548B7" w:rsidRDefault="004548B7" w:rsidP="00377287">
      <w:pPr>
        <w:tabs>
          <w:tab w:val="left" w:pos="1110"/>
        </w:tabs>
        <w:spacing w:after="0" w:line="360" w:lineRule="auto"/>
        <w:rPr>
          <w:rFonts w:cstheme="minorHAnsi"/>
          <w:b/>
          <w:bCs/>
        </w:rPr>
      </w:pPr>
    </w:p>
    <w:p w14:paraId="06BE7F4A" w14:textId="7FFC0B4C" w:rsidR="00EE0427" w:rsidRPr="00572FD0" w:rsidRDefault="00EE0427" w:rsidP="00377287">
      <w:pPr>
        <w:tabs>
          <w:tab w:val="left" w:pos="1110"/>
        </w:tabs>
        <w:spacing w:after="0" w:line="360" w:lineRule="auto"/>
        <w:rPr>
          <w:rFonts w:cstheme="minorHAnsi"/>
          <w:b/>
          <w:bCs/>
        </w:rPr>
      </w:pPr>
      <w:r w:rsidRPr="00572FD0">
        <w:rPr>
          <w:rFonts w:cstheme="minorHAnsi"/>
          <w:b/>
          <w:bCs/>
        </w:rPr>
        <w:t xml:space="preserve">Statements </w:t>
      </w:r>
      <w:r w:rsidR="003C2AF2" w:rsidRPr="00572FD0">
        <w:rPr>
          <w:rFonts w:cstheme="minorHAnsi"/>
          <w:b/>
          <w:bCs/>
        </w:rPr>
        <w:t>r</w:t>
      </w:r>
      <w:r w:rsidRPr="00572FD0">
        <w:rPr>
          <w:rFonts w:cstheme="minorHAnsi"/>
          <w:b/>
          <w:bCs/>
        </w:rPr>
        <w:t xml:space="preserve">eaching </w:t>
      </w:r>
      <w:r w:rsidR="003C2AF2" w:rsidRPr="00572FD0">
        <w:rPr>
          <w:rFonts w:cstheme="minorHAnsi"/>
          <w:b/>
          <w:bCs/>
        </w:rPr>
        <w:t>c</w:t>
      </w:r>
      <w:r w:rsidRPr="00572FD0">
        <w:rPr>
          <w:rFonts w:cstheme="minorHAnsi"/>
          <w:b/>
          <w:bCs/>
        </w:rPr>
        <w:t>onsensus</w:t>
      </w:r>
      <w:r w:rsidR="00584F45" w:rsidRPr="00572FD0">
        <w:rPr>
          <w:rFonts w:cstheme="minorHAnsi"/>
          <w:b/>
          <w:bCs/>
        </w:rPr>
        <w:t xml:space="preserve"> </w:t>
      </w:r>
      <w:r w:rsidR="003C2AF2" w:rsidRPr="00572FD0">
        <w:rPr>
          <w:rFonts w:cstheme="minorHAnsi"/>
          <w:b/>
          <w:bCs/>
        </w:rPr>
        <w:t>a</w:t>
      </w:r>
      <w:r w:rsidR="00584F45" w:rsidRPr="00572FD0">
        <w:rPr>
          <w:rFonts w:cstheme="minorHAnsi"/>
          <w:b/>
          <w:bCs/>
        </w:rPr>
        <w:t>greement</w:t>
      </w:r>
    </w:p>
    <w:p w14:paraId="3E909AF2" w14:textId="38CBEA46" w:rsidR="00A85BD9" w:rsidRPr="00572FD0" w:rsidRDefault="00A85BD9" w:rsidP="00377287">
      <w:pPr>
        <w:tabs>
          <w:tab w:val="left" w:pos="1110"/>
        </w:tabs>
        <w:spacing w:after="0" w:line="360" w:lineRule="auto"/>
        <w:rPr>
          <w:rFonts w:cstheme="minorHAnsi"/>
          <w:i/>
          <w:iCs/>
        </w:rPr>
      </w:pPr>
      <w:r w:rsidRPr="00572FD0">
        <w:rPr>
          <w:rFonts w:cstheme="minorHAnsi"/>
          <w:i/>
          <w:iCs/>
        </w:rPr>
        <w:t>Rescue Breaths</w:t>
      </w:r>
    </w:p>
    <w:p w14:paraId="1D96786B" w14:textId="1C76B5B7" w:rsidR="00644311" w:rsidRPr="00572FD0" w:rsidRDefault="00117BB4" w:rsidP="007909E0">
      <w:pPr>
        <w:tabs>
          <w:tab w:val="left" w:pos="1110"/>
        </w:tabs>
        <w:spacing w:line="360" w:lineRule="auto"/>
        <w:rPr>
          <w:rFonts w:cstheme="minorHAnsi"/>
          <w:i/>
          <w:iCs/>
        </w:rPr>
      </w:pPr>
      <w:r w:rsidRPr="00572FD0">
        <w:rPr>
          <w:rFonts w:cstheme="minorHAnsi"/>
        </w:rPr>
        <w:t>Consensus</w:t>
      </w:r>
      <w:r w:rsidR="00337568" w:rsidRPr="00572FD0">
        <w:rPr>
          <w:rFonts w:cstheme="minorHAnsi"/>
        </w:rPr>
        <w:t xml:space="preserve"> was reached </w:t>
      </w:r>
      <w:r w:rsidR="006656F1" w:rsidRPr="00572FD0">
        <w:rPr>
          <w:rFonts w:cstheme="minorHAnsi"/>
        </w:rPr>
        <w:t xml:space="preserve">in Round 1 </w:t>
      </w:r>
      <w:r w:rsidR="00337568" w:rsidRPr="00572FD0">
        <w:rPr>
          <w:rFonts w:cstheme="minorHAnsi"/>
        </w:rPr>
        <w:t xml:space="preserve">that </w:t>
      </w:r>
      <w:r w:rsidR="00D06C49" w:rsidRPr="00572FD0">
        <w:rPr>
          <w:rFonts w:cstheme="minorHAnsi"/>
        </w:rPr>
        <w:t xml:space="preserve">rescue breaths should be used in </w:t>
      </w:r>
      <w:r w:rsidR="54B419E1" w:rsidRPr="00572FD0">
        <w:rPr>
          <w:rFonts w:cstheme="minorHAnsi"/>
        </w:rPr>
        <w:t>major incidents</w:t>
      </w:r>
      <w:r w:rsidR="00D06C49" w:rsidRPr="00572FD0">
        <w:rPr>
          <w:rFonts w:cstheme="minorHAnsi"/>
        </w:rPr>
        <w:t xml:space="preserve"> secondary to submersion</w:t>
      </w:r>
      <w:r w:rsidR="006656F1" w:rsidRPr="00572FD0">
        <w:rPr>
          <w:rFonts w:cstheme="minorHAnsi"/>
        </w:rPr>
        <w:t>/</w:t>
      </w:r>
      <w:r w:rsidR="00D06C49" w:rsidRPr="00572FD0">
        <w:rPr>
          <w:rFonts w:cstheme="minorHAnsi"/>
        </w:rPr>
        <w:t>immersion</w:t>
      </w:r>
      <w:r w:rsidR="006656F1" w:rsidRPr="00572FD0">
        <w:rPr>
          <w:rFonts w:cstheme="minorHAnsi"/>
        </w:rPr>
        <w:t>/</w:t>
      </w:r>
      <w:r w:rsidR="00D06C49" w:rsidRPr="00572FD0">
        <w:rPr>
          <w:rFonts w:cstheme="minorHAnsi"/>
        </w:rPr>
        <w:t>drowning</w:t>
      </w:r>
      <w:r w:rsidR="007F7CE8" w:rsidRPr="00572FD0">
        <w:rPr>
          <w:rFonts w:cstheme="minorHAnsi"/>
        </w:rPr>
        <w:t xml:space="preserve"> (</w:t>
      </w:r>
      <w:r w:rsidR="006B024E" w:rsidRPr="00572FD0">
        <w:rPr>
          <w:rFonts w:cstheme="minorHAnsi"/>
        </w:rPr>
        <w:t>88%)</w:t>
      </w:r>
      <w:r w:rsidR="0029550F" w:rsidRPr="00572FD0">
        <w:rPr>
          <w:rFonts w:cstheme="minorHAnsi"/>
        </w:rPr>
        <w:t>,</w:t>
      </w:r>
      <w:r w:rsidR="006656F1" w:rsidRPr="00572FD0">
        <w:rPr>
          <w:rFonts w:cstheme="minorHAnsi"/>
        </w:rPr>
        <w:t xml:space="preserve"> and</w:t>
      </w:r>
      <w:r w:rsidR="003C10F2" w:rsidRPr="00572FD0">
        <w:rPr>
          <w:rFonts w:cstheme="minorHAnsi"/>
        </w:rPr>
        <w:t xml:space="preserve"> </w:t>
      </w:r>
      <w:r w:rsidR="00D06C49" w:rsidRPr="00572FD0">
        <w:rPr>
          <w:rFonts w:cstheme="minorHAnsi"/>
        </w:rPr>
        <w:t>smoke inhalation</w:t>
      </w:r>
      <w:r w:rsidR="006656F1" w:rsidRPr="00572FD0">
        <w:rPr>
          <w:rFonts w:cstheme="minorHAnsi"/>
        </w:rPr>
        <w:t>/</w:t>
      </w:r>
      <w:r w:rsidR="00DF4EA6" w:rsidRPr="00572FD0">
        <w:rPr>
          <w:rFonts w:cstheme="minorHAnsi"/>
        </w:rPr>
        <w:t xml:space="preserve">chemical </w:t>
      </w:r>
      <w:r w:rsidR="00D06C49" w:rsidRPr="00572FD0">
        <w:rPr>
          <w:rFonts w:cstheme="minorHAnsi"/>
        </w:rPr>
        <w:t>exposure</w:t>
      </w:r>
      <w:r w:rsidR="007F7CE8" w:rsidRPr="00572FD0">
        <w:rPr>
          <w:rFonts w:cstheme="minorHAnsi"/>
        </w:rPr>
        <w:t xml:space="preserve"> (</w:t>
      </w:r>
      <w:r w:rsidR="00FC29DB" w:rsidRPr="00572FD0">
        <w:rPr>
          <w:rFonts w:cstheme="minorHAnsi"/>
        </w:rPr>
        <w:t>70%)</w:t>
      </w:r>
      <w:r w:rsidR="00B831B0" w:rsidRPr="00572FD0">
        <w:rPr>
          <w:rFonts w:cstheme="minorHAnsi"/>
        </w:rPr>
        <w:t>.</w:t>
      </w:r>
    </w:p>
    <w:p w14:paraId="29036E01" w14:textId="208B5DB4" w:rsidR="00DF4EA6" w:rsidRPr="00572FD0" w:rsidRDefault="00DF4EA6" w:rsidP="00377287">
      <w:pPr>
        <w:tabs>
          <w:tab w:val="left" w:pos="1110"/>
        </w:tabs>
        <w:spacing w:after="0" w:line="360" w:lineRule="auto"/>
        <w:rPr>
          <w:rFonts w:cstheme="minorHAnsi"/>
          <w:i/>
          <w:iCs/>
        </w:rPr>
      </w:pPr>
      <w:r w:rsidRPr="00572FD0">
        <w:rPr>
          <w:rFonts w:cstheme="minorHAnsi"/>
          <w:i/>
          <w:iCs/>
        </w:rPr>
        <w:t>Mobility Assessment</w:t>
      </w:r>
    </w:p>
    <w:p w14:paraId="7497032B" w14:textId="76063568" w:rsidR="00DF4EA6" w:rsidRPr="00572FD0" w:rsidRDefault="00291B98" w:rsidP="005A65A0">
      <w:pPr>
        <w:tabs>
          <w:tab w:val="left" w:pos="1110"/>
        </w:tabs>
        <w:spacing w:line="360" w:lineRule="auto"/>
        <w:rPr>
          <w:rFonts w:cstheme="minorHAnsi"/>
        </w:rPr>
      </w:pPr>
      <w:r w:rsidRPr="00572FD0">
        <w:rPr>
          <w:rFonts w:cstheme="minorHAnsi"/>
        </w:rPr>
        <w:t>It was agreed that an assessment of mobility should be included as a crude discriminator for serious injury</w:t>
      </w:r>
      <w:r w:rsidR="00DA3B72" w:rsidRPr="00572FD0">
        <w:rPr>
          <w:rFonts w:cstheme="minorHAnsi"/>
        </w:rPr>
        <w:t xml:space="preserve"> (R1, 79%)</w:t>
      </w:r>
      <w:r w:rsidR="00A16505" w:rsidRPr="00572FD0">
        <w:rPr>
          <w:rFonts w:cstheme="minorHAnsi"/>
        </w:rPr>
        <w:t xml:space="preserve"> and</w:t>
      </w:r>
      <w:r w:rsidR="00CA23EC" w:rsidRPr="00572FD0">
        <w:rPr>
          <w:rFonts w:cstheme="minorHAnsi"/>
        </w:rPr>
        <w:t xml:space="preserve"> that this assessment should only be used in patients who are normally mobile</w:t>
      </w:r>
      <w:r w:rsidR="00DA3B72" w:rsidRPr="00572FD0">
        <w:rPr>
          <w:rFonts w:cstheme="minorHAnsi"/>
        </w:rPr>
        <w:t xml:space="preserve"> (R2, </w:t>
      </w:r>
      <w:r w:rsidR="00A52F3A" w:rsidRPr="00572FD0">
        <w:rPr>
          <w:rFonts w:cstheme="minorHAnsi"/>
        </w:rPr>
        <w:t>81%)</w:t>
      </w:r>
      <w:r w:rsidR="00B831B0" w:rsidRPr="00572FD0">
        <w:rPr>
          <w:rFonts w:cstheme="minorHAnsi"/>
        </w:rPr>
        <w:t xml:space="preserve">. </w:t>
      </w:r>
      <w:r w:rsidR="00A52F3A" w:rsidRPr="00572FD0">
        <w:rPr>
          <w:rFonts w:cstheme="minorHAnsi"/>
        </w:rPr>
        <w:t>In</w:t>
      </w:r>
      <w:r w:rsidR="00A16505" w:rsidRPr="00572FD0">
        <w:rPr>
          <w:rFonts w:cstheme="minorHAnsi"/>
        </w:rPr>
        <w:t xml:space="preserve"> patients too young to self-mobilise</w:t>
      </w:r>
      <w:r w:rsidR="00E23047" w:rsidRPr="00572FD0">
        <w:rPr>
          <w:rFonts w:cstheme="minorHAnsi"/>
        </w:rPr>
        <w:t xml:space="preserve">, being alert and moving limbs was </w:t>
      </w:r>
      <w:r w:rsidR="006656F1" w:rsidRPr="00572FD0">
        <w:rPr>
          <w:rFonts w:cstheme="minorHAnsi"/>
        </w:rPr>
        <w:t xml:space="preserve">felt </w:t>
      </w:r>
      <w:r w:rsidR="00E23047" w:rsidRPr="00572FD0">
        <w:rPr>
          <w:rFonts w:cstheme="minorHAnsi"/>
        </w:rPr>
        <w:t>to be useful in d</w:t>
      </w:r>
      <w:r w:rsidR="006656F1" w:rsidRPr="00572FD0">
        <w:rPr>
          <w:rFonts w:cstheme="minorHAnsi"/>
        </w:rPr>
        <w:t xml:space="preserve">etermining </w:t>
      </w:r>
      <w:r w:rsidR="0029550F" w:rsidRPr="00572FD0">
        <w:rPr>
          <w:rFonts w:cstheme="minorHAnsi"/>
        </w:rPr>
        <w:t xml:space="preserve">absence of </w:t>
      </w:r>
      <w:r w:rsidR="00E23047" w:rsidRPr="00572FD0">
        <w:rPr>
          <w:rFonts w:cstheme="minorHAnsi"/>
        </w:rPr>
        <w:t>serious injur</w:t>
      </w:r>
      <w:r w:rsidR="0029550F" w:rsidRPr="00572FD0">
        <w:rPr>
          <w:rFonts w:cstheme="minorHAnsi"/>
        </w:rPr>
        <w:t xml:space="preserve">y </w:t>
      </w:r>
      <w:r w:rsidR="00A52F3A" w:rsidRPr="00572FD0">
        <w:rPr>
          <w:rFonts w:cstheme="minorHAnsi"/>
        </w:rPr>
        <w:t>(R2, 71%)</w:t>
      </w:r>
      <w:r w:rsidR="0092498A" w:rsidRPr="00572FD0">
        <w:rPr>
          <w:rFonts w:cstheme="minorHAnsi"/>
        </w:rPr>
        <w:t>.</w:t>
      </w:r>
      <w:r w:rsidR="00E23047" w:rsidRPr="00572FD0">
        <w:rPr>
          <w:rFonts w:cstheme="minorHAnsi"/>
        </w:rPr>
        <w:t xml:space="preserve"> </w:t>
      </w:r>
    </w:p>
    <w:p w14:paraId="308515B8" w14:textId="2E696A36" w:rsidR="002B4D73" w:rsidRPr="00572FD0" w:rsidRDefault="002B4D73" w:rsidP="00377287">
      <w:pPr>
        <w:tabs>
          <w:tab w:val="left" w:pos="1110"/>
        </w:tabs>
        <w:spacing w:after="0" w:line="360" w:lineRule="auto"/>
        <w:rPr>
          <w:rFonts w:cstheme="minorHAnsi"/>
          <w:i/>
          <w:iCs/>
        </w:rPr>
      </w:pPr>
      <w:r w:rsidRPr="00572FD0">
        <w:rPr>
          <w:rFonts w:cstheme="minorHAnsi"/>
          <w:i/>
          <w:iCs/>
        </w:rPr>
        <w:t>Physiological variables, and age ranges for tools</w:t>
      </w:r>
    </w:p>
    <w:p w14:paraId="49EA6294" w14:textId="1D936EFD" w:rsidR="00F521F0" w:rsidRPr="00572FD0" w:rsidRDefault="006656F1" w:rsidP="005A65A0">
      <w:pPr>
        <w:tabs>
          <w:tab w:val="left" w:pos="1110"/>
        </w:tabs>
        <w:spacing w:line="360" w:lineRule="auto"/>
        <w:rPr>
          <w:rFonts w:cstheme="minorHAnsi"/>
        </w:rPr>
      </w:pPr>
      <w:r w:rsidRPr="00572FD0">
        <w:rPr>
          <w:rFonts w:cstheme="minorHAnsi"/>
        </w:rPr>
        <w:t>U</w:t>
      </w:r>
      <w:r w:rsidR="00D73D01" w:rsidRPr="00572FD0">
        <w:rPr>
          <w:rFonts w:cstheme="minorHAnsi"/>
        </w:rPr>
        <w:t>s</w:t>
      </w:r>
      <w:r w:rsidRPr="00572FD0">
        <w:rPr>
          <w:rFonts w:cstheme="minorHAnsi"/>
        </w:rPr>
        <w:t>e of</w:t>
      </w:r>
      <w:r w:rsidR="00D73D01" w:rsidRPr="00572FD0">
        <w:rPr>
          <w:rFonts w:cstheme="minorHAnsi"/>
        </w:rPr>
        <w:t xml:space="preserve"> a single </w:t>
      </w:r>
      <w:r w:rsidRPr="00572FD0">
        <w:rPr>
          <w:rFonts w:cstheme="minorHAnsi"/>
        </w:rPr>
        <w:t>MIT</w:t>
      </w:r>
      <w:r w:rsidR="0082209D" w:rsidRPr="00572FD0">
        <w:rPr>
          <w:rFonts w:cstheme="minorHAnsi"/>
        </w:rPr>
        <w:t xml:space="preserve"> </w:t>
      </w:r>
      <w:r w:rsidR="00D73D01" w:rsidRPr="00572FD0">
        <w:rPr>
          <w:rFonts w:cstheme="minorHAnsi"/>
        </w:rPr>
        <w:t xml:space="preserve">tool </w:t>
      </w:r>
      <w:r w:rsidRPr="00572FD0">
        <w:rPr>
          <w:rFonts w:cstheme="minorHAnsi"/>
        </w:rPr>
        <w:t xml:space="preserve">was felt to </w:t>
      </w:r>
      <w:r w:rsidR="00D73D01" w:rsidRPr="00572FD0">
        <w:rPr>
          <w:rFonts w:cstheme="minorHAnsi"/>
        </w:rPr>
        <w:t>convey benefits</w:t>
      </w:r>
      <w:r w:rsidR="00E43404" w:rsidRPr="00572FD0">
        <w:rPr>
          <w:rFonts w:cstheme="minorHAnsi"/>
        </w:rPr>
        <w:t xml:space="preserve"> in training healthcare providers</w:t>
      </w:r>
      <w:r w:rsidR="002B4D73" w:rsidRPr="00572FD0">
        <w:rPr>
          <w:rFonts w:cstheme="minorHAnsi"/>
        </w:rPr>
        <w:t xml:space="preserve"> </w:t>
      </w:r>
      <w:r w:rsidR="009964F7" w:rsidRPr="00572FD0">
        <w:rPr>
          <w:rFonts w:cstheme="minorHAnsi"/>
        </w:rPr>
        <w:t>(R1, 87%)</w:t>
      </w:r>
      <w:r w:rsidR="00542B6C" w:rsidRPr="00572FD0">
        <w:rPr>
          <w:rFonts w:cstheme="minorHAnsi"/>
        </w:rPr>
        <w:t>,</w:t>
      </w:r>
      <w:r w:rsidR="009964F7" w:rsidRPr="00572FD0">
        <w:rPr>
          <w:rFonts w:cstheme="minorHAnsi"/>
        </w:rPr>
        <w:t xml:space="preserve"> </w:t>
      </w:r>
      <w:r w:rsidR="00E43404" w:rsidRPr="00572FD0">
        <w:rPr>
          <w:rFonts w:cstheme="minorHAnsi"/>
        </w:rPr>
        <w:t>delivery</w:t>
      </w:r>
      <w:r w:rsidR="002B4D73" w:rsidRPr="00572FD0">
        <w:rPr>
          <w:rFonts w:cstheme="minorHAnsi"/>
        </w:rPr>
        <w:t xml:space="preserve"> (application of </w:t>
      </w:r>
      <w:r w:rsidR="00542B6C" w:rsidRPr="00572FD0">
        <w:rPr>
          <w:rFonts w:cstheme="minorHAnsi"/>
        </w:rPr>
        <w:t>a tool in a</w:t>
      </w:r>
      <w:r w:rsidR="4E4D837D" w:rsidRPr="00572FD0">
        <w:rPr>
          <w:rFonts w:cstheme="minorHAnsi"/>
        </w:rPr>
        <w:t xml:space="preserve"> major incident</w:t>
      </w:r>
      <w:r w:rsidR="00542B6C" w:rsidRPr="00572FD0">
        <w:rPr>
          <w:rFonts w:cstheme="minorHAnsi"/>
        </w:rPr>
        <w:t>; R</w:t>
      </w:r>
      <w:r w:rsidR="009964F7" w:rsidRPr="00572FD0">
        <w:rPr>
          <w:rFonts w:cstheme="minorHAnsi"/>
        </w:rPr>
        <w:t xml:space="preserve">1, </w:t>
      </w:r>
      <w:r w:rsidR="004D5E2B" w:rsidRPr="00572FD0">
        <w:rPr>
          <w:rFonts w:cstheme="minorHAnsi"/>
        </w:rPr>
        <w:t>81%)</w:t>
      </w:r>
      <w:r w:rsidR="00524334" w:rsidRPr="00572FD0">
        <w:rPr>
          <w:rFonts w:cstheme="minorHAnsi"/>
        </w:rPr>
        <w:t>,</w:t>
      </w:r>
      <w:r w:rsidR="00542B6C" w:rsidRPr="00572FD0">
        <w:rPr>
          <w:rFonts w:cstheme="minorHAnsi"/>
        </w:rPr>
        <w:t xml:space="preserve"> </w:t>
      </w:r>
      <w:r w:rsidR="00524334" w:rsidRPr="00572FD0">
        <w:rPr>
          <w:rFonts w:cstheme="minorHAnsi"/>
        </w:rPr>
        <w:t>h</w:t>
      </w:r>
      <w:r w:rsidR="008147FB" w:rsidRPr="00572FD0">
        <w:rPr>
          <w:rFonts w:cstheme="minorHAnsi"/>
        </w:rPr>
        <w:t>uman factors</w:t>
      </w:r>
      <w:r w:rsidR="004D5E2B" w:rsidRPr="00572FD0">
        <w:rPr>
          <w:rFonts w:cstheme="minorHAnsi"/>
        </w:rPr>
        <w:t xml:space="preserve"> (R1, 87%)</w:t>
      </w:r>
      <w:r w:rsidR="00542B6C" w:rsidRPr="00572FD0">
        <w:rPr>
          <w:rFonts w:cstheme="minorHAnsi"/>
        </w:rPr>
        <w:t>,</w:t>
      </w:r>
      <w:r w:rsidR="004D5E2B" w:rsidRPr="00572FD0">
        <w:rPr>
          <w:rFonts w:cstheme="minorHAnsi"/>
        </w:rPr>
        <w:t xml:space="preserve"> </w:t>
      </w:r>
      <w:r w:rsidR="008147FB" w:rsidRPr="00572FD0">
        <w:rPr>
          <w:rFonts w:cstheme="minorHAnsi"/>
        </w:rPr>
        <w:t xml:space="preserve">and </w:t>
      </w:r>
      <w:r w:rsidR="008147FB" w:rsidRPr="00572FD0">
        <w:rPr>
          <w:rFonts w:cstheme="minorHAnsi"/>
        </w:rPr>
        <w:lastRenderedPageBreak/>
        <w:t>“bandwidth</w:t>
      </w:r>
      <w:r w:rsidR="00431375" w:rsidRPr="00572FD0">
        <w:rPr>
          <w:rFonts w:cstheme="minorHAnsi"/>
        </w:rPr>
        <w:t>”</w:t>
      </w:r>
      <w:r w:rsidR="008147FB" w:rsidRPr="00572FD0">
        <w:rPr>
          <w:rFonts w:cstheme="minorHAnsi"/>
        </w:rPr>
        <w:t xml:space="preserve"> </w:t>
      </w:r>
      <w:r w:rsidR="004D5E2B" w:rsidRPr="00572FD0">
        <w:rPr>
          <w:rFonts w:cstheme="minorHAnsi"/>
        </w:rPr>
        <w:t>(R</w:t>
      </w:r>
      <w:r w:rsidR="004925B9" w:rsidRPr="00572FD0">
        <w:rPr>
          <w:rFonts w:cstheme="minorHAnsi"/>
        </w:rPr>
        <w:t xml:space="preserve">1, 84%) </w:t>
      </w:r>
      <w:r w:rsidR="00524334" w:rsidRPr="00572FD0">
        <w:rPr>
          <w:rFonts w:cstheme="minorHAnsi"/>
        </w:rPr>
        <w:t xml:space="preserve">for </w:t>
      </w:r>
      <w:r w:rsidR="008147FB" w:rsidRPr="00572FD0">
        <w:rPr>
          <w:rFonts w:cstheme="minorHAnsi"/>
        </w:rPr>
        <w:t>those performing triage</w:t>
      </w:r>
      <w:r w:rsidR="00431375" w:rsidRPr="00572FD0">
        <w:rPr>
          <w:rFonts w:cstheme="minorHAnsi"/>
        </w:rPr>
        <w:t>.</w:t>
      </w:r>
      <w:r w:rsidR="008539C4" w:rsidRPr="00572FD0">
        <w:rPr>
          <w:rFonts w:cstheme="minorHAnsi"/>
        </w:rPr>
        <w:t xml:space="preserve"> </w:t>
      </w:r>
      <w:r w:rsidR="00561426" w:rsidRPr="00572FD0">
        <w:rPr>
          <w:rFonts w:cstheme="minorHAnsi"/>
        </w:rPr>
        <w:t xml:space="preserve">However, </w:t>
      </w:r>
      <w:r w:rsidR="00542B6C" w:rsidRPr="00572FD0">
        <w:rPr>
          <w:rFonts w:cstheme="minorHAnsi"/>
        </w:rPr>
        <w:t>in contrast with these findings</w:t>
      </w:r>
      <w:r w:rsidR="00561426" w:rsidRPr="00572FD0">
        <w:rPr>
          <w:rFonts w:cstheme="minorHAnsi"/>
        </w:rPr>
        <w:t xml:space="preserve">, </w:t>
      </w:r>
      <w:r w:rsidR="00542B6C" w:rsidRPr="00572FD0">
        <w:rPr>
          <w:rFonts w:cstheme="minorHAnsi"/>
        </w:rPr>
        <w:t xml:space="preserve">the </w:t>
      </w:r>
      <w:r w:rsidR="00561426" w:rsidRPr="00572FD0">
        <w:rPr>
          <w:rFonts w:cstheme="minorHAnsi"/>
        </w:rPr>
        <w:t xml:space="preserve">consensus </w:t>
      </w:r>
      <w:r w:rsidR="00542B6C" w:rsidRPr="00572FD0">
        <w:rPr>
          <w:rFonts w:cstheme="minorHAnsi"/>
        </w:rPr>
        <w:t xml:space="preserve">of participants </w:t>
      </w:r>
      <w:r w:rsidR="00561426" w:rsidRPr="00572FD0">
        <w:rPr>
          <w:rFonts w:cstheme="minorHAnsi"/>
        </w:rPr>
        <w:t xml:space="preserve">was </w:t>
      </w:r>
      <w:r w:rsidR="00D0038B" w:rsidRPr="00572FD0">
        <w:rPr>
          <w:rFonts w:cstheme="minorHAnsi"/>
        </w:rPr>
        <w:t xml:space="preserve">that a single </w:t>
      </w:r>
      <w:r w:rsidR="0082209D" w:rsidRPr="00572FD0">
        <w:rPr>
          <w:rFonts w:cstheme="minorHAnsi"/>
        </w:rPr>
        <w:t xml:space="preserve">tool </w:t>
      </w:r>
      <w:r w:rsidR="00D0038B" w:rsidRPr="00572FD0">
        <w:rPr>
          <w:rFonts w:cstheme="minorHAnsi"/>
        </w:rPr>
        <w:t>should not be used across all age groups</w:t>
      </w:r>
      <w:r w:rsidR="004925B9" w:rsidRPr="00572FD0">
        <w:rPr>
          <w:rFonts w:cstheme="minorHAnsi"/>
        </w:rPr>
        <w:t>. (R2, 82%)</w:t>
      </w:r>
    </w:p>
    <w:p w14:paraId="4EC99A44" w14:textId="77777777" w:rsidR="008539C4" w:rsidRPr="00572FD0" w:rsidRDefault="00F521F0" w:rsidP="00377287">
      <w:pPr>
        <w:tabs>
          <w:tab w:val="left" w:pos="1110"/>
        </w:tabs>
        <w:spacing w:after="0" w:line="360" w:lineRule="auto"/>
        <w:rPr>
          <w:rFonts w:cstheme="minorHAnsi"/>
          <w:i/>
          <w:iCs/>
        </w:rPr>
      </w:pPr>
      <w:r w:rsidRPr="00572FD0">
        <w:rPr>
          <w:rFonts w:cstheme="minorHAnsi"/>
          <w:i/>
          <w:iCs/>
        </w:rPr>
        <w:t xml:space="preserve">Older paediatric patients </w:t>
      </w:r>
    </w:p>
    <w:p w14:paraId="27D821A5" w14:textId="660FB4E0" w:rsidR="00337568" w:rsidRPr="00572FD0" w:rsidRDefault="00431375" w:rsidP="005A65A0">
      <w:pPr>
        <w:tabs>
          <w:tab w:val="left" w:pos="1110"/>
        </w:tabs>
        <w:spacing w:line="360" w:lineRule="auto"/>
        <w:rPr>
          <w:rFonts w:cstheme="minorHAnsi"/>
        </w:rPr>
      </w:pPr>
      <w:r w:rsidRPr="00572FD0">
        <w:rPr>
          <w:rFonts w:cstheme="minorHAnsi"/>
        </w:rPr>
        <w:t xml:space="preserve">It was </w:t>
      </w:r>
      <w:r w:rsidR="008539C4" w:rsidRPr="00572FD0">
        <w:rPr>
          <w:rFonts w:cstheme="minorHAnsi"/>
        </w:rPr>
        <w:t xml:space="preserve">agreed </w:t>
      </w:r>
      <w:r w:rsidR="00DF2378" w:rsidRPr="00572FD0">
        <w:rPr>
          <w:rFonts w:cstheme="minorHAnsi"/>
        </w:rPr>
        <w:t>that if adult and paediatric</w:t>
      </w:r>
      <w:r w:rsidR="00ED4BCB" w:rsidRPr="00572FD0">
        <w:rPr>
          <w:rFonts w:cstheme="minorHAnsi"/>
        </w:rPr>
        <w:t xml:space="preserve"> physiological</w:t>
      </w:r>
      <w:r w:rsidR="00DF2378" w:rsidRPr="00572FD0">
        <w:rPr>
          <w:rFonts w:cstheme="minorHAnsi"/>
        </w:rPr>
        <w:t xml:space="preserve"> values are well correlated, an adult triage tool should be used in </w:t>
      </w:r>
      <w:proofErr w:type="gramStart"/>
      <w:r w:rsidR="00DE5FFA" w:rsidRPr="00572FD0">
        <w:rPr>
          <w:rFonts w:cstheme="minorHAnsi"/>
        </w:rPr>
        <w:t>12-</w:t>
      </w:r>
      <w:r w:rsidR="00ED3EE9" w:rsidRPr="00572FD0">
        <w:rPr>
          <w:rFonts w:cstheme="minorHAnsi"/>
        </w:rPr>
        <w:t>16</w:t>
      </w:r>
      <w:r w:rsidR="0029550F" w:rsidRPr="00572FD0">
        <w:rPr>
          <w:rFonts w:cstheme="minorHAnsi"/>
        </w:rPr>
        <w:t xml:space="preserve"> </w:t>
      </w:r>
      <w:r w:rsidR="00ED3EE9" w:rsidRPr="00572FD0">
        <w:rPr>
          <w:rFonts w:cstheme="minorHAnsi"/>
        </w:rPr>
        <w:t>year-olds</w:t>
      </w:r>
      <w:proofErr w:type="gramEnd"/>
      <w:r w:rsidR="00222C2C" w:rsidRPr="00572FD0">
        <w:rPr>
          <w:rFonts w:cstheme="minorHAnsi"/>
        </w:rPr>
        <w:t xml:space="preserve"> </w:t>
      </w:r>
      <w:r w:rsidR="004925B9" w:rsidRPr="00572FD0">
        <w:rPr>
          <w:rFonts w:cstheme="minorHAnsi"/>
        </w:rPr>
        <w:t xml:space="preserve">(R1, </w:t>
      </w:r>
      <w:r w:rsidR="00606008" w:rsidRPr="00572FD0">
        <w:rPr>
          <w:rFonts w:cstheme="minorHAnsi"/>
        </w:rPr>
        <w:t>90%)</w:t>
      </w:r>
      <w:r w:rsidR="00C04CF1" w:rsidRPr="00572FD0">
        <w:rPr>
          <w:rFonts w:cstheme="minorHAnsi"/>
        </w:rPr>
        <w:t>.</w:t>
      </w:r>
      <w:r w:rsidR="0054604A" w:rsidRPr="00572FD0">
        <w:rPr>
          <w:rFonts w:cstheme="minorHAnsi"/>
        </w:rPr>
        <w:t xml:space="preserve"> Adult </w:t>
      </w:r>
      <w:r w:rsidR="00DF2378" w:rsidRPr="00572FD0">
        <w:rPr>
          <w:rFonts w:cstheme="minorHAnsi"/>
        </w:rPr>
        <w:t xml:space="preserve">physiology </w:t>
      </w:r>
      <w:r w:rsidR="0054604A" w:rsidRPr="00572FD0">
        <w:rPr>
          <w:rFonts w:cstheme="minorHAnsi"/>
        </w:rPr>
        <w:t xml:space="preserve">was also </w:t>
      </w:r>
      <w:r w:rsidR="009D2FCC" w:rsidRPr="00572FD0">
        <w:rPr>
          <w:rFonts w:cstheme="minorHAnsi"/>
        </w:rPr>
        <w:t>agreed t</w:t>
      </w:r>
      <w:r w:rsidR="0054604A" w:rsidRPr="00572FD0">
        <w:rPr>
          <w:rFonts w:cstheme="minorHAnsi"/>
        </w:rPr>
        <w:t xml:space="preserve">o </w:t>
      </w:r>
      <w:r w:rsidR="00DF2378" w:rsidRPr="00572FD0">
        <w:rPr>
          <w:rFonts w:cstheme="minorHAnsi"/>
        </w:rPr>
        <w:t xml:space="preserve">be </w:t>
      </w:r>
      <w:r w:rsidR="0029550F" w:rsidRPr="00572FD0">
        <w:rPr>
          <w:rFonts w:cstheme="minorHAnsi"/>
        </w:rPr>
        <w:t xml:space="preserve">valid </w:t>
      </w:r>
      <w:r w:rsidR="00DF2378" w:rsidRPr="00572FD0">
        <w:rPr>
          <w:rFonts w:cstheme="minorHAnsi"/>
        </w:rPr>
        <w:t>for</w:t>
      </w:r>
      <w:r w:rsidR="0029550F" w:rsidRPr="00572FD0">
        <w:rPr>
          <w:rFonts w:cstheme="minorHAnsi"/>
        </w:rPr>
        <w:t xml:space="preserve"> use in </w:t>
      </w:r>
      <w:r w:rsidR="00DF2378" w:rsidRPr="00572FD0">
        <w:rPr>
          <w:rFonts w:cstheme="minorHAnsi"/>
        </w:rPr>
        <w:t>patients above a</w:t>
      </w:r>
      <w:r w:rsidR="0029550F" w:rsidRPr="00572FD0">
        <w:rPr>
          <w:rFonts w:cstheme="minorHAnsi"/>
        </w:rPr>
        <w:t>n</w:t>
      </w:r>
      <w:r w:rsidR="00DF2378" w:rsidRPr="00572FD0">
        <w:rPr>
          <w:rFonts w:cstheme="minorHAnsi"/>
        </w:rPr>
        <w:t xml:space="preserve"> </w:t>
      </w:r>
      <w:r w:rsidR="00521F9C" w:rsidRPr="00572FD0">
        <w:rPr>
          <w:rFonts w:cstheme="minorHAnsi"/>
        </w:rPr>
        <w:t xml:space="preserve">age </w:t>
      </w:r>
      <w:r w:rsidR="00DF2378" w:rsidRPr="00572FD0">
        <w:rPr>
          <w:rFonts w:cstheme="minorHAnsi"/>
        </w:rPr>
        <w:t>threshold</w:t>
      </w:r>
      <w:r w:rsidR="009D2FCC" w:rsidRPr="00572FD0">
        <w:rPr>
          <w:rFonts w:cstheme="minorHAnsi"/>
        </w:rPr>
        <w:t xml:space="preserve"> </w:t>
      </w:r>
      <w:r w:rsidR="00606008" w:rsidRPr="00572FD0">
        <w:rPr>
          <w:rFonts w:cstheme="minorHAnsi"/>
        </w:rPr>
        <w:t xml:space="preserve">(R1, </w:t>
      </w:r>
      <w:r w:rsidR="00234E99" w:rsidRPr="00572FD0">
        <w:rPr>
          <w:rFonts w:cstheme="minorHAnsi"/>
        </w:rPr>
        <w:t xml:space="preserve">71%) </w:t>
      </w:r>
      <w:r w:rsidR="009D2FCC" w:rsidRPr="00572FD0">
        <w:rPr>
          <w:rFonts w:cstheme="minorHAnsi"/>
        </w:rPr>
        <w:t xml:space="preserve">with the </w:t>
      </w:r>
      <w:r w:rsidR="00C57958" w:rsidRPr="00572FD0">
        <w:rPr>
          <w:rFonts w:cstheme="minorHAnsi"/>
        </w:rPr>
        <w:t xml:space="preserve">majority </w:t>
      </w:r>
      <w:r w:rsidR="007A4A52" w:rsidRPr="00572FD0">
        <w:rPr>
          <w:rFonts w:cstheme="minorHAnsi"/>
        </w:rPr>
        <w:t>(92%)</w:t>
      </w:r>
      <w:r w:rsidR="00C57958" w:rsidRPr="00572FD0">
        <w:rPr>
          <w:rFonts w:cstheme="minorHAnsi"/>
        </w:rPr>
        <w:t xml:space="preserve"> suggest</w:t>
      </w:r>
      <w:r w:rsidR="009D2FCC" w:rsidRPr="00572FD0">
        <w:rPr>
          <w:rFonts w:cstheme="minorHAnsi"/>
        </w:rPr>
        <w:t>ing</w:t>
      </w:r>
      <w:r w:rsidR="00C57958" w:rsidRPr="00572FD0">
        <w:rPr>
          <w:rFonts w:cstheme="minorHAnsi"/>
        </w:rPr>
        <w:t xml:space="preserve"> &gt;12 years</w:t>
      </w:r>
      <w:r w:rsidR="00E10028" w:rsidRPr="00572FD0">
        <w:rPr>
          <w:rFonts w:cstheme="minorHAnsi"/>
        </w:rPr>
        <w:t xml:space="preserve">.  </w:t>
      </w:r>
    </w:p>
    <w:p w14:paraId="74F4C83F" w14:textId="5428BAAB" w:rsidR="00700E7F" w:rsidRPr="00572FD0" w:rsidRDefault="00D23B17" w:rsidP="00377287">
      <w:pPr>
        <w:tabs>
          <w:tab w:val="left" w:pos="1110"/>
        </w:tabs>
        <w:spacing w:after="0" w:line="360" w:lineRule="auto"/>
        <w:rPr>
          <w:rFonts w:cstheme="minorHAnsi"/>
          <w:i/>
          <w:iCs/>
        </w:rPr>
      </w:pPr>
      <w:r w:rsidRPr="00572FD0">
        <w:rPr>
          <w:rFonts w:cstheme="minorHAnsi"/>
          <w:i/>
          <w:iCs/>
        </w:rPr>
        <w:t>Very young children</w:t>
      </w:r>
    </w:p>
    <w:p w14:paraId="398E14CD" w14:textId="46469DE0" w:rsidR="00D23B17" w:rsidRPr="00572FD0" w:rsidRDefault="00561426" w:rsidP="005A65A0">
      <w:pPr>
        <w:tabs>
          <w:tab w:val="left" w:pos="1110"/>
        </w:tabs>
        <w:spacing w:line="360" w:lineRule="auto"/>
        <w:rPr>
          <w:rFonts w:cstheme="minorHAnsi"/>
          <w:i/>
          <w:iCs/>
        </w:rPr>
      </w:pPr>
      <w:r w:rsidRPr="00572FD0">
        <w:rPr>
          <w:rFonts w:cstheme="minorHAnsi"/>
        </w:rPr>
        <w:t xml:space="preserve">Consensus was </w:t>
      </w:r>
      <w:r w:rsidR="00542B6C" w:rsidRPr="00572FD0">
        <w:rPr>
          <w:rFonts w:cstheme="minorHAnsi"/>
        </w:rPr>
        <w:t xml:space="preserve">reached </w:t>
      </w:r>
      <w:r w:rsidRPr="00572FD0">
        <w:rPr>
          <w:rFonts w:cstheme="minorHAnsi"/>
        </w:rPr>
        <w:t xml:space="preserve">that </w:t>
      </w:r>
      <w:r w:rsidR="00D23B17" w:rsidRPr="00572FD0">
        <w:rPr>
          <w:rFonts w:cstheme="minorHAnsi"/>
        </w:rPr>
        <w:t xml:space="preserve">children </w:t>
      </w:r>
      <w:r w:rsidR="007169B2" w:rsidRPr="00572FD0">
        <w:rPr>
          <w:rFonts w:cstheme="minorHAnsi"/>
        </w:rPr>
        <w:t>younger than</w:t>
      </w:r>
      <w:r w:rsidR="00D23B17" w:rsidRPr="00572FD0">
        <w:rPr>
          <w:rFonts w:cstheme="minorHAnsi"/>
        </w:rPr>
        <w:t xml:space="preserve"> a </w:t>
      </w:r>
      <w:r w:rsidR="007169B2" w:rsidRPr="00572FD0">
        <w:rPr>
          <w:rFonts w:cstheme="minorHAnsi"/>
        </w:rPr>
        <w:t xml:space="preserve">given </w:t>
      </w:r>
      <w:r w:rsidR="001947C6" w:rsidRPr="00572FD0">
        <w:rPr>
          <w:rFonts w:cstheme="minorHAnsi"/>
        </w:rPr>
        <w:t>age</w:t>
      </w:r>
      <w:r w:rsidR="00D23B17" w:rsidRPr="00572FD0">
        <w:rPr>
          <w:rFonts w:cstheme="minorHAnsi"/>
        </w:rPr>
        <w:t xml:space="preserve"> threshold should</w:t>
      </w:r>
      <w:r w:rsidRPr="00572FD0">
        <w:rPr>
          <w:rFonts w:cstheme="minorHAnsi"/>
        </w:rPr>
        <w:t xml:space="preserve"> </w:t>
      </w:r>
      <w:r w:rsidR="007169B2" w:rsidRPr="00572FD0">
        <w:rPr>
          <w:rFonts w:cstheme="minorHAnsi"/>
        </w:rPr>
        <w:t xml:space="preserve">not </w:t>
      </w:r>
      <w:r w:rsidRPr="00572FD0">
        <w:rPr>
          <w:rFonts w:cstheme="minorHAnsi"/>
        </w:rPr>
        <w:t>automatically</w:t>
      </w:r>
      <w:r w:rsidR="00D23B17" w:rsidRPr="00572FD0">
        <w:rPr>
          <w:rFonts w:cstheme="minorHAnsi"/>
        </w:rPr>
        <w:t xml:space="preserve"> be assigned P1 status.</w:t>
      </w:r>
      <w:r w:rsidR="00234E99" w:rsidRPr="00572FD0">
        <w:rPr>
          <w:rFonts w:cstheme="minorHAnsi"/>
        </w:rPr>
        <w:t xml:space="preserve"> (R2, 70%)</w:t>
      </w:r>
    </w:p>
    <w:p w14:paraId="7031034D" w14:textId="14B5F612" w:rsidR="001947C6" w:rsidRPr="00572FD0" w:rsidRDefault="003C2AF2" w:rsidP="00377287">
      <w:pPr>
        <w:tabs>
          <w:tab w:val="left" w:pos="1110"/>
        </w:tabs>
        <w:spacing w:after="0" w:line="360" w:lineRule="auto"/>
        <w:rPr>
          <w:rFonts w:cstheme="minorHAnsi"/>
          <w:b/>
          <w:bCs/>
        </w:rPr>
      </w:pPr>
      <w:r w:rsidRPr="00572FD0">
        <w:rPr>
          <w:rFonts w:cstheme="minorHAnsi"/>
          <w:b/>
          <w:bCs/>
        </w:rPr>
        <w:t>Statements not reaching consensus agreement</w:t>
      </w:r>
    </w:p>
    <w:p w14:paraId="6F3731D7" w14:textId="38F2190C" w:rsidR="003A4D2B" w:rsidRPr="00572FD0" w:rsidRDefault="0045156F" w:rsidP="005A65A0">
      <w:pPr>
        <w:tabs>
          <w:tab w:val="left" w:pos="1110"/>
        </w:tabs>
        <w:spacing w:line="360" w:lineRule="auto"/>
        <w:rPr>
          <w:rFonts w:cstheme="minorHAnsi"/>
        </w:rPr>
      </w:pPr>
      <w:r w:rsidRPr="00572FD0">
        <w:rPr>
          <w:rFonts w:cstheme="minorHAnsi"/>
        </w:rPr>
        <w:t xml:space="preserve">For statements </w:t>
      </w:r>
      <w:r w:rsidR="005028ED">
        <w:rPr>
          <w:rFonts w:cstheme="minorHAnsi"/>
        </w:rPr>
        <w:t>where</w:t>
      </w:r>
      <w:r w:rsidR="00484E6A" w:rsidRPr="00572FD0">
        <w:rPr>
          <w:rFonts w:cstheme="minorHAnsi"/>
        </w:rPr>
        <w:t xml:space="preserve"> consensus was not reached </w:t>
      </w:r>
      <w:r w:rsidR="00AA6B1B" w:rsidRPr="00572FD0">
        <w:rPr>
          <w:rFonts w:cstheme="minorHAnsi"/>
        </w:rPr>
        <w:t>(Table 3),</w:t>
      </w:r>
      <w:r w:rsidR="00484E6A" w:rsidRPr="00572FD0">
        <w:rPr>
          <w:rFonts w:cstheme="minorHAnsi"/>
        </w:rPr>
        <w:t xml:space="preserve"> </w:t>
      </w:r>
      <w:r w:rsidR="00432B06" w:rsidRPr="00572FD0">
        <w:rPr>
          <w:rFonts w:cstheme="minorHAnsi"/>
        </w:rPr>
        <w:t xml:space="preserve">predominantly positive, </w:t>
      </w:r>
      <w:r w:rsidR="00EB752F" w:rsidRPr="00572FD0">
        <w:rPr>
          <w:rFonts w:cstheme="minorHAnsi"/>
        </w:rPr>
        <w:t>negative,</w:t>
      </w:r>
      <w:r w:rsidR="00432B06" w:rsidRPr="00572FD0">
        <w:rPr>
          <w:rFonts w:cstheme="minorHAnsi"/>
        </w:rPr>
        <w:t xml:space="preserve"> or neutral responses are shown in bold. </w:t>
      </w:r>
      <w:r w:rsidR="00542B6C" w:rsidRPr="00572FD0">
        <w:rPr>
          <w:rFonts w:cstheme="minorHAnsi"/>
        </w:rPr>
        <w:t>R</w:t>
      </w:r>
      <w:r w:rsidR="00041911" w:rsidRPr="00572FD0">
        <w:rPr>
          <w:rFonts w:cstheme="minorHAnsi"/>
        </w:rPr>
        <w:t xml:space="preserve">esponses were reviewed </w:t>
      </w:r>
      <w:r w:rsidR="00542B6C" w:rsidRPr="00572FD0">
        <w:rPr>
          <w:rFonts w:cstheme="minorHAnsi"/>
        </w:rPr>
        <w:t xml:space="preserve">in line with the clinical background of respondents to determine whether there were any marked differences between professional groups. </w:t>
      </w:r>
      <w:proofErr w:type="gramStart"/>
      <w:r w:rsidR="00E04C8C">
        <w:rPr>
          <w:rFonts w:cstheme="minorHAnsi"/>
        </w:rPr>
        <w:t>With</w:t>
      </w:r>
      <w:r w:rsidR="009B1E59" w:rsidRPr="00572FD0">
        <w:rPr>
          <w:rFonts w:cstheme="minorHAnsi"/>
        </w:rPr>
        <w:t xml:space="preserve"> regard to</w:t>
      </w:r>
      <w:proofErr w:type="gramEnd"/>
      <w:r w:rsidR="00542B6C" w:rsidRPr="00572FD0">
        <w:rPr>
          <w:rFonts w:cstheme="minorHAnsi"/>
        </w:rPr>
        <w:t xml:space="preserve"> rescue breaths in blunt trauma, consultants were more likely to agree that they had a role in MIT (62%), whilst p</w:t>
      </w:r>
      <w:r w:rsidR="00561426" w:rsidRPr="00572FD0">
        <w:rPr>
          <w:rFonts w:cstheme="minorHAnsi"/>
        </w:rPr>
        <w:t>aramedics</w:t>
      </w:r>
      <w:r w:rsidR="00EB752F" w:rsidRPr="00572FD0">
        <w:rPr>
          <w:rFonts w:cstheme="minorHAnsi"/>
        </w:rPr>
        <w:t xml:space="preserve"> were more likely to disagree (52%)</w:t>
      </w:r>
      <w:r w:rsidR="00542B6C" w:rsidRPr="00572FD0">
        <w:rPr>
          <w:rFonts w:cstheme="minorHAnsi"/>
        </w:rPr>
        <w:t>.</w:t>
      </w:r>
      <w:r w:rsidR="00965C53" w:rsidRPr="00572FD0">
        <w:rPr>
          <w:rFonts w:cstheme="minorHAnsi"/>
        </w:rPr>
        <w:t xml:space="preserve"> </w:t>
      </w:r>
      <w:r w:rsidR="001A79D8" w:rsidRPr="00572FD0">
        <w:rPr>
          <w:rFonts w:cstheme="minorHAnsi"/>
        </w:rPr>
        <w:t xml:space="preserve">Incongruity was less marked </w:t>
      </w:r>
      <w:r w:rsidR="00965C53" w:rsidRPr="00572FD0">
        <w:rPr>
          <w:rFonts w:cstheme="minorHAnsi"/>
        </w:rPr>
        <w:t xml:space="preserve">between speciality groups </w:t>
      </w:r>
      <w:r w:rsidR="001A79D8" w:rsidRPr="00572FD0">
        <w:rPr>
          <w:rFonts w:cstheme="minorHAnsi"/>
        </w:rPr>
        <w:t xml:space="preserve">and </w:t>
      </w:r>
      <w:r w:rsidR="00965C53" w:rsidRPr="00572FD0">
        <w:rPr>
          <w:rFonts w:cstheme="minorHAnsi"/>
        </w:rPr>
        <w:t>grades for other statements not reaching consensus (Supplementary Table 1)</w:t>
      </w:r>
      <w:r w:rsidR="0076285B" w:rsidRPr="00572FD0">
        <w:rPr>
          <w:rFonts w:cstheme="minorHAnsi"/>
        </w:rPr>
        <w:t>.</w:t>
      </w:r>
    </w:p>
    <w:p w14:paraId="67574925" w14:textId="77777777" w:rsidR="00087069" w:rsidRPr="00572FD0" w:rsidRDefault="00087069" w:rsidP="00087069">
      <w:pPr>
        <w:tabs>
          <w:tab w:val="left" w:pos="1110"/>
        </w:tabs>
        <w:rPr>
          <w:rFonts w:cstheme="minorHAnsi"/>
          <w:b/>
        </w:rPr>
      </w:pPr>
      <w:r w:rsidRPr="00572FD0">
        <w:rPr>
          <w:rFonts w:cstheme="minorHAnsi"/>
          <w:b/>
        </w:rPr>
        <w:t>Table 3 – Percentages of consensus and median (IQR) score for statements that did not reach consensus (Round 2 scores)</w:t>
      </w:r>
    </w:p>
    <w:p w14:paraId="578EAFDB" w14:textId="77777777" w:rsidR="00722F9A" w:rsidRPr="00572FD0" w:rsidRDefault="00722F9A" w:rsidP="00644311">
      <w:pPr>
        <w:tabs>
          <w:tab w:val="left" w:pos="1110"/>
        </w:tabs>
        <w:spacing w:after="0" w:line="360" w:lineRule="auto"/>
        <w:rPr>
          <w:rFonts w:cstheme="minorHAnsi"/>
          <w:b/>
        </w:rPr>
      </w:pPr>
    </w:p>
    <w:p w14:paraId="5F2974EC" w14:textId="77777777" w:rsidR="00C91643" w:rsidRDefault="00C91643" w:rsidP="00644311">
      <w:pPr>
        <w:tabs>
          <w:tab w:val="left" w:pos="1110"/>
        </w:tabs>
        <w:spacing w:after="0" w:line="360" w:lineRule="auto"/>
        <w:rPr>
          <w:rFonts w:cstheme="minorHAnsi"/>
          <w:b/>
        </w:rPr>
      </w:pPr>
    </w:p>
    <w:p w14:paraId="226FE882" w14:textId="77777777" w:rsidR="00C91643" w:rsidRDefault="00C91643" w:rsidP="00644311">
      <w:pPr>
        <w:tabs>
          <w:tab w:val="left" w:pos="1110"/>
        </w:tabs>
        <w:spacing w:after="0" w:line="360" w:lineRule="auto"/>
        <w:rPr>
          <w:rFonts w:cstheme="minorHAnsi"/>
          <w:b/>
        </w:rPr>
      </w:pPr>
    </w:p>
    <w:p w14:paraId="25AFCF3C" w14:textId="77777777" w:rsidR="00C91643" w:rsidRDefault="00C91643" w:rsidP="00644311">
      <w:pPr>
        <w:tabs>
          <w:tab w:val="left" w:pos="1110"/>
        </w:tabs>
        <w:spacing w:after="0" w:line="360" w:lineRule="auto"/>
        <w:rPr>
          <w:rFonts w:cstheme="minorHAnsi"/>
          <w:b/>
        </w:rPr>
      </w:pPr>
    </w:p>
    <w:p w14:paraId="7D9EB35F" w14:textId="77777777" w:rsidR="00C91643" w:rsidRDefault="00C91643" w:rsidP="00644311">
      <w:pPr>
        <w:tabs>
          <w:tab w:val="left" w:pos="1110"/>
        </w:tabs>
        <w:spacing w:after="0" w:line="360" w:lineRule="auto"/>
        <w:rPr>
          <w:rFonts w:cstheme="minorHAnsi"/>
          <w:b/>
        </w:rPr>
      </w:pPr>
    </w:p>
    <w:p w14:paraId="08C7BABA" w14:textId="77777777" w:rsidR="00C91643" w:rsidRDefault="00C91643" w:rsidP="00644311">
      <w:pPr>
        <w:tabs>
          <w:tab w:val="left" w:pos="1110"/>
        </w:tabs>
        <w:spacing w:after="0" w:line="360" w:lineRule="auto"/>
        <w:rPr>
          <w:rFonts w:cstheme="minorHAnsi"/>
          <w:b/>
        </w:rPr>
      </w:pPr>
    </w:p>
    <w:p w14:paraId="6C940368" w14:textId="77777777" w:rsidR="00C91643" w:rsidRDefault="00C91643" w:rsidP="00644311">
      <w:pPr>
        <w:tabs>
          <w:tab w:val="left" w:pos="1110"/>
        </w:tabs>
        <w:spacing w:after="0" w:line="360" w:lineRule="auto"/>
        <w:rPr>
          <w:rFonts w:cstheme="minorHAnsi"/>
          <w:b/>
        </w:rPr>
      </w:pPr>
    </w:p>
    <w:p w14:paraId="793D5A4E" w14:textId="77777777" w:rsidR="00C91643" w:rsidRDefault="00C91643" w:rsidP="00644311">
      <w:pPr>
        <w:tabs>
          <w:tab w:val="left" w:pos="1110"/>
        </w:tabs>
        <w:spacing w:after="0" w:line="360" w:lineRule="auto"/>
        <w:rPr>
          <w:rFonts w:cstheme="minorHAnsi"/>
          <w:b/>
        </w:rPr>
      </w:pPr>
    </w:p>
    <w:p w14:paraId="5AE909C3" w14:textId="77777777" w:rsidR="00C91643" w:rsidRDefault="00C91643" w:rsidP="00644311">
      <w:pPr>
        <w:tabs>
          <w:tab w:val="left" w:pos="1110"/>
        </w:tabs>
        <w:spacing w:after="0" w:line="360" w:lineRule="auto"/>
        <w:rPr>
          <w:rFonts w:cstheme="minorHAnsi"/>
          <w:b/>
        </w:rPr>
      </w:pPr>
    </w:p>
    <w:p w14:paraId="56F5BC7F" w14:textId="77777777" w:rsidR="00C91643" w:rsidRDefault="00C91643" w:rsidP="00644311">
      <w:pPr>
        <w:tabs>
          <w:tab w:val="left" w:pos="1110"/>
        </w:tabs>
        <w:spacing w:after="0" w:line="360" w:lineRule="auto"/>
        <w:rPr>
          <w:rFonts w:cstheme="minorHAnsi"/>
          <w:b/>
        </w:rPr>
      </w:pPr>
    </w:p>
    <w:p w14:paraId="547A5012" w14:textId="77777777" w:rsidR="00C91643" w:rsidRDefault="00C91643" w:rsidP="00644311">
      <w:pPr>
        <w:tabs>
          <w:tab w:val="left" w:pos="1110"/>
        </w:tabs>
        <w:spacing w:after="0" w:line="360" w:lineRule="auto"/>
        <w:rPr>
          <w:rFonts w:cstheme="minorHAnsi"/>
          <w:b/>
        </w:rPr>
      </w:pPr>
    </w:p>
    <w:p w14:paraId="5A56B591" w14:textId="77777777" w:rsidR="00C91643" w:rsidRDefault="00C91643" w:rsidP="00644311">
      <w:pPr>
        <w:tabs>
          <w:tab w:val="left" w:pos="1110"/>
        </w:tabs>
        <w:spacing w:after="0" w:line="360" w:lineRule="auto"/>
        <w:rPr>
          <w:rFonts w:cstheme="minorHAnsi"/>
          <w:b/>
        </w:rPr>
      </w:pPr>
    </w:p>
    <w:p w14:paraId="62FC8022" w14:textId="77777777" w:rsidR="00C91643" w:rsidRDefault="00C91643" w:rsidP="00644311">
      <w:pPr>
        <w:tabs>
          <w:tab w:val="left" w:pos="1110"/>
        </w:tabs>
        <w:spacing w:after="0" w:line="360" w:lineRule="auto"/>
        <w:rPr>
          <w:rFonts w:cstheme="minorHAnsi"/>
          <w:b/>
        </w:rPr>
      </w:pPr>
    </w:p>
    <w:p w14:paraId="4E2DEF82" w14:textId="77777777" w:rsidR="00C91643" w:rsidRDefault="00C91643" w:rsidP="00644311">
      <w:pPr>
        <w:tabs>
          <w:tab w:val="left" w:pos="1110"/>
        </w:tabs>
        <w:spacing w:after="0" w:line="360" w:lineRule="auto"/>
        <w:rPr>
          <w:rFonts w:cstheme="minorHAnsi"/>
          <w:b/>
        </w:rPr>
      </w:pPr>
    </w:p>
    <w:p w14:paraId="0A67B304" w14:textId="09ABDDF3" w:rsidR="0028745E" w:rsidRPr="00572FD0" w:rsidRDefault="00337568" w:rsidP="00644311">
      <w:pPr>
        <w:tabs>
          <w:tab w:val="left" w:pos="1110"/>
        </w:tabs>
        <w:spacing w:after="0" w:line="360" w:lineRule="auto"/>
        <w:rPr>
          <w:rFonts w:cstheme="minorHAnsi"/>
          <w:b/>
        </w:rPr>
      </w:pPr>
      <w:r w:rsidRPr="00572FD0">
        <w:rPr>
          <w:rFonts w:cstheme="minorHAnsi"/>
          <w:b/>
        </w:rPr>
        <w:lastRenderedPageBreak/>
        <w:t>DISCUSSION</w:t>
      </w:r>
    </w:p>
    <w:p w14:paraId="4B6BA42B" w14:textId="71FC2C4C" w:rsidR="00704968" w:rsidRPr="00572FD0" w:rsidRDefault="00432CC8">
      <w:pPr>
        <w:tabs>
          <w:tab w:val="left" w:pos="1110"/>
        </w:tabs>
        <w:spacing w:line="360" w:lineRule="auto"/>
        <w:rPr>
          <w:rFonts w:cstheme="minorHAnsi"/>
        </w:rPr>
      </w:pPr>
      <w:r w:rsidRPr="00432CC8">
        <w:rPr>
          <w:rFonts w:cstheme="minorHAnsi"/>
        </w:rPr>
        <w:t xml:space="preserve">There is a relative paucity of evidence surrounding paediatric </w:t>
      </w:r>
      <w:r>
        <w:rPr>
          <w:rFonts w:cstheme="minorHAnsi"/>
        </w:rPr>
        <w:t>major incident triage (</w:t>
      </w:r>
      <w:r w:rsidRPr="00432CC8">
        <w:rPr>
          <w:rFonts w:cstheme="minorHAnsi"/>
        </w:rPr>
        <w:t>MIT</w:t>
      </w:r>
      <w:r>
        <w:rPr>
          <w:rFonts w:cstheme="minorHAnsi"/>
        </w:rPr>
        <w:t>)</w:t>
      </w:r>
      <w:r w:rsidRPr="00432CC8">
        <w:rPr>
          <w:rFonts w:cstheme="minorHAnsi"/>
        </w:rPr>
        <w:t xml:space="preserve">, with studies providing an analysis of triage tool performance, rather than questioning the methods </w:t>
      </w:r>
      <w:r w:rsidR="006B4689">
        <w:rPr>
          <w:rFonts w:cstheme="minorHAnsi"/>
        </w:rPr>
        <w:t>of delivery</w:t>
      </w:r>
      <w:r w:rsidRPr="00432CC8">
        <w:rPr>
          <w:rFonts w:cstheme="minorHAnsi"/>
        </w:rPr>
        <w:t>. A strength of this study is to go beyond looking</w:t>
      </w:r>
      <w:r w:rsidR="001025FB">
        <w:rPr>
          <w:rFonts w:cstheme="minorHAnsi"/>
        </w:rPr>
        <w:t xml:space="preserve"> at</w:t>
      </w:r>
      <w:r w:rsidRPr="00432CC8">
        <w:rPr>
          <w:rFonts w:cstheme="minorHAnsi"/>
        </w:rPr>
        <w:t xml:space="preserve"> simp</w:t>
      </w:r>
      <w:r w:rsidR="006B4689">
        <w:rPr>
          <w:rFonts w:cstheme="minorHAnsi"/>
        </w:rPr>
        <w:t xml:space="preserve">le quantitative measures of </w:t>
      </w:r>
      <w:r w:rsidRPr="00432CC8">
        <w:rPr>
          <w:rFonts w:cstheme="minorHAnsi"/>
        </w:rPr>
        <w:t>triage tool performance</w:t>
      </w:r>
      <w:r w:rsidR="006B4689">
        <w:rPr>
          <w:rFonts w:cstheme="minorHAnsi"/>
        </w:rPr>
        <w:t xml:space="preserve"> accuracy</w:t>
      </w:r>
      <w:r w:rsidRPr="00432CC8">
        <w:rPr>
          <w:rFonts w:cstheme="minorHAnsi"/>
        </w:rPr>
        <w:t>,</w:t>
      </w:r>
      <w:r w:rsidR="001025FB">
        <w:rPr>
          <w:rFonts w:cstheme="minorHAnsi"/>
        </w:rPr>
        <w:t xml:space="preserve"> and </w:t>
      </w:r>
      <w:r w:rsidR="0017129E">
        <w:rPr>
          <w:rFonts w:cstheme="minorHAnsi"/>
        </w:rPr>
        <w:t xml:space="preserve">to look </w:t>
      </w:r>
      <w:r w:rsidRPr="00432CC8">
        <w:rPr>
          <w:rFonts w:cstheme="minorHAnsi"/>
        </w:rPr>
        <w:t xml:space="preserve">to derive consensus in </w:t>
      </w:r>
      <w:r w:rsidR="006B4689">
        <w:rPr>
          <w:rFonts w:cstheme="minorHAnsi"/>
        </w:rPr>
        <w:t>how we</w:t>
      </w:r>
      <w:r w:rsidR="001025FB">
        <w:rPr>
          <w:rFonts w:cstheme="minorHAnsi"/>
        </w:rPr>
        <w:t xml:space="preserve"> may</w:t>
      </w:r>
      <w:r w:rsidR="006B4689">
        <w:rPr>
          <w:rFonts w:cstheme="minorHAnsi"/>
        </w:rPr>
        <w:t xml:space="preserve"> operationalise these paediatric MIT tool</w:t>
      </w:r>
      <w:r w:rsidR="001025FB">
        <w:rPr>
          <w:rFonts w:cstheme="minorHAnsi"/>
        </w:rPr>
        <w:t>s</w:t>
      </w:r>
      <w:r w:rsidR="006B4689">
        <w:rPr>
          <w:rFonts w:cstheme="minorHAnsi"/>
        </w:rPr>
        <w:t>.</w:t>
      </w:r>
      <w:r w:rsidRPr="00432CC8">
        <w:rPr>
          <w:rFonts w:cstheme="minorHAnsi"/>
        </w:rPr>
        <w:t xml:space="preserve"> </w:t>
      </w:r>
      <w:r w:rsidR="00561426" w:rsidRPr="00572FD0">
        <w:rPr>
          <w:rFonts w:cstheme="minorHAnsi"/>
        </w:rPr>
        <w:t xml:space="preserve">In this modified Delphi </w:t>
      </w:r>
      <w:r w:rsidR="00A11FCF" w:rsidRPr="00572FD0">
        <w:rPr>
          <w:rFonts w:cstheme="minorHAnsi"/>
        </w:rPr>
        <w:t>study,</w:t>
      </w:r>
      <w:r w:rsidR="00561426" w:rsidRPr="00572FD0">
        <w:rPr>
          <w:rFonts w:cstheme="minorHAnsi"/>
        </w:rPr>
        <w:t xml:space="preserve"> w</w:t>
      </w:r>
      <w:r w:rsidR="00DF5321" w:rsidRPr="00572FD0">
        <w:rPr>
          <w:rFonts w:cstheme="minorHAnsi"/>
        </w:rPr>
        <w:t xml:space="preserve">e have achieved consensus on </w:t>
      </w:r>
      <w:r w:rsidR="00685C10" w:rsidRPr="00572FD0">
        <w:rPr>
          <w:rFonts w:cstheme="minorHAnsi"/>
        </w:rPr>
        <w:t>thirteen</w:t>
      </w:r>
      <w:r w:rsidR="00367365" w:rsidRPr="00572FD0">
        <w:rPr>
          <w:rFonts w:cstheme="minorHAnsi"/>
        </w:rPr>
        <w:t xml:space="preserve"> </w:t>
      </w:r>
      <w:r w:rsidR="00DF5321" w:rsidRPr="00572FD0">
        <w:rPr>
          <w:rFonts w:cstheme="minorHAnsi"/>
        </w:rPr>
        <w:t xml:space="preserve">statements regarding paediatric </w:t>
      </w:r>
      <w:r>
        <w:rPr>
          <w:rFonts w:cstheme="minorHAnsi"/>
        </w:rPr>
        <w:t>MIT</w:t>
      </w:r>
      <w:r w:rsidR="00685C10" w:rsidRPr="00572FD0">
        <w:rPr>
          <w:rFonts w:cstheme="minorHAnsi"/>
        </w:rPr>
        <w:t xml:space="preserve">, from a range of </w:t>
      </w:r>
      <w:r w:rsidR="00E04C8C">
        <w:rPr>
          <w:rFonts w:cstheme="minorHAnsi"/>
        </w:rPr>
        <w:t xml:space="preserve">expert </w:t>
      </w:r>
      <w:r w:rsidR="00685C10" w:rsidRPr="00572FD0">
        <w:rPr>
          <w:rFonts w:cstheme="minorHAnsi"/>
        </w:rPr>
        <w:t xml:space="preserve">healthcare </w:t>
      </w:r>
      <w:r w:rsidR="000C4672" w:rsidRPr="00572FD0">
        <w:rPr>
          <w:rFonts w:cstheme="minorHAnsi"/>
        </w:rPr>
        <w:t>pro</w:t>
      </w:r>
      <w:r w:rsidR="007169B2" w:rsidRPr="00572FD0">
        <w:rPr>
          <w:rFonts w:cstheme="minorHAnsi"/>
        </w:rPr>
        <w:t>fession</w:t>
      </w:r>
      <w:r w:rsidR="00685C10" w:rsidRPr="00572FD0">
        <w:rPr>
          <w:rFonts w:cstheme="minorHAnsi"/>
        </w:rPr>
        <w:t>al</w:t>
      </w:r>
      <w:r w:rsidR="007169B2" w:rsidRPr="00572FD0">
        <w:rPr>
          <w:rFonts w:cstheme="minorHAnsi"/>
        </w:rPr>
        <w:t>s</w:t>
      </w:r>
      <w:r w:rsidR="000C4672" w:rsidRPr="00572FD0">
        <w:rPr>
          <w:rFonts w:cstheme="minorHAnsi"/>
        </w:rPr>
        <w:t xml:space="preserve"> likely to </w:t>
      </w:r>
      <w:r w:rsidR="00E04C8C">
        <w:rPr>
          <w:rFonts w:cstheme="minorHAnsi"/>
        </w:rPr>
        <w:t xml:space="preserve">be responsible for decision making in </w:t>
      </w:r>
      <w:r w:rsidR="000C4672" w:rsidRPr="00572FD0">
        <w:rPr>
          <w:rFonts w:cstheme="minorHAnsi"/>
        </w:rPr>
        <w:t xml:space="preserve">a paediatric </w:t>
      </w:r>
      <w:r w:rsidR="4169C356" w:rsidRPr="00572FD0">
        <w:rPr>
          <w:rFonts w:cstheme="minorHAnsi"/>
        </w:rPr>
        <w:t>major incident</w:t>
      </w:r>
      <w:r w:rsidR="00E04C8C">
        <w:rPr>
          <w:rFonts w:cstheme="minorHAnsi"/>
        </w:rPr>
        <w:t xml:space="preserve"> in either the hospital or pre-hospital environment</w:t>
      </w:r>
      <w:r w:rsidR="000C4672" w:rsidRPr="00572FD0">
        <w:rPr>
          <w:rFonts w:cstheme="minorHAnsi"/>
        </w:rPr>
        <w:t>.</w:t>
      </w:r>
      <w:r w:rsidR="00016281" w:rsidRPr="00572FD0">
        <w:rPr>
          <w:rFonts w:cstheme="minorHAnsi"/>
        </w:rPr>
        <w:t xml:space="preserve"> </w:t>
      </w:r>
      <w:r w:rsidR="00E76B2E" w:rsidRPr="00572FD0">
        <w:rPr>
          <w:rFonts w:cstheme="minorHAnsi"/>
        </w:rPr>
        <w:t xml:space="preserve">Agreement was reached that rescue breaths should </w:t>
      </w:r>
      <w:r w:rsidR="00367365" w:rsidRPr="00572FD0">
        <w:rPr>
          <w:rFonts w:cstheme="minorHAnsi"/>
        </w:rPr>
        <w:t>be</w:t>
      </w:r>
      <w:r w:rsidR="00561426" w:rsidRPr="00572FD0">
        <w:rPr>
          <w:rFonts w:cstheme="minorHAnsi"/>
        </w:rPr>
        <w:t xml:space="preserve"> included when the mechanism</w:t>
      </w:r>
      <w:r w:rsidR="00685C10" w:rsidRPr="00572FD0">
        <w:rPr>
          <w:rFonts w:cstheme="minorHAnsi"/>
        </w:rPr>
        <w:t xml:space="preserve"> related to </w:t>
      </w:r>
      <w:r w:rsidR="00CE211C" w:rsidRPr="00572FD0">
        <w:rPr>
          <w:rFonts w:cstheme="minorHAnsi"/>
        </w:rPr>
        <w:t>hypoxic or asphyxiating</w:t>
      </w:r>
      <w:r w:rsidR="00685C10" w:rsidRPr="00572FD0">
        <w:rPr>
          <w:rFonts w:cstheme="minorHAnsi"/>
        </w:rPr>
        <w:t xml:space="preserve"> injury</w:t>
      </w:r>
      <w:r w:rsidR="00CE211C" w:rsidRPr="00572FD0">
        <w:rPr>
          <w:rFonts w:cstheme="minorHAnsi"/>
        </w:rPr>
        <w:t xml:space="preserve">, and that adult physiology </w:t>
      </w:r>
      <w:r w:rsidR="005F60A5" w:rsidRPr="00572FD0">
        <w:rPr>
          <w:rFonts w:cstheme="minorHAnsi"/>
        </w:rPr>
        <w:t xml:space="preserve">thresholds </w:t>
      </w:r>
      <w:r w:rsidR="00CE211C" w:rsidRPr="00572FD0">
        <w:rPr>
          <w:rFonts w:cstheme="minorHAnsi"/>
        </w:rPr>
        <w:t>should be used for older children</w:t>
      </w:r>
      <w:r w:rsidR="004C758C" w:rsidRPr="00572FD0">
        <w:rPr>
          <w:rFonts w:cstheme="minorHAnsi"/>
        </w:rPr>
        <w:t xml:space="preserve">. </w:t>
      </w:r>
      <w:r w:rsidR="00704968" w:rsidRPr="00572FD0">
        <w:rPr>
          <w:rFonts w:cstheme="minorHAnsi"/>
        </w:rPr>
        <w:t>A</w:t>
      </w:r>
      <w:r w:rsidR="004C758C" w:rsidRPr="00572FD0">
        <w:rPr>
          <w:rFonts w:cstheme="minorHAnsi"/>
        </w:rPr>
        <w:t xml:space="preserve">n assessment of mobility </w:t>
      </w:r>
      <w:r w:rsidR="00704968" w:rsidRPr="00572FD0">
        <w:rPr>
          <w:rFonts w:cstheme="minorHAnsi"/>
        </w:rPr>
        <w:t xml:space="preserve">as a discriminator for serious injury </w:t>
      </w:r>
      <w:r w:rsidR="004C758C" w:rsidRPr="00572FD0">
        <w:rPr>
          <w:rFonts w:cstheme="minorHAnsi"/>
        </w:rPr>
        <w:t>should be used in children</w:t>
      </w:r>
      <w:r w:rsidR="00704968" w:rsidRPr="00572FD0">
        <w:rPr>
          <w:rFonts w:cstheme="minorHAnsi"/>
        </w:rPr>
        <w:t xml:space="preserve"> who are</w:t>
      </w:r>
      <w:r w:rsidR="004C758C" w:rsidRPr="00572FD0">
        <w:rPr>
          <w:rFonts w:cstheme="minorHAnsi"/>
        </w:rPr>
        <w:t xml:space="preserve"> normally mobile</w:t>
      </w:r>
      <w:r w:rsidR="00685C10" w:rsidRPr="00572FD0">
        <w:rPr>
          <w:rFonts w:cstheme="minorHAnsi"/>
        </w:rPr>
        <w:t>,</w:t>
      </w:r>
      <w:r w:rsidR="00824700" w:rsidRPr="00572FD0">
        <w:rPr>
          <w:rFonts w:cstheme="minorHAnsi"/>
        </w:rPr>
        <w:t xml:space="preserve"> and </w:t>
      </w:r>
      <w:r w:rsidR="00561426" w:rsidRPr="00572FD0">
        <w:rPr>
          <w:rFonts w:cstheme="minorHAnsi"/>
        </w:rPr>
        <w:t xml:space="preserve">for </w:t>
      </w:r>
      <w:r w:rsidR="00824700" w:rsidRPr="00572FD0">
        <w:rPr>
          <w:rFonts w:cstheme="minorHAnsi"/>
        </w:rPr>
        <w:t>younger</w:t>
      </w:r>
      <w:r w:rsidR="00561426" w:rsidRPr="00572FD0">
        <w:rPr>
          <w:rFonts w:cstheme="minorHAnsi"/>
        </w:rPr>
        <w:t xml:space="preserve"> non-mobile</w:t>
      </w:r>
      <w:r w:rsidR="00824700" w:rsidRPr="00572FD0">
        <w:rPr>
          <w:rFonts w:cstheme="minorHAnsi"/>
        </w:rPr>
        <w:t xml:space="preserve"> patients, being alert and moving limbs </w:t>
      </w:r>
      <w:r w:rsidR="00561426" w:rsidRPr="00572FD0">
        <w:rPr>
          <w:rFonts w:cstheme="minorHAnsi"/>
        </w:rPr>
        <w:t>wa</w:t>
      </w:r>
      <w:r w:rsidR="00824700" w:rsidRPr="00572FD0">
        <w:rPr>
          <w:rFonts w:cstheme="minorHAnsi"/>
        </w:rPr>
        <w:t>s felt to be</w:t>
      </w:r>
      <w:r w:rsidR="00561426" w:rsidRPr="00572FD0">
        <w:rPr>
          <w:rFonts w:cstheme="minorHAnsi"/>
        </w:rPr>
        <w:t xml:space="preserve"> an appropriate surrogate</w:t>
      </w:r>
      <w:r w:rsidR="00824700" w:rsidRPr="00572FD0">
        <w:rPr>
          <w:rFonts w:cstheme="minorHAnsi"/>
        </w:rPr>
        <w:t xml:space="preserve">. </w:t>
      </w:r>
    </w:p>
    <w:p w14:paraId="1B8A4E05" w14:textId="7BC36A52" w:rsidR="00561426" w:rsidRPr="00572FD0" w:rsidRDefault="00704968">
      <w:pPr>
        <w:tabs>
          <w:tab w:val="left" w:pos="1110"/>
        </w:tabs>
        <w:spacing w:line="360" w:lineRule="auto"/>
        <w:rPr>
          <w:rFonts w:cstheme="minorHAnsi"/>
        </w:rPr>
      </w:pPr>
      <w:r w:rsidRPr="00572FD0">
        <w:rPr>
          <w:rFonts w:cstheme="minorHAnsi"/>
        </w:rPr>
        <w:t>Whilst</w:t>
      </w:r>
      <w:r w:rsidR="00561426" w:rsidRPr="00572FD0">
        <w:rPr>
          <w:rFonts w:cstheme="minorHAnsi"/>
        </w:rPr>
        <w:t xml:space="preserve"> </w:t>
      </w:r>
      <w:r w:rsidR="007169B2" w:rsidRPr="00572FD0">
        <w:rPr>
          <w:rFonts w:cstheme="minorHAnsi"/>
        </w:rPr>
        <w:t xml:space="preserve">positive </w:t>
      </w:r>
      <w:r w:rsidR="00561426" w:rsidRPr="00572FD0">
        <w:rPr>
          <w:rFonts w:cstheme="minorHAnsi"/>
        </w:rPr>
        <w:t xml:space="preserve">consensus was reached supporting use of a single </w:t>
      </w:r>
      <w:r w:rsidR="0073586E" w:rsidRPr="00572FD0">
        <w:rPr>
          <w:rFonts w:cstheme="minorHAnsi"/>
        </w:rPr>
        <w:t>MIT</w:t>
      </w:r>
      <w:r w:rsidR="0082209D" w:rsidRPr="00572FD0">
        <w:rPr>
          <w:rFonts w:cstheme="minorHAnsi"/>
        </w:rPr>
        <w:t xml:space="preserve"> tool</w:t>
      </w:r>
      <w:r w:rsidR="00561426" w:rsidRPr="00572FD0">
        <w:rPr>
          <w:rFonts w:cstheme="minorHAnsi"/>
        </w:rPr>
        <w:t xml:space="preserve"> from </w:t>
      </w:r>
      <w:r w:rsidR="007169B2" w:rsidRPr="00572FD0">
        <w:rPr>
          <w:rFonts w:cstheme="minorHAnsi"/>
        </w:rPr>
        <w:t xml:space="preserve">the perspective of </w:t>
      </w:r>
      <w:r w:rsidR="00561426" w:rsidRPr="00572FD0">
        <w:rPr>
          <w:rFonts w:cstheme="minorHAnsi"/>
        </w:rPr>
        <w:t xml:space="preserve">training and systems delivery, </w:t>
      </w:r>
      <w:r w:rsidR="00CE211C" w:rsidRPr="00572FD0">
        <w:rPr>
          <w:rFonts w:cstheme="minorHAnsi"/>
        </w:rPr>
        <w:t>we</w:t>
      </w:r>
      <w:r w:rsidR="0073586E" w:rsidRPr="00572FD0">
        <w:rPr>
          <w:rFonts w:cstheme="minorHAnsi"/>
        </w:rPr>
        <w:t xml:space="preserve"> derived </w:t>
      </w:r>
      <w:r w:rsidR="007169B2" w:rsidRPr="00572FD0">
        <w:rPr>
          <w:rFonts w:cstheme="minorHAnsi"/>
        </w:rPr>
        <w:t xml:space="preserve">negative </w:t>
      </w:r>
      <w:r w:rsidR="00561426" w:rsidRPr="00572FD0">
        <w:rPr>
          <w:rFonts w:cstheme="minorHAnsi"/>
        </w:rPr>
        <w:t xml:space="preserve">consensus </w:t>
      </w:r>
      <w:r w:rsidR="007169B2" w:rsidRPr="00572FD0">
        <w:rPr>
          <w:rFonts w:cstheme="minorHAnsi"/>
        </w:rPr>
        <w:t xml:space="preserve">regarding </w:t>
      </w:r>
      <w:r w:rsidR="00CE211C" w:rsidRPr="00572FD0">
        <w:rPr>
          <w:rFonts w:cstheme="minorHAnsi"/>
        </w:rPr>
        <w:t>c</w:t>
      </w:r>
      <w:r w:rsidR="007169B2" w:rsidRPr="00572FD0">
        <w:rPr>
          <w:rFonts w:cstheme="minorHAnsi"/>
        </w:rPr>
        <w:t xml:space="preserve">linical implementation of </w:t>
      </w:r>
      <w:r w:rsidR="00561426" w:rsidRPr="00572FD0">
        <w:rPr>
          <w:rFonts w:cstheme="minorHAnsi"/>
        </w:rPr>
        <w:t>a single</w:t>
      </w:r>
      <w:r w:rsidR="0082209D" w:rsidRPr="00572FD0">
        <w:rPr>
          <w:rFonts w:cstheme="minorHAnsi"/>
        </w:rPr>
        <w:t xml:space="preserve"> too</w:t>
      </w:r>
      <w:r w:rsidR="00C25E87" w:rsidRPr="00572FD0">
        <w:rPr>
          <w:rFonts w:cstheme="minorHAnsi"/>
        </w:rPr>
        <w:t>l</w:t>
      </w:r>
      <w:r w:rsidR="0073586E" w:rsidRPr="00572FD0">
        <w:rPr>
          <w:rFonts w:cstheme="minorHAnsi"/>
        </w:rPr>
        <w:t xml:space="preserve"> across all ages</w:t>
      </w:r>
      <w:r w:rsidR="00561426" w:rsidRPr="00572FD0">
        <w:rPr>
          <w:rFonts w:cstheme="minorHAnsi"/>
        </w:rPr>
        <w:t xml:space="preserve">. </w:t>
      </w:r>
      <w:r w:rsidR="00C25E87" w:rsidRPr="00572FD0">
        <w:rPr>
          <w:rFonts w:cstheme="minorHAnsi"/>
        </w:rPr>
        <w:t xml:space="preserve">This </w:t>
      </w:r>
      <w:r w:rsidR="007169B2" w:rsidRPr="00572FD0">
        <w:rPr>
          <w:rFonts w:cstheme="minorHAnsi"/>
        </w:rPr>
        <w:t xml:space="preserve">was despite </w:t>
      </w:r>
      <w:r w:rsidR="00E04C8C">
        <w:rPr>
          <w:rFonts w:cstheme="minorHAnsi"/>
        </w:rPr>
        <w:t xml:space="preserve">recent evidence </w:t>
      </w:r>
      <w:r w:rsidR="007169B2" w:rsidRPr="00572FD0">
        <w:rPr>
          <w:rFonts w:cstheme="minorHAnsi"/>
        </w:rPr>
        <w:t>which</w:t>
      </w:r>
      <w:r w:rsidR="00C25E87" w:rsidRPr="00572FD0">
        <w:rPr>
          <w:rFonts w:cstheme="minorHAnsi"/>
        </w:rPr>
        <w:t xml:space="preserve"> demonstrate</w:t>
      </w:r>
      <w:r w:rsidR="00E04C8C">
        <w:rPr>
          <w:rFonts w:cstheme="minorHAnsi"/>
        </w:rPr>
        <w:t>s</w:t>
      </w:r>
      <w:r w:rsidR="00C25E87" w:rsidRPr="00572FD0">
        <w:rPr>
          <w:rFonts w:cstheme="minorHAnsi"/>
        </w:rPr>
        <w:t xml:space="preserve"> the MPTT-24 outperform</w:t>
      </w:r>
      <w:r w:rsidR="00CE211C" w:rsidRPr="00572FD0">
        <w:rPr>
          <w:rFonts w:cstheme="minorHAnsi"/>
        </w:rPr>
        <w:t>ed</w:t>
      </w:r>
      <w:r w:rsidR="00C25E87" w:rsidRPr="00572FD0">
        <w:rPr>
          <w:rFonts w:cstheme="minorHAnsi"/>
        </w:rPr>
        <w:t xml:space="preserve"> existing paediatric </w:t>
      </w:r>
      <w:r w:rsidR="007169B2" w:rsidRPr="00572FD0">
        <w:rPr>
          <w:rFonts w:cstheme="minorHAnsi"/>
        </w:rPr>
        <w:t>MIT</w:t>
      </w:r>
      <w:r w:rsidR="00C25E87" w:rsidRPr="00572FD0">
        <w:rPr>
          <w:rFonts w:cstheme="minorHAnsi"/>
        </w:rPr>
        <w:t xml:space="preserve"> tools at identifying patients in need of </w:t>
      </w:r>
      <w:r w:rsidR="29310E7D" w:rsidRPr="00572FD0">
        <w:rPr>
          <w:rFonts w:cstheme="minorHAnsi"/>
        </w:rPr>
        <w:t>life-saving interventions</w:t>
      </w:r>
      <w:r w:rsidR="007169B2" w:rsidRPr="00572FD0">
        <w:rPr>
          <w:rFonts w:cstheme="minorHAnsi"/>
        </w:rPr>
        <w:t xml:space="preserve"> using trauma registry data</w:t>
      </w:r>
      <w:r w:rsidR="00C25E87" w:rsidRPr="00572FD0">
        <w:rPr>
          <w:rFonts w:cstheme="minorHAnsi"/>
        </w:rPr>
        <w:t>.</w:t>
      </w:r>
      <w:r w:rsidR="00433649">
        <w:rPr>
          <w:rFonts w:cstheme="minorHAnsi"/>
        </w:rPr>
        <w:t>[10</w:t>
      </w:r>
      <w:proofErr w:type="gramStart"/>
      <w:r w:rsidR="00433649">
        <w:rPr>
          <w:rFonts w:cstheme="minorHAnsi"/>
        </w:rPr>
        <w:t>]</w:t>
      </w:r>
      <w:r w:rsidR="00C25E87" w:rsidRPr="00572FD0">
        <w:rPr>
          <w:rFonts w:cstheme="minorHAnsi"/>
        </w:rPr>
        <w:t xml:space="preserve">  </w:t>
      </w:r>
      <w:r w:rsidR="00E04C8C">
        <w:rPr>
          <w:rFonts w:cstheme="minorHAnsi"/>
        </w:rPr>
        <w:t>As</w:t>
      </w:r>
      <w:proofErr w:type="gramEnd"/>
      <w:r w:rsidR="00E04C8C">
        <w:rPr>
          <w:rFonts w:cstheme="minorHAnsi"/>
        </w:rPr>
        <w:t xml:space="preserve"> there was no opportunity for a face-to-face meeting in which to explore the reasons behind this</w:t>
      </w:r>
      <w:r w:rsidR="00C25E87" w:rsidRPr="00572FD0">
        <w:rPr>
          <w:rFonts w:cstheme="minorHAnsi"/>
        </w:rPr>
        <w:t xml:space="preserve">, we can only </w:t>
      </w:r>
      <w:r w:rsidR="007169B2" w:rsidRPr="00572FD0">
        <w:rPr>
          <w:rFonts w:cstheme="minorHAnsi"/>
        </w:rPr>
        <w:t>hypothesise</w:t>
      </w:r>
      <w:r w:rsidR="00C25E87" w:rsidRPr="00572FD0">
        <w:rPr>
          <w:rFonts w:cstheme="minorHAnsi"/>
        </w:rPr>
        <w:t xml:space="preserve"> that clinicians felt uncomfortable adopting a completely new approach to paediatric MIT (</w:t>
      </w:r>
      <w:r w:rsidR="00F61893" w:rsidRPr="00572FD0">
        <w:rPr>
          <w:rFonts w:cstheme="minorHAnsi"/>
        </w:rPr>
        <w:t>i.e.,</w:t>
      </w:r>
      <w:r w:rsidR="00C25E87" w:rsidRPr="00572FD0">
        <w:rPr>
          <w:rFonts w:cstheme="minorHAnsi"/>
        </w:rPr>
        <w:t xml:space="preserve"> not using a bespoke paediatric tool).</w:t>
      </w:r>
      <w:r w:rsidR="002F71A2" w:rsidRPr="00572FD0">
        <w:rPr>
          <w:rFonts w:cstheme="minorHAnsi"/>
        </w:rPr>
        <w:t xml:space="preserve"> </w:t>
      </w:r>
      <w:r w:rsidR="00FE267D" w:rsidRPr="00572FD0">
        <w:rPr>
          <w:rFonts w:cstheme="minorHAnsi"/>
        </w:rPr>
        <w:t>Specific to the paediatric age range</w:t>
      </w:r>
      <w:r w:rsidR="009C774D" w:rsidRPr="00572FD0">
        <w:rPr>
          <w:rFonts w:cstheme="minorHAnsi"/>
        </w:rPr>
        <w:t xml:space="preserve">, consensus </w:t>
      </w:r>
      <w:r w:rsidR="00FE267D" w:rsidRPr="00572FD0">
        <w:rPr>
          <w:rFonts w:cstheme="minorHAnsi"/>
        </w:rPr>
        <w:t xml:space="preserve">was not reached </w:t>
      </w:r>
      <w:r w:rsidR="009C774D" w:rsidRPr="00572FD0">
        <w:rPr>
          <w:rFonts w:cstheme="minorHAnsi"/>
        </w:rPr>
        <w:t xml:space="preserve">as to whether a single </w:t>
      </w:r>
      <w:r w:rsidR="00FE267D" w:rsidRPr="00572FD0">
        <w:rPr>
          <w:rFonts w:cstheme="minorHAnsi"/>
        </w:rPr>
        <w:t>MIT</w:t>
      </w:r>
      <w:r w:rsidR="009C774D" w:rsidRPr="00572FD0">
        <w:rPr>
          <w:rFonts w:cstheme="minorHAnsi"/>
        </w:rPr>
        <w:t xml:space="preserve"> tool should be used</w:t>
      </w:r>
      <w:r w:rsidR="00FE267D" w:rsidRPr="00572FD0">
        <w:rPr>
          <w:rFonts w:cstheme="minorHAnsi"/>
        </w:rPr>
        <w:t xml:space="preserve"> across all ages. Thi</w:t>
      </w:r>
      <w:r w:rsidR="009C774D" w:rsidRPr="00572FD0">
        <w:rPr>
          <w:rFonts w:cstheme="minorHAnsi"/>
        </w:rPr>
        <w:t xml:space="preserve">s </w:t>
      </w:r>
      <w:r w:rsidR="00FE267D" w:rsidRPr="00572FD0">
        <w:rPr>
          <w:rFonts w:cstheme="minorHAnsi"/>
        </w:rPr>
        <w:t>uncertainty may represent mixed opinion on the trade-off between incorporating physiological variables against ease of use. For example, the S</w:t>
      </w:r>
      <w:r w:rsidR="00963E49" w:rsidRPr="00572FD0">
        <w:rPr>
          <w:rFonts w:cstheme="minorHAnsi"/>
        </w:rPr>
        <w:t>heffield Paediatric Triage Tool ha</w:t>
      </w:r>
      <w:r w:rsidR="00FE267D" w:rsidRPr="00572FD0">
        <w:rPr>
          <w:rFonts w:cstheme="minorHAnsi"/>
        </w:rPr>
        <w:t>s</w:t>
      </w:r>
      <w:r w:rsidR="00963E49" w:rsidRPr="00572FD0">
        <w:rPr>
          <w:rFonts w:cstheme="minorHAnsi"/>
        </w:rPr>
        <w:t xml:space="preserve"> physiological thresholds </w:t>
      </w:r>
      <w:r w:rsidR="00FE267D" w:rsidRPr="00572FD0">
        <w:rPr>
          <w:rFonts w:cstheme="minorHAnsi"/>
        </w:rPr>
        <w:t xml:space="preserve">which vary with age, which increases </w:t>
      </w:r>
      <w:r w:rsidR="00963E49" w:rsidRPr="00572FD0">
        <w:rPr>
          <w:rFonts w:cstheme="minorHAnsi"/>
        </w:rPr>
        <w:t xml:space="preserve">sensitivity within </w:t>
      </w:r>
      <w:r w:rsidR="00FE267D" w:rsidRPr="00572FD0">
        <w:rPr>
          <w:rFonts w:cstheme="minorHAnsi"/>
        </w:rPr>
        <w:t>age bands; however</w:t>
      </w:r>
      <w:r w:rsidR="005F60A5" w:rsidRPr="00572FD0">
        <w:rPr>
          <w:rFonts w:cstheme="minorHAnsi"/>
        </w:rPr>
        <w:t>,</w:t>
      </w:r>
      <w:r w:rsidR="00FE267D" w:rsidRPr="00572FD0">
        <w:rPr>
          <w:rFonts w:cstheme="minorHAnsi"/>
        </w:rPr>
        <w:t xml:space="preserve"> these require greater cognitive input by operators</w:t>
      </w:r>
      <w:r w:rsidR="00963E49" w:rsidRPr="00572FD0">
        <w:rPr>
          <w:rFonts w:cstheme="minorHAnsi"/>
        </w:rPr>
        <w:t>, render</w:t>
      </w:r>
      <w:r w:rsidR="00FE267D" w:rsidRPr="00572FD0">
        <w:rPr>
          <w:rFonts w:cstheme="minorHAnsi"/>
        </w:rPr>
        <w:t>ing</w:t>
      </w:r>
      <w:r w:rsidR="00963E49" w:rsidRPr="00572FD0">
        <w:rPr>
          <w:rFonts w:cstheme="minorHAnsi"/>
        </w:rPr>
        <w:t xml:space="preserve"> the tool more complicated</w:t>
      </w:r>
      <w:r w:rsidR="00FE267D" w:rsidRPr="00572FD0">
        <w:rPr>
          <w:rFonts w:cstheme="minorHAnsi"/>
        </w:rPr>
        <w:t xml:space="preserve"> and potentially</w:t>
      </w:r>
      <w:r w:rsidR="00963E49" w:rsidRPr="00572FD0">
        <w:rPr>
          <w:rFonts w:cstheme="minorHAnsi"/>
        </w:rPr>
        <w:t xml:space="preserve"> reducing its effectiveness </w:t>
      </w:r>
      <w:r w:rsidR="002F71A2" w:rsidRPr="00572FD0">
        <w:rPr>
          <w:rFonts w:cstheme="minorHAnsi"/>
        </w:rPr>
        <w:t xml:space="preserve">in </w:t>
      </w:r>
      <w:r w:rsidR="009E0628" w:rsidRPr="00572FD0">
        <w:rPr>
          <w:rFonts w:cstheme="minorHAnsi"/>
        </w:rPr>
        <w:t xml:space="preserve">the pre-hospital setting of a major incident. </w:t>
      </w:r>
    </w:p>
    <w:p w14:paraId="68151A13" w14:textId="652420B0" w:rsidR="00ED4BCB" w:rsidRPr="00572FD0" w:rsidRDefault="00ED4BCB" w:rsidP="00ED4BCB">
      <w:pPr>
        <w:tabs>
          <w:tab w:val="left" w:pos="1110"/>
        </w:tabs>
        <w:spacing w:line="360" w:lineRule="auto"/>
        <w:rPr>
          <w:rFonts w:cstheme="minorHAnsi"/>
        </w:rPr>
      </w:pPr>
      <w:r w:rsidRPr="00572FD0">
        <w:rPr>
          <w:rFonts w:cstheme="minorHAnsi"/>
        </w:rPr>
        <w:t xml:space="preserve">Consensus could not be reached on </w:t>
      </w:r>
      <w:r w:rsidR="005F60A5" w:rsidRPr="00572FD0">
        <w:rPr>
          <w:rFonts w:cstheme="minorHAnsi"/>
        </w:rPr>
        <w:t>incorporating</w:t>
      </w:r>
      <w:r w:rsidRPr="00572FD0">
        <w:rPr>
          <w:rFonts w:cstheme="minorHAnsi"/>
        </w:rPr>
        <w:t xml:space="preserve"> rescue breaths </w:t>
      </w:r>
      <w:r w:rsidR="00CE211C" w:rsidRPr="00572FD0">
        <w:rPr>
          <w:rFonts w:cstheme="minorHAnsi"/>
        </w:rPr>
        <w:t xml:space="preserve">for </w:t>
      </w:r>
      <w:r w:rsidRPr="00572FD0">
        <w:rPr>
          <w:rFonts w:cstheme="minorHAnsi"/>
        </w:rPr>
        <w:t xml:space="preserve">blunt or penetrating trauma. For blunt trauma, </w:t>
      </w:r>
      <w:r w:rsidR="005F60A5" w:rsidRPr="00572FD0">
        <w:rPr>
          <w:rFonts w:cstheme="minorHAnsi"/>
        </w:rPr>
        <w:t>participant responses showed a trend</w:t>
      </w:r>
      <w:r w:rsidRPr="00572FD0">
        <w:rPr>
          <w:rFonts w:cstheme="minorHAnsi"/>
        </w:rPr>
        <w:t xml:space="preserve"> </w:t>
      </w:r>
      <w:r w:rsidR="005F60A5" w:rsidRPr="00572FD0">
        <w:rPr>
          <w:rFonts w:cstheme="minorHAnsi"/>
        </w:rPr>
        <w:t>against</w:t>
      </w:r>
      <w:r w:rsidRPr="00572FD0">
        <w:rPr>
          <w:rFonts w:cstheme="minorHAnsi"/>
        </w:rPr>
        <w:t xml:space="preserve"> their use</w:t>
      </w:r>
      <w:r w:rsidR="005F60A5" w:rsidRPr="00572FD0">
        <w:rPr>
          <w:rFonts w:cstheme="minorHAnsi"/>
        </w:rPr>
        <w:t>, but this did not meet the pre-specified criteria for consensus</w:t>
      </w:r>
      <w:r w:rsidR="00CE211C" w:rsidRPr="00572FD0">
        <w:rPr>
          <w:rFonts w:cstheme="minorHAnsi"/>
        </w:rPr>
        <w:t>. Between respondent groups</w:t>
      </w:r>
      <w:r w:rsidRPr="00572FD0">
        <w:rPr>
          <w:rFonts w:cstheme="minorHAnsi"/>
        </w:rPr>
        <w:t>, there was disagreement between consultant</w:t>
      </w:r>
      <w:r w:rsidR="00CE211C" w:rsidRPr="00572FD0">
        <w:rPr>
          <w:rFonts w:cstheme="minorHAnsi"/>
        </w:rPr>
        <w:t>s</w:t>
      </w:r>
      <w:r w:rsidRPr="00572FD0">
        <w:rPr>
          <w:rFonts w:cstheme="minorHAnsi"/>
        </w:rPr>
        <w:t xml:space="preserve"> and paramedic</w:t>
      </w:r>
      <w:r w:rsidR="00CE211C" w:rsidRPr="00572FD0">
        <w:rPr>
          <w:rFonts w:cstheme="minorHAnsi"/>
        </w:rPr>
        <w:t xml:space="preserve">s, which </w:t>
      </w:r>
      <w:r w:rsidRPr="00572FD0">
        <w:rPr>
          <w:rFonts w:cstheme="minorHAnsi"/>
        </w:rPr>
        <w:t>was not replicated in the context of penetrating trauma.  Whilst rescue breaths were felt to be appropriate in mechanisms associated with hypoxia or asphyxiation (</w:t>
      </w:r>
      <w:r w:rsidR="00F61893" w:rsidRPr="00572FD0">
        <w:rPr>
          <w:rFonts w:cstheme="minorHAnsi"/>
        </w:rPr>
        <w:t>e.g.,</w:t>
      </w:r>
      <w:r w:rsidRPr="00572FD0">
        <w:rPr>
          <w:rFonts w:cstheme="minorHAnsi"/>
        </w:rPr>
        <w:t xml:space="preserve"> smoke inhalation or immersion), and are clinically appropriate in single patient incidents, they may be impractical in the </w:t>
      </w:r>
      <w:r w:rsidR="47E6ED19" w:rsidRPr="00572FD0">
        <w:rPr>
          <w:rFonts w:cstheme="minorHAnsi"/>
        </w:rPr>
        <w:t xml:space="preserve">major incident </w:t>
      </w:r>
      <w:r w:rsidRPr="00572FD0">
        <w:rPr>
          <w:rFonts w:cstheme="minorHAnsi"/>
        </w:rPr>
        <w:t>setting for a variety of reasons.  Firstly, if multiple patients require rescue breaths this will require multiple bag-valve-masks</w:t>
      </w:r>
      <w:r w:rsidR="009E0628" w:rsidRPr="00572FD0">
        <w:rPr>
          <w:rFonts w:cstheme="minorHAnsi"/>
        </w:rPr>
        <w:t xml:space="preserve"> (and potentially airway adjuncts)</w:t>
      </w:r>
      <w:r w:rsidRPr="00572FD0">
        <w:rPr>
          <w:rFonts w:cstheme="minorHAnsi"/>
        </w:rPr>
        <w:t xml:space="preserve"> of </w:t>
      </w:r>
      <w:r w:rsidRPr="00572FD0">
        <w:rPr>
          <w:rFonts w:cstheme="minorHAnsi"/>
        </w:rPr>
        <w:lastRenderedPageBreak/>
        <w:t>varying sizes</w:t>
      </w:r>
      <w:r w:rsidR="00CE211C" w:rsidRPr="00572FD0">
        <w:rPr>
          <w:rFonts w:cstheme="minorHAnsi"/>
        </w:rPr>
        <w:t>. S</w:t>
      </w:r>
      <w:r w:rsidRPr="00572FD0">
        <w:rPr>
          <w:rFonts w:cstheme="minorHAnsi"/>
        </w:rPr>
        <w:t>econdly</w:t>
      </w:r>
      <w:r w:rsidR="00CE211C" w:rsidRPr="00572FD0">
        <w:rPr>
          <w:rFonts w:cstheme="minorHAnsi"/>
        </w:rPr>
        <w:t>,</w:t>
      </w:r>
      <w:r w:rsidRPr="00572FD0">
        <w:rPr>
          <w:rFonts w:cstheme="minorHAnsi"/>
        </w:rPr>
        <w:t xml:space="preserve"> if being performed as a sole practitioner </w:t>
      </w:r>
      <w:r w:rsidR="005F60A5" w:rsidRPr="00572FD0">
        <w:rPr>
          <w:rFonts w:cstheme="minorHAnsi"/>
        </w:rPr>
        <w:t>(</w:t>
      </w:r>
      <w:r w:rsidRPr="00572FD0">
        <w:rPr>
          <w:rFonts w:cstheme="minorHAnsi"/>
        </w:rPr>
        <w:t>which may well be the case</w:t>
      </w:r>
      <w:r w:rsidR="005F60A5" w:rsidRPr="00572FD0">
        <w:rPr>
          <w:rFonts w:cstheme="minorHAnsi"/>
        </w:rPr>
        <w:t xml:space="preserve"> initially)</w:t>
      </w:r>
      <w:r w:rsidRPr="00572FD0">
        <w:rPr>
          <w:rFonts w:cstheme="minorHAnsi"/>
        </w:rPr>
        <w:t>, achieving successful ventilation can be difficult</w:t>
      </w:r>
      <w:r w:rsidR="00433649">
        <w:rPr>
          <w:rFonts w:cstheme="minorHAnsi"/>
        </w:rPr>
        <w:t>.[12]</w:t>
      </w:r>
      <w:r w:rsidRPr="00572FD0">
        <w:rPr>
          <w:rFonts w:cstheme="minorHAnsi"/>
        </w:rPr>
        <w:t xml:space="preserve"> Lastly</w:t>
      </w:r>
      <w:r w:rsidR="009E0628" w:rsidRPr="00572FD0">
        <w:rPr>
          <w:rFonts w:cstheme="minorHAnsi"/>
        </w:rPr>
        <w:t xml:space="preserve">, and </w:t>
      </w:r>
      <w:r w:rsidR="00AF4824">
        <w:rPr>
          <w:rFonts w:cstheme="minorHAnsi"/>
        </w:rPr>
        <w:t xml:space="preserve">what may be of </w:t>
      </w:r>
      <w:r w:rsidR="009E0628" w:rsidRPr="00572FD0">
        <w:rPr>
          <w:rFonts w:cstheme="minorHAnsi"/>
        </w:rPr>
        <w:t>particular significance in large marauding terrorist incidents</w:t>
      </w:r>
      <w:r w:rsidRPr="00572FD0">
        <w:rPr>
          <w:rFonts w:cstheme="minorHAnsi"/>
        </w:rPr>
        <w:t xml:space="preserve">, there will be an increased time </w:t>
      </w:r>
      <w:r w:rsidR="00CE211C" w:rsidRPr="00572FD0">
        <w:rPr>
          <w:rFonts w:cstheme="minorHAnsi"/>
        </w:rPr>
        <w:t>allocation</w:t>
      </w:r>
      <w:r w:rsidRPr="00572FD0">
        <w:rPr>
          <w:rFonts w:cstheme="minorHAnsi"/>
        </w:rPr>
        <w:t xml:space="preserve"> for patients </w:t>
      </w:r>
      <w:r w:rsidR="00CE211C" w:rsidRPr="00572FD0">
        <w:rPr>
          <w:rFonts w:cstheme="minorHAnsi"/>
        </w:rPr>
        <w:t>receiving</w:t>
      </w:r>
      <w:r w:rsidRPr="00572FD0">
        <w:rPr>
          <w:rFonts w:cstheme="minorHAnsi"/>
        </w:rPr>
        <w:t xml:space="preserve"> rescue breaths, </w:t>
      </w:r>
      <w:r w:rsidR="00CE211C" w:rsidRPr="00572FD0">
        <w:rPr>
          <w:rFonts w:cstheme="minorHAnsi"/>
        </w:rPr>
        <w:t xml:space="preserve">with </w:t>
      </w:r>
      <w:r w:rsidRPr="00572FD0">
        <w:rPr>
          <w:rFonts w:cstheme="minorHAnsi"/>
        </w:rPr>
        <w:t xml:space="preserve">a </w:t>
      </w:r>
      <w:r w:rsidR="00CE211C" w:rsidRPr="00572FD0">
        <w:rPr>
          <w:rFonts w:cstheme="minorHAnsi"/>
        </w:rPr>
        <w:t xml:space="preserve">resultant </w:t>
      </w:r>
      <w:r w:rsidRPr="00572FD0">
        <w:rPr>
          <w:rFonts w:cstheme="minorHAnsi"/>
        </w:rPr>
        <w:t xml:space="preserve">deleterious effect on patients who are yet to be triaged </w:t>
      </w:r>
      <w:r w:rsidR="00CE211C" w:rsidRPr="00572FD0">
        <w:rPr>
          <w:rFonts w:cstheme="minorHAnsi"/>
        </w:rPr>
        <w:t xml:space="preserve">(who may for example have </w:t>
      </w:r>
      <w:r w:rsidRPr="00572FD0">
        <w:rPr>
          <w:rFonts w:cstheme="minorHAnsi"/>
        </w:rPr>
        <w:t xml:space="preserve">catastrophic haemorrhage </w:t>
      </w:r>
      <w:r w:rsidR="00CE211C" w:rsidRPr="00572FD0">
        <w:rPr>
          <w:rFonts w:cstheme="minorHAnsi"/>
        </w:rPr>
        <w:t>requiring immediate</w:t>
      </w:r>
      <w:r w:rsidRPr="00572FD0">
        <w:rPr>
          <w:rFonts w:cstheme="minorHAnsi"/>
        </w:rPr>
        <w:t xml:space="preserve"> intervention</w:t>
      </w:r>
      <w:r w:rsidR="00CE211C" w:rsidRPr="00572FD0">
        <w:rPr>
          <w:rFonts w:cstheme="minorHAnsi"/>
        </w:rPr>
        <w:t>)</w:t>
      </w:r>
      <w:r w:rsidRPr="00572FD0">
        <w:rPr>
          <w:rFonts w:cstheme="minorHAnsi"/>
        </w:rPr>
        <w:t>.</w:t>
      </w:r>
    </w:p>
    <w:p w14:paraId="7001C79D" w14:textId="2AD6A954" w:rsidR="00722F9A" w:rsidRPr="00572FD0" w:rsidRDefault="00AF4824" w:rsidP="00722F9A">
      <w:pPr>
        <w:tabs>
          <w:tab w:val="left" w:pos="1110"/>
        </w:tabs>
        <w:spacing w:line="360" w:lineRule="auto"/>
        <w:rPr>
          <w:rFonts w:cstheme="minorHAnsi"/>
        </w:rPr>
      </w:pPr>
      <w:r>
        <w:rPr>
          <w:rFonts w:cstheme="minorHAnsi"/>
        </w:rPr>
        <w:t xml:space="preserve">Evidence from a trauma registry </w:t>
      </w:r>
      <w:r w:rsidR="00704968" w:rsidRPr="00572FD0">
        <w:rPr>
          <w:rFonts w:cstheme="minorHAnsi"/>
        </w:rPr>
        <w:t>demonstrated that younger children</w:t>
      </w:r>
      <w:r w:rsidR="00FE267D" w:rsidRPr="00572FD0">
        <w:rPr>
          <w:rFonts w:cstheme="minorHAnsi"/>
        </w:rPr>
        <w:t xml:space="preserve"> (aged </w:t>
      </w:r>
      <w:r w:rsidR="00704968" w:rsidRPr="00572FD0">
        <w:rPr>
          <w:rFonts w:cstheme="minorHAnsi"/>
        </w:rPr>
        <w:t>under 2 years</w:t>
      </w:r>
      <w:r w:rsidR="00FE267D" w:rsidRPr="00572FD0">
        <w:rPr>
          <w:rFonts w:cstheme="minorHAnsi"/>
        </w:rPr>
        <w:t>)</w:t>
      </w:r>
      <w:r w:rsidR="00704968" w:rsidRPr="00572FD0">
        <w:rPr>
          <w:rFonts w:cstheme="minorHAnsi"/>
        </w:rPr>
        <w:t xml:space="preserve"> have the </w:t>
      </w:r>
      <w:r w:rsidR="006F4BC2" w:rsidRPr="00572FD0">
        <w:rPr>
          <w:rFonts w:cstheme="minorHAnsi"/>
        </w:rPr>
        <w:t>highest</w:t>
      </w:r>
      <w:r w:rsidR="00704968" w:rsidRPr="00572FD0">
        <w:rPr>
          <w:rFonts w:cstheme="minorHAnsi"/>
        </w:rPr>
        <w:t xml:space="preserve"> mortality and need for </w:t>
      </w:r>
      <w:r w:rsidR="4A445D21" w:rsidRPr="00572FD0">
        <w:rPr>
          <w:rFonts w:cstheme="minorHAnsi"/>
        </w:rPr>
        <w:t>life-saving interventions</w:t>
      </w:r>
      <w:r w:rsidR="00704968" w:rsidRPr="00572FD0">
        <w:rPr>
          <w:rFonts w:cstheme="minorHAnsi"/>
        </w:rPr>
        <w:t>.</w:t>
      </w:r>
      <w:r w:rsidR="00433649">
        <w:rPr>
          <w:rFonts w:cstheme="minorHAnsi"/>
        </w:rPr>
        <w:t>[10]</w:t>
      </w:r>
      <w:r w:rsidR="00704968" w:rsidRPr="00572FD0">
        <w:rPr>
          <w:rFonts w:cstheme="minorHAnsi"/>
        </w:rPr>
        <w:t xml:space="preserve"> </w:t>
      </w:r>
      <w:r w:rsidR="006F4BC2" w:rsidRPr="00572FD0">
        <w:rPr>
          <w:rFonts w:cstheme="minorHAnsi"/>
        </w:rPr>
        <w:t xml:space="preserve">As </w:t>
      </w:r>
      <w:r w:rsidR="00704968" w:rsidRPr="00572FD0">
        <w:rPr>
          <w:rFonts w:cstheme="minorHAnsi"/>
        </w:rPr>
        <w:t xml:space="preserve">this cohort </w:t>
      </w:r>
      <w:r w:rsidR="006F4BC2" w:rsidRPr="00572FD0">
        <w:rPr>
          <w:rFonts w:cstheme="minorHAnsi"/>
        </w:rPr>
        <w:t xml:space="preserve">is potentially </w:t>
      </w:r>
      <w:r w:rsidR="00704968" w:rsidRPr="00572FD0">
        <w:rPr>
          <w:rFonts w:cstheme="minorHAnsi"/>
        </w:rPr>
        <w:t xml:space="preserve">difficult to assess on scene, </w:t>
      </w:r>
      <w:r w:rsidR="00417F30" w:rsidRPr="00572FD0">
        <w:rPr>
          <w:rFonts w:cstheme="minorHAnsi"/>
        </w:rPr>
        <w:t xml:space="preserve">one suggested strategy has been that </w:t>
      </w:r>
      <w:r w:rsidR="00704968" w:rsidRPr="00572FD0">
        <w:rPr>
          <w:rFonts w:cstheme="minorHAnsi"/>
        </w:rPr>
        <w:t xml:space="preserve">all </w:t>
      </w:r>
      <w:r w:rsidR="00417F30" w:rsidRPr="00572FD0">
        <w:rPr>
          <w:rFonts w:cstheme="minorHAnsi"/>
        </w:rPr>
        <w:t xml:space="preserve">such </w:t>
      </w:r>
      <w:r w:rsidR="00704968" w:rsidRPr="00572FD0">
        <w:rPr>
          <w:rFonts w:cstheme="minorHAnsi"/>
        </w:rPr>
        <w:t>children</w:t>
      </w:r>
      <w:r w:rsidR="00417F30" w:rsidRPr="00572FD0">
        <w:rPr>
          <w:rFonts w:cstheme="minorHAnsi"/>
        </w:rPr>
        <w:t xml:space="preserve"> be</w:t>
      </w:r>
      <w:r w:rsidR="00704968" w:rsidRPr="00572FD0">
        <w:rPr>
          <w:rFonts w:cstheme="minorHAnsi"/>
        </w:rPr>
        <w:t xml:space="preserve"> automatically categorised as P1 to reduce cognitive burden</w:t>
      </w:r>
      <w:r w:rsidR="00417F30" w:rsidRPr="00572FD0">
        <w:rPr>
          <w:rFonts w:cstheme="minorHAnsi"/>
        </w:rPr>
        <w:t xml:space="preserve"> for operators</w:t>
      </w:r>
      <w:r w:rsidR="00704968" w:rsidRPr="00572FD0">
        <w:rPr>
          <w:rFonts w:cstheme="minorHAnsi"/>
        </w:rPr>
        <w:t>.</w:t>
      </w:r>
      <w:r w:rsidR="00433649">
        <w:rPr>
          <w:rFonts w:cstheme="minorHAnsi"/>
        </w:rPr>
        <w:t>[11]</w:t>
      </w:r>
      <w:r w:rsidR="0031232A" w:rsidRPr="00572FD0">
        <w:rPr>
          <w:rFonts w:cstheme="minorHAnsi"/>
        </w:rPr>
        <w:t xml:space="preserve"> </w:t>
      </w:r>
      <w:r w:rsidR="00704968" w:rsidRPr="00572FD0">
        <w:rPr>
          <w:rFonts w:cstheme="minorHAnsi"/>
        </w:rPr>
        <w:t>However despite this evidence being presented</w:t>
      </w:r>
      <w:r w:rsidR="00417F30" w:rsidRPr="00572FD0">
        <w:rPr>
          <w:rFonts w:cstheme="minorHAnsi"/>
        </w:rPr>
        <w:t xml:space="preserve">, negative consensus was reached </w:t>
      </w:r>
      <w:r w:rsidR="009B1E59" w:rsidRPr="00572FD0">
        <w:rPr>
          <w:rFonts w:cstheme="minorHAnsi"/>
        </w:rPr>
        <w:t>in regard to</w:t>
      </w:r>
      <w:r w:rsidR="00417F30" w:rsidRPr="00572FD0">
        <w:rPr>
          <w:rFonts w:cstheme="minorHAnsi"/>
        </w:rPr>
        <w:t xml:space="preserve"> this approach</w:t>
      </w:r>
      <w:r w:rsidR="00704968" w:rsidRPr="00572FD0">
        <w:rPr>
          <w:rFonts w:cstheme="minorHAnsi"/>
        </w:rPr>
        <w:t xml:space="preserve">. Similarly, although consensus was not reached, </w:t>
      </w:r>
      <w:r w:rsidR="00417F30" w:rsidRPr="00572FD0">
        <w:rPr>
          <w:rFonts w:cstheme="minorHAnsi"/>
        </w:rPr>
        <w:t>two-thirds of participants stated that non-mobile children should no</w:t>
      </w:r>
      <w:r w:rsidR="00967E70" w:rsidRPr="00572FD0">
        <w:rPr>
          <w:rFonts w:cstheme="minorHAnsi"/>
        </w:rPr>
        <w:t>t</w:t>
      </w:r>
      <w:r w:rsidR="00417F30" w:rsidRPr="00572FD0">
        <w:rPr>
          <w:rFonts w:cstheme="minorHAnsi"/>
        </w:rPr>
        <w:t xml:space="preserve"> be </w:t>
      </w:r>
      <w:r w:rsidR="00704968" w:rsidRPr="00572FD0">
        <w:rPr>
          <w:rFonts w:cstheme="minorHAnsi"/>
        </w:rPr>
        <w:t>automatically categoris</w:t>
      </w:r>
      <w:r w:rsidR="00417F30" w:rsidRPr="00572FD0">
        <w:rPr>
          <w:rFonts w:cstheme="minorHAnsi"/>
        </w:rPr>
        <w:t>ed</w:t>
      </w:r>
      <w:r w:rsidR="00704968" w:rsidRPr="00572FD0">
        <w:rPr>
          <w:rFonts w:cstheme="minorHAnsi"/>
        </w:rPr>
        <w:t xml:space="preserve"> as P1. </w:t>
      </w:r>
      <w:r w:rsidR="00CE211C" w:rsidRPr="00572FD0">
        <w:rPr>
          <w:rFonts w:cstheme="minorHAnsi"/>
        </w:rPr>
        <w:t>T</w:t>
      </w:r>
      <w:r w:rsidR="00417F30" w:rsidRPr="00572FD0">
        <w:rPr>
          <w:rFonts w:cstheme="minorHAnsi"/>
        </w:rPr>
        <w:t xml:space="preserve">his may be due </w:t>
      </w:r>
      <w:r w:rsidR="00704968" w:rsidRPr="00572FD0">
        <w:rPr>
          <w:rFonts w:cstheme="minorHAnsi"/>
        </w:rPr>
        <w:t xml:space="preserve">to concerns </w:t>
      </w:r>
      <w:r w:rsidR="00CE211C" w:rsidRPr="00572FD0">
        <w:rPr>
          <w:rFonts w:cstheme="minorHAnsi"/>
        </w:rPr>
        <w:t xml:space="preserve">surrounding </w:t>
      </w:r>
      <w:r w:rsidR="00417F30" w:rsidRPr="00572FD0">
        <w:rPr>
          <w:rFonts w:cstheme="minorHAnsi"/>
        </w:rPr>
        <w:t xml:space="preserve">unnecessary </w:t>
      </w:r>
      <w:r w:rsidR="00704968" w:rsidRPr="00572FD0">
        <w:rPr>
          <w:rFonts w:cstheme="minorHAnsi"/>
        </w:rPr>
        <w:t xml:space="preserve">prioritised conveyance, potentially to the detriment of </w:t>
      </w:r>
      <w:r w:rsidR="00417F30" w:rsidRPr="00572FD0">
        <w:rPr>
          <w:rFonts w:cstheme="minorHAnsi"/>
        </w:rPr>
        <w:t>more seriously injured patients pre- and in-hospital</w:t>
      </w:r>
      <w:r w:rsidR="00704968" w:rsidRPr="00572FD0">
        <w:rPr>
          <w:rFonts w:cstheme="minorHAnsi"/>
        </w:rPr>
        <w:t xml:space="preserve">. </w:t>
      </w:r>
      <w:r w:rsidR="00417F30" w:rsidRPr="00572FD0">
        <w:rPr>
          <w:rFonts w:cstheme="minorHAnsi"/>
        </w:rPr>
        <w:t>Given this offset between opinion and evidence of risk, this area is worthy of further study. In contrast</w:t>
      </w:r>
      <w:r w:rsidR="00704968" w:rsidRPr="00572FD0">
        <w:rPr>
          <w:rFonts w:cstheme="minorHAnsi"/>
        </w:rPr>
        <w:t xml:space="preserve">, for normally non-mobile children, consensus was reached that being alert and moving limbs is a useful discriminator </w:t>
      </w:r>
      <w:r w:rsidR="00CE211C" w:rsidRPr="00572FD0">
        <w:rPr>
          <w:rFonts w:cstheme="minorHAnsi"/>
        </w:rPr>
        <w:t xml:space="preserve">for exclusion of </w:t>
      </w:r>
      <w:r w:rsidR="00704968" w:rsidRPr="00572FD0">
        <w:rPr>
          <w:rFonts w:cstheme="minorHAnsi"/>
        </w:rPr>
        <w:t>serious injury</w:t>
      </w:r>
      <w:r w:rsidR="00417F30" w:rsidRPr="00572FD0">
        <w:rPr>
          <w:rFonts w:cstheme="minorHAnsi"/>
        </w:rPr>
        <w:t>,</w:t>
      </w:r>
      <w:r w:rsidR="00704968" w:rsidRPr="00572FD0">
        <w:rPr>
          <w:rFonts w:cstheme="minorHAnsi"/>
        </w:rPr>
        <w:t xml:space="preserve"> in</w:t>
      </w:r>
      <w:r w:rsidR="00722F9A" w:rsidRPr="00572FD0">
        <w:rPr>
          <w:rFonts w:cstheme="minorHAnsi"/>
        </w:rPr>
        <w:t xml:space="preserve"> keeping with current practice.</w:t>
      </w:r>
    </w:p>
    <w:p w14:paraId="3EA0983A" w14:textId="77777777" w:rsidR="00B668FA" w:rsidRDefault="00EE0743" w:rsidP="00F51C11">
      <w:pPr>
        <w:rPr>
          <w:rFonts w:cstheme="minorHAnsi"/>
          <w:b/>
        </w:rPr>
      </w:pPr>
      <w:r w:rsidRPr="00572FD0">
        <w:rPr>
          <w:rFonts w:cstheme="minorHAnsi"/>
          <w:b/>
        </w:rPr>
        <w:t>Limitations</w:t>
      </w:r>
    </w:p>
    <w:p w14:paraId="168EBD9E" w14:textId="723C5FE2" w:rsidR="000C4672" w:rsidRPr="00F51C11" w:rsidRDefault="00A74E4D" w:rsidP="005A65A0">
      <w:pPr>
        <w:tabs>
          <w:tab w:val="left" w:pos="1110"/>
        </w:tabs>
        <w:spacing w:line="360" w:lineRule="auto"/>
        <w:rPr>
          <w:rFonts w:cstheme="minorHAnsi"/>
        </w:rPr>
      </w:pPr>
      <w:r w:rsidRPr="00572FD0">
        <w:rPr>
          <w:rFonts w:cstheme="minorHAnsi"/>
        </w:rPr>
        <w:t xml:space="preserve">We acknowledge </w:t>
      </w:r>
      <w:r w:rsidR="006F4BC2" w:rsidRPr="00572FD0">
        <w:rPr>
          <w:rFonts w:cstheme="minorHAnsi"/>
        </w:rPr>
        <w:t xml:space="preserve">the </w:t>
      </w:r>
      <w:r w:rsidRPr="00572FD0">
        <w:rPr>
          <w:rFonts w:cstheme="minorHAnsi"/>
        </w:rPr>
        <w:t>limitations associated with our study.</w:t>
      </w:r>
      <w:r w:rsidR="00E11E64" w:rsidRPr="00572FD0">
        <w:rPr>
          <w:rFonts w:cstheme="minorHAnsi"/>
        </w:rPr>
        <w:t xml:space="preserve"> </w:t>
      </w:r>
      <w:r w:rsidRPr="00572FD0">
        <w:rPr>
          <w:rFonts w:cstheme="minorHAnsi"/>
        </w:rPr>
        <w:t xml:space="preserve">Firstly, </w:t>
      </w:r>
      <w:r w:rsidR="00FF2950" w:rsidRPr="00572FD0">
        <w:rPr>
          <w:rFonts w:cstheme="minorHAnsi"/>
        </w:rPr>
        <w:t xml:space="preserve">only healthcare professionals working in the UK and Ireland </w:t>
      </w:r>
      <w:r w:rsidRPr="00572FD0">
        <w:rPr>
          <w:rFonts w:cstheme="minorHAnsi"/>
        </w:rPr>
        <w:t>were included</w:t>
      </w:r>
      <w:r w:rsidR="006F4BC2" w:rsidRPr="00572FD0">
        <w:rPr>
          <w:rFonts w:cstheme="minorHAnsi"/>
        </w:rPr>
        <w:t>,</w:t>
      </w:r>
      <w:r w:rsidRPr="00572FD0">
        <w:rPr>
          <w:rFonts w:cstheme="minorHAnsi"/>
        </w:rPr>
        <w:t xml:space="preserve"> </w:t>
      </w:r>
      <w:r w:rsidR="00FF2950" w:rsidRPr="00572FD0">
        <w:rPr>
          <w:rFonts w:cstheme="minorHAnsi"/>
        </w:rPr>
        <w:t>and</w:t>
      </w:r>
      <w:r w:rsidRPr="00572FD0">
        <w:rPr>
          <w:rFonts w:cstheme="minorHAnsi"/>
        </w:rPr>
        <w:t xml:space="preserve"> our </w:t>
      </w:r>
      <w:r w:rsidR="006F4BC2" w:rsidRPr="00572FD0">
        <w:rPr>
          <w:rFonts w:cstheme="minorHAnsi"/>
        </w:rPr>
        <w:t xml:space="preserve">findings </w:t>
      </w:r>
      <w:r w:rsidR="00FF2950" w:rsidRPr="00572FD0">
        <w:rPr>
          <w:rFonts w:cstheme="minorHAnsi"/>
        </w:rPr>
        <w:t>may not be</w:t>
      </w:r>
      <w:r w:rsidRPr="00572FD0">
        <w:rPr>
          <w:rFonts w:cstheme="minorHAnsi"/>
        </w:rPr>
        <w:t xml:space="preserve"> </w:t>
      </w:r>
      <w:r w:rsidR="006F4BC2" w:rsidRPr="00572FD0">
        <w:rPr>
          <w:rFonts w:cstheme="minorHAnsi"/>
        </w:rPr>
        <w:t xml:space="preserve">generalisable </w:t>
      </w:r>
      <w:r w:rsidR="00FF2950" w:rsidRPr="00572FD0">
        <w:rPr>
          <w:rFonts w:cstheme="minorHAnsi"/>
        </w:rPr>
        <w:t>to other settings</w:t>
      </w:r>
      <w:r w:rsidR="006F4BC2" w:rsidRPr="00572FD0">
        <w:rPr>
          <w:rFonts w:cstheme="minorHAnsi"/>
        </w:rPr>
        <w:t xml:space="preserve"> (</w:t>
      </w:r>
      <w:r w:rsidR="00FF2950" w:rsidRPr="00572FD0">
        <w:rPr>
          <w:rFonts w:cstheme="minorHAnsi"/>
        </w:rPr>
        <w:t xml:space="preserve">for example those in </w:t>
      </w:r>
      <w:r w:rsidR="00215B82" w:rsidRPr="00572FD0">
        <w:rPr>
          <w:rFonts w:cstheme="minorHAnsi"/>
        </w:rPr>
        <w:t>low resource</w:t>
      </w:r>
      <w:r w:rsidR="00FF2950" w:rsidRPr="00572FD0">
        <w:rPr>
          <w:rFonts w:cstheme="minorHAnsi"/>
        </w:rPr>
        <w:t xml:space="preserve"> </w:t>
      </w:r>
      <w:r w:rsidR="00FE4494" w:rsidRPr="00572FD0">
        <w:rPr>
          <w:rFonts w:cstheme="minorHAnsi"/>
        </w:rPr>
        <w:t>countries</w:t>
      </w:r>
      <w:r w:rsidR="006F4BC2" w:rsidRPr="00572FD0">
        <w:rPr>
          <w:rFonts w:cstheme="minorHAnsi"/>
        </w:rPr>
        <w:t>,</w:t>
      </w:r>
      <w:r w:rsidR="00FE4494" w:rsidRPr="00572FD0">
        <w:rPr>
          <w:rFonts w:cstheme="minorHAnsi"/>
        </w:rPr>
        <w:t xml:space="preserve"> </w:t>
      </w:r>
      <w:r w:rsidR="00FF2950" w:rsidRPr="00572FD0">
        <w:rPr>
          <w:rFonts w:cstheme="minorHAnsi"/>
        </w:rPr>
        <w:t xml:space="preserve">or with different </w:t>
      </w:r>
      <w:r w:rsidR="006F4BC2" w:rsidRPr="00572FD0">
        <w:rPr>
          <w:rFonts w:cstheme="minorHAnsi"/>
        </w:rPr>
        <w:t xml:space="preserve">frequency and characteristics </w:t>
      </w:r>
      <w:r w:rsidR="003071C8" w:rsidRPr="00572FD0">
        <w:rPr>
          <w:rFonts w:cstheme="minorHAnsi"/>
        </w:rPr>
        <w:t xml:space="preserve">of </w:t>
      </w:r>
      <w:r w:rsidR="006F4BC2" w:rsidRPr="00572FD0">
        <w:rPr>
          <w:rFonts w:cstheme="minorHAnsi"/>
        </w:rPr>
        <w:t>p</w:t>
      </w:r>
      <w:r w:rsidR="003071C8" w:rsidRPr="00572FD0">
        <w:rPr>
          <w:rFonts w:cstheme="minorHAnsi"/>
        </w:rPr>
        <w:t xml:space="preserve">aediatric </w:t>
      </w:r>
      <w:r w:rsidR="401CF598" w:rsidRPr="00572FD0">
        <w:rPr>
          <w:rFonts w:cstheme="minorHAnsi"/>
        </w:rPr>
        <w:t>major incidents</w:t>
      </w:r>
      <w:r w:rsidR="006F4BC2" w:rsidRPr="00572FD0">
        <w:rPr>
          <w:rFonts w:cstheme="minorHAnsi"/>
        </w:rPr>
        <w:t>)</w:t>
      </w:r>
      <w:r w:rsidR="003071C8" w:rsidRPr="00572FD0">
        <w:rPr>
          <w:rFonts w:cstheme="minorHAnsi"/>
        </w:rPr>
        <w:t>.</w:t>
      </w:r>
      <w:r w:rsidR="009A4604">
        <w:rPr>
          <w:rFonts w:cstheme="minorHAnsi"/>
        </w:rPr>
        <w:t xml:space="preserve"> </w:t>
      </w:r>
      <w:r w:rsidRPr="00572FD0">
        <w:rPr>
          <w:rFonts w:cstheme="minorHAnsi"/>
        </w:rPr>
        <w:t xml:space="preserve">Secondly, whilst the </w:t>
      </w:r>
      <w:r w:rsidR="006F4BC2" w:rsidRPr="00572FD0">
        <w:rPr>
          <w:rFonts w:cstheme="minorHAnsi"/>
        </w:rPr>
        <w:t xml:space="preserve">methodology </w:t>
      </w:r>
      <w:r w:rsidRPr="00572FD0">
        <w:rPr>
          <w:rFonts w:cstheme="minorHAnsi"/>
        </w:rPr>
        <w:t>allowed for maximal uptake</w:t>
      </w:r>
      <w:r w:rsidR="006F4BC2" w:rsidRPr="00572FD0">
        <w:rPr>
          <w:rFonts w:cstheme="minorHAnsi"/>
        </w:rPr>
        <w:t xml:space="preserve"> engagement of relevant professionals</w:t>
      </w:r>
      <w:r w:rsidRPr="00572FD0">
        <w:rPr>
          <w:rFonts w:cstheme="minorHAnsi"/>
        </w:rPr>
        <w:t xml:space="preserve">, we are unable to determine </w:t>
      </w:r>
      <w:r w:rsidR="009A4604">
        <w:rPr>
          <w:rFonts w:cstheme="minorHAnsi"/>
        </w:rPr>
        <w:t>the</w:t>
      </w:r>
      <w:r w:rsidRPr="00572FD0">
        <w:rPr>
          <w:rFonts w:cstheme="minorHAnsi"/>
        </w:rPr>
        <w:t xml:space="preserve"> ‘denominator’ </w:t>
      </w:r>
      <w:r w:rsidR="00F501B2" w:rsidRPr="00572FD0">
        <w:rPr>
          <w:rFonts w:cstheme="minorHAnsi"/>
        </w:rPr>
        <w:t xml:space="preserve">for </w:t>
      </w:r>
      <w:r w:rsidRPr="00572FD0">
        <w:rPr>
          <w:rFonts w:cstheme="minorHAnsi"/>
        </w:rPr>
        <w:t>our</w:t>
      </w:r>
      <w:r w:rsidR="009A4604">
        <w:rPr>
          <w:rFonts w:cstheme="minorHAnsi"/>
        </w:rPr>
        <w:t xml:space="preserve"> participants’ responses</w:t>
      </w:r>
      <w:r w:rsidR="006F4BC2" w:rsidRPr="00572FD0">
        <w:rPr>
          <w:rFonts w:cstheme="minorHAnsi"/>
        </w:rPr>
        <w:t xml:space="preserve">, and </w:t>
      </w:r>
      <w:r w:rsidR="00F501B2" w:rsidRPr="00572FD0">
        <w:rPr>
          <w:rFonts w:cstheme="minorHAnsi"/>
        </w:rPr>
        <w:t xml:space="preserve">we </w:t>
      </w:r>
      <w:r w:rsidR="006F4BC2" w:rsidRPr="00572FD0">
        <w:rPr>
          <w:rFonts w:cstheme="minorHAnsi"/>
        </w:rPr>
        <w:t>acknowledge the possibility of selection bias</w:t>
      </w:r>
      <w:r w:rsidRPr="00572FD0">
        <w:rPr>
          <w:rFonts w:cstheme="minorHAnsi"/>
        </w:rPr>
        <w:t xml:space="preserve">. </w:t>
      </w:r>
      <w:r w:rsidR="006F4BC2" w:rsidRPr="00572FD0">
        <w:rPr>
          <w:rFonts w:cstheme="minorHAnsi"/>
        </w:rPr>
        <w:t>However</w:t>
      </w:r>
      <w:r w:rsidR="005F60A5" w:rsidRPr="00572FD0">
        <w:rPr>
          <w:rFonts w:cstheme="minorHAnsi"/>
        </w:rPr>
        <w:t>,</w:t>
      </w:r>
      <w:r w:rsidR="006F4BC2" w:rsidRPr="00572FD0">
        <w:rPr>
          <w:rFonts w:cstheme="minorHAnsi"/>
        </w:rPr>
        <w:t xml:space="preserve"> we believe this is offset by a high completion rate across both rounds</w:t>
      </w:r>
      <w:r w:rsidRPr="00572FD0">
        <w:rPr>
          <w:rFonts w:cstheme="minorHAnsi"/>
        </w:rPr>
        <w:t xml:space="preserve"> (71%). </w:t>
      </w:r>
      <w:r w:rsidR="00C126E0">
        <w:rPr>
          <w:rFonts w:cstheme="minorHAnsi"/>
        </w:rPr>
        <w:t xml:space="preserve">Thirdly, we acknowledge that </w:t>
      </w:r>
      <w:r w:rsidR="009A4604">
        <w:rPr>
          <w:rFonts w:cstheme="minorHAnsi"/>
        </w:rPr>
        <w:t>not being able to facilitate a face-to-face component within the study design may constitute a limitation</w:t>
      </w:r>
      <w:r w:rsidR="00B555E8">
        <w:rPr>
          <w:rFonts w:cstheme="minorHAnsi"/>
        </w:rPr>
        <w:t xml:space="preserve">, specifically </w:t>
      </w:r>
      <w:r w:rsidR="005C55EC">
        <w:rPr>
          <w:rFonts w:cstheme="minorHAnsi"/>
        </w:rPr>
        <w:t xml:space="preserve">when considering the management of statements </w:t>
      </w:r>
      <w:r w:rsidR="00C63F14">
        <w:rPr>
          <w:rFonts w:cstheme="minorHAnsi"/>
        </w:rPr>
        <w:t xml:space="preserve">that </w:t>
      </w:r>
      <w:r w:rsidR="00B555E8">
        <w:rPr>
          <w:rFonts w:cstheme="minorHAnsi"/>
        </w:rPr>
        <w:t xml:space="preserve">failed to reach consensus. </w:t>
      </w:r>
      <w:r w:rsidR="00C63F14">
        <w:rPr>
          <w:rFonts w:cstheme="minorHAnsi"/>
        </w:rPr>
        <w:t xml:space="preserve">We have presented statements not reaching consensus </w:t>
      </w:r>
      <w:r w:rsidR="008A3C47">
        <w:rPr>
          <w:rFonts w:cstheme="minorHAnsi"/>
        </w:rPr>
        <w:t xml:space="preserve">both </w:t>
      </w:r>
      <w:r w:rsidR="00C63F14">
        <w:rPr>
          <w:rFonts w:cstheme="minorHAnsi"/>
        </w:rPr>
        <w:t xml:space="preserve">factually and with context, </w:t>
      </w:r>
      <w:proofErr w:type="gramStart"/>
      <w:r w:rsidR="00C63F14">
        <w:rPr>
          <w:rFonts w:cstheme="minorHAnsi"/>
        </w:rPr>
        <w:t>in order to</w:t>
      </w:r>
      <w:proofErr w:type="gramEnd"/>
      <w:r w:rsidR="00C63F14">
        <w:rPr>
          <w:rFonts w:cstheme="minorHAnsi"/>
        </w:rPr>
        <w:t xml:space="preserve"> enable </w:t>
      </w:r>
      <w:r w:rsidR="008A3C47">
        <w:rPr>
          <w:rFonts w:cstheme="minorHAnsi"/>
        </w:rPr>
        <w:t xml:space="preserve">policymakers to make decisions surrounding these areas, rather than making unilateral decisions as a study team. </w:t>
      </w:r>
      <w:r w:rsidR="00B555E8">
        <w:rPr>
          <w:rFonts w:cstheme="minorHAnsi"/>
        </w:rPr>
        <w:t xml:space="preserve">Furthermore, </w:t>
      </w:r>
      <w:r w:rsidR="009A4604">
        <w:rPr>
          <w:rFonts w:cstheme="minorHAnsi"/>
        </w:rPr>
        <w:t xml:space="preserve">a lack of personal discourse may explain to a certain degree the discourse between </w:t>
      </w:r>
      <w:r w:rsidR="00AB2882">
        <w:rPr>
          <w:rFonts w:cstheme="minorHAnsi"/>
        </w:rPr>
        <w:t>existing evidence and the Delphi results. Lastly</w:t>
      </w:r>
      <w:r w:rsidRPr="00572FD0">
        <w:rPr>
          <w:rFonts w:cstheme="minorHAnsi"/>
        </w:rPr>
        <w:t>,</w:t>
      </w:r>
      <w:r w:rsidR="00AB2882">
        <w:rPr>
          <w:rFonts w:cstheme="minorHAnsi"/>
        </w:rPr>
        <w:t xml:space="preserve"> the</w:t>
      </w:r>
      <w:r w:rsidRPr="00572FD0">
        <w:rPr>
          <w:rFonts w:cstheme="minorHAnsi"/>
        </w:rPr>
        <w:t xml:space="preserve"> exclusion of incomplete responses</w:t>
      </w:r>
      <w:r w:rsidR="004F142D" w:rsidRPr="00572FD0">
        <w:rPr>
          <w:rFonts w:cstheme="minorHAnsi"/>
        </w:rPr>
        <w:t xml:space="preserve"> may have influenced whether consensus was reached for statements; how</w:t>
      </w:r>
      <w:r w:rsidRPr="00572FD0">
        <w:rPr>
          <w:rFonts w:cstheme="minorHAnsi"/>
        </w:rPr>
        <w:t>ever</w:t>
      </w:r>
      <w:r w:rsidR="005F60A5" w:rsidRPr="00572FD0">
        <w:rPr>
          <w:rFonts w:cstheme="minorHAnsi"/>
        </w:rPr>
        <w:t>,</w:t>
      </w:r>
      <w:r w:rsidR="004F142D" w:rsidRPr="00572FD0">
        <w:rPr>
          <w:rFonts w:cstheme="minorHAnsi"/>
        </w:rPr>
        <w:t xml:space="preserve"> </w:t>
      </w:r>
      <w:r w:rsidR="00F501B2" w:rsidRPr="00572FD0">
        <w:rPr>
          <w:rFonts w:cstheme="minorHAnsi"/>
        </w:rPr>
        <w:t>in a</w:t>
      </w:r>
      <w:r w:rsidR="004F142D" w:rsidRPr="00572FD0">
        <w:rPr>
          <w:rFonts w:cstheme="minorHAnsi"/>
        </w:rPr>
        <w:t xml:space="preserve"> secondary analysis </w:t>
      </w:r>
      <w:r w:rsidR="00F501B2" w:rsidRPr="00572FD0">
        <w:rPr>
          <w:rFonts w:cstheme="minorHAnsi"/>
        </w:rPr>
        <w:t xml:space="preserve">which </w:t>
      </w:r>
      <w:r w:rsidR="004F142D" w:rsidRPr="00572FD0">
        <w:rPr>
          <w:rFonts w:cstheme="minorHAnsi"/>
        </w:rPr>
        <w:t>includ</w:t>
      </w:r>
      <w:r w:rsidR="00F501B2" w:rsidRPr="00572FD0">
        <w:rPr>
          <w:rFonts w:cstheme="minorHAnsi"/>
        </w:rPr>
        <w:t>ed</w:t>
      </w:r>
      <w:r w:rsidR="004F142D" w:rsidRPr="00572FD0">
        <w:rPr>
          <w:rFonts w:cstheme="minorHAnsi"/>
        </w:rPr>
        <w:t xml:space="preserve"> partial responses, </w:t>
      </w:r>
      <w:r w:rsidRPr="00572FD0">
        <w:rPr>
          <w:rFonts w:cstheme="minorHAnsi"/>
        </w:rPr>
        <w:t xml:space="preserve">there was no change </w:t>
      </w:r>
      <w:r w:rsidR="004F142D" w:rsidRPr="00572FD0">
        <w:rPr>
          <w:rFonts w:cstheme="minorHAnsi"/>
        </w:rPr>
        <w:t>in our findings</w:t>
      </w:r>
      <w:r w:rsidRPr="00572FD0">
        <w:rPr>
          <w:rFonts w:cstheme="minorHAnsi"/>
        </w:rPr>
        <w:t>.</w:t>
      </w:r>
      <w:r w:rsidR="004F142D" w:rsidRPr="00572FD0">
        <w:rPr>
          <w:rFonts w:cstheme="minorHAnsi"/>
        </w:rPr>
        <w:t xml:space="preserve"> Finally</w:t>
      </w:r>
      <w:r w:rsidR="000C4672" w:rsidRPr="00572FD0">
        <w:rPr>
          <w:rFonts w:cstheme="minorHAnsi"/>
        </w:rPr>
        <w:t xml:space="preserve">, </w:t>
      </w:r>
      <w:r w:rsidR="004F142D" w:rsidRPr="00572FD0">
        <w:rPr>
          <w:rFonts w:cstheme="minorHAnsi"/>
        </w:rPr>
        <w:t xml:space="preserve">contextual </w:t>
      </w:r>
      <w:r w:rsidR="000C4672" w:rsidRPr="00572FD0">
        <w:rPr>
          <w:rFonts w:cstheme="minorHAnsi"/>
        </w:rPr>
        <w:t>evidence pr</w:t>
      </w:r>
      <w:r w:rsidR="004F142D" w:rsidRPr="00572FD0">
        <w:rPr>
          <w:rFonts w:cstheme="minorHAnsi"/>
        </w:rPr>
        <w:t>ovided t</w:t>
      </w:r>
      <w:r w:rsidR="000C4672" w:rsidRPr="00572FD0">
        <w:rPr>
          <w:rFonts w:cstheme="minorHAnsi"/>
        </w:rPr>
        <w:t xml:space="preserve">o participants </w:t>
      </w:r>
      <w:r w:rsidR="004F142D" w:rsidRPr="00572FD0">
        <w:rPr>
          <w:rFonts w:cstheme="minorHAnsi"/>
        </w:rPr>
        <w:t>was</w:t>
      </w:r>
      <w:r w:rsidR="000C4672" w:rsidRPr="00572FD0">
        <w:rPr>
          <w:rFonts w:cstheme="minorHAnsi"/>
        </w:rPr>
        <w:t xml:space="preserve"> from analysis of trauma registry data, rather than</w:t>
      </w:r>
      <w:r w:rsidR="2D3846AE" w:rsidRPr="00572FD0">
        <w:rPr>
          <w:rFonts w:cstheme="minorHAnsi"/>
        </w:rPr>
        <w:t xml:space="preserve"> major incident</w:t>
      </w:r>
      <w:r w:rsidR="000C4672" w:rsidRPr="00572FD0">
        <w:rPr>
          <w:rFonts w:cstheme="minorHAnsi"/>
        </w:rPr>
        <w:t xml:space="preserve"> data</w:t>
      </w:r>
      <w:r w:rsidR="004F142D" w:rsidRPr="00572FD0">
        <w:rPr>
          <w:rFonts w:cstheme="minorHAnsi"/>
        </w:rPr>
        <w:t>sets</w:t>
      </w:r>
      <w:r w:rsidR="000C4672" w:rsidRPr="00572FD0">
        <w:rPr>
          <w:rFonts w:cstheme="minorHAnsi"/>
        </w:rPr>
        <w:t xml:space="preserve">. </w:t>
      </w:r>
      <w:r w:rsidR="00F501B2" w:rsidRPr="00572FD0">
        <w:rPr>
          <w:rFonts w:cstheme="minorHAnsi"/>
        </w:rPr>
        <w:t>N</w:t>
      </w:r>
      <w:r w:rsidR="004F142D" w:rsidRPr="00572FD0">
        <w:rPr>
          <w:rFonts w:cstheme="minorHAnsi"/>
        </w:rPr>
        <w:t>o such datasets exist, and the unpredictable nat</w:t>
      </w:r>
      <w:r w:rsidR="00DA4DE6">
        <w:rPr>
          <w:rFonts w:cstheme="minorHAnsi"/>
        </w:rPr>
        <w:t>u</w:t>
      </w:r>
      <w:r w:rsidR="004F142D" w:rsidRPr="00572FD0">
        <w:rPr>
          <w:rFonts w:cstheme="minorHAnsi"/>
        </w:rPr>
        <w:t xml:space="preserve">re of </w:t>
      </w:r>
      <w:r w:rsidR="7F2BD71F" w:rsidRPr="00572FD0">
        <w:rPr>
          <w:rFonts w:cstheme="minorHAnsi"/>
        </w:rPr>
        <w:t xml:space="preserve">major incidents </w:t>
      </w:r>
      <w:r w:rsidR="004F142D" w:rsidRPr="00572FD0">
        <w:rPr>
          <w:rFonts w:cstheme="minorHAnsi"/>
        </w:rPr>
        <w:lastRenderedPageBreak/>
        <w:t>makes prospective research difficult and potentially unethical</w:t>
      </w:r>
      <w:r w:rsidR="003903ED" w:rsidRPr="00572FD0">
        <w:rPr>
          <w:rFonts w:cstheme="minorHAnsi"/>
        </w:rPr>
        <w:t xml:space="preserve">. </w:t>
      </w:r>
      <w:r w:rsidR="000C4672" w:rsidRPr="00572FD0">
        <w:rPr>
          <w:rFonts w:cstheme="minorHAnsi"/>
        </w:rPr>
        <w:t xml:space="preserve">The use of trauma registry data to develop and validate </w:t>
      </w:r>
      <w:r w:rsidR="004F142D" w:rsidRPr="00572FD0">
        <w:rPr>
          <w:rFonts w:cstheme="minorHAnsi"/>
        </w:rPr>
        <w:t>MIT</w:t>
      </w:r>
      <w:r w:rsidR="000C4672" w:rsidRPr="00572FD0">
        <w:rPr>
          <w:rFonts w:cstheme="minorHAnsi"/>
        </w:rPr>
        <w:t xml:space="preserve"> tools </w:t>
      </w:r>
      <w:r w:rsidR="004F142D" w:rsidRPr="00572FD0">
        <w:rPr>
          <w:rFonts w:cstheme="minorHAnsi"/>
        </w:rPr>
        <w:t xml:space="preserve">has been used successfully in development of </w:t>
      </w:r>
      <w:r w:rsidR="000C4672" w:rsidRPr="00572FD0">
        <w:rPr>
          <w:rFonts w:cstheme="minorHAnsi"/>
        </w:rPr>
        <w:t xml:space="preserve">adult </w:t>
      </w:r>
      <w:r w:rsidR="004F142D" w:rsidRPr="00572FD0">
        <w:rPr>
          <w:rFonts w:cstheme="minorHAnsi"/>
        </w:rPr>
        <w:t>MIT tools</w:t>
      </w:r>
      <w:r w:rsidR="000C4672" w:rsidRPr="00572FD0">
        <w:rPr>
          <w:rFonts w:cstheme="minorHAnsi"/>
        </w:rPr>
        <w:t>.</w:t>
      </w:r>
    </w:p>
    <w:p w14:paraId="5D66CC71" w14:textId="77777777" w:rsidR="005516C1" w:rsidRDefault="005516C1" w:rsidP="00644311">
      <w:pPr>
        <w:tabs>
          <w:tab w:val="left" w:pos="1110"/>
        </w:tabs>
        <w:spacing w:after="0" w:line="360" w:lineRule="auto"/>
        <w:rPr>
          <w:rFonts w:cstheme="minorHAnsi"/>
          <w:b/>
        </w:rPr>
        <w:sectPr w:rsidR="005516C1">
          <w:pgSz w:w="11906" w:h="16838"/>
          <w:pgMar w:top="1440" w:right="1440" w:bottom="1440" w:left="1440" w:header="708" w:footer="708" w:gutter="0"/>
          <w:cols w:space="708"/>
          <w:docGrid w:linePitch="360"/>
        </w:sectPr>
      </w:pPr>
    </w:p>
    <w:p w14:paraId="6EAC96FD" w14:textId="77777777" w:rsidR="000A7CC7" w:rsidRPr="00572FD0" w:rsidRDefault="000A7CC7" w:rsidP="00644311">
      <w:pPr>
        <w:tabs>
          <w:tab w:val="left" w:pos="1110"/>
        </w:tabs>
        <w:spacing w:after="0" w:line="360" w:lineRule="auto"/>
        <w:rPr>
          <w:rFonts w:cstheme="minorHAnsi"/>
          <w:b/>
        </w:rPr>
      </w:pPr>
      <w:r w:rsidRPr="00572FD0">
        <w:rPr>
          <w:rFonts w:cstheme="minorHAnsi"/>
          <w:b/>
        </w:rPr>
        <w:lastRenderedPageBreak/>
        <w:t>Conclusion</w:t>
      </w:r>
    </w:p>
    <w:p w14:paraId="69A0F8BA" w14:textId="77777777" w:rsidR="00146586" w:rsidRDefault="003071C8" w:rsidP="00F9757A">
      <w:pPr>
        <w:tabs>
          <w:tab w:val="left" w:pos="1110"/>
        </w:tabs>
        <w:spacing w:line="360" w:lineRule="auto"/>
        <w:rPr>
          <w:rFonts w:cstheme="minorHAnsi"/>
        </w:rPr>
      </w:pPr>
      <w:r w:rsidRPr="00572FD0">
        <w:rPr>
          <w:rFonts w:cstheme="minorHAnsi"/>
        </w:rPr>
        <w:t xml:space="preserve">This Delphi study has established </w:t>
      </w:r>
      <w:r w:rsidR="00CE4D38" w:rsidRPr="00572FD0">
        <w:rPr>
          <w:rFonts w:cstheme="minorHAnsi"/>
        </w:rPr>
        <w:t xml:space="preserve">consensus </w:t>
      </w:r>
      <w:r w:rsidR="0082209D" w:rsidRPr="00572FD0">
        <w:rPr>
          <w:rFonts w:cstheme="minorHAnsi"/>
        </w:rPr>
        <w:t xml:space="preserve">among a large group </w:t>
      </w:r>
      <w:r w:rsidR="00CE4D38" w:rsidRPr="00572FD0">
        <w:rPr>
          <w:rFonts w:cstheme="minorHAnsi"/>
        </w:rPr>
        <w:t xml:space="preserve">of </w:t>
      </w:r>
      <w:r w:rsidR="009B1E59">
        <w:rPr>
          <w:rFonts w:cstheme="minorHAnsi"/>
        </w:rPr>
        <w:t xml:space="preserve">clinicians involved in </w:t>
      </w:r>
      <w:r w:rsidR="0082209D" w:rsidRPr="00572FD0">
        <w:rPr>
          <w:rFonts w:cstheme="minorHAnsi"/>
        </w:rPr>
        <w:t xml:space="preserve">several key elements of </w:t>
      </w:r>
      <w:r w:rsidR="00CE4D38" w:rsidRPr="00572FD0">
        <w:rPr>
          <w:rFonts w:cstheme="minorHAnsi"/>
        </w:rPr>
        <w:t xml:space="preserve">paediatric </w:t>
      </w:r>
      <w:r w:rsidR="00513009">
        <w:rPr>
          <w:rFonts w:cstheme="minorHAnsi"/>
        </w:rPr>
        <w:t>major incident triage</w:t>
      </w:r>
      <w:r w:rsidR="00850377" w:rsidRPr="00572FD0">
        <w:rPr>
          <w:rFonts w:cstheme="minorHAnsi"/>
        </w:rPr>
        <w:t xml:space="preserve">, which will be of use to </w:t>
      </w:r>
      <w:r w:rsidR="0082209D" w:rsidRPr="00572FD0">
        <w:rPr>
          <w:rFonts w:cstheme="minorHAnsi"/>
        </w:rPr>
        <w:t xml:space="preserve">those involved in planning and preparing the response to a </w:t>
      </w:r>
      <w:r w:rsidR="44D9E240" w:rsidRPr="00572FD0">
        <w:rPr>
          <w:rFonts w:cstheme="minorHAnsi"/>
        </w:rPr>
        <w:t xml:space="preserve">major incident </w:t>
      </w:r>
      <w:r w:rsidR="0082209D" w:rsidRPr="00572FD0">
        <w:rPr>
          <w:rFonts w:cstheme="minorHAnsi"/>
        </w:rPr>
        <w:t>involving children.  We would encourage f</w:t>
      </w:r>
      <w:r w:rsidR="00CE4D38" w:rsidRPr="00572FD0">
        <w:rPr>
          <w:rFonts w:cstheme="minorHAnsi"/>
        </w:rPr>
        <w:t xml:space="preserve">urther work to develop a triage tool that can be implemented </w:t>
      </w:r>
      <w:r w:rsidR="009C4DD6" w:rsidRPr="00572FD0">
        <w:rPr>
          <w:rFonts w:cstheme="minorHAnsi"/>
        </w:rPr>
        <w:t>based on</w:t>
      </w:r>
      <w:r w:rsidR="00CE4D38" w:rsidRPr="00572FD0">
        <w:rPr>
          <w:rFonts w:cstheme="minorHAnsi"/>
        </w:rPr>
        <w:t xml:space="preserve"> emerging and ongoing research in addition to</w:t>
      </w:r>
      <w:r w:rsidR="0082209D" w:rsidRPr="00572FD0">
        <w:rPr>
          <w:rFonts w:cstheme="minorHAnsi"/>
        </w:rPr>
        <w:t xml:space="preserve"> the</w:t>
      </w:r>
      <w:r w:rsidR="00CE4D38" w:rsidRPr="00572FD0">
        <w:rPr>
          <w:rFonts w:cstheme="minorHAnsi"/>
        </w:rPr>
        <w:t xml:space="preserve"> consensus opinion demonstrated i</w:t>
      </w:r>
      <w:r w:rsidR="0082209D" w:rsidRPr="00572FD0">
        <w:rPr>
          <w:rFonts w:cstheme="minorHAnsi"/>
        </w:rPr>
        <w:t xml:space="preserve">n this study. </w:t>
      </w:r>
    </w:p>
    <w:p w14:paraId="50610C29" w14:textId="77777777" w:rsidR="00FE0FD1" w:rsidRDefault="00FE0FD1" w:rsidP="00FE0FD1">
      <w:pPr>
        <w:rPr>
          <w:rFonts w:cstheme="minorHAnsi"/>
          <w:b/>
          <w:bCs/>
        </w:rPr>
      </w:pPr>
    </w:p>
    <w:p w14:paraId="4ECE943F" w14:textId="77777777" w:rsidR="00E808BA" w:rsidRDefault="00E808BA" w:rsidP="00F9757A">
      <w:pPr>
        <w:tabs>
          <w:tab w:val="left" w:pos="1110"/>
        </w:tabs>
        <w:spacing w:line="360" w:lineRule="auto"/>
        <w:rPr>
          <w:rFonts w:cstheme="minorHAnsi"/>
        </w:rPr>
        <w:sectPr w:rsidR="00E808BA">
          <w:pgSz w:w="11906" w:h="16838"/>
          <w:pgMar w:top="1440" w:right="1440" w:bottom="1440" w:left="1440" w:header="708" w:footer="708" w:gutter="0"/>
          <w:cols w:space="708"/>
          <w:docGrid w:linePitch="360"/>
        </w:sectPr>
      </w:pPr>
    </w:p>
    <w:p w14:paraId="74DDA30E" w14:textId="77777777" w:rsidR="00E808BA" w:rsidRPr="00572FD0" w:rsidRDefault="00E808BA" w:rsidP="00E808BA">
      <w:pPr>
        <w:rPr>
          <w:rFonts w:cstheme="minorHAnsi"/>
          <w:b/>
          <w:bCs/>
        </w:rPr>
      </w:pPr>
      <w:r w:rsidRPr="00572FD0">
        <w:rPr>
          <w:rFonts w:cstheme="minorHAnsi"/>
          <w:b/>
          <w:bCs/>
        </w:rPr>
        <w:lastRenderedPageBreak/>
        <w:t>Acknowledgements</w:t>
      </w:r>
    </w:p>
    <w:p w14:paraId="75C54BF0" w14:textId="77777777" w:rsidR="00E808BA" w:rsidRPr="00572FD0" w:rsidRDefault="00E808BA" w:rsidP="00E808BA">
      <w:pPr>
        <w:rPr>
          <w:rFonts w:cstheme="minorHAnsi"/>
        </w:rPr>
      </w:pPr>
      <w:r w:rsidRPr="00572FD0">
        <w:rPr>
          <w:rFonts w:cstheme="minorHAnsi"/>
        </w:rPr>
        <w:t xml:space="preserve">We would like to thank the following participants who completed both rounds of the Delphi and who consented for us to provide their names: </w:t>
      </w:r>
    </w:p>
    <w:p w14:paraId="2CFF4022" w14:textId="77777777" w:rsidR="00E808BA" w:rsidRPr="00572FD0" w:rsidRDefault="00E808BA" w:rsidP="00E808BA">
      <w:pPr>
        <w:rPr>
          <w:rFonts w:cstheme="minorHAnsi"/>
        </w:rPr>
      </w:pPr>
      <w:r w:rsidRPr="00572FD0">
        <w:rPr>
          <w:rFonts w:cstheme="minorHAnsi"/>
        </w:rPr>
        <w:t xml:space="preserve">R James, O Cubitt, M </w:t>
      </w:r>
      <w:proofErr w:type="spellStart"/>
      <w:r w:rsidRPr="00572FD0">
        <w:rPr>
          <w:rFonts w:cstheme="minorHAnsi"/>
        </w:rPr>
        <w:t>Tehan</w:t>
      </w:r>
      <w:proofErr w:type="spellEnd"/>
      <w:r w:rsidRPr="00572FD0">
        <w:rPr>
          <w:rFonts w:cstheme="minorHAnsi"/>
        </w:rPr>
        <w:t xml:space="preserve">, S Amps, C Gray, C McGahan, R Bayliss, W Thomson, M </w:t>
      </w:r>
      <w:proofErr w:type="spellStart"/>
      <w:r w:rsidRPr="00572FD0">
        <w:rPr>
          <w:rFonts w:cstheme="minorHAnsi"/>
        </w:rPr>
        <w:t>Tunnicliff</w:t>
      </w:r>
      <w:proofErr w:type="spellEnd"/>
      <w:r w:rsidRPr="00572FD0">
        <w:rPr>
          <w:rFonts w:cstheme="minorHAnsi"/>
        </w:rPr>
        <w:t xml:space="preserve">, K </w:t>
      </w:r>
      <w:proofErr w:type="spellStart"/>
      <w:r w:rsidRPr="00572FD0">
        <w:rPr>
          <w:rFonts w:cstheme="minorHAnsi"/>
        </w:rPr>
        <w:t>Challen</w:t>
      </w:r>
      <w:proofErr w:type="spellEnd"/>
      <w:r w:rsidRPr="00572FD0">
        <w:rPr>
          <w:rFonts w:cstheme="minorHAnsi"/>
        </w:rPr>
        <w:t xml:space="preserve">, A Price, K Allen, A Baron, N Malcolm, M Booker, JA </w:t>
      </w:r>
      <w:proofErr w:type="spellStart"/>
      <w:r w:rsidRPr="00572FD0">
        <w:rPr>
          <w:rFonts w:cstheme="minorHAnsi"/>
        </w:rPr>
        <w:t>Maney</w:t>
      </w:r>
      <w:proofErr w:type="spellEnd"/>
      <w:r w:rsidRPr="00572FD0">
        <w:rPr>
          <w:rFonts w:cstheme="minorHAnsi"/>
        </w:rPr>
        <w:t xml:space="preserve">, JA Cowper, A Cowper, C Brown, L Draper, M England, K </w:t>
      </w:r>
      <w:proofErr w:type="spellStart"/>
      <w:r w:rsidRPr="00572FD0">
        <w:rPr>
          <w:rFonts w:cstheme="minorHAnsi"/>
        </w:rPr>
        <w:t>Charlick</w:t>
      </w:r>
      <w:proofErr w:type="spellEnd"/>
      <w:r w:rsidRPr="00572FD0">
        <w:rPr>
          <w:rFonts w:cstheme="minorHAnsi"/>
        </w:rPr>
        <w:t xml:space="preserve">, L Bagshaw, H Procter, N Dole, M Stewart, S Graham, J Tooley, M Lyttle, A Frampton, S Milsom, R Moy, M </w:t>
      </w:r>
      <w:proofErr w:type="spellStart"/>
      <w:r w:rsidRPr="00572FD0">
        <w:rPr>
          <w:rFonts w:cstheme="minorHAnsi"/>
        </w:rPr>
        <w:t>Tolhurst</w:t>
      </w:r>
      <w:proofErr w:type="spellEnd"/>
      <w:r w:rsidRPr="00572FD0">
        <w:rPr>
          <w:rFonts w:cstheme="minorHAnsi"/>
        </w:rPr>
        <w:t xml:space="preserve">-Cleaver, M Harrison, C Fitchett, D Bramley, E Walton, C </w:t>
      </w:r>
      <w:proofErr w:type="spellStart"/>
      <w:r w:rsidRPr="00572FD0">
        <w:rPr>
          <w:rFonts w:cstheme="minorHAnsi"/>
        </w:rPr>
        <w:t>Stutchfield</w:t>
      </w:r>
      <w:proofErr w:type="spellEnd"/>
      <w:r w:rsidRPr="00572FD0">
        <w:rPr>
          <w:rFonts w:cstheme="minorHAnsi"/>
        </w:rPr>
        <w:t xml:space="preserve">, J </w:t>
      </w:r>
      <w:proofErr w:type="spellStart"/>
      <w:r w:rsidRPr="00572FD0">
        <w:rPr>
          <w:rFonts w:cstheme="minorHAnsi"/>
        </w:rPr>
        <w:t>Loughrey</w:t>
      </w:r>
      <w:proofErr w:type="spellEnd"/>
      <w:r w:rsidRPr="00572FD0">
        <w:rPr>
          <w:rFonts w:cstheme="minorHAnsi"/>
        </w:rPr>
        <w:t xml:space="preserve">, S </w:t>
      </w:r>
      <w:proofErr w:type="spellStart"/>
      <w:r w:rsidRPr="00572FD0">
        <w:rPr>
          <w:rFonts w:cstheme="minorHAnsi"/>
        </w:rPr>
        <w:t>Keers</w:t>
      </w:r>
      <w:proofErr w:type="spellEnd"/>
      <w:r w:rsidRPr="00572FD0">
        <w:rPr>
          <w:rFonts w:cstheme="minorHAnsi"/>
        </w:rPr>
        <w:t xml:space="preserve">, C Gough, A Bradley, S Morton, S </w:t>
      </w:r>
      <w:proofErr w:type="spellStart"/>
      <w:r w:rsidRPr="00572FD0">
        <w:rPr>
          <w:rFonts w:cstheme="minorHAnsi"/>
        </w:rPr>
        <w:t>Hingley</w:t>
      </w:r>
      <w:proofErr w:type="spellEnd"/>
      <w:r w:rsidRPr="00572FD0">
        <w:rPr>
          <w:rFonts w:cstheme="minorHAnsi"/>
        </w:rPr>
        <w:t xml:space="preserve">, J McCormack, C O'Connell, L Melody, J </w:t>
      </w:r>
      <w:proofErr w:type="spellStart"/>
      <w:r w:rsidRPr="00572FD0">
        <w:rPr>
          <w:rFonts w:cstheme="minorHAnsi"/>
        </w:rPr>
        <w:t>Bayreuther</w:t>
      </w:r>
      <w:proofErr w:type="spellEnd"/>
      <w:r w:rsidRPr="00572FD0">
        <w:rPr>
          <w:rFonts w:cstheme="minorHAnsi"/>
        </w:rPr>
        <w:t xml:space="preserve">, A Maddock, T Hurst, V Brooker, H Stewart, S McKenna, R Moss, B Taylor, H </w:t>
      </w:r>
      <w:proofErr w:type="spellStart"/>
      <w:r w:rsidRPr="00572FD0">
        <w:rPr>
          <w:rFonts w:cstheme="minorHAnsi"/>
        </w:rPr>
        <w:t>Mekki</w:t>
      </w:r>
      <w:proofErr w:type="spellEnd"/>
      <w:r w:rsidRPr="00572FD0">
        <w:rPr>
          <w:rFonts w:cstheme="minorHAnsi"/>
        </w:rPr>
        <w:t xml:space="preserve">, S Wilson, S Mullen, C Nunn, J </w:t>
      </w:r>
      <w:proofErr w:type="spellStart"/>
      <w:r w:rsidRPr="00572FD0">
        <w:rPr>
          <w:rFonts w:cstheme="minorHAnsi"/>
        </w:rPr>
        <w:t>Hudge</w:t>
      </w:r>
      <w:proofErr w:type="spellEnd"/>
      <w:r w:rsidRPr="00572FD0">
        <w:rPr>
          <w:rFonts w:cstheme="minorHAnsi"/>
        </w:rPr>
        <w:t xml:space="preserve">, C Sutton, E Day, J Bailey, C Dieppe, A Holdstock, C Johnson, A Alcock, R Cooper, S </w:t>
      </w:r>
      <w:proofErr w:type="spellStart"/>
      <w:r w:rsidRPr="00572FD0">
        <w:rPr>
          <w:rFonts w:cstheme="minorHAnsi"/>
        </w:rPr>
        <w:t>Stibbards</w:t>
      </w:r>
      <w:proofErr w:type="spellEnd"/>
      <w:r w:rsidRPr="00572FD0">
        <w:rPr>
          <w:rFonts w:cstheme="minorHAnsi"/>
        </w:rPr>
        <w:t xml:space="preserve">, T James, J </w:t>
      </w:r>
      <w:proofErr w:type="spellStart"/>
      <w:r w:rsidRPr="00572FD0">
        <w:rPr>
          <w:rFonts w:cstheme="minorHAnsi"/>
        </w:rPr>
        <w:t>Surridge</w:t>
      </w:r>
      <w:proofErr w:type="spellEnd"/>
      <w:r w:rsidRPr="00572FD0">
        <w:rPr>
          <w:rFonts w:cstheme="minorHAnsi"/>
        </w:rPr>
        <w:t xml:space="preserve">, J </w:t>
      </w:r>
      <w:proofErr w:type="spellStart"/>
      <w:r w:rsidRPr="00572FD0">
        <w:rPr>
          <w:rFonts w:cstheme="minorHAnsi"/>
        </w:rPr>
        <w:t>Raitt</w:t>
      </w:r>
      <w:proofErr w:type="spellEnd"/>
      <w:r w:rsidRPr="00572FD0">
        <w:rPr>
          <w:rFonts w:cstheme="minorHAnsi"/>
        </w:rPr>
        <w:t xml:space="preserve">, P Reeve, N Creasey, M Barrett, H Murch, E Saunders, J Browning, T Coats, N Howarth, J Stirling, T Bolger, I </w:t>
      </w:r>
      <w:proofErr w:type="spellStart"/>
      <w:r w:rsidRPr="00572FD0">
        <w:rPr>
          <w:rFonts w:cstheme="minorHAnsi"/>
        </w:rPr>
        <w:t>Lewins</w:t>
      </w:r>
      <w:proofErr w:type="spellEnd"/>
      <w:r w:rsidRPr="00572FD0">
        <w:rPr>
          <w:rFonts w:cstheme="minorHAnsi"/>
        </w:rPr>
        <w:t xml:space="preserve">, A Crawford, M Little, D Broomfield, A Kidd, L Reid, N Adams, G Hann, H </w:t>
      </w:r>
      <w:proofErr w:type="spellStart"/>
      <w:r w:rsidRPr="00572FD0">
        <w:rPr>
          <w:rFonts w:cstheme="minorHAnsi"/>
        </w:rPr>
        <w:t>Rutkowska</w:t>
      </w:r>
      <w:proofErr w:type="spellEnd"/>
      <w:r w:rsidRPr="00572FD0">
        <w:rPr>
          <w:rFonts w:cstheme="minorHAnsi"/>
        </w:rPr>
        <w:t xml:space="preserve">, P Leonard, J Watson, C Hill, K Botsford, M McGlone, L </w:t>
      </w:r>
      <w:proofErr w:type="spellStart"/>
      <w:r w:rsidRPr="00572FD0">
        <w:rPr>
          <w:rFonts w:cstheme="minorHAnsi"/>
        </w:rPr>
        <w:t>McCreddan</w:t>
      </w:r>
      <w:proofErr w:type="spellEnd"/>
      <w:r w:rsidRPr="00572FD0">
        <w:rPr>
          <w:rFonts w:cstheme="minorHAnsi"/>
        </w:rPr>
        <w:t>, J Plumb, R Harding</w:t>
      </w:r>
    </w:p>
    <w:p w14:paraId="574C1B43" w14:textId="77777777" w:rsidR="00E808BA" w:rsidRDefault="00E808BA" w:rsidP="00E808BA">
      <w:pPr>
        <w:spacing w:after="0"/>
        <w:rPr>
          <w:rFonts w:cstheme="minorHAnsi"/>
          <w:b/>
        </w:rPr>
      </w:pPr>
    </w:p>
    <w:p w14:paraId="1DBEBB0C" w14:textId="77777777" w:rsidR="00E808BA" w:rsidRPr="00D64C9F" w:rsidRDefault="00E808BA" w:rsidP="00E808BA">
      <w:pPr>
        <w:rPr>
          <w:rFonts w:cstheme="minorHAnsi"/>
          <w:b/>
          <w:bCs/>
        </w:rPr>
      </w:pPr>
      <w:r w:rsidRPr="00572FD0">
        <w:rPr>
          <w:rFonts w:cstheme="minorHAnsi"/>
          <w:b/>
          <w:bCs/>
        </w:rPr>
        <w:t>Funding</w:t>
      </w:r>
      <w:r>
        <w:rPr>
          <w:rFonts w:cstheme="minorHAnsi"/>
          <w:b/>
          <w:bCs/>
        </w:rPr>
        <w:t xml:space="preserve">: </w:t>
      </w:r>
      <w:r w:rsidRPr="00572FD0">
        <w:rPr>
          <w:rFonts w:cstheme="minorHAnsi"/>
        </w:rPr>
        <w:t>No</w:t>
      </w:r>
      <w:r>
        <w:rPr>
          <w:rFonts w:cstheme="minorHAnsi"/>
        </w:rPr>
        <w:t>ne declared</w:t>
      </w:r>
    </w:p>
    <w:p w14:paraId="391A8FCE" w14:textId="0B6B32B3" w:rsidR="00E808BA" w:rsidRDefault="00E808BA" w:rsidP="00E808BA">
      <w:pPr>
        <w:rPr>
          <w:rFonts w:cstheme="minorHAnsi"/>
        </w:rPr>
      </w:pPr>
      <w:r>
        <w:rPr>
          <w:rFonts w:cstheme="minorHAnsi"/>
          <w:b/>
          <w:bCs/>
        </w:rPr>
        <w:t xml:space="preserve">Conflicts of interest: </w:t>
      </w:r>
      <w:r>
        <w:rPr>
          <w:rFonts w:cstheme="minorHAnsi"/>
        </w:rPr>
        <w:t>None declared</w:t>
      </w:r>
    </w:p>
    <w:p w14:paraId="3E2F4526" w14:textId="77777777" w:rsidR="00E808BA" w:rsidRPr="00572FD0" w:rsidRDefault="00E808BA" w:rsidP="00E808BA">
      <w:pPr>
        <w:rPr>
          <w:rFonts w:cstheme="minorHAnsi"/>
          <w:b/>
          <w:bCs/>
        </w:rPr>
      </w:pPr>
      <w:r w:rsidRPr="00572FD0">
        <w:rPr>
          <w:rFonts w:cstheme="minorHAnsi"/>
          <w:b/>
          <w:bCs/>
        </w:rPr>
        <w:t>Ethical Approval</w:t>
      </w:r>
    </w:p>
    <w:p w14:paraId="2A84A80A" w14:textId="354D3E52" w:rsidR="00E808BA" w:rsidRPr="00D64C9F" w:rsidRDefault="00E808BA" w:rsidP="00E808BA">
      <w:pPr>
        <w:rPr>
          <w:rFonts w:cstheme="minorHAnsi"/>
        </w:rPr>
      </w:pPr>
      <w:r w:rsidRPr="00572FD0">
        <w:rPr>
          <w:rFonts w:cstheme="minorHAnsi"/>
        </w:rPr>
        <w:t>No formal research ethics approval was required for this study as it was a survey of health professionals identified via networks. Participation was deemed as consent.</w:t>
      </w:r>
    </w:p>
    <w:p w14:paraId="4B0BA083" w14:textId="77777777" w:rsidR="00E808BA" w:rsidRDefault="00E808BA" w:rsidP="00E808BA">
      <w:pPr>
        <w:rPr>
          <w:rFonts w:ascii="Calibri" w:eastAsia="Times New Roman" w:hAnsi="Calibri" w:cs="Calibri"/>
          <w:b/>
          <w:bCs/>
          <w:color w:val="333333"/>
          <w:bdr w:val="none" w:sz="0" w:space="0" w:color="auto" w:frame="1"/>
          <w:lang w:eastAsia="en-GB"/>
        </w:rPr>
      </w:pPr>
      <w:r>
        <w:rPr>
          <w:rFonts w:ascii="Calibri" w:eastAsia="Times New Roman" w:hAnsi="Calibri" w:cs="Calibri"/>
          <w:b/>
          <w:bCs/>
          <w:color w:val="333333"/>
          <w:bdr w:val="none" w:sz="0" w:space="0" w:color="auto" w:frame="1"/>
          <w:lang w:eastAsia="en-GB"/>
        </w:rPr>
        <w:t>Abbreviations:</w:t>
      </w:r>
    </w:p>
    <w:p w14:paraId="181990CB" w14:textId="77777777" w:rsidR="00E808BA" w:rsidRDefault="00E808BA" w:rsidP="00E808BA">
      <w:pPr>
        <w:rPr>
          <w:rFonts w:ascii="Calibri" w:eastAsia="Times New Roman" w:hAnsi="Calibri" w:cs="Calibri"/>
          <w:color w:val="333333"/>
          <w:bdr w:val="none" w:sz="0" w:space="0" w:color="auto" w:frame="1"/>
          <w:lang w:eastAsia="en-GB"/>
        </w:rPr>
      </w:pPr>
      <w:r>
        <w:rPr>
          <w:rFonts w:ascii="Calibri" w:eastAsia="Times New Roman" w:hAnsi="Calibri" w:cs="Calibri"/>
          <w:color w:val="333333"/>
          <w:bdr w:val="none" w:sz="0" w:space="0" w:color="auto" w:frame="1"/>
          <w:lang w:eastAsia="en-GB"/>
        </w:rPr>
        <w:t>MIT – major incident triage</w:t>
      </w:r>
    </w:p>
    <w:p w14:paraId="27D46F00" w14:textId="77777777" w:rsidR="00E808BA" w:rsidRDefault="00E808BA" w:rsidP="00E808BA">
      <w:pPr>
        <w:rPr>
          <w:rFonts w:ascii="Calibri" w:eastAsia="Times New Roman" w:hAnsi="Calibri" w:cs="Calibri"/>
          <w:color w:val="333333"/>
          <w:bdr w:val="none" w:sz="0" w:space="0" w:color="auto" w:frame="1"/>
          <w:lang w:eastAsia="en-GB"/>
        </w:rPr>
      </w:pPr>
      <w:r>
        <w:rPr>
          <w:rFonts w:ascii="Calibri" w:eastAsia="Times New Roman" w:hAnsi="Calibri" w:cs="Calibri"/>
          <w:color w:val="333333"/>
          <w:bdr w:val="none" w:sz="0" w:space="0" w:color="auto" w:frame="1"/>
          <w:lang w:eastAsia="en-GB"/>
        </w:rPr>
        <w:t>PTT – paediatric triage tape</w:t>
      </w:r>
    </w:p>
    <w:p w14:paraId="1BB30FC5" w14:textId="77777777" w:rsidR="00E808BA" w:rsidRDefault="00E808BA" w:rsidP="00E808BA">
      <w:pPr>
        <w:rPr>
          <w:rFonts w:ascii="Calibri" w:eastAsia="Times New Roman" w:hAnsi="Calibri" w:cs="Calibri"/>
          <w:color w:val="333333"/>
          <w:bdr w:val="none" w:sz="0" w:space="0" w:color="auto" w:frame="1"/>
          <w:lang w:eastAsia="en-GB"/>
        </w:rPr>
      </w:pPr>
      <w:r>
        <w:rPr>
          <w:rFonts w:ascii="Calibri" w:eastAsia="Times New Roman" w:hAnsi="Calibri" w:cs="Calibri"/>
          <w:color w:val="333333"/>
          <w:bdr w:val="none" w:sz="0" w:space="0" w:color="auto" w:frame="1"/>
          <w:lang w:eastAsia="en-GB"/>
        </w:rPr>
        <w:t>MPTT-24 – Modified Physiological Triage Tool 24</w:t>
      </w:r>
    </w:p>
    <w:p w14:paraId="43BAD17D" w14:textId="34A2EE69" w:rsidR="00FE0FD1" w:rsidRPr="00572FD0" w:rsidRDefault="00FE0FD1" w:rsidP="00F9757A">
      <w:pPr>
        <w:tabs>
          <w:tab w:val="left" w:pos="1110"/>
        </w:tabs>
        <w:spacing w:line="360" w:lineRule="auto"/>
        <w:rPr>
          <w:rFonts w:cstheme="minorHAnsi"/>
        </w:rPr>
        <w:sectPr w:rsidR="00FE0FD1" w:rsidRPr="00572FD0">
          <w:pgSz w:w="11906" w:h="16838"/>
          <w:pgMar w:top="1440" w:right="1440" w:bottom="1440" w:left="1440" w:header="708" w:footer="708" w:gutter="0"/>
          <w:cols w:space="708"/>
          <w:docGrid w:linePitch="360"/>
        </w:sectPr>
      </w:pPr>
    </w:p>
    <w:p w14:paraId="04B1F1FE" w14:textId="3615EB56" w:rsidR="00937734" w:rsidRPr="00572FD0" w:rsidRDefault="00644311" w:rsidP="0024577B">
      <w:pPr>
        <w:spacing w:after="0" w:line="480" w:lineRule="auto"/>
        <w:rPr>
          <w:rFonts w:cstheme="minorHAnsi"/>
          <w:b/>
          <w:bCs/>
        </w:rPr>
      </w:pPr>
      <w:r w:rsidRPr="00572FD0">
        <w:rPr>
          <w:rFonts w:cstheme="minorHAnsi"/>
          <w:b/>
          <w:bCs/>
        </w:rPr>
        <w:lastRenderedPageBreak/>
        <w:t>REFERENCES</w:t>
      </w:r>
    </w:p>
    <w:p w14:paraId="0C1F6D17" w14:textId="48393F7B"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1. </w:t>
      </w:r>
      <w:r w:rsidRPr="00572FD0">
        <w:rPr>
          <w:rFonts w:cstheme="minorHAnsi"/>
          <w:noProof/>
          <w:szCs w:val="24"/>
        </w:rPr>
        <w:tab/>
        <w:t xml:space="preserve">ALSG. Major Incident medical management and support: the practical approach at the scene. BMJ Books; 2011. </w:t>
      </w:r>
    </w:p>
    <w:p w14:paraId="2CA8BB3C"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2. </w:t>
      </w:r>
      <w:r w:rsidRPr="00572FD0">
        <w:rPr>
          <w:rFonts w:cstheme="minorHAnsi"/>
          <w:noProof/>
          <w:szCs w:val="24"/>
        </w:rPr>
        <w:tab/>
        <w:t>Clinical Guidelines for Major Incidents and Mass Casualy Events [Internet]. [cited 2021 Sep 5]. Available from: https://www.england.nhs.uk/wp-content/uploads/2018/12/B0128-clinical-guidelines-for-use-in-a-major-incident-v2-2020.pdf</w:t>
      </w:r>
    </w:p>
    <w:p w14:paraId="6023C942"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3. </w:t>
      </w:r>
      <w:r w:rsidRPr="00572FD0">
        <w:rPr>
          <w:rFonts w:cstheme="minorHAnsi"/>
          <w:noProof/>
          <w:szCs w:val="24"/>
        </w:rPr>
        <w:tab/>
        <w:t xml:space="preserve">Dark P, Smith M, Ziman H, Carley S, Lecky F. Healthcare system impacts of the 2017 Manchester Arena bombing: Evidence from a national trauma registry patient case series and hospital performance data. Emerg Med J. 2021 Apr 22;38. </w:t>
      </w:r>
    </w:p>
    <w:p w14:paraId="57ECC85C"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4. </w:t>
      </w:r>
      <w:r w:rsidRPr="00572FD0">
        <w:rPr>
          <w:rFonts w:cstheme="minorHAnsi"/>
          <w:noProof/>
          <w:szCs w:val="24"/>
        </w:rPr>
        <w:tab/>
        <w:t xml:space="preserve">Skryabina E, Betts N, Reedy G, Riley P, Amlôt R. UK healthcare staff experiences and perceptions of a mass casualty terrorist incident response: a mixed-methods study. Emerg Med J. 2021;38(10):756–64. </w:t>
      </w:r>
    </w:p>
    <w:p w14:paraId="31CF5407"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5. </w:t>
      </w:r>
      <w:r w:rsidRPr="00572FD0">
        <w:rPr>
          <w:rFonts w:cstheme="minorHAnsi"/>
          <w:noProof/>
          <w:szCs w:val="24"/>
        </w:rPr>
        <w:tab/>
        <w:t xml:space="preserve">Lerner EB, McKee CH, Cady CE, Cone DC, Colella MR, Cooper A, et al. A consensus-based gold standard for the evaluation of mass casualty triage systems. Prehospital Emerg care  Off J Natl Assoc EMS  Physicians Natl Assoc State EMS Dir. 2015;19(2):267–71. </w:t>
      </w:r>
    </w:p>
    <w:p w14:paraId="79D76BE1"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6. </w:t>
      </w:r>
      <w:r w:rsidRPr="00572FD0">
        <w:rPr>
          <w:rFonts w:cstheme="minorHAnsi"/>
          <w:noProof/>
          <w:szCs w:val="24"/>
        </w:rPr>
        <w:tab/>
        <w:t>Bazyar J, Farrokhi M, Khankeh H. Triage Systems in Mass Casualty Incidents and Disasters: A Review Study with A Worldwide Approach. Open access Maced J Med Sci [Internet]. 2019 Feb 12;7(3):482–94. Available from: https://pubmed.ncbi.nlm.nih.gov/30834023</w:t>
      </w:r>
    </w:p>
    <w:p w14:paraId="585280B0"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7. </w:t>
      </w:r>
      <w:r w:rsidRPr="00572FD0">
        <w:rPr>
          <w:rFonts w:cstheme="minorHAnsi"/>
          <w:noProof/>
          <w:szCs w:val="24"/>
        </w:rPr>
        <w:tab/>
        <w:t xml:space="preserve">Vassallo J, Smith JE, Wallis LA. Major incident triage and the implementation of a new triage tool, the MPTT-24. J R Army Med Corps. 2018 May;164(2):103–6. </w:t>
      </w:r>
    </w:p>
    <w:p w14:paraId="701FB3C8"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8. </w:t>
      </w:r>
      <w:r w:rsidRPr="00572FD0">
        <w:rPr>
          <w:rFonts w:cstheme="minorHAnsi"/>
          <w:noProof/>
          <w:szCs w:val="24"/>
        </w:rPr>
        <w:tab/>
        <w:t xml:space="preserve">Romig LE. Pediatric triage. A system to JumpSTART your triage of young patients at MCIs. JEMS. 2002 Jul;27(7):52-58,60-63. </w:t>
      </w:r>
    </w:p>
    <w:p w14:paraId="0B40E350"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9. </w:t>
      </w:r>
      <w:r w:rsidRPr="00572FD0">
        <w:rPr>
          <w:rFonts w:cstheme="minorHAnsi"/>
          <w:noProof/>
          <w:szCs w:val="24"/>
        </w:rPr>
        <w:tab/>
        <w:t xml:space="preserve">Hodgetts T, Hall J, Maconochie I, Smart C. Paediatric Triage Tape. Pre-hospital Immed Care. 1998;2:155–9. </w:t>
      </w:r>
    </w:p>
    <w:p w14:paraId="535D3E04"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10. </w:t>
      </w:r>
      <w:r w:rsidRPr="00572FD0">
        <w:rPr>
          <w:rFonts w:cstheme="minorHAnsi"/>
          <w:noProof/>
          <w:szCs w:val="24"/>
        </w:rPr>
        <w:tab/>
        <w:t xml:space="preserve">Vassallo J, Chernbumroong S, Malik N, Xu Y, Keene D, Gkoutos G, et al. Comparative analysis of major incident triage tools in children: a UK population-based analysis. Emerg Med J </w:t>
      </w:r>
      <w:r w:rsidRPr="00572FD0">
        <w:rPr>
          <w:rFonts w:cstheme="minorHAnsi"/>
          <w:noProof/>
          <w:szCs w:val="24"/>
        </w:rPr>
        <w:lastRenderedPageBreak/>
        <w:t>[Internet]. 2021; Available from: https://emj.bmj.com/content/early/2021/10/27/emermed-2021-211706</w:t>
      </w:r>
    </w:p>
    <w:p w14:paraId="3B210402"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11. </w:t>
      </w:r>
      <w:r w:rsidRPr="00572FD0">
        <w:rPr>
          <w:rFonts w:cstheme="minorHAnsi"/>
          <w:noProof/>
          <w:szCs w:val="24"/>
        </w:rPr>
        <w:tab/>
        <w:t xml:space="preserve">Chernbumroong et al. Paediatric major incident triage and the use of machine learning techniques to develop an alternative triage tool with improved performance characteristics. </w:t>
      </w:r>
    </w:p>
    <w:p w14:paraId="7CA3916C"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12. </w:t>
      </w:r>
      <w:r w:rsidRPr="00572FD0">
        <w:rPr>
          <w:rFonts w:cstheme="minorHAnsi"/>
          <w:noProof/>
          <w:szCs w:val="24"/>
        </w:rPr>
        <w:tab/>
        <w:t xml:space="preserve">ALSG. Advanced Paediatric Life Support: A practical approach to emergencies. 6th ed. Wiley Blackwell; </w:t>
      </w:r>
    </w:p>
    <w:p w14:paraId="2A0ECE21"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13. </w:t>
      </w:r>
      <w:r w:rsidRPr="00572FD0">
        <w:rPr>
          <w:rFonts w:cstheme="minorHAnsi"/>
          <w:noProof/>
          <w:szCs w:val="24"/>
        </w:rPr>
        <w:tab/>
        <w:t xml:space="preserve">Powell C. The Delphi technique: myths and realities. J Adv Nurs. 2003 Feb;41(4):376–82. </w:t>
      </w:r>
    </w:p>
    <w:p w14:paraId="15067F10"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14. </w:t>
      </w:r>
      <w:r w:rsidRPr="00572FD0">
        <w:rPr>
          <w:rFonts w:cstheme="minorHAnsi"/>
          <w:noProof/>
          <w:szCs w:val="24"/>
        </w:rPr>
        <w:tab/>
        <w:t xml:space="preserve">Diamond IR, Grant RC, Feldman BM, Pencharz PB, Ling SC, Moore AM, et al. Defining consensus: a systematic review recommends methodologic criteria for  reporting of Delphi studies. J Clin Epidemiol. 2014 Apr;67(4):401–9. </w:t>
      </w:r>
    </w:p>
    <w:p w14:paraId="35454FB2"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15. </w:t>
      </w:r>
      <w:r w:rsidRPr="00572FD0">
        <w:rPr>
          <w:rFonts w:cstheme="minorHAnsi"/>
          <w:noProof/>
          <w:szCs w:val="24"/>
        </w:rPr>
        <w:tab/>
        <w:t xml:space="preserve">Harris PA, Taylor R, Thielke R, Payne J, Gonzalez N, Conde JG. Research electronic data capture (REDCap)--a metadata-driven methodology and  workflow process for providing translational research informatics support. J Biomed Inform. 2009 Apr;42(2):377–81. </w:t>
      </w:r>
    </w:p>
    <w:p w14:paraId="3F0F330F" w14:textId="77777777" w:rsidR="00967E70" w:rsidRPr="00572FD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16. </w:t>
      </w:r>
      <w:r w:rsidRPr="00572FD0">
        <w:rPr>
          <w:rFonts w:cstheme="minorHAnsi"/>
          <w:noProof/>
          <w:szCs w:val="24"/>
        </w:rPr>
        <w:tab/>
        <w:t xml:space="preserve">Harris PA, Taylor R, Minor BL, Elliott V, Fernandez M, O’Neal L, et al. The REDCap consortium: Building an international community of software platform  partners. J Biomed Inform. 2019 Jul;95:103208. </w:t>
      </w:r>
    </w:p>
    <w:p w14:paraId="4526A6A8" w14:textId="4BFE00C5" w:rsidR="00967E70" w:rsidRDefault="00967E70" w:rsidP="0024577B">
      <w:pPr>
        <w:widowControl w:val="0"/>
        <w:autoSpaceDE w:val="0"/>
        <w:autoSpaceDN w:val="0"/>
        <w:adjustRightInd w:val="0"/>
        <w:spacing w:after="0" w:line="480" w:lineRule="auto"/>
        <w:ind w:left="640" w:hanging="640"/>
        <w:rPr>
          <w:rFonts w:cstheme="minorHAnsi"/>
          <w:noProof/>
          <w:szCs w:val="24"/>
        </w:rPr>
      </w:pPr>
      <w:r w:rsidRPr="00572FD0">
        <w:rPr>
          <w:rFonts w:cstheme="minorHAnsi"/>
          <w:noProof/>
          <w:szCs w:val="24"/>
        </w:rPr>
        <w:t xml:space="preserve">17. </w:t>
      </w:r>
      <w:r w:rsidRPr="00572FD0">
        <w:rPr>
          <w:rFonts w:cstheme="minorHAnsi"/>
          <w:noProof/>
          <w:szCs w:val="24"/>
        </w:rPr>
        <w:tab/>
        <w:t xml:space="preserve">Lyttle MD, Sullivan R, Hartshorn S, Bevan C, Cleugh F, Maconochie I, et al. Pediatric Emergency Research in the UK and Ireland (PERUKI): developing a collaborative for multicentre research. Alcock R, Barling J, Bayreuther J, Bevan C, Blackburn C, Bolger T, et al., editors. Arch Dis Child [Internet]. 2014;99(6):602–3. Available from: </w:t>
      </w:r>
      <w:hyperlink r:id="rId13" w:history="1">
        <w:r w:rsidR="004548B7" w:rsidRPr="00316B07">
          <w:rPr>
            <w:rStyle w:val="Hyperlink"/>
            <w:rFonts w:cstheme="minorHAnsi"/>
            <w:noProof/>
            <w:szCs w:val="24"/>
          </w:rPr>
          <w:t>https://adc.bmj.com/content/99/6/602</w:t>
        </w:r>
      </w:hyperlink>
    </w:p>
    <w:p w14:paraId="3BA41E72" w14:textId="6BAEA5FE" w:rsidR="004548B7" w:rsidRPr="00572FD0" w:rsidRDefault="004548B7" w:rsidP="0024577B">
      <w:pPr>
        <w:widowControl w:val="0"/>
        <w:autoSpaceDE w:val="0"/>
        <w:autoSpaceDN w:val="0"/>
        <w:adjustRightInd w:val="0"/>
        <w:spacing w:after="0" w:line="480" w:lineRule="auto"/>
        <w:ind w:left="640" w:hanging="640"/>
        <w:rPr>
          <w:rFonts w:cstheme="minorHAnsi"/>
          <w:noProof/>
          <w:szCs w:val="24"/>
        </w:rPr>
      </w:pPr>
      <w:r>
        <w:rPr>
          <w:rFonts w:cstheme="minorHAnsi"/>
          <w:noProof/>
          <w:szCs w:val="24"/>
        </w:rPr>
        <w:t>18.</w:t>
      </w:r>
      <w:r>
        <w:rPr>
          <w:rFonts w:cstheme="minorHAnsi"/>
          <w:noProof/>
          <w:szCs w:val="24"/>
        </w:rPr>
        <w:tab/>
        <w:t xml:space="preserve">Boulkedid R, Abdoul H, Loustau M, Sibony O, Alberti C. Using and reporting the Delphi method for selecting healthcare quality indicators: a systematic review. PLoS One 2011;6(6):e20476 </w:t>
      </w:r>
    </w:p>
    <w:p w14:paraId="74026FBB" w14:textId="7CFF6714" w:rsidR="004548B7" w:rsidRDefault="00CB0B2C" w:rsidP="0024577B">
      <w:pPr>
        <w:widowControl w:val="0"/>
        <w:autoSpaceDE w:val="0"/>
        <w:autoSpaceDN w:val="0"/>
        <w:adjustRightInd w:val="0"/>
        <w:spacing w:line="480" w:lineRule="auto"/>
        <w:ind w:left="640" w:hanging="640"/>
        <w:rPr>
          <w:rFonts w:cstheme="minorHAnsi"/>
          <w:noProof/>
          <w:szCs w:val="24"/>
        </w:rPr>
      </w:pPr>
      <w:r>
        <w:rPr>
          <w:rFonts w:cstheme="minorHAnsi"/>
          <w:noProof/>
          <w:szCs w:val="24"/>
        </w:rPr>
        <w:t>1</w:t>
      </w:r>
      <w:r w:rsidR="004548B7">
        <w:rPr>
          <w:rFonts w:cstheme="minorHAnsi"/>
          <w:noProof/>
          <w:szCs w:val="24"/>
        </w:rPr>
        <w:t>9</w:t>
      </w:r>
      <w:r>
        <w:rPr>
          <w:rFonts w:cstheme="minorHAnsi"/>
          <w:noProof/>
          <w:szCs w:val="24"/>
        </w:rPr>
        <w:t>.</w:t>
      </w:r>
      <w:r>
        <w:rPr>
          <w:rFonts w:cstheme="minorHAnsi"/>
          <w:noProof/>
          <w:szCs w:val="24"/>
        </w:rPr>
        <w:tab/>
      </w:r>
      <w:r w:rsidR="004548B7" w:rsidRPr="00572FD0">
        <w:rPr>
          <w:rFonts w:cstheme="minorHAnsi"/>
          <w:noProof/>
          <w:szCs w:val="24"/>
        </w:rPr>
        <w:t xml:space="preserve">NHS Health Research Authority Decision Tool [Internet]. [cited 2021 Oct 20]. Available from: </w:t>
      </w:r>
      <w:hyperlink r:id="rId14" w:history="1">
        <w:r w:rsidR="004548B7" w:rsidRPr="00316B07">
          <w:rPr>
            <w:rStyle w:val="Hyperlink"/>
            <w:rFonts w:cstheme="minorHAnsi"/>
            <w:noProof/>
            <w:szCs w:val="24"/>
          </w:rPr>
          <w:t>http://www.hra-decisiontools.org.uk/research/</w:t>
        </w:r>
      </w:hyperlink>
    </w:p>
    <w:sectPr w:rsidR="004548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05AE" w14:textId="77777777" w:rsidR="00693BB1" w:rsidRDefault="00693BB1" w:rsidP="00001289">
      <w:pPr>
        <w:spacing w:after="0" w:line="240" w:lineRule="auto"/>
      </w:pPr>
      <w:r>
        <w:separator/>
      </w:r>
    </w:p>
  </w:endnote>
  <w:endnote w:type="continuationSeparator" w:id="0">
    <w:p w14:paraId="1963F3D7" w14:textId="77777777" w:rsidR="00693BB1" w:rsidRDefault="00693BB1" w:rsidP="0000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43244B" w14:paraId="0A2860EC" w14:textId="77777777" w:rsidTr="007909E0">
      <w:tc>
        <w:tcPr>
          <w:tcW w:w="3005" w:type="dxa"/>
        </w:tcPr>
        <w:p w14:paraId="161999B8" w14:textId="56AB1F00" w:rsidR="0043244B" w:rsidRDefault="0043244B" w:rsidP="007909E0">
          <w:pPr>
            <w:pStyle w:val="Header"/>
            <w:ind w:left="-115"/>
          </w:pPr>
        </w:p>
      </w:tc>
      <w:tc>
        <w:tcPr>
          <w:tcW w:w="3005" w:type="dxa"/>
        </w:tcPr>
        <w:p w14:paraId="7A0EFF68" w14:textId="12EF9ABC" w:rsidR="0043244B" w:rsidRDefault="0043244B" w:rsidP="007909E0">
          <w:pPr>
            <w:pStyle w:val="Header"/>
            <w:jc w:val="center"/>
          </w:pPr>
        </w:p>
      </w:tc>
      <w:tc>
        <w:tcPr>
          <w:tcW w:w="3005" w:type="dxa"/>
        </w:tcPr>
        <w:p w14:paraId="3948C9F4" w14:textId="48D6D296" w:rsidR="0043244B" w:rsidRDefault="0043244B" w:rsidP="007909E0">
          <w:pPr>
            <w:pStyle w:val="Header"/>
            <w:ind w:right="-115"/>
            <w:jc w:val="right"/>
          </w:pPr>
        </w:p>
      </w:tc>
    </w:tr>
  </w:tbl>
  <w:p w14:paraId="7605EBBD" w14:textId="18BC0F23" w:rsidR="0043244B" w:rsidRDefault="0043244B" w:rsidP="00790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43244B" w14:paraId="420B33FE" w14:textId="77777777" w:rsidTr="007909E0">
      <w:tc>
        <w:tcPr>
          <w:tcW w:w="3005" w:type="dxa"/>
        </w:tcPr>
        <w:p w14:paraId="632D26EE" w14:textId="201BC3D6" w:rsidR="0043244B" w:rsidRDefault="0043244B" w:rsidP="007909E0">
          <w:pPr>
            <w:pStyle w:val="Header"/>
            <w:ind w:left="-115"/>
          </w:pPr>
        </w:p>
      </w:tc>
      <w:tc>
        <w:tcPr>
          <w:tcW w:w="3005" w:type="dxa"/>
        </w:tcPr>
        <w:p w14:paraId="24234A62" w14:textId="5BFC6EAB" w:rsidR="0043244B" w:rsidRDefault="0043244B" w:rsidP="007909E0">
          <w:pPr>
            <w:pStyle w:val="Header"/>
            <w:jc w:val="center"/>
          </w:pPr>
        </w:p>
      </w:tc>
      <w:tc>
        <w:tcPr>
          <w:tcW w:w="3005" w:type="dxa"/>
        </w:tcPr>
        <w:p w14:paraId="48FEEC49" w14:textId="43304E89" w:rsidR="0043244B" w:rsidRDefault="0043244B" w:rsidP="007909E0">
          <w:pPr>
            <w:pStyle w:val="Header"/>
            <w:ind w:right="-115"/>
            <w:jc w:val="right"/>
          </w:pPr>
        </w:p>
      </w:tc>
    </w:tr>
  </w:tbl>
  <w:p w14:paraId="57F8576E" w14:textId="0E4D0B1B" w:rsidR="0043244B" w:rsidRDefault="0043244B" w:rsidP="00790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2ACE" w14:textId="77777777" w:rsidR="00693BB1" w:rsidRDefault="00693BB1" w:rsidP="00001289">
      <w:pPr>
        <w:spacing w:after="0" w:line="240" w:lineRule="auto"/>
      </w:pPr>
      <w:r>
        <w:separator/>
      </w:r>
    </w:p>
  </w:footnote>
  <w:footnote w:type="continuationSeparator" w:id="0">
    <w:p w14:paraId="3AD9513D" w14:textId="77777777" w:rsidR="00693BB1" w:rsidRDefault="00693BB1" w:rsidP="0000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43244B" w14:paraId="44865EB2" w14:textId="77777777" w:rsidTr="007909E0">
      <w:tc>
        <w:tcPr>
          <w:tcW w:w="3005" w:type="dxa"/>
        </w:tcPr>
        <w:p w14:paraId="1B2FC516" w14:textId="797A1638" w:rsidR="0043244B" w:rsidRDefault="0043244B" w:rsidP="007909E0">
          <w:pPr>
            <w:pStyle w:val="Header"/>
            <w:ind w:left="-115"/>
          </w:pPr>
        </w:p>
      </w:tc>
      <w:tc>
        <w:tcPr>
          <w:tcW w:w="3005" w:type="dxa"/>
        </w:tcPr>
        <w:p w14:paraId="02E7D71B" w14:textId="1EAE399B" w:rsidR="0043244B" w:rsidRDefault="0043244B" w:rsidP="007909E0">
          <w:pPr>
            <w:pStyle w:val="Header"/>
            <w:jc w:val="center"/>
          </w:pPr>
        </w:p>
      </w:tc>
      <w:tc>
        <w:tcPr>
          <w:tcW w:w="3005" w:type="dxa"/>
        </w:tcPr>
        <w:p w14:paraId="43BA5682" w14:textId="3DC7BB17" w:rsidR="0043244B" w:rsidRDefault="0043244B" w:rsidP="007909E0">
          <w:pPr>
            <w:pStyle w:val="Header"/>
            <w:ind w:right="-115"/>
            <w:jc w:val="right"/>
          </w:pPr>
        </w:p>
      </w:tc>
    </w:tr>
  </w:tbl>
  <w:p w14:paraId="194EBC3E" w14:textId="75A3F57E" w:rsidR="0043244B" w:rsidRDefault="0043244B" w:rsidP="00790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43244B" w14:paraId="38C5EA78" w14:textId="77777777" w:rsidTr="007909E0">
      <w:tc>
        <w:tcPr>
          <w:tcW w:w="3005" w:type="dxa"/>
        </w:tcPr>
        <w:p w14:paraId="078BE789" w14:textId="0376D774" w:rsidR="0043244B" w:rsidRDefault="0043244B" w:rsidP="007909E0">
          <w:pPr>
            <w:pStyle w:val="Header"/>
            <w:ind w:left="-115"/>
          </w:pPr>
        </w:p>
      </w:tc>
      <w:tc>
        <w:tcPr>
          <w:tcW w:w="3005" w:type="dxa"/>
        </w:tcPr>
        <w:p w14:paraId="55A72E9E" w14:textId="1B73C75F" w:rsidR="0043244B" w:rsidRDefault="0043244B" w:rsidP="007909E0">
          <w:pPr>
            <w:pStyle w:val="Header"/>
            <w:jc w:val="center"/>
          </w:pPr>
        </w:p>
      </w:tc>
      <w:tc>
        <w:tcPr>
          <w:tcW w:w="3005" w:type="dxa"/>
        </w:tcPr>
        <w:p w14:paraId="49D457BF" w14:textId="43A1CB15" w:rsidR="0043244B" w:rsidRDefault="0043244B" w:rsidP="007909E0">
          <w:pPr>
            <w:pStyle w:val="Header"/>
            <w:ind w:right="-115"/>
            <w:jc w:val="right"/>
          </w:pPr>
        </w:p>
      </w:tc>
    </w:tr>
  </w:tbl>
  <w:p w14:paraId="2B817921" w14:textId="32E8E60D" w:rsidR="0043244B" w:rsidRDefault="0043244B" w:rsidP="00790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319"/>
    <w:multiLevelType w:val="hybridMultilevel"/>
    <w:tmpl w:val="22F8F3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02175"/>
    <w:multiLevelType w:val="hybridMultilevel"/>
    <w:tmpl w:val="7A28E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BB2924"/>
    <w:multiLevelType w:val="hybridMultilevel"/>
    <w:tmpl w:val="636EF0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93C3C"/>
    <w:multiLevelType w:val="hybridMultilevel"/>
    <w:tmpl w:val="135033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633FEF"/>
    <w:multiLevelType w:val="hybridMultilevel"/>
    <w:tmpl w:val="550E6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91157E"/>
    <w:multiLevelType w:val="hybridMultilevel"/>
    <w:tmpl w:val="66DC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22292"/>
    <w:multiLevelType w:val="hybridMultilevel"/>
    <w:tmpl w:val="14905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45303"/>
    <w:multiLevelType w:val="hybridMultilevel"/>
    <w:tmpl w:val="AA8EB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F5593"/>
    <w:multiLevelType w:val="hybridMultilevel"/>
    <w:tmpl w:val="9FB80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E4653C"/>
    <w:multiLevelType w:val="hybridMultilevel"/>
    <w:tmpl w:val="3F2038F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ED1A44"/>
    <w:multiLevelType w:val="hybridMultilevel"/>
    <w:tmpl w:val="93E4F51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53F7E02"/>
    <w:multiLevelType w:val="hybridMultilevel"/>
    <w:tmpl w:val="C91E027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77E2C2E"/>
    <w:multiLevelType w:val="hybridMultilevel"/>
    <w:tmpl w:val="FF40C9D2"/>
    <w:lvl w:ilvl="0" w:tplc="0180D24A">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E5EBD"/>
    <w:multiLevelType w:val="hybridMultilevel"/>
    <w:tmpl w:val="5860C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30156"/>
    <w:multiLevelType w:val="hybridMultilevel"/>
    <w:tmpl w:val="98347E3E"/>
    <w:lvl w:ilvl="0" w:tplc="04B0538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90BB2"/>
    <w:multiLevelType w:val="hybridMultilevel"/>
    <w:tmpl w:val="D4CAF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E2625"/>
    <w:multiLevelType w:val="hybridMultilevel"/>
    <w:tmpl w:val="1604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F2429"/>
    <w:multiLevelType w:val="multilevel"/>
    <w:tmpl w:val="DF8A76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BE5F21"/>
    <w:multiLevelType w:val="hybridMultilevel"/>
    <w:tmpl w:val="84D2E3E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641B0D"/>
    <w:multiLevelType w:val="hybridMultilevel"/>
    <w:tmpl w:val="00889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A23C94"/>
    <w:multiLevelType w:val="hybridMultilevel"/>
    <w:tmpl w:val="53F0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E2662"/>
    <w:multiLevelType w:val="hybridMultilevel"/>
    <w:tmpl w:val="04EC1B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927"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F54E6"/>
    <w:multiLevelType w:val="hybridMultilevel"/>
    <w:tmpl w:val="C3F2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72433"/>
    <w:multiLevelType w:val="hybridMultilevel"/>
    <w:tmpl w:val="C3285440"/>
    <w:lvl w:ilvl="0" w:tplc="08090003">
      <w:start w:val="1"/>
      <w:numFmt w:val="bullet"/>
      <w:lvlText w:val="o"/>
      <w:lvlJc w:val="left"/>
      <w:pPr>
        <w:ind w:left="643" w:hanging="360"/>
      </w:pPr>
      <w:rPr>
        <w:rFonts w:ascii="Courier New" w:hAnsi="Courier New" w:cs="Courier New"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4" w15:restartNumberingAfterBreak="0">
    <w:nsid w:val="5CD17A1C"/>
    <w:multiLevelType w:val="hybridMultilevel"/>
    <w:tmpl w:val="CEB0D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E7241F"/>
    <w:multiLevelType w:val="hybridMultilevel"/>
    <w:tmpl w:val="02083470"/>
    <w:lvl w:ilvl="0" w:tplc="44BEB422">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B4912"/>
    <w:multiLevelType w:val="hybridMultilevel"/>
    <w:tmpl w:val="E5523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7A57B5"/>
    <w:multiLevelType w:val="hybridMultilevel"/>
    <w:tmpl w:val="9676B0C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A05ECE"/>
    <w:multiLevelType w:val="hybridMultilevel"/>
    <w:tmpl w:val="22F8F3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DE194B"/>
    <w:multiLevelType w:val="hybridMultilevel"/>
    <w:tmpl w:val="0674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FB4266"/>
    <w:multiLevelType w:val="hybridMultilevel"/>
    <w:tmpl w:val="6D1E8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FD0780"/>
    <w:multiLevelType w:val="hybridMultilevel"/>
    <w:tmpl w:val="F414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414B4F"/>
    <w:multiLevelType w:val="hybridMultilevel"/>
    <w:tmpl w:val="26F6E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1DC95E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76121"/>
    <w:multiLevelType w:val="hybridMultilevel"/>
    <w:tmpl w:val="A7A27488"/>
    <w:lvl w:ilvl="0" w:tplc="4EA44A24">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02827"/>
    <w:multiLevelType w:val="hybridMultilevel"/>
    <w:tmpl w:val="2174DD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C59C0"/>
    <w:multiLevelType w:val="hybridMultilevel"/>
    <w:tmpl w:val="22F8F3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196819">
    <w:abstractNumId w:val="27"/>
  </w:num>
  <w:num w:numId="2" w16cid:durableId="498740752">
    <w:abstractNumId w:val="32"/>
  </w:num>
  <w:num w:numId="3" w16cid:durableId="1179388390">
    <w:abstractNumId w:val="34"/>
  </w:num>
  <w:num w:numId="4" w16cid:durableId="104230280">
    <w:abstractNumId w:val="5"/>
  </w:num>
  <w:num w:numId="5" w16cid:durableId="1466194334">
    <w:abstractNumId w:val="30"/>
  </w:num>
  <w:num w:numId="6" w16cid:durableId="59914586">
    <w:abstractNumId w:val="0"/>
  </w:num>
  <w:num w:numId="7" w16cid:durableId="78647278">
    <w:abstractNumId w:val="20"/>
  </w:num>
  <w:num w:numId="8" w16cid:durableId="2046756870">
    <w:abstractNumId w:val="35"/>
  </w:num>
  <w:num w:numId="9" w16cid:durableId="233708096">
    <w:abstractNumId w:val="28"/>
  </w:num>
  <w:num w:numId="10" w16cid:durableId="870916946">
    <w:abstractNumId w:val="21"/>
  </w:num>
  <w:num w:numId="11" w16cid:durableId="508374008">
    <w:abstractNumId w:val="9"/>
  </w:num>
  <w:num w:numId="12" w16cid:durableId="1120996062">
    <w:abstractNumId w:val="1"/>
  </w:num>
  <w:num w:numId="13" w16cid:durableId="1384908520">
    <w:abstractNumId w:val="8"/>
  </w:num>
  <w:num w:numId="14" w16cid:durableId="366301007">
    <w:abstractNumId w:val="22"/>
  </w:num>
  <w:num w:numId="15" w16cid:durableId="1864980824">
    <w:abstractNumId w:val="16"/>
  </w:num>
  <w:num w:numId="16" w16cid:durableId="1508473341">
    <w:abstractNumId w:val="3"/>
  </w:num>
  <w:num w:numId="17" w16cid:durableId="453257902">
    <w:abstractNumId w:val="12"/>
  </w:num>
  <w:num w:numId="18" w16cid:durableId="1160123665">
    <w:abstractNumId w:val="33"/>
  </w:num>
  <w:num w:numId="19" w16cid:durableId="809976863">
    <w:abstractNumId w:val="25"/>
  </w:num>
  <w:num w:numId="20" w16cid:durableId="1084451111">
    <w:abstractNumId w:val="2"/>
  </w:num>
  <w:num w:numId="21" w16cid:durableId="1961571784">
    <w:abstractNumId w:val="4"/>
  </w:num>
  <w:num w:numId="22" w16cid:durableId="2146655299">
    <w:abstractNumId w:val="29"/>
  </w:num>
  <w:num w:numId="23" w16cid:durableId="1368485981">
    <w:abstractNumId w:val="31"/>
  </w:num>
  <w:num w:numId="24" w16cid:durableId="1956324478">
    <w:abstractNumId w:val="13"/>
  </w:num>
  <w:num w:numId="25" w16cid:durableId="776948179">
    <w:abstractNumId w:val="26"/>
  </w:num>
  <w:num w:numId="26" w16cid:durableId="1997175981">
    <w:abstractNumId w:val="14"/>
  </w:num>
  <w:num w:numId="27" w16cid:durableId="8609714">
    <w:abstractNumId w:val="11"/>
  </w:num>
  <w:num w:numId="28" w16cid:durableId="1484345859">
    <w:abstractNumId w:val="10"/>
  </w:num>
  <w:num w:numId="29" w16cid:durableId="1661733707">
    <w:abstractNumId w:val="18"/>
  </w:num>
  <w:num w:numId="30" w16cid:durableId="1999848254">
    <w:abstractNumId w:val="19"/>
  </w:num>
  <w:num w:numId="31" w16cid:durableId="2007442041">
    <w:abstractNumId w:val="24"/>
  </w:num>
  <w:num w:numId="32" w16cid:durableId="1501240678">
    <w:abstractNumId w:val="7"/>
  </w:num>
  <w:num w:numId="33" w16cid:durableId="883323164">
    <w:abstractNumId w:val="6"/>
  </w:num>
  <w:num w:numId="34" w16cid:durableId="1399548563">
    <w:abstractNumId w:val="23"/>
  </w:num>
  <w:num w:numId="35" w16cid:durableId="1637105397">
    <w:abstractNumId w:val="17"/>
  </w:num>
  <w:num w:numId="36" w16cid:durableId="1893880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5E"/>
    <w:rsid w:val="00001289"/>
    <w:rsid w:val="000017F0"/>
    <w:rsid w:val="000026B8"/>
    <w:rsid w:val="000064DE"/>
    <w:rsid w:val="0001246B"/>
    <w:rsid w:val="00012BB4"/>
    <w:rsid w:val="00012F4C"/>
    <w:rsid w:val="000134DB"/>
    <w:rsid w:val="00015A2E"/>
    <w:rsid w:val="00016281"/>
    <w:rsid w:val="00021927"/>
    <w:rsid w:val="00022AF5"/>
    <w:rsid w:val="00023D07"/>
    <w:rsid w:val="00023E3F"/>
    <w:rsid w:val="000247DE"/>
    <w:rsid w:val="00025E45"/>
    <w:rsid w:val="00025E91"/>
    <w:rsid w:val="000268D8"/>
    <w:rsid w:val="000279A4"/>
    <w:rsid w:val="00027E71"/>
    <w:rsid w:val="000306A0"/>
    <w:rsid w:val="000323F9"/>
    <w:rsid w:val="000327CC"/>
    <w:rsid w:val="00034A2C"/>
    <w:rsid w:val="00034CF7"/>
    <w:rsid w:val="0003536F"/>
    <w:rsid w:val="00037969"/>
    <w:rsid w:val="00037D63"/>
    <w:rsid w:val="00040E46"/>
    <w:rsid w:val="00041911"/>
    <w:rsid w:val="0004236A"/>
    <w:rsid w:val="000425C3"/>
    <w:rsid w:val="00045AF1"/>
    <w:rsid w:val="000519BE"/>
    <w:rsid w:val="000522CC"/>
    <w:rsid w:val="0005368E"/>
    <w:rsid w:val="00060A1C"/>
    <w:rsid w:val="00060A67"/>
    <w:rsid w:val="00061470"/>
    <w:rsid w:val="000621F9"/>
    <w:rsid w:val="0006274F"/>
    <w:rsid w:val="00065B09"/>
    <w:rsid w:val="00066648"/>
    <w:rsid w:val="000722FE"/>
    <w:rsid w:val="00073E0E"/>
    <w:rsid w:val="000745AF"/>
    <w:rsid w:val="0007462A"/>
    <w:rsid w:val="0007569A"/>
    <w:rsid w:val="00075ED6"/>
    <w:rsid w:val="000800BE"/>
    <w:rsid w:val="00081108"/>
    <w:rsid w:val="0008679C"/>
    <w:rsid w:val="00087069"/>
    <w:rsid w:val="0009077A"/>
    <w:rsid w:val="00091101"/>
    <w:rsid w:val="00092ED8"/>
    <w:rsid w:val="0009570B"/>
    <w:rsid w:val="0009614D"/>
    <w:rsid w:val="00096C48"/>
    <w:rsid w:val="00097148"/>
    <w:rsid w:val="000A2DE9"/>
    <w:rsid w:val="000A30F6"/>
    <w:rsid w:val="000A3506"/>
    <w:rsid w:val="000A5176"/>
    <w:rsid w:val="000A74A7"/>
    <w:rsid w:val="000A7C5D"/>
    <w:rsid w:val="000A7CC7"/>
    <w:rsid w:val="000B1322"/>
    <w:rsid w:val="000B1AD4"/>
    <w:rsid w:val="000B23B5"/>
    <w:rsid w:val="000B2E4D"/>
    <w:rsid w:val="000B5F6B"/>
    <w:rsid w:val="000C1D53"/>
    <w:rsid w:val="000C284E"/>
    <w:rsid w:val="000C4672"/>
    <w:rsid w:val="000C5A51"/>
    <w:rsid w:val="000C7E99"/>
    <w:rsid w:val="000D0C93"/>
    <w:rsid w:val="000D0FF9"/>
    <w:rsid w:val="000D2F03"/>
    <w:rsid w:val="000D38B4"/>
    <w:rsid w:val="000D415C"/>
    <w:rsid w:val="000D4B36"/>
    <w:rsid w:val="000D6973"/>
    <w:rsid w:val="000D7D9C"/>
    <w:rsid w:val="000E091E"/>
    <w:rsid w:val="000E247B"/>
    <w:rsid w:val="000E3709"/>
    <w:rsid w:val="000E5AB5"/>
    <w:rsid w:val="000E685E"/>
    <w:rsid w:val="000E6A7D"/>
    <w:rsid w:val="000E6B25"/>
    <w:rsid w:val="000E6D22"/>
    <w:rsid w:val="000E6E21"/>
    <w:rsid w:val="000E75D5"/>
    <w:rsid w:val="000E7F25"/>
    <w:rsid w:val="000F233A"/>
    <w:rsid w:val="000F2F8B"/>
    <w:rsid w:val="000F34DA"/>
    <w:rsid w:val="000F53E0"/>
    <w:rsid w:val="00101D4A"/>
    <w:rsid w:val="001020C8"/>
    <w:rsid w:val="001021EA"/>
    <w:rsid w:val="001025FB"/>
    <w:rsid w:val="0010293E"/>
    <w:rsid w:val="001032CC"/>
    <w:rsid w:val="00110014"/>
    <w:rsid w:val="00110AC4"/>
    <w:rsid w:val="00111D59"/>
    <w:rsid w:val="001122A9"/>
    <w:rsid w:val="001134ED"/>
    <w:rsid w:val="00113F7F"/>
    <w:rsid w:val="00117BB4"/>
    <w:rsid w:val="00120527"/>
    <w:rsid w:val="00120DBE"/>
    <w:rsid w:val="001213C5"/>
    <w:rsid w:val="00122599"/>
    <w:rsid w:val="00125ECD"/>
    <w:rsid w:val="00127ED9"/>
    <w:rsid w:val="001300B6"/>
    <w:rsid w:val="0013066D"/>
    <w:rsid w:val="001309A0"/>
    <w:rsid w:val="00130FF3"/>
    <w:rsid w:val="00131132"/>
    <w:rsid w:val="001332AC"/>
    <w:rsid w:val="00133D28"/>
    <w:rsid w:val="00134BF0"/>
    <w:rsid w:val="0013545F"/>
    <w:rsid w:val="00135C49"/>
    <w:rsid w:val="0014257A"/>
    <w:rsid w:val="001431C1"/>
    <w:rsid w:val="00143639"/>
    <w:rsid w:val="00144D19"/>
    <w:rsid w:val="00144F1F"/>
    <w:rsid w:val="00145094"/>
    <w:rsid w:val="00146586"/>
    <w:rsid w:val="00154607"/>
    <w:rsid w:val="00156F0F"/>
    <w:rsid w:val="00157FC3"/>
    <w:rsid w:val="00162FA8"/>
    <w:rsid w:val="00164E51"/>
    <w:rsid w:val="00166D04"/>
    <w:rsid w:val="0017129E"/>
    <w:rsid w:val="001732A3"/>
    <w:rsid w:val="00175F9E"/>
    <w:rsid w:val="00176560"/>
    <w:rsid w:val="00176572"/>
    <w:rsid w:val="00181969"/>
    <w:rsid w:val="00187BC2"/>
    <w:rsid w:val="00190AAF"/>
    <w:rsid w:val="00193F21"/>
    <w:rsid w:val="001947C6"/>
    <w:rsid w:val="001970D3"/>
    <w:rsid w:val="001A0422"/>
    <w:rsid w:val="001A3F25"/>
    <w:rsid w:val="001A4ABA"/>
    <w:rsid w:val="001A5C99"/>
    <w:rsid w:val="001A6BB7"/>
    <w:rsid w:val="001A79D8"/>
    <w:rsid w:val="001A7BD9"/>
    <w:rsid w:val="001B2DFF"/>
    <w:rsid w:val="001B432A"/>
    <w:rsid w:val="001B5353"/>
    <w:rsid w:val="001B69F3"/>
    <w:rsid w:val="001B6AAD"/>
    <w:rsid w:val="001B6D78"/>
    <w:rsid w:val="001B7198"/>
    <w:rsid w:val="001C1E6C"/>
    <w:rsid w:val="001C2DB7"/>
    <w:rsid w:val="001C6BFA"/>
    <w:rsid w:val="001C7837"/>
    <w:rsid w:val="001C7A9E"/>
    <w:rsid w:val="001D0471"/>
    <w:rsid w:val="001E0365"/>
    <w:rsid w:val="001E4877"/>
    <w:rsid w:val="001E5D1E"/>
    <w:rsid w:val="001E6AE0"/>
    <w:rsid w:val="001E76E6"/>
    <w:rsid w:val="001F3A0A"/>
    <w:rsid w:val="001F4E9C"/>
    <w:rsid w:val="001F524C"/>
    <w:rsid w:val="001F57E5"/>
    <w:rsid w:val="00200EF7"/>
    <w:rsid w:val="00201884"/>
    <w:rsid w:val="00202A8E"/>
    <w:rsid w:val="002032E5"/>
    <w:rsid w:val="00203353"/>
    <w:rsid w:val="00203CA4"/>
    <w:rsid w:val="00203FA2"/>
    <w:rsid w:val="00204990"/>
    <w:rsid w:val="002059F6"/>
    <w:rsid w:val="00205DC9"/>
    <w:rsid w:val="00206D07"/>
    <w:rsid w:val="00211119"/>
    <w:rsid w:val="00212C0E"/>
    <w:rsid w:val="002149B4"/>
    <w:rsid w:val="00215B82"/>
    <w:rsid w:val="00217D45"/>
    <w:rsid w:val="00222A78"/>
    <w:rsid w:val="00222C2C"/>
    <w:rsid w:val="00224ADC"/>
    <w:rsid w:val="00225685"/>
    <w:rsid w:val="00226311"/>
    <w:rsid w:val="002275CD"/>
    <w:rsid w:val="002330DA"/>
    <w:rsid w:val="00234E99"/>
    <w:rsid w:val="00240427"/>
    <w:rsid w:val="00242C04"/>
    <w:rsid w:val="00243E4B"/>
    <w:rsid w:val="0024577B"/>
    <w:rsid w:val="0024685B"/>
    <w:rsid w:val="00246AF0"/>
    <w:rsid w:val="002470D0"/>
    <w:rsid w:val="00247622"/>
    <w:rsid w:val="002506A0"/>
    <w:rsid w:val="00251A30"/>
    <w:rsid w:val="00253FD8"/>
    <w:rsid w:val="00254269"/>
    <w:rsid w:val="00254D2A"/>
    <w:rsid w:val="00255A1E"/>
    <w:rsid w:val="00255F50"/>
    <w:rsid w:val="00260A8E"/>
    <w:rsid w:val="00260B68"/>
    <w:rsid w:val="0026152D"/>
    <w:rsid w:val="002658B2"/>
    <w:rsid w:val="00267AF6"/>
    <w:rsid w:val="0027591A"/>
    <w:rsid w:val="002761C4"/>
    <w:rsid w:val="00277B8E"/>
    <w:rsid w:val="0028161C"/>
    <w:rsid w:val="00284065"/>
    <w:rsid w:val="0028438C"/>
    <w:rsid w:val="00284783"/>
    <w:rsid w:val="0028745E"/>
    <w:rsid w:val="00287918"/>
    <w:rsid w:val="002879E2"/>
    <w:rsid w:val="00291B66"/>
    <w:rsid w:val="00291B98"/>
    <w:rsid w:val="00292632"/>
    <w:rsid w:val="00293D29"/>
    <w:rsid w:val="00293FEF"/>
    <w:rsid w:val="00295336"/>
    <w:rsid w:val="0029550F"/>
    <w:rsid w:val="002973A5"/>
    <w:rsid w:val="002A115A"/>
    <w:rsid w:val="002A1520"/>
    <w:rsid w:val="002A6735"/>
    <w:rsid w:val="002A6830"/>
    <w:rsid w:val="002B2F9F"/>
    <w:rsid w:val="002B3217"/>
    <w:rsid w:val="002B3CBD"/>
    <w:rsid w:val="002B4D73"/>
    <w:rsid w:val="002B60F5"/>
    <w:rsid w:val="002B68D3"/>
    <w:rsid w:val="002B742B"/>
    <w:rsid w:val="002B7706"/>
    <w:rsid w:val="002B7D58"/>
    <w:rsid w:val="002C0E53"/>
    <w:rsid w:val="002C1684"/>
    <w:rsid w:val="002C2C38"/>
    <w:rsid w:val="002C406A"/>
    <w:rsid w:val="002C6146"/>
    <w:rsid w:val="002C6530"/>
    <w:rsid w:val="002C7AFC"/>
    <w:rsid w:val="002D437F"/>
    <w:rsid w:val="002D65A1"/>
    <w:rsid w:val="002D7706"/>
    <w:rsid w:val="002D7ADF"/>
    <w:rsid w:val="002D7DD4"/>
    <w:rsid w:val="002E2BD3"/>
    <w:rsid w:val="002E336B"/>
    <w:rsid w:val="002E4F25"/>
    <w:rsid w:val="002E6406"/>
    <w:rsid w:val="002E6A89"/>
    <w:rsid w:val="002E6ED7"/>
    <w:rsid w:val="002E75FE"/>
    <w:rsid w:val="002E7AC3"/>
    <w:rsid w:val="002F18C9"/>
    <w:rsid w:val="002F1B7D"/>
    <w:rsid w:val="002F1CE2"/>
    <w:rsid w:val="002F2878"/>
    <w:rsid w:val="002F71A2"/>
    <w:rsid w:val="00302F4A"/>
    <w:rsid w:val="00304D51"/>
    <w:rsid w:val="00305C25"/>
    <w:rsid w:val="00306597"/>
    <w:rsid w:val="003071C8"/>
    <w:rsid w:val="00310F21"/>
    <w:rsid w:val="0031232A"/>
    <w:rsid w:val="00312C46"/>
    <w:rsid w:val="00314977"/>
    <w:rsid w:val="00322FA8"/>
    <w:rsid w:val="00330D8D"/>
    <w:rsid w:val="00333816"/>
    <w:rsid w:val="00333F37"/>
    <w:rsid w:val="00336E78"/>
    <w:rsid w:val="00337568"/>
    <w:rsid w:val="00337D9D"/>
    <w:rsid w:val="00341927"/>
    <w:rsid w:val="0034512C"/>
    <w:rsid w:val="00347E84"/>
    <w:rsid w:val="00353903"/>
    <w:rsid w:val="00353D5E"/>
    <w:rsid w:val="00355AE0"/>
    <w:rsid w:val="00355FC2"/>
    <w:rsid w:val="00357239"/>
    <w:rsid w:val="0035746C"/>
    <w:rsid w:val="00363468"/>
    <w:rsid w:val="0036493F"/>
    <w:rsid w:val="00366318"/>
    <w:rsid w:val="00367365"/>
    <w:rsid w:val="003717EE"/>
    <w:rsid w:val="00372C9E"/>
    <w:rsid w:val="00373D9A"/>
    <w:rsid w:val="00375A12"/>
    <w:rsid w:val="003765AB"/>
    <w:rsid w:val="0037684A"/>
    <w:rsid w:val="00376DCF"/>
    <w:rsid w:val="00377287"/>
    <w:rsid w:val="00377793"/>
    <w:rsid w:val="00381262"/>
    <w:rsid w:val="003837BE"/>
    <w:rsid w:val="00383AE5"/>
    <w:rsid w:val="00383C45"/>
    <w:rsid w:val="003845B0"/>
    <w:rsid w:val="003861B0"/>
    <w:rsid w:val="00386563"/>
    <w:rsid w:val="00386ABD"/>
    <w:rsid w:val="0039013E"/>
    <w:rsid w:val="003903ED"/>
    <w:rsid w:val="00391A7D"/>
    <w:rsid w:val="00391E2F"/>
    <w:rsid w:val="00394027"/>
    <w:rsid w:val="0039649B"/>
    <w:rsid w:val="003A3530"/>
    <w:rsid w:val="003A4260"/>
    <w:rsid w:val="003A4B5C"/>
    <w:rsid w:val="003A4D2B"/>
    <w:rsid w:val="003A5468"/>
    <w:rsid w:val="003A7DB3"/>
    <w:rsid w:val="003B0F34"/>
    <w:rsid w:val="003B5233"/>
    <w:rsid w:val="003B6091"/>
    <w:rsid w:val="003B67BA"/>
    <w:rsid w:val="003C10F2"/>
    <w:rsid w:val="003C2AF2"/>
    <w:rsid w:val="003D31CB"/>
    <w:rsid w:val="003E1352"/>
    <w:rsid w:val="003E2000"/>
    <w:rsid w:val="003E2791"/>
    <w:rsid w:val="003E3B0A"/>
    <w:rsid w:val="003E62B5"/>
    <w:rsid w:val="003F00E6"/>
    <w:rsid w:val="003F0B83"/>
    <w:rsid w:val="003F0D16"/>
    <w:rsid w:val="003F1A7E"/>
    <w:rsid w:val="003F2C68"/>
    <w:rsid w:val="003F374F"/>
    <w:rsid w:val="003F4A0D"/>
    <w:rsid w:val="003F4C7F"/>
    <w:rsid w:val="003F50EC"/>
    <w:rsid w:val="003F6B12"/>
    <w:rsid w:val="003F74B2"/>
    <w:rsid w:val="003F7599"/>
    <w:rsid w:val="003F7A22"/>
    <w:rsid w:val="0040326C"/>
    <w:rsid w:val="00406100"/>
    <w:rsid w:val="004062C5"/>
    <w:rsid w:val="00406673"/>
    <w:rsid w:val="00412521"/>
    <w:rsid w:val="00417F30"/>
    <w:rsid w:val="00417FD1"/>
    <w:rsid w:val="0042005E"/>
    <w:rsid w:val="004229BB"/>
    <w:rsid w:val="004247A6"/>
    <w:rsid w:val="00424FB8"/>
    <w:rsid w:val="00426217"/>
    <w:rsid w:val="00426B91"/>
    <w:rsid w:val="004304C8"/>
    <w:rsid w:val="00431375"/>
    <w:rsid w:val="0043244B"/>
    <w:rsid w:val="00432B06"/>
    <w:rsid w:val="00432CC8"/>
    <w:rsid w:val="00433649"/>
    <w:rsid w:val="00437C04"/>
    <w:rsid w:val="00437E89"/>
    <w:rsid w:val="00441BB5"/>
    <w:rsid w:val="00441F37"/>
    <w:rsid w:val="0044298B"/>
    <w:rsid w:val="00443B6D"/>
    <w:rsid w:val="0044558E"/>
    <w:rsid w:val="0044790D"/>
    <w:rsid w:val="00447AAD"/>
    <w:rsid w:val="0045156F"/>
    <w:rsid w:val="00451FD0"/>
    <w:rsid w:val="00452553"/>
    <w:rsid w:val="00452FE9"/>
    <w:rsid w:val="0045435A"/>
    <w:rsid w:val="004548B7"/>
    <w:rsid w:val="0045496D"/>
    <w:rsid w:val="00454C6B"/>
    <w:rsid w:val="00456A21"/>
    <w:rsid w:val="0046406A"/>
    <w:rsid w:val="004641A3"/>
    <w:rsid w:val="004641D6"/>
    <w:rsid w:val="00464EA5"/>
    <w:rsid w:val="004656A3"/>
    <w:rsid w:val="00465E1A"/>
    <w:rsid w:val="00466FBA"/>
    <w:rsid w:val="00467E91"/>
    <w:rsid w:val="00471171"/>
    <w:rsid w:val="0047187A"/>
    <w:rsid w:val="00473D59"/>
    <w:rsid w:val="00473F0C"/>
    <w:rsid w:val="00473F8E"/>
    <w:rsid w:val="00480421"/>
    <w:rsid w:val="00482AFC"/>
    <w:rsid w:val="00484E6A"/>
    <w:rsid w:val="004917F4"/>
    <w:rsid w:val="00491A8A"/>
    <w:rsid w:val="004925B9"/>
    <w:rsid w:val="00492BAF"/>
    <w:rsid w:val="00493BC1"/>
    <w:rsid w:val="00495087"/>
    <w:rsid w:val="004965E6"/>
    <w:rsid w:val="004A1376"/>
    <w:rsid w:val="004A24BD"/>
    <w:rsid w:val="004A2EB3"/>
    <w:rsid w:val="004A3505"/>
    <w:rsid w:val="004A754B"/>
    <w:rsid w:val="004A7854"/>
    <w:rsid w:val="004A7924"/>
    <w:rsid w:val="004B1633"/>
    <w:rsid w:val="004B1C60"/>
    <w:rsid w:val="004B26DD"/>
    <w:rsid w:val="004B4848"/>
    <w:rsid w:val="004B4D50"/>
    <w:rsid w:val="004B694C"/>
    <w:rsid w:val="004C12CC"/>
    <w:rsid w:val="004C354D"/>
    <w:rsid w:val="004C590C"/>
    <w:rsid w:val="004C758C"/>
    <w:rsid w:val="004D29CC"/>
    <w:rsid w:val="004D48EF"/>
    <w:rsid w:val="004D5E2B"/>
    <w:rsid w:val="004E4F57"/>
    <w:rsid w:val="004E69D7"/>
    <w:rsid w:val="004E6AD5"/>
    <w:rsid w:val="004E7989"/>
    <w:rsid w:val="004E7BFA"/>
    <w:rsid w:val="004F142D"/>
    <w:rsid w:val="004F7ABE"/>
    <w:rsid w:val="00500191"/>
    <w:rsid w:val="00500798"/>
    <w:rsid w:val="005028ED"/>
    <w:rsid w:val="005033D4"/>
    <w:rsid w:val="00505202"/>
    <w:rsid w:val="00506D25"/>
    <w:rsid w:val="00507902"/>
    <w:rsid w:val="005108D7"/>
    <w:rsid w:val="00513009"/>
    <w:rsid w:val="005136E5"/>
    <w:rsid w:val="00515033"/>
    <w:rsid w:val="00521F9C"/>
    <w:rsid w:val="00522BE0"/>
    <w:rsid w:val="00524334"/>
    <w:rsid w:val="005250C9"/>
    <w:rsid w:val="005270D1"/>
    <w:rsid w:val="005314C4"/>
    <w:rsid w:val="00531A59"/>
    <w:rsid w:val="00533A6F"/>
    <w:rsid w:val="0053589F"/>
    <w:rsid w:val="00535A8F"/>
    <w:rsid w:val="00537CF6"/>
    <w:rsid w:val="00542B6C"/>
    <w:rsid w:val="00542EAC"/>
    <w:rsid w:val="005459B3"/>
    <w:rsid w:val="0054604A"/>
    <w:rsid w:val="00550470"/>
    <w:rsid w:val="00550C7A"/>
    <w:rsid w:val="005515D9"/>
    <w:rsid w:val="005516C1"/>
    <w:rsid w:val="00552404"/>
    <w:rsid w:val="00553029"/>
    <w:rsid w:val="005539AF"/>
    <w:rsid w:val="00554476"/>
    <w:rsid w:val="0055712B"/>
    <w:rsid w:val="00560020"/>
    <w:rsid w:val="00560404"/>
    <w:rsid w:val="00561426"/>
    <w:rsid w:val="005619E7"/>
    <w:rsid w:val="00561EFC"/>
    <w:rsid w:val="00562494"/>
    <w:rsid w:val="00562C01"/>
    <w:rsid w:val="00563364"/>
    <w:rsid w:val="005645DE"/>
    <w:rsid w:val="005651FC"/>
    <w:rsid w:val="00565F7A"/>
    <w:rsid w:val="00570148"/>
    <w:rsid w:val="0057112A"/>
    <w:rsid w:val="0057145C"/>
    <w:rsid w:val="005716D5"/>
    <w:rsid w:val="00572077"/>
    <w:rsid w:val="005722AF"/>
    <w:rsid w:val="00572FD0"/>
    <w:rsid w:val="00574A2B"/>
    <w:rsid w:val="00575921"/>
    <w:rsid w:val="00575A98"/>
    <w:rsid w:val="0058030B"/>
    <w:rsid w:val="005812B7"/>
    <w:rsid w:val="00584F45"/>
    <w:rsid w:val="00586796"/>
    <w:rsid w:val="005947B6"/>
    <w:rsid w:val="00596354"/>
    <w:rsid w:val="005A12E0"/>
    <w:rsid w:val="005A134A"/>
    <w:rsid w:val="005A1CA8"/>
    <w:rsid w:val="005A348C"/>
    <w:rsid w:val="005A5714"/>
    <w:rsid w:val="005A65A0"/>
    <w:rsid w:val="005B033B"/>
    <w:rsid w:val="005B136C"/>
    <w:rsid w:val="005B6E04"/>
    <w:rsid w:val="005B73E2"/>
    <w:rsid w:val="005B75F1"/>
    <w:rsid w:val="005B7911"/>
    <w:rsid w:val="005C0B49"/>
    <w:rsid w:val="005C10CC"/>
    <w:rsid w:val="005C11D6"/>
    <w:rsid w:val="005C2B3D"/>
    <w:rsid w:val="005C3700"/>
    <w:rsid w:val="005C4FE0"/>
    <w:rsid w:val="005C55EC"/>
    <w:rsid w:val="005D0D56"/>
    <w:rsid w:val="005D20F7"/>
    <w:rsid w:val="005D2B7C"/>
    <w:rsid w:val="005D5770"/>
    <w:rsid w:val="005D6786"/>
    <w:rsid w:val="005D71E8"/>
    <w:rsid w:val="005E0873"/>
    <w:rsid w:val="005E0D9A"/>
    <w:rsid w:val="005E0F12"/>
    <w:rsid w:val="005E1140"/>
    <w:rsid w:val="005E251F"/>
    <w:rsid w:val="005E39EB"/>
    <w:rsid w:val="005E4773"/>
    <w:rsid w:val="005F0016"/>
    <w:rsid w:val="005F1BEC"/>
    <w:rsid w:val="005F3672"/>
    <w:rsid w:val="005F5CF4"/>
    <w:rsid w:val="005F60A5"/>
    <w:rsid w:val="005F7043"/>
    <w:rsid w:val="00602436"/>
    <w:rsid w:val="00606008"/>
    <w:rsid w:val="0061054F"/>
    <w:rsid w:val="00613358"/>
    <w:rsid w:val="00613564"/>
    <w:rsid w:val="0061528E"/>
    <w:rsid w:val="00617A4C"/>
    <w:rsid w:val="00617D0B"/>
    <w:rsid w:val="00621519"/>
    <w:rsid w:val="00623BFE"/>
    <w:rsid w:val="0062686B"/>
    <w:rsid w:val="00627D48"/>
    <w:rsid w:val="00631A95"/>
    <w:rsid w:val="0063223E"/>
    <w:rsid w:val="006335E4"/>
    <w:rsid w:val="00634D37"/>
    <w:rsid w:val="0063616E"/>
    <w:rsid w:val="00637114"/>
    <w:rsid w:val="00641798"/>
    <w:rsid w:val="00643FA1"/>
    <w:rsid w:val="00644311"/>
    <w:rsid w:val="006474AF"/>
    <w:rsid w:val="00647C30"/>
    <w:rsid w:val="006529BC"/>
    <w:rsid w:val="00652C25"/>
    <w:rsid w:val="006600A6"/>
    <w:rsid w:val="0066046D"/>
    <w:rsid w:val="0066282C"/>
    <w:rsid w:val="006656F1"/>
    <w:rsid w:val="0066642B"/>
    <w:rsid w:val="006705AF"/>
    <w:rsid w:val="00671B1B"/>
    <w:rsid w:val="006743CC"/>
    <w:rsid w:val="00674770"/>
    <w:rsid w:val="0067766E"/>
    <w:rsid w:val="00681084"/>
    <w:rsid w:val="006816D6"/>
    <w:rsid w:val="006859C5"/>
    <w:rsid w:val="00685C10"/>
    <w:rsid w:val="00690FD8"/>
    <w:rsid w:val="00691A94"/>
    <w:rsid w:val="00693BB1"/>
    <w:rsid w:val="00695784"/>
    <w:rsid w:val="006969FC"/>
    <w:rsid w:val="00696FE4"/>
    <w:rsid w:val="006A1FF0"/>
    <w:rsid w:val="006A50A6"/>
    <w:rsid w:val="006A5968"/>
    <w:rsid w:val="006B024E"/>
    <w:rsid w:val="006B1F9B"/>
    <w:rsid w:val="006B32E4"/>
    <w:rsid w:val="006B4689"/>
    <w:rsid w:val="006B56C7"/>
    <w:rsid w:val="006C0523"/>
    <w:rsid w:val="006C0D4F"/>
    <w:rsid w:val="006C1ECE"/>
    <w:rsid w:val="006C4582"/>
    <w:rsid w:val="006C463D"/>
    <w:rsid w:val="006C5B60"/>
    <w:rsid w:val="006C6444"/>
    <w:rsid w:val="006C78E2"/>
    <w:rsid w:val="006D107B"/>
    <w:rsid w:val="006D2338"/>
    <w:rsid w:val="006D35F1"/>
    <w:rsid w:val="006D47DE"/>
    <w:rsid w:val="006D4E11"/>
    <w:rsid w:val="006D6B97"/>
    <w:rsid w:val="006D7213"/>
    <w:rsid w:val="006E0F28"/>
    <w:rsid w:val="006E3891"/>
    <w:rsid w:val="006E3F2F"/>
    <w:rsid w:val="006E739C"/>
    <w:rsid w:val="006E757E"/>
    <w:rsid w:val="006F028E"/>
    <w:rsid w:val="006F046A"/>
    <w:rsid w:val="006F23C2"/>
    <w:rsid w:val="006F2EBA"/>
    <w:rsid w:val="006F3683"/>
    <w:rsid w:val="006F4BC2"/>
    <w:rsid w:val="006F527A"/>
    <w:rsid w:val="00700581"/>
    <w:rsid w:val="00700E7F"/>
    <w:rsid w:val="0070221B"/>
    <w:rsid w:val="0070261A"/>
    <w:rsid w:val="00703C57"/>
    <w:rsid w:val="00704968"/>
    <w:rsid w:val="00704DD6"/>
    <w:rsid w:val="007055F9"/>
    <w:rsid w:val="007108E5"/>
    <w:rsid w:val="007144C7"/>
    <w:rsid w:val="00716817"/>
    <w:rsid w:val="007169B2"/>
    <w:rsid w:val="00716FBE"/>
    <w:rsid w:val="00717360"/>
    <w:rsid w:val="0071787A"/>
    <w:rsid w:val="0072159A"/>
    <w:rsid w:val="00722F9A"/>
    <w:rsid w:val="00724DB0"/>
    <w:rsid w:val="007257DC"/>
    <w:rsid w:val="00726632"/>
    <w:rsid w:val="0073147C"/>
    <w:rsid w:val="00731F36"/>
    <w:rsid w:val="00731FF7"/>
    <w:rsid w:val="007350BC"/>
    <w:rsid w:val="0073586E"/>
    <w:rsid w:val="00735C1A"/>
    <w:rsid w:val="00736111"/>
    <w:rsid w:val="00736944"/>
    <w:rsid w:val="00742065"/>
    <w:rsid w:val="00746F1E"/>
    <w:rsid w:val="00747E08"/>
    <w:rsid w:val="007500C0"/>
    <w:rsid w:val="007512AD"/>
    <w:rsid w:val="0075227B"/>
    <w:rsid w:val="0075317F"/>
    <w:rsid w:val="007543D8"/>
    <w:rsid w:val="00756AAB"/>
    <w:rsid w:val="00757AB6"/>
    <w:rsid w:val="00757AFE"/>
    <w:rsid w:val="007612C5"/>
    <w:rsid w:val="00761721"/>
    <w:rsid w:val="007624E0"/>
    <w:rsid w:val="0076285B"/>
    <w:rsid w:val="00763695"/>
    <w:rsid w:val="00763950"/>
    <w:rsid w:val="007651DC"/>
    <w:rsid w:val="0076526D"/>
    <w:rsid w:val="00766A8D"/>
    <w:rsid w:val="00767F0B"/>
    <w:rsid w:val="007708D5"/>
    <w:rsid w:val="00771E28"/>
    <w:rsid w:val="00780A44"/>
    <w:rsid w:val="0078306B"/>
    <w:rsid w:val="00783227"/>
    <w:rsid w:val="0078333B"/>
    <w:rsid w:val="00783950"/>
    <w:rsid w:val="00784112"/>
    <w:rsid w:val="00787DDA"/>
    <w:rsid w:val="007909E0"/>
    <w:rsid w:val="007A1237"/>
    <w:rsid w:val="007A4A52"/>
    <w:rsid w:val="007A51EB"/>
    <w:rsid w:val="007A54A5"/>
    <w:rsid w:val="007A5BF6"/>
    <w:rsid w:val="007A69DD"/>
    <w:rsid w:val="007A7ABC"/>
    <w:rsid w:val="007B0017"/>
    <w:rsid w:val="007B2A42"/>
    <w:rsid w:val="007B3B2F"/>
    <w:rsid w:val="007B4644"/>
    <w:rsid w:val="007B465B"/>
    <w:rsid w:val="007B46A6"/>
    <w:rsid w:val="007B55E6"/>
    <w:rsid w:val="007C0062"/>
    <w:rsid w:val="007C35B6"/>
    <w:rsid w:val="007C427F"/>
    <w:rsid w:val="007C5D08"/>
    <w:rsid w:val="007C78FE"/>
    <w:rsid w:val="007D0C3B"/>
    <w:rsid w:val="007D290C"/>
    <w:rsid w:val="007D29BD"/>
    <w:rsid w:val="007D3CE1"/>
    <w:rsid w:val="007D4A73"/>
    <w:rsid w:val="007D501C"/>
    <w:rsid w:val="007D5BAA"/>
    <w:rsid w:val="007D5EE5"/>
    <w:rsid w:val="007E1C41"/>
    <w:rsid w:val="007E3124"/>
    <w:rsid w:val="007E3E5B"/>
    <w:rsid w:val="007E5A2A"/>
    <w:rsid w:val="007E7300"/>
    <w:rsid w:val="007F6278"/>
    <w:rsid w:val="007F6B7C"/>
    <w:rsid w:val="007F7261"/>
    <w:rsid w:val="007F7CE8"/>
    <w:rsid w:val="007F7DE3"/>
    <w:rsid w:val="00800BB6"/>
    <w:rsid w:val="008038A0"/>
    <w:rsid w:val="00805EFC"/>
    <w:rsid w:val="00806E20"/>
    <w:rsid w:val="00807929"/>
    <w:rsid w:val="0081118B"/>
    <w:rsid w:val="00811212"/>
    <w:rsid w:val="0081443B"/>
    <w:rsid w:val="008147FB"/>
    <w:rsid w:val="008148A2"/>
    <w:rsid w:val="00816F8A"/>
    <w:rsid w:val="0081773B"/>
    <w:rsid w:val="008201C7"/>
    <w:rsid w:val="0082209D"/>
    <w:rsid w:val="00824700"/>
    <w:rsid w:val="00824ABB"/>
    <w:rsid w:val="00827ED3"/>
    <w:rsid w:val="0083495F"/>
    <w:rsid w:val="00834EF3"/>
    <w:rsid w:val="008459A2"/>
    <w:rsid w:val="00850377"/>
    <w:rsid w:val="00852128"/>
    <w:rsid w:val="0085215F"/>
    <w:rsid w:val="008530DD"/>
    <w:rsid w:val="008539C4"/>
    <w:rsid w:val="0085596F"/>
    <w:rsid w:val="00856529"/>
    <w:rsid w:val="00856F3C"/>
    <w:rsid w:val="00857817"/>
    <w:rsid w:val="00861847"/>
    <w:rsid w:val="008629FA"/>
    <w:rsid w:val="008714AB"/>
    <w:rsid w:val="008719D0"/>
    <w:rsid w:val="008721DC"/>
    <w:rsid w:val="00872839"/>
    <w:rsid w:val="008746A7"/>
    <w:rsid w:val="008748F3"/>
    <w:rsid w:val="00881C08"/>
    <w:rsid w:val="00884220"/>
    <w:rsid w:val="00885709"/>
    <w:rsid w:val="00885896"/>
    <w:rsid w:val="00886A1C"/>
    <w:rsid w:val="00887214"/>
    <w:rsid w:val="0088769C"/>
    <w:rsid w:val="0089156D"/>
    <w:rsid w:val="008915ED"/>
    <w:rsid w:val="00894F1A"/>
    <w:rsid w:val="00896EDB"/>
    <w:rsid w:val="008A1F58"/>
    <w:rsid w:val="008A26A3"/>
    <w:rsid w:val="008A2F7C"/>
    <w:rsid w:val="008A3C47"/>
    <w:rsid w:val="008A4D6E"/>
    <w:rsid w:val="008B06BA"/>
    <w:rsid w:val="008B14C9"/>
    <w:rsid w:val="008B3134"/>
    <w:rsid w:val="008B5FD5"/>
    <w:rsid w:val="008B67D3"/>
    <w:rsid w:val="008C1AD3"/>
    <w:rsid w:val="008C4E79"/>
    <w:rsid w:val="008C5776"/>
    <w:rsid w:val="008D4AC0"/>
    <w:rsid w:val="008D5873"/>
    <w:rsid w:val="008D7F3A"/>
    <w:rsid w:val="008E4F1E"/>
    <w:rsid w:val="008E5936"/>
    <w:rsid w:val="008F0330"/>
    <w:rsid w:val="008F1DAB"/>
    <w:rsid w:val="008F2CB9"/>
    <w:rsid w:val="008F403F"/>
    <w:rsid w:val="009012C0"/>
    <w:rsid w:val="0090185D"/>
    <w:rsid w:val="00905DB2"/>
    <w:rsid w:val="009067ED"/>
    <w:rsid w:val="0090778B"/>
    <w:rsid w:val="009110C8"/>
    <w:rsid w:val="009110E4"/>
    <w:rsid w:val="009118CB"/>
    <w:rsid w:val="00912662"/>
    <w:rsid w:val="00913DCF"/>
    <w:rsid w:val="0091459D"/>
    <w:rsid w:val="00914B1E"/>
    <w:rsid w:val="00915261"/>
    <w:rsid w:val="009152DA"/>
    <w:rsid w:val="0091575B"/>
    <w:rsid w:val="00915BD2"/>
    <w:rsid w:val="00917B57"/>
    <w:rsid w:val="00917CE8"/>
    <w:rsid w:val="00921756"/>
    <w:rsid w:val="009229A9"/>
    <w:rsid w:val="0092498A"/>
    <w:rsid w:val="00925396"/>
    <w:rsid w:val="00925B81"/>
    <w:rsid w:val="00925D0C"/>
    <w:rsid w:val="00926C62"/>
    <w:rsid w:val="009306A8"/>
    <w:rsid w:val="00932284"/>
    <w:rsid w:val="00934B77"/>
    <w:rsid w:val="0093620C"/>
    <w:rsid w:val="00936E26"/>
    <w:rsid w:val="00937734"/>
    <w:rsid w:val="00940CDE"/>
    <w:rsid w:val="00940DBE"/>
    <w:rsid w:val="00942985"/>
    <w:rsid w:val="00943072"/>
    <w:rsid w:val="00943C8C"/>
    <w:rsid w:val="00944173"/>
    <w:rsid w:val="00944AD9"/>
    <w:rsid w:val="00945189"/>
    <w:rsid w:val="009466D5"/>
    <w:rsid w:val="00951053"/>
    <w:rsid w:val="00951067"/>
    <w:rsid w:val="00952B98"/>
    <w:rsid w:val="00953003"/>
    <w:rsid w:val="009537D9"/>
    <w:rsid w:val="00954471"/>
    <w:rsid w:val="0095449D"/>
    <w:rsid w:val="00956C7B"/>
    <w:rsid w:val="00960871"/>
    <w:rsid w:val="00960BD2"/>
    <w:rsid w:val="00961008"/>
    <w:rsid w:val="00961EAD"/>
    <w:rsid w:val="00963E49"/>
    <w:rsid w:val="00965C53"/>
    <w:rsid w:val="00967E70"/>
    <w:rsid w:val="009703A2"/>
    <w:rsid w:val="00971F61"/>
    <w:rsid w:val="009744EF"/>
    <w:rsid w:val="00975502"/>
    <w:rsid w:val="009768B5"/>
    <w:rsid w:val="00981429"/>
    <w:rsid w:val="0099011E"/>
    <w:rsid w:val="00990734"/>
    <w:rsid w:val="00992027"/>
    <w:rsid w:val="009928B8"/>
    <w:rsid w:val="00993648"/>
    <w:rsid w:val="00994163"/>
    <w:rsid w:val="009964F7"/>
    <w:rsid w:val="009967D3"/>
    <w:rsid w:val="009A30DB"/>
    <w:rsid w:val="009A4604"/>
    <w:rsid w:val="009B0A33"/>
    <w:rsid w:val="009B1E59"/>
    <w:rsid w:val="009B3461"/>
    <w:rsid w:val="009B4BAE"/>
    <w:rsid w:val="009B639B"/>
    <w:rsid w:val="009B78DC"/>
    <w:rsid w:val="009B7AAD"/>
    <w:rsid w:val="009C1107"/>
    <w:rsid w:val="009C210F"/>
    <w:rsid w:val="009C4300"/>
    <w:rsid w:val="009C4DD6"/>
    <w:rsid w:val="009C55D8"/>
    <w:rsid w:val="009C6422"/>
    <w:rsid w:val="009C6EB5"/>
    <w:rsid w:val="009C774D"/>
    <w:rsid w:val="009D27CC"/>
    <w:rsid w:val="009D2FCC"/>
    <w:rsid w:val="009D3C60"/>
    <w:rsid w:val="009D483C"/>
    <w:rsid w:val="009D4DF7"/>
    <w:rsid w:val="009D5E8F"/>
    <w:rsid w:val="009D6C4A"/>
    <w:rsid w:val="009E0628"/>
    <w:rsid w:val="009E09B2"/>
    <w:rsid w:val="009E7373"/>
    <w:rsid w:val="009E7FF7"/>
    <w:rsid w:val="009F06F6"/>
    <w:rsid w:val="009F6922"/>
    <w:rsid w:val="00A05DB4"/>
    <w:rsid w:val="00A05E9C"/>
    <w:rsid w:val="00A062DC"/>
    <w:rsid w:val="00A062E5"/>
    <w:rsid w:val="00A0731B"/>
    <w:rsid w:val="00A0765B"/>
    <w:rsid w:val="00A10AA8"/>
    <w:rsid w:val="00A11FCF"/>
    <w:rsid w:val="00A13BE1"/>
    <w:rsid w:val="00A16505"/>
    <w:rsid w:val="00A1689A"/>
    <w:rsid w:val="00A17310"/>
    <w:rsid w:val="00A21874"/>
    <w:rsid w:val="00A22B42"/>
    <w:rsid w:val="00A22E12"/>
    <w:rsid w:val="00A24554"/>
    <w:rsid w:val="00A26715"/>
    <w:rsid w:val="00A27090"/>
    <w:rsid w:val="00A27F3C"/>
    <w:rsid w:val="00A32257"/>
    <w:rsid w:val="00A32AC1"/>
    <w:rsid w:val="00A336B2"/>
    <w:rsid w:val="00A34D06"/>
    <w:rsid w:val="00A363F7"/>
    <w:rsid w:val="00A432A1"/>
    <w:rsid w:val="00A44AD8"/>
    <w:rsid w:val="00A462BC"/>
    <w:rsid w:val="00A472B0"/>
    <w:rsid w:val="00A4732F"/>
    <w:rsid w:val="00A4761D"/>
    <w:rsid w:val="00A500AF"/>
    <w:rsid w:val="00A518E8"/>
    <w:rsid w:val="00A52F3A"/>
    <w:rsid w:val="00A538BB"/>
    <w:rsid w:val="00A542F8"/>
    <w:rsid w:val="00A54800"/>
    <w:rsid w:val="00A56CD4"/>
    <w:rsid w:val="00A5721E"/>
    <w:rsid w:val="00A60349"/>
    <w:rsid w:val="00A637B8"/>
    <w:rsid w:val="00A64709"/>
    <w:rsid w:val="00A6491A"/>
    <w:rsid w:val="00A74E4D"/>
    <w:rsid w:val="00A758ED"/>
    <w:rsid w:val="00A77D47"/>
    <w:rsid w:val="00A77D77"/>
    <w:rsid w:val="00A812AE"/>
    <w:rsid w:val="00A82B59"/>
    <w:rsid w:val="00A85436"/>
    <w:rsid w:val="00A854FB"/>
    <w:rsid w:val="00A85BD9"/>
    <w:rsid w:val="00A900A9"/>
    <w:rsid w:val="00A93B11"/>
    <w:rsid w:val="00A95E7B"/>
    <w:rsid w:val="00A96091"/>
    <w:rsid w:val="00A96C1A"/>
    <w:rsid w:val="00AA00EA"/>
    <w:rsid w:val="00AA0108"/>
    <w:rsid w:val="00AA1F14"/>
    <w:rsid w:val="00AA3675"/>
    <w:rsid w:val="00AA605A"/>
    <w:rsid w:val="00AA6B1B"/>
    <w:rsid w:val="00AB05E6"/>
    <w:rsid w:val="00AB2882"/>
    <w:rsid w:val="00AB2C9B"/>
    <w:rsid w:val="00AB3684"/>
    <w:rsid w:val="00AB720C"/>
    <w:rsid w:val="00AC1321"/>
    <w:rsid w:val="00AC1C8A"/>
    <w:rsid w:val="00AC29B6"/>
    <w:rsid w:val="00AC6BAC"/>
    <w:rsid w:val="00AD0E37"/>
    <w:rsid w:val="00AD293E"/>
    <w:rsid w:val="00AD3851"/>
    <w:rsid w:val="00AD5692"/>
    <w:rsid w:val="00AE320C"/>
    <w:rsid w:val="00AE6EB2"/>
    <w:rsid w:val="00AE7FF8"/>
    <w:rsid w:val="00AF0641"/>
    <w:rsid w:val="00AF18B8"/>
    <w:rsid w:val="00AF25CA"/>
    <w:rsid w:val="00AF3A25"/>
    <w:rsid w:val="00AF4824"/>
    <w:rsid w:val="00AF73A5"/>
    <w:rsid w:val="00B00DB9"/>
    <w:rsid w:val="00B06247"/>
    <w:rsid w:val="00B0720E"/>
    <w:rsid w:val="00B07EB5"/>
    <w:rsid w:val="00B10892"/>
    <w:rsid w:val="00B12562"/>
    <w:rsid w:val="00B12D4A"/>
    <w:rsid w:val="00B12F9A"/>
    <w:rsid w:val="00B14406"/>
    <w:rsid w:val="00B15349"/>
    <w:rsid w:val="00B17279"/>
    <w:rsid w:val="00B17A5C"/>
    <w:rsid w:val="00B20F6B"/>
    <w:rsid w:val="00B2146D"/>
    <w:rsid w:val="00B22643"/>
    <w:rsid w:val="00B2686C"/>
    <w:rsid w:val="00B272F0"/>
    <w:rsid w:val="00B27D90"/>
    <w:rsid w:val="00B31470"/>
    <w:rsid w:val="00B314ED"/>
    <w:rsid w:val="00B3421E"/>
    <w:rsid w:val="00B35C12"/>
    <w:rsid w:val="00B373BE"/>
    <w:rsid w:val="00B375E0"/>
    <w:rsid w:val="00B401C8"/>
    <w:rsid w:val="00B43C76"/>
    <w:rsid w:val="00B5339D"/>
    <w:rsid w:val="00B555E8"/>
    <w:rsid w:val="00B60BDA"/>
    <w:rsid w:val="00B61309"/>
    <w:rsid w:val="00B615D4"/>
    <w:rsid w:val="00B62149"/>
    <w:rsid w:val="00B63944"/>
    <w:rsid w:val="00B657E6"/>
    <w:rsid w:val="00B65A2E"/>
    <w:rsid w:val="00B668FA"/>
    <w:rsid w:val="00B678DF"/>
    <w:rsid w:val="00B72200"/>
    <w:rsid w:val="00B72FAF"/>
    <w:rsid w:val="00B7542E"/>
    <w:rsid w:val="00B757D0"/>
    <w:rsid w:val="00B75999"/>
    <w:rsid w:val="00B81AD4"/>
    <w:rsid w:val="00B8269E"/>
    <w:rsid w:val="00B8294F"/>
    <w:rsid w:val="00B831B0"/>
    <w:rsid w:val="00B84EA2"/>
    <w:rsid w:val="00B85B3C"/>
    <w:rsid w:val="00B85B46"/>
    <w:rsid w:val="00B872F1"/>
    <w:rsid w:val="00B95B50"/>
    <w:rsid w:val="00B960D8"/>
    <w:rsid w:val="00BA07CC"/>
    <w:rsid w:val="00BA144E"/>
    <w:rsid w:val="00BA19C4"/>
    <w:rsid w:val="00BA309F"/>
    <w:rsid w:val="00BA7304"/>
    <w:rsid w:val="00BB0492"/>
    <w:rsid w:val="00BB0EE1"/>
    <w:rsid w:val="00BB1D0F"/>
    <w:rsid w:val="00BB582C"/>
    <w:rsid w:val="00BB7026"/>
    <w:rsid w:val="00BB7430"/>
    <w:rsid w:val="00BC59CB"/>
    <w:rsid w:val="00BC611A"/>
    <w:rsid w:val="00BC6842"/>
    <w:rsid w:val="00BD04E9"/>
    <w:rsid w:val="00BD19A5"/>
    <w:rsid w:val="00BD21E5"/>
    <w:rsid w:val="00BD3424"/>
    <w:rsid w:val="00BD5710"/>
    <w:rsid w:val="00BD6237"/>
    <w:rsid w:val="00BD6949"/>
    <w:rsid w:val="00BD69A9"/>
    <w:rsid w:val="00BE0966"/>
    <w:rsid w:val="00BE1499"/>
    <w:rsid w:val="00BE1AC6"/>
    <w:rsid w:val="00BE3718"/>
    <w:rsid w:val="00BE39E2"/>
    <w:rsid w:val="00BF2A23"/>
    <w:rsid w:val="00BF366C"/>
    <w:rsid w:val="00BF4E53"/>
    <w:rsid w:val="00BF4F35"/>
    <w:rsid w:val="00BF545C"/>
    <w:rsid w:val="00C0098B"/>
    <w:rsid w:val="00C0234A"/>
    <w:rsid w:val="00C03DDD"/>
    <w:rsid w:val="00C04352"/>
    <w:rsid w:val="00C04CF1"/>
    <w:rsid w:val="00C05609"/>
    <w:rsid w:val="00C06351"/>
    <w:rsid w:val="00C06D6F"/>
    <w:rsid w:val="00C06F19"/>
    <w:rsid w:val="00C071E7"/>
    <w:rsid w:val="00C07607"/>
    <w:rsid w:val="00C10762"/>
    <w:rsid w:val="00C10AC3"/>
    <w:rsid w:val="00C11DC7"/>
    <w:rsid w:val="00C126E0"/>
    <w:rsid w:val="00C12AB1"/>
    <w:rsid w:val="00C1302C"/>
    <w:rsid w:val="00C16D4A"/>
    <w:rsid w:val="00C170CA"/>
    <w:rsid w:val="00C17F8B"/>
    <w:rsid w:val="00C21FFC"/>
    <w:rsid w:val="00C231B5"/>
    <w:rsid w:val="00C24450"/>
    <w:rsid w:val="00C24949"/>
    <w:rsid w:val="00C24A17"/>
    <w:rsid w:val="00C25E87"/>
    <w:rsid w:val="00C26377"/>
    <w:rsid w:val="00C27047"/>
    <w:rsid w:val="00C30A15"/>
    <w:rsid w:val="00C31660"/>
    <w:rsid w:val="00C31BB4"/>
    <w:rsid w:val="00C32D15"/>
    <w:rsid w:val="00C3687E"/>
    <w:rsid w:val="00C379A5"/>
    <w:rsid w:val="00C43267"/>
    <w:rsid w:val="00C45BF1"/>
    <w:rsid w:val="00C46428"/>
    <w:rsid w:val="00C509B0"/>
    <w:rsid w:val="00C50FEB"/>
    <w:rsid w:val="00C526BF"/>
    <w:rsid w:val="00C5546F"/>
    <w:rsid w:val="00C55994"/>
    <w:rsid w:val="00C56898"/>
    <w:rsid w:val="00C57958"/>
    <w:rsid w:val="00C60F2D"/>
    <w:rsid w:val="00C61988"/>
    <w:rsid w:val="00C61B91"/>
    <w:rsid w:val="00C61CD9"/>
    <w:rsid w:val="00C62489"/>
    <w:rsid w:val="00C62980"/>
    <w:rsid w:val="00C62D3D"/>
    <w:rsid w:val="00C62F22"/>
    <w:rsid w:val="00C63110"/>
    <w:rsid w:val="00C63F14"/>
    <w:rsid w:val="00C658E8"/>
    <w:rsid w:val="00C74B54"/>
    <w:rsid w:val="00C77297"/>
    <w:rsid w:val="00C83BB4"/>
    <w:rsid w:val="00C83E36"/>
    <w:rsid w:val="00C852EA"/>
    <w:rsid w:val="00C85307"/>
    <w:rsid w:val="00C86383"/>
    <w:rsid w:val="00C87E9B"/>
    <w:rsid w:val="00C91643"/>
    <w:rsid w:val="00C9382C"/>
    <w:rsid w:val="00C964CD"/>
    <w:rsid w:val="00C96D5C"/>
    <w:rsid w:val="00CA0E0A"/>
    <w:rsid w:val="00CA23EC"/>
    <w:rsid w:val="00CA48BF"/>
    <w:rsid w:val="00CA5097"/>
    <w:rsid w:val="00CA7636"/>
    <w:rsid w:val="00CB0B2C"/>
    <w:rsid w:val="00CB0D12"/>
    <w:rsid w:val="00CB3D2A"/>
    <w:rsid w:val="00CB3DD7"/>
    <w:rsid w:val="00CB3F62"/>
    <w:rsid w:val="00CB623C"/>
    <w:rsid w:val="00CB7193"/>
    <w:rsid w:val="00CC0B35"/>
    <w:rsid w:val="00CC2DE5"/>
    <w:rsid w:val="00CC4B2E"/>
    <w:rsid w:val="00CC4E7A"/>
    <w:rsid w:val="00CC73B3"/>
    <w:rsid w:val="00CC7D02"/>
    <w:rsid w:val="00CD1398"/>
    <w:rsid w:val="00CD2EE9"/>
    <w:rsid w:val="00CD3CFA"/>
    <w:rsid w:val="00CD4606"/>
    <w:rsid w:val="00CD6BA6"/>
    <w:rsid w:val="00CE0352"/>
    <w:rsid w:val="00CE036B"/>
    <w:rsid w:val="00CE06CE"/>
    <w:rsid w:val="00CE2103"/>
    <w:rsid w:val="00CE211C"/>
    <w:rsid w:val="00CE31D4"/>
    <w:rsid w:val="00CE3263"/>
    <w:rsid w:val="00CE3FF0"/>
    <w:rsid w:val="00CE4D0D"/>
    <w:rsid w:val="00CE4D38"/>
    <w:rsid w:val="00CE59E9"/>
    <w:rsid w:val="00CE65C1"/>
    <w:rsid w:val="00CE7C23"/>
    <w:rsid w:val="00CF20AA"/>
    <w:rsid w:val="00CF2318"/>
    <w:rsid w:val="00CF280F"/>
    <w:rsid w:val="00CF3714"/>
    <w:rsid w:val="00CF45C9"/>
    <w:rsid w:val="00CF6023"/>
    <w:rsid w:val="00CF658F"/>
    <w:rsid w:val="00D0038B"/>
    <w:rsid w:val="00D01707"/>
    <w:rsid w:val="00D0238A"/>
    <w:rsid w:val="00D02458"/>
    <w:rsid w:val="00D02B0C"/>
    <w:rsid w:val="00D02D1C"/>
    <w:rsid w:val="00D06C49"/>
    <w:rsid w:val="00D06F4E"/>
    <w:rsid w:val="00D118E0"/>
    <w:rsid w:val="00D119ED"/>
    <w:rsid w:val="00D128E0"/>
    <w:rsid w:val="00D14229"/>
    <w:rsid w:val="00D1452A"/>
    <w:rsid w:val="00D15F13"/>
    <w:rsid w:val="00D17316"/>
    <w:rsid w:val="00D210AA"/>
    <w:rsid w:val="00D225D5"/>
    <w:rsid w:val="00D23B17"/>
    <w:rsid w:val="00D24670"/>
    <w:rsid w:val="00D267ED"/>
    <w:rsid w:val="00D3096A"/>
    <w:rsid w:val="00D34BDB"/>
    <w:rsid w:val="00D36EC3"/>
    <w:rsid w:val="00D42E82"/>
    <w:rsid w:val="00D43B4A"/>
    <w:rsid w:val="00D47768"/>
    <w:rsid w:val="00D50054"/>
    <w:rsid w:val="00D517E1"/>
    <w:rsid w:val="00D51C04"/>
    <w:rsid w:val="00D52C4F"/>
    <w:rsid w:val="00D52CDF"/>
    <w:rsid w:val="00D551C9"/>
    <w:rsid w:val="00D562DC"/>
    <w:rsid w:val="00D61813"/>
    <w:rsid w:val="00D61C68"/>
    <w:rsid w:val="00D637A5"/>
    <w:rsid w:val="00D648FB"/>
    <w:rsid w:val="00D64C9F"/>
    <w:rsid w:val="00D65619"/>
    <w:rsid w:val="00D659BB"/>
    <w:rsid w:val="00D65A42"/>
    <w:rsid w:val="00D65AC8"/>
    <w:rsid w:val="00D65D3A"/>
    <w:rsid w:val="00D6702A"/>
    <w:rsid w:val="00D675E0"/>
    <w:rsid w:val="00D67DA8"/>
    <w:rsid w:val="00D71DC6"/>
    <w:rsid w:val="00D73D01"/>
    <w:rsid w:val="00D762CB"/>
    <w:rsid w:val="00D77DD3"/>
    <w:rsid w:val="00D80A2D"/>
    <w:rsid w:val="00D8263E"/>
    <w:rsid w:val="00D86B77"/>
    <w:rsid w:val="00D913EF"/>
    <w:rsid w:val="00D91558"/>
    <w:rsid w:val="00D93180"/>
    <w:rsid w:val="00D9371C"/>
    <w:rsid w:val="00D9441E"/>
    <w:rsid w:val="00D95284"/>
    <w:rsid w:val="00D9615D"/>
    <w:rsid w:val="00DA0C26"/>
    <w:rsid w:val="00DA0D4F"/>
    <w:rsid w:val="00DA2529"/>
    <w:rsid w:val="00DA3363"/>
    <w:rsid w:val="00DA3B72"/>
    <w:rsid w:val="00DA4CD6"/>
    <w:rsid w:val="00DA4DE6"/>
    <w:rsid w:val="00DA568C"/>
    <w:rsid w:val="00DA56FB"/>
    <w:rsid w:val="00DA76A6"/>
    <w:rsid w:val="00DB0110"/>
    <w:rsid w:val="00DB04C1"/>
    <w:rsid w:val="00DB30C4"/>
    <w:rsid w:val="00DB370E"/>
    <w:rsid w:val="00DB54FC"/>
    <w:rsid w:val="00DC0058"/>
    <w:rsid w:val="00DC332E"/>
    <w:rsid w:val="00DC4FAB"/>
    <w:rsid w:val="00DC6F9C"/>
    <w:rsid w:val="00DD47D9"/>
    <w:rsid w:val="00DD5E77"/>
    <w:rsid w:val="00DE0F48"/>
    <w:rsid w:val="00DE5FFA"/>
    <w:rsid w:val="00DE6D21"/>
    <w:rsid w:val="00DE7F95"/>
    <w:rsid w:val="00DF021F"/>
    <w:rsid w:val="00DF05F1"/>
    <w:rsid w:val="00DF18E9"/>
    <w:rsid w:val="00DF2378"/>
    <w:rsid w:val="00DF2BD9"/>
    <w:rsid w:val="00DF35F7"/>
    <w:rsid w:val="00DF47F6"/>
    <w:rsid w:val="00DF4EA6"/>
    <w:rsid w:val="00DF50A4"/>
    <w:rsid w:val="00DF5321"/>
    <w:rsid w:val="00DF6BCC"/>
    <w:rsid w:val="00DF7F06"/>
    <w:rsid w:val="00E011EA"/>
    <w:rsid w:val="00E01A7D"/>
    <w:rsid w:val="00E0346E"/>
    <w:rsid w:val="00E0413B"/>
    <w:rsid w:val="00E04C8C"/>
    <w:rsid w:val="00E04EDD"/>
    <w:rsid w:val="00E051BD"/>
    <w:rsid w:val="00E05541"/>
    <w:rsid w:val="00E075E9"/>
    <w:rsid w:val="00E078E1"/>
    <w:rsid w:val="00E10028"/>
    <w:rsid w:val="00E11E64"/>
    <w:rsid w:val="00E1339C"/>
    <w:rsid w:val="00E13422"/>
    <w:rsid w:val="00E13F1F"/>
    <w:rsid w:val="00E16BEE"/>
    <w:rsid w:val="00E171D3"/>
    <w:rsid w:val="00E20BF7"/>
    <w:rsid w:val="00E214AB"/>
    <w:rsid w:val="00E21D90"/>
    <w:rsid w:val="00E220A1"/>
    <w:rsid w:val="00E227FD"/>
    <w:rsid w:val="00E23047"/>
    <w:rsid w:val="00E23D75"/>
    <w:rsid w:val="00E261DB"/>
    <w:rsid w:val="00E319D3"/>
    <w:rsid w:val="00E329A0"/>
    <w:rsid w:val="00E34683"/>
    <w:rsid w:val="00E40E0C"/>
    <w:rsid w:val="00E42420"/>
    <w:rsid w:val="00E43404"/>
    <w:rsid w:val="00E43561"/>
    <w:rsid w:val="00E43FC1"/>
    <w:rsid w:val="00E465F6"/>
    <w:rsid w:val="00E504C4"/>
    <w:rsid w:val="00E5534C"/>
    <w:rsid w:val="00E557DA"/>
    <w:rsid w:val="00E55A3E"/>
    <w:rsid w:val="00E56B47"/>
    <w:rsid w:val="00E573BE"/>
    <w:rsid w:val="00E576CB"/>
    <w:rsid w:val="00E60328"/>
    <w:rsid w:val="00E60442"/>
    <w:rsid w:val="00E626CC"/>
    <w:rsid w:val="00E63DE1"/>
    <w:rsid w:val="00E6528B"/>
    <w:rsid w:val="00E652BC"/>
    <w:rsid w:val="00E66652"/>
    <w:rsid w:val="00E66D09"/>
    <w:rsid w:val="00E67C1B"/>
    <w:rsid w:val="00E7082B"/>
    <w:rsid w:val="00E76B2E"/>
    <w:rsid w:val="00E808BA"/>
    <w:rsid w:val="00E84A48"/>
    <w:rsid w:val="00E86A2B"/>
    <w:rsid w:val="00E87798"/>
    <w:rsid w:val="00E9394F"/>
    <w:rsid w:val="00E93BD9"/>
    <w:rsid w:val="00E9605A"/>
    <w:rsid w:val="00E96DEC"/>
    <w:rsid w:val="00E96FA7"/>
    <w:rsid w:val="00E97E65"/>
    <w:rsid w:val="00EA2C18"/>
    <w:rsid w:val="00EA55AB"/>
    <w:rsid w:val="00EA6BBE"/>
    <w:rsid w:val="00EA7995"/>
    <w:rsid w:val="00EA7B99"/>
    <w:rsid w:val="00EA7D6E"/>
    <w:rsid w:val="00EB14B4"/>
    <w:rsid w:val="00EB2450"/>
    <w:rsid w:val="00EB37EA"/>
    <w:rsid w:val="00EB3827"/>
    <w:rsid w:val="00EB669C"/>
    <w:rsid w:val="00EB752F"/>
    <w:rsid w:val="00EC0272"/>
    <w:rsid w:val="00EC1C7D"/>
    <w:rsid w:val="00EC20A8"/>
    <w:rsid w:val="00EC65B0"/>
    <w:rsid w:val="00EC7D09"/>
    <w:rsid w:val="00ED3EE9"/>
    <w:rsid w:val="00ED4307"/>
    <w:rsid w:val="00ED4BCB"/>
    <w:rsid w:val="00ED7638"/>
    <w:rsid w:val="00EE0427"/>
    <w:rsid w:val="00EE0743"/>
    <w:rsid w:val="00EE09E8"/>
    <w:rsid w:val="00EE0C87"/>
    <w:rsid w:val="00EE19B9"/>
    <w:rsid w:val="00EE1FE1"/>
    <w:rsid w:val="00EE248D"/>
    <w:rsid w:val="00EE3981"/>
    <w:rsid w:val="00EE3D3B"/>
    <w:rsid w:val="00EE3E55"/>
    <w:rsid w:val="00EE434F"/>
    <w:rsid w:val="00EE57E6"/>
    <w:rsid w:val="00EF0691"/>
    <w:rsid w:val="00EF11F8"/>
    <w:rsid w:val="00EF4A7D"/>
    <w:rsid w:val="00EF5E59"/>
    <w:rsid w:val="00EF66ED"/>
    <w:rsid w:val="00F022CB"/>
    <w:rsid w:val="00F024B8"/>
    <w:rsid w:val="00F03461"/>
    <w:rsid w:val="00F0347A"/>
    <w:rsid w:val="00F03850"/>
    <w:rsid w:val="00F040B3"/>
    <w:rsid w:val="00F04547"/>
    <w:rsid w:val="00F047B7"/>
    <w:rsid w:val="00F062AC"/>
    <w:rsid w:val="00F07452"/>
    <w:rsid w:val="00F105DB"/>
    <w:rsid w:val="00F113D4"/>
    <w:rsid w:val="00F1400C"/>
    <w:rsid w:val="00F14363"/>
    <w:rsid w:val="00F145C2"/>
    <w:rsid w:val="00F14788"/>
    <w:rsid w:val="00F151FC"/>
    <w:rsid w:val="00F155B8"/>
    <w:rsid w:val="00F20EAC"/>
    <w:rsid w:val="00F237D4"/>
    <w:rsid w:val="00F23CC4"/>
    <w:rsid w:val="00F248BB"/>
    <w:rsid w:val="00F26447"/>
    <w:rsid w:val="00F272B1"/>
    <w:rsid w:val="00F27DE7"/>
    <w:rsid w:val="00F3328A"/>
    <w:rsid w:val="00F33943"/>
    <w:rsid w:val="00F342E7"/>
    <w:rsid w:val="00F364A4"/>
    <w:rsid w:val="00F365B8"/>
    <w:rsid w:val="00F376C2"/>
    <w:rsid w:val="00F416B7"/>
    <w:rsid w:val="00F453A1"/>
    <w:rsid w:val="00F470D9"/>
    <w:rsid w:val="00F501B2"/>
    <w:rsid w:val="00F51C11"/>
    <w:rsid w:val="00F521F0"/>
    <w:rsid w:val="00F5322C"/>
    <w:rsid w:val="00F5619E"/>
    <w:rsid w:val="00F61893"/>
    <w:rsid w:val="00F6246D"/>
    <w:rsid w:val="00F62F44"/>
    <w:rsid w:val="00F728C8"/>
    <w:rsid w:val="00F83ED8"/>
    <w:rsid w:val="00F85112"/>
    <w:rsid w:val="00F8520E"/>
    <w:rsid w:val="00F85A79"/>
    <w:rsid w:val="00F863A9"/>
    <w:rsid w:val="00F8716E"/>
    <w:rsid w:val="00F90BD3"/>
    <w:rsid w:val="00F911D2"/>
    <w:rsid w:val="00F91443"/>
    <w:rsid w:val="00F915EA"/>
    <w:rsid w:val="00F93344"/>
    <w:rsid w:val="00F94F41"/>
    <w:rsid w:val="00F95924"/>
    <w:rsid w:val="00F969A8"/>
    <w:rsid w:val="00F96DDD"/>
    <w:rsid w:val="00F9757A"/>
    <w:rsid w:val="00FA1BEF"/>
    <w:rsid w:val="00FA3905"/>
    <w:rsid w:val="00FA78A1"/>
    <w:rsid w:val="00FB0EF3"/>
    <w:rsid w:val="00FB1503"/>
    <w:rsid w:val="00FB41BB"/>
    <w:rsid w:val="00FB5E02"/>
    <w:rsid w:val="00FB6C2D"/>
    <w:rsid w:val="00FC29DB"/>
    <w:rsid w:val="00FC4C7D"/>
    <w:rsid w:val="00FC6617"/>
    <w:rsid w:val="00FC7C28"/>
    <w:rsid w:val="00FD06D8"/>
    <w:rsid w:val="00FD1DC1"/>
    <w:rsid w:val="00FD2276"/>
    <w:rsid w:val="00FD4838"/>
    <w:rsid w:val="00FD5FE1"/>
    <w:rsid w:val="00FD7A90"/>
    <w:rsid w:val="00FE01B7"/>
    <w:rsid w:val="00FE0D19"/>
    <w:rsid w:val="00FE0FD1"/>
    <w:rsid w:val="00FE18BB"/>
    <w:rsid w:val="00FE1C91"/>
    <w:rsid w:val="00FE1D23"/>
    <w:rsid w:val="00FE267D"/>
    <w:rsid w:val="00FE2963"/>
    <w:rsid w:val="00FE38AA"/>
    <w:rsid w:val="00FE3E6A"/>
    <w:rsid w:val="00FE4494"/>
    <w:rsid w:val="00FE6433"/>
    <w:rsid w:val="00FE74D5"/>
    <w:rsid w:val="00FE7AC1"/>
    <w:rsid w:val="00FF0EE3"/>
    <w:rsid w:val="00FF2950"/>
    <w:rsid w:val="00FF3065"/>
    <w:rsid w:val="00FF33C1"/>
    <w:rsid w:val="00FF4F2E"/>
    <w:rsid w:val="00FF50C9"/>
    <w:rsid w:val="00FF66C9"/>
    <w:rsid w:val="0457C926"/>
    <w:rsid w:val="0ACC98B3"/>
    <w:rsid w:val="0C34DFCD"/>
    <w:rsid w:val="0D5C2C07"/>
    <w:rsid w:val="0D648E15"/>
    <w:rsid w:val="0DA0FABD"/>
    <w:rsid w:val="110850F0"/>
    <w:rsid w:val="12A42151"/>
    <w:rsid w:val="12C9F093"/>
    <w:rsid w:val="134AC5F9"/>
    <w:rsid w:val="143FF1B2"/>
    <w:rsid w:val="16E9E5F0"/>
    <w:rsid w:val="1838A249"/>
    <w:rsid w:val="1A2186B2"/>
    <w:rsid w:val="1B730A08"/>
    <w:rsid w:val="1BBD5713"/>
    <w:rsid w:val="211BD6B3"/>
    <w:rsid w:val="26E5A8D0"/>
    <w:rsid w:val="29310E7D"/>
    <w:rsid w:val="2AE9C079"/>
    <w:rsid w:val="2D3846AE"/>
    <w:rsid w:val="2E630E31"/>
    <w:rsid w:val="307362B9"/>
    <w:rsid w:val="33777DFA"/>
    <w:rsid w:val="3569224C"/>
    <w:rsid w:val="3621354E"/>
    <w:rsid w:val="37089D26"/>
    <w:rsid w:val="38866224"/>
    <w:rsid w:val="3A45AEEA"/>
    <w:rsid w:val="3CCF263F"/>
    <w:rsid w:val="3D0A4303"/>
    <w:rsid w:val="3D59D347"/>
    <w:rsid w:val="401CF598"/>
    <w:rsid w:val="4169C356"/>
    <w:rsid w:val="417D4976"/>
    <w:rsid w:val="41D4E82E"/>
    <w:rsid w:val="44D9E240"/>
    <w:rsid w:val="47685E2F"/>
    <w:rsid w:val="47E6ED19"/>
    <w:rsid w:val="48BED45E"/>
    <w:rsid w:val="4A445D21"/>
    <w:rsid w:val="4ABC27A7"/>
    <w:rsid w:val="4E4D837D"/>
    <w:rsid w:val="4EBFA8E3"/>
    <w:rsid w:val="516ED5C4"/>
    <w:rsid w:val="532D26B3"/>
    <w:rsid w:val="5342E0F0"/>
    <w:rsid w:val="54B419E1"/>
    <w:rsid w:val="5518062D"/>
    <w:rsid w:val="5B34CA78"/>
    <w:rsid w:val="5D8EB766"/>
    <w:rsid w:val="5E325BA1"/>
    <w:rsid w:val="5FE35D75"/>
    <w:rsid w:val="62C9D750"/>
    <w:rsid w:val="65DE44E3"/>
    <w:rsid w:val="6B3FD3BF"/>
    <w:rsid w:val="6B6186E9"/>
    <w:rsid w:val="6CB700AD"/>
    <w:rsid w:val="6CFD574A"/>
    <w:rsid w:val="7034F80C"/>
    <w:rsid w:val="71C21D4C"/>
    <w:rsid w:val="75C0B555"/>
    <w:rsid w:val="7C5CC285"/>
    <w:rsid w:val="7EE63337"/>
    <w:rsid w:val="7F2BD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412B0"/>
  <w15:docId w15:val="{E86DACD3-5603-AE4C-9FB7-F9C183E4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45E"/>
    <w:pPr>
      <w:ind w:left="720"/>
      <w:contextualSpacing/>
    </w:pPr>
  </w:style>
  <w:style w:type="paragraph" w:styleId="NoSpacing">
    <w:name w:val="No Spacing"/>
    <w:uiPriority w:val="1"/>
    <w:qFormat/>
    <w:rsid w:val="0028745E"/>
    <w:pPr>
      <w:spacing w:after="0" w:line="240" w:lineRule="auto"/>
    </w:pPr>
  </w:style>
  <w:style w:type="paragraph" w:styleId="NormalWeb">
    <w:name w:val="Normal (Web)"/>
    <w:basedOn w:val="Normal"/>
    <w:uiPriority w:val="99"/>
    <w:unhideWhenUsed/>
    <w:rsid w:val="00A649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2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89"/>
  </w:style>
  <w:style w:type="paragraph" w:styleId="Footer">
    <w:name w:val="footer"/>
    <w:basedOn w:val="Normal"/>
    <w:link w:val="FooterChar"/>
    <w:uiPriority w:val="99"/>
    <w:unhideWhenUsed/>
    <w:rsid w:val="00001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89"/>
  </w:style>
  <w:style w:type="character" w:styleId="Strong">
    <w:name w:val="Strong"/>
    <w:basedOn w:val="DefaultParagraphFont"/>
    <w:uiPriority w:val="22"/>
    <w:qFormat/>
    <w:rsid w:val="004F7ABE"/>
    <w:rPr>
      <w:b/>
      <w:bCs/>
    </w:rPr>
  </w:style>
  <w:style w:type="character" w:styleId="Emphasis">
    <w:name w:val="Emphasis"/>
    <w:basedOn w:val="DefaultParagraphFont"/>
    <w:uiPriority w:val="20"/>
    <w:qFormat/>
    <w:rsid w:val="004F7ABE"/>
    <w:rPr>
      <w:i/>
      <w:iCs/>
    </w:rPr>
  </w:style>
  <w:style w:type="character" w:styleId="Hyperlink">
    <w:name w:val="Hyperlink"/>
    <w:basedOn w:val="DefaultParagraphFont"/>
    <w:uiPriority w:val="99"/>
    <w:unhideWhenUsed/>
    <w:rsid w:val="00912662"/>
    <w:rPr>
      <w:color w:val="0563C1" w:themeColor="hyperlink"/>
      <w:u w:val="single"/>
    </w:rPr>
  </w:style>
  <w:style w:type="character" w:customStyle="1" w:styleId="UnresolvedMention1">
    <w:name w:val="Unresolved Mention1"/>
    <w:basedOn w:val="DefaultParagraphFont"/>
    <w:uiPriority w:val="99"/>
    <w:semiHidden/>
    <w:unhideWhenUsed/>
    <w:rsid w:val="00912662"/>
    <w:rPr>
      <w:color w:val="605E5C"/>
      <w:shd w:val="clear" w:color="auto" w:fill="E1DFDD"/>
    </w:rPr>
  </w:style>
  <w:style w:type="character" w:customStyle="1" w:styleId="ref-journal">
    <w:name w:val="ref-journal"/>
    <w:basedOn w:val="DefaultParagraphFont"/>
    <w:rsid w:val="00190AAF"/>
  </w:style>
  <w:style w:type="character" w:customStyle="1" w:styleId="ref-vol">
    <w:name w:val="ref-vol"/>
    <w:basedOn w:val="DefaultParagraphFont"/>
    <w:rsid w:val="00190AAF"/>
  </w:style>
  <w:style w:type="character" w:styleId="CommentReference">
    <w:name w:val="annotation reference"/>
    <w:basedOn w:val="DefaultParagraphFont"/>
    <w:uiPriority w:val="99"/>
    <w:semiHidden/>
    <w:unhideWhenUsed/>
    <w:rsid w:val="000A74A7"/>
    <w:rPr>
      <w:sz w:val="16"/>
      <w:szCs w:val="16"/>
    </w:rPr>
  </w:style>
  <w:style w:type="paragraph" w:styleId="CommentText">
    <w:name w:val="annotation text"/>
    <w:basedOn w:val="Normal"/>
    <w:link w:val="CommentTextChar"/>
    <w:uiPriority w:val="99"/>
    <w:unhideWhenUsed/>
    <w:rsid w:val="000A74A7"/>
    <w:pPr>
      <w:spacing w:line="240" w:lineRule="auto"/>
    </w:pPr>
    <w:rPr>
      <w:sz w:val="20"/>
      <w:szCs w:val="20"/>
    </w:rPr>
  </w:style>
  <w:style w:type="character" w:customStyle="1" w:styleId="CommentTextChar">
    <w:name w:val="Comment Text Char"/>
    <w:basedOn w:val="DefaultParagraphFont"/>
    <w:link w:val="CommentText"/>
    <w:uiPriority w:val="99"/>
    <w:rsid w:val="000A74A7"/>
    <w:rPr>
      <w:sz w:val="20"/>
      <w:szCs w:val="20"/>
    </w:rPr>
  </w:style>
  <w:style w:type="paragraph" w:styleId="CommentSubject">
    <w:name w:val="annotation subject"/>
    <w:basedOn w:val="CommentText"/>
    <w:next w:val="CommentText"/>
    <w:link w:val="CommentSubjectChar"/>
    <w:uiPriority w:val="99"/>
    <w:semiHidden/>
    <w:unhideWhenUsed/>
    <w:rsid w:val="000A74A7"/>
    <w:rPr>
      <w:b/>
      <w:bCs/>
    </w:rPr>
  </w:style>
  <w:style w:type="character" w:customStyle="1" w:styleId="CommentSubjectChar">
    <w:name w:val="Comment Subject Char"/>
    <w:basedOn w:val="CommentTextChar"/>
    <w:link w:val="CommentSubject"/>
    <w:uiPriority w:val="99"/>
    <w:semiHidden/>
    <w:rsid w:val="000A74A7"/>
    <w:rPr>
      <w:b/>
      <w:bCs/>
      <w:sz w:val="20"/>
      <w:szCs w:val="20"/>
    </w:rPr>
  </w:style>
  <w:style w:type="paragraph" w:styleId="BalloonText">
    <w:name w:val="Balloon Text"/>
    <w:basedOn w:val="Normal"/>
    <w:link w:val="BalloonTextChar"/>
    <w:uiPriority w:val="99"/>
    <w:semiHidden/>
    <w:unhideWhenUsed/>
    <w:rsid w:val="000A7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4A7"/>
    <w:rPr>
      <w:rFonts w:ascii="Segoe UI" w:hAnsi="Segoe UI" w:cs="Segoe UI"/>
      <w:sz w:val="18"/>
      <w:szCs w:val="18"/>
    </w:rPr>
  </w:style>
  <w:style w:type="paragraph" w:styleId="Revision">
    <w:name w:val="Revision"/>
    <w:hidden/>
    <w:uiPriority w:val="99"/>
    <w:semiHidden/>
    <w:rsid w:val="00EB2450"/>
    <w:pPr>
      <w:spacing w:after="0" w:line="240" w:lineRule="auto"/>
    </w:pPr>
  </w:style>
  <w:style w:type="character" w:customStyle="1" w:styleId="UnresolvedMention2">
    <w:name w:val="Unresolved Mention2"/>
    <w:basedOn w:val="DefaultParagraphFont"/>
    <w:uiPriority w:val="99"/>
    <w:semiHidden/>
    <w:unhideWhenUsed/>
    <w:rsid w:val="00643FA1"/>
    <w:rPr>
      <w:color w:val="605E5C"/>
      <w:shd w:val="clear" w:color="auto" w:fill="E1DFDD"/>
    </w:rPr>
  </w:style>
  <w:style w:type="character" w:styleId="FollowedHyperlink">
    <w:name w:val="FollowedHyperlink"/>
    <w:basedOn w:val="DefaultParagraphFont"/>
    <w:uiPriority w:val="99"/>
    <w:semiHidden/>
    <w:unhideWhenUsed/>
    <w:rsid w:val="00203CA4"/>
    <w:rPr>
      <w:color w:val="954F72" w:themeColor="followedHyperlink"/>
      <w:u w:val="single"/>
    </w:rPr>
  </w:style>
  <w:style w:type="paragraph" w:customStyle="1" w:styleId="pf0">
    <w:name w:val="pf0"/>
    <w:basedOn w:val="Normal"/>
    <w:rsid w:val="002B2F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B2F9F"/>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4548B7"/>
    <w:rPr>
      <w:color w:val="605E5C"/>
      <w:shd w:val="clear" w:color="auto" w:fill="E1DFDD"/>
    </w:rPr>
  </w:style>
  <w:style w:type="character" w:customStyle="1" w:styleId="highwire-cite-metadata-journal">
    <w:name w:val="highwire-cite-metadata-journal"/>
    <w:basedOn w:val="DefaultParagraphFont"/>
    <w:rsid w:val="00F024B8"/>
  </w:style>
  <w:style w:type="character" w:customStyle="1" w:styleId="apple-converted-space">
    <w:name w:val="apple-converted-space"/>
    <w:basedOn w:val="DefaultParagraphFont"/>
    <w:rsid w:val="00F024B8"/>
  </w:style>
  <w:style w:type="character" w:customStyle="1" w:styleId="highwire-cite-metadata-pages">
    <w:name w:val="highwire-cite-metadata-pages"/>
    <w:basedOn w:val="DefaultParagraphFont"/>
    <w:rsid w:val="00F024B8"/>
  </w:style>
  <w:style w:type="character" w:customStyle="1" w:styleId="highwire-cite-metadata-doi">
    <w:name w:val="highwire-cite-metadata-doi"/>
    <w:basedOn w:val="DefaultParagraphFont"/>
    <w:rsid w:val="00F024B8"/>
  </w:style>
  <w:style w:type="character" w:customStyle="1" w:styleId="doilabel">
    <w:name w:val="doi_label"/>
    <w:basedOn w:val="DefaultParagraphFont"/>
    <w:rsid w:val="00F0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8921">
      <w:bodyDiv w:val="1"/>
      <w:marLeft w:val="0"/>
      <w:marRight w:val="0"/>
      <w:marTop w:val="0"/>
      <w:marBottom w:val="0"/>
      <w:divBdr>
        <w:top w:val="none" w:sz="0" w:space="0" w:color="auto"/>
        <w:left w:val="none" w:sz="0" w:space="0" w:color="auto"/>
        <w:bottom w:val="none" w:sz="0" w:space="0" w:color="auto"/>
        <w:right w:val="none" w:sz="0" w:space="0" w:color="auto"/>
      </w:divBdr>
    </w:div>
    <w:div w:id="217591548">
      <w:bodyDiv w:val="1"/>
      <w:marLeft w:val="0"/>
      <w:marRight w:val="0"/>
      <w:marTop w:val="0"/>
      <w:marBottom w:val="0"/>
      <w:divBdr>
        <w:top w:val="none" w:sz="0" w:space="0" w:color="auto"/>
        <w:left w:val="none" w:sz="0" w:space="0" w:color="auto"/>
        <w:bottom w:val="none" w:sz="0" w:space="0" w:color="auto"/>
        <w:right w:val="none" w:sz="0" w:space="0" w:color="auto"/>
      </w:divBdr>
      <w:divsChild>
        <w:div w:id="359741448">
          <w:marLeft w:val="480"/>
          <w:marRight w:val="0"/>
          <w:marTop w:val="0"/>
          <w:marBottom w:val="0"/>
          <w:divBdr>
            <w:top w:val="none" w:sz="0" w:space="0" w:color="auto"/>
            <w:left w:val="none" w:sz="0" w:space="0" w:color="auto"/>
            <w:bottom w:val="none" w:sz="0" w:space="0" w:color="auto"/>
            <w:right w:val="none" w:sz="0" w:space="0" w:color="auto"/>
          </w:divBdr>
        </w:div>
        <w:div w:id="514072342">
          <w:marLeft w:val="480"/>
          <w:marRight w:val="0"/>
          <w:marTop w:val="0"/>
          <w:marBottom w:val="0"/>
          <w:divBdr>
            <w:top w:val="none" w:sz="0" w:space="0" w:color="auto"/>
            <w:left w:val="none" w:sz="0" w:space="0" w:color="auto"/>
            <w:bottom w:val="none" w:sz="0" w:space="0" w:color="auto"/>
            <w:right w:val="none" w:sz="0" w:space="0" w:color="auto"/>
          </w:divBdr>
        </w:div>
        <w:div w:id="339620446">
          <w:marLeft w:val="480"/>
          <w:marRight w:val="0"/>
          <w:marTop w:val="0"/>
          <w:marBottom w:val="0"/>
          <w:divBdr>
            <w:top w:val="none" w:sz="0" w:space="0" w:color="auto"/>
            <w:left w:val="none" w:sz="0" w:space="0" w:color="auto"/>
            <w:bottom w:val="none" w:sz="0" w:space="0" w:color="auto"/>
            <w:right w:val="none" w:sz="0" w:space="0" w:color="auto"/>
          </w:divBdr>
        </w:div>
        <w:div w:id="1689091161">
          <w:marLeft w:val="480"/>
          <w:marRight w:val="0"/>
          <w:marTop w:val="0"/>
          <w:marBottom w:val="0"/>
          <w:divBdr>
            <w:top w:val="none" w:sz="0" w:space="0" w:color="auto"/>
            <w:left w:val="none" w:sz="0" w:space="0" w:color="auto"/>
            <w:bottom w:val="none" w:sz="0" w:space="0" w:color="auto"/>
            <w:right w:val="none" w:sz="0" w:space="0" w:color="auto"/>
          </w:divBdr>
        </w:div>
        <w:div w:id="527720768">
          <w:marLeft w:val="480"/>
          <w:marRight w:val="0"/>
          <w:marTop w:val="0"/>
          <w:marBottom w:val="0"/>
          <w:divBdr>
            <w:top w:val="none" w:sz="0" w:space="0" w:color="auto"/>
            <w:left w:val="none" w:sz="0" w:space="0" w:color="auto"/>
            <w:bottom w:val="none" w:sz="0" w:space="0" w:color="auto"/>
            <w:right w:val="none" w:sz="0" w:space="0" w:color="auto"/>
          </w:divBdr>
        </w:div>
        <w:div w:id="199051962">
          <w:marLeft w:val="480"/>
          <w:marRight w:val="0"/>
          <w:marTop w:val="0"/>
          <w:marBottom w:val="0"/>
          <w:divBdr>
            <w:top w:val="none" w:sz="0" w:space="0" w:color="auto"/>
            <w:left w:val="none" w:sz="0" w:space="0" w:color="auto"/>
            <w:bottom w:val="none" w:sz="0" w:space="0" w:color="auto"/>
            <w:right w:val="none" w:sz="0" w:space="0" w:color="auto"/>
          </w:divBdr>
        </w:div>
        <w:div w:id="1671446142">
          <w:marLeft w:val="480"/>
          <w:marRight w:val="0"/>
          <w:marTop w:val="0"/>
          <w:marBottom w:val="0"/>
          <w:divBdr>
            <w:top w:val="none" w:sz="0" w:space="0" w:color="auto"/>
            <w:left w:val="none" w:sz="0" w:space="0" w:color="auto"/>
            <w:bottom w:val="none" w:sz="0" w:space="0" w:color="auto"/>
            <w:right w:val="none" w:sz="0" w:space="0" w:color="auto"/>
          </w:divBdr>
        </w:div>
      </w:divsChild>
    </w:div>
    <w:div w:id="509564345">
      <w:bodyDiv w:val="1"/>
      <w:marLeft w:val="0"/>
      <w:marRight w:val="0"/>
      <w:marTop w:val="0"/>
      <w:marBottom w:val="0"/>
      <w:divBdr>
        <w:top w:val="none" w:sz="0" w:space="0" w:color="auto"/>
        <w:left w:val="none" w:sz="0" w:space="0" w:color="auto"/>
        <w:bottom w:val="none" w:sz="0" w:space="0" w:color="auto"/>
        <w:right w:val="none" w:sz="0" w:space="0" w:color="auto"/>
      </w:divBdr>
      <w:divsChild>
        <w:div w:id="1942950113">
          <w:marLeft w:val="0"/>
          <w:marRight w:val="0"/>
          <w:marTop w:val="0"/>
          <w:marBottom w:val="0"/>
          <w:divBdr>
            <w:top w:val="none" w:sz="0" w:space="0" w:color="auto"/>
            <w:left w:val="none" w:sz="0" w:space="0" w:color="auto"/>
            <w:bottom w:val="none" w:sz="0" w:space="0" w:color="auto"/>
            <w:right w:val="none" w:sz="0" w:space="0" w:color="auto"/>
          </w:divBdr>
        </w:div>
      </w:divsChild>
    </w:div>
    <w:div w:id="621805710">
      <w:bodyDiv w:val="1"/>
      <w:marLeft w:val="0"/>
      <w:marRight w:val="0"/>
      <w:marTop w:val="0"/>
      <w:marBottom w:val="0"/>
      <w:divBdr>
        <w:top w:val="none" w:sz="0" w:space="0" w:color="auto"/>
        <w:left w:val="none" w:sz="0" w:space="0" w:color="auto"/>
        <w:bottom w:val="none" w:sz="0" w:space="0" w:color="auto"/>
        <w:right w:val="none" w:sz="0" w:space="0" w:color="auto"/>
      </w:divBdr>
    </w:div>
    <w:div w:id="1098410379">
      <w:bodyDiv w:val="1"/>
      <w:marLeft w:val="0"/>
      <w:marRight w:val="0"/>
      <w:marTop w:val="0"/>
      <w:marBottom w:val="0"/>
      <w:divBdr>
        <w:top w:val="none" w:sz="0" w:space="0" w:color="auto"/>
        <w:left w:val="none" w:sz="0" w:space="0" w:color="auto"/>
        <w:bottom w:val="none" w:sz="0" w:space="0" w:color="auto"/>
        <w:right w:val="none" w:sz="0" w:space="0" w:color="auto"/>
      </w:divBdr>
    </w:div>
    <w:div w:id="1332372759">
      <w:bodyDiv w:val="1"/>
      <w:marLeft w:val="0"/>
      <w:marRight w:val="0"/>
      <w:marTop w:val="0"/>
      <w:marBottom w:val="0"/>
      <w:divBdr>
        <w:top w:val="none" w:sz="0" w:space="0" w:color="auto"/>
        <w:left w:val="none" w:sz="0" w:space="0" w:color="auto"/>
        <w:bottom w:val="none" w:sz="0" w:space="0" w:color="auto"/>
        <w:right w:val="none" w:sz="0" w:space="0" w:color="auto"/>
      </w:divBdr>
    </w:div>
    <w:div w:id="1589345119">
      <w:bodyDiv w:val="1"/>
      <w:marLeft w:val="0"/>
      <w:marRight w:val="0"/>
      <w:marTop w:val="0"/>
      <w:marBottom w:val="0"/>
      <w:divBdr>
        <w:top w:val="none" w:sz="0" w:space="0" w:color="auto"/>
        <w:left w:val="none" w:sz="0" w:space="0" w:color="auto"/>
        <w:bottom w:val="none" w:sz="0" w:space="0" w:color="auto"/>
        <w:right w:val="none" w:sz="0" w:space="0" w:color="auto"/>
      </w:divBdr>
    </w:div>
    <w:div w:id="1994289595">
      <w:bodyDiv w:val="1"/>
      <w:marLeft w:val="0"/>
      <w:marRight w:val="0"/>
      <w:marTop w:val="0"/>
      <w:marBottom w:val="0"/>
      <w:divBdr>
        <w:top w:val="none" w:sz="0" w:space="0" w:color="auto"/>
        <w:left w:val="none" w:sz="0" w:space="0" w:color="auto"/>
        <w:bottom w:val="none" w:sz="0" w:space="0" w:color="auto"/>
        <w:right w:val="none" w:sz="0" w:space="0" w:color="auto"/>
      </w:divBdr>
    </w:div>
    <w:div w:id="1998412161">
      <w:bodyDiv w:val="1"/>
      <w:marLeft w:val="0"/>
      <w:marRight w:val="0"/>
      <w:marTop w:val="0"/>
      <w:marBottom w:val="0"/>
      <w:divBdr>
        <w:top w:val="none" w:sz="0" w:space="0" w:color="auto"/>
        <w:left w:val="none" w:sz="0" w:space="0" w:color="auto"/>
        <w:bottom w:val="none" w:sz="0" w:space="0" w:color="auto"/>
        <w:right w:val="none" w:sz="0" w:space="0" w:color="auto"/>
      </w:divBdr>
      <w:divsChild>
        <w:div w:id="763649304">
          <w:marLeft w:val="480"/>
          <w:marRight w:val="0"/>
          <w:marTop w:val="0"/>
          <w:marBottom w:val="0"/>
          <w:divBdr>
            <w:top w:val="none" w:sz="0" w:space="0" w:color="auto"/>
            <w:left w:val="none" w:sz="0" w:space="0" w:color="auto"/>
            <w:bottom w:val="none" w:sz="0" w:space="0" w:color="auto"/>
            <w:right w:val="none" w:sz="0" w:space="0" w:color="auto"/>
          </w:divBdr>
        </w:div>
        <w:div w:id="385026976">
          <w:marLeft w:val="480"/>
          <w:marRight w:val="0"/>
          <w:marTop w:val="0"/>
          <w:marBottom w:val="0"/>
          <w:divBdr>
            <w:top w:val="none" w:sz="0" w:space="0" w:color="auto"/>
            <w:left w:val="none" w:sz="0" w:space="0" w:color="auto"/>
            <w:bottom w:val="none" w:sz="0" w:space="0" w:color="auto"/>
            <w:right w:val="none" w:sz="0" w:space="0" w:color="auto"/>
          </w:divBdr>
        </w:div>
        <w:div w:id="1959292129">
          <w:marLeft w:val="480"/>
          <w:marRight w:val="0"/>
          <w:marTop w:val="0"/>
          <w:marBottom w:val="0"/>
          <w:divBdr>
            <w:top w:val="none" w:sz="0" w:space="0" w:color="auto"/>
            <w:left w:val="none" w:sz="0" w:space="0" w:color="auto"/>
            <w:bottom w:val="none" w:sz="0" w:space="0" w:color="auto"/>
            <w:right w:val="none" w:sz="0" w:space="0" w:color="auto"/>
          </w:divBdr>
        </w:div>
        <w:div w:id="598830449">
          <w:marLeft w:val="480"/>
          <w:marRight w:val="0"/>
          <w:marTop w:val="0"/>
          <w:marBottom w:val="0"/>
          <w:divBdr>
            <w:top w:val="none" w:sz="0" w:space="0" w:color="auto"/>
            <w:left w:val="none" w:sz="0" w:space="0" w:color="auto"/>
            <w:bottom w:val="none" w:sz="0" w:space="0" w:color="auto"/>
            <w:right w:val="none" w:sz="0" w:space="0" w:color="auto"/>
          </w:divBdr>
        </w:div>
        <w:div w:id="500971219">
          <w:marLeft w:val="480"/>
          <w:marRight w:val="0"/>
          <w:marTop w:val="0"/>
          <w:marBottom w:val="0"/>
          <w:divBdr>
            <w:top w:val="none" w:sz="0" w:space="0" w:color="auto"/>
            <w:left w:val="none" w:sz="0" w:space="0" w:color="auto"/>
            <w:bottom w:val="none" w:sz="0" w:space="0" w:color="auto"/>
            <w:right w:val="none" w:sz="0" w:space="0" w:color="auto"/>
          </w:divBdr>
        </w:div>
        <w:div w:id="1352997933">
          <w:marLeft w:val="480"/>
          <w:marRight w:val="0"/>
          <w:marTop w:val="0"/>
          <w:marBottom w:val="0"/>
          <w:divBdr>
            <w:top w:val="none" w:sz="0" w:space="0" w:color="auto"/>
            <w:left w:val="none" w:sz="0" w:space="0" w:color="auto"/>
            <w:bottom w:val="none" w:sz="0" w:space="0" w:color="auto"/>
            <w:right w:val="none" w:sz="0" w:space="0" w:color="auto"/>
          </w:divBdr>
        </w:div>
        <w:div w:id="1998999427">
          <w:marLeft w:val="480"/>
          <w:marRight w:val="0"/>
          <w:marTop w:val="0"/>
          <w:marBottom w:val="0"/>
          <w:divBdr>
            <w:top w:val="none" w:sz="0" w:space="0" w:color="auto"/>
            <w:left w:val="none" w:sz="0" w:space="0" w:color="auto"/>
            <w:bottom w:val="none" w:sz="0" w:space="0" w:color="auto"/>
            <w:right w:val="none" w:sz="0" w:space="0" w:color="auto"/>
          </w:divBdr>
        </w:div>
      </w:divsChild>
    </w:div>
    <w:div w:id="2018313226">
      <w:bodyDiv w:val="1"/>
      <w:marLeft w:val="0"/>
      <w:marRight w:val="0"/>
      <w:marTop w:val="0"/>
      <w:marBottom w:val="0"/>
      <w:divBdr>
        <w:top w:val="none" w:sz="0" w:space="0" w:color="auto"/>
        <w:left w:val="none" w:sz="0" w:space="0" w:color="auto"/>
        <w:bottom w:val="none" w:sz="0" w:space="0" w:color="auto"/>
        <w:right w:val="none" w:sz="0" w:space="0" w:color="auto"/>
      </w:divBdr>
      <w:divsChild>
        <w:div w:id="1397123566">
          <w:marLeft w:val="0"/>
          <w:marRight w:val="0"/>
          <w:marTop w:val="0"/>
          <w:marBottom w:val="0"/>
          <w:divBdr>
            <w:top w:val="none" w:sz="0" w:space="0" w:color="auto"/>
            <w:left w:val="none" w:sz="0" w:space="0" w:color="auto"/>
            <w:bottom w:val="none" w:sz="0" w:space="0" w:color="auto"/>
            <w:right w:val="none" w:sz="0" w:space="0" w:color="auto"/>
          </w:divBdr>
          <w:divsChild>
            <w:div w:id="1380201034">
              <w:marLeft w:val="0"/>
              <w:marRight w:val="0"/>
              <w:marTop w:val="0"/>
              <w:marBottom w:val="0"/>
              <w:divBdr>
                <w:top w:val="none" w:sz="0" w:space="0" w:color="auto"/>
                <w:left w:val="none" w:sz="0" w:space="0" w:color="auto"/>
                <w:bottom w:val="none" w:sz="0" w:space="0" w:color="auto"/>
                <w:right w:val="none" w:sz="0" w:space="0" w:color="auto"/>
              </w:divBdr>
              <w:divsChild>
                <w:div w:id="15694335">
                  <w:marLeft w:val="0"/>
                  <w:marRight w:val="0"/>
                  <w:marTop w:val="0"/>
                  <w:marBottom w:val="0"/>
                  <w:divBdr>
                    <w:top w:val="none" w:sz="0" w:space="0" w:color="auto"/>
                    <w:left w:val="none" w:sz="0" w:space="0" w:color="auto"/>
                    <w:bottom w:val="none" w:sz="0" w:space="0" w:color="auto"/>
                    <w:right w:val="none" w:sz="0" w:space="0" w:color="auto"/>
                  </w:divBdr>
                  <w:divsChild>
                    <w:div w:id="933905862">
                      <w:marLeft w:val="0"/>
                      <w:marRight w:val="0"/>
                      <w:marTop w:val="0"/>
                      <w:marBottom w:val="0"/>
                      <w:divBdr>
                        <w:top w:val="none" w:sz="0" w:space="0" w:color="auto"/>
                        <w:left w:val="none" w:sz="0" w:space="0" w:color="auto"/>
                        <w:bottom w:val="none" w:sz="0" w:space="0" w:color="auto"/>
                        <w:right w:val="none" w:sz="0" w:space="0" w:color="auto"/>
                      </w:divBdr>
                    </w:div>
                    <w:div w:id="17728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adc.bmj.com/content/99/6/6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ra-decisiontools.org.uk/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62E9F5-68A1-CA43-9983-7CB92B0FC1BE}">
  <we:reference id="wa104380917" version="1.0.1.0" store="en-GB" storeType="OMEX"/>
  <we:alternateReferences>
    <we:reference id="wa104380917" version="1.0.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8718-15D2-4DA6-B23D-72F6BA42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Blakey</dc:creator>
  <cp:lastModifiedBy>Jamie Vassallo</cp:lastModifiedBy>
  <cp:revision>8</cp:revision>
  <cp:lastPrinted>2021-10-18T11:00:00Z</cp:lastPrinted>
  <dcterms:created xsi:type="dcterms:W3CDTF">2022-09-12T18:51:00Z</dcterms:created>
  <dcterms:modified xsi:type="dcterms:W3CDTF">2022-09-14T08:14:00Z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a73fd25d-7ebd-3199-a516-6d454b4a2db3</vt:lpwstr>
  </property>
  <property fmtid="{D5CDD505-2E9C-101B-9397-08002B2CF9AE}" pid="24" name="Mendeley Citation Style_1">
    <vt:lpwstr>http://www.zotero.org/styles/vancouver</vt:lpwstr>
  </property>
</Properties>
</file>