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6F" w:rsidRPr="00A93476" w:rsidRDefault="00551322">
      <w:pPr>
        <w:rPr>
          <w:rFonts w:ascii="Arial" w:hAnsi="Arial" w:cs="Arial"/>
          <w:b/>
          <w:u w:val="single"/>
        </w:rPr>
      </w:pPr>
      <w:r w:rsidRPr="00A93476">
        <w:rPr>
          <w:rFonts w:ascii="Arial" w:hAnsi="Arial" w:cs="Arial"/>
          <w:b/>
          <w:u w:val="single"/>
        </w:rPr>
        <w:t>Toxicity Testing:</w:t>
      </w:r>
      <w:r w:rsidR="00A93476">
        <w:rPr>
          <w:rFonts w:ascii="Arial" w:hAnsi="Arial" w:cs="Arial"/>
          <w:b/>
          <w:u w:val="single"/>
        </w:rPr>
        <w:t xml:space="preserve"> </w:t>
      </w:r>
      <w:r w:rsidR="0043794C">
        <w:rPr>
          <w:rFonts w:ascii="Arial" w:hAnsi="Arial" w:cs="Arial"/>
          <w:b/>
          <w:u w:val="single"/>
        </w:rPr>
        <w:t xml:space="preserve">search for an </w:t>
      </w:r>
      <w:r w:rsidR="0043794C" w:rsidRPr="0043794C">
        <w:rPr>
          <w:rFonts w:ascii="Arial" w:hAnsi="Arial" w:cs="Arial"/>
          <w:b/>
          <w:i/>
          <w:u w:val="single"/>
        </w:rPr>
        <w:t xml:space="preserve">in-vitro </w:t>
      </w:r>
      <w:r w:rsidR="0043794C">
        <w:rPr>
          <w:rFonts w:ascii="Arial" w:hAnsi="Arial" w:cs="Arial"/>
          <w:b/>
          <w:u w:val="single"/>
        </w:rPr>
        <w:t>alternative</w:t>
      </w:r>
    </w:p>
    <w:p w:rsidR="00551322" w:rsidRPr="00551322" w:rsidRDefault="00551322">
      <w:pPr>
        <w:rPr>
          <w:rFonts w:ascii="Arial" w:hAnsi="Arial" w:cs="Arial"/>
        </w:rPr>
      </w:pPr>
    </w:p>
    <w:p w:rsidR="00E14CBC" w:rsidRDefault="00E14CBC">
      <w:pPr>
        <w:rPr>
          <w:rFonts w:ascii="Arial" w:hAnsi="Arial" w:cs="Arial"/>
          <w:b/>
        </w:rPr>
      </w:pPr>
    </w:p>
    <w:p w:rsidR="00E14CBC" w:rsidRPr="00E14CBC" w:rsidRDefault="00E14CBC">
      <w:pPr>
        <w:rPr>
          <w:rFonts w:ascii="Arial" w:hAnsi="Arial" w:cs="Arial"/>
          <w:b/>
        </w:rPr>
      </w:pPr>
      <w:r w:rsidRPr="00E14CBC">
        <w:rPr>
          <w:rFonts w:ascii="Arial" w:hAnsi="Arial" w:cs="Arial"/>
          <w:b/>
        </w:rPr>
        <w:t>Introduction</w:t>
      </w:r>
    </w:p>
    <w:p w:rsidR="00E14CBC" w:rsidRDefault="00E14CBC">
      <w:pPr>
        <w:rPr>
          <w:rFonts w:ascii="Arial" w:hAnsi="Arial" w:cs="Arial"/>
        </w:rPr>
      </w:pPr>
    </w:p>
    <w:p w:rsidR="000F2680" w:rsidRDefault="00551322">
      <w:pPr>
        <w:rPr>
          <w:rFonts w:ascii="Arial" w:hAnsi="Arial" w:cs="Arial"/>
        </w:rPr>
      </w:pPr>
      <w:r>
        <w:rPr>
          <w:rFonts w:ascii="Arial" w:hAnsi="Arial" w:cs="Arial"/>
        </w:rPr>
        <w:t xml:space="preserve">Prior to introduction to the clinical setting, new pharmaceuticals must undergo </w:t>
      </w:r>
      <w:r w:rsidR="000B5A89">
        <w:rPr>
          <w:rFonts w:ascii="Arial" w:hAnsi="Arial" w:cs="Arial"/>
        </w:rPr>
        <w:t>rigorous</w:t>
      </w:r>
      <w:r>
        <w:rPr>
          <w:rFonts w:ascii="Arial" w:hAnsi="Arial" w:cs="Arial"/>
        </w:rPr>
        <w:t xml:space="preserve"> toxicity testing during development to ensure their safety.</w:t>
      </w:r>
      <w:r w:rsidR="000B5A89">
        <w:rPr>
          <w:rFonts w:ascii="Arial" w:hAnsi="Arial" w:cs="Arial"/>
        </w:rPr>
        <w:t xml:space="preserve"> </w:t>
      </w:r>
      <w:r w:rsidR="000F2680">
        <w:rPr>
          <w:rFonts w:ascii="Arial" w:hAnsi="Arial" w:cs="Arial"/>
        </w:rPr>
        <w:t>Various toxicity tests are conducted depending on the length of potential drug usage in humans. Acute oral toxicity tests involve the administration of a single large dose to two different mammalian species and the short terms effects in organs and tissues observed over several weeks</w:t>
      </w:r>
      <w:r w:rsidR="003479D9">
        <w:rPr>
          <w:rFonts w:ascii="Arial" w:hAnsi="Arial" w:cs="Arial"/>
        </w:rPr>
        <w:t xml:space="preserve"> to determine specific toxic effects and the mode of toxicity</w:t>
      </w:r>
      <w:r w:rsidR="000F2680">
        <w:rPr>
          <w:rFonts w:ascii="Arial" w:hAnsi="Arial" w:cs="Arial"/>
        </w:rPr>
        <w:t xml:space="preserve">. Subchronic and chronic toxicity tests </w:t>
      </w:r>
      <w:r w:rsidR="00253813">
        <w:rPr>
          <w:rFonts w:ascii="Arial" w:hAnsi="Arial" w:cs="Arial"/>
        </w:rPr>
        <w:t>are performed for pharmaceuticals intended to be used in humans for periods of less than, or greater than</w:t>
      </w:r>
      <w:r w:rsidR="0044206B">
        <w:rPr>
          <w:rFonts w:ascii="Arial" w:hAnsi="Arial" w:cs="Arial"/>
        </w:rPr>
        <w:t>,</w:t>
      </w:r>
      <w:r w:rsidR="00253813">
        <w:rPr>
          <w:rFonts w:ascii="Arial" w:hAnsi="Arial" w:cs="Arial"/>
        </w:rPr>
        <w:t xml:space="preserve"> 3 months respectively. Therefore, </w:t>
      </w:r>
      <w:r w:rsidR="000F2680">
        <w:rPr>
          <w:rFonts w:ascii="Arial" w:hAnsi="Arial" w:cs="Arial"/>
        </w:rPr>
        <w:t xml:space="preserve">daily administration of </w:t>
      </w:r>
      <w:r w:rsidR="00253813">
        <w:rPr>
          <w:rFonts w:ascii="Arial" w:hAnsi="Arial" w:cs="Arial"/>
        </w:rPr>
        <w:t xml:space="preserve">the agent in two mammalian species enables longer term toxicity and pathology to be evaluated, including for example the occurrence of neurological and haematological abnormalities. </w:t>
      </w:r>
      <w:r w:rsidR="000F2680">
        <w:rPr>
          <w:rFonts w:ascii="Arial" w:hAnsi="Arial" w:cs="Arial"/>
        </w:rPr>
        <w:t xml:space="preserve"> </w:t>
      </w:r>
      <w:r w:rsidR="00981EC9">
        <w:rPr>
          <w:rFonts w:ascii="Arial" w:hAnsi="Arial" w:cs="Arial"/>
        </w:rPr>
        <w:t xml:space="preserve">In addition, if an agent is intended for use </w:t>
      </w:r>
      <w:r w:rsidR="007F3480">
        <w:rPr>
          <w:rFonts w:ascii="Arial" w:hAnsi="Arial" w:cs="Arial"/>
        </w:rPr>
        <w:t>over</w:t>
      </w:r>
      <w:r w:rsidR="00981EC9">
        <w:rPr>
          <w:rFonts w:ascii="Arial" w:hAnsi="Arial" w:cs="Arial"/>
        </w:rPr>
        <w:t xml:space="preserve"> periods of greater than 6 months carcinogenicity studies and mutagenicity studies may be necessary, as well as teratogenicity evaluation if appropriate</w:t>
      </w:r>
      <w:r w:rsidR="00917597">
        <w:rPr>
          <w:rFonts w:ascii="Arial" w:hAnsi="Arial" w:cs="Arial"/>
        </w:rPr>
        <w:t xml:space="preserve"> </w:t>
      </w:r>
      <w:r w:rsidR="00917597" w:rsidRPr="003479D9">
        <w:rPr>
          <w:rFonts w:ascii="Arial" w:hAnsi="Arial" w:cs="Arial"/>
        </w:rPr>
        <w:t>(</w:t>
      </w:r>
      <w:r w:rsidR="003479D9" w:rsidRPr="003479D9">
        <w:rPr>
          <w:rFonts w:ascii="Arial" w:hAnsi="Arial" w:cs="Arial"/>
        </w:rPr>
        <w:t>OECD Summary Guideline Report, 1979</w:t>
      </w:r>
      <w:r w:rsidR="00917597" w:rsidRPr="003479D9">
        <w:rPr>
          <w:rFonts w:ascii="Arial" w:hAnsi="Arial" w:cs="Arial"/>
        </w:rPr>
        <w:t>)</w:t>
      </w:r>
      <w:r w:rsidR="003479D9">
        <w:rPr>
          <w:rFonts w:ascii="Arial" w:hAnsi="Arial" w:cs="Arial"/>
        </w:rPr>
        <w:t>.</w:t>
      </w:r>
    </w:p>
    <w:p w:rsidR="000F2680" w:rsidRDefault="000F2680">
      <w:pPr>
        <w:rPr>
          <w:rFonts w:ascii="Arial" w:hAnsi="Arial" w:cs="Arial"/>
        </w:rPr>
      </w:pPr>
    </w:p>
    <w:p w:rsidR="00E14CBC" w:rsidRDefault="00E14CBC">
      <w:pPr>
        <w:rPr>
          <w:rFonts w:ascii="Arial" w:hAnsi="Arial" w:cs="Arial"/>
          <w:b/>
        </w:rPr>
      </w:pPr>
    </w:p>
    <w:p w:rsidR="0063122C" w:rsidRPr="0063122C" w:rsidRDefault="0063122C">
      <w:pPr>
        <w:rPr>
          <w:rFonts w:ascii="Arial" w:hAnsi="Arial" w:cs="Arial"/>
          <w:b/>
        </w:rPr>
      </w:pPr>
      <w:r w:rsidRPr="0063122C">
        <w:rPr>
          <w:rFonts w:ascii="Arial" w:hAnsi="Arial" w:cs="Arial"/>
          <w:b/>
        </w:rPr>
        <w:t>Traditional animal testing</w:t>
      </w:r>
    </w:p>
    <w:p w:rsidR="0063122C" w:rsidRDefault="0063122C">
      <w:pPr>
        <w:rPr>
          <w:rFonts w:ascii="Arial" w:hAnsi="Arial" w:cs="Arial"/>
        </w:rPr>
      </w:pPr>
    </w:p>
    <w:p w:rsidR="000F2680" w:rsidRDefault="000B5A89">
      <w:pPr>
        <w:rPr>
          <w:rFonts w:ascii="Arial" w:hAnsi="Arial" w:cs="Arial"/>
        </w:rPr>
      </w:pPr>
      <w:r>
        <w:rPr>
          <w:rFonts w:ascii="Arial" w:hAnsi="Arial" w:cs="Arial"/>
        </w:rPr>
        <w:t xml:space="preserve">Traditionally </w:t>
      </w:r>
      <w:r w:rsidR="000F2680">
        <w:rPr>
          <w:rFonts w:ascii="Arial" w:hAnsi="Arial" w:cs="Arial"/>
        </w:rPr>
        <w:t>drug safety testing</w:t>
      </w:r>
      <w:r>
        <w:rPr>
          <w:rFonts w:ascii="Arial" w:hAnsi="Arial" w:cs="Arial"/>
        </w:rPr>
        <w:t xml:space="preserve"> has been achieved through both </w:t>
      </w:r>
      <w:r w:rsidRPr="00D70C26">
        <w:rPr>
          <w:rFonts w:ascii="Arial" w:hAnsi="Arial" w:cs="Arial"/>
          <w:i/>
        </w:rPr>
        <w:t>in vitro</w:t>
      </w:r>
      <w:r>
        <w:rPr>
          <w:rFonts w:ascii="Arial" w:hAnsi="Arial" w:cs="Arial"/>
        </w:rPr>
        <w:t xml:space="preserve"> tests and testing invo</w:t>
      </w:r>
      <w:r w:rsidR="0067493E">
        <w:rPr>
          <w:rFonts w:ascii="Arial" w:hAnsi="Arial" w:cs="Arial"/>
        </w:rPr>
        <w:t xml:space="preserve">lving large numbers of animals and is an extremely costly, </w:t>
      </w:r>
      <w:r w:rsidR="00F04496">
        <w:rPr>
          <w:rFonts w:ascii="Arial" w:hAnsi="Arial" w:cs="Arial"/>
        </w:rPr>
        <w:t>time-consuming</w:t>
      </w:r>
      <w:r w:rsidR="0067493E">
        <w:rPr>
          <w:rFonts w:ascii="Arial" w:hAnsi="Arial" w:cs="Arial"/>
        </w:rPr>
        <w:t xml:space="preserve"> process. Indeed, a large backlog of chemicals on the Western market are still awaiting testing to properly characterize toxicity. A recent study by Ukelis </w:t>
      </w:r>
      <w:r w:rsidR="0067493E" w:rsidRPr="00A63875">
        <w:rPr>
          <w:rFonts w:ascii="Arial" w:hAnsi="Arial" w:cs="Arial"/>
          <w:i/>
        </w:rPr>
        <w:t>et al</w:t>
      </w:r>
      <w:r w:rsidR="0067493E">
        <w:rPr>
          <w:rFonts w:ascii="Arial" w:hAnsi="Arial" w:cs="Arial"/>
        </w:rPr>
        <w:t xml:space="preserve"> estimated that only 5,000 of 100,000 available chemicals have undergone appropriate testing (Ukelis </w:t>
      </w:r>
      <w:r w:rsidR="0067493E" w:rsidRPr="00A63875">
        <w:rPr>
          <w:rFonts w:ascii="Arial" w:hAnsi="Arial" w:cs="Arial"/>
          <w:i/>
        </w:rPr>
        <w:t>et al,</w:t>
      </w:r>
      <w:r w:rsidR="0067493E">
        <w:rPr>
          <w:rFonts w:ascii="Arial" w:hAnsi="Arial" w:cs="Arial"/>
        </w:rPr>
        <w:t xml:space="preserve"> 08).</w:t>
      </w:r>
    </w:p>
    <w:p w:rsidR="000F2680" w:rsidRDefault="000F2680">
      <w:pPr>
        <w:rPr>
          <w:rFonts w:ascii="Arial" w:hAnsi="Arial" w:cs="Arial"/>
        </w:rPr>
      </w:pPr>
    </w:p>
    <w:p w:rsidR="00551322" w:rsidRDefault="00C72EF6">
      <w:pPr>
        <w:rPr>
          <w:rFonts w:ascii="Arial" w:hAnsi="Arial" w:cs="Arial"/>
        </w:rPr>
      </w:pPr>
      <w:r>
        <w:rPr>
          <w:rFonts w:ascii="Arial" w:hAnsi="Arial" w:cs="Arial"/>
        </w:rPr>
        <w:t>T</w:t>
      </w:r>
      <w:r w:rsidR="000F2680">
        <w:rPr>
          <w:rFonts w:ascii="Arial" w:hAnsi="Arial" w:cs="Arial"/>
        </w:rPr>
        <w:t>he use of animals in drug safety testing is</w:t>
      </w:r>
      <w:r>
        <w:rPr>
          <w:rFonts w:ascii="Arial" w:hAnsi="Arial" w:cs="Arial"/>
        </w:rPr>
        <w:t>, however,</w:t>
      </w:r>
      <w:r w:rsidR="000F2680">
        <w:rPr>
          <w:rFonts w:ascii="Arial" w:hAnsi="Arial" w:cs="Arial"/>
        </w:rPr>
        <w:t xml:space="preserve"> a sensitive area and </w:t>
      </w:r>
      <w:r w:rsidR="00981EC9">
        <w:rPr>
          <w:rFonts w:ascii="Arial" w:hAnsi="Arial" w:cs="Arial"/>
        </w:rPr>
        <w:t xml:space="preserve">subject to </w:t>
      </w:r>
      <w:r w:rsidR="000F2680">
        <w:rPr>
          <w:rFonts w:ascii="Arial" w:hAnsi="Arial" w:cs="Arial"/>
        </w:rPr>
        <w:t>an ever increasing demand to reduce the numbers used. This was first suggested by Russell and Burch (1959) as the 3 R’s principle, to reduce, refine</w:t>
      </w:r>
      <w:r w:rsidR="00551322">
        <w:rPr>
          <w:rFonts w:ascii="Arial" w:hAnsi="Arial" w:cs="Arial"/>
        </w:rPr>
        <w:t xml:space="preserve"> </w:t>
      </w:r>
      <w:r w:rsidR="000F2680">
        <w:rPr>
          <w:rFonts w:ascii="Arial" w:hAnsi="Arial" w:cs="Arial"/>
        </w:rPr>
        <w:t xml:space="preserve">and replace use of laboratory animals. </w:t>
      </w:r>
    </w:p>
    <w:p w:rsidR="002C6F18" w:rsidRDefault="002C6F18">
      <w:pPr>
        <w:rPr>
          <w:rFonts w:ascii="Arial" w:hAnsi="Arial" w:cs="Arial"/>
        </w:rPr>
      </w:pPr>
    </w:p>
    <w:p w:rsidR="002C6F18" w:rsidRDefault="002C6F18">
      <w:pPr>
        <w:rPr>
          <w:rFonts w:ascii="Arial" w:hAnsi="Arial" w:cs="Arial"/>
        </w:rPr>
      </w:pPr>
      <w:r>
        <w:rPr>
          <w:rFonts w:ascii="Arial" w:hAnsi="Arial" w:cs="Arial"/>
        </w:rPr>
        <w:t>Indeed, according to Home Office Statistics of Scientific Procedures on Living Animals (2007) toxicology testing and safety and efficacy evaluation accounted for 416,400 procedures, 39% lower than in 1995. However, although widely publicised, toxicology studies</w:t>
      </w:r>
      <w:r w:rsidR="00833C07">
        <w:rPr>
          <w:rFonts w:ascii="Arial" w:hAnsi="Arial" w:cs="Arial"/>
        </w:rPr>
        <w:t xml:space="preserve"> account for only 13% of animal testing, with large numbers of animals also used in areas such as genetic studies, production of biological materials and pharmaceutical research. Whilst numbers of animals involved in toxicity testing appear high, almost 80% of these are rodents and less than 1% non-human primates. </w:t>
      </w:r>
    </w:p>
    <w:p w:rsidR="00981EC9" w:rsidRDefault="00981EC9">
      <w:pPr>
        <w:rPr>
          <w:rFonts w:ascii="Arial" w:hAnsi="Arial" w:cs="Arial"/>
        </w:rPr>
      </w:pPr>
    </w:p>
    <w:p w:rsidR="00981EC9" w:rsidRDefault="00981EC9">
      <w:pPr>
        <w:rPr>
          <w:rFonts w:ascii="Arial" w:hAnsi="Arial" w:cs="Arial"/>
        </w:rPr>
      </w:pPr>
      <w:r>
        <w:rPr>
          <w:rFonts w:ascii="Arial" w:hAnsi="Arial" w:cs="Arial"/>
        </w:rPr>
        <w:t>In addition to reducing the numbers of animals used in individual trials, the need for improved communication to reduce unnecessary duplication of tests was recognised</w:t>
      </w:r>
      <w:r w:rsidR="00A63875">
        <w:rPr>
          <w:rFonts w:ascii="Arial" w:hAnsi="Arial" w:cs="Arial"/>
        </w:rPr>
        <w:t>,</w:t>
      </w:r>
      <w:r>
        <w:rPr>
          <w:rFonts w:ascii="Arial" w:hAnsi="Arial" w:cs="Arial"/>
        </w:rPr>
        <w:t xml:space="preserve"> and the</w:t>
      </w:r>
      <w:r w:rsidR="00C24ABD">
        <w:rPr>
          <w:rFonts w:ascii="Arial" w:hAnsi="Arial" w:cs="Arial"/>
        </w:rPr>
        <w:t xml:space="preserve"> International Conference on Harmonisation of Technical Requirements for Registration of Pharmaceuticals for Human Use </w:t>
      </w:r>
      <w:r w:rsidR="00C24ABD" w:rsidRPr="00C24ABD">
        <w:rPr>
          <w:rFonts w:ascii="Arial" w:hAnsi="Arial" w:cs="Arial"/>
        </w:rPr>
        <w:t>(</w:t>
      </w:r>
      <w:r w:rsidRPr="00C24ABD">
        <w:rPr>
          <w:rFonts w:ascii="Arial" w:hAnsi="Arial" w:cs="Arial"/>
        </w:rPr>
        <w:t>ICH</w:t>
      </w:r>
      <w:r w:rsidR="00C24ABD" w:rsidRPr="00C24ABD">
        <w:rPr>
          <w:rFonts w:ascii="Arial" w:hAnsi="Arial" w:cs="Arial"/>
        </w:rPr>
        <w:t>)</w:t>
      </w:r>
      <w:r w:rsidRPr="00C24ABD">
        <w:rPr>
          <w:rFonts w:ascii="Arial" w:hAnsi="Arial" w:cs="Arial"/>
        </w:rPr>
        <w:t xml:space="preserve"> subsequently formed </w:t>
      </w:r>
      <w:r w:rsidR="00C24ABD">
        <w:rPr>
          <w:rFonts w:ascii="Arial" w:hAnsi="Arial" w:cs="Arial"/>
        </w:rPr>
        <w:t xml:space="preserve">in 1990 </w:t>
      </w:r>
      <w:r w:rsidRPr="00C24ABD">
        <w:rPr>
          <w:rFonts w:ascii="Arial" w:hAnsi="Arial" w:cs="Arial"/>
        </w:rPr>
        <w:t xml:space="preserve">with the aim of minimising animal testing </w:t>
      </w:r>
      <w:r w:rsidRPr="00C24ABD">
        <w:rPr>
          <w:rFonts w:ascii="Arial" w:hAnsi="Arial" w:cs="Arial"/>
        </w:rPr>
        <w:lastRenderedPageBreak/>
        <w:t>and duplication of human tria</w:t>
      </w:r>
      <w:r w:rsidR="00C24ABD">
        <w:rPr>
          <w:rFonts w:ascii="Arial" w:hAnsi="Arial" w:cs="Arial"/>
        </w:rPr>
        <w:t>ls without compromising safety</w:t>
      </w:r>
      <w:r w:rsidRPr="00C24ABD">
        <w:rPr>
          <w:rFonts w:ascii="Arial" w:hAnsi="Arial" w:cs="Arial"/>
        </w:rPr>
        <w:t>.</w:t>
      </w:r>
      <w:r>
        <w:rPr>
          <w:rFonts w:ascii="Arial" w:hAnsi="Arial" w:cs="Arial"/>
        </w:rPr>
        <w:t xml:space="preserve"> </w:t>
      </w:r>
      <w:r w:rsidR="00F04496">
        <w:rPr>
          <w:rFonts w:ascii="Arial" w:hAnsi="Arial" w:cs="Arial"/>
        </w:rPr>
        <w:t xml:space="preserve">Greater similarity between animal testing guidelines in different countries is also necessary. Current EU guidelines </w:t>
      </w:r>
      <w:r w:rsidR="00A37401">
        <w:rPr>
          <w:rFonts w:ascii="Arial" w:hAnsi="Arial" w:cs="Arial"/>
        </w:rPr>
        <w:t xml:space="preserve">for acute oral toxicity testing require tests to be conducted in 2 or more species, preferably rodents. However, in </w:t>
      </w:r>
      <w:smartTag w:uri="urn:schemas-microsoft-com:office:smarttags" w:element="country-region">
        <w:r w:rsidR="00A37401">
          <w:rPr>
            <w:rFonts w:ascii="Arial" w:hAnsi="Arial" w:cs="Arial"/>
          </w:rPr>
          <w:t>Japan</w:t>
        </w:r>
      </w:smartTag>
      <w:r w:rsidR="00A37401">
        <w:rPr>
          <w:rFonts w:ascii="Arial" w:hAnsi="Arial" w:cs="Arial"/>
        </w:rPr>
        <w:t xml:space="preserve"> 2 species are required (including one non-rodent) and in the </w:t>
      </w:r>
      <w:smartTag w:uri="urn:schemas-microsoft-com:office:smarttags" w:element="country-region">
        <w:smartTag w:uri="urn:schemas-microsoft-com:office:smarttags" w:element="place">
          <w:r w:rsidR="00A37401">
            <w:rPr>
              <w:rFonts w:ascii="Arial" w:hAnsi="Arial" w:cs="Arial"/>
            </w:rPr>
            <w:t>US</w:t>
          </w:r>
        </w:smartTag>
      </w:smartTag>
      <w:r w:rsidR="00A37401">
        <w:rPr>
          <w:rFonts w:ascii="Arial" w:hAnsi="Arial" w:cs="Arial"/>
        </w:rPr>
        <w:t xml:space="preserve"> 3 species are </w:t>
      </w:r>
      <w:r w:rsidR="0063122C">
        <w:rPr>
          <w:rFonts w:ascii="Arial" w:hAnsi="Arial" w:cs="Arial"/>
        </w:rPr>
        <w:t>necessary</w:t>
      </w:r>
      <w:r w:rsidR="00A37401">
        <w:rPr>
          <w:rFonts w:ascii="Arial" w:hAnsi="Arial" w:cs="Arial"/>
        </w:rPr>
        <w:t xml:space="preserve">, one of which must be non-rodent (Ukelis </w:t>
      </w:r>
      <w:r w:rsidR="00A37401" w:rsidRPr="00A63875">
        <w:rPr>
          <w:rFonts w:ascii="Arial" w:hAnsi="Arial" w:cs="Arial"/>
          <w:i/>
        </w:rPr>
        <w:t>et al,</w:t>
      </w:r>
      <w:r w:rsidR="00A37401">
        <w:rPr>
          <w:rFonts w:ascii="Arial" w:hAnsi="Arial" w:cs="Arial"/>
        </w:rPr>
        <w:t xml:space="preserve"> 08). </w:t>
      </w:r>
    </w:p>
    <w:p w:rsidR="00771D04" w:rsidRDefault="00771D04">
      <w:pPr>
        <w:rPr>
          <w:rFonts w:ascii="Arial" w:hAnsi="Arial" w:cs="Arial"/>
        </w:rPr>
      </w:pPr>
    </w:p>
    <w:p w:rsidR="00E14CBC" w:rsidRDefault="00E14CBC" w:rsidP="005276D5">
      <w:pPr>
        <w:tabs>
          <w:tab w:val="left" w:pos="5445"/>
        </w:tabs>
        <w:rPr>
          <w:rFonts w:ascii="Arial" w:hAnsi="Arial" w:cs="Arial"/>
          <w:b/>
        </w:rPr>
      </w:pPr>
    </w:p>
    <w:p w:rsidR="005276D5" w:rsidRDefault="005276D5" w:rsidP="005276D5">
      <w:pPr>
        <w:tabs>
          <w:tab w:val="left" w:pos="5445"/>
        </w:tabs>
        <w:rPr>
          <w:rFonts w:ascii="Arial" w:hAnsi="Arial" w:cs="Arial"/>
          <w:b/>
        </w:rPr>
      </w:pPr>
      <w:r w:rsidRPr="00FA4D18">
        <w:rPr>
          <w:rFonts w:ascii="Arial" w:hAnsi="Arial" w:cs="Arial"/>
          <w:b/>
        </w:rPr>
        <w:t>Progress of animal testing</w:t>
      </w:r>
    </w:p>
    <w:p w:rsidR="005276D5" w:rsidRDefault="005276D5" w:rsidP="005276D5">
      <w:pPr>
        <w:tabs>
          <w:tab w:val="left" w:pos="5445"/>
        </w:tabs>
        <w:rPr>
          <w:rFonts w:ascii="Arial" w:hAnsi="Arial" w:cs="Arial"/>
        </w:rPr>
      </w:pPr>
    </w:p>
    <w:p w:rsidR="005276D5" w:rsidRDefault="005276D5" w:rsidP="005276D5">
      <w:pPr>
        <w:tabs>
          <w:tab w:val="left" w:pos="5445"/>
        </w:tabs>
        <w:rPr>
          <w:rFonts w:ascii="Arial" w:hAnsi="Arial" w:cs="Arial"/>
        </w:rPr>
      </w:pPr>
      <w:r>
        <w:rPr>
          <w:rFonts w:ascii="Arial" w:hAnsi="Arial" w:cs="Arial"/>
        </w:rPr>
        <w:t xml:space="preserve">In recent years, progress has been made within toxicity testing </w:t>
      </w:r>
      <w:r w:rsidRPr="007F3480">
        <w:rPr>
          <w:rFonts w:ascii="Arial" w:hAnsi="Arial" w:cs="Arial"/>
          <w:i/>
        </w:rPr>
        <w:t>in vivo</w:t>
      </w:r>
      <w:r>
        <w:rPr>
          <w:rFonts w:ascii="Arial" w:hAnsi="Arial" w:cs="Arial"/>
        </w:rPr>
        <w:t xml:space="preserve"> in terms of reducing numbers of animals used but also in the extent of tests used. Traditionally the LD50 assay has been used, a measure of the dose required to result in death in 50% of the animals in the study. An alternative to this assay was first suggested by the British Toxicology Society in 1984 and was based on administering a series of fixed doses and relying on the observation of clear signs of toxicity rather than the endpoint of the assay being death. This was introduced as a test guideline in 1992 and found to use fewer animals and cause less suffering than the LD50 test. The LD50 test for acute oral toxicity has since been abolished following an OECD Joint Meeting in 2001 (OECD Guideline 420, 2001).  </w:t>
      </w:r>
    </w:p>
    <w:p w:rsidR="005276D5" w:rsidRDefault="005276D5" w:rsidP="005276D5">
      <w:pPr>
        <w:tabs>
          <w:tab w:val="left" w:pos="5445"/>
        </w:tabs>
        <w:rPr>
          <w:rFonts w:ascii="Arial" w:hAnsi="Arial" w:cs="Arial"/>
        </w:rPr>
      </w:pPr>
    </w:p>
    <w:p w:rsidR="005276D5" w:rsidRDefault="005276D5" w:rsidP="005276D5">
      <w:pPr>
        <w:tabs>
          <w:tab w:val="left" w:pos="5445"/>
        </w:tabs>
        <w:rPr>
          <w:rFonts w:ascii="Arial" w:hAnsi="Arial" w:cs="Arial"/>
        </w:rPr>
      </w:pPr>
      <w:r>
        <w:rPr>
          <w:rFonts w:ascii="Arial" w:hAnsi="Arial" w:cs="Arial"/>
        </w:rPr>
        <w:t xml:space="preserve">A recent initiative between 18 European countries has also reviewed the use of acute toxicity tests in pharmaceutical development. The analysis indicates that acute toxicity test results are in practice not used to determine doses to be administered in phase I clinical trials, nor are they useful in terminating production of drugs in development. Conclusions reached by the group determined that acute toxicity tests are no longer often the first test carried out and are generally less useful than data generated from other tests routinely incorporated into toxicity testing (Robinson </w:t>
      </w:r>
      <w:r w:rsidRPr="005276D5">
        <w:rPr>
          <w:rFonts w:ascii="Arial" w:hAnsi="Arial" w:cs="Arial"/>
          <w:i/>
        </w:rPr>
        <w:t>et al,</w:t>
      </w:r>
      <w:r>
        <w:rPr>
          <w:rFonts w:ascii="Arial" w:hAnsi="Arial" w:cs="Arial"/>
        </w:rPr>
        <w:t xml:space="preserve"> 2008).</w:t>
      </w:r>
    </w:p>
    <w:p w:rsidR="005276D5" w:rsidRDefault="005276D5" w:rsidP="005276D5">
      <w:pPr>
        <w:tabs>
          <w:tab w:val="left" w:pos="5445"/>
        </w:tabs>
        <w:rPr>
          <w:rFonts w:ascii="Arial" w:hAnsi="Arial" w:cs="Arial"/>
        </w:rPr>
      </w:pPr>
    </w:p>
    <w:p w:rsidR="00E14CBC" w:rsidRDefault="00E14CBC">
      <w:pPr>
        <w:rPr>
          <w:rFonts w:ascii="Arial" w:hAnsi="Arial" w:cs="Arial"/>
          <w:b/>
        </w:rPr>
      </w:pPr>
    </w:p>
    <w:p w:rsidR="0063122C" w:rsidRPr="0063122C" w:rsidRDefault="0063122C">
      <w:pPr>
        <w:rPr>
          <w:rFonts w:ascii="Arial" w:hAnsi="Arial" w:cs="Arial"/>
          <w:b/>
        </w:rPr>
      </w:pPr>
      <w:r w:rsidRPr="0063122C">
        <w:rPr>
          <w:rFonts w:ascii="Arial" w:hAnsi="Arial" w:cs="Arial"/>
          <w:b/>
        </w:rPr>
        <w:t xml:space="preserve">Concordance of </w:t>
      </w:r>
      <w:r>
        <w:rPr>
          <w:rFonts w:ascii="Arial" w:hAnsi="Arial" w:cs="Arial"/>
          <w:b/>
        </w:rPr>
        <w:t>animal data with human toxicity</w:t>
      </w:r>
    </w:p>
    <w:p w:rsidR="0063122C" w:rsidRDefault="0063122C">
      <w:pPr>
        <w:rPr>
          <w:rFonts w:ascii="Arial" w:hAnsi="Arial" w:cs="Arial"/>
        </w:rPr>
      </w:pPr>
    </w:p>
    <w:p w:rsidR="003C6B8D" w:rsidRDefault="00771D04">
      <w:pPr>
        <w:rPr>
          <w:rFonts w:ascii="Arial" w:hAnsi="Arial" w:cs="Arial"/>
        </w:rPr>
      </w:pPr>
      <w:r>
        <w:rPr>
          <w:rFonts w:ascii="Arial" w:hAnsi="Arial" w:cs="Arial"/>
        </w:rPr>
        <w:t xml:space="preserve">Besides ethical reasons for reducing animal testing, lack of predictability of human toxicity from animal trials has been cited as a concern. Whilst generally animal trials can give good indications as to human toxicity, many studies have reported lack of concordance, </w:t>
      </w:r>
      <w:r w:rsidR="00B620AE">
        <w:rPr>
          <w:rFonts w:ascii="Arial" w:hAnsi="Arial" w:cs="Arial"/>
        </w:rPr>
        <w:t xml:space="preserve">termed interspecies uncertainty (Price </w:t>
      </w:r>
      <w:r w:rsidR="00B620AE" w:rsidRPr="00A63875">
        <w:rPr>
          <w:rFonts w:ascii="Arial" w:hAnsi="Arial" w:cs="Arial"/>
          <w:i/>
        </w:rPr>
        <w:t>et al,</w:t>
      </w:r>
      <w:r w:rsidR="00B620AE">
        <w:rPr>
          <w:rFonts w:ascii="Arial" w:hAnsi="Arial" w:cs="Arial"/>
        </w:rPr>
        <w:t xml:space="preserve"> 08).</w:t>
      </w:r>
      <w:r w:rsidR="00B171D1">
        <w:rPr>
          <w:rFonts w:ascii="Arial" w:hAnsi="Arial" w:cs="Arial"/>
        </w:rPr>
        <w:t xml:space="preserve"> False positive results from animal trials may result in withdrawal of a drug from trials or the use of subclinical doses. Conversely, and possibly a worse scenario involves false negative results which may </w:t>
      </w:r>
      <w:r w:rsidR="0063122C">
        <w:rPr>
          <w:rFonts w:ascii="Arial" w:hAnsi="Arial" w:cs="Arial"/>
        </w:rPr>
        <w:t xml:space="preserve">lead to </w:t>
      </w:r>
      <w:r w:rsidR="00521BFE">
        <w:rPr>
          <w:rFonts w:ascii="Arial" w:hAnsi="Arial" w:cs="Arial"/>
        </w:rPr>
        <w:t>unexpected human toxicity. This was dramatically illustrated in the TGN 1412 phase I clinical trial in 2006. TGN 1412 is a monoclonal antibody thought to have an anti-inflammatory effect via activation of T regulatory cells and potential use in the treatment of leukaemia and autoimmune diseases. However, the opposite effect was seen in human trials producing massive systemic inflammatory responses</w:t>
      </w:r>
      <w:r w:rsidR="0065486E">
        <w:rPr>
          <w:rFonts w:ascii="Arial" w:hAnsi="Arial" w:cs="Arial"/>
        </w:rPr>
        <w:t xml:space="preserve"> (Suntharalingam </w:t>
      </w:r>
      <w:r w:rsidR="0065486E" w:rsidRPr="0065486E">
        <w:rPr>
          <w:rFonts w:ascii="Arial" w:hAnsi="Arial" w:cs="Arial"/>
          <w:i/>
        </w:rPr>
        <w:t>et al,</w:t>
      </w:r>
      <w:r w:rsidR="0065486E">
        <w:rPr>
          <w:rFonts w:ascii="Arial" w:hAnsi="Arial" w:cs="Arial"/>
        </w:rPr>
        <w:t xml:space="preserve"> 2006)</w:t>
      </w:r>
      <w:r w:rsidR="00CC5559">
        <w:rPr>
          <w:rFonts w:ascii="Arial" w:hAnsi="Arial" w:cs="Arial"/>
        </w:rPr>
        <w:t xml:space="preserve">. A subsequent investigation </w:t>
      </w:r>
      <w:r w:rsidR="00371261">
        <w:rPr>
          <w:rFonts w:ascii="Arial" w:hAnsi="Arial" w:cs="Arial"/>
        </w:rPr>
        <w:t xml:space="preserve">concluded that these serious adverse effects were not predicted in humans following apparently adequate </w:t>
      </w:r>
      <w:r w:rsidR="006D78FD">
        <w:rPr>
          <w:rFonts w:ascii="Arial" w:hAnsi="Arial" w:cs="Arial"/>
        </w:rPr>
        <w:t xml:space="preserve">preclinical </w:t>
      </w:r>
      <w:r w:rsidR="00371261">
        <w:rPr>
          <w:rFonts w:ascii="Arial" w:hAnsi="Arial" w:cs="Arial"/>
        </w:rPr>
        <w:t xml:space="preserve">animal tests </w:t>
      </w:r>
      <w:r w:rsidR="00371261" w:rsidRPr="00273B19">
        <w:rPr>
          <w:rFonts w:ascii="Arial" w:hAnsi="Arial" w:cs="Arial"/>
        </w:rPr>
        <w:t>(</w:t>
      </w:r>
      <w:r w:rsidR="00273B19" w:rsidRPr="00273B19">
        <w:rPr>
          <w:rFonts w:ascii="Arial" w:hAnsi="Arial" w:cs="Arial"/>
        </w:rPr>
        <w:t>MHRA Report</w:t>
      </w:r>
      <w:r w:rsidR="0044206B" w:rsidRPr="00273B19">
        <w:rPr>
          <w:rFonts w:ascii="Arial" w:hAnsi="Arial" w:cs="Arial"/>
        </w:rPr>
        <w:t xml:space="preserve">, </w:t>
      </w:r>
      <w:r w:rsidR="00273B19" w:rsidRPr="00273B19">
        <w:rPr>
          <w:rFonts w:ascii="Arial" w:hAnsi="Arial" w:cs="Arial"/>
        </w:rPr>
        <w:t>2006</w:t>
      </w:r>
      <w:r w:rsidR="00371261" w:rsidRPr="00273B19">
        <w:rPr>
          <w:rFonts w:ascii="Arial" w:hAnsi="Arial" w:cs="Arial"/>
        </w:rPr>
        <w:t>).</w:t>
      </w:r>
      <w:r w:rsidR="00371261">
        <w:rPr>
          <w:rFonts w:ascii="Arial" w:hAnsi="Arial" w:cs="Arial"/>
        </w:rPr>
        <w:t xml:space="preserve"> </w:t>
      </w:r>
    </w:p>
    <w:p w:rsidR="003C6B8D" w:rsidRDefault="003C6B8D">
      <w:pPr>
        <w:rPr>
          <w:rFonts w:ascii="Arial" w:hAnsi="Arial" w:cs="Arial"/>
        </w:rPr>
      </w:pPr>
    </w:p>
    <w:p w:rsidR="00521BFE" w:rsidRPr="00273B19" w:rsidRDefault="00371261">
      <w:pPr>
        <w:rPr>
          <w:rFonts w:ascii="Arial" w:hAnsi="Arial" w:cs="Arial"/>
          <w:highlight w:val="yellow"/>
        </w:rPr>
      </w:pPr>
      <w:r>
        <w:rPr>
          <w:rFonts w:ascii="Arial" w:hAnsi="Arial" w:cs="Arial"/>
        </w:rPr>
        <w:t xml:space="preserve">Whilst </w:t>
      </w:r>
      <w:r w:rsidR="00CB585E">
        <w:rPr>
          <w:rFonts w:ascii="Arial" w:hAnsi="Arial" w:cs="Arial"/>
        </w:rPr>
        <w:t xml:space="preserve">TGN 1412 is </w:t>
      </w:r>
      <w:r>
        <w:rPr>
          <w:rFonts w:ascii="Arial" w:hAnsi="Arial" w:cs="Arial"/>
        </w:rPr>
        <w:t xml:space="preserve">a particularly dramatic example, </w:t>
      </w:r>
      <w:r w:rsidRPr="000C15BD">
        <w:rPr>
          <w:rFonts w:ascii="Arial" w:hAnsi="Arial" w:cs="Arial"/>
        </w:rPr>
        <w:t>lack of concordance between human and animal trials has been previously reported</w:t>
      </w:r>
      <w:r w:rsidR="00AB3594">
        <w:rPr>
          <w:rFonts w:ascii="Arial" w:hAnsi="Arial" w:cs="Arial"/>
        </w:rPr>
        <w:t xml:space="preserve"> in other studies</w:t>
      </w:r>
      <w:r w:rsidRPr="000C15BD">
        <w:rPr>
          <w:rFonts w:ascii="Arial" w:hAnsi="Arial" w:cs="Arial"/>
        </w:rPr>
        <w:t>.</w:t>
      </w:r>
      <w:r>
        <w:rPr>
          <w:rFonts w:ascii="Arial" w:hAnsi="Arial" w:cs="Arial"/>
        </w:rPr>
        <w:t xml:space="preserve"> A report conducted in 2000 examined data from 12 pharmaceutical companies concerning 150 compounds </w:t>
      </w:r>
      <w:r w:rsidR="005A3AF5">
        <w:rPr>
          <w:rFonts w:ascii="Arial" w:hAnsi="Arial" w:cs="Arial"/>
        </w:rPr>
        <w:t xml:space="preserve">(including 221 </w:t>
      </w:r>
      <w:r w:rsidR="0063122C">
        <w:rPr>
          <w:rFonts w:ascii="Arial" w:hAnsi="Arial" w:cs="Arial"/>
        </w:rPr>
        <w:t xml:space="preserve">reported </w:t>
      </w:r>
      <w:r w:rsidR="005A3AF5">
        <w:rPr>
          <w:rFonts w:ascii="Arial" w:hAnsi="Arial" w:cs="Arial"/>
        </w:rPr>
        <w:t xml:space="preserve">human toxicity events) </w:t>
      </w:r>
      <w:r>
        <w:rPr>
          <w:rFonts w:ascii="Arial" w:hAnsi="Arial" w:cs="Arial"/>
        </w:rPr>
        <w:t xml:space="preserve">and </w:t>
      </w:r>
      <w:r w:rsidRPr="00C34004">
        <w:rPr>
          <w:rFonts w:ascii="Arial" w:hAnsi="Arial" w:cs="Arial"/>
        </w:rPr>
        <w:t xml:space="preserve">aimed to </w:t>
      </w:r>
      <w:r w:rsidR="007A7DAE" w:rsidRPr="00C34004">
        <w:rPr>
          <w:rFonts w:ascii="Arial" w:hAnsi="Arial" w:cs="Arial"/>
        </w:rPr>
        <w:t xml:space="preserve">better understand the concordance between human toxicity and that observed in laboratory </w:t>
      </w:r>
      <w:r w:rsidRPr="00C34004">
        <w:rPr>
          <w:rFonts w:ascii="Arial" w:hAnsi="Arial" w:cs="Arial"/>
        </w:rPr>
        <w:t>animal</w:t>
      </w:r>
      <w:r w:rsidR="007A7DAE" w:rsidRPr="00C34004">
        <w:rPr>
          <w:rFonts w:ascii="Arial" w:hAnsi="Arial" w:cs="Arial"/>
        </w:rPr>
        <w:t>s.</w:t>
      </w:r>
      <w:r>
        <w:rPr>
          <w:rFonts w:ascii="Arial" w:hAnsi="Arial" w:cs="Arial"/>
        </w:rPr>
        <w:t xml:space="preserve"> </w:t>
      </w:r>
      <w:r w:rsidR="005A3AF5">
        <w:rPr>
          <w:rFonts w:ascii="Arial" w:hAnsi="Arial" w:cs="Arial"/>
        </w:rPr>
        <w:t xml:space="preserve">Concordance overall was found to be 71% when using rodent and non-rodent test species. However, using </w:t>
      </w:r>
      <w:r w:rsidR="00C34004">
        <w:rPr>
          <w:rFonts w:ascii="Arial" w:hAnsi="Arial" w:cs="Arial"/>
        </w:rPr>
        <w:t>non-</w:t>
      </w:r>
      <w:r w:rsidR="005A3AF5">
        <w:rPr>
          <w:rFonts w:ascii="Arial" w:hAnsi="Arial" w:cs="Arial"/>
        </w:rPr>
        <w:t xml:space="preserve">rodents alone </w:t>
      </w:r>
      <w:r w:rsidR="00C34004">
        <w:rPr>
          <w:rFonts w:ascii="Arial" w:hAnsi="Arial" w:cs="Arial"/>
        </w:rPr>
        <w:t xml:space="preserve">reduced </w:t>
      </w:r>
      <w:r w:rsidR="0063122C">
        <w:rPr>
          <w:rFonts w:ascii="Arial" w:hAnsi="Arial" w:cs="Arial"/>
        </w:rPr>
        <w:t xml:space="preserve">concordance </w:t>
      </w:r>
      <w:r w:rsidR="00C34004">
        <w:rPr>
          <w:rFonts w:ascii="Arial" w:hAnsi="Arial" w:cs="Arial"/>
        </w:rPr>
        <w:t xml:space="preserve">to 63% and just 43% when using rodents only, possibly highlighting potential issues where guidelines do not enforce the use of non-rodent species in combination with rodents, as is the case for example in the EU (Ukelis </w:t>
      </w:r>
      <w:r w:rsidR="00C34004" w:rsidRPr="00C34004">
        <w:rPr>
          <w:rFonts w:ascii="Arial" w:hAnsi="Arial" w:cs="Arial"/>
          <w:i/>
        </w:rPr>
        <w:t>et al,</w:t>
      </w:r>
      <w:r w:rsidR="00C34004">
        <w:rPr>
          <w:rFonts w:ascii="Arial" w:hAnsi="Arial" w:cs="Arial"/>
        </w:rPr>
        <w:t xml:space="preserve"> 2008).</w:t>
      </w:r>
    </w:p>
    <w:p w:rsidR="00F106E7" w:rsidRDefault="00F106E7" w:rsidP="00521BFE">
      <w:pPr>
        <w:tabs>
          <w:tab w:val="left" w:pos="5445"/>
        </w:tabs>
        <w:rPr>
          <w:rFonts w:ascii="Arial" w:hAnsi="Arial" w:cs="Arial"/>
        </w:rPr>
      </w:pPr>
    </w:p>
    <w:p w:rsidR="00071D2E" w:rsidRDefault="00F106E7" w:rsidP="00521BFE">
      <w:pPr>
        <w:tabs>
          <w:tab w:val="left" w:pos="5445"/>
        </w:tabs>
        <w:rPr>
          <w:rFonts w:ascii="Arial" w:hAnsi="Arial" w:cs="Arial"/>
        </w:rPr>
      </w:pPr>
      <w:r>
        <w:rPr>
          <w:rFonts w:ascii="Arial" w:hAnsi="Arial" w:cs="Arial"/>
        </w:rPr>
        <w:t xml:space="preserve">When extrapolating safety tests on animals to </w:t>
      </w:r>
      <w:r w:rsidR="007F3480">
        <w:rPr>
          <w:rFonts w:ascii="Arial" w:hAnsi="Arial" w:cs="Arial"/>
        </w:rPr>
        <w:t xml:space="preserve">set </w:t>
      </w:r>
      <w:r>
        <w:rPr>
          <w:rFonts w:ascii="Arial" w:hAnsi="Arial" w:cs="Arial"/>
        </w:rPr>
        <w:t>human doses, this is often achieved by taking a dose associated with a particular toxicity and dividing by a series of uncertainty factors. This is designed to take into account species differences and the correlation of toxicity generally increasing with increasing body weight</w:t>
      </w:r>
      <w:r w:rsidRPr="00F106E7">
        <w:rPr>
          <w:rFonts w:ascii="Arial" w:hAnsi="Arial" w:cs="Arial"/>
        </w:rPr>
        <w:t xml:space="preserve"> </w:t>
      </w:r>
      <w:r>
        <w:rPr>
          <w:rFonts w:ascii="Arial" w:hAnsi="Arial" w:cs="Arial"/>
        </w:rPr>
        <w:t xml:space="preserve">(Price </w:t>
      </w:r>
      <w:r w:rsidR="0063122C" w:rsidRPr="0063122C">
        <w:rPr>
          <w:rFonts w:ascii="Arial" w:hAnsi="Arial" w:cs="Arial"/>
          <w:i/>
        </w:rPr>
        <w:t>et al,</w:t>
      </w:r>
      <w:r w:rsidR="0063122C">
        <w:rPr>
          <w:rFonts w:ascii="Arial" w:hAnsi="Arial" w:cs="Arial"/>
        </w:rPr>
        <w:t xml:space="preserve"> </w:t>
      </w:r>
      <w:r>
        <w:rPr>
          <w:rFonts w:ascii="Arial" w:hAnsi="Arial" w:cs="Arial"/>
        </w:rPr>
        <w:t xml:space="preserve">08). </w:t>
      </w:r>
      <w:r w:rsidR="00EA4F3A">
        <w:rPr>
          <w:rFonts w:ascii="Arial" w:hAnsi="Arial" w:cs="Arial"/>
        </w:rPr>
        <w:t xml:space="preserve">In the </w:t>
      </w:r>
      <w:smartTag w:uri="urn:schemas-microsoft-com:office:smarttags" w:element="place">
        <w:smartTag w:uri="urn:schemas-microsoft-com:office:smarttags" w:element="country-region">
          <w:r w:rsidR="00EA4F3A">
            <w:rPr>
              <w:rFonts w:ascii="Arial" w:hAnsi="Arial" w:cs="Arial"/>
            </w:rPr>
            <w:t>U</w:t>
          </w:r>
          <w:r w:rsidR="007063EB">
            <w:rPr>
              <w:rFonts w:ascii="Arial" w:hAnsi="Arial" w:cs="Arial"/>
            </w:rPr>
            <w:t>nited States</w:t>
          </w:r>
        </w:smartTag>
      </w:smartTag>
      <w:r w:rsidR="007063EB">
        <w:rPr>
          <w:rFonts w:ascii="Arial" w:hAnsi="Arial" w:cs="Arial"/>
        </w:rPr>
        <w:t xml:space="preserve"> for example, interspecies uncertainty is generally assigned a </w:t>
      </w:r>
      <w:r w:rsidR="007708BB">
        <w:rPr>
          <w:rFonts w:ascii="Arial" w:hAnsi="Arial" w:cs="Arial"/>
        </w:rPr>
        <w:t>ratio</w:t>
      </w:r>
      <w:r w:rsidR="007063EB">
        <w:rPr>
          <w:rFonts w:ascii="Arial" w:hAnsi="Arial" w:cs="Arial"/>
        </w:rPr>
        <w:t xml:space="preserve"> of 10</w:t>
      </w:r>
      <w:r w:rsidR="005249B6">
        <w:rPr>
          <w:rFonts w:ascii="Arial" w:hAnsi="Arial" w:cs="Arial"/>
        </w:rPr>
        <w:t>:</w:t>
      </w:r>
      <w:r w:rsidR="007708BB">
        <w:rPr>
          <w:rFonts w:ascii="Arial" w:hAnsi="Arial" w:cs="Arial"/>
        </w:rPr>
        <w:t>1 (to allow for humans potentially being up to 10 times more sensitive to the agent than test animals)</w:t>
      </w:r>
      <w:r w:rsidR="007063EB">
        <w:rPr>
          <w:rFonts w:ascii="Arial" w:hAnsi="Arial" w:cs="Arial"/>
        </w:rPr>
        <w:t xml:space="preserve">. However, a recent study by Price </w:t>
      </w:r>
      <w:r w:rsidR="007063EB" w:rsidRPr="0063122C">
        <w:rPr>
          <w:rFonts w:ascii="Arial" w:hAnsi="Arial" w:cs="Arial"/>
          <w:i/>
        </w:rPr>
        <w:t>et al,</w:t>
      </w:r>
      <w:r w:rsidR="007063EB">
        <w:rPr>
          <w:rFonts w:ascii="Arial" w:hAnsi="Arial" w:cs="Arial"/>
        </w:rPr>
        <w:t xml:space="preserve"> (2008) investigated the validity of this ratio in terms of </w:t>
      </w:r>
      <w:r w:rsidR="004F7829">
        <w:rPr>
          <w:rFonts w:ascii="Arial" w:hAnsi="Arial" w:cs="Arial"/>
        </w:rPr>
        <w:t>anti-neoplastic</w:t>
      </w:r>
      <w:r w:rsidR="007063EB">
        <w:rPr>
          <w:rFonts w:ascii="Arial" w:hAnsi="Arial" w:cs="Arial"/>
        </w:rPr>
        <w:t xml:space="preserve"> agents </w:t>
      </w:r>
      <w:r w:rsidR="004F7829">
        <w:rPr>
          <w:rFonts w:ascii="Arial" w:hAnsi="Arial" w:cs="Arial"/>
        </w:rPr>
        <w:t xml:space="preserve">and concluded that </w:t>
      </w:r>
      <w:r w:rsidR="00071D2E">
        <w:rPr>
          <w:rFonts w:ascii="Arial" w:hAnsi="Arial" w:cs="Arial"/>
        </w:rPr>
        <w:t>it may be</w:t>
      </w:r>
      <w:r w:rsidR="004F7829">
        <w:rPr>
          <w:rFonts w:ascii="Arial" w:hAnsi="Arial" w:cs="Arial"/>
        </w:rPr>
        <w:t xml:space="preserve"> inappropriate for a number of drugs. Particularly when comparing human and mouse toxicity ratios, the mean ratio of 54 agents was 20</w:t>
      </w:r>
      <w:r w:rsidR="005249B6">
        <w:rPr>
          <w:rFonts w:ascii="Arial" w:hAnsi="Arial" w:cs="Arial"/>
        </w:rPr>
        <w:t>:1</w:t>
      </w:r>
      <w:r w:rsidR="004F7829">
        <w:rPr>
          <w:rFonts w:ascii="Arial" w:hAnsi="Arial" w:cs="Arial"/>
        </w:rPr>
        <w:t>. In co</w:t>
      </w:r>
      <w:r w:rsidR="0063122C">
        <w:rPr>
          <w:rFonts w:ascii="Arial" w:hAnsi="Arial" w:cs="Arial"/>
        </w:rPr>
        <w:t>ntrast</w:t>
      </w:r>
      <w:r w:rsidR="004F7829">
        <w:rPr>
          <w:rFonts w:ascii="Arial" w:hAnsi="Arial" w:cs="Arial"/>
        </w:rPr>
        <w:t>, human/dog toxicity ratios were most closely correlated, with a mean value of 3.5</w:t>
      </w:r>
      <w:r w:rsidR="005249B6">
        <w:rPr>
          <w:rFonts w:ascii="Arial" w:hAnsi="Arial" w:cs="Arial"/>
        </w:rPr>
        <w:t>:1</w:t>
      </w:r>
      <w:r w:rsidR="004F7829">
        <w:rPr>
          <w:rFonts w:ascii="Arial" w:hAnsi="Arial" w:cs="Arial"/>
        </w:rPr>
        <w:t>, well within the value of 10 typically used in safety tests.</w:t>
      </w:r>
      <w:r w:rsidR="00071D2E">
        <w:rPr>
          <w:rFonts w:ascii="Arial" w:hAnsi="Arial" w:cs="Arial"/>
        </w:rPr>
        <w:t xml:space="preserve"> </w:t>
      </w:r>
      <w:r w:rsidR="0063122C">
        <w:rPr>
          <w:rFonts w:ascii="Arial" w:hAnsi="Arial" w:cs="Arial"/>
        </w:rPr>
        <w:t>A</w:t>
      </w:r>
      <w:r w:rsidR="00071D2E">
        <w:rPr>
          <w:rFonts w:ascii="Arial" w:hAnsi="Arial" w:cs="Arial"/>
        </w:rPr>
        <w:t>ddition</w:t>
      </w:r>
      <w:r w:rsidR="0063122C">
        <w:rPr>
          <w:rFonts w:ascii="Arial" w:hAnsi="Arial" w:cs="Arial"/>
        </w:rPr>
        <w:t>ally</w:t>
      </w:r>
      <w:r w:rsidR="00071D2E">
        <w:rPr>
          <w:rFonts w:ascii="Arial" w:hAnsi="Arial" w:cs="Arial"/>
        </w:rPr>
        <w:t>, the report illustrates that human toxicity data is derived from individuals with cancer, who are often also elderly and may therefore be compromised in terms of health and resistance to toxicity compared with the general population.</w:t>
      </w:r>
    </w:p>
    <w:p w:rsidR="00071D2E" w:rsidRDefault="00071D2E" w:rsidP="00521BFE">
      <w:pPr>
        <w:tabs>
          <w:tab w:val="left" w:pos="5445"/>
        </w:tabs>
        <w:rPr>
          <w:rFonts w:ascii="Arial" w:hAnsi="Arial" w:cs="Arial"/>
        </w:rPr>
      </w:pPr>
    </w:p>
    <w:p w:rsidR="00E14CBC" w:rsidRDefault="00E14CBC" w:rsidP="00521BFE">
      <w:pPr>
        <w:tabs>
          <w:tab w:val="left" w:pos="5445"/>
        </w:tabs>
        <w:rPr>
          <w:rFonts w:ascii="Arial" w:hAnsi="Arial" w:cs="Arial"/>
          <w:b/>
        </w:rPr>
      </w:pPr>
    </w:p>
    <w:p w:rsidR="0063122C" w:rsidRPr="0063122C" w:rsidRDefault="0063122C" w:rsidP="00521BFE">
      <w:pPr>
        <w:tabs>
          <w:tab w:val="left" w:pos="5445"/>
        </w:tabs>
        <w:rPr>
          <w:rFonts w:ascii="Arial" w:hAnsi="Arial" w:cs="Arial"/>
          <w:b/>
        </w:rPr>
      </w:pPr>
      <w:r w:rsidRPr="0063122C">
        <w:rPr>
          <w:rFonts w:ascii="Arial" w:hAnsi="Arial" w:cs="Arial"/>
          <w:b/>
        </w:rPr>
        <w:t>Toxicity testing of prodrugs</w:t>
      </w:r>
    </w:p>
    <w:p w:rsidR="0063122C" w:rsidRDefault="0063122C" w:rsidP="00521BFE">
      <w:pPr>
        <w:tabs>
          <w:tab w:val="left" w:pos="5445"/>
        </w:tabs>
        <w:rPr>
          <w:rFonts w:ascii="Arial" w:hAnsi="Arial" w:cs="Arial"/>
        </w:rPr>
      </w:pPr>
    </w:p>
    <w:p w:rsidR="00185026" w:rsidRDefault="00071D2E" w:rsidP="00521BFE">
      <w:pPr>
        <w:tabs>
          <w:tab w:val="left" w:pos="5445"/>
        </w:tabs>
        <w:rPr>
          <w:rFonts w:ascii="Arial" w:hAnsi="Arial" w:cs="Arial"/>
        </w:rPr>
      </w:pPr>
      <w:r>
        <w:rPr>
          <w:rFonts w:ascii="Arial" w:hAnsi="Arial" w:cs="Arial"/>
        </w:rPr>
        <w:t>Safety testing of clinical agents is increasingly difficult if the drug in question requires metabolism to the active form for example by cytochrome P450 enzymes.</w:t>
      </w:r>
      <w:r w:rsidR="00185026">
        <w:rPr>
          <w:rFonts w:ascii="Arial" w:hAnsi="Arial" w:cs="Arial"/>
        </w:rPr>
        <w:t xml:space="preserve"> Whilst </w:t>
      </w:r>
      <w:r w:rsidR="00114AA7">
        <w:rPr>
          <w:rFonts w:ascii="Arial" w:hAnsi="Arial" w:cs="Arial"/>
        </w:rPr>
        <w:t xml:space="preserve">only </w:t>
      </w:r>
      <w:r w:rsidR="00185026">
        <w:rPr>
          <w:rFonts w:ascii="Arial" w:hAnsi="Arial" w:cs="Arial"/>
        </w:rPr>
        <w:t>a limited number of pharmaceuticals are administered in a prodrug form, the vast majority of drugs still require the presence of P450 enzymes to aid detoxification and elimination form the body, illustrated in</w:t>
      </w:r>
      <w:r w:rsidR="00B01EEB">
        <w:rPr>
          <w:rFonts w:ascii="Arial" w:hAnsi="Arial" w:cs="Arial"/>
        </w:rPr>
        <w:t xml:space="preserve"> </w:t>
      </w:r>
      <w:fldSimple w:instr=" REF _Ref219003063 \h  \* MERGEFORMAT ">
        <w:r w:rsidR="00E14CBC" w:rsidRPr="00E14CBC">
          <w:rPr>
            <w:rFonts w:ascii="Arial" w:hAnsi="Arial" w:cs="Arial"/>
          </w:rPr>
          <w:t xml:space="preserve">Table </w:t>
        </w:r>
        <w:r w:rsidR="00E14CBC" w:rsidRPr="00E14CBC">
          <w:rPr>
            <w:rFonts w:ascii="Arial" w:hAnsi="Arial" w:cs="Arial"/>
            <w:noProof/>
          </w:rPr>
          <w:t>1</w:t>
        </w:r>
      </w:fldSimple>
      <w:r w:rsidR="00185026">
        <w:rPr>
          <w:rFonts w:ascii="Arial" w:hAnsi="Arial" w:cs="Arial"/>
        </w:rPr>
        <w:t>.</w:t>
      </w:r>
    </w:p>
    <w:p w:rsidR="00185026" w:rsidRDefault="00185026" w:rsidP="00521BFE">
      <w:pPr>
        <w:tabs>
          <w:tab w:val="left" w:pos="5445"/>
        </w:tabs>
        <w:rPr>
          <w:rFonts w:ascii="Arial" w:hAnsi="Arial" w:cs="Arial"/>
        </w:rPr>
      </w:pPr>
    </w:p>
    <w:p w:rsidR="001F408B" w:rsidRPr="00B01EEB" w:rsidRDefault="00E14CBC" w:rsidP="00B01EEB">
      <w:pPr>
        <w:pStyle w:val="Caption"/>
        <w:rPr>
          <w:rFonts w:ascii="Arial" w:hAnsi="Arial" w:cs="Arial"/>
          <w:b w:val="0"/>
          <w:sz w:val="24"/>
          <w:szCs w:val="24"/>
        </w:rPr>
      </w:pPr>
      <w:bookmarkStart w:id="0" w:name="_Ref219003063"/>
      <w:r>
        <w:rPr>
          <w:rFonts w:ascii="Arial" w:hAnsi="Arial" w:cs="Arial"/>
          <w:b w:val="0"/>
          <w:sz w:val="24"/>
          <w:szCs w:val="24"/>
        </w:rPr>
        <w:br w:type="page"/>
      </w:r>
      <w:r w:rsidR="00B01EEB" w:rsidRPr="00B01EEB">
        <w:rPr>
          <w:rFonts w:ascii="Arial" w:hAnsi="Arial" w:cs="Arial"/>
          <w:b w:val="0"/>
          <w:sz w:val="24"/>
          <w:szCs w:val="24"/>
        </w:rPr>
        <w:lastRenderedPageBreak/>
        <w:t xml:space="preserve">Table </w:t>
      </w:r>
      <w:r w:rsidR="00B01EEB" w:rsidRPr="00B01EEB">
        <w:rPr>
          <w:rFonts w:ascii="Arial" w:hAnsi="Arial" w:cs="Arial"/>
          <w:b w:val="0"/>
          <w:sz w:val="24"/>
          <w:szCs w:val="24"/>
        </w:rPr>
        <w:fldChar w:fldCharType="begin"/>
      </w:r>
      <w:r w:rsidR="00B01EEB" w:rsidRPr="00B01EEB">
        <w:rPr>
          <w:rFonts w:ascii="Arial" w:hAnsi="Arial" w:cs="Arial"/>
          <w:b w:val="0"/>
          <w:sz w:val="24"/>
          <w:szCs w:val="24"/>
        </w:rPr>
        <w:instrText xml:space="preserve"> SEQ Table \* ARABIC </w:instrText>
      </w:r>
      <w:r w:rsidR="00B01EEB" w:rsidRPr="00B01EEB">
        <w:rPr>
          <w:rFonts w:ascii="Arial" w:hAnsi="Arial" w:cs="Arial"/>
          <w:b w:val="0"/>
          <w:sz w:val="24"/>
          <w:szCs w:val="24"/>
        </w:rPr>
        <w:fldChar w:fldCharType="separate"/>
      </w:r>
      <w:r>
        <w:rPr>
          <w:rFonts w:ascii="Arial" w:hAnsi="Arial" w:cs="Arial"/>
          <w:b w:val="0"/>
          <w:noProof/>
          <w:sz w:val="24"/>
          <w:szCs w:val="24"/>
        </w:rPr>
        <w:t>1</w:t>
      </w:r>
      <w:r w:rsidR="00B01EEB" w:rsidRPr="00B01EEB">
        <w:rPr>
          <w:rFonts w:ascii="Arial" w:hAnsi="Arial" w:cs="Arial"/>
          <w:b w:val="0"/>
          <w:sz w:val="24"/>
          <w:szCs w:val="24"/>
        </w:rPr>
        <w:fldChar w:fldCharType="end"/>
      </w:r>
      <w:bookmarkEnd w:id="0"/>
      <w:r w:rsidR="001F408B" w:rsidRPr="00B01EEB">
        <w:rPr>
          <w:rFonts w:ascii="Arial" w:hAnsi="Arial" w:cs="Arial"/>
          <w:b w:val="0"/>
          <w:sz w:val="24"/>
          <w:szCs w:val="24"/>
        </w:rPr>
        <w:t xml:space="preserve">– Important </w:t>
      </w:r>
      <w:r w:rsidR="0066164D" w:rsidRPr="00B01EEB">
        <w:rPr>
          <w:rFonts w:ascii="Arial" w:hAnsi="Arial" w:cs="Arial"/>
          <w:b w:val="0"/>
          <w:sz w:val="24"/>
          <w:szCs w:val="24"/>
        </w:rPr>
        <w:t>anti-cancer agents</w:t>
      </w:r>
      <w:r w:rsidR="001F408B" w:rsidRPr="00B01EEB">
        <w:rPr>
          <w:rFonts w:ascii="Arial" w:hAnsi="Arial" w:cs="Arial"/>
          <w:b w:val="0"/>
          <w:sz w:val="24"/>
          <w:szCs w:val="24"/>
        </w:rPr>
        <w:t xml:space="preserve"> metabolise</w:t>
      </w:r>
      <w:r w:rsidR="00185026" w:rsidRPr="00B01EEB">
        <w:rPr>
          <w:rFonts w:ascii="Arial" w:hAnsi="Arial" w:cs="Arial"/>
          <w:b w:val="0"/>
          <w:sz w:val="24"/>
          <w:szCs w:val="24"/>
        </w:rPr>
        <w:t>d by the cytochrome P450 enzyme</w:t>
      </w:r>
      <w:r w:rsidR="001F408B" w:rsidRPr="00B01EEB">
        <w:rPr>
          <w:rFonts w:ascii="Arial" w:hAnsi="Arial" w:cs="Arial"/>
          <w:b w:val="0"/>
          <w:sz w:val="24"/>
          <w:szCs w:val="24"/>
        </w:rPr>
        <w:t xml:space="preserve"> system</w:t>
      </w:r>
    </w:p>
    <w:tbl>
      <w:tblPr>
        <w:tblW w:w="8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536"/>
        <w:gridCol w:w="3425"/>
        <w:gridCol w:w="1193"/>
      </w:tblGrid>
      <w:tr w:rsidR="00D46DAE" w:rsidRPr="004F67E6" w:rsidTr="0030670F">
        <w:tc>
          <w:tcPr>
            <w:tcW w:w="2660" w:type="dxa"/>
          </w:tcPr>
          <w:p w:rsidR="00D46DAE" w:rsidRPr="004F67E6" w:rsidRDefault="00D46DAE" w:rsidP="004F67E6">
            <w:pPr>
              <w:tabs>
                <w:tab w:val="left" w:pos="5445"/>
              </w:tabs>
              <w:rPr>
                <w:rFonts w:ascii="Arial" w:hAnsi="Arial" w:cs="Arial"/>
              </w:rPr>
            </w:pPr>
            <w:r w:rsidRPr="004F67E6">
              <w:rPr>
                <w:rFonts w:ascii="Arial" w:hAnsi="Arial" w:cs="Arial"/>
              </w:rPr>
              <w:t>Agent</w:t>
            </w:r>
          </w:p>
        </w:tc>
        <w:tc>
          <w:tcPr>
            <w:tcW w:w="1536" w:type="dxa"/>
          </w:tcPr>
          <w:p w:rsidR="00D46DAE" w:rsidRPr="004F67E6" w:rsidRDefault="00D46DAE" w:rsidP="004F67E6">
            <w:pPr>
              <w:tabs>
                <w:tab w:val="left" w:pos="5445"/>
              </w:tabs>
              <w:rPr>
                <w:rFonts w:ascii="Arial" w:hAnsi="Arial" w:cs="Arial"/>
              </w:rPr>
            </w:pPr>
            <w:r w:rsidRPr="004F67E6">
              <w:rPr>
                <w:rFonts w:ascii="Arial" w:hAnsi="Arial" w:cs="Arial"/>
              </w:rPr>
              <w:t>Activating enzymes</w:t>
            </w:r>
          </w:p>
        </w:tc>
        <w:tc>
          <w:tcPr>
            <w:tcW w:w="3425" w:type="dxa"/>
          </w:tcPr>
          <w:p w:rsidR="00D46DAE" w:rsidRPr="004F67E6" w:rsidRDefault="00D46DAE" w:rsidP="004F67E6">
            <w:pPr>
              <w:tabs>
                <w:tab w:val="left" w:pos="5445"/>
              </w:tabs>
              <w:rPr>
                <w:rFonts w:ascii="Arial" w:hAnsi="Arial" w:cs="Arial"/>
              </w:rPr>
            </w:pPr>
            <w:r w:rsidRPr="004F67E6">
              <w:rPr>
                <w:rFonts w:ascii="Arial" w:hAnsi="Arial" w:cs="Arial"/>
              </w:rPr>
              <w:t>Deactivating enzymes</w:t>
            </w:r>
          </w:p>
        </w:tc>
        <w:tc>
          <w:tcPr>
            <w:tcW w:w="1193" w:type="dxa"/>
          </w:tcPr>
          <w:p w:rsidR="00D46DAE" w:rsidRPr="004F67E6" w:rsidRDefault="00D46DAE" w:rsidP="004F67E6">
            <w:pPr>
              <w:tabs>
                <w:tab w:val="left" w:pos="5445"/>
              </w:tabs>
              <w:rPr>
                <w:rFonts w:ascii="Arial" w:hAnsi="Arial" w:cs="Arial"/>
              </w:rPr>
            </w:pPr>
            <w:r w:rsidRPr="004F67E6">
              <w:rPr>
                <w:rFonts w:ascii="Arial" w:hAnsi="Arial" w:cs="Arial"/>
              </w:rPr>
              <w:t>Source</w:t>
            </w:r>
          </w:p>
        </w:tc>
      </w:tr>
      <w:tr w:rsidR="00D46DAE" w:rsidRPr="004F67E6" w:rsidTr="0030670F">
        <w:tc>
          <w:tcPr>
            <w:tcW w:w="2660" w:type="dxa"/>
          </w:tcPr>
          <w:p w:rsidR="00D46DAE" w:rsidRPr="004F67E6" w:rsidRDefault="00D46DAE" w:rsidP="00D46DAE">
            <w:pPr>
              <w:tabs>
                <w:tab w:val="left" w:pos="5445"/>
              </w:tabs>
              <w:rPr>
                <w:rFonts w:ascii="Arial" w:hAnsi="Arial" w:cs="Arial"/>
              </w:rPr>
            </w:pPr>
            <w:r w:rsidRPr="004F67E6">
              <w:rPr>
                <w:rFonts w:ascii="Arial" w:hAnsi="Arial" w:cs="Arial"/>
              </w:rPr>
              <w:t>Cyclophosphamide</w:t>
            </w:r>
          </w:p>
        </w:tc>
        <w:tc>
          <w:tcPr>
            <w:tcW w:w="1536" w:type="dxa"/>
          </w:tcPr>
          <w:p w:rsidR="00D46DAE" w:rsidRPr="004F67E6" w:rsidRDefault="00D46DAE" w:rsidP="00D46DAE">
            <w:pPr>
              <w:tabs>
                <w:tab w:val="left" w:pos="5445"/>
              </w:tabs>
              <w:rPr>
                <w:rFonts w:ascii="Arial" w:hAnsi="Arial" w:cs="Arial"/>
              </w:rPr>
            </w:pPr>
            <w:r w:rsidRPr="004F67E6">
              <w:rPr>
                <w:rFonts w:ascii="Arial" w:hAnsi="Arial" w:cs="Arial"/>
              </w:rPr>
              <w:t>2B6</w:t>
            </w:r>
            <w:r w:rsidR="0030670F">
              <w:rPr>
                <w:rFonts w:ascii="Arial" w:hAnsi="Arial" w:cs="Arial"/>
              </w:rPr>
              <w:t xml:space="preserve">, </w:t>
            </w:r>
            <w:r>
              <w:rPr>
                <w:rFonts w:ascii="Arial" w:hAnsi="Arial" w:cs="Arial"/>
              </w:rPr>
              <w:t>2C19</w:t>
            </w:r>
          </w:p>
        </w:tc>
        <w:tc>
          <w:tcPr>
            <w:tcW w:w="3425" w:type="dxa"/>
          </w:tcPr>
          <w:p w:rsidR="00D46DAE" w:rsidRPr="004F67E6" w:rsidRDefault="00D46DAE" w:rsidP="00D46DAE">
            <w:pPr>
              <w:tabs>
                <w:tab w:val="left" w:pos="5445"/>
              </w:tabs>
              <w:rPr>
                <w:rFonts w:ascii="Arial" w:hAnsi="Arial" w:cs="Arial"/>
              </w:rPr>
            </w:pPr>
            <w:r w:rsidRPr="004F67E6">
              <w:rPr>
                <w:rFonts w:ascii="Arial" w:hAnsi="Arial" w:cs="Arial"/>
              </w:rPr>
              <w:t>3A4</w:t>
            </w:r>
            <w:r w:rsidR="0030670F">
              <w:rPr>
                <w:rFonts w:ascii="Arial" w:hAnsi="Arial" w:cs="Arial"/>
              </w:rPr>
              <w:t>,</w:t>
            </w:r>
            <w:r>
              <w:rPr>
                <w:rFonts w:ascii="Arial" w:hAnsi="Arial" w:cs="Arial"/>
              </w:rPr>
              <w:t xml:space="preserve"> 2A6</w:t>
            </w:r>
          </w:p>
        </w:tc>
        <w:tc>
          <w:tcPr>
            <w:tcW w:w="1193" w:type="dxa"/>
          </w:tcPr>
          <w:p w:rsidR="00D46DAE" w:rsidRPr="004F67E6" w:rsidRDefault="00D46DAE" w:rsidP="00D46DAE">
            <w:pPr>
              <w:tabs>
                <w:tab w:val="left" w:pos="5445"/>
              </w:tabs>
              <w:rPr>
                <w:rFonts w:ascii="Arial" w:hAnsi="Arial" w:cs="Arial"/>
              </w:rPr>
            </w:pPr>
            <w:r w:rsidRPr="0066164D">
              <w:rPr>
                <w:rFonts w:ascii="Arial" w:hAnsi="Arial" w:cs="Arial"/>
                <w:vertAlign w:val="superscript"/>
              </w:rPr>
              <w:t>a</w:t>
            </w:r>
            <w:r>
              <w:rPr>
                <w:rFonts w:ascii="Arial" w:hAnsi="Arial" w:cs="Arial"/>
              </w:rPr>
              <w:t xml:space="preserve">, </w:t>
            </w:r>
            <w:r w:rsidRPr="0066164D">
              <w:rPr>
                <w:rFonts w:ascii="Arial" w:hAnsi="Arial" w:cs="Arial"/>
                <w:vertAlign w:val="superscript"/>
              </w:rPr>
              <w:t>b</w:t>
            </w:r>
          </w:p>
        </w:tc>
      </w:tr>
      <w:tr w:rsidR="00D46DAE" w:rsidRPr="004F67E6" w:rsidTr="0030670F">
        <w:tc>
          <w:tcPr>
            <w:tcW w:w="2660" w:type="dxa"/>
          </w:tcPr>
          <w:p w:rsidR="00D46DAE" w:rsidRPr="004F67E6" w:rsidRDefault="0030670F" w:rsidP="00D46DAE">
            <w:pPr>
              <w:tabs>
                <w:tab w:val="left" w:pos="5445"/>
              </w:tabs>
              <w:rPr>
                <w:rFonts w:ascii="Arial" w:hAnsi="Arial" w:cs="Arial"/>
              </w:rPr>
            </w:pPr>
            <w:r>
              <w:rPr>
                <w:rFonts w:ascii="Arial" w:hAnsi="Arial" w:cs="Arial"/>
              </w:rPr>
              <w:t>Dacarbazine</w:t>
            </w:r>
          </w:p>
        </w:tc>
        <w:tc>
          <w:tcPr>
            <w:tcW w:w="1536" w:type="dxa"/>
          </w:tcPr>
          <w:p w:rsidR="00D46DAE" w:rsidRPr="004F67E6" w:rsidRDefault="00D46DAE" w:rsidP="00D46DAE">
            <w:pPr>
              <w:tabs>
                <w:tab w:val="left" w:pos="5445"/>
              </w:tabs>
              <w:rPr>
                <w:rFonts w:ascii="Arial" w:hAnsi="Arial" w:cs="Arial"/>
              </w:rPr>
            </w:pPr>
          </w:p>
        </w:tc>
        <w:tc>
          <w:tcPr>
            <w:tcW w:w="3425" w:type="dxa"/>
          </w:tcPr>
          <w:p w:rsidR="00D46DAE" w:rsidRPr="004F67E6" w:rsidRDefault="0030670F" w:rsidP="00D46DAE">
            <w:pPr>
              <w:tabs>
                <w:tab w:val="left" w:pos="5445"/>
              </w:tabs>
              <w:rPr>
                <w:rFonts w:ascii="Arial" w:hAnsi="Arial" w:cs="Arial"/>
              </w:rPr>
            </w:pPr>
            <w:r>
              <w:rPr>
                <w:rFonts w:ascii="Arial" w:hAnsi="Arial" w:cs="Arial"/>
              </w:rPr>
              <w:t>1A1, 1A2, 2E1</w:t>
            </w:r>
          </w:p>
        </w:tc>
        <w:tc>
          <w:tcPr>
            <w:tcW w:w="1193" w:type="dxa"/>
          </w:tcPr>
          <w:p w:rsidR="00D46DAE" w:rsidRPr="0022185B" w:rsidRDefault="00B93F27" w:rsidP="00D46DAE">
            <w:pPr>
              <w:tabs>
                <w:tab w:val="left" w:pos="5445"/>
              </w:tabs>
              <w:rPr>
                <w:rFonts w:ascii="Arial" w:hAnsi="Arial" w:cs="Arial"/>
                <w:vertAlign w:val="superscript"/>
              </w:rPr>
            </w:pPr>
            <w:r>
              <w:rPr>
                <w:rFonts w:ascii="Arial" w:hAnsi="Arial" w:cs="Arial"/>
                <w:vertAlign w:val="superscript"/>
              </w:rPr>
              <w:t>a</w:t>
            </w:r>
          </w:p>
        </w:tc>
      </w:tr>
      <w:tr w:rsidR="0030670F" w:rsidRPr="004F67E6" w:rsidTr="0030670F">
        <w:tc>
          <w:tcPr>
            <w:tcW w:w="2660" w:type="dxa"/>
          </w:tcPr>
          <w:p w:rsidR="0030670F" w:rsidRPr="004F67E6" w:rsidRDefault="0030670F" w:rsidP="00B93F27">
            <w:pPr>
              <w:tabs>
                <w:tab w:val="left" w:pos="5445"/>
              </w:tabs>
              <w:rPr>
                <w:rFonts w:ascii="Arial" w:hAnsi="Arial" w:cs="Arial"/>
              </w:rPr>
            </w:pPr>
            <w:r>
              <w:rPr>
                <w:rFonts w:ascii="Arial" w:hAnsi="Arial" w:cs="Arial"/>
              </w:rPr>
              <w:t>Etoposide</w:t>
            </w:r>
          </w:p>
        </w:tc>
        <w:tc>
          <w:tcPr>
            <w:tcW w:w="1536" w:type="dxa"/>
          </w:tcPr>
          <w:p w:rsidR="0030670F" w:rsidRPr="004F67E6" w:rsidRDefault="0030670F" w:rsidP="00B93F27">
            <w:pPr>
              <w:tabs>
                <w:tab w:val="left" w:pos="5445"/>
              </w:tabs>
              <w:rPr>
                <w:rFonts w:ascii="Arial" w:hAnsi="Arial" w:cs="Arial"/>
              </w:rPr>
            </w:pPr>
          </w:p>
        </w:tc>
        <w:tc>
          <w:tcPr>
            <w:tcW w:w="3425" w:type="dxa"/>
          </w:tcPr>
          <w:p w:rsidR="0030670F" w:rsidRPr="004F67E6" w:rsidRDefault="0030670F" w:rsidP="00B93F27">
            <w:pPr>
              <w:tabs>
                <w:tab w:val="left" w:pos="5445"/>
              </w:tabs>
              <w:rPr>
                <w:rFonts w:ascii="Arial" w:hAnsi="Arial" w:cs="Arial"/>
              </w:rPr>
            </w:pPr>
            <w:r>
              <w:rPr>
                <w:rFonts w:ascii="Arial" w:hAnsi="Arial" w:cs="Arial"/>
              </w:rPr>
              <w:t>3A4, 1A2, 2E1</w:t>
            </w:r>
          </w:p>
        </w:tc>
        <w:tc>
          <w:tcPr>
            <w:tcW w:w="1193" w:type="dxa"/>
          </w:tcPr>
          <w:p w:rsidR="0030670F" w:rsidRPr="0022185B" w:rsidRDefault="0030670F" w:rsidP="00B93F27">
            <w:pPr>
              <w:tabs>
                <w:tab w:val="left" w:pos="5445"/>
              </w:tabs>
              <w:rPr>
                <w:rFonts w:ascii="Arial" w:hAnsi="Arial" w:cs="Arial"/>
                <w:vertAlign w:val="superscript"/>
              </w:rPr>
            </w:pPr>
            <w:r w:rsidRPr="0022185B">
              <w:rPr>
                <w:rFonts w:ascii="Arial" w:hAnsi="Arial" w:cs="Arial"/>
                <w:vertAlign w:val="superscript"/>
              </w:rPr>
              <w:t>a</w:t>
            </w:r>
          </w:p>
        </w:tc>
      </w:tr>
      <w:tr w:rsidR="0030670F" w:rsidRPr="004F67E6" w:rsidTr="0030670F">
        <w:tc>
          <w:tcPr>
            <w:tcW w:w="2660" w:type="dxa"/>
          </w:tcPr>
          <w:p w:rsidR="0030670F" w:rsidRPr="004F67E6" w:rsidRDefault="0030670F" w:rsidP="00B93F27">
            <w:pPr>
              <w:tabs>
                <w:tab w:val="left" w:pos="5445"/>
              </w:tabs>
              <w:rPr>
                <w:rFonts w:ascii="Arial" w:hAnsi="Arial" w:cs="Arial"/>
              </w:rPr>
            </w:pPr>
            <w:r>
              <w:rPr>
                <w:rFonts w:ascii="Arial" w:hAnsi="Arial" w:cs="Arial"/>
              </w:rPr>
              <w:t>Flutamide</w:t>
            </w:r>
          </w:p>
        </w:tc>
        <w:tc>
          <w:tcPr>
            <w:tcW w:w="1536" w:type="dxa"/>
          </w:tcPr>
          <w:p w:rsidR="0030670F" w:rsidRPr="004F67E6" w:rsidRDefault="0030670F" w:rsidP="00B93F27">
            <w:pPr>
              <w:tabs>
                <w:tab w:val="left" w:pos="5445"/>
              </w:tabs>
              <w:rPr>
                <w:rFonts w:ascii="Arial" w:hAnsi="Arial" w:cs="Arial"/>
              </w:rPr>
            </w:pPr>
            <w:r>
              <w:rPr>
                <w:rFonts w:ascii="Arial" w:hAnsi="Arial" w:cs="Arial"/>
              </w:rPr>
              <w:t>1A2</w:t>
            </w:r>
          </w:p>
        </w:tc>
        <w:tc>
          <w:tcPr>
            <w:tcW w:w="3425" w:type="dxa"/>
          </w:tcPr>
          <w:p w:rsidR="0030670F" w:rsidRPr="004F67E6" w:rsidRDefault="0030670F" w:rsidP="00B93F27">
            <w:pPr>
              <w:tabs>
                <w:tab w:val="left" w:pos="5445"/>
              </w:tabs>
              <w:rPr>
                <w:rFonts w:ascii="Arial" w:hAnsi="Arial" w:cs="Arial"/>
              </w:rPr>
            </w:pPr>
          </w:p>
        </w:tc>
        <w:tc>
          <w:tcPr>
            <w:tcW w:w="1193" w:type="dxa"/>
          </w:tcPr>
          <w:p w:rsidR="0030670F" w:rsidRPr="0066164D" w:rsidRDefault="0030670F" w:rsidP="00B93F27">
            <w:pPr>
              <w:tabs>
                <w:tab w:val="left" w:pos="5445"/>
              </w:tabs>
              <w:rPr>
                <w:rFonts w:ascii="Arial" w:hAnsi="Arial" w:cs="Arial"/>
                <w:vertAlign w:val="superscript"/>
              </w:rPr>
            </w:pPr>
            <w:r w:rsidRPr="0066164D">
              <w:rPr>
                <w:rFonts w:ascii="Arial" w:hAnsi="Arial" w:cs="Arial"/>
                <w:vertAlign w:val="superscript"/>
              </w:rPr>
              <w:t>b</w:t>
            </w:r>
          </w:p>
        </w:tc>
      </w:tr>
      <w:tr w:rsidR="0030670F" w:rsidRPr="004F67E6" w:rsidTr="0030670F">
        <w:tc>
          <w:tcPr>
            <w:tcW w:w="2660" w:type="dxa"/>
          </w:tcPr>
          <w:p w:rsidR="0030670F" w:rsidRDefault="0030670F" w:rsidP="00B93F27">
            <w:pPr>
              <w:tabs>
                <w:tab w:val="left" w:pos="5445"/>
              </w:tabs>
              <w:rPr>
                <w:rFonts w:ascii="Arial" w:hAnsi="Arial" w:cs="Arial"/>
              </w:rPr>
            </w:pPr>
            <w:r>
              <w:rPr>
                <w:rFonts w:ascii="Arial" w:hAnsi="Arial" w:cs="Arial"/>
              </w:rPr>
              <w:t>Paclitaxel</w:t>
            </w:r>
          </w:p>
        </w:tc>
        <w:tc>
          <w:tcPr>
            <w:tcW w:w="1536" w:type="dxa"/>
          </w:tcPr>
          <w:p w:rsidR="0030670F" w:rsidRDefault="0030670F" w:rsidP="00B93F27">
            <w:pPr>
              <w:tabs>
                <w:tab w:val="left" w:pos="5445"/>
              </w:tabs>
              <w:rPr>
                <w:rFonts w:ascii="Arial" w:hAnsi="Arial" w:cs="Arial"/>
              </w:rPr>
            </w:pPr>
          </w:p>
        </w:tc>
        <w:tc>
          <w:tcPr>
            <w:tcW w:w="3425" w:type="dxa"/>
          </w:tcPr>
          <w:p w:rsidR="0030670F" w:rsidRDefault="0030670F" w:rsidP="00B93F27">
            <w:pPr>
              <w:tabs>
                <w:tab w:val="left" w:pos="5445"/>
              </w:tabs>
              <w:rPr>
                <w:rFonts w:ascii="Arial" w:hAnsi="Arial" w:cs="Arial"/>
              </w:rPr>
            </w:pPr>
            <w:r>
              <w:rPr>
                <w:rFonts w:ascii="Arial" w:hAnsi="Arial" w:cs="Arial"/>
              </w:rPr>
              <w:t>2C8, 3A</w:t>
            </w:r>
          </w:p>
        </w:tc>
        <w:tc>
          <w:tcPr>
            <w:tcW w:w="1193" w:type="dxa"/>
          </w:tcPr>
          <w:p w:rsidR="0030670F" w:rsidRPr="0066164D" w:rsidRDefault="0030670F" w:rsidP="00B93F27">
            <w:pPr>
              <w:tabs>
                <w:tab w:val="left" w:pos="5445"/>
              </w:tabs>
              <w:rPr>
                <w:rFonts w:ascii="Arial" w:hAnsi="Arial" w:cs="Arial"/>
                <w:vertAlign w:val="superscript"/>
              </w:rPr>
            </w:pPr>
            <w:r>
              <w:rPr>
                <w:rFonts w:ascii="Arial" w:hAnsi="Arial" w:cs="Arial"/>
                <w:vertAlign w:val="superscript"/>
              </w:rPr>
              <w:t>a</w:t>
            </w:r>
          </w:p>
        </w:tc>
      </w:tr>
      <w:tr w:rsidR="0030670F" w:rsidRPr="004F67E6" w:rsidTr="0030670F">
        <w:tc>
          <w:tcPr>
            <w:tcW w:w="2660" w:type="dxa"/>
          </w:tcPr>
          <w:p w:rsidR="0030670F" w:rsidRPr="004F67E6" w:rsidRDefault="0030670F" w:rsidP="00B93F27">
            <w:pPr>
              <w:tabs>
                <w:tab w:val="left" w:pos="5445"/>
              </w:tabs>
              <w:rPr>
                <w:rFonts w:ascii="Arial" w:hAnsi="Arial" w:cs="Arial"/>
              </w:rPr>
            </w:pPr>
            <w:r>
              <w:rPr>
                <w:rFonts w:ascii="Arial" w:hAnsi="Arial" w:cs="Arial"/>
              </w:rPr>
              <w:t>Tamoxifen</w:t>
            </w:r>
          </w:p>
        </w:tc>
        <w:tc>
          <w:tcPr>
            <w:tcW w:w="1536" w:type="dxa"/>
          </w:tcPr>
          <w:p w:rsidR="0030670F" w:rsidRPr="004F67E6" w:rsidRDefault="0030670F" w:rsidP="00B93F27">
            <w:pPr>
              <w:tabs>
                <w:tab w:val="left" w:pos="5445"/>
              </w:tabs>
              <w:rPr>
                <w:rFonts w:ascii="Arial" w:hAnsi="Arial" w:cs="Arial"/>
              </w:rPr>
            </w:pPr>
            <w:r>
              <w:rPr>
                <w:rFonts w:ascii="Arial" w:hAnsi="Arial" w:cs="Arial"/>
              </w:rPr>
              <w:t xml:space="preserve">2D6, </w:t>
            </w:r>
          </w:p>
        </w:tc>
        <w:tc>
          <w:tcPr>
            <w:tcW w:w="3425" w:type="dxa"/>
          </w:tcPr>
          <w:p w:rsidR="0030670F" w:rsidRPr="004F67E6" w:rsidRDefault="0030670F" w:rsidP="00B93F27">
            <w:pPr>
              <w:tabs>
                <w:tab w:val="left" w:pos="5445"/>
              </w:tabs>
              <w:rPr>
                <w:rFonts w:ascii="Arial" w:hAnsi="Arial" w:cs="Arial"/>
              </w:rPr>
            </w:pPr>
            <w:r>
              <w:rPr>
                <w:rFonts w:ascii="Arial" w:hAnsi="Arial" w:cs="Arial"/>
              </w:rPr>
              <w:t>3A4, 3A5, 2B6, 2C9, 2C19</w:t>
            </w:r>
          </w:p>
        </w:tc>
        <w:tc>
          <w:tcPr>
            <w:tcW w:w="1193" w:type="dxa"/>
          </w:tcPr>
          <w:p w:rsidR="0030670F" w:rsidRPr="0066164D" w:rsidRDefault="0030670F" w:rsidP="00B93F27">
            <w:pPr>
              <w:tabs>
                <w:tab w:val="left" w:pos="5445"/>
              </w:tabs>
              <w:rPr>
                <w:rFonts w:ascii="Arial" w:hAnsi="Arial" w:cs="Arial"/>
                <w:vertAlign w:val="superscript"/>
              </w:rPr>
            </w:pPr>
            <w:r w:rsidRPr="0066164D">
              <w:rPr>
                <w:rFonts w:ascii="Arial" w:hAnsi="Arial" w:cs="Arial"/>
                <w:vertAlign w:val="superscript"/>
              </w:rPr>
              <w:t>b</w:t>
            </w:r>
          </w:p>
        </w:tc>
      </w:tr>
      <w:tr w:rsidR="0030670F" w:rsidRPr="004F67E6" w:rsidTr="0030670F">
        <w:tc>
          <w:tcPr>
            <w:tcW w:w="2660" w:type="dxa"/>
          </w:tcPr>
          <w:p w:rsidR="0030670F" w:rsidRPr="004F67E6" w:rsidRDefault="0030670F" w:rsidP="00B93F27">
            <w:pPr>
              <w:tabs>
                <w:tab w:val="left" w:pos="5445"/>
              </w:tabs>
              <w:rPr>
                <w:rFonts w:ascii="Arial" w:hAnsi="Arial" w:cs="Arial"/>
              </w:rPr>
            </w:pPr>
            <w:r>
              <w:rPr>
                <w:rFonts w:ascii="Arial" w:hAnsi="Arial" w:cs="Arial"/>
              </w:rPr>
              <w:t>Tegafur (prodrug of 5-Flurouracil</w:t>
            </w:r>
          </w:p>
        </w:tc>
        <w:tc>
          <w:tcPr>
            <w:tcW w:w="1536" w:type="dxa"/>
          </w:tcPr>
          <w:p w:rsidR="0030670F" w:rsidRPr="004F67E6" w:rsidRDefault="0030670F" w:rsidP="00B93F27">
            <w:pPr>
              <w:tabs>
                <w:tab w:val="left" w:pos="5445"/>
              </w:tabs>
              <w:rPr>
                <w:rFonts w:ascii="Arial" w:hAnsi="Arial" w:cs="Arial"/>
              </w:rPr>
            </w:pPr>
            <w:r>
              <w:rPr>
                <w:rFonts w:ascii="Arial" w:hAnsi="Arial" w:cs="Arial"/>
              </w:rPr>
              <w:t>2A6, 2C9</w:t>
            </w:r>
          </w:p>
        </w:tc>
        <w:tc>
          <w:tcPr>
            <w:tcW w:w="3425" w:type="dxa"/>
          </w:tcPr>
          <w:p w:rsidR="0030670F" w:rsidRPr="004F67E6" w:rsidRDefault="0030670F" w:rsidP="00B93F27">
            <w:pPr>
              <w:tabs>
                <w:tab w:val="left" w:pos="5445"/>
              </w:tabs>
              <w:rPr>
                <w:rFonts w:ascii="Arial" w:hAnsi="Arial" w:cs="Arial"/>
              </w:rPr>
            </w:pPr>
          </w:p>
        </w:tc>
        <w:tc>
          <w:tcPr>
            <w:tcW w:w="1193" w:type="dxa"/>
          </w:tcPr>
          <w:p w:rsidR="0030670F" w:rsidRPr="0066164D" w:rsidRDefault="0030670F" w:rsidP="00B93F27">
            <w:pPr>
              <w:tabs>
                <w:tab w:val="left" w:pos="5445"/>
              </w:tabs>
              <w:rPr>
                <w:rFonts w:ascii="Arial" w:hAnsi="Arial" w:cs="Arial"/>
                <w:vertAlign w:val="superscript"/>
              </w:rPr>
            </w:pPr>
            <w:r w:rsidRPr="0066164D">
              <w:rPr>
                <w:rFonts w:ascii="Arial" w:hAnsi="Arial" w:cs="Arial"/>
                <w:vertAlign w:val="superscript"/>
              </w:rPr>
              <w:t>b</w:t>
            </w:r>
          </w:p>
        </w:tc>
      </w:tr>
      <w:tr w:rsidR="0030670F" w:rsidRPr="004F67E6" w:rsidTr="0030670F">
        <w:tc>
          <w:tcPr>
            <w:tcW w:w="2660" w:type="dxa"/>
          </w:tcPr>
          <w:p w:rsidR="0030670F" w:rsidRPr="004F67E6" w:rsidRDefault="0030670F" w:rsidP="00B93F27">
            <w:pPr>
              <w:tabs>
                <w:tab w:val="left" w:pos="5445"/>
              </w:tabs>
              <w:rPr>
                <w:rFonts w:ascii="Arial" w:hAnsi="Arial" w:cs="Arial"/>
              </w:rPr>
            </w:pPr>
            <w:r>
              <w:rPr>
                <w:rFonts w:ascii="Arial" w:hAnsi="Arial" w:cs="Arial"/>
              </w:rPr>
              <w:t>Vincristine</w:t>
            </w:r>
          </w:p>
        </w:tc>
        <w:tc>
          <w:tcPr>
            <w:tcW w:w="1536" w:type="dxa"/>
          </w:tcPr>
          <w:p w:rsidR="0030670F" w:rsidRPr="004F67E6" w:rsidRDefault="0030670F" w:rsidP="00B93F27">
            <w:pPr>
              <w:tabs>
                <w:tab w:val="left" w:pos="5445"/>
              </w:tabs>
              <w:rPr>
                <w:rFonts w:ascii="Arial" w:hAnsi="Arial" w:cs="Arial"/>
              </w:rPr>
            </w:pPr>
          </w:p>
        </w:tc>
        <w:tc>
          <w:tcPr>
            <w:tcW w:w="3425" w:type="dxa"/>
          </w:tcPr>
          <w:p w:rsidR="0030670F" w:rsidRPr="004F67E6" w:rsidRDefault="0030670F" w:rsidP="00B93F27">
            <w:pPr>
              <w:tabs>
                <w:tab w:val="left" w:pos="5445"/>
              </w:tabs>
              <w:rPr>
                <w:rFonts w:ascii="Arial" w:hAnsi="Arial" w:cs="Arial"/>
              </w:rPr>
            </w:pPr>
            <w:r>
              <w:rPr>
                <w:rFonts w:ascii="Arial" w:hAnsi="Arial" w:cs="Arial"/>
              </w:rPr>
              <w:t>3A</w:t>
            </w:r>
          </w:p>
        </w:tc>
        <w:tc>
          <w:tcPr>
            <w:tcW w:w="1193" w:type="dxa"/>
          </w:tcPr>
          <w:p w:rsidR="0030670F" w:rsidRPr="0066164D" w:rsidRDefault="0030670F" w:rsidP="00B93F27">
            <w:pPr>
              <w:tabs>
                <w:tab w:val="left" w:pos="5445"/>
              </w:tabs>
              <w:rPr>
                <w:rFonts w:ascii="Arial" w:hAnsi="Arial" w:cs="Arial"/>
                <w:vertAlign w:val="superscript"/>
              </w:rPr>
            </w:pPr>
            <w:r w:rsidRPr="0066164D">
              <w:rPr>
                <w:rFonts w:ascii="Arial" w:hAnsi="Arial" w:cs="Arial"/>
                <w:vertAlign w:val="superscript"/>
              </w:rPr>
              <w:t>a</w:t>
            </w:r>
          </w:p>
        </w:tc>
      </w:tr>
    </w:tbl>
    <w:p w:rsidR="001F408B" w:rsidRPr="00D46DAE" w:rsidRDefault="00771E68" w:rsidP="00521BFE">
      <w:pPr>
        <w:tabs>
          <w:tab w:val="left" w:pos="5445"/>
        </w:tabs>
        <w:rPr>
          <w:rFonts w:ascii="Arial" w:hAnsi="Arial" w:cs="Arial"/>
          <w:sz w:val="20"/>
          <w:szCs w:val="20"/>
        </w:rPr>
      </w:pPr>
      <w:r w:rsidRPr="00D46DAE">
        <w:rPr>
          <w:rFonts w:ascii="Arial" w:hAnsi="Arial" w:cs="Arial"/>
          <w:sz w:val="20"/>
          <w:szCs w:val="20"/>
          <w:vertAlign w:val="superscript"/>
        </w:rPr>
        <w:t>a</w:t>
      </w:r>
      <w:r w:rsidRPr="00D46DAE">
        <w:rPr>
          <w:rFonts w:ascii="Arial" w:hAnsi="Arial" w:cs="Arial"/>
          <w:sz w:val="20"/>
          <w:szCs w:val="20"/>
        </w:rPr>
        <w:t xml:space="preserve"> McFayden et al., 2003.</w:t>
      </w:r>
    </w:p>
    <w:p w:rsidR="001F408B" w:rsidRPr="00D46DAE" w:rsidRDefault="00771E68" w:rsidP="00521BFE">
      <w:pPr>
        <w:tabs>
          <w:tab w:val="left" w:pos="5445"/>
        </w:tabs>
        <w:rPr>
          <w:rFonts w:ascii="Arial" w:hAnsi="Arial" w:cs="Arial"/>
          <w:sz w:val="20"/>
          <w:szCs w:val="20"/>
        </w:rPr>
      </w:pPr>
      <w:r w:rsidRPr="00D46DAE">
        <w:rPr>
          <w:rFonts w:ascii="Arial" w:hAnsi="Arial" w:cs="Arial"/>
          <w:sz w:val="20"/>
          <w:szCs w:val="20"/>
          <w:vertAlign w:val="superscript"/>
        </w:rPr>
        <w:t>b</w:t>
      </w:r>
      <w:r w:rsidRPr="00D46DAE">
        <w:rPr>
          <w:rFonts w:ascii="Arial" w:hAnsi="Arial" w:cs="Arial"/>
          <w:sz w:val="20"/>
          <w:szCs w:val="20"/>
        </w:rPr>
        <w:t xml:space="preserve"> van Schaik., 2005</w:t>
      </w:r>
    </w:p>
    <w:p w:rsidR="0043794C" w:rsidRPr="00D46DAE" w:rsidRDefault="00D46DAE" w:rsidP="00521BFE">
      <w:pPr>
        <w:tabs>
          <w:tab w:val="left" w:pos="5445"/>
        </w:tabs>
        <w:rPr>
          <w:rFonts w:ascii="Arial" w:hAnsi="Arial" w:cs="Arial"/>
          <w:sz w:val="20"/>
          <w:szCs w:val="20"/>
        </w:rPr>
      </w:pPr>
      <w:r w:rsidRPr="00D46DAE">
        <w:rPr>
          <w:rFonts w:ascii="Arial" w:hAnsi="Arial" w:cs="Arial"/>
          <w:sz w:val="20"/>
          <w:szCs w:val="20"/>
        </w:rPr>
        <w:t>Agents are used in the treatment of the following tumours:</w:t>
      </w:r>
    </w:p>
    <w:p w:rsidR="0022185B" w:rsidRPr="00D46DAE" w:rsidRDefault="00B93F27" w:rsidP="00521BFE">
      <w:pPr>
        <w:tabs>
          <w:tab w:val="left" w:pos="5445"/>
        </w:tabs>
        <w:rPr>
          <w:rFonts w:ascii="Arial" w:hAnsi="Arial" w:cs="Arial"/>
          <w:sz w:val="20"/>
          <w:szCs w:val="20"/>
        </w:rPr>
      </w:pPr>
      <w:r w:rsidRPr="00D46DAE">
        <w:rPr>
          <w:rFonts w:ascii="Arial" w:hAnsi="Arial" w:cs="Arial"/>
          <w:sz w:val="20"/>
          <w:szCs w:val="20"/>
        </w:rPr>
        <w:t xml:space="preserve">Cyclophosphamide (sarcoma, breast, ovarian, leukaemias), </w:t>
      </w:r>
      <w:r>
        <w:rPr>
          <w:rFonts w:ascii="Arial" w:hAnsi="Arial" w:cs="Arial"/>
          <w:sz w:val="20"/>
          <w:szCs w:val="20"/>
        </w:rPr>
        <w:t>Dacarbazine (metastatic melanoma),</w:t>
      </w:r>
      <w:r w:rsidRPr="00D46DAE">
        <w:rPr>
          <w:rFonts w:ascii="Arial" w:hAnsi="Arial" w:cs="Arial"/>
          <w:sz w:val="20"/>
          <w:szCs w:val="20"/>
        </w:rPr>
        <w:t>Etoposide (lymphoma, osteosarcoma, testicular, small cell lung), Flutamide (prostate), Paclitaxel (ovarian, breast, non-small cell lung</w:t>
      </w:r>
      <w:r>
        <w:rPr>
          <w:rFonts w:ascii="Arial" w:hAnsi="Arial" w:cs="Arial"/>
          <w:sz w:val="20"/>
          <w:szCs w:val="20"/>
        </w:rPr>
        <w:t xml:space="preserve">), </w:t>
      </w:r>
      <w:r w:rsidRPr="00D46DAE">
        <w:rPr>
          <w:rFonts w:ascii="Arial" w:hAnsi="Arial" w:cs="Arial"/>
          <w:sz w:val="20"/>
          <w:szCs w:val="20"/>
        </w:rPr>
        <w:t>Tamoxifen (breast), Tegafur (metastatic colorectal)</w:t>
      </w:r>
      <w:r>
        <w:rPr>
          <w:rFonts w:ascii="Arial" w:hAnsi="Arial" w:cs="Arial"/>
          <w:sz w:val="20"/>
          <w:szCs w:val="20"/>
        </w:rPr>
        <w:t>,</w:t>
      </w:r>
      <w:r w:rsidRPr="00D46DAE">
        <w:rPr>
          <w:rFonts w:ascii="Arial" w:hAnsi="Arial" w:cs="Arial"/>
          <w:sz w:val="20"/>
          <w:szCs w:val="20"/>
        </w:rPr>
        <w:t xml:space="preserve"> </w:t>
      </w:r>
      <w:r w:rsidR="0022185B" w:rsidRPr="00D46DAE">
        <w:rPr>
          <w:rFonts w:ascii="Arial" w:hAnsi="Arial" w:cs="Arial"/>
          <w:sz w:val="20"/>
          <w:szCs w:val="20"/>
        </w:rPr>
        <w:t xml:space="preserve">Vincristine </w:t>
      </w:r>
      <w:r w:rsidR="00D46DAE" w:rsidRPr="00D46DAE">
        <w:rPr>
          <w:rFonts w:ascii="Arial" w:hAnsi="Arial" w:cs="Arial"/>
          <w:sz w:val="20"/>
          <w:szCs w:val="20"/>
        </w:rPr>
        <w:t>(</w:t>
      </w:r>
      <w:r w:rsidR="0022185B" w:rsidRPr="00D46DAE">
        <w:rPr>
          <w:rFonts w:ascii="Arial" w:hAnsi="Arial" w:cs="Arial"/>
          <w:sz w:val="20"/>
          <w:szCs w:val="20"/>
        </w:rPr>
        <w:t>lymphoma</w:t>
      </w:r>
      <w:r>
        <w:rPr>
          <w:rFonts w:ascii="Arial" w:hAnsi="Arial" w:cs="Arial"/>
          <w:sz w:val="20"/>
          <w:szCs w:val="20"/>
        </w:rPr>
        <w:t>).</w:t>
      </w:r>
      <w:r w:rsidR="00D46DAE" w:rsidRPr="00D46DAE">
        <w:rPr>
          <w:rFonts w:ascii="Arial" w:hAnsi="Arial" w:cs="Arial"/>
          <w:sz w:val="20"/>
          <w:szCs w:val="20"/>
        </w:rPr>
        <w:t xml:space="preserve"> </w:t>
      </w:r>
    </w:p>
    <w:p w:rsidR="0022185B" w:rsidRDefault="0022185B" w:rsidP="00521BFE">
      <w:pPr>
        <w:tabs>
          <w:tab w:val="left" w:pos="5445"/>
        </w:tabs>
        <w:rPr>
          <w:rFonts w:ascii="Arial" w:hAnsi="Arial" w:cs="Arial"/>
        </w:rPr>
      </w:pPr>
    </w:p>
    <w:p w:rsidR="00F106E7" w:rsidRDefault="005A74E7" w:rsidP="00521BFE">
      <w:pPr>
        <w:tabs>
          <w:tab w:val="left" w:pos="5445"/>
        </w:tabs>
        <w:rPr>
          <w:rFonts w:ascii="Arial" w:hAnsi="Arial" w:cs="Arial"/>
        </w:rPr>
      </w:pPr>
      <w:r w:rsidRPr="005A3AF5">
        <w:rPr>
          <w:rFonts w:ascii="Arial" w:hAnsi="Arial" w:cs="Arial"/>
          <w:i/>
        </w:rPr>
        <w:t>In vivo</w:t>
      </w:r>
      <w:r w:rsidR="001C5CC1">
        <w:rPr>
          <w:rFonts w:ascii="Arial" w:hAnsi="Arial" w:cs="Arial"/>
          <w:i/>
        </w:rPr>
        <w:t>,</w:t>
      </w:r>
      <w:r>
        <w:rPr>
          <w:rFonts w:ascii="Arial" w:hAnsi="Arial" w:cs="Arial"/>
        </w:rPr>
        <w:t xml:space="preserve"> enormous variation may be seen due to species differences as well as within species due</w:t>
      </w:r>
      <w:r w:rsidR="00B078A7">
        <w:rPr>
          <w:rFonts w:ascii="Arial" w:hAnsi="Arial" w:cs="Arial"/>
        </w:rPr>
        <w:t xml:space="preserve"> to </w:t>
      </w:r>
      <w:r>
        <w:rPr>
          <w:rFonts w:ascii="Arial" w:hAnsi="Arial" w:cs="Arial"/>
        </w:rPr>
        <w:t xml:space="preserve">the highly polymorphic nature of the enzymes. </w:t>
      </w:r>
      <w:r w:rsidR="00442A94">
        <w:rPr>
          <w:rFonts w:ascii="Arial" w:hAnsi="Arial" w:cs="Arial"/>
        </w:rPr>
        <w:t xml:space="preserve">Dietary and environmental factors can also significantly affect P450 enzymes, for example CYP1A2 is significantly higher in smokers than non-smokers, and only 2 weeks of a high protein/low carbohydrate diet can significantly increase levels of CYP1A1 (Lin </w:t>
      </w:r>
      <w:r w:rsidR="00442A94" w:rsidRPr="00442A94">
        <w:rPr>
          <w:rFonts w:ascii="Arial" w:hAnsi="Arial" w:cs="Arial"/>
          <w:i/>
        </w:rPr>
        <w:t>et a</w:t>
      </w:r>
      <w:r w:rsidR="00E16562">
        <w:rPr>
          <w:rFonts w:ascii="Arial" w:hAnsi="Arial" w:cs="Arial"/>
          <w:i/>
        </w:rPr>
        <w:t>l</w:t>
      </w:r>
      <w:r w:rsidR="00442A94" w:rsidRPr="00442A94">
        <w:rPr>
          <w:rFonts w:ascii="Arial" w:hAnsi="Arial" w:cs="Arial"/>
          <w:i/>
        </w:rPr>
        <w:t>,</w:t>
      </w:r>
      <w:r w:rsidR="00442A94">
        <w:rPr>
          <w:rFonts w:ascii="Arial" w:hAnsi="Arial" w:cs="Arial"/>
        </w:rPr>
        <w:t xml:space="preserve"> 2006). </w:t>
      </w:r>
      <w:r w:rsidR="0029781F">
        <w:rPr>
          <w:rFonts w:ascii="Arial" w:hAnsi="Arial" w:cs="Arial"/>
        </w:rPr>
        <w:t>I</w:t>
      </w:r>
      <w:r w:rsidR="00442A94">
        <w:rPr>
          <w:rFonts w:ascii="Arial" w:hAnsi="Arial" w:cs="Arial"/>
        </w:rPr>
        <w:t>n addition, gene copy number variation</w:t>
      </w:r>
      <w:r w:rsidR="00B3790D">
        <w:rPr>
          <w:rFonts w:ascii="Arial" w:hAnsi="Arial" w:cs="Arial"/>
        </w:rPr>
        <w:t xml:space="preserve"> </w:t>
      </w:r>
      <w:r w:rsidR="00442A94">
        <w:rPr>
          <w:rFonts w:ascii="Arial" w:hAnsi="Arial" w:cs="Arial"/>
        </w:rPr>
        <w:t xml:space="preserve">(CNV) </w:t>
      </w:r>
      <w:r w:rsidR="00B3790D">
        <w:rPr>
          <w:rFonts w:ascii="Arial" w:hAnsi="Arial" w:cs="Arial"/>
        </w:rPr>
        <w:t xml:space="preserve">where large amounts of DNA (&gt;1kb) are duplicated or deleted </w:t>
      </w:r>
      <w:r w:rsidR="00442A94">
        <w:rPr>
          <w:rFonts w:ascii="Arial" w:hAnsi="Arial" w:cs="Arial"/>
        </w:rPr>
        <w:t xml:space="preserve">can also greatly affect gene expression and inter-individual variation (Freeman </w:t>
      </w:r>
      <w:r w:rsidR="00442A94" w:rsidRPr="00442A94">
        <w:rPr>
          <w:rFonts w:ascii="Arial" w:hAnsi="Arial" w:cs="Arial"/>
          <w:i/>
        </w:rPr>
        <w:t>et al,</w:t>
      </w:r>
      <w:r w:rsidR="00442A94">
        <w:rPr>
          <w:rFonts w:ascii="Arial" w:hAnsi="Arial" w:cs="Arial"/>
        </w:rPr>
        <w:t xml:space="preserve"> 2006). Consequently, o</w:t>
      </w:r>
      <w:r>
        <w:rPr>
          <w:rFonts w:ascii="Arial" w:hAnsi="Arial" w:cs="Arial"/>
        </w:rPr>
        <w:t>nly 30-60% of common drug therapy is effective, at least in part due to genetic variation between individuals (Ingelman-Sundberg and Rodriguez-Antona, 2005).</w:t>
      </w:r>
      <w:r w:rsidR="005D7944">
        <w:rPr>
          <w:rFonts w:ascii="Arial" w:hAnsi="Arial" w:cs="Arial"/>
        </w:rPr>
        <w:t xml:space="preserve"> Both providing a source of enzymes such as P450 within an </w:t>
      </w:r>
      <w:r w:rsidR="005D7944" w:rsidRPr="001C5CC1">
        <w:rPr>
          <w:rFonts w:ascii="Arial" w:hAnsi="Arial" w:cs="Arial"/>
          <w:i/>
        </w:rPr>
        <w:t>in vitro</w:t>
      </w:r>
      <w:r w:rsidR="005D7944">
        <w:rPr>
          <w:rFonts w:ascii="Arial" w:hAnsi="Arial" w:cs="Arial"/>
        </w:rPr>
        <w:t xml:space="preserve"> test system and allowing for large inter</w:t>
      </w:r>
      <w:r w:rsidR="001C5CC1">
        <w:rPr>
          <w:rFonts w:ascii="Arial" w:hAnsi="Arial" w:cs="Arial"/>
        </w:rPr>
        <w:t>-</w:t>
      </w:r>
      <w:r w:rsidR="005D7944">
        <w:rPr>
          <w:rFonts w:ascii="Arial" w:hAnsi="Arial" w:cs="Arial"/>
        </w:rPr>
        <w:t>individual variability</w:t>
      </w:r>
      <w:r w:rsidR="00442A94">
        <w:rPr>
          <w:rFonts w:ascii="Arial" w:hAnsi="Arial" w:cs="Arial"/>
        </w:rPr>
        <w:t>,</w:t>
      </w:r>
      <w:r w:rsidR="005D7944">
        <w:rPr>
          <w:rFonts w:ascii="Arial" w:hAnsi="Arial" w:cs="Arial"/>
        </w:rPr>
        <w:t xml:space="preserve"> present challenges to drug safety testing in the laboratory.</w:t>
      </w:r>
    </w:p>
    <w:p w:rsidR="005A3AF5" w:rsidRDefault="005A3AF5" w:rsidP="00521BFE">
      <w:pPr>
        <w:tabs>
          <w:tab w:val="left" w:pos="5445"/>
        </w:tabs>
        <w:rPr>
          <w:rFonts w:ascii="Arial" w:hAnsi="Arial" w:cs="Arial"/>
        </w:rPr>
      </w:pPr>
    </w:p>
    <w:p w:rsidR="005D7944" w:rsidRDefault="005D7944" w:rsidP="00521BFE">
      <w:pPr>
        <w:tabs>
          <w:tab w:val="left" w:pos="5445"/>
        </w:tabs>
        <w:rPr>
          <w:rFonts w:ascii="Arial" w:hAnsi="Arial" w:cs="Arial"/>
        </w:rPr>
      </w:pPr>
      <w:r>
        <w:rPr>
          <w:rFonts w:ascii="Arial" w:hAnsi="Arial" w:cs="Arial"/>
        </w:rPr>
        <w:t xml:space="preserve">Cytochrome P450 enzymes have traditionally been sourced from preparations such as S9 liver extracts where following processing, a specific liver homogenate fraction is a rich source of P450 enzymes. Sources include rat liver, often induced with agents such as </w:t>
      </w:r>
      <w:r w:rsidR="00512B0F">
        <w:rPr>
          <w:rFonts w:ascii="Arial" w:hAnsi="Arial" w:cs="Arial"/>
        </w:rPr>
        <w:t>p</w:t>
      </w:r>
      <w:r>
        <w:rPr>
          <w:rFonts w:ascii="Arial" w:hAnsi="Arial" w:cs="Arial"/>
        </w:rPr>
        <w:t>henobarbital to increase protein and activity levels</w:t>
      </w:r>
      <w:r w:rsidR="009806A1">
        <w:rPr>
          <w:rFonts w:ascii="Arial" w:hAnsi="Arial" w:cs="Arial"/>
        </w:rPr>
        <w:t xml:space="preserve"> (Waxman </w:t>
      </w:r>
      <w:r w:rsidR="009806A1" w:rsidRPr="009806A1">
        <w:rPr>
          <w:rFonts w:ascii="Arial" w:hAnsi="Arial" w:cs="Arial"/>
          <w:i/>
        </w:rPr>
        <w:t>et al,</w:t>
      </w:r>
      <w:r w:rsidR="009806A1">
        <w:rPr>
          <w:rFonts w:ascii="Arial" w:hAnsi="Arial" w:cs="Arial"/>
        </w:rPr>
        <w:t xml:space="preserve"> 1990)</w:t>
      </w:r>
      <w:r>
        <w:rPr>
          <w:rFonts w:ascii="Arial" w:hAnsi="Arial" w:cs="Arial"/>
        </w:rPr>
        <w:t xml:space="preserve">. However, </w:t>
      </w:r>
      <w:r w:rsidR="00512B0F">
        <w:rPr>
          <w:rFonts w:ascii="Arial" w:hAnsi="Arial" w:cs="Arial"/>
        </w:rPr>
        <w:t>p</w:t>
      </w:r>
      <w:r>
        <w:rPr>
          <w:rFonts w:ascii="Arial" w:hAnsi="Arial" w:cs="Arial"/>
        </w:rPr>
        <w:t xml:space="preserve">henobarbital itself has been reported to be mutagenic (Deutsch </w:t>
      </w:r>
      <w:r w:rsidR="00E16562">
        <w:rPr>
          <w:rFonts w:ascii="Arial" w:hAnsi="Arial" w:cs="Arial"/>
          <w:i/>
        </w:rPr>
        <w:t>et al</w:t>
      </w:r>
      <w:r w:rsidRPr="00512B0F">
        <w:rPr>
          <w:rFonts w:ascii="Arial" w:hAnsi="Arial" w:cs="Arial"/>
          <w:i/>
        </w:rPr>
        <w:t>,</w:t>
      </w:r>
      <w:r>
        <w:rPr>
          <w:rFonts w:ascii="Arial" w:hAnsi="Arial" w:cs="Arial"/>
        </w:rPr>
        <w:t xml:space="preserve"> </w:t>
      </w:r>
      <w:r w:rsidR="009806A1">
        <w:rPr>
          <w:rFonts w:ascii="Arial" w:hAnsi="Arial" w:cs="Arial"/>
        </w:rPr>
        <w:t>20</w:t>
      </w:r>
      <w:r>
        <w:rPr>
          <w:rFonts w:ascii="Arial" w:hAnsi="Arial" w:cs="Arial"/>
        </w:rPr>
        <w:t>01) and again</w:t>
      </w:r>
      <w:r w:rsidR="001C5CC1">
        <w:rPr>
          <w:rFonts w:ascii="Arial" w:hAnsi="Arial" w:cs="Arial"/>
        </w:rPr>
        <w:t>,</w:t>
      </w:r>
      <w:r>
        <w:rPr>
          <w:rFonts w:ascii="Arial" w:hAnsi="Arial" w:cs="Arial"/>
        </w:rPr>
        <w:t xml:space="preserve"> species differences </w:t>
      </w:r>
      <w:r w:rsidR="00C109BF">
        <w:rPr>
          <w:rFonts w:ascii="Arial" w:hAnsi="Arial" w:cs="Arial"/>
        </w:rPr>
        <w:t xml:space="preserve">occur within the P450 system. S9 preparations are also available from human liver sources, removing the challenge of species </w:t>
      </w:r>
      <w:r w:rsidR="007F3480">
        <w:rPr>
          <w:rFonts w:ascii="Arial" w:hAnsi="Arial" w:cs="Arial"/>
        </w:rPr>
        <w:t>variation;</w:t>
      </w:r>
      <w:r w:rsidR="00C109BF">
        <w:rPr>
          <w:rFonts w:ascii="Arial" w:hAnsi="Arial" w:cs="Arial"/>
        </w:rPr>
        <w:t xml:space="preserve"> however, cost and availability of such preparations may limit </w:t>
      </w:r>
      <w:r w:rsidR="005249B6">
        <w:rPr>
          <w:rFonts w:ascii="Arial" w:hAnsi="Arial" w:cs="Arial"/>
        </w:rPr>
        <w:t xml:space="preserve">their use in </w:t>
      </w:r>
      <w:r w:rsidR="00C109BF" w:rsidRPr="005249B6">
        <w:rPr>
          <w:rFonts w:ascii="Arial" w:hAnsi="Arial" w:cs="Arial"/>
          <w:i/>
        </w:rPr>
        <w:t>in vitro</w:t>
      </w:r>
      <w:r w:rsidR="00C109BF">
        <w:rPr>
          <w:rFonts w:ascii="Arial" w:hAnsi="Arial" w:cs="Arial"/>
        </w:rPr>
        <w:t xml:space="preserve"> safety testing. </w:t>
      </w:r>
      <w:r w:rsidR="007F3480">
        <w:rPr>
          <w:rFonts w:ascii="Arial" w:hAnsi="Arial" w:cs="Arial"/>
        </w:rPr>
        <w:t>L</w:t>
      </w:r>
      <w:r w:rsidR="003E6899">
        <w:rPr>
          <w:rFonts w:ascii="Arial" w:hAnsi="Arial" w:cs="Arial"/>
        </w:rPr>
        <w:t xml:space="preserve">ack of inducibility </w:t>
      </w:r>
      <w:r w:rsidR="007F3480">
        <w:rPr>
          <w:rFonts w:ascii="Arial" w:hAnsi="Arial" w:cs="Arial"/>
        </w:rPr>
        <w:t xml:space="preserve">may </w:t>
      </w:r>
      <w:r w:rsidR="003E6899">
        <w:rPr>
          <w:rFonts w:ascii="Arial" w:hAnsi="Arial" w:cs="Arial"/>
        </w:rPr>
        <w:t xml:space="preserve">also limit use of </w:t>
      </w:r>
      <w:r w:rsidR="00C109BF">
        <w:rPr>
          <w:rFonts w:ascii="Arial" w:hAnsi="Arial" w:cs="Arial"/>
        </w:rPr>
        <w:t>S9 preparations</w:t>
      </w:r>
      <w:r w:rsidR="003E6899">
        <w:rPr>
          <w:rFonts w:ascii="Arial" w:hAnsi="Arial" w:cs="Arial"/>
        </w:rPr>
        <w:t xml:space="preserve"> as a representative P450 system</w:t>
      </w:r>
      <w:r w:rsidR="00C109BF">
        <w:rPr>
          <w:rFonts w:ascii="Arial" w:hAnsi="Arial" w:cs="Arial"/>
        </w:rPr>
        <w:t xml:space="preserve">, </w:t>
      </w:r>
      <w:r w:rsidR="003E6899">
        <w:rPr>
          <w:rFonts w:ascii="Arial" w:hAnsi="Arial" w:cs="Arial"/>
        </w:rPr>
        <w:t>as</w:t>
      </w:r>
      <w:r w:rsidR="00C109BF">
        <w:rPr>
          <w:rFonts w:ascii="Arial" w:hAnsi="Arial" w:cs="Arial"/>
        </w:rPr>
        <w:t xml:space="preserve"> </w:t>
      </w:r>
      <w:r w:rsidR="00C109BF" w:rsidRPr="00512B0F">
        <w:rPr>
          <w:rFonts w:ascii="Arial" w:hAnsi="Arial" w:cs="Arial"/>
          <w:i/>
        </w:rPr>
        <w:t>in vivo</w:t>
      </w:r>
      <w:r w:rsidR="00C109BF">
        <w:rPr>
          <w:rFonts w:ascii="Arial" w:hAnsi="Arial" w:cs="Arial"/>
        </w:rPr>
        <w:t xml:space="preserve"> some agents </w:t>
      </w:r>
      <w:r w:rsidR="003E6899">
        <w:rPr>
          <w:rFonts w:ascii="Arial" w:hAnsi="Arial" w:cs="Arial"/>
        </w:rPr>
        <w:t>including</w:t>
      </w:r>
      <w:r w:rsidR="00C109BF">
        <w:rPr>
          <w:rFonts w:ascii="Arial" w:hAnsi="Arial" w:cs="Arial"/>
        </w:rPr>
        <w:t xml:space="preserve"> the commonly used chemotherapeutic agent cyclophosphamide</w:t>
      </w:r>
      <w:r w:rsidR="00114786">
        <w:rPr>
          <w:rFonts w:ascii="Arial" w:hAnsi="Arial" w:cs="Arial"/>
        </w:rPr>
        <w:t>,</w:t>
      </w:r>
      <w:r w:rsidR="00C109BF">
        <w:rPr>
          <w:rFonts w:ascii="Arial" w:hAnsi="Arial" w:cs="Arial"/>
        </w:rPr>
        <w:t xml:space="preserve"> are able to upregulate relevant P450 enzymes,</w:t>
      </w:r>
      <w:r w:rsidR="005249B6">
        <w:rPr>
          <w:rFonts w:ascii="Arial" w:hAnsi="Arial" w:cs="Arial"/>
        </w:rPr>
        <w:t xml:space="preserve"> thereby</w:t>
      </w:r>
      <w:r w:rsidR="00C109BF">
        <w:rPr>
          <w:rFonts w:ascii="Arial" w:hAnsi="Arial" w:cs="Arial"/>
        </w:rPr>
        <w:t xml:space="preserve"> inducing their own metabolism</w:t>
      </w:r>
      <w:r w:rsidR="005249B6">
        <w:rPr>
          <w:rFonts w:ascii="Arial" w:hAnsi="Arial" w:cs="Arial"/>
        </w:rPr>
        <w:t xml:space="preserve"> in subsequent exposures</w:t>
      </w:r>
      <w:r w:rsidR="00C109BF">
        <w:rPr>
          <w:rFonts w:ascii="Arial" w:hAnsi="Arial" w:cs="Arial"/>
        </w:rPr>
        <w:t xml:space="preserve"> (Afsharian </w:t>
      </w:r>
      <w:r w:rsidR="00C109BF" w:rsidRPr="00512B0F">
        <w:rPr>
          <w:rFonts w:ascii="Arial" w:hAnsi="Arial" w:cs="Arial"/>
          <w:i/>
        </w:rPr>
        <w:t>et al,</w:t>
      </w:r>
      <w:r w:rsidR="00C109BF">
        <w:rPr>
          <w:rFonts w:ascii="Arial" w:hAnsi="Arial" w:cs="Arial"/>
        </w:rPr>
        <w:t xml:space="preserve"> 2007).</w:t>
      </w:r>
      <w:r w:rsidR="00512B0F">
        <w:rPr>
          <w:rFonts w:ascii="Arial" w:hAnsi="Arial" w:cs="Arial"/>
        </w:rPr>
        <w:t xml:space="preserve"> </w:t>
      </w:r>
    </w:p>
    <w:p w:rsidR="005D7944" w:rsidRDefault="005D7944" w:rsidP="00521BFE">
      <w:pPr>
        <w:tabs>
          <w:tab w:val="left" w:pos="5445"/>
        </w:tabs>
        <w:rPr>
          <w:rFonts w:ascii="Arial" w:hAnsi="Arial" w:cs="Arial"/>
        </w:rPr>
      </w:pPr>
    </w:p>
    <w:p w:rsidR="00AB3594" w:rsidRDefault="001C5CC1" w:rsidP="00521BFE">
      <w:pPr>
        <w:tabs>
          <w:tab w:val="left" w:pos="5445"/>
        </w:tabs>
        <w:rPr>
          <w:rFonts w:ascii="Arial" w:hAnsi="Arial" w:cs="Arial"/>
        </w:rPr>
      </w:pPr>
      <w:r>
        <w:rPr>
          <w:rFonts w:ascii="Arial" w:hAnsi="Arial" w:cs="Arial"/>
        </w:rPr>
        <w:lastRenderedPageBreak/>
        <w:t xml:space="preserve">Primary liver tissue as a source of enzymes for </w:t>
      </w:r>
      <w:r w:rsidRPr="005249B6">
        <w:rPr>
          <w:rFonts w:ascii="Arial" w:hAnsi="Arial" w:cs="Arial"/>
          <w:i/>
        </w:rPr>
        <w:t>in vitro</w:t>
      </w:r>
      <w:r>
        <w:rPr>
          <w:rFonts w:ascii="Arial" w:hAnsi="Arial" w:cs="Arial"/>
        </w:rPr>
        <w:t xml:space="preserve"> testing is a highly attractive option, however, difficulties with ethics, cost and obtaining sufficient quantities greatly limit use.</w:t>
      </w:r>
      <w:r w:rsidR="00AB3594">
        <w:rPr>
          <w:rFonts w:ascii="Arial" w:hAnsi="Arial" w:cs="Arial"/>
        </w:rPr>
        <w:t xml:space="preserve"> In addition, primary tissue in culture has a low proliferative rate, which in toxicity studies may be a disadvantage as proliferation can be used as a sensitive marker of adverse events such as hepatotoxicity (O’Brien </w:t>
      </w:r>
      <w:r w:rsidR="00AB3594" w:rsidRPr="00AB3594">
        <w:rPr>
          <w:rFonts w:ascii="Arial" w:hAnsi="Arial" w:cs="Arial"/>
          <w:i/>
        </w:rPr>
        <w:t>et al,</w:t>
      </w:r>
      <w:r w:rsidR="00AB3594">
        <w:rPr>
          <w:rFonts w:ascii="Arial" w:hAnsi="Arial" w:cs="Arial"/>
        </w:rPr>
        <w:t xml:space="preserve"> 2006).</w:t>
      </w:r>
      <w:r>
        <w:rPr>
          <w:rFonts w:ascii="Arial" w:hAnsi="Arial" w:cs="Arial"/>
        </w:rPr>
        <w:t xml:space="preserve"> </w:t>
      </w:r>
    </w:p>
    <w:p w:rsidR="00AB3594" w:rsidRDefault="00AB3594" w:rsidP="00521BFE">
      <w:pPr>
        <w:tabs>
          <w:tab w:val="left" w:pos="5445"/>
        </w:tabs>
        <w:rPr>
          <w:rFonts w:ascii="Arial" w:hAnsi="Arial" w:cs="Arial"/>
        </w:rPr>
      </w:pPr>
    </w:p>
    <w:p w:rsidR="00512B0F" w:rsidRDefault="00106D0F" w:rsidP="00521BFE">
      <w:pPr>
        <w:tabs>
          <w:tab w:val="left" w:pos="5445"/>
        </w:tabs>
        <w:rPr>
          <w:rFonts w:ascii="Arial" w:hAnsi="Arial" w:cs="Arial"/>
        </w:rPr>
      </w:pPr>
      <w:r w:rsidRPr="00114786">
        <w:rPr>
          <w:rFonts w:ascii="Arial" w:hAnsi="Arial" w:cs="Arial"/>
        </w:rPr>
        <w:t>Numerous hepatocyte c</w:t>
      </w:r>
      <w:r w:rsidR="001C5CC1" w:rsidRPr="00114786">
        <w:rPr>
          <w:rFonts w:ascii="Arial" w:hAnsi="Arial" w:cs="Arial"/>
        </w:rPr>
        <w:t xml:space="preserve">ell lines </w:t>
      </w:r>
      <w:r w:rsidRPr="00114786">
        <w:rPr>
          <w:rFonts w:ascii="Arial" w:hAnsi="Arial" w:cs="Arial"/>
        </w:rPr>
        <w:t>have also been used, one of the best characterised of which is HepG2</w:t>
      </w:r>
      <w:r w:rsidR="006D78FD">
        <w:rPr>
          <w:rFonts w:ascii="Arial" w:hAnsi="Arial" w:cs="Arial"/>
        </w:rPr>
        <w:t xml:space="preserve"> (</w:t>
      </w:r>
      <w:r w:rsidR="00587EC3">
        <w:rPr>
          <w:rFonts w:ascii="Arial" w:hAnsi="Arial" w:cs="Arial"/>
        </w:rPr>
        <w:t xml:space="preserve">Aden </w:t>
      </w:r>
      <w:r w:rsidR="00587EC3" w:rsidRPr="00587EC3">
        <w:rPr>
          <w:rFonts w:ascii="Arial" w:hAnsi="Arial" w:cs="Arial"/>
          <w:i/>
        </w:rPr>
        <w:t>et al,</w:t>
      </w:r>
      <w:r w:rsidR="00587EC3">
        <w:rPr>
          <w:rFonts w:ascii="Arial" w:hAnsi="Arial" w:cs="Arial"/>
        </w:rPr>
        <w:t xml:space="preserve"> 1979</w:t>
      </w:r>
      <w:r w:rsidR="006D78FD">
        <w:rPr>
          <w:rFonts w:ascii="Arial" w:hAnsi="Arial" w:cs="Arial"/>
        </w:rPr>
        <w:t>)</w:t>
      </w:r>
      <w:r w:rsidRPr="00114786">
        <w:rPr>
          <w:rFonts w:ascii="Arial" w:hAnsi="Arial" w:cs="Arial"/>
        </w:rPr>
        <w:t>.</w:t>
      </w:r>
      <w:r>
        <w:rPr>
          <w:rFonts w:ascii="Arial" w:hAnsi="Arial" w:cs="Arial"/>
        </w:rPr>
        <w:t xml:space="preserve"> </w:t>
      </w:r>
      <w:r w:rsidR="005249B6">
        <w:rPr>
          <w:rFonts w:ascii="Arial" w:hAnsi="Arial" w:cs="Arial"/>
        </w:rPr>
        <w:t>However, d</w:t>
      </w:r>
      <w:r>
        <w:rPr>
          <w:rFonts w:ascii="Arial" w:hAnsi="Arial" w:cs="Arial"/>
        </w:rPr>
        <w:t>ifferences</w:t>
      </w:r>
      <w:r w:rsidR="005249B6">
        <w:rPr>
          <w:rFonts w:ascii="Arial" w:hAnsi="Arial" w:cs="Arial"/>
        </w:rPr>
        <w:t xml:space="preserve"> have been reported </w:t>
      </w:r>
      <w:r>
        <w:rPr>
          <w:rFonts w:ascii="Arial" w:hAnsi="Arial" w:cs="Arial"/>
        </w:rPr>
        <w:t>between sources</w:t>
      </w:r>
      <w:r w:rsidR="001F3185">
        <w:rPr>
          <w:rFonts w:ascii="Arial" w:hAnsi="Arial" w:cs="Arial"/>
        </w:rPr>
        <w:t xml:space="preserve"> of HepG2 (Hewitt and Hewitt, 2004)</w:t>
      </w:r>
      <w:r>
        <w:rPr>
          <w:rFonts w:ascii="Arial" w:hAnsi="Arial" w:cs="Arial"/>
        </w:rPr>
        <w:t xml:space="preserve">, </w:t>
      </w:r>
      <w:r w:rsidR="00114786">
        <w:rPr>
          <w:rFonts w:ascii="Arial" w:hAnsi="Arial" w:cs="Arial"/>
        </w:rPr>
        <w:t xml:space="preserve">culture conditions and </w:t>
      </w:r>
      <w:r>
        <w:rPr>
          <w:rFonts w:ascii="Arial" w:hAnsi="Arial" w:cs="Arial"/>
        </w:rPr>
        <w:t>passage n</w:t>
      </w:r>
      <w:r w:rsidR="006D78FD">
        <w:rPr>
          <w:rFonts w:ascii="Arial" w:hAnsi="Arial" w:cs="Arial"/>
        </w:rPr>
        <w:t>umber</w:t>
      </w:r>
      <w:r w:rsidR="001F3185">
        <w:rPr>
          <w:rFonts w:ascii="Arial" w:hAnsi="Arial" w:cs="Arial"/>
        </w:rPr>
        <w:t xml:space="preserve"> (Wilkening and Bader, 2003)</w:t>
      </w:r>
      <w:r w:rsidR="00114786">
        <w:rPr>
          <w:rFonts w:ascii="Arial" w:hAnsi="Arial" w:cs="Arial"/>
        </w:rPr>
        <w:t xml:space="preserve">. Additionally, the presence of one genotype only, which has been suggested to lead to low or even absent levels of </w:t>
      </w:r>
      <w:r>
        <w:rPr>
          <w:rFonts w:ascii="Arial" w:hAnsi="Arial" w:cs="Arial"/>
        </w:rPr>
        <w:t>P450’s</w:t>
      </w:r>
      <w:r w:rsidR="00114786">
        <w:rPr>
          <w:rFonts w:ascii="Arial" w:hAnsi="Arial" w:cs="Arial"/>
        </w:rPr>
        <w:t xml:space="preserve"> may be a limiting factor, however, other reports conclude HepG2 to be a suitable model for biotransformation studies (Brandon </w:t>
      </w:r>
      <w:r w:rsidR="00114786" w:rsidRPr="00114786">
        <w:rPr>
          <w:rFonts w:ascii="Arial" w:hAnsi="Arial" w:cs="Arial"/>
          <w:i/>
        </w:rPr>
        <w:t>et al,</w:t>
      </w:r>
      <w:r w:rsidR="00114786">
        <w:rPr>
          <w:rFonts w:ascii="Arial" w:hAnsi="Arial" w:cs="Arial"/>
        </w:rPr>
        <w:t xml:space="preserve"> 2006)</w:t>
      </w:r>
      <w:r>
        <w:rPr>
          <w:rFonts w:ascii="Arial" w:hAnsi="Arial" w:cs="Arial"/>
        </w:rPr>
        <w:t xml:space="preserve">. </w:t>
      </w:r>
      <w:r w:rsidR="006D78FD">
        <w:rPr>
          <w:rFonts w:ascii="Arial" w:hAnsi="Arial" w:cs="Arial"/>
        </w:rPr>
        <w:t>More recently, new hepatocyte cell lines have shown promise in drug toxicity testing, including HBG BC2</w:t>
      </w:r>
      <w:r w:rsidR="006846F1">
        <w:rPr>
          <w:rFonts w:ascii="Arial" w:hAnsi="Arial" w:cs="Arial"/>
        </w:rPr>
        <w:t>, with levels of some important metabolic enzymes such as CYP3A4 considerably higher than HepG2</w:t>
      </w:r>
      <w:r w:rsidR="006D78FD">
        <w:rPr>
          <w:rFonts w:ascii="Arial" w:hAnsi="Arial" w:cs="Arial"/>
        </w:rPr>
        <w:t xml:space="preserve"> (Fabre </w:t>
      </w:r>
      <w:r w:rsidR="006D78FD" w:rsidRPr="006D78FD">
        <w:rPr>
          <w:rFonts w:ascii="Arial" w:hAnsi="Arial" w:cs="Arial"/>
          <w:i/>
        </w:rPr>
        <w:t>et al,</w:t>
      </w:r>
      <w:r w:rsidR="006D78FD">
        <w:rPr>
          <w:rFonts w:ascii="Arial" w:hAnsi="Arial" w:cs="Arial"/>
        </w:rPr>
        <w:t xml:space="preserve"> 2003)</w:t>
      </w:r>
      <w:r w:rsidR="006846F1">
        <w:rPr>
          <w:rFonts w:ascii="Arial" w:hAnsi="Arial" w:cs="Arial"/>
        </w:rPr>
        <w:t xml:space="preserve">. </w:t>
      </w:r>
      <w:r w:rsidR="006B35D5">
        <w:rPr>
          <w:rFonts w:ascii="Arial" w:hAnsi="Arial" w:cs="Arial"/>
        </w:rPr>
        <w:t>Advantages of util</w:t>
      </w:r>
      <w:r w:rsidR="004D400F">
        <w:rPr>
          <w:rFonts w:ascii="Arial" w:hAnsi="Arial" w:cs="Arial"/>
        </w:rPr>
        <w:t xml:space="preserve">ising cell lines such as HepG2 </w:t>
      </w:r>
      <w:r w:rsidR="006B35D5">
        <w:rPr>
          <w:rFonts w:ascii="Arial" w:hAnsi="Arial" w:cs="Arial"/>
        </w:rPr>
        <w:t>include their availability, low cost, lack of ethical issues and inducibility (</w:t>
      </w:r>
      <w:r w:rsidR="00FF06FE">
        <w:rPr>
          <w:rFonts w:ascii="Arial" w:hAnsi="Arial" w:cs="Arial"/>
        </w:rPr>
        <w:t xml:space="preserve">Brandon </w:t>
      </w:r>
      <w:r w:rsidR="00FF06FE" w:rsidRPr="00FF06FE">
        <w:rPr>
          <w:rFonts w:ascii="Arial" w:hAnsi="Arial" w:cs="Arial"/>
          <w:i/>
        </w:rPr>
        <w:t>et al.,</w:t>
      </w:r>
      <w:r w:rsidR="00FF06FE">
        <w:rPr>
          <w:rFonts w:ascii="Arial" w:hAnsi="Arial" w:cs="Arial"/>
        </w:rPr>
        <w:t xml:space="preserve"> 2006).</w:t>
      </w:r>
    </w:p>
    <w:p w:rsidR="00512B0F" w:rsidRDefault="00512B0F" w:rsidP="00521BFE">
      <w:pPr>
        <w:tabs>
          <w:tab w:val="left" w:pos="5445"/>
        </w:tabs>
        <w:rPr>
          <w:rFonts w:ascii="Arial" w:hAnsi="Arial" w:cs="Arial"/>
        </w:rPr>
      </w:pPr>
    </w:p>
    <w:p w:rsidR="00E14CBC" w:rsidRDefault="00E14CBC" w:rsidP="00521BFE">
      <w:pPr>
        <w:tabs>
          <w:tab w:val="left" w:pos="5445"/>
        </w:tabs>
        <w:rPr>
          <w:rFonts w:ascii="Arial" w:hAnsi="Arial" w:cs="Arial"/>
          <w:b/>
        </w:rPr>
      </w:pPr>
    </w:p>
    <w:p w:rsidR="006846F1" w:rsidRPr="006846F1" w:rsidRDefault="006846F1" w:rsidP="00521BFE">
      <w:pPr>
        <w:tabs>
          <w:tab w:val="left" w:pos="5445"/>
        </w:tabs>
        <w:rPr>
          <w:rFonts w:ascii="Arial" w:hAnsi="Arial" w:cs="Arial"/>
          <w:b/>
        </w:rPr>
      </w:pPr>
      <w:r w:rsidRPr="006846F1">
        <w:rPr>
          <w:rFonts w:ascii="Arial" w:hAnsi="Arial" w:cs="Arial"/>
          <w:b/>
        </w:rPr>
        <w:t xml:space="preserve">New </w:t>
      </w:r>
      <w:r w:rsidRPr="00B078A7">
        <w:rPr>
          <w:rFonts w:ascii="Arial" w:hAnsi="Arial" w:cs="Arial"/>
          <w:b/>
          <w:i/>
        </w:rPr>
        <w:t>in-vitro</w:t>
      </w:r>
      <w:r w:rsidRPr="006846F1">
        <w:rPr>
          <w:rFonts w:ascii="Arial" w:hAnsi="Arial" w:cs="Arial"/>
          <w:b/>
        </w:rPr>
        <w:t xml:space="preserve"> testing models</w:t>
      </w:r>
    </w:p>
    <w:p w:rsidR="006846F1" w:rsidRDefault="006846F1" w:rsidP="00521BFE">
      <w:pPr>
        <w:tabs>
          <w:tab w:val="left" w:pos="5445"/>
        </w:tabs>
        <w:rPr>
          <w:rFonts w:ascii="Arial" w:hAnsi="Arial" w:cs="Arial"/>
        </w:rPr>
      </w:pPr>
    </w:p>
    <w:p w:rsidR="0043794C" w:rsidRDefault="006846F1" w:rsidP="00521BFE">
      <w:pPr>
        <w:tabs>
          <w:tab w:val="left" w:pos="5445"/>
        </w:tabs>
        <w:rPr>
          <w:rFonts w:ascii="Arial" w:hAnsi="Arial" w:cs="Arial"/>
        </w:rPr>
      </w:pPr>
      <w:r>
        <w:rPr>
          <w:rFonts w:ascii="Arial" w:hAnsi="Arial" w:cs="Arial"/>
        </w:rPr>
        <w:t>Recently, a</w:t>
      </w:r>
      <w:r w:rsidR="00FF06FE">
        <w:rPr>
          <w:rFonts w:ascii="Arial" w:hAnsi="Arial" w:cs="Arial"/>
        </w:rPr>
        <w:t xml:space="preserve"> method has been developed within our lab to enable culture of HepG2 cells in</w:t>
      </w:r>
      <w:r w:rsidR="00874A21">
        <w:rPr>
          <w:rFonts w:ascii="Arial" w:hAnsi="Arial" w:cs="Arial"/>
        </w:rPr>
        <w:t xml:space="preserve">to </w:t>
      </w:r>
      <w:r w:rsidR="00FF06FE">
        <w:rPr>
          <w:rFonts w:ascii="Arial" w:hAnsi="Arial" w:cs="Arial"/>
        </w:rPr>
        <w:t>three-dimensional spheroids</w:t>
      </w:r>
      <w:r w:rsidR="00B01EEB">
        <w:rPr>
          <w:rFonts w:ascii="Arial" w:hAnsi="Arial" w:cs="Arial"/>
        </w:rPr>
        <w:t xml:space="preserve"> </w:t>
      </w:r>
      <w:r w:rsidR="00133631">
        <w:rPr>
          <w:rFonts w:ascii="Arial" w:hAnsi="Arial" w:cs="Arial"/>
        </w:rPr>
        <w:t>(</w:t>
      </w:r>
      <w:fldSimple w:instr=" REF _Ref219003087 \h  \* MERGEFORMAT ">
        <w:r w:rsidR="00E14CBC" w:rsidRPr="00E14CBC">
          <w:rPr>
            <w:rFonts w:ascii="Arial" w:hAnsi="Arial" w:cs="Arial"/>
          </w:rPr>
          <w:t xml:space="preserve">Figure </w:t>
        </w:r>
        <w:r w:rsidR="00E14CBC" w:rsidRPr="00E14CBC">
          <w:rPr>
            <w:rFonts w:ascii="Arial" w:hAnsi="Arial" w:cs="Arial"/>
            <w:noProof/>
          </w:rPr>
          <w:t>1</w:t>
        </w:r>
      </w:fldSimple>
      <w:r w:rsidR="00133631">
        <w:rPr>
          <w:rFonts w:ascii="Arial" w:hAnsi="Arial" w:cs="Arial"/>
        </w:rPr>
        <w:t>)</w:t>
      </w:r>
      <w:r w:rsidR="00874A21">
        <w:rPr>
          <w:rFonts w:ascii="Arial" w:hAnsi="Arial" w:cs="Arial"/>
        </w:rPr>
        <w:t>.</w:t>
      </w:r>
      <w:r w:rsidR="00FF06FE">
        <w:rPr>
          <w:rFonts w:ascii="Arial" w:hAnsi="Arial" w:cs="Arial"/>
        </w:rPr>
        <w:t xml:space="preserve"> </w:t>
      </w:r>
      <w:r w:rsidR="00874A21">
        <w:rPr>
          <w:rFonts w:ascii="Arial" w:hAnsi="Arial" w:cs="Arial"/>
        </w:rPr>
        <w:t>These spheroids</w:t>
      </w:r>
      <w:r w:rsidR="00FF06FE">
        <w:rPr>
          <w:rFonts w:ascii="Arial" w:hAnsi="Arial" w:cs="Arial"/>
        </w:rPr>
        <w:t xml:space="preserve"> are able to survive significantly longer in culture than monolayer cells and are more representative of human liver in terms of liver specific functions (Xu </w:t>
      </w:r>
      <w:r w:rsidR="00FF06FE" w:rsidRPr="00FF06FE">
        <w:rPr>
          <w:rFonts w:ascii="Arial" w:hAnsi="Arial" w:cs="Arial"/>
          <w:i/>
        </w:rPr>
        <w:t>et al,</w:t>
      </w:r>
      <w:r w:rsidR="00FF06FE">
        <w:rPr>
          <w:rFonts w:ascii="Arial" w:hAnsi="Arial" w:cs="Arial"/>
        </w:rPr>
        <w:t xml:space="preserve"> 2003). </w:t>
      </w:r>
    </w:p>
    <w:p w:rsidR="0043794C" w:rsidRDefault="0043794C" w:rsidP="00521BFE">
      <w:pPr>
        <w:tabs>
          <w:tab w:val="left" w:pos="5445"/>
        </w:tabs>
        <w:rPr>
          <w:rFonts w:ascii="Arial" w:hAnsi="Arial" w:cs="Arial"/>
        </w:rPr>
      </w:pPr>
    </w:p>
    <w:p w:rsidR="0043794C" w:rsidRPr="00E16562" w:rsidRDefault="00B01EEB" w:rsidP="00B01EEB">
      <w:pPr>
        <w:pStyle w:val="Caption"/>
        <w:rPr>
          <w:rFonts w:ascii="Arial" w:hAnsi="Arial" w:cs="Arial"/>
          <w:b w:val="0"/>
          <w:sz w:val="24"/>
          <w:szCs w:val="24"/>
        </w:rPr>
      </w:pPr>
      <w:bookmarkStart w:id="1" w:name="_Ref219003087"/>
      <w:r w:rsidRPr="00E16562">
        <w:rPr>
          <w:rFonts w:ascii="Arial" w:hAnsi="Arial" w:cs="Arial"/>
          <w:b w:val="0"/>
          <w:sz w:val="24"/>
          <w:szCs w:val="24"/>
        </w:rPr>
        <w:t xml:space="preserve">Figure </w:t>
      </w:r>
      <w:r w:rsidRPr="00E16562">
        <w:rPr>
          <w:rFonts w:ascii="Arial" w:hAnsi="Arial" w:cs="Arial"/>
          <w:b w:val="0"/>
          <w:sz w:val="24"/>
          <w:szCs w:val="24"/>
        </w:rPr>
        <w:fldChar w:fldCharType="begin"/>
      </w:r>
      <w:r w:rsidRPr="00E16562">
        <w:rPr>
          <w:rFonts w:ascii="Arial" w:hAnsi="Arial" w:cs="Arial"/>
          <w:b w:val="0"/>
          <w:sz w:val="24"/>
          <w:szCs w:val="24"/>
        </w:rPr>
        <w:instrText xml:space="preserve"> SEQ Figure \* ARABIC </w:instrText>
      </w:r>
      <w:r w:rsidRPr="00E16562">
        <w:rPr>
          <w:rFonts w:ascii="Arial" w:hAnsi="Arial" w:cs="Arial"/>
          <w:b w:val="0"/>
          <w:sz w:val="24"/>
          <w:szCs w:val="24"/>
        </w:rPr>
        <w:fldChar w:fldCharType="separate"/>
      </w:r>
      <w:r w:rsidR="00E14CBC">
        <w:rPr>
          <w:rFonts w:ascii="Arial" w:hAnsi="Arial" w:cs="Arial"/>
          <w:b w:val="0"/>
          <w:noProof/>
          <w:sz w:val="24"/>
          <w:szCs w:val="24"/>
        </w:rPr>
        <w:t>1</w:t>
      </w:r>
      <w:r w:rsidRPr="00E16562">
        <w:rPr>
          <w:rFonts w:ascii="Arial" w:hAnsi="Arial" w:cs="Arial"/>
          <w:b w:val="0"/>
          <w:sz w:val="24"/>
          <w:szCs w:val="24"/>
        </w:rPr>
        <w:fldChar w:fldCharType="end"/>
      </w:r>
      <w:bookmarkEnd w:id="1"/>
      <w:r w:rsidR="0043794C" w:rsidRPr="00E16562">
        <w:rPr>
          <w:rFonts w:ascii="Arial" w:hAnsi="Arial" w:cs="Arial"/>
          <w:b w:val="0"/>
          <w:sz w:val="24"/>
          <w:szCs w:val="24"/>
        </w:rPr>
        <w:t>– Mature HepG2 liver spheroids after 6 days in culture</w:t>
      </w:r>
    </w:p>
    <w:p w:rsidR="0043794C" w:rsidRDefault="0043794C" w:rsidP="0043794C">
      <w:pPr>
        <w:tabs>
          <w:tab w:val="left" w:pos="5445"/>
        </w:tabs>
        <w:jc w:val="center"/>
        <w:rPr>
          <w:rFonts w:ascii="Arial" w:hAnsi="Arial" w:cs="Arial"/>
        </w:rPr>
      </w:pPr>
      <w:r w:rsidRPr="0043794C">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68pt">
            <v:imagedata r:id="rId4" o:title="spheriod in culture 14 days"/>
          </v:shape>
        </w:pict>
      </w:r>
    </w:p>
    <w:p w:rsidR="0043794C" w:rsidRPr="0043794C" w:rsidRDefault="0079611C" w:rsidP="0043794C">
      <w:pPr>
        <w:tabs>
          <w:tab w:val="left" w:pos="5445"/>
        </w:tabs>
        <w:jc w:val="center"/>
        <w:rPr>
          <w:rFonts w:ascii="Arial" w:hAnsi="Arial" w:cs="Arial"/>
        </w:rPr>
      </w:pPr>
      <w:r>
        <w:rPr>
          <w:rFonts w:ascii="Arial" w:hAnsi="Arial" w:cs="Arial"/>
        </w:rPr>
        <w:t>Following monolayer culture until confluency, HepG2 cells can be cultured on a gyrotatory shaker to enable the formation of spheroids.</w:t>
      </w:r>
      <w:r w:rsidR="00C2095F">
        <w:rPr>
          <w:rFonts w:ascii="Arial" w:hAnsi="Arial" w:cs="Arial"/>
        </w:rPr>
        <w:t xml:space="preserve"> </w:t>
      </w:r>
      <w:r w:rsidR="0043794C">
        <w:rPr>
          <w:rFonts w:ascii="Arial" w:hAnsi="Arial" w:cs="Arial"/>
        </w:rPr>
        <w:t>(x10 magnification)</w:t>
      </w:r>
    </w:p>
    <w:p w:rsidR="0043794C" w:rsidRDefault="0043794C" w:rsidP="00521BFE">
      <w:pPr>
        <w:tabs>
          <w:tab w:val="left" w:pos="5445"/>
        </w:tabs>
        <w:rPr>
          <w:rFonts w:ascii="Arial" w:hAnsi="Arial" w:cs="Arial"/>
        </w:rPr>
      </w:pPr>
    </w:p>
    <w:p w:rsidR="0043794C" w:rsidRDefault="004D400F" w:rsidP="00521BFE">
      <w:pPr>
        <w:tabs>
          <w:tab w:val="left" w:pos="5445"/>
        </w:tabs>
        <w:rPr>
          <w:rFonts w:ascii="Arial" w:hAnsi="Arial" w:cs="Arial"/>
        </w:rPr>
      </w:pPr>
      <w:r>
        <w:rPr>
          <w:rFonts w:ascii="Arial" w:hAnsi="Arial" w:cs="Arial"/>
        </w:rPr>
        <w:t xml:space="preserve">Co-culture of these liver spheroids with other cell types has enabled chemotherapeutic damage from pro-drugs such as </w:t>
      </w:r>
      <w:r w:rsidR="0043794C">
        <w:rPr>
          <w:rFonts w:ascii="Arial" w:hAnsi="Arial" w:cs="Arial"/>
        </w:rPr>
        <w:t xml:space="preserve">cyclophosphamide to be studied, with results obtained resembling damage seen in patients who have received chemotherapeutic treatment </w:t>
      </w:r>
      <w:r w:rsidR="0043794C" w:rsidRPr="0043794C">
        <w:rPr>
          <w:rFonts w:ascii="Arial" w:hAnsi="Arial" w:cs="Arial"/>
          <w:i/>
        </w:rPr>
        <w:t>in vivo</w:t>
      </w:r>
      <w:r w:rsidR="00B01EEB">
        <w:rPr>
          <w:rFonts w:ascii="Arial" w:hAnsi="Arial" w:cs="Arial"/>
        </w:rPr>
        <w:t xml:space="preserve"> (</w:t>
      </w:r>
      <w:fldSimple w:instr=" REF _Ref219003149 \h  \* MERGEFORMAT ">
        <w:r w:rsidR="00E14CBC" w:rsidRPr="00E14CBC">
          <w:rPr>
            <w:rFonts w:ascii="Arial" w:hAnsi="Arial" w:cs="Arial"/>
          </w:rPr>
          <w:t xml:space="preserve">Figure </w:t>
        </w:r>
        <w:r w:rsidR="00E14CBC" w:rsidRPr="00E14CBC">
          <w:rPr>
            <w:rFonts w:ascii="Arial" w:hAnsi="Arial" w:cs="Arial"/>
            <w:noProof/>
          </w:rPr>
          <w:t>2</w:t>
        </w:r>
      </w:fldSimple>
      <w:r w:rsidR="00B01EEB">
        <w:rPr>
          <w:rFonts w:ascii="Arial" w:hAnsi="Arial" w:cs="Arial"/>
        </w:rPr>
        <w:t>)</w:t>
      </w:r>
      <w:r w:rsidR="0043794C" w:rsidRPr="00B01EEB">
        <w:rPr>
          <w:rFonts w:ascii="Arial" w:hAnsi="Arial" w:cs="Arial"/>
        </w:rPr>
        <w:t>.</w:t>
      </w:r>
    </w:p>
    <w:p w:rsidR="00690EA2" w:rsidRDefault="00690EA2" w:rsidP="00521BFE">
      <w:pPr>
        <w:tabs>
          <w:tab w:val="left" w:pos="5445"/>
        </w:tabs>
        <w:rPr>
          <w:rFonts w:ascii="Arial" w:hAnsi="Arial" w:cs="Arial"/>
        </w:rPr>
      </w:pPr>
    </w:p>
    <w:p w:rsidR="00B01EEB" w:rsidRPr="00B01EEB" w:rsidRDefault="00B01EEB" w:rsidP="00B01EEB">
      <w:pPr>
        <w:pStyle w:val="Caption"/>
        <w:rPr>
          <w:rFonts w:ascii="Arial" w:hAnsi="Arial" w:cs="Arial"/>
          <w:b w:val="0"/>
          <w:sz w:val="24"/>
          <w:szCs w:val="24"/>
        </w:rPr>
      </w:pPr>
      <w:bookmarkStart w:id="2" w:name="_Ref219003149"/>
      <w:r w:rsidRPr="00B01EEB">
        <w:rPr>
          <w:rFonts w:ascii="Arial" w:hAnsi="Arial" w:cs="Arial"/>
          <w:b w:val="0"/>
          <w:sz w:val="24"/>
          <w:szCs w:val="24"/>
        </w:rPr>
        <w:t xml:space="preserve">Figure </w:t>
      </w:r>
      <w:r w:rsidRPr="00B01EEB">
        <w:rPr>
          <w:rFonts w:ascii="Arial" w:hAnsi="Arial" w:cs="Arial"/>
          <w:b w:val="0"/>
          <w:sz w:val="24"/>
          <w:szCs w:val="24"/>
        </w:rPr>
        <w:fldChar w:fldCharType="begin"/>
      </w:r>
      <w:r w:rsidRPr="00B01EEB">
        <w:rPr>
          <w:rFonts w:ascii="Arial" w:hAnsi="Arial" w:cs="Arial"/>
          <w:b w:val="0"/>
          <w:sz w:val="24"/>
          <w:szCs w:val="24"/>
        </w:rPr>
        <w:instrText xml:space="preserve"> SEQ Figure \* ARABIC </w:instrText>
      </w:r>
      <w:r w:rsidRPr="00B01EEB">
        <w:rPr>
          <w:rFonts w:ascii="Arial" w:hAnsi="Arial" w:cs="Arial"/>
          <w:b w:val="0"/>
          <w:sz w:val="24"/>
          <w:szCs w:val="24"/>
        </w:rPr>
        <w:fldChar w:fldCharType="separate"/>
      </w:r>
      <w:r w:rsidR="00E14CBC">
        <w:rPr>
          <w:rFonts w:ascii="Arial" w:hAnsi="Arial" w:cs="Arial"/>
          <w:b w:val="0"/>
          <w:noProof/>
          <w:sz w:val="24"/>
          <w:szCs w:val="24"/>
        </w:rPr>
        <w:t>2</w:t>
      </w:r>
      <w:r w:rsidRPr="00B01EEB">
        <w:rPr>
          <w:rFonts w:ascii="Arial" w:hAnsi="Arial" w:cs="Arial"/>
          <w:b w:val="0"/>
          <w:sz w:val="24"/>
          <w:szCs w:val="24"/>
        </w:rPr>
        <w:fldChar w:fldCharType="end"/>
      </w:r>
      <w:bookmarkEnd w:id="2"/>
      <w:r w:rsidRPr="00B01EEB">
        <w:rPr>
          <w:rFonts w:ascii="Arial" w:hAnsi="Arial" w:cs="Arial"/>
          <w:b w:val="0"/>
          <w:sz w:val="24"/>
          <w:szCs w:val="24"/>
        </w:rPr>
        <w:t xml:space="preserve"> </w:t>
      </w:r>
      <w:r w:rsidR="00E16562">
        <w:rPr>
          <w:rFonts w:ascii="Arial" w:hAnsi="Arial" w:cs="Arial"/>
          <w:b w:val="0"/>
          <w:sz w:val="24"/>
          <w:szCs w:val="24"/>
        </w:rPr>
        <w:t>–</w:t>
      </w:r>
      <w:r w:rsidRPr="00B01EEB">
        <w:rPr>
          <w:rFonts w:ascii="Arial" w:hAnsi="Arial" w:cs="Arial"/>
          <w:b w:val="0"/>
          <w:sz w:val="24"/>
          <w:szCs w:val="24"/>
        </w:rPr>
        <w:t xml:space="preserve"> </w:t>
      </w:r>
      <w:r w:rsidR="00E16562">
        <w:rPr>
          <w:rFonts w:ascii="Arial" w:hAnsi="Arial" w:cs="Arial"/>
          <w:b w:val="0"/>
          <w:sz w:val="24"/>
          <w:szCs w:val="24"/>
        </w:rPr>
        <w:t xml:space="preserve">Comparison of </w:t>
      </w:r>
      <w:r w:rsidR="00A26E63">
        <w:rPr>
          <w:rFonts w:ascii="Arial" w:hAnsi="Arial" w:cs="Arial"/>
          <w:b w:val="0"/>
          <w:i/>
          <w:sz w:val="24"/>
          <w:szCs w:val="24"/>
        </w:rPr>
        <w:t xml:space="preserve">in </w:t>
      </w:r>
      <w:r w:rsidR="00E16562" w:rsidRPr="00E16562">
        <w:rPr>
          <w:rFonts w:ascii="Arial" w:hAnsi="Arial" w:cs="Arial"/>
          <w:b w:val="0"/>
          <w:i/>
          <w:sz w:val="24"/>
          <w:szCs w:val="24"/>
        </w:rPr>
        <w:t>vitro</w:t>
      </w:r>
      <w:r w:rsidR="00E16562">
        <w:rPr>
          <w:rFonts w:ascii="Arial" w:hAnsi="Arial" w:cs="Arial"/>
          <w:b w:val="0"/>
          <w:sz w:val="24"/>
          <w:szCs w:val="24"/>
        </w:rPr>
        <w:t xml:space="preserve"> modelling of cyclophosphamide </w:t>
      </w:r>
      <w:r w:rsidR="00A26E63">
        <w:rPr>
          <w:rFonts w:ascii="Arial" w:hAnsi="Arial" w:cs="Arial"/>
          <w:b w:val="0"/>
          <w:sz w:val="24"/>
          <w:szCs w:val="24"/>
        </w:rPr>
        <w:t>treatment</w:t>
      </w:r>
      <w:r w:rsidR="00E16562">
        <w:rPr>
          <w:rFonts w:ascii="Arial" w:hAnsi="Arial" w:cs="Arial"/>
          <w:b w:val="0"/>
          <w:sz w:val="24"/>
          <w:szCs w:val="24"/>
        </w:rPr>
        <w:t xml:space="preserve"> with effects seen in patients who have received </w:t>
      </w:r>
      <w:r w:rsidR="00E16562" w:rsidRPr="00E16562">
        <w:rPr>
          <w:rFonts w:ascii="Arial" w:hAnsi="Arial" w:cs="Arial"/>
          <w:b w:val="0"/>
          <w:i/>
          <w:sz w:val="24"/>
          <w:szCs w:val="24"/>
        </w:rPr>
        <w:t>in vivo</w:t>
      </w:r>
      <w:r w:rsidR="00E16562">
        <w:rPr>
          <w:rFonts w:ascii="Arial" w:hAnsi="Arial" w:cs="Arial"/>
          <w:b w:val="0"/>
          <w:sz w:val="24"/>
          <w:szCs w:val="24"/>
        </w:rPr>
        <w:t xml:space="preserve"> </w:t>
      </w:r>
      <w:r w:rsidR="00A26E63">
        <w:rPr>
          <w:rFonts w:ascii="Arial" w:hAnsi="Arial" w:cs="Arial"/>
          <w:b w:val="0"/>
          <w:sz w:val="24"/>
          <w:szCs w:val="24"/>
        </w:rPr>
        <w:t>therapy</w:t>
      </w:r>
      <w:r w:rsidR="00E16562">
        <w:rPr>
          <w:rFonts w:ascii="Arial" w:hAnsi="Arial" w:cs="Arial"/>
          <w:b w:val="0"/>
          <w:sz w:val="24"/>
          <w:szCs w:val="24"/>
        </w:rPr>
        <w:t>.</w:t>
      </w:r>
    </w:p>
    <w:tbl>
      <w:tblPr>
        <w:tblW w:w="0" w:type="auto"/>
        <w:tblInd w:w="675" w:type="dxa"/>
        <w:tblLook w:val="01E0"/>
      </w:tblPr>
      <w:tblGrid>
        <w:gridCol w:w="3825"/>
        <w:gridCol w:w="3865"/>
      </w:tblGrid>
      <w:tr w:rsidR="00FD0100" w:rsidRPr="001029BB" w:rsidTr="001029BB">
        <w:tc>
          <w:tcPr>
            <w:tcW w:w="3825" w:type="dxa"/>
          </w:tcPr>
          <w:p w:rsidR="00FD0100" w:rsidRPr="001029BB" w:rsidRDefault="000E779B" w:rsidP="001029BB">
            <w:pPr>
              <w:tabs>
                <w:tab w:val="left" w:pos="5445"/>
              </w:tabs>
              <w:jc w:val="center"/>
              <w:rPr>
                <w:rFonts w:ascii="Arial" w:hAnsi="Arial" w:cs="Arial"/>
              </w:rPr>
            </w:pPr>
            <w:r w:rsidRPr="001029BB">
              <w:rPr>
                <w:rFonts w:ascii="Arial" w:hAnsi="Arial" w:cs="Arial"/>
                <w:noProof/>
              </w:rPr>
              <w:pict>
                <v:shapetype id="_x0000_t202" coordsize="21600,21600" o:spt="202" path="m,l,21600r21600,l21600,xe">
                  <v:stroke joinstyle="miter"/>
                  <v:path gradientshapeok="t" o:connecttype="rect"/>
                </v:shapetype>
                <v:shape id="_x0000_s1028" type="#_x0000_t202" style="position:absolute;left:0;text-align:left;margin-left:1.65pt;margin-top:111.85pt;width:27pt;height:26.95pt;z-index:1" filled="f" stroked="f">
                  <v:textbox>
                    <w:txbxContent>
                      <w:p w:rsidR="00CB585E" w:rsidRPr="000E779B" w:rsidRDefault="00CB585E">
                        <w:pPr>
                          <w:rPr>
                            <w:rFonts w:ascii="Arial" w:hAnsi="Arial" w:cs="Arial"/>
                            <w:b/>
                            <w:color w:val="FFFFFF"/>
                          </w:rPr>
                        </w:pPr>
                        <w:r w:rsidRPr="000E779B">
                          <w:rPr>
                            <w:rFonts w:ascii="Arial" w:hAnsi="Arial" w:cs="Arial"/>
                            <w:b/>
                            <w:color w:val="FFFFFF"/>
                          </w:rPr>
                          <w:t>A</w:t>
                        </w:r>
                      </w:p>
                    </w:txbxContent>
                  </v:textbox>
                </v:shape>
              </w:pict>
            </w:r>
            <w:r w:rsidRPr="001029BB">
              <w:rPr>
                <w:rFonts w:ascii="Arial" w:hAnsi="Arial" w:cs="Arial"/>
              </w:rPr>
              <w:pict>
                <v:shape id="_x0000_i1026" type="#_x0000_t75" style="width:180.75pt;height:136.5pt">
                  <v:imagedata r:id="rId5" o:title="RUH 132 4 1P x10"/>
                </v:shape>
              </w:pict>
            </w:r>
          </w:p>
        </w:tc>
        <w:tc>
          <w:tcPr>
            <w:tcW w:w="3865" w:type="dxa"/>
          </w:tcPr>
          <w:p w:rsidR="00FD0100" w:rsidRPr="001029BB" w:rsidRDefault="000E779B" w:rsidP="001029BB">
            <w:pPr>
              <w:tabs>
                <w:tab w:val="left" w:pos="5445"/>
              </w:tabs>
              <w:jc w:val="center"/>
              <w:rPr>
                <w:rFonts w:ascii="Arial" w:hAnsi="Arial" w:cs="Arial"/>
              </w:rPr>
            </w:pPr>
            <w:r w:rsidRPr="001029BB">
              <w:rPr>
                <w:rFonts w:ascii="Arial" w:hAnsi="Arial" w:cs="Arial"/>
                <w:noProof/>
              </w:rPr>
              <w:pict>
                <v:shape id="_x0000_s1030" type="#_x0000_t202" style="position:absolute;left:0;text-align:left;margin-left:2.1pt;margin-top:110.25pt;width:27pt;height:26.95pt;z-index:3;mso-position-horizontal-relative:text;mso-position-vertical-relative:text" filled="f" stroked="f">
                  <v:textbox>
                    <w:txbxContent>
                      <w:p w:rsidR="00CB585E" w:rsidRPr="000E779B" w:rsidRDefault="00CB585E" w:rsidP="000E779B">
                        <w:pPr>
                          <w:rPr>
                            <w:rFonts w:ascii="Arial" w:hAnsi="Arial" w:cs="Arial"/>
                            <w:b/>
                            <w:color w:val="FFFFFF"/>
                          </w:rPr>
                        </w:pPr>
                        <w:r>
                          <w:rPr>
                            <w:rFonts w:ascii="Arial" w:hAnsi="Arial" w:cs="Arial"/>
                            <w:b/>
                            <w:color w:val="FFFFFF"/>
                          </w:rPr>
                          <w:t>B</w:t>
                        </w:r>
                      </w:p>
                    </w:txbxContent>
                  </v:textbox>
                </v:shape>
              </w:pict>
            </w:r>
            <w:r w:rsidR="00690EA2" w:rsidRPr="001029BB">
              <w:rPr>
                <w:rFonts w:ascii="Arial" w:hAnsi="Arial" w:cs="Arial"/>
              </w:rPr>
              <w:pict>
                <v:shape id="_x0000_i1027" type="#_x0000_t75" style="width:182.25pt;height:136.5pt">
                  <v:imagedata r:id="rId6" o:title="1mM 3"/>
                </v:shape>
              </w:pict>
            </w:r>
          </w:p>
          <w:p w:rsidR="00FD0100" w:rsidRPr="001029BB" w:rsidRDefault="00FD0100" w:rsidP="001029BB">
            <w:pPr>
              <w:tabs>
                <w:tab w:val="left" w:pos="5445"/>
              </w:tabs>
              <w:jc w:val="center"/>
              <w:rPr>
                <w:rFonts w:ascii="Arial" w:hAnsi="Arial" w:cs="Arial"/>
                <w:sz w:val="16"/>
                <w:szCs w:val="16"/>
              </w:rPr>
            </w:pPr>
          </w:p>
        </w:tc>
      </w:tr>
      <w:tr w:rsidR="00FD0100" w:rsidRPr="001029BB" w:rsidTr="001029BB">
        <w:tc>
          <w:tcPr>
            <w:tcW w:w="7690" w:type="dxa"/>
            <w:gridSpan w:val="2"/>
          </w:tcPr>
          <w:p w:rsidR="00FD0100" w:rsidRPr="001029BB" w:rsidRDefault="000E779B" w:rsidP="001029BB">
            <w:pPr>
              <w:tabs>
                <w:tab w:val="left" w:pos="5445"/>
              </w:tabs>
              <w:jc w:val="center"/>
              <w:rPr>
                <w:rFonts w:ascii="Arial" w:hAnsi="Arial" w:cs="Arial"/>
              </w:rPr>
            </w:pPr>
            <w:r w:rsidRPr="001029BB">
              <w:rPr>
                <w:rFonts w:ascii="Arial" w:hAnsi="Arial" w:cs="Arial"/>
                <w:noProof/>
              </w:rPr>
              <w:pict>
                <v:shape id="_x0000_s1029" type="#_x0000_t202" style="position:absolute;left:0;text-align:left;margin-left:95.4pt;margin-top:113.6pt;width:27pt;height:26.95pt;z-index:2;mso-position-horizontal-relative:text;mso-position-vertical-relative:text" filled="f" stroked="f">
                  <v:textbox>
                    <w:txbxContent>
                      <w:p w:rsidR="00CB585E" w:rsidRPr="000E779B" w:rsidRDefault="00CB585E" w:rsidP="000E779B">
                        <w:pPr>
                          <w:rPr>
                            <w:rFonts w:ascii="Arial" w:hAnsi="Arial" w:cs="Arial"/>
                            <w:b/>
                            <w:color w:val="FFFFFF"/>
                          </w:rPr>
                        </w:pPr>
                        <w:r>
                          <w:rPr>
                            <w:rFonts w:ascii="Arial" w:hAnsi="Arial" w:cs="Arial"/>
                            <w:b/>
                            <w:color w:val="FFFFFF"/>
                          </w:rPr>
                          <w:t>C</w:t>
                        </w:r>
                      </w:p>
                    </w:txbxContent>
                  </v:textbox>
                </v:shape>
              </w:pict>
            </w:r>
            <w:r w:rsidR="00D246FD" w:rsidRPr="001029BB">
              <w:rPr>
                <w:rFonts w:ascii="Arial" w:hAnsi="Arial" w:cs="Arial"/>
              </w:rPr>
              <w:pict>
                <v:shape id="_x0000_i1028" type="#_x0000_t75" style="width:186.75pt;height:139.5pt">
                  <v:imagedata r:id="rId7" o:title="0mM control 2 x10"/>
                </v:shape>
              </w:pict>
            </w:r>
          </w:p>
        </w:tc>
      </w:tr>
    </w:tbl>
    <w:p w:rsidR="00D246FD" w:rsidRPr="00B01EEB" w:rsidRDefault="00D246FD" w:rsidP="00521BFE">
      <w:pPr>
        <w:tabs>
          <w:tab w:val="left" w:pos="5445"/>
        </w:tabs>
        <w:rPr>
          <w:rFonts w:ascii="Arial" w:hAnsi="Arial" w:cs="Arial"/>
          <w:sz w:val="20"/>
          <w:szCs w:val="20"/>
          <w:lang w:val="en-US"/>
        </w:rPr>
      </w:pPr>
      <w:r w:rsidRPr="00B01EEB">
        <w:rPr>
          <w:rFonts w:ascii="Arial" w:hAnsi="Arial" w:cs="Arial"/>
          <w:sz w:val="20"/>
          <w:szCs w:val="20"/>
        </w:rPr>
        <w:t xml:space="preserve">Mesenchymal Stem Cells (MSC) from a patient previously treated with CY and fludarabine </w:t>
      </w:r>
      <w:r w:rsidRPr="00B01EEB">
        <w:rPr>
          <w:rFonts w:ascii="Arial" w:hAnsi="Arial" w:cs="Arial"/>
          <w:i/>
          <w:sz w:val="20"/>
          <w:szCs w:val="20"/>
        </w:rPr>
        <w:t xml:space="preserve">in vivo </w:t>
      </w:r>
      <w:r w:rsidRPr="00B01EEB">
        <w:rPr>
          <w:rFonts w:ascii="Arial" w:hAnsi="Arial" w:cs="Arial"/>
          <w:sz w:val="20"/>
          <w:szCs w:val="20"/>
        </w:rPr>
        <w:t xml:space="preserve">(A), MSC exposed to CY </w:t>
      </w:r>
      <w:r w:rsidRPr="00B01EEB">
        <w:rPr>
          <w:rFonts w:ascii="Arial" w:hAnsi="Arial" w:cs="Arial"/>
          <w:i/>
          <w:sz w:val="20"/>
          <w:szCs w:val="20"/>
        </w:rPr>
        <w:t>in vitro</w:t>
      </w:r>
      <w:r w:rsidRPr="00B01EEB">
        <w:rPr>
          <w:rFonts w:ascii="Arial" w:hAnsi="Arial" w:cs="Arial"/>
          <w:sz w:val="20"/>
          <w:szCs w:val="20"/>
        </w:rPr>
        <w:t xml:space="preserve"> in the presence of HepG2 liver spheroids (B), control untreated MSC (C). (</w:t>
      </w:r>
      <w:r w:rsidR="007A1799">
        <w:rPr>
          <w:rFonts w:ascii="Arial" w:hAnsi="Arial" w:cs="Arial"/>
          <w:sz w:val="20"/>
          <w:szCs w:val="20"/>
        </w:rPr>
        <w:t>Images A and C x10 magnification, Image B x20 magnification</w:t>
      </w:r>
      <w:r w:rsidRPr="00B01EEB">
        <w:rPr>
          <w:rFonts w:ascii="Arial" w:hAnsi="Arial" w:cs="Arial"/>
          <w:sz w:val="20"/>
          <w:szCs w:val="20"/>
        </w:rPr>
        <w:t>)</w:t>
      </w:r>
    </w:p>
    <w:p w:rsidR="00D246FD" w:rsidRPr="007A1799" w:rsidRDefault="00D246FD" w:rsidP="00521BFE">
      <w:pPr>
        <w:tabs>
          <w:tab w:val="left" w:pos="5445"/>
        </w:tabs>
        <w:rPr>
          <w:rFonts w:ascii="Arial" w:hAnsi="Arial" w:cs="Arial"/>
        </w:rPr>
      </w:pPr>
    </w:p>
    <w:p w:rsidR="005A3AF5" w:rsidRDefault="006846F1" w:rsidP="00521BFE">
      <w:pPr>
        <w:tabs>
          <w:tab w:val="left" w:pos="5445"/>
        </w:tabs>
        <w:rPr>
          <w:rFonts w:ascii="Arial" w:hAnsi="Arial" w:cs="Arial"/>
        </w:rPr>
      </w:pPr>
      <w:r>
        <w:rPr>
          <w:rFonts w:ascii="Arial" w:hAnsi="Arial" w:cs="Arial"/>
        </w:rPr>
        <w:t xml:space="preserve">Similarly a </w:t>
      </w:r>
      <w:r w:rsidR="00BE6419">
        <w:rPr>
          <w:rFonts w:ascii="Arial" w:hAnsi="Arial" w:cs="Arial"/>
        </w:rPr>
        <w:t xml:space="preserve">novel </w:t>
      </w:r>
      <w:r w:rsidR="00BE6419" w:rsidRPr="00D50CC6">
        <w:rPr>
          <w:rFonts w:ascii="Arial" w:hAnsi="Arial" w:cs="Arial"/>
          <w:i/>
        </w:rPr>
        <w:t>in vitro</w:t>
      </w:r>
      <w:r w:rsidR="00BE6419">
        <w:rPr>
          <w:rFonts w:ascii="Arial" w:hAnsi="Arial" w:cs="Arial"/>
        </w:rPr>
        <w:t xml:space="preserve"> system utilising normal primary human cells from 5 different organs together with a breast cancer cell line was developed by Li </w:t>
      </w:r>
      <w:r w:rsidR="00BE6419" w:rsidRPr="00BE6419">
        <w:rPr>
          <w:rFonts w:ascii="Arial" w:hAnsi="Arial" w:cs="Arial"/>
          <w:i/>
        </w:rPr>
        <w:t>et al,</w:t>
      </w:r>
      <w:r w:rsidR="00BE6419">
        <w:rPr>
          <w:rFonts w:ascii="Arial" w:hAnsi="Arial" w:cs="Arial"/>
        </w:rPr>
        <w:t xml:space="preserve"> (2004) to allow study of the effects of an agent on more than one cell type simultaneously. The model uses a ‘well within a well’ system where 6 cell types can be cultured within separate wells in specialised media, but all 6 wells are within one larger well</w:t>
      </w:r>
      <w:r w:rsidR="000B5A4F">
        <w:rPr>
          <w:rFonts w:ascii="Arial" w:hAnsi="Arial" w:cs="Arial"/>
        </w:rPr>
        <w:t>,</w:t>
      </w:r>
      <w:r w:rsidR="00BE6419">
        <w:rPr>
          <w:rFonts w:ascii="Arial" w:hAnsi="Arial" w:cs="Arial"/>
        </w:rPr>
        <w:t xml:space="preserve"> </w:t>
      </w:r>
      <w:r w:rsidR="000B5A4F">
        <w:rPr>
          <w:rFonts w:ascii="Arial" w:hAnsi="Arial" w:cs="Arial"/>
        </w:rPr>
        <w:t>allowing it to</w:t>
      </w:r>
      <w:r w:rsidR="00BE6419">
        <w:rPr>
          <w:rFonts w:ascii="Arial" w:hAnsi="Arial" w:cs="Arial"/>
        </w:rPr>
        <w:t xml:space="preserve"> be flooded with an agent able to </w:t>
      </w:r>
      <w:r w:rsidR="005D2367">
        <w:rPr>
          <w:rFonts w:ascii="Arial" w:hAnsi="Arial" w:cs="Arial"/>
        </w:rPr>
        <w:t>access</w:t>
      </w:r>
      <w:r w:rsidR="00BE6419">
        <w:rPr>
          <w:rFonts w:ascii="Arial" w:hAnsi="Arial" w:cs="Arial"/>
        </w:rPr>
        <w:t xml:space="preserve"> all internal wells. Consequently the effect of the agent on several organ systems can be studied</w:t>
      </w:r>
      <w:r w:rsidR="000B5A4F">
        <w:rPr>
          <w:rFonts w:ascii="Arial" w:hAnsi="Arial" w:cs="Arial"/>
        </w:rPr>
        <w:t>,</w:t>
      </w:r>
      <w:r w:rsidR="00BE6419">
        <w:rPr>
          <w:rFonts w:ascii="Arial" w:hAnsi="Arial" w:cs="Arial"/>
        </w:rPr>
        <w:t xml:space="preserve"> as well as interactions between the different systems, resulting in a much more realistic model of the </w:t>
      </w:r>
      <w:r w:rsidR="00BE6419" w:rsidRPr="00BE6419">
        <w:rPr>
          <w:rFonts w:ascii="Arial" w:hAnsi="Arial" w:cs="Arial"/>
          <w:i/>
        </w:rPr>
        <w:t>in vivo</w:t>
      </w:r>
      <w:r w:rsidR="00BE6419">
        <w:rPr>
          <w:rFonts w:ascii="Arial" w:hAnsi="Arial" w:cs="Arial"/>
        </w:rPr>
        <w:t xml:space="preserve"> situation. </w:t>
      </w:r>
    </w:p>
    <w:p w:rsidR="005A74E7" w:rsidRDefault="005A74E7" w:rsidP="00521BFE">
      <w:pPr>
        <w:tabs>
          <w:tab w:val="left" w:pos="5445"/>
        </w:tabs>
        <w:rPr>
          <w:rFonts w:ascii="Arial" w:hAnsi="Arial" w:cs="Arial"/>
        </w:rPr>
      </w:pPr>
    </w:p>
    <w:p w:rsidR="000F3BFF" w:rsidRDefault="00AB3594" w:rsidP="00521BFE">
      <w:pPr>
        <w:tabs>
          <w:tab w:val="left" w:pos="5445"/>
        </w:tabs>
        <w:rPr>
          <w:rFonts w:ascii="Arial" w:hAnsi="Arial" w:cs="Arial"/>
        </w:rPr>
      </w:pPr>
      <w:r>
        <w:rPr>
          <w:rFonts w:ascii="Arial" w:hAnsi="Arial" w:cs="Arial"/>
        </w:rPr>
        <w:t xml:space="preserve">Developments in detection of subtle indicators of toxicology may also enable progress in </w:t>
      </w:r>
      <w:r w:rsidRPr="00AB3594">
        <w:rPr>
          <w:rFonts w:ascii="Arial" w:hAnsi="Arial" w:cs="Arial"/>
          <w:i/>
        </w:rPr>
        <w:t>in vitro</w:t>
      </w:r>
      <w:r>
        <w:rPr>
          <w:rFonts w:ascii="Arial" w:hAnsi="Arial" w:cs="Arial"/>
        </w:rPr>
        <w:t xml:space="preserve"> toxicity testing. Many traditional </w:t>
      </w:r>
      <w:r w:rsidRPr="0032477B">
        <w:rPr>
          <w:rFonts w:ascii="Arial" w:hAnsi="Arial" w:cs="Arial"/>
          <w:i/>
        </w:rPr>
        <w:t>in vitro</w:t>
      </w:r>
      <w:r>
        <w:rPr>
          <w:rFonts w:ascii="Arial" w:hAnsi="Arial" w:cs="Arial"/>
        </w:rPr>
        <w:t xml:space="preserve"> tests rely upon detecting parameters involved in lethal toxicity events such as apoptosis or necrosis</w:t>
      </w:r>
      <w:r w:rsidR="00B47C22">
        <w:rPr>
          <w:rFonts w:ascii="Arial" w:hAnsi="Arial" w:cs="Arial"/>
        </w:rPr>
        <w:t xml:space="preserve"> and often lack sensitivity</w:t>
      </w:r>
      <w:r>
        <w:rPr>
          <w:rFonts w:ascii="Arial" w:hAnsi="Arial" w:cs="Arial"/>
        </w:rPr>
        <w:t xml:space="preserve">. A study by O’Brien </w:t>
      </w:r>
      <w:r w:rsidRPr="00AB3594">
        <w:rPr>
          <w:rFonts w:ascii="Arial" w:hAnsi="Arial" w:cs="Arial"/>
          <w:i/>
        </w:rPr>
        <w:t>et al</w:t>
      </w:r>
      <w:r w:rsidR="00A26E63">
        <w:rPr>
          <w:rFonts w:ascii="Arial" w:hAnsi="Arial" w:cs="Arial"/>
          <w:i/>
        </w:rPr>
        <w:t>,</w:t>
      </w:r>
      <w:r>
        <w:rPr>
          <w:rFonts w:ascii="Arial" w:hAnsi="Arial" w:cs="Arial"/>
        </w:rPr>
        <w:t xml:space="preserve"> (2006) investigated the possibility of using new technology to detect earlier subtle</w:t>
      </w:r>
      <w:r w:rsidR="00EC533F">
        <w:rPr>
          <w:rFonts w:ascii="Arial" w:hAnsi="Arial" w:cs="Arial"/>
        </w:rPr>
        <w:t>, sub-lethal</w:t>
      </w:r>
      <w:r>
        <w:rPr>
          <w:rFonts w:ascii="Arial" w:hAnsi="Arial" w:cs="Arial"/>
        </w:rPr>
        <w:t xml:space="preserve"> indicators of toxicity </w:t>
      </w:r>
      <w:r w:rsidRPr="00AB3594">
        <w:rPr>
          <w:rFonts w:ascii="Arial" w:hAnsi="Arial" w:cs="Arial"/>
          <w:i/>
        </w:rPr>
        <w:t>in vitro</w:t>
      </w:r>
      <w:r>
        <w:rPr>
          <w:rFonts w:ascii="Arial" w:hAnsi="Arial" w:cs="Arial"/>
        </w:rPr>
        <w:t xml:space="preserve">. </w:t>
      </w:r>
      <w:r w:rsidR="00EC533F">
        <w:rPr>
          <w:rFonts w:ascii="Arial" w:hAnsi="Arial" w:cs="Arial"/>
        </w:rPr>
        <w:t xml:space="preserve">The </w:t>
      </w:r>
      <w:r w:rsidR="0043794C">
        <w:rPr>
          <w:rFonts w:ascii="Arial" w:hAnsi="Arial" w:cs="Arial"/>
        </w:rPr>
        <w:t>High C</w:t>
      </w:r>
      <w:r w:rsidR="002623DE">
        <w:rPr>
          <w:rFonts w:ascii="Arial" w:hAnsi="Arial" w:cs="Arial"/>
        </w:rPr>
        <w:t xml:space="preserve">ontent </w:t>
      </w:r>
      <w:r w:rsidR="0043794C">
        <w:rPr>
          <w:rFonts w:ascii="Arial" w:hAnsi="Arial" w:cs="Arial"/>
        </w:rPr>
        <w:t>S</w:t>
      </w:r>
      <w:r w:rsidR="002623DE">
        <w:rPr>
          <w:rFonts w:ascii="Arial" w:hAnsi="Arial" w:cs="Arial"/>
        </w:rPr>
        <w:t>creening (HCS)</w:t>
      </w:r>
      <w:r w:rsidR="00EC533F">
        <w:rPr>
          <w:rFonts w:ascii="Arial" w:hAnsi="Arial" w:cs="Arial"/>
        </w:rPr>
        <w:t xml:space="preserve"> assay involve</w:t>
      </w:r>
      <w:r w:rsidR="009E1432">
        <w:rPr>
          <w:rFonts w:ascii="Arial" w:hAnsi="Arial" w:cs="Arial"/>
        </w:rPr>
        <w:t>s</w:t>
      </w:r>
      <w:r w:rsidR="00EC533F">
        <w:rPr>
          <w:rFonts w:ascii="Arial" w:hAnsi="Arial" w:cs="Arial"/>
        </w:rPr>
        <w:t xml:space="preserve"> </w:t>
      </w:r>
      <w:r w:rsidR="002623DE">
        <w:rPr>
          <w:rFonts w:ascii="Arial" w:hAnsi="Arial" w:cs="Arial"/>
        </w:rPr>
        <w:t xml:space="preserve">automated quantitative epifluorescence </w:t>
      </w:r>
      <w:r w:rsidR="00EC533F">
        <w:rPr>
          <w:rFonts w:ascii="Arial" w:hAnsi="Arial" w:cs="Arial"/>
        </w:rPr>
        <w:t>microscopy to monitor live cell</w:t>
      </w:r>
      <w:r w:rsidR="002623DE">
        <w:rPr>
          <w:rFonts w:ascii="Arial" w:hAnsi="Arial" w:cs="Arial"/>
        </w:rPr>
        <w:t>s</w:t>
      </w:r>
      <w:r w:rsidR="00EC533F">
        <w:rPr>
          <w:rFonts w:ascii="Arial" w:hAnsi="Arial" w:cs="Arial"/>
        </w:rPr>
        <w:t xml:space="preserve"> </w:t>
      </w:r>
      <w:r w:rsidR="002623DE" w:rsidRPr="00EC533F">
        <w:rPr>
          <w:rFonts w:ascii="Arial" w:hAnsi="Arial" w:cs="Arial"/>
          <w:i/>
        </w:rPr>
        <w:t>in vitro</w:t>
      </w:r>
      <w:r w:rsidR="002623DE">
        <w:rPr>
          <w:rFonts w:ascii="Arial" w:hAnsi="Arial" w:cs="Arial"/>
        </w:rPr>
        <w:t xml:space="preserve"> in real time</w:t>
      </w:r>
      <w:r w:rsidR="00B47C22">
        <w:rPr>
          <w:rFonts w:ascii="Arial" w:hAnsi="Arial" w:cs="Arial"/>
        </w:rPr>
        <w:t>, examining parameters such as p</w:t>
      </w:r>
      <w:r w:rsidR="000F3BFF">
        <w:rPr>
          <w:rFonts w:ascii="Arial" w:hAnsi="Arial" w:cs="Arial"/>
        </w:rPr>
        <w:t>lasma membrane permeability, nuclear size, cellular mitochondrial membrane potential, concentration of intracellular free calcium</w:t>
      </w:r>
      <w:r w:rsidR="00B47C22">
        <w:rPr>
          <w:rFonts w:ascii="Arial" w:hAnsi="Arial" w:cs="Arial"/>
        </w:rPr>
        <w:t xml:space="preserve"> and</w:t>
      </w:r>
      <w:r w:rsidR="000F3BFF">
        <w:rPr>
          <w:rFonts w:ascii="Arial" w:hAnsi="Arial" w:cs="Arial"/>
        </w:rPr>
        <w:t xml:space="preserve"> cell number. Cell number </w:t>
      </w:r>
      <w:r w:rsidR="00B47C22">
        <w:rPr>
          <w:rFonts w:ascii="Arial" w:hAnsi="Arial" w:cs="Arial"/>
        </w:rPr>
        <w:t xml:space="preserve">was the </w:t>
      </w:r>
      <w:r w:rsidR="000F3BFF">
        <w:rPr>
          <w:rFonts w:ascii="Arial" w:hAnsi="Arial" w:cs="Arial"/>
        </w:rPr>
        <w:t>first parameter to be affected in 56% of drugs testing positive for hepatotoxicity</w:t>
      </w:r>
      <w:r w:rsidR="00B47C22">
        <w:rPr>
          <w:rFonts w:ascii="Arial" w:hAnsi="Arial" w:cs="Arial"/>
        </w:rPr>
        <w:t>. Altered nuc</w:t>
      </w:r>
      <w:r w:rsidR="000F3BFF">
        <w:rPr>
          <w:rFonts w:ascii="Arial" w:hAnsi="Arial" w:cs="Arial"/>
        </w:rPr>
        <w:t xml:space="preserve">lear size </w:t>
      </w:r>
      <w:r w:rsidR="00B47C22">
        <w:rPr>
          <w:rFonts w:ascii="Arial" w:hAnsi="Arial" w:cs="Arial"/>
        </w:rPr>
        <w:t xml:space="preserve">was found to be the most precise, with changes caused by </w:t>
      </w:r>
      <w:r w:rsidR="000F3BFF">
        <w:rPr>
          <w:rFonts w:ascii="Arial" w:hAnsi="Arial" w:cs="Arial"/>
        </w:rPr>
        <w:t xml:space="preserve">70% of </w:t>
      </w:r>
      <w:r w:rsidR="00B47C22">
        <w:rPr>
          <w:rFonts w:ascii="Arial" w:hAnsi="Arial" w:cs="Arial"/>
        </w:rPr>
        <w:t xml:space="preserve">hepatotoxic </w:t>
      </w:r>
      <w:r w:rsidR="000F3BFF">
        <w:rPr>
          <w:rFonts w:ascii="Arial" w:hAnsi="Arial" w:cs="Arial"/>
        </w:rPr>
        <w:t>drugs</w:t>
      </w:r>
      <w:r w:rsidR="00B47C22">
        <w:rPr>
          <w:rFonts w:ascii="Arial" w:hAnsi="Arial" w:cs="Arial"/>
        </w:rPr>
        <w:t xml:space="preserve">. In many cases, this was seen </w:t>
      </w:r>
      <w:r w:rsidR="00B47C22">
        <w:rPr>
          <w:rFonts w:ascii="Arial" w:hAnsi="Arial" w:cs="Arial"/>
        </w:rPr>
        <w:lastRenderedPageBreak/>
        <w:t>as a significant decrease in nuclear size (up to 50%)</w:t>
      </w:r>
      <w:r w:rsidR="00115AB3">
        <w:rPr>
          <w:rFonts w:ascii="Arial" w:hAnsi="Arial" w:cs="Arial"/>
        </w:rPr>
        <w:t>;</w:t>
      </w:r>
      <w:r w:rsidR="00B47C22">
        <w:rPr>
          <w:rFonts w:ascii="Arial" w:hAnsi="Arial" w:cs="Arial"/>
        </w:rPr>
        <w:t xml:space="preserve"> however, a small increase was seen with some drugs, and even a 50% increase following acetaminophen exposure (O’Brien</w:t>
      </w:r>
      <w:r w:rsidR="002745E9">
        <w:rPr>
          <w:rFonts w:ascii="Arial" w:hAnsi="Arial" w:cs="Arial"/>
        </w:rPr>
        <w:t xml:space="preserve"> </w:t>
      </w:r>
      <w:r w:rsidR="002745E9" w:rsidRPr="002745E9">
        <w:rPr>
          <w:rFonts w:ascii="Arial" w:hAnsi="Arial" w:cs="Arial"/>
          <w:i/>
        </w:rPr>
        <w:t>et al</w:t>
      </w:r>
      <w:r w:rsidR="00B47C22" w:rsidRPr="002745E9">
        <w:rPr>
          <w:rFonts w:ascii="Arial" w:hAnsi="Arial" w:cs="Arial"/>
          <w:i/>
        </w:rPr>
        <w:t>,</w:t>
      </w:r>
      <w:r w:rsidR="00B47C22">
        <w:rPr>
          <w:rFonts w:ascii="Arial" w:hAnsi="Arial" w:cs="Arial"/>
        </w:rPr>
        <w:t xml:space="preserve"> 2006). </w:t>
      </w:r>
    </w:p>
    <w:p w:rsidR="000F3BFF" w:rsidRDefault="000F3BFF" w:rsidP="00521BFE">
      <w:pPr>
        <w:tabs>
          <w:tab w:val="left" w:pos="5445"/>
        </w:tabs>
        <w:rPr>
          <w:rFonts w:ascii="Arial" w:hAnsi="Arial" w:cs="Arial"/>
        </w:rPr>
      </w:pPr>
    </w:p>
    <w:p w:rsidR="00AB3594" w:rsidRDefault="002623DE" w:rsidP="00521BFE">
      <w:pPr>
        <w:tabs>
          <w:tab w:val="left" w:pos="5445"/>
        </w:tabs>
        <w:rPr>
          <w:rFonts w:ascii="Arial" w:hAnsi="Arial" w:cs="Arial"/>
        </w:rPr>
      </w:pPr>
      <w:r>
        <w:rPr>
          <w:rFonts w:ascii="Arial" w:hAnsi="Arial" w:cs="Arial"/>
        </w:rPr>
        <w:t>Th</w:t>
      </w:r>
      <w:r w:rsidR="00EC533F">
        <w:rPr>
          <w:rFonts w:ascii="Arial" w:hAnsi="Arial" w:cs="Arial"/>
        </w:rPr>
        <w:t xml:space="preserve">e </w:t>
      </w:r>
      <w:r w:rsidR="008E50E6">
        <w:rPr>
          <w:rFonts w:ascii="Arial" w:hAnsi="Arial" w:cs="Arial"/>
        </w:rPr>
        <w:t xml:space="preserve">assay </w:t>
      </w:r>
      <w:r>
        <w:rPr>
          <w:rFonts w:ascii="Arial" w:hAnsi="Arial" w:cs="Arial"/>
        </w:rPr>
        <w:t xml:space="preserve">was found to have </w:t>
      </w:r>
      <w:r w:rsidR="008E50E6">
        <w:rPr>
          <w:rFonts w:ascii="Arial" w:hAnsi="Arial" w:cs="Arial"/>
        </w:rPr>
        <w:t>greater than 90% concordance with human toxicity</w:t>
      </w:r>
      <w:r>
        <w:rPr>
          <w:rFonts w:ascii="Arial" w:hAnsi="Arial" w:cs="Arial"/>
        </w:rPr>
        <w:t xml:space="preserve"> and offer the potential for high throughput screening</w:t>
      </w:r>
      <w:r w:rsidR="008E50E6">
        <w:rPr>
          <w:rFonts w:ascii="Arial" w:hAnsi="Arial" w:cs="Arial"/>
        </w:rPr>
        <w:t xml:space="preserve">. Although the assay failed to detect some toxicities it does demonstrate the need </w:t>
      </w:r>
      <w:r w:rsidR="00EC533F">
        <w:rPr>
          <w:rFonts w:ascii="Arial" w:hAnsi="Arial" w:cs="Arial"/>
        </w:rPr>
        <w:t>and benefits of</w:t>
      </w:r>
      <w:r w:rsidR="008E50E6">
        <w:rPr>
          <w:rFonts w:ascii="Arial" w:hAnsi="Arial" w:cs="Arial"/>
        </w:rPr>
        <w:t xml:space="preserve"> continued research into </w:t>
      </w:r>
      <w:r w:rsidR="008E50E6" w:rsidRPr="00EC533F">
        <w:rPr>
          <w:rFonts w:ascii="Arial" w:hAnsi="Arial" w:cs="Arial"/>
          <w:i/>
        </w:rPr>
        <w:t>in vitro</w:t>
      </w:r>
      <w:r w:rsidR="008E50E6">
        <w:rPr>
          <w:rFonts w:ascii="Arial" w:hAnsi="Arial" w:cs="Arial"/>
        </w:rPr>
        <w:t xml:space="preserve"> toxicity testing methods as new technologies are developed and improved.</w:t>
      </w:r>
    </w:p>
    <w:p w:rsidR="00AB3594" w:rsidRDefault="00AB3594" w:rsidP="00521BFE">
      <w:pPr>
        <w:tabs>
          <w:tab w:val="left" w:pos="5445"/>
        </w:tabs>
        <w:rPr>
          <w:rFonts w:ascii="Arial" w:hAnsi="Arial" w:cs="Arial"/>
        </w:rPr>
      </w:pPr>
    </w:p>
    <w:p w:rsidR="005A74E7" w:rsidRDefault="003C6B8D" w:rsidP="00521BFE">
      <w:pPr>
        <w:tabs>
          <w:tab w:val="left" w:pos="5445"/>
        </w:tabs>
        <w:rPr>
          <w:rFonts w:ascii="Arial" w:hAnsi="Arial" w:cs="Arial"/>
        </w:rPr>
      </w:pPr>
      <w:r>
        <w:rPr>
          <w:rFonts w:ascii="Arial" w:hAnsi="Arial" w:cs="Arial"/>
        </w:rPr>
        <w:t>In addition to methods for toxicity testing a</w:t>
      </w:r>
      <w:r w:rsidR="00044647">
        <w:rPr>
          <w:rFonts w:ascii="Arial" w:hAnsi="Arial" w:cs="Arial"/>
        </w:rPr>
        <w:t xml:space="preserve">rguments for adapting </w:t>
      </w:r>
      <w:r w:rsidR="00324AEC">
        <w:rPr>
          <w:rFonts w:ascii="Arial" w:hAnsi="Arial" w:cs="Arial"/>
        </w:rPr>
        <w:t xml:space="preserve">the level of </w:t>
      </w:r>
      <w:r w:rsidR="00044647">
        <w:rPr>
          <w:rFonts w:ascii="Arial" w:hAnsi="Arial" w:cs="Arial"/>
        </w:rPr>
        <w:t>testing depending on the setting in which the pharmaceutical will be used could also be put forward. For example, in patients with a terminal illness it may be appropriate to minimise safety testing as the risks of toxicity events, particularly longer term are greatly reduced and may not outweigh possible clinical benefits.</w:t>
      </w:r>
    </w:p>
    <w:p w:rsidR="005A74E7" w:rsidRDefault="005A74E7" w:rsidP="00521BFE">
      <w:pPr>
        <w:tabs>
          <w:tab w:val="left" w:pos="5445"/>
        </w:tabs>
        <w:rPr>
          <w:rFonts w:ascii="Arial" w:hAnsi="Arial" w:cs="Arial"/>
        </w:rPr>
      </w:pPr>
    </w:p>
    <w:p w:rsidR="00E14CBC" w:rsidRDefault="00E14CBC" w:rsidP="00521BFE">
      <w:pPr>
        <w:tabs>
          <w:tab w:val="left" w:pos="5445"/>
        </w:tabs>
        <w:rPr>
          <w:rFonts w:ascii="Arial" w:hAnsi="Arial" w:cs="Arial"/>
          <w:b/>
        </w:rPr>
      </w:pPr>
    </w:p>
    <w:p w:rsidR="00E14CBC" w:rsidRDefault="00E14CBC" w:rsidP="00521BFE">
      <w:pPr>
        <w:tabs>
          <w:tab w:val="left" w:pos="5445"/>
        </w:tabs>
        <w:rPr>
          <w:rFonts w:ascii="Arial" w:hAnsi="Arial" w:cs="Arial"/>
          <w:b/>
        </w:rPr>
      </w:pPr>
      <w:r>
        <w:rPr>
          <w:rFonts w:ascii="Arial" w:hAnsi="Arial" w:cs="Arial"/>
          <w:b/>
        </w:rPr>
        <w:t>Conclusions</w:t>
      </w:r>
    </w:p>
    <w:p w:rsidR="00E14CBC" w:rsidRDefault="00E14CBC" w:rsidP="00521BFE">
      <w:pPr>
        <w:tabs>
          <w:tab w:val="left" w:pos="5445"/>
        </w:tabs>
        <w:rPr>
          <w:rFonts w:ascii="Arial" w:hAnsi="Arial" w:cs="Arial"/>
          <w:b/>
        </w:rPr>
      </w:pPr>
    </w:p>
    <w:p w:rsidR="00E14CBC" w:rsidRPr="00E14CBC" w:rsidRDefault="00E14CBC" w:rsidP="00521BFE">
      <w:pPr>
        <w:tabs>
          <w:tab w:val="left" w:pos="5445"/>
        </w:tabs>
        <w:rPr>
          <w:rFonts w:ascii="Arial" w:hAnsi="Arial" w:cs="Arial"/>
        </w:rPr>
      </w:pPr>
      <w:r w:rsidRPr="00E14CBC">
        <w:rPr>
          <w:rFonts w:ascii="Arial" w:hAnsi="Arial" w:cs="Arial"/>
        </w:rPr>
        <w:t xml:space="preserve">Much progress has been made both in </w:t>
      </w:r>
      <w:r w:rsidRPr="00E14CBC">
        <w:rPr>
          <w:rFonts w:ascii="Arial" w:hAnsi="Arial" w:cs="Arial"/>
          <w:i/>
        </w:rPr>
        <w:t>in vitro</w:t>
      </w:r>
      <w:r>
        <w:rPr>
          <w:rFonts w:ascii="Arial" w:hAnsi="Arial" w:cs="Arial"/>
        </w:rPr>
        <w:t xml:space="preserve"> and </w:t>
      </w:r>
      <w:r w:rsidRPr="00E14CBC">
        <w:rPr>
          <w:rFonts w:ascii="Arial" w:hAnsi="Arial" w:cs="Arial"/>
          <w:i/>
        </w:rPr>
        <w:t>in vivo</w:t>
      </w:r>
      <w:r>
        <w:rPr>
          <w:rFonts w:ascii="Arial" w:hAnsi="Arial" w:cs="Arial"/>
        </w:rPr>
        <w:t xml:space="preserve"> toxicity testing. Following the 3R’s principle, numbers of animals involved in testing have been greatly reduced and as increased knowledge of toxicity has been gained, methods of testing have been improved. Additionally, developments in technology have and are currently enabling the introduction of increasingly specific and sensitive </w:t>
      </w:r>
      <w:r w:rsidRPr="00E14CBC">
        <w:rPr>
          <w:rFonts w:ascii="Arial" w:hAnsi="Arial" w:cs="Arial"/>
          <w:i/>
        </w:rPr>
        <w:t>in vitro</w:t>
      </w:r>
      <w:r>
        <w:rPr>
          <w:rFonts w:ascii="Arial" w:hAnsi="Arial" w:cs="Arial"/>
        </w:rPr>
        <w:t xml:space="preserve"> alternatives.</w:t>
      </w:r>
    </w:p>
    <w:p w:rsidR="00E14CBC" w:rsidRDefault="00E14CBC" w:rsidP="00521BFE">
      <w:pPr>
        <w:tabs>
          <w:tab w:val="left" w:pos="5445"/>
        </w:tabs>
        <w:rPr>
          <w:rFonts w:ascii="Arial" w:hAnsi="Arial" w:cs="Arial"/>
        </w:rPr>
      </w:pPr>
    </w:p>
    <w:p w:rsidR="007F1DFB" w:rsidRDefault="007F1DFB" w:rsidP="00521BFE">
      <w:pPr>
        <w:tabs>
          <w:tab w:val="left" w:pos="5445"/>
        </w:tabs>
        <w:rPr>
          <w:rFonts w:ascii="Arial" w:hAnsi="Arial" w:cs="Arial"/>
        </w:rPr>
      </w:pPr>
      <w:r>
        <w:rPr>
          <w:rFonts w:ascii="Arial" w:hAnsi="Arial" w:cs="Arial"/>
        </w:rPr>
        <w:t>In conclusion</w:t>
      </w:r>
      <w:r w:rsidR="00324AEC">
        <w:rPr>
          <w:rFonts w:ascii="Arial" w:hAnsi="Arial" w:cs="Arial"/>
        </w:rPr>
        <w:t xml:space="preserve">, </w:t>
      </w:r>
      <w:r w:rsidR="009E1432">
        <w:rPr>
          <w:rFonts w:ascii="Arial" w:hAnsi="Arial" w:cs="Arial"/>
        </w:rPr>
        <w:t xml:space="preserve">currently there is still a place for animal testing within </w:t>
      </w:r>
      <w:r w:rsidR="008B69FD">
        <w:rPr>
          <w:rFonts w:ascii="Arial" w:hAnsi="Arial" w:cs="Arial"/>
        </w:rPr>
        <w:t xml:space="preserve">the </w:t>
      </w:r>
      <w:r w:rsidR="009E1432">
        <w:rPr>
          <w:rFonts w:ascii="Arial" w:hAnsi="Arial" w:cs="Arial"/>
        </w:rPr>
        <w:t xml:space="preserve">toxicity </w:t>
      </w:r>
      <w:r w:rsidR="008B69FD">
        <w:rPr>
          <w:rFonts w:ascii="Arial" w:hAnsi="Arial" w:cs="Arial"/>
        </w:rPr>
        <w:t>setting</w:t>
      </w:r>
      <w:r w:rsidR="009E1432">
        <w:rPr>
          <w:rFonts w:ascii="Arial" w:hAnsi="Arial" w:cs="Arial"/>
        </w:rPr>
        <w:t xml:space="preserve">, with a </w:t>
      </w:r>
      <w:r w:rsidR="008B69FD">
        <w:rPr>
          <w:rFonts w:ascii="Arial" w:hAnsi="Arial" w:cs="Arial"/>
        </w:rPr>
        <w:t>well documented</w:t>
      </w:r>
      <w:r w:rsidR="009E1432">
        <w:rPr>
          <w:rFonts w:ascii="Arial" w:hAnsi="Arial" w:cs="Arial"/>
        </w:rPr>
        <w:t xml:space="preserve"> history and providing opportunity to study the entire organism. However, many alternative </w:t>
      </w:r>
      <w:r w:rsidR="009E1432" w:rsidRPr="009E1432">
        <w:rPr>
          <w:rFonts w:ascii="Arial" w:hAnsi="Arial" w:cs="Arial"/>
          <w:i/>
        </w:rPr>
        <w:t>in vitro</w:t>
      </w:r>
      <w:r w:rsidR="009E1432">
        <w:rPr>
          <w:rFonts w:ascii="Arial" w:hAnsi="Arial" w:cs="Arial"/>
        </w:rPr>
        <w:t xml:space="preserve"> methods are now available and in development and whilst not currently a complete replacement for animal testing, can be used </w:t>
      </w:r>
      <w:r w:rsidR="00CA59AF">
        <w:rPr>
          <w:rFonts w:ascii="Arial" w:hAnsi="Arial" w:cs="Arial"/>
        </w:rPr>
        <w:t xml:space="preserve">prior to </w:t>
      </w:r>
      <w:r w:rsidR="009E1432">
        <w:rPr>
          <w:rFonts w:ascii="Arial" w:hAnsi="Arial" w:cs="Arial"/>
        </w:rPr>
        <w:t xml:space="preserve">and in some cases to complement. With growing developments in knowledge and technology, </w:t>
      </w:r>
      <w:r w:rsidR="009E1432" w:rsidRPr="009E1432">
        <w:rPr>
          <w:rFonts w:ascii="Arial" w:hAnsi="Arial" w:cs="Arial"/>
          <w:i/>
        </w:rPr>
        <w:t>in vitro</w:t>
      </w:r>
      <w:r w:rsidR="009E1432">
        <w:rPr>
          <w:rFonts w:ascii="Arial" w:hAnsi="Arial" w:cs="Arial"/>
        </w:rPr>
        <w:t xml:space="preserve"> tests should become more predictive of the </w:t>
      </w:r>
      <w:r w:rsidR="009E1432" w:rsidRPr="009E1432">
        <w:rPr>
          <w:rFonts w:ascii="Arial" w:hAnsi="Arial" w:cs="Arial"/>
          <w:i/>
        </w:rPr>
        <w:t>in vivo</w:t>
      </w:r>
      <w:r w:rsidR="009E1432">
        <w:rPr>
          <w:rFonts w:ascii="Arial" w:hAnsi="Arial" w:cs="Arial"/>
        </w:rPr>
        <w:t xml:space="preserve"> situation and should be used wherever possible, although care must be taken to consider possible limitations of models used.</w:t>
      </w:r>
    </w:p>
    <w:p w:rsidR="009E1432" w:rsidRDefault="009E1432" w:rsidP="00521BFE">
      <w:pPr>
        <w:tabs>
          <w:tab w:val="left" w:pos="5445"/>
        </w:tabs>
        <w:rPr>
          <w:rFonts w:ascii="Arial" w:hAnsi="Arial" w:cs="Arial"/>
        </w:rPr>
      </w:pPr>
    </w:p>
    <w:p w:rsidR="005D2367" w:rsidRDefault="005D2367" w:rsidP="00521BFE">
      <w:pPr>
        <w:tabs>
          <w:tab w:val="left" w:pos="5445"/>
        </w:tabs>
        <w:rPr>
          <w:rFonts w:ascii="Arial" w:hAnsi="Arial" w:cs="Arial"/>
          <w:b/>
        </w:rPr>
      </w:pPr>
    </w:p>
    <w:p w:rsidR="005A74E7" w:rsidRPr="005A74E7" w:rsidRDefault="005A74E7" w:rsidP="00521BFE">
      <w:pPr>
        <w:tabs>
          <w:tab w:val="left" w:pos="5445"/>
        </w:tabs>
        <w:rPr>
          <w:rFonts w:ascii="Arial" w:hAnsi="Arial" w:cs="Arial"/>
          <w:b/>
        </w:rPr>
      </w:pPr>
      <w:r w:rsidRPr="005A74E7">
        <w:rPr>
          <w:rFonts w:ascii="Arial" w:hAnsi="Arial" w:cs="Arial"/>
          <w:b/>
        </w:rPr>
        <w:t>References:</w:t>
      </w:r>
    </w:p>
    <w:p w:rsidR="00FA4F59" w:rsidRDefault="00FA4F59" w:rsidP="005A74E7">
      <w:pPr>
        <w:autoSpaceDE w:val="0"/>
        <w:autoSpaceDN w:val="0"/>
        <w:adjustRightInd w:val="0"/>
        <w:rPr>
          <w:rFonts w:ascii="Arial" w:hAnsi="Arial" w:cs="Arial"/>
        </w:rPr>
      </w:pPr>
    </w:p>
    <w:p w:rsidR="00587EC3" w:rsidRDefault="00587EC3" w:rsidP="005A74E7">
      <w:pPr>
        <w:autoSpaceDE w:val="0"/>
        <w:autoSpaceDN w:val="0"/>
        <w:adjustRightInd w:val="0"/>
        <w:rPr>
          <w:rFonts w:ascii="Arial" w:hAnsi="Arial" w:cs="Arial"/>
        </w:rPr>
      </w:pPr>
      <w:smartTag w:uri="urn:schemas-microsoft-com:office:smarttags" w:element="City">
        <w:r>
          <w:rPr>
            <w:rFonts w:ascii="Arial" w:hAnsi="Arial" w:cs="Arial"/>
          </w:rPr>
          <w:t>Aden</w:t>
        </w:r>
      </w:smartTag>
      <w:r>
        <w:rPr>
          <w:rFonts w:ascii="Arial" w:hAnsi="Arial" w:cs="Arial"/>
        </w:rPr>
        <w:t xml:space="preserve">, D.P., Fogel, A., Plotkin, S., Damjanov, </w:t>
      </w:r>
      <w:smartTag w:uri="urn:schemas-microsoft-com:office:smarttags" w:element="place">
        <w:r>
          <w:rPr>
            <w:rFonts w:ascii="Arial" w:hAnsi="Arial" w:cs="Arial"/>
          </w:rPr>
          <w:t>I.</w:t>
        </w:r>
      </w:smartTag>
      <w:r>
        <w:rPr>
          <w:rFonts w:ascii="Arial" w:hAnsi="Arial" w:cs="Arial"/>
        </w:rPr>
        <w:t xml:space="preserve"> and Knowles, B.B., (1979). Controlled synthesis of HBsAg in a differentiated human liver carcinoma-derived cell line. </w:t>
      </w:r>
      <w:r w:rsidRPr="00587EC3">
        <w:rPr>
          <w:rFonts w:ascii="Arial" w:hAnsi="Arial" w:cs="Arial"/>
          <w:i/>
        </w:rPr>
        <w:t>Nature.</w:t>
      </w:r>
      <w:r>
        <w:rPr>
          <w:rFonts w:ascii="Arial" w:hAnsi="Arial" w:cs="Arial"/>
        </w:rPr>
        <w:t xml:space="preserve"> </w:t>
      </w:r>
      <w:r w:rsidRPr="00587EC3">
        <w:rPr>
          <w:rFonts w:ascii="Arial" w:hAnsi="Arial" w:cs="Arial"/>
          <w:b/>
        </w:rPr>
        <w:t>282</w:t>
      </w:r>
      <w:r>
        <w:rPr>
          <w:rFonts w:ascii="Arial" w:hAnsi="Arial" w:cs="Arial"/>
        </w:rPr>
        <w:t>:615-616</w:t>
      </w:r>
    </w:p>
    <w:p w:rsidR="00587EC3" w:rsidRDefault="00587EC3" w:rsidP="005A74E7">
      <w:pPr>
        <w:autoSpaceDE w:val="0"/>
        <w:autoSpaceDN w:val="0"/>
        <w:adjustRightInd w:val="0"/>
        <w:rPr>
          <w:rFonts w:ascii="Arial" w:hAnsi="Arial" w:cs="Arial"/>
        </w:rPr>
      </w:pPr>
    </w:p>
    <w:p w:rsidR="00FA4F59" w:rsidRDefault="00FA4F59" w:rsidP="005A74E7">
      <w:pPr>
        <w:autoSpaceDE w:val="0"/>
        <w:autoSpaceDN w:val="0"/>
        <w:adjustRightInd w:val="0"/>
        <w:rPr>
          <w:rFonts w:ascii="Arial" w:hAnsi="Arial" w:cs="Arial"/>
        </w:rPr>
      </w:pPr>
      <w:r>
        <w:rPr>
          <w:rFonts w:ascii="Arial" w:hAnsi="Arial" w:cs="Arial"/>
        </w:rPr>
        <w:t>Afsharian, P., Terelius, Y., Hassan, Z.</w:t>
      </w:r>
      <w:r w:rsidRPr="00FA4F59">
        <w:rPr>
          <w:rFonts w:ascii="Arial" w:hAnsi="Arial" w:cs="Arial"/>
          <w:i/>
        </w:rPr>
        <w:t xml:space="preserve">, et al., </w:t>
      </w:r>
      <w:r>
        <w:rPr>
          <w:rFonts w:ascii="Arial" w:hAnsi="Arial" w:cs="Arial"/>
        </w:rPr>
        <w:t xml:space="preserve">(2007). The Effect of Repeated Administration of Cyclophosphamide P450 2B in Rats. </w:t>
      </w:r>
      <w:r w:rsidRPr="00FA4F59">
        <w:rPr>
          <w:rFonts w:ascii="Arial" w:hAnsi="Arial" w:cs="Arial"/>
          <w:i/>
        </w:rPr>
        <w:t xml:space="preserve">Clinical Cancer Research. </w:t>
      </w:r>
      <w:r w:rsidRPr="00FA4F59">
        <w:rPr>
          <w:rFonts w:ascii="Arial" w:hAnsi="Arial" w:cs="Arial"/>
          <w:b/>
        </w:rPr>
        <w:t>13</w:t>
      </w:r>
      <w:r>
        <w:rPr>
          <w:rFonts w:ascii="Arial" w:hAnsi="Arial" w:cs="Arial"/>
        </w:rPr>
        <w:t>(14):4218-4224</w:t>
      </w:r>
    </w:p>
    <w:p w:rsidR="00FA4F59" w:rsidRDefault="00FA4F59" w:rsidP="005A74E7">
      <w:pPr>
        <w:autoSpaceDE w:val="0"/>
        <w:autoSpaceDN w:val="0"/>
        <w:adjustRightInd w:val="0"/>
        <w:rPr>
          <w:rFonts w:ascii="Arial" w:hAnsi="Arial" w:cs="Arial"/>
        </w:rPr>
      </w:pPr>
    </w:p>
    <w:p w:rsidR="00114786" w:rsidRDefault="00114786" w:rsidP="005A74E7">
      <w:pPr>
        <w:autoSpaceDE w:val="0"/>
        <w:autoSpaceDN w:val="0"/>
        <w:adjustRightInd w:val="0"/>
        <w:rPr>
          <w:rFonts w:ascii="Arial" w:hAnsi="Arial" w:cs="Arial"/>
        </w:rPr>
      </w:pPr>
      <w:smartTag w:uri="urn:schemas-microsoft-com:office:smarttags" w:element="place">
        <w:smartTag w:uri="urn:schemas-microsoft-com:office:smarttags" w:element="City">
          <w:r>
            <w:rPr>
              <w:rFonts w:ascii="Arial" w:hAnsi="Arial" w:cs="Arial"/>
            </w:rPr>
            <w:t>Brandon</w:t>
          </w:r>
        </w:smartTag>
      </w:smartTag>
      <w:r>
        <w:rPr>
          <w:rFonts w:ascii="Arial" w:hAnsi="Arial" w:cs="Arial"/>
        </w:rPr>
        <w:t xml:space="preserve">, E.F.A., Bosch, T.M., Deene, M.J., </w:t>
      </w:r>
      <w:r w:rsidRPr="006B35D5">
        <w:rPr>
          <w:rFonts w:ascii="Arial" w:hAnsi="Arial" w:cs="Arial"/>
          <w:i/>
        </w:rPr>
        <w:t>et al.,</w:t>
      </w:r>
      <w:r>
        <w:rPr>
          <w:rFonts w:ascii="Arial" w:hAnsi="Arial" w:cs="Arial"/>
        </w:rPr>
        <w:t xml:space="preserve"> (2006). Validation of </w:t>
      </w:r>
      <w:r w:rsidRPr="0022185B">
        <w:rPr>
          <w:rFonts w:ascii="Arial" w:hAnsi="Arial" w:cs="Arial"/>
          <w:i/>
        </w:rPr>
        <w:t>in vitro</w:t>
      </w:r>
      <w:r>
        <w:rPr>
          <w:rFonts w:ascii="Arial" w:hAnsi="Arial" w:cs="Arial"/>
        </w:rPr>
        <w:t xml:space="preserve"> cell models used in drug metabolism and transport studies; genotyping of </w:t>
      </w:r>
      <w:r>
        <w:rPr>
          <w:rFonts w:ascii="Arial" w:hAnsi="Arial" w:cs="Arial"/>
        </w:rPr>
        <w:lastRenderedPageBreak/>
        <w:t xml:space="preserve">cytochrome P450, phase II enzymes and drug transporter polymorphisms in the human hepatoma (HepG2), ovarian carcinoma (IGROV-1) and colon carcinoma (CaCo-2, LS180) cell lines. </w:t>
      </w:r>
      <w:r w:rsidRPr="006B35D5">
        <w:rPr>
          <w:rFonts w:ascii="Arial" w:hAnsi="Arial" w:cs="Arial"/>
          <w:i/>
        </w:rPr>
        <w:t>Toxicology and Applied Pharmacology</w:t>
      </w:r>
      <w:r>
        <w:rPr>
          <w:rFonts w:ascii="Arial" w:hAnsi="Arial" w:cs="Arial"/>
        </w:rPr>
        <w:t xml:space="preserve">. </w:t>
      </w:r>
      <w:r w:rsidR="006B35D5" w:rsidRPr="006B35D5">
        <w:rPr>
          <w:rFonts w:ascii="Arial" w:hAnsi="Arial" w:cs="Arial"/>
          <w:b/>
        </w:rPr>
        <w:t>211</w:t>
      </w:r>
      <w:r w:rsidR="006B35D5">
        <w:rPr>
          <w:rFonts w:ascii="Arial" w:hAnsi="Arial" w:cs="Arial"/>
        </w:rPr>
        <w:t>:1-10</w:t>
      </w:r>
    </w:p>
    <w:p w:rsidR="00114786" w:rsidRDefault="00114786" w:rsidP="005A74E7">
      <w:pPr>
        <w:autoSpaceDE w:val="0"/>
        <w:autoSpaceDN w:val="0"/>
        <w:adjustRightInd w:val="0"/>
        <w:rPr>
          <w:rFonts w:ascii="Arial" w:hAnsi="Arial" w:cs="Arial"/>
        </w:rPr>
      </w:pPr>
    </w:p>
    <w:p w:rsidR="00FA4F59" w:rsidRDefault="00FA4F59" w:rsidP="005A74E7">
      <w:pPr>
        <w:autoSpaceDE w:val="0"/>
        <w:autoSpaceDN w:val="0"/>
        <w:adjustRightInd w:val="0"/>
        <w:rPr>
          <w:rFonts w:ascii="Arial" w:hAnsi="Arial" w:cs="Arial"/>
        </w:rPr>
      </w:pPr>
      <w:r>
        <w:rPr>
          <w:rFonts w:ascii="Arial" w:hAnsi="Arial" w:cs="Arial"/>
        </w:rPr>
        <w:t xml:space="preserve">Deutsch, W.A., Kukreja, A., Shane, B., </w:t>
      </w:r>
      <w:r w:rsidRPr="00FA4F59">
        <w:rPr>
          <w:rFonts w:ascii="Arial" w:hAnsi="Arial" w:cs="Arial"/>
          <w:i/>
        </w:rPr>
        <w:t>et al.,</w:t>
      </w:r>
      <w:r>
        <w:rPr>
          <w:rFonts w:ascii="Arial" w:hAnsi="Arial" w:cs="Arial"/>
        </w:rPr>
        <w:t xml:space="preserve"> (2001). Phenobarbital, oxazepam and Wyeth 14,643 cause DNA damage as measured by the Comet assay. </w:t>
      </w:r>
      <w:r w:rsidRPr="00FA4F59">
        <w:rPr>
          <w:rFonts w:ascii="Arial" w:hAnsi="Arial" w:cs="Arial"/>
          <w:i/>
        </w:rPr>
        <w:t>Mutagenesis.</w:t>
      </w:r>
      <w:r>
        <w:rPr>
          <w:rFonts w:ascii="Arial" w:hAnsi="Arial" w:cs="Arial"/>
        </w:rPr>
        <w:t xml:space="preserve"> </w:t>
      </w:r>
      <w:r w:rsidRPr="00FA4F59">
        <w:rPr>
          <w:rFonts w:ascii="Arial" w:hAnsi="Arial" w:cs="Arial"/>
          <w:b/>
        </w:rPr>
        <w:t>16</w:t>
      </w:r>
      <w:r>
        <w:rPr>
          <w:rFonts w:ascii="Arial" w:hAnsi="Arial" w:cs="Arial"/>
        </w:rPr>
        <w:t>(5):439-442</w:t>
      </w:r>
    </w:p>
    <w:p w:rsidR="00FA4F59" w:rsidRDefault="00FA4F59" w:rsidP="005A74E7">
      <w:pPr>
        <w:autoSpaceDE w:val="0"/>
        <w:autoSpaceDN w:val="0"/>
        <w:adjustRightInd w:val="0"/>
        <w:rPr>
          <w:rFonts w:ascii="Arial" w:hAnsi="Arial" w:cs="Arial"/>
        </w:rPr>
      </w:pPr>
    </w:p>
    <w:p w:rsidR="006D78FD" w:rsidRDefault="00EE2107" w:rsidP="005A74E7">
      <w:pPr>
        <w:autoSpaceDE w:val="0"/>
        <w:autoSpaceDN w:val="0"/>
        <w:adjustRightInd w:val="0"/>
        <w:rPr>
          <w:rFonts w:ascii="Arial" w:hAnsi="Arial" w:cs="Arial"/>
        </w:rPr>
      </w:pPr>
      <w:r>
        <w:rPr>
          <w:rFonts w:ascii="Arial" w:hAnsi="Arial" w:cs="Arial"/>
        </w:rPr>
        <w:t xml:space="preserve">Fabre, N., Arrivet, E., Trancard, J., </w:t>
      </w:r>
      <w:r w:rsidRPr="00EE2107">
        <w:rPr>
          <w:rFonts w:ascii="Arial" w:hAnsi="Arial" w:cs="Arial"/>
          <w:i/>
        </w:rPr>
        <w:t>et al.,</w:t>
      </w:r>
      <w:r>
        <w:rPr>
          <w:rFonts w:ascii="Arial" w:hAnsi="Arial" w:cs="Arial"/>
        </w:rPr>
        <w:t xml:space="preserve"> (2003). A new hepatoma cell line for toxicity testing at repeated doses. </w:t>
      </w:r>
      <w:r w:rsidRPr="00EE2107">
        <w:rPr>
          <w:rFonts w:ascii="Arial" w:hAnsi="Arial" w:cs="Arial"/>
          <w:i/>
        </w:rPr>
        <w:t>Cell Biology and Toxicology.</w:t>
      </w:r>
      <w:r>
        <w:rPr>
          <w:rFonts w:ascii="Arial" w:hAnsi="Arial" w:cs="Arial"/>
        </w:rPr>
        <w:t xml:space="preserve"> </w:t>
      </w:r>
      <w:r w:rsidRPr="000B5A4F">
        <w:rPr>
          <w:rFonts w:ascii="Arial" w:hAnsi="Arial" w:cs="Arial"/>
          <w:b/>
        </w:rPr>
        <w:t>19</w:t>
      </w:r>
      <w:r>
        <w:rPr>
          <w:rFonts w:ascii="Arial" w:hAnsi="Arial" w:cs="Arial"/>
        </w:rPr>
        <w:t>:71-82</w:t>
      </w:r>
    </w:p>
    <w:p w:rsidR="006D78FD" w:rsidRDefault="006D78FD" w:rsidP="005A74E7">
      <w:pPr>
        <w:autoSpaceDE w:val="0"/>
        <w:autoSpaceDN w:val="0"/>
        <w:adjustRightInd w:val="0"/>
        <w:rPr>
          <w:rFonts w:ascii="Arial" w:hAnsi="Arial" w:cs="Arial"/>
        </w:rPr>
      </w:pPr>
    </w:p>
    <w:p w:rsidR="00442A94" w:rsidRDefault="00442A94" w:rsidP="005A74E7">
      <w:pPr>
        <w:autoSpaceDE w:val="0"/>
        <w:autoSpaceDN w:val="0"/>
        <w:adjustRightInd w:val="0"/>
        <w:rPr>
          <w:rFonts w:ascii="Arial" w:hAnsi="Arial" w:cs="Arial"/>
        </w:rPr>
      </w:pPr>
      <w:r>
        <w:rPr>
          <w:rFonts w:ascii="Arial" w:hAnsi="Arial" w:cs="Arial"/>
        </w:rPr>
        <w:t xml:space="preserve">Freeman, J.L., Perry, G.H., Feuk, L., </w:t>
      </w:r>
      <w:r w:rsidRPr="00442A94">
        <w:rPr>
          <w:rFonts w:ascii="Arial" w:hAnsi="Arial" w:cs="Arial"/>
          <w:i/>
        </w:rPr>
        <w:t>et al.,</w:t>
      </w:r>
      <w:r>
        <w:rPr>
          <w:rFonts w:ascii="Arial" w:hAnsi="Arial" w:cs="Arial"/>
        </w:rPr>
        <w:t xml:space="preserve"> (2006). Copy number variation: New insights in genome diversity. </w:t>
      </w:r>
      <w:r w:rsidRPr="00442A94">
        <w:rPr>
          <w:rFonts w:ascii="Arial" w:hAnsi="Arial" w:cs="Arial"/>
          <w:i/>
        </w:rPr>
        <w:t>Genome Research.</w:t>
      </w:r>
      <w:r>
        <w:rPr>
          <w:rFonts w:ascii="Arial" w:hAnsi="Arial" w:cs="Arial"/>
        </w:rPr>
        <w:t xml:space="preserve"> </w:t>
      </w:r>
      <w:r w:rsidRPr="00442A94">
        <w:rPr>
          <w:rFonts w:ascii="Arial" w:hAnsi="Arial" w:cs="Arial"/>
          <w:b/>
        </w:rPr>
        <w:t>16</w:t>
      </w:r>
      <w:r>
        <w:rPr>
          <w:rFonts w:ascii="Arial" w:hAnsi="Arial" w:cs="Arial"/>
        </w:rPr>
        <w:t>:949-961</w:t>
      </w:r>
    </w:p>
    <w:p w:rsidR="00442A94" w:rsidRDefault="00442A94" w:rsidP="005A74E7">
      <w:pPr>
        <w:autoSpaceDE w:val="0"/>
        <w:autoSpaceDN w:val="0"/>
        <w:adjustRightInd w:val="0"/>
        <w:rPr>
          <w:rFonts w:ascii="Arial" w:hAnsi="Arial" w:cs="Arial"/>
        </w:rPr>
      </w:pPr>
    </w:p>
    <w:p w:rsidR="0056023C" w:rsidRDefault="0056023C" w:rsidP="005A74E7">
      <w:pPr>
        <w:autoSpaceDE w:val="0"/>
        <w:autoSpaceDN w:val="0"/>
        <w:adjustRightInd w:val="0"/>
        <w:rPr>
          <w:rFonts w:ascii="Arial" w:hAnsi="Arial" w:cs="Arial"/>
        </w:rPr>
      </w:pPr>
      <w:smartTag w:uri="urn:schemas-microsoft-com:office:smarttags" w:element="place">
        <w:smartTag w:uri="urn:schemas-microsoft-com:office:smarttags" w:element="City">
          <w:r>
            <w:rPr>
              <w:rFonts w:ascii="Arial" w:hAnsi="Arial" w:cs="Arial"/>
            </w:rPr>
            <w:t>Hewitt</w:t>
          </w:r>
        </w:smartTag>
        <w:r>
          <w:rPr>
            <w:rFonts w:ascii="Arial" w:hAnsi="Arial" w:cs="Arial"/>
          </w:rPr>
          <w:t xml:space="preserve">, </w:t>
        </w:r>
        <w:smartTag w:uri="urn:schemas-microsoft-com:office:smarttags" w:element="State">
          <w:r>
            <w:rPr>
              <w:rFonts w:ascii="Arial" w:hAnsi="Arial" w:cs="Arial"/>
            </w:rPr>
            <w:t>N.J.</w:t>
          </w:r>
        </w:smartTag>
      </w:smartTag>
      <w:r>
        <w:rPr>
          <w:rFonts w:ascii="Arial" w:hAnsi="Arial" w:cs="Arial"/>
        </w:rPr>
        <w:t xml:space="preserve"> and Hewitt, P., (2004). Phase I and II enzyme characterisation of two sources of HepG2 cell lines. </w:t>
      </w:r>
      <w:r w:rsidRPr="0056023C">
        <w:rPr>
          <w:rFonts w:ascii="Arial" w:hAnsi="Arial" w:cs="Arial"/>
          <w:i/>
        </w:rPr>
        <w:t>Xenobiotica.</w:t>
      </w:r>
      <w:r>
        <w:rPr>
          <w:rFonts w:ascii="Arial" w:hAnsi="Arial" w:cs="Arial"/>
        </w:rPr>
        <w:t xml:space="preserve"> </w:t>
      </w:r>
      <w:r w:rsidRPr="0056023C">
        <w:rPr>
          <w:rFonts w:ascii="Arial" w:hAnsi="Arial" w:cs="Arial"/>
          <w:b/>
        </w:rPr>
        <w:t>34</w:t>
      </w:r>
      <w:r>
        <w:rPr>
          <w:rFonts w:ascii="Arial" w:hAnsi="Arial" w:cs="Arial"/>
        </w:rPr>
        <w:t>(3):243-256</w:t>
      </w:r>
    </w:p>
    <w:p w:rsidR="0056023C" w:rsidRDefault="0056023C" w:rsidP="005A74E7">
      <w:pPr>
        <w:autoSpaceDE w:val="0"/>
        <w:autoSpaceDN w:val="0"/>
        <w:adjustRightInd w:val="0"/>
        <w:rPr>
          <w:rFonts w:ascii="Arial" w:hAnsi="Arial" w:cs="Arial"/>
        </w:rPr>
      </w:pPr>
    </w:p>
    <w:p w:rsidR="0017393A" w:rsidRDefault="0017393A" w:rsidP="005A74E7">
      <w:pPr>
        <w:autoSpaceDE w:val="0"/>
        <w:autoSpaceDN w:val="0"/>
        <w:adjustRightInd w:val="0"/>
        <w:rPr>
          <w:rFonts w:ascii="Arial" w:hAnsi="Arial" w:cs="Arial"/>
        </w:rPr>
      </w:pPr>
      <w:r>
        <w:rPr>
          <w:rFonts w:ascii="Arial" w:hAnsi="Arial" w:cs="Arial"/>
        </w:rPr>
        <w:t>Home Office Statistics of Scientific Procedures on Living Animals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 xml:space="preserve">) (2007). </w:t>
      </w:r>
      <w:r w:rsidRPr="008E5185">
        <w:rPr>
          <w:rFonts w:ascii="Arial" w:hAnsi="Arial" w:cs="Arial"/>
        </w:rPr>
        <w:t xml:space="preserve">Available from </w:t>
      </w:r>
      <w:hyperlink r:id="rId8" w:history="1">
        <w:r w:rsidR="008E5185" w:rsidRPr="009451DE">
          <w:rPr>
            <w:rStyle w:val="Hyperlink"/>
            <w:rFonts w:ascii="Arial" w:hAnsi="Arial" w:cs="Arial"/>
          </w:rPr>
          <w:t>http://scienceandresearch.homeoffice.gov.uk/animal-research/publications-and-reference/statistics/</w:t>
        </w:r>
      </w:hyperlink>
      <w:r w:rsidR="008E5185">
        <w:rPr>
          <w:rFonts w:ascii="Arial" w:hAnsi="Arial" w:cs="Arial"/>
        </w:rPr>
        <w:t>. [Accessed 22/09/08]</w:t>
      </w:r>
    </w:p>
    <w:p w:rsidR="0017393A" w:rsidRDefault="0017393A" w:rsidP="005A74E7">
      <w:pPr>
        <w:autoSpaceDE w:val="0"/>
        <w:autoSpaceDN w:val="0"/>
        <w:adjustRightInd w:val="0"/>
        <w:rPr>
          <w:rFonts w:ascii="Arial" w:hAnsi="Arial" w:cs="Arial"/>
        </w:rPr>
      </w:pPr>
    </w:p>
    <w:p w:rsidR="005A74E7" w:rsidRDefault="005A74E7" w:rsidP="005A74E7">
      <w:pPr>
        <w:autoSpaceDE w:val="0"/>
        <w:autoSpaceDN w:val="0"/>
        <w:adjustRightInd w:val="0"/>
        <w:rPr>
          <w:rFonts w:ascii="AdvPSA324" w:hAnsi="AdvPSA324" w:cs="AdvPSA324"/>
          <w:sz w:val="20"/>
          <w:szCs w:val="20"/>
        </w:rPr>
      </w:pPr>
      <w:r>
        <w:rPr>
          <w:rFonts w:ascii="Arial" w:hAnsi="Arial" w:cs="Arial"/>
        </w:rPr>
        <w:t xml:space="preserve">Ingelman-Sundberg, M. and Rodriguez-Antona, C., (2005). Pharmacogenetics of drug-metabolizing enzymes:implications for a safer and more effective drug therapy. </w:t>
      </w:r>
      <w:r w:rsidRPr="005A74E7">
        <w:rPr>
          <w:rFonts w:ascii="Arial" w:hAnsi="Arial" w:cs="Arial"/>
          <w:i/>
        </w:rPr>
        <w:t>Philosophical Transactions of the Royal Society B</w:t>
      </w:r>
      <w:r>
        <w:rPr>
          <w:rFonts w:ascii="Arial" w:hAnsi="Arial" w:cs="Arial"/>
        </w:rPr>
        <w:t xml:space="preserve">. </w:t>
      </w:r>
      <w:r w:rsidRPr="005A74E7">
        <w:rPr>
          <w:rFonts w:ascii="Arial" w:hAnsi="Arial" w:cs="Arial"/>
          <w:b/>
        </w:rPr>
        <w:t>360</w:t>
      </w:r>
      <w:r>
        <w:rPr>
          <w:rFonts w:ascii="Arial" w:hAnsi="Arial" w:cs="Arial"/>
        </w:rPr>
        <w:t xml:space="preserve">:1563-1570 </w:t>
      </w:r>
      <w:r w:rsidRPr="005A74E7">
        <w:rPr>
          <w:rFonts w:ascii="AdvPSA324" w:hAnsi="AdvPSA324" w:cs="AdvPSA324"/>
          <w:sz w:val="36"/>
          <w:szCs w:val="36"/>
        </w:rPr>
        <w:t xml:space="preserve"> </w:t>
      </w:r>
    </w:p>
    <w:p w:rsidR="0017393A" w:rsidRDefault="0017393A" w:rsidP="00521BFE">
      <w:pPr>
        <w:tabs>
          <w:tab w:val="left" w:pos="5445"/>
        </w:tabs>
        <w:rPr>
          <w:rFonts w:ascii="Arial" w:hAnsi="Arial" w:cs="Arial"/>
        </w:rPr>
      </w:pPr>
    </w:p>
    <w:p w:rsidR="005A74E7" w:rsidRDefault="00360005" w:rsidP="00521BFE">
      <w:pPr>
        <w:tabs>
          <w:tab w:val="left" w:pos="5445"/>
        </w:tabs>
        <w:rPr>
          <w:rFonts w:ascii="Arial" w:hAnsi="Arial" w:cs="Arial"/>
        </w:rPr>
      </w:pPr>
      <w:r>
        <w:rPr>
          <w:rFonts w:ascii="Arial" w:hAnsi="Arial" w:cs="Arial"/>
        </w:rPr>
        <w:t xml:space="preserve">Li, A.P., Bode, C. and </w:t>
      </w:r>
      <w:smartTag w:uri="urn:schemas-microsoft-com:office:smarttags" w:element="City">
        <w:smartTag w:uri="urn:schemas-microsoft-com:office:smarttags" w:element="place">
          <w:r>
            <w:rPr>
              <w:rFonts w:ascii="Arial" w:hAnsi="Arial" w:cs="Arial"/>
            </w:rPr>
            <w:t>Sakai</w:t>
          </w:r>
        </w:smartTag>
      </w:smartTag>
      <w:r>
        <w:rPr>
          <w:rFonts w:ascii="Arial" w:hAnsi="Arial" w:cs="Arial"/>
        </w:rPr>
        <w:t xml:space="preserve">, Y., (2004). A novel in vitro system, the integrated discrete multiple organ cell culture system, for the evaluation of human drug toxicity: comparative cytotoxicity of tamoxifen towards normal human cells from five major organs and MCF-7 adenocarcinoma breast cancer cells. </w:t>
      </w:r>
      <w:r w:rsidRPr="000B5A4F">
        <w:rPr>
          <w:rFonts w:ascii="Arial" w:hAnsi="Arial" w:cs="Arial"/>
          <w:i/>
        </w:rPr>
        <w:t>Chemico-Biological Interactions.</w:t>
      </w:r>
      <w:r>
        <w:rPr>
          <w:rFonts w:ascii="Arial" w:hAnsi="Arial" w:cs="Arial"/>
        </w:rPr>
        <w:t xml:space="preserve"> </w:t>
      </w:r>
      <w:r w:rsidRPr="000B5A4F">
        <w:rPr>
          <w:rFonts w:ascii="Arial" w:hAnsi="Arial" w:cs="Arial"/>
          <w:b/>
        </w:rPr>
        <w:t>150</w:t>
      </w:r>
      <w:r>
        <w:rPr>
          <w:rFonts w:ascii="Arial" w:hAnsi="Arial" w:cs="Arial"/>
        </w:rPr>
        <w:t>:129-136</w:t>
      </w:r>
    </w:p>
    <w:p w:rsidR="00360005" w:rsidRDefault="00360005" w:rsidP="00521BFE">
      <w:pPr>
        <w:tabs>
          <w:tab w:val="left" w:pos="5445"/>
        </w:tabs>
        <w:rPr>
          <w:rFonts w:ascii="Arial" w:hAnsi="Arial" w:cs="Arial"/>
        </w:rPr>
      </w:pPr>
    </w:p>
    <w:p w:rsidR="00340931" w:rsidRDefault="00340931" w:rsidP="00521BFE">
      <w:pPr>
        <w:tabs>
          <w:tab w:val="left" w:pos="5445"/>
        </w:tabs>
        <w:rPr>
          <w:rFonts w:ascii="Arial" w:hAnsi="Arial" w:cs="Arial"/>
        </w:rPr>
      </w:pPr>
      <w:r>
        <w:rPr>
          <w:rFonts w:ascii="Arial" w:hAnsi="Arial" w:cs="Arial"/>
        </w:rPr>
        <w:t xml:space="preserve">Lin H.J., (2006). CYP Induction-Mediated Drug Interactions: </w:t>
      </w:r>
      <w:r w:rsidRPr="00340931">
        <w:rPr>
          <w:rFonts w:ascii="Arial" w:hAnsi="Arial" w:cs="Arial"/>
          <w:i/>
        </w:rPr>
        <w:t>in Vitro</w:t>
      </w:r>
      <w:r>
        <w:rPr>
          <w:rFonts w:ascii="Arial" w:hAnsi="Arial" w:cs="Arial"/>
        </w:rPr>
        <w:t xml:space="preserve"> Assessment and Clinical Implications. </w:t>
      </w:r>
      <w:r w:rsidRPr="00340931">
        <w:rPr>
          <w:rFonts w:ascii="Arial" w:hAnsi="Arial" w:cs="Arial"/>
          <w:i/>
        </w:rPr>
        <w:t>Pharmaceutical Research</w:t>
      </w:r>
      <w:r>
        <w:rPr>
          <w:rFonts w:ascii="Arial" w:hAnsi="Arial" w:cs="Arial"/>
        </w:rPr>
        <w:t xml:space="preserve">. </w:t>
      </w:r>
      <w:r w:rsidRPr="00340931">
        <w:rPr>
          <w:rFonts w:ascii="Arial" w:hAnsi="Arial" w:cs="Arial"/>
          <w:b/>
        </w:rPr>
        <w:t>23</w:t>
      </w:r>
      <w:r>
        <w:rPr>
          <w:rFonts w:ascii="Arial" w:hAnsi="Arial" w:cs="Arial"/>
        </w:rPr>
        <w:t>(6):1089-1116</w:t>
      </w:r>
    </w:p>
    <w:p w:rsidR="006D78FD" w:rsidRDefault="006D78FD" w:rsidP="00521BFE">
      <w:pPr>
        <w:tabs>
          <w:tab w:val="left" w:pos="5445"/>
        </w:tabs>
        <w:rPr>
          <w:rFonts w:ascii="Arial" w:hAnsi="Arial" w:cs="Arial"/>
        </w:rPr>
      </w:pPr>
    </w:p>
    <w:p w:rsidR="006D78FD" w:rsidRPr="00521BFE" w:rsidRDefault="008E5185" w:rsidP="006D78FD">
      <w:pPr>
        <w:tabs>
          <w:tab w:val="left" w:pos="5445"/>
        </w:tabs>
        <w:rPr>
          <w:rFonts w:ascii="Arial" w:hAnsi="Arial" w:cs="Arial"/>
        </w:rPr>
      </w:pPr>
      <w:r w:rsidRPr="008E5185">
        <w:rPr>
          <w:rFonts w:ascii="Arial" w:hAnsi="Arial" w:cs="Arial"/>
        </w:rPr>
        <w:t xml:space="preserve">Medicines and Healthcare products Regulatory Agency </w:t>
      </w:r>
      <w:r w:rsidR="006D78FD" w:rsidRPr="008E5185">
        <w:rPr>
          <w:rFonts w:ascii="Arial" w:hAnsi="Arial" w:cs="Arial"/>
        </w:rPr>
        <w:t>document</w:t>
      </w:r>
      <w:r w:rsidR="00273B19">
        <w:rPr>
          <w:rFonts w:ascii="Arial" w:hAnsi="Arial" w:cs="Arial"/>
        </w:rPr>
        <w:t xml:space="preserve"> (MHRA)</w:t>
      </w:r>
      <w:r w:rsidR="006D78FD" w:rsidRPr="008E5185">
        <w:rPr>
          <w:rFonts w:ascii="Arial" w:hAnsi="Arial" w:cs="Arial"/>
        </w:rPr>
        <w:t xml:space="preserve"> -</w:t>
      </w:r>
      <w:r w:rsidR="006D78FD">
        <w:rPr>
          <w:rFonts w:ascii="Arial" w:hAnsi="Arial" w:cs="Arial"/>
        </w:rPr>
        <w:t xml:space="preserve"> ‘Investigations into adverse incidents during clinical trials of TGN1412.’ </w:t>
      </w:r>
      <w:r w:rsidR="00273B19">
        <w:rPr>
          <w:rFonts w:ascii="Arial" w:hAnsi="Arial" w:cs="Arial"/>
        </w:rPr>
        <w:t xml:space="preserve">(2006) </w:t>
      </w:r>
      <w:r w:rsidR="006D78FD">
        <w:rPr>
          <w:rFonts w:ascii="Arial" w:hAnsi="Arial" w:cs="Arial"/>
        </w:rPr>
        <w:t>Available from</w:t>
      </w:r>
      <w:r w:rsidR="00273B19">
        <w:rPr>
          <w:rFonts w:ascii="Arial" w:hAnsi="Arial" w:cs="Arial"/>
        </w:rPr>
        <w:t xml:space="preserve"> </w:t>
      </w:r>
      <w:hyperlink r:id="rId9" w:history="1">
        <w:r w:rsidR="00273B19" w:rsidRPr="00375D52">
          <w:rPr>
            <w:rStyle w:val="Hyperlink"/>
            <w:rFonts w:ascii="Arial" w:hAnsi="Arial" w:cs="Arial"/>
          </w:rPr>
          <w:t>http://www.mhra.gov.uk/NewsCe</w:t>
        </w:r>
        <w:r w:rsidR="00273B19" w:rsidRPr="00375D52">
          <w:rPr>
            <w:rStyle w:val="Hyperlink"/>
            <w:rFonts w:ascii="Arial" w:hAnsi="Arial" w:cs="Arial"/>
          </w:rPr>
          <w:t>n</w:t>
        </w:r>
        <w:r w:rsidR="00273B19" w:rsidRPr="00375D52">
          <w:rPr>
            <w:rStyle w:val="Hyperlink"/>
            <w:rFonts w:ascii="Arial" w:hAnsi="Arial" w:cs="Arial"/>
          </w:rPr>
          <w:t>tre/P</w:t>
        </w:r>
        <w:r w:rsidR="00273B19" w:rsidRPr="00375D52">
          <w:rPr>
            <w:rStyle w:val="Hyperlink"/>
            <w:rFonts w:ascii="Arial" w:hAnsi="Arial" w:cs="Arial"/>
          </w:rPr>
          <w:t>r</w:t>
        </w:r>
        <w:r w:rsidR="00273B19" w:rsidRPr="00375D52">
          <w:rPr>
            <w:rStyle w:val="Hyperlink"/>
            <w:rFonts w:ascii="Arial" w:hAnsi="Arial" w:cs="Arial"/>
          </w:rPr>
          <w:t>e</w:t>
        </w:r>
        <w:r w:rsidR="00273B19" w:rsidRPr="00375D52">
          <w:rPr>
            <w:rStyle w:val="Hyperlink"/>
            <w:rFonts w:ascii="Arial" w:hAnsi="Arial" w:cs="Arial"/>
          </w:rPr>
          <w:t>ssreleases</w:t>
        </w:r>
        <w:r w:rsidR="00273B19" w:rsidRPr="00375D52">
          <w:rPr>
            <w:rStyle w:val="Hyperlink"/>
            <w:rFonts w:ascii="Arial" w:hAnsi="Arial" w:cs="Arial"/>
          </w:rPr>
          <w:t>/</w:t>
        </w:r>
        <w:r w:rsidR="00273B19" w:rsidRPr="00375D52">
          <w:rPr>
            <w:rStyle w:val="Hyperlink"/>
            <w:rFonts w:ascii="Arial" w:hAnsi="Arial" w:cs="Arial"/>
          </w:rPr>
          <w:t>CON2023822</w:t>
        </w:r>
      </w:hyperlink>
      <w:r w:rsidR="006D78FD">
        <w:rPr>
          <w:rFonts w:ascii="Arial" w:hAnsi="Arial" w:cs="Arial"/>
        </w:rPr>
        <w:t>. [Accessed 22/09/08]</w:t>
      </w:r>
    </w:p>
    <w:p w:rsidR="00340931" w:rsidRDefault="00340931" w:rsidP="00521BFE">
      <w:pPr>
        <w:tabs>
          <w:tab w:val="left" w:pos="5445"/>
        </w:tabs>
        <w:rPr>
          <w:rFonts w:ascii="Arial" w:hAnsi="Arial" w:cs="Arial"/>
        </w:rPr>
      </w:pPr>
    </w:p>
    <w:p w:rsidR="00AB3594" w:rsidRDefault="00AB3594" w:rsidP="00521BFE">
      <w:pPr>
        <w:tabs>
          <w:tab w:val="left" w:pos="5445"/>
        </w:tabs>
        <w:rPr>
          <w:rFonts w:ascii="Arial" w:hAnsi="Arial" w:cs="Arial"/>
        </w:rPr>
      </w:pPr>
      <w:r>
        <w:rPr>
          <w:rFonts w:ascii="Arial" w:hAnsi="Arial" w:cs="Arial"/>
        </w:rPr>
        <w:t xml:space="preserve">O’Brien, P.J., Irwin, W., Diaz, D., </w:t>
      </w:r>
      <w:r w:rsidRPr="00AB3594">
        <w:rPr>
          <w:rFonts w:ascii="Arial" w:hAnsi="Arial" w:cs="Arial"/>
          <w:i/>
        </w:rPr>
        <w:t>et al.,</w:t>
      </w:r>
      <w:r>
        <w:rPr>
          <w:rFonts w:ascii="Arial" w:hAnsi="Arial" w:cs="Arial"/>
        </w:rPr>
        <w:t xml:space="preserve"> (2006). High concordance of drug-induced human hepatotoxicity with in vitro cytotoxicity measured in a novel cell-based model using high content screening. </w:t>
      </w:r>
      <w:r w:rsidRPr="00AB3594">
        <w:rPr>
          <w:rFonts w:ascii="Arial" w:hAnsi="Arial" w:cs="Arial"/>
          <w:i/>
        </w:rPr>
        <w:t>Archives of Toxicology.</w:t>
      </w:r>
      <w:r>
        <w:rPr>
          <w:rFonts w:ascii="Arial" w:hAnsi="Arial" w:cs="Arial"/>
        </w:rPr>
        <w:t xml:space="preserve"> </w:t>
      </w:r>
      <w:r w:rsidRPr="00AB3594">
        <w:rPr>
          <w:rFonts w:ascii="Arial" w:hAnsi="Arial" w:cs="Arial"/>
          <w:b/>
        </w:rPr>
        <w:t>80</w:t>
      </w:r>
      <w:r>
        <w:rPr>
          <w:rFonts w:ascii="Arial" w:hAnsi="Arial" w:cs="Arial"/>
        </w:rPr>
        <w:t>:580-604</w:t>
      </w:r>
    </w:p>
    <w:p w:rsidR="00AB3594" w:rsidRDefault="00AB3594" w:rsidP="00521BFE">
      <w:pPr>
        <w:tabs>
          <w:tab w:val="left" w:pos="5445"/>
        </w:tabs>
        <w:rPr>
          <w:rFonts w:ascii="Arial" w:hAnsi="Arial" w:cs="Arial"/>
        </w:rPr>
      </w:pPr>
    </w:p>
    <w:p w:rsidR="00552926" w:rsidRDefault="00552926" w:rsidP="00521BFE">
      <w:pPr>
        <w:tabs>
          <w:tab w:val="left" w:pos="5445"/>
        </w:tabs>
        <w:rPr>
          <w:rFonts w:ascii="Arial" w:hAnsi="Arial" w:cs="Arial"/>
        </w:rPr>
      </w:pPr>
      <w:r>
        <w:rPr>
          <w:rFonts w:ascii="Arial" w:hAnsi="Arial" w:cs="Arial"/>
        </w:rPr>
        <w:t>OECD/OCDE 420 Guideline Document. OECD Guideline for Testing of Chemicals. Acute Oral Toxicity – Fixed Dose Procedure.</w:t>
      </w:r>
      <w:r w:rsidR="00EF7508">
        <w:rPr>
          <w:rFonts w:ascii="Arial" w:hAnsi="Arial" w:cs="Arial"/>
        </w:rPr>
        <w:t xml:space="preserve"> (2001)</w:t>
      </w:r>
    </w:p>
    <w:p w:rsidR="00552926" w:rsidRPr="00552926" w:rsidRDefault="003479D9" w:rsidP="00521BFE">
      <w:pPr>
        <w:tabs>
          <w:tab w:val="left" w:pos="5445"/>
        </w:tabs>
        <w:rPr>
          <w:rFonts w:ascii="Arial" w:hAnsi="Arial" w:cs="Arial"/>
        </w:rPr>
      </w:pPr>
      <w:hyperlink r:id="rId10" w:history="1">
        <w:r w:rsidRPr="00E74CFD">
          <w:rPr>
            <w:rStyle w:val="Hyperlink"/>
            <w:rFonts w:ascii="Arial" w:hAnsi="Arial" w:cs="Arial"/>
          </w:rPr>
          <w:t>http://iccvam.niehs.nih.gov/SuppDocs/FedDocs/OECD/OECD_GL420.pdf</w:t>
        </w:r>
      </w:hyperlink>
      <w:r>
        <w:rPr>
          <w:rFonts w:ascii="Arial" w:hAnsi="Arial" w:cs="Arial"/>
        </w:rPr>
        <w:t xml:space="preserve"> [Accessed 21/01/09]</w:t>
      </w:r>
    </w:p>
    <w:p w:rsidR="00552926" w:rsidRDefault="00552926" w:rsidP="00521BFE">
      <w:pPr>
        <w:tabs>
          <w:tab w:val="left" w:pos="5445"/>
        </w:tabs>
        <w:rPr>
          <w:rFonts w:ascii="Arial" w:hAnsi="Arial" w:cs="Arial"/>
        </w:rPr>
      </w:pPr>
    </w:p>
    <w:p w:rsidR="003479D9" w:rsidRPr="003479D9" w:rsidRDefault="003479D9" w:rsidP="003479D9">
      <w:pPr>
        <w:rPr>
          <w:rFonts w:ascii="Arial" w:hAnsi="Arial" w:cs="Arial"/>
          <w:bCs/>
          <w:color w:val="000000"/>
        </w:rPr>
      </w:pPr>
      <w:r w:rsidRPr="003479D9">
        <w:rPr>
          <w:rFonts w:ascii="Arial" w:hAnsi="Arial" w:cs="Arial"/>
          <w:bCs/>
          <w:color w:val="000000"/>
        </w:rPr>
        <w:t>OECD Guidelines for the Testing of Chemicals .</w:t>
      </w:r>
    </w:p>
    <w:p w:rsidR="003479D9" w:rsidRPr="003479D9" w:rsidRDefault="003479D9" w:rsidP="003479D9">
      <w:pPr>
        <w:rPr>
          <w:rFonts w:ascii="Arial" w:hAnsi="Arial" w:cs="Arial"/>
          <w:bCs/>
          <w:color w:val="000000"/>
          <w:szCs w:val="32"/>
        </w:rPr>
      </w:pPr>
      <w:r w:rsidRPr="003479D9">
        <w:rPr>
          <w:rFonts w:ascii="Arial" w:hAnsi="Arial" w:cs="Arial"/>
          <w:bCs/>
          <w:color w:val="000000"/>
        </w:rPr>
        <w:t>Summary of Considerations in the Report from the OECD Expert Groups on Short Term and Long Term Toxicology</w:t>
      </w:r>
      <w:r>
        <w:rPr>
          <w:rFonts w:ascii="Arial" w:hAnsi="Arial" w:cs="Arial"/>
          <w:bCs/>
          <w:color w:val="000000"/>
        </w:rPr>
        <w:t xml:space="preserve"> (1979). Available from </w:t>
      </w:r>
      <w:hyperlink r:id="rId11" w:history="1">
        <w:r w:rsidRPr="00E74CFD">
          <w:rPr>
            <w:rStyle w:val="Hyperlink"/>
            <w:rFonts w:ascii="Arial" w:hAnsi="Arial" w:cs="Arial"/>
            <w:bCs/>
          </w:rPr>
          <w:t>http://oberon.sourceoecd.org/vl=335656/cl=12/nw=1/rpsv/ij/oecdjournals/1607310x/v1n4/s1/p1</w:t>
        </w:r>
      </w:hyperlink>
      <w:r>
        <w:rPr>
          <w:rFonts w:ascii="Arial" w:hAnsi="Arial" w:cs="Arial"/>
          <w:bCs/>
          <w:color w:val="000000"/>
        </w:rPr>
        <w:t xml:space="preserve"> [Accessed 21/01/09]</w:t>
      </w:r>
    </w:p>
    <w:p w:rsidR="003479D9" w:rsidRDefault="003479D9" w:rsidP="00521BFE">
      <w:pPr>
        <w:tabs>
          <w:tab w:val="left" w:pos="5445"/>
        </w:tabs>
        <w:rPr>
          <w:rFonts w:ascii="Arial" w:hAnsi="Arial" w:cs="Arial"/>
        </w:rPr>
      </w:pPr>
    </w:p>
    <w:p w:rsidR="00044647" w:rsidRDefault="00044647" w:rsidP="00521BFE">
      <w:pPr>
        <w:tabs>
          <w:tab w:val="left" w:pos="5445"/>
        </w:tabs>
        <w:rPr>
          <w:rFonts w:ascii="Arial" w:hAnsi="Arial" w:cs="Arial"/>
        </w:rPr>
      </w:pPr>
      <w:r>
        <w:rPr>
          <w:rFonts w:ascii="Arial" w:hAnsi="Arial" w:cs="Arial"/>
        </w:rPr>
        <w:t xml:space="preserve">Olson, H., Betton, G., Robinson, D., </w:t>
      </w:r>
      <w:r w:rsidRPr="00044647">
        <w:rPr>
          <w:rFonts w:ascii="Arial" w:hAnsi="Arial" w:cs="Arial"/>
          <w:i/>
        </w:rPr>
        <w:t>et al</w:t>
      </w:r>
      <w:r>
        <w:rPr>
          <w:rFonts w:ascii="Arial" w:hAnsi="Arial" w:cs="Arial"/>
        </w:rPr>
        <w:t xml:space="preserve">., (2000). Concordance of the </w:t>
      </w:r>
      <w:r w:rsidR="00340931">
        <w:rPr>
          <w:rFonts w:ascii="Arial" w:hAnsi="Arial" w:cs="Arial"/>
        </w:rPr>
        <w:t>t</w:t>
      </w:r>
      <w:r>
        <w:rPr>
          <w:rFonts w:ascii="Arial" w:hAnsi="Arial" w:cs="Arial"/>
        </w:rPr>
        <w:t xml:space="preserve">oxicty of Pharmaceuticals in Humans and Animals. </w:t>
      </w:r>
      <w:r w:rsidRPr="00044647">
        <w:rPr>
          <w:rFonts w:ascii="Arial" w:hAnsi="Arial" w:cs="Arial"/>
          <w:i/>
        </w:rPr>
        <w:t>Regulatory Toxicology and Pharmacology</w:t>
      </w:r>
      <w:r>
        <w:rPr>
          <w:rFonts w:ascii="Arial" w:hAnsi="Arial" w:cs="Arial"/>
        </w:rPr>
        <w:t xml:space="preserve">. </w:t>
      </w:r>
      <w:r w:rsidRPr="00044647">
        <w:rPr>
          <w:rFonts w:ascii="Arial" w:hAnsi="Arial" w:cs="Arial"/>
          <w:b/>
        </w:rPr>
        <w:t>32</w:t>
      </w:r>
      <w:r>
        <w:rPr>
          <w:rFonts w:ascii="Arial" w:hAnsi="Arial" w:cs="Arial"/>
        </w:rPr>
        <w:t>:56-67</w:t>
      </w:r>
    </w:p>
    <w:p w:rsidR="00044647" w:rsidRDefault="00044647" w:rsidP="00521BFE">
      <w:pPr>
        <w:tabs>
          <w:tab w:val="left" w:pos="5445"/>
        </w:tabs>
        <w:rPr>
          <w:rFonts w:ascii="Arial" w:hAnsi="Arial" w:cs="Arial"/>
        </w:rPr>
      </w:pPr>
    </w:p>
    <w:p w:rsidR="002C72AD" w:rsidRPr="002C72AD" w:rsidRDefault="002C72AD" w:rsidP="00521BFE">
      <w:pPr>
        <w:tabs>
          <w:tab w:val="left" w:pos="5445"/>
        </w:tabs>
        <w:rPr>
          <w:rFonts w:ascii="Arial" w:hAnsi="Arial" w:cs="Arial"/>
          <w:i/>
        </w:rPr>
      </w:pPr>
      <w:r>
        <w:rPr>
          <w:rFonts w:ascii="Arial" w:hAnsi="Arial" w:cs="Arial"/>
        </w:rPr>
        <w:t xml:space="preserve">Price, P.S., Keenan, R.E. and Swartout, J.C., (2008). Characterising interspecies uncertainty using data from studies of anti-neoplastic agents in animals and humans. </w:t>
      </w:r>
      <w:r w:rsidRPr="002C72AD">
        <w:rPr>
          <w:rFonts w:ascii="Arial" w:hAnsi="Arial" w:cs="Arial"/>
          <w:i/>
        </w:rPr>
        <w:t>Toxicology and Applied Pharmacology</w:t>
      </w:r>
      <w:r>
        <w:rPr>
          <w:rFonts w:ascii="Arial" w:hAnsi="Arial" w:cs="Arial"/>
        </w:rPr>
        <w:t xml:space="preserve">. </w:t>
      </w:r>
      <w:r w:rsidRPr="002C72AD">
        <w:rPr>
          <w:rFonts w:ascii="Arial" w:hAnsi="Arial" w:cs="Arial"/>
          <w:i/>
        </w:rPr>
        <w:t>Article in Press</w:t>
      </w:r>
    </w:p>
    <w:p w:rsidR="002C72AD" w:rsidRDefault="002C72AD" w:rsidP="00521BFE">
      <w:pPr>
        <w:tabs>
          <w:tab w:val="left" w:pos="5445"/>
        </w:tabs>
        <w:rPr>
          <w:rFonts w:ascii="Arial" w:hAnsi="Arial" w:cs="Arial"/>
        </w:rPr>
      </w:pPr>
    </w:p>
    <w:p w:rsidR="005276D5" w:rsidRDefault="005276D5" w:rsidP="005276D5">
      <w:pPr>
        <w:autoSpaceDE w:val="0"/>
        <w:autoSpaceDN w:val="0"/>
        <w:adjustRightInd w:val="0"/>
        <w:rPr>
          <w:rFonts w:ascii="Arial" w:hAnsi="Arial" w:cs="Arial"/>
        </w:rPr>
      </w:pPr>
      <w:r>
        <w:rPr>
          <w:rFonts w:ascii="Arial" w:hAnsi="Arial" w:cs="Arial"/>
        </w:rPr>
        <w:t xml:space="preserve">Robinson, S., Delongeas, J., Donald, E., </w:t>
      </w:r>
      <w:r w:rsidRPr="005276D5">
        <w:rPr>
          <w:rFonts w:ascii="Arial" w:hAnsi="Arial" w:cs="Arial"/>
          <w:i/>
        </w:rPr>
        <w:t>et al.,</w:t>
      </w:r>
      <w:r>
        <w:rPr>
          <w:rFonts w:ascii="Arial" w:hAnsi="Arial" w:cs="Arial"/>
        </w:rPr>
        <w:t xml:space="preserve"> (2008). A European pharmaceutical company initiative challenging the regulatory requirement for acute toxicity studies in pharmaceutical drug development. </w:t>
      </w:r>
      <w:r w:rsidRPr="005276D5">
        <w:rPr>
          <w:rFonts w:ascii="Arial" w:hAnsi="Arial" w:cs="Arial"/>
          <w:i/>
        </w:rPr>
        <w:t>Regulatory Toxicology and Pharmacology.</w:t>
      </w:r>
      <w:r>
        <w:rPr>
          <w:rFonts w:ascii="Arial" w:hAnsi="Arial" w:cs="Arial"/>
        </w:rPr>
        <w:t xml:space="preserve"> </w:t>
      </w:r>
      <w:r w:rsidRPr="005276D5">
        <w:rPr>
          <w:rFonts w:ascii="Arial" w:hAnsi="Arial" w:cs="Arial"/>
          <w:b/>
        </w:rPr>
        <w:t>50</w:t>
      </w:r>
      <w:r>
        <w:rPr>
          <w:rFonts w:ascii="Arial" w:hAnsi="Arial" w:cs="Arial"/>
        </w:rPr>
        <w:t xml:space="preserve">:345-352 </w:t>
      </w:r>
    </w:p>
    <w:p w:rsidR="005276D5" w:rsidRDefault="005276D5" w:rsidP="00521BFE">
      <w:pPr>
        <w:tabs>
          <w:tab w:val="left" w:pos="5445"/>
        </w:tabs>
        <w:rPr>
          <w:rFonts w:ascii="Arial" w:hAnsi="Arial" w:cs="Arial"/>
        </w:rPr>
      </w:pPr>
    </w:p>
    <w:p w:rsidR="004D400F" w:rsidRPr="00D47231" w:rsidRDefault="00D47231" w:rsidP="00521BFE">
      <w:pPr>
        <w:tabs>
          <w:tab w:val="left" w:pos="5445"/>
        </w:tabs>
        <w:rPr>
          <w:rFonts w:ascii="Arial" w:hAnsi="Arial" w:cs="Arial"/>
        </w:rPr>
      </w:pPr>
      <w:r w:rsidRPr="00D47231">
        <w:rPr>
          <w:rFonts w:ascii="Arial" w:hAnsi="Arial" w:cs="Arial"/>
        </w:rPr>
        <w:t xml:space="preserve">Russell, W.M.S. </w:t>
      </w:r>
      <w:r w:rsidR="004D400F" w:rsidRPr="00D47231">
        <w:rPr>
          <w:rFonts w:ascii="Arial" w:hAnsi="Arial" w:cs="Arial"/>
        </w:rPr>
        <w:t>and Burch</w:t>
      </w:r>
      <w:r w:rsidRPr="00D47231">
        <w:rPr>
          <w:rFonts w:ascii="Arial" w:hAnsi="Arial" w:cs="Arial"/>
        </w:rPr>
        <w:t>, R.L.,</w:t>
      </w:r>
      <w:r w:rsidR="004D400F" w:rsidRPr="00D47231">
        <w:rPr>
          <w:rFonts w:ascii="Arial" w:hAnsi="Arial" w:cs="Arial"/>
        </w:rPr>
        <w:t xml:space="preserve"> (1959)</w:t>
      </w:r>
      <w:r w:rsidR="00402B35" w:rsidRPr="00D47231">
        <w:rPr>
          <w:rFonts w:ascii="Arial" w:hAnsi="Arial" w:cs="Arial"/>
        </w:rPr>
        <w:t>.</w:t>
      </w:r>
      <w:r w:rsidR="00402B35">
        <w:rPr>
          <w:rFonts w:ascii="Arial" w:hAnsi="Arial" w:cs="Arial"/>
        </w:rPr>
        <w:t xml:space="preserve"> The principle of Humane Experimental Technique. </w:t>
      </w:r>
      <w:smartTag w:uri="urn:schemas-microsoft-com:office:smarttags" w:element="place">
        <w:smartTag w:uri="urn:schemas-microsoft-com:office:smarttags" w:element="City">
          <w:r w:rsidR="00402B35">
            <w:rPr>
              <w:rFonts w:ascii="Arial" w:hAnsi="Arial" w:cs="Arial"/>
            </w:rPr>
            <w:t>London</w:t>
          </w:r>
        </w:smartTag>
        <w:r w:rsidR="00402B35">
          <w:rPr>
            <w:rFonts w:ascii="Arial" w:hAnsi="Arial" w:cs="Arial"/>
          </w:rPr>
          <w:t xml:space="preserve">, </w:t>
        </w:r>
        <w:smartTag w:uri="urn:schemas-microsoft-com:office:smarttags" w:element="country-region">
          <w:r w:rsidR="00402B35">
            <w:rPr>
              <w:rFonts w:ascii="Arial" w:hAnsi="Arial" w:cs="Arial"/>
            </w:rPr>
            <w:t>UK</w:t>
          </w:r>
        </w:smartTag>
      </w:smartTag>
      <w:r w:rsidR="00402B35">
        <w:rPr>
          <w:rFonts w:ascii="Arial" w:hAnsi="Arial" w:cs="Arial"/>
        </w:rPr>
        <w:t>.</w:t>
      </w:r>
      <w:r>
        <w:rPr>
          <w:rFonts w:ascii="Arial" w:hAnsi="Arial" w:cs="Arial"/>
        </w:rPr>
        <w:t xml:space="preserve"> Available online from </w:t>
      </w:r>
      <w:hyperlink r:id="rId12" w:history="1">
        <w:r w:rsidRPr="00E74CFD">
          <w:rPr>
            <w:rStyle w:val="Hyperlink"/>
            <w:rFonts w:ascii="Arial" w:hAnsi="Arial" w:cs="Arial"/>
          </w:rPr>
          <w:t>http://altweb.jhsph.edu/publications/humane_exp/chap2a.htm</w:t>
        </w:r>
      </w:hyperlink>
      <w:r>
        <w:rPr>
          <w:rFonts w:ascii="Arial" w:hAnsi="Arial" w:cs="Arial"/>
        </w:rPr>
        <w:t>. [Accessed 21/01/09]</w:t>
      </w:r>
    </w:p>
    <w:p w:rsidR="004D400F" w:rsidRDefault="004D400F" w:rsidP="00521BFE">
      <w:pPr>
        <w:tabs>
          <w:tab w:val="left" w:pos="5445"/>
        </w:tabs>
        <w:rPr>
          <w:rFonts w:ascii="Arial" w:hAnsi="Arial" w:cs="Arial"/>
        </w:rPr>
      </w:pPr>
    </w:p>
    <w:p w:rsidR="0065486E" w:rsidRDefault="0065486E" w:rsidP="00521BFE">
      <w:pPr>
        <w:tabs>
          <w:tab w:val="left" w:pos="5445"/>
        </w:tabs>
        <w:rPr>
          <w:rFonts w:ascii="Arial" w:hAnsi="Arial" w:cs="Arial"/>
        </w:rPr>
      </w:pPr>
      <w:r>
        <w:rPr>
          <w:rFonts w:ascii="Arial" w:hAnsi="Arial" w:cs="Arial"/>
        </w:rPr>
        <w:t xml:space="preserve">Suntharalingam, G., Perry, M.R., Ward, S., </w:t>
      </w:r>
      <w:r w:rsidRPr="0065486E">
        <w:rPr>
          <w:rFonts w:ascii="Arial" w:hAnsi="Arial" w:cs="Arial"/>
          <w:i/>
        </w:rPr>
        <w:t>et al.,</w:t>
      </w:r>
      <w:r>
        <w:rPr>
          <w:rFonts w:ascii="Arial" w:hAnsi="Arial" w:cs="Arial"/>
        </w:rPr>
        <w:t xml:space="preserve"> (2006). Cytokine Storm in a Phase 1 Trial of the Anti-CD28 Monoclonal Antibody TGN1412. </w:t>
      </w:r>
      <w:r w:rsidRPr="0065486E">
        <w:rPr>
          <w:rFonts w:ascii="Arial" w:hAnsi="Arial" w:cs="Arial"/>
          <w:i/>
        </w:rPr>
        <w:t xml:space="preserve">The </w:t>
      </w:r>
      <w:smartTag w:uri="urn:schemas-microsoft-com:office:smarttags" w:element="place">
        <w:r w:rsidRPr="0065486E">
          <w:rPr>
            <w:rFonts w:ascii="Arial" w:hAnsi="Arial" w:cs="Arial"/>
            <w:i/>
          </w:rPr>
          <w:t>New England</w:t>
        </w:r>
      </w:smartTag>
      <w:r w:rsidRPr="0065486E">
        <w:rPr>
          <w:rFonts w:ascii="Arial" w:hAnsi="Arial" w:cs="Arial"/>
          <w:i/>
        </w:rPr>
        <w:t xml:space="preserve"> Journal of Medicine. </w:t>
      </w:r>
      <w:r w:rsidRPr="0065486E">
        <w:rPr>
          <w:rFonts w:ascii="Arial" w:hAnsi="Arial" w:cs="Arial"/>
          <w:b/>
        </w:rPr>
        <w:t>355</w:t>
      </w:r>
      <w:r>
        <w:rPr>
          <w:rFonts w:ascii="Arial" w:hAnsi="Arial" w:cs="Arial"/>
        </w:rPr>
        <w:t>:1018-1028.</w:t>
      </w:r>
    </w:p>
    <w:p w:rsidR="0065486E" w:rsidRDefault="0065486E" w:rsidP="00521BFE">
      <w:pPr>
        <w:tabs>
          <w:tab w:val="left" w:pos="5445"/>
        </w:tabs>
        <w:rPr>
          <w:rFonts w:ascii="Arial" w:hAnsi="Arial" w:cs="Arial"/>
        </w:rPr>
      </w:pPr>
    </w:p>
    <w:p w:rsidR="002C72AD" w:rsidRDefault="002C72AD" w:rsidP="00521BFE">
      <w:pPr>
        <w:tabs>
          <w:tab w:val="left" w:pos="5445"/>
        </w:tabs>
        <w:rPr>
          <w:rFonts w:ascii="Arial" w:hAnsi="Arial" w:cs="Arial"/>
        </w:rPr>
      </w:pPr>
      <w:r>
        <w:rPr>
          <w:rFonts w:ascii="Arial" w:hAnsi="Arial" w:cs="Arial"/>
        </w:rPr>
        <w:t xml:space="preserve">Ukelis, U., Kramer, P.J., Olejniczak, K. and Mueller, S.O., (2008). Replacement of in vivo acute oral toxicity studies by </w:t>
      </w:r>
      <w:r w:rsidRPr="001F3185">
        <w:rPr>
          <w:rFonts w:ascii="Arial" w:hAnsi="Arial" w:cs="Arial"/>
          <w:i/>
        </w:rPr>
        <w:t>in vitro</w:t>
      </w:r>
      <w:r>
        <w:rPr>
          <w:rFonts w:ascii="Arial" w:hAnsi="Arial" w:cs="Arial"/>
        </w:rPr>
        <w:t xml:space="preserve"> cytotoxicity methods: Opportunities, limits and regulatory status. </w:t>
      </w:r>
      <w:r w:rsidRPr="002C72AD">
        <w:rPr>
          <w:rFonts w:ascii="Arial" w:hAnsi="Arial" w:cs="Arial"/>
          <w:i/>
        </w:rPr>
        <w:t xml:space="preserve">Regulatory Toxicology and Pharmacology. </w:t>
      </w:r>
      <w:r w:rsidRPr="002C72AD">
        <w:rPr>
          <w:rFonts w:ascii="Arial" w:hAnsi="Arial" w:cs="Arial"/>
          <w:b/>
        </w:rPr>
        <w:t>51</w:t>
      </w:r>
      <w:r>
        <w:rPr>
          <w:rFonts w:ascii="Arial" w:hAnsi="Arial" w:cs="Arial"/>
        </w:rPr>
        <w:t>:108-118</w:t>
      </w:r>
    </w:p>
    <w:p w:rsidR="005A74E7" w:rsidRDefault="005A74E7" w:rsidP="00521BFE">
      <w:pPr>
        <w:tabs>
          <w:tab w:val="left" w:pos="5445"/>
        </w:tabs>
        <w:rPr>
          <w:rFonts w:ascii="Arial" w:hAnsi="Arial" w:cs="Arial"/>
        </w:rPr>
      </w:pPr>
    </w:p>
    <w:p w:rsidR="009806A1" w:rsidRDefault="009806A1" w:rsidP="009806A1">
      <w:pPr>
        <w:autoSpaceDE w:val="0"/>
        <w:autoSpaceDN w:val="0"/>
        <w:adjustRightInd w:val="0"/>
        <w:rPr>
          <w:rFonts w:ascii="Courier" w:hAnsi="Courier" w:cs="Courier"/>
          <w:sz w:val="20"/>
          <w:szCs w:val="20"/>
        </w:rPr>
      </w:pPr>
      <w:r>
        <w:rPr>
          <w:rFonts w:ascii="Arial" w:hAnsi="Arial" w:cs="Arial"/>
        </w:rPr>
        <w:t xml:space="preserve">Waxman, D.J., Morrissey, J.J., Naik, S. and Jauregui, H.O., (1990). Phenobarbital induction of cytochromes P-450. </w:t>
      </w:r>
      <w:r w:rsidRPr="009806A1">
        <w:rPr>
          <w:rFonts w:ascii="Arial" w:hAnsi="Arial" w:cs="Arial"/>
          <w:i/>
        </w:rPr>
        <w:t>Journal of Biochemistry.</w:t>
      </w:r>
      <w:r>
        <w:rPr>
          <w:rFonts w:ascii="Arial" w:hAnsi="Arial" w:cs="Arial"/>
        </w:rPr>
        <w:t xml:space="preserve"> </w:t>
      </w:r>
      <w:r w:rsidRPr="009806A1">
        <w:rPr>
          <w:rFonts w:ascii="Arial" w:hAnsi="Arial" w:cs="Arial"/>
          <w:b/>
        </w:rPr>
        <w:t>271</w:t>
      </w:r>
      <w:r>
        <w:rPr>
          <w:rFonts w:ascii="Arial" w:hAnsi="Arial" w:cs="Arial"/>
        </w:rPr>
        <w:t>:113-119</w:t>
      </w:r>
    </w:p>
    <w:p w:rsidR="009806A1" w:rsidRDefault="009806A1" w:rsidP="00521BFE">
      <w:pPr>
        <w:tabs>
          <w:tab w:val="left" w:pos="5445"/>
        </w:tabs>
        <w:rPr>
          <w:rFonts w:ascii="Arial" w:hAnsi="Arial" w:cs="Arial"/>
        </w:rPr>
      </w:pPr>
    </w:p>
    <w:p w:rsidR="001F3185" w:rsidRDefault="001F3185" w:rsidP="00521BFE">
      <w:pPr>
        <w:tabs>
          <w:tab w:val="left" w:pos="5445"/>
        </w:tabs>
        <w:rPr>
          <w:rFonts w:ascii="Arial" w:hAnsi="Arial" w:cs="Arial"/>
        </w:rPr>
      </w:pPr>
      <w:r>
        <w:rPr>
          <w:rFonts w:ascii="Arial" w:hAnsi="Arial" w:cs="Arial"/>
        </w:rPr>
        <w:t xml:space="preserve">Wilkening, S. and Bader, A., (2003). Influence of Culture Time on the Expression of Drug-metabolizing Enzymes in Primary Human Hepatocytes and Hepatoma Cell Line HepG2. </w:t>
      </w:r>
      <w:r w:rsidRPr="001F3185">
        <w:rPr>
          <w:rFonts w:ascii="Arial" w:hAnsi="Arial" w:cs="Arial"/>
          <w:i/>
        </w:rPr>
        <w:t>Journal of Biochemistry and Molecular Toxicology.</w:t>
      </w:r>
      <w:r>
        <w:rPr>
          <w:rFonts w:ascii="Arial" w:hAnsi="Arial" w:cs="Arial"/>
        </w:rPr>
        <w:t xml:space="preserve"> </w:t>
      </w:r>
      <w:r w:rsidRPr="001F3185">
        <w:rPr>
          <w:rFonts w:ascii="Arial" w:hAnsi="Arial" w:cs="Arial"/>
          <w:b/>
        </w:rPr>
        <w:t>17</w:t>
      </w:r>
      <w:r>
        <w:rPr>
          <w:rFonts w:ascii="Arial" w:hAnsi="Arial" w:cs="Arial"/>
        </w:rPr>
        <w:t>(4):207-213</w:t>
      </w:r>
    </w:p>
    <w:p w:rsidR="00FF06FE" w:rsidRDefault="00FF06FE" w:rsidP="00521BFE">
      <w:pPr>
        <w:tabs>
          <w:tab w:val="left" w:pos="5445"/>
        </w:tabs>
        <w:rPr>
          <w:rFonts w:ascii="Arial" w:hAnsi="Arial" w:cs="Arial"/>
        </w:rPr>
      </w:pPr>
    </w:p>
    <w:p w:rsidR="006D78FD" w:rsidRPr="00521BFE" w:rsidRDefault="00FF06FE">
      <w:pPr>
        <w:tabs>
          <w:tab w:val="left" w:pos="5445"/>
        </w:tabs>
        <w:rPr>
          <w:rFonts w:ascii="Arial" w:hAnsi="Arial" w:cs="Arial"/>
        </w:rPr>
      </w:pPr>
      <w:r>
        <w:rPr>
          <w:rFonts w:ascii="Arial" w:hAnsi="Arial" w:cs="Arial"/>
        </w:rPr>
        <w:t xml:space="preserve">Xu, J., Ma, M. and Purcell, W.M., (2003). Charactrisation of some cytotoxic endpoints using rat liver and HepG2 spheroids as </w:t>
      </w:r>
      <w:r w:rsidRPr="00FF06FE">
        <w:rPr>
          <w:rFonts w:ascii="Arial" w:hAnsi="Arial" w:cs="Arial"/>
          <w:i/>
        </w:rPr>
        <w:t>in vitro</w:t>
      </w:r>
      <w:r>
        <w:rPr>
          <w:rFonts w:ascii="Arial" w:hAnsi="Arial" w:cs="Arial"/>
        </w:rPr>
        <w:t xml:space="preserve"> models and their application in hepatotoxicity studies. I. Glucose metabolism and enzyme release as cytotoxic markers. </w:t>
      </w:r>
      <w:r w:rsidRPr="00FF06FE">
        <w:rPr>
          <w:rFonts w:ascii="Arial" w:hAnsi="Arial" w:cs="Arial"/>
          <w:i/>
        </w:rPr>
        <w:t>Toxicology and Applied Pharmacology.</w:t>
      </w:r>
      <w:r>
        <w:rPr>
          <w:rFonts w:ascii="Arial" w:hAnsi="Arial" w:cs="Arial"/>
        </w:rPr>
        <w:t xml:space="preserve"> </w:t>
      </w:r>
      <w:r w:rsidRPr="00FF06FE">
        <w:rPr>
          <w:rFonts w:ascii="Arial" w:hAnsi="Arial" w:cs="Arial"/>
          <w:b/>
        </w:rPr>
        <w:t>189</w:t>
      </w:r>
      <w:r>
        <w:rPr>
          <w:rFonts w:ascii="Arial" w:hAnsi="Arial" w:cs="Arial"/>
        </w:rPr>
        <w:t>:100-111</w:t>
      </w:r>
    </w:p>
    <w:sectPr w:rsidR="006D78FD" w:rsidRPr="00521B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dvPSA324">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1322"/>
    <w:rsid w:val="00044647"/>
    <w:rsid w:val="00071D2E"/>
    <w:rsid w:val="000B5A4F"/>
    <w:rsid w:val="000B5A89"/>
    <w:rsid w:val="000C15BD"/>
    <w:rsid w:val="000E779B"/>
    <w:rsid w:val="000F2680"/>
    <w:rsid w:val="000F3BFF"/>
    <w:rsid w:val="001029BB"/>
    <w:rsid w:val="00106D0F"/>
    <w:rsid w:val="00114786"/>
    <w:rsid w:val="00114AA7"/>
    <w:rsid w:val="00115AB3"/>
    <w:rsid w:val="00133631"/>
    <w:rsid w:val="0017393A"/>
    <w:rsid w:val="00185026"/>
    <w:rsid w:val="001C5CC1"/>
    <w:rsid w:val="001F3185"/>
    <w:rsid w:val="001F408B"/>
    <w:rsid w:val="002077C5"/>
    <w:rsid w:val="00214048"/>
    <w:rsid w:val="0022185B"/>
    <w:rsid w:val="00223D7B"/>
    <w:rsid w:val="00253813"/>
    <w:rsid w:val="002623DE"/>
    <w:rsid w:val="00273B19"/>
    <w:rsid w:val="002745E9"/>
    <w:rsid w:val="0029781F"/>
    <w:rsid w:val="002C6F18"/>
    <w:rsid w:val="002C72AD"/>
    <w:rsid w:val="0030670F"/>
    <w:rsid w:val="00313023"/>
    <w:rsid w:val="0032477B"/>
    <w:rsid w:val="00324AEC"/>
    <w:rsid w:val="00340931"/>
    <w:rsid w:val="003479D9"/>
    <w:rsid w:val="00360005"/>
    <w:rsid w:val="00371261"/>
    <w:rsid w:val="003A26C5"/>
    <w:rsid w:val="003C6B8D"/>
    <w:rsid w:val="003E6899"/>
    <w:rsid w:val="00402B35"/>
    <w:rsid w:val="0043794C"/>
    <w:rsid w:val="0044206B"/>
    <w:rsid w:val="00442A94"/>
    <w:rsid w:val="004D400F"/>
    <w:rsid w:val="004E5335"/>
    <w:rsid w:val="004F67E6"/>
    <w:rsid w:val="004F7829"/>
    <w:rsid w:val="00512B0F"/>
    <w:rsid w:val="00521BFE"/>
    <w:rsid w:val="005249B6"/>
    <w:rsid w:val="005276D5"/>
    <w:rsid w:val="00551322"/>
    <w:rsid w:val="00552926"/>
    <w:rsid w:val="0056023C"/>
    <w:rsid w:val="00587EC3"/>
    <w:rsid w:val="005A3AF5"/>
    <w:rsid w:val="005A74E7"/>
    <w:rsid w:val="005D2367"/>
    <w:rsid w:val="005D7944"/>
    <w:rsid w:val="00613915"/>
    <w:rsid w:val="0063122C"/>
    <w:rsid w:val="0065486E"/>
    <w:rsid w:val="0066164D"/>
    <w:rsid w:val="0067493E"/>
    <w:rsid w:val="006846F1"/>
    <w:rsid w:val="00690EA2"/>
    <w:rsid w:val="006B35D5"/>
    <w:rsid w:val="006D78FD"/>
    <w:rsid w:val="006F6CC6"/>
    <w:rsid w:val="007063EB"/>
    <w:rsid w:val="007708BB"/>
    <w:rsid w:val="00771D04"/>
    <w:rsid w:val="00771E68"/>
    <w:rsid w:val="00773D8B"/>
    <w:rsid w:val="0079611C"/>
    <w:rsid w:val="007A1799"/>
    <w:rsid w:val="007A5A01"/>
    <w:rsid w:val="007A7DAE"/>
    <w:rsid w:val="007F1DFB"/>
    <w:rsid w:val="007F3480"/>
    <w:rsid w:val="007F4768"/>
    <w:rsid w:val="0081166F"/>
    <w:rsid w:val="00833C07"/>
    <w:rsid w:val="00874A21"/>
    <w:rsid w:val="008B69FD"/>
    <w:rsid w:val="008E50E6"/>
    <w:rsid w:val="008E5185"/>
    <w:rsid w:val="00917597"/>
    <w:rsid w:val="0096597C"/>
    <w:rsid w:val="009806A1"/>
    <w:rsid w:val="00981EC9"/>
    <w:rsid w:val="009E1432"/>
    <w:rsid w:val="009E7F6F"/>
    <w:rsid w:val="00A11826"/>
    <w:rsid w:val="00A26E63"/>
    <w:rsid w:val="00A37401"/>
    <w:rsid w:val="00A63875"/>
    <w:rsid w:val="00A66DCA"/>
    <w:rsid w:val="00A870E2"/>
    <w:rsid w:val="00A93476"/>
    <w:rsid w:val="00AB3594"/>
    <w:rsid w:val="00B01EEB"/>
    <w:rsid w:val="00B078A7"/>
    <w:rsid w:val="00B171D1"/>
    <w:rsid w:val="00B3790D"/>
    <w:rsid w:val="00B47C22"/>
    <w:rsid w:val="00B620AE"/>
    <w:rsid w:val="00B93F27"/>
    <w:rsid w:val="00BE6419"/>
    <w:rsid w:val="00C109BF"/>
    <w:rsid w:val="00C169D3"/>
    <w:rsid w:val="00C2095F"/>
    <w:rsid w:val="00C24ABD"/>
    <w:rsid w:val="00C34004"/>
    <w:rsid w:val="00C72EF6"/>
    <w:rsid w:val="00CA59AF"/>
    <w:rsid w:val="00CB585E"/>
    <w:rsid w:val="00CC1AAC"/>
    <w:rsid w:val="00CC5559"/>
    <w:rsid w:val="00CE2A3F"/>
    <w:rsid w:val="00D246FD"/>
    <w:rsid w:val="00D24CC4"/>
    <w:rsid w:val="00D46DAE"/>
    <w:rsid w:val="00D47231"/>
    <w:rsid w:val="00D50CC6"/>
    <w:rsid w:val="00D70C26"/>
    <w:rsid w:val="00E14CBC"/>
    <w:rsid w:val="00E16562"/>
    <w:rsid w:val="00E40B98"/>
    <w:rsid w:val="00EA4F3A"/>
    <w:rsid w:val="00EC533F"/>
    <w:rsid w:val="00EC6B61"/>
    <w:rsid w:val="00EE2107"/>
    <w:rsid w:val="00EF1883"/>
    <w:rsid w:val="00EF7508"/>
    <w:rsid w:val="00F04496"/>
    <w:rsid w:val="00F106E7"/>
    <w:rsid w:val="00FA4D18"/>
    <w:rsid w:val="00FA4F59"/>
    <w:rsid w:val="00FD0100"/>
    <w:rsid w:val="00FF06F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D78FD"/>
    <w:rPr>
      <w:color w:val="0000FF"/>
      <w:u w:val="single"/>
    </w:rPr>
  </w:style>
  <w:style w:type="table" w:styleId="TableGrid">
    <w:name w:val="Table Grid"/>
    <w:basedOn w:val="TableNormal"/>
    <w:rsid w:val="001F40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qFormat/>
    <w:rsid w:val="00B01EEB"/>
    <w:rPr>
      <w:b/>
      <w:bCs/>
      <w:sz w:val="20"/>
      <w:szCs w:val="20"/>
    </w:rPr>
  </w:style>
  <w:style w:type="character" w:styleId="FollowedHyperlink">
    <w:name w:val="FollowedHyperlink"/>
    <w:basedOn w:val="DefaultParagraphFont"/>
    <w:rsid w:val="00273B19"/>
    <w:rPr>
      <w:color w:val="800080"/>
      <w:u w:val="single"/>
    </w:rPr>
  </w:style>
</w:styles>
</file>

<file path=word/webSettings.xml><?xml version="1.0" encoding="utf-8"?>
<w:webSettings xmlns:r="http://schemas.openxmlformats.org/officeDocument/2006/relationships" xmlns:w="http://schemas.openxmlformats.org/wordprocessingml/2006/main">
  <w:divs>
    <w:div w:id="644432218">
      <w:bodyDiv w:val="1"/>
      <w:marLeft w:val="0"/>
      <w:marRight w:val="0"/>
      <w:marTop w:val="0"/>
      <w:marBottom w:val="0"/>
      <w:divBdr>
        <w:top w:val="none" w:sz="0" w:space="0" w:color="auto"/>
        <w:left w:val="none" w:sz="0" w:space="0" w:color="auto"/>
        <w:bottom w:val="none" w:sz="0" w:space="0" w:color="auto"/>
        <w:right w:val="none" w:sz="0" w:space="0" w:color="auto"/>
      </w:divBdr>
      <w:divsChild>
        <w:div w:id="1942058076">
          <w:marLeft w:val="0"/>
          <w:marRight w:val="0"/>
          <w:marTop w:val="0"/>
          <w:marBottom w:val="0"/>
          <w:divBdr>
            <w:top w:val="none" w:sz="0" w:space="0" w:color="auto"/>
            <w:left w:val="none" w:sz="0" w:space="0" w:color="auto"/>
            <w:bottom w:val="none" w:sz="0" w:space="0" w:color="auto"/>
            <w:right w:val="none" w:sz="0" w:space="0" w:color="auto"/>
          </w:divBdr>
          <w:divsChild>
            <w:div w:id="410085947">
              <w:marLeft w:val="0"/>
              <w:marRight w:val="0"/>
              <w:marTop w:val="0"/>
              <w:marBottom w:val="150"/>
              <w:divBdr>
                <w:top w:val="none" w:sz="0" w:space="0" w:color="auto"/>
                <w:left w:val="none" w:sz="0" w:space="0" w:color="auto"/>
                <w:bottom w:val="none" w:sz="0" w:space="0" w:color="auto"/>
                <w:right w:val="none" w:sz="0" w:space="0" w:color="auto"/>
              </w:divBdr>
            </w:div>
            <w:div w:id="62889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6484313">
      <w:bodyDiv w:val="1"/>
      <w:marLeft w:val="0"/>
      <w:marRight w:val="0"/>
      <w:marTop w:val="0"/>
      <w:marBottom w:val="0"/>
      <w:divBdr>
        <w:top w:val="none" w:sz="0" w:space="0" w:color="auto"/>
        <w:left w:val="none" w:sz="0" w:space="0" w:color="auto"/>
        <w:bottom w:val="none" w:sz="0" w:space="0" w:color="auto"/>
        <w:right w:val="none" w:sz="0" w:space="0" w:color="auto"/>
      </w:divBdr>
      <w:divsChild>
        <w:div w:id="1692877039">
          <w:marLeft w:val="0"/>
          <w:marRight w:val="0"/>
          <w:marTop w:val="0"/>
          <w:marBottom w:val="0"/>
          <w:divBdr>
            <w:top w:val="none" w:sz="0" w:space="0" w:color="auto"/>
            <w:left w:val="none" w:sz="0" w:space="0" w:color="auto"/>
            <w:bottom w:val="none" w:sz="0" w:space="0" w:color="auto"/>
            <w:right w:val="none" w:sz="0" w:space="0" w:color="auto"/>
          </w:divBdr>
          <w:divsChild>
            <w:div w:id="12811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nceandresearch.homeoffice.gov.uk/animal-research/publications-and-reference/statistic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altweb.jhsph.edu/publications/humane_exp/chap2a.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oberon.sourceoecd.org/vl=335656/cl=12/nw=1/rpsv/ij/oecdjournals/1607310x/v1n4/s1/p1" TargetMode="External"/><Relationship Id="rId5" Type="http://schemas.openxmlformats.org/officeDocument/2006/relationships/image" Target="media/image2.png"/><Relationship Id="rId10" Type="http://schemas.openxmlformats.org/officeDocument/2006/relationships/hyperlink" Target="http://iccvam.niehs.nih.gov/SuppDocs/FedDocs/OECD/OECD_GL420.pdf" TargetMode="External"/><Relationship Id="rId4" Type="http://schemas.openxmlformats.org/officeDocument/2006/relationships/image" Target="media/image1.png"/><Relationship Id="rId9" Type="http://schemas.openxmlformats.org/officeDocument/2006/relationships/hyperlink" Target="http://www.mhra.gov.uk/NewsCentre/Pressreleases/CON20238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Toxicity Testing:</vt:lpstr>
    </vt:vector>
  </TitlesOfParts>
  <Company>University of the West of England, Bristol</Company>
  <LinksUpToDate>false</LinksUpToDate>
  <CharactersWithSpaces>23361</CharactersWithSpaces>
  <SharedDoc>false</SharedDoc>
  <HLinks>
    <vt:vector size="30" baseType="variant">
      <vt:variant>
        <vt:i4>327725</vt:i4>
      </vt:variant>
      <vt:variant>
        <vt:i4>30</vt:i4>
      </vt:variant>
      <vt:variant>
        <vt:i4>0</vt:i4>
      </vt:variant>
      <vt:variant>
        <vt:i4>5</vt:i4>
      </vt:variant>
      <vt:variant>
        <vt:lpwstr>http://altweb.jhsph.edu/publications/humane_exp/chap2a.htm</vt:lpwstr>
      </vt:variant>
      <vt:variant>
        <vt:lpwstr/>
      </vt:variant>
      <vt:variant>
        <vt:i4>7471213</vt:i4>
      </vt:variant>
      <vt:variant>
        <vt:i4>27</vt:i4>
      </vt:variant>
      <vt:variant>
        <vt:i4>0</vt:i4>
      </vt:variant>
      <vt:variant>
        <vt:i4>5</vt:i4>
      </vt:variant>
      <vt:variant>
        <vt:lpwstr>http://oberon.sourceoecd.org/vl=335656/cl=12/nw=1/rpsv/ij/oecdjournals/1607310x/v1n4/s1/p1</vt:lpwstr>
      </vt:variant>
      <vt:variant>
        <vt:lpwstr/>
      </vt:variant>
      <vt:variant>
        <vt:i4>1441854</vt:i4>
      </vt:variant>
      <vt:variant>
        <vt:i4>24</vt:i4>
      </vt:variant>
      <vt:variant>
        <vt:i4>0</vt:i4>
      </vt:variant>
      <vt:variant>
        <vt:i4>5</vt:i4>
      </vt:variant>
      <vt:variant>
        <vt:lpwstr>http://iccvam.niehs.nih.gov/SuppDocs/FedDocs/OECD/OECD_GL420.pdf</vt:lpwstr>
      </vt:variant>
      <vt:variant>
        <vt:lpwstr/>
      </vt:variant>
      <vt:variant>
        <vt:i4>2621482</vt:i4>
      </vt:variant>
      <vt:variant>
        <vt:i4>21</vt:i4>
      </vt:variant>
      <vt:variant>
        <vt:i4>0</vt:i4>
      </vt:variant>
      <vt:variant>
        <vt:i4>5</vt:i4>
      </vt:variant>
      <vt:variant>
        <vt:lpwstr>http://www.mhra.gov.uk/NewsCentre/Pressreleases/CON2023822</vt:lpwstr>
      </vt:variant>
      <vt:variant>
        <vt:lpwstr/>
      </vt:variant>
      <vt:variant>
        <vt:i4>2621557</vt:i4>
      </vt:variant>
      <vt:variant>
        <vt:i4>18</vt:i4>
      </vt:variant>
      <vt:variant>
        <vt:i4>0</vt:i4>
      </vt:variant>
      <vt:variant>
        <vt:i4>5</vt:i4>
      </vt:variant>
      <vt:variant>
        <vt:lpwstr>http://scienceandresearch.homeoffice.gov.uk/animal-research/publications-and-reference/statistics/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Toxicity Testing:</dc:title>
  <dc:subject/>
  <dc:creator>je2-may</dc:creator>
  <cp:keywords/>
  <cp:lastModifiedBy>Anna Lawson</cp:lastModifiedBy>
  <cp:revision>2</cp:revision>
  <cp:lastPrinted>2009-01-15T14:56:00Z</cp:lastPrinted>
  <dcterms:created xsi:type="dcterms:W3CDTF">2010-09-23T12:25:00Z</dcterms:created>
  <dcterms:modified xsi:type="dcterms:W3CDTF">2010-09-23T12:25:00Z</dcterms:modified>
</cp:coreProperties>
</file>