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78511" w14:textId="5E84E7C2" w:rsidR="00F16475" w:rsidRPr="004B4934" w:rsidRDefault="002A3D33" w:rsidP="00F16475">
      <w:pPr>
        <w:pStyle w:val="Articletitle"/>
      </w:pPr>
      <w:r w:rsidRPr="004B4934">
        <w:t>UK pension funds</w:t>
      </w:r>
      <w:r w:rsidR="000F7574" w:rsidRPr="004B4934">
        <w:t>’ patience and liquidity in the age of market-based finance</w:t>
      </w:r>
    </w:p>
    <w:p w14:paraId="41F7912F" w14:textId="77777777" w:rsidR="00EE24AA" w:rsidRPr="004B4934" w:rsidRDefault="00EE24AA" w:rsidP="00EE24AA">
      <w:pPr>
        <w:pStyle w:val="Authornames"/>
      </w:pPr>
      <w:r w:rsidRPr="004B4934">
        <w:t xml:space="preserve">Bonizzi, </w:t>
      </w:r>
      <w:proofErr w:type="spellStart"/>
      <w:r w:rsidRPr="004B4934">
        <w:t>Bruno</w:t>
      </w:r>
      <w:r w:rsidRPr="004B4934">
        <w:rPr>
          <w:vertAlign w:val="superscript"/>
        </w:rPr>
        <w:t>a</w:t>
      </w:r>
      <w:proofErr w:type="spellEnd"/>
      <w:r w:rsidRPr="004B4934">
        <w:t xml:space="preserve">*, Jennifer </w:t>
      </w:r>
      <w:proofErr w:type="spellStart"/>
      <w:r w:rsidRPr="004B4934">
        <w:t>Churchill</w:t>
      </w:r>
      <w:r w:rsidRPr="004B4934">
        <w:rPr>
          <w:vertAlign w:val="superscript"/>
        </w:rPr>
        <w:t>b</w:t>
      </w:r>
      <w:proofErr w:type="spellEnd"/>
      <w:r w:rsidRPr="004B4934">
        <w:t xml:space="preserve"> and Annina </w:t>
      </w:r>
      <w:proofErr w:type="spellStart"/>
      <w:r w:rsidRPr="004B4934">
        <w:t>Kaltenbrunner</w:t>
      </w:r>
      <w:r w:rsidRPr="004B4934">
        <w:rPr>
          <w:vertAlign w:val="superscript"/>
        </w:rPr>
        <w:t>c</w:t>
      </w:r>
      <w:proofErr w:type="spellEnd"/>
    </w:p>
    <w:p w14:paraId="51899E5A" w14:textId="77777777" w:rsidR="00EE24AA" w:rsidRPr="004B4934" w:rsidRDefault="00EE24AA" w:rsidP="00EE24AA">
      <w:pPr>
        <w:pStyle w:val="Affiliation"/>
      </w:pPr>
      <w:proofErr w:type="spellStart"/>
      <w:r w:rsidRPr="004B4934">
        <w:rPr>
          <w:vertAlign w:val="superscript"/>
        </w:rPr>
        <w:t>a</w:t>
      </w:r>
      <w:r w:rsidRPr="004B4934">
        <w:t>University</w:t>
      </w:r>
      <w:proofErr w:type="spellEnd"/>
      <w:r w:rsidRPr="004B4934">
        <w:t xml:space="preserve"> of Hertfordshire, Business School, Hatfield, UK; </w:t>
      </w:r>
      <w:proofErr w:type="spellStart"/>
      <w:r w:rsidRPr="004B4934">
        <w:rPr>
          <w:vertAlign w:val="superscript"/>
        </w:rPr>
        <w:t>b</w:t>
      </w:r>
      <w:r w:rsidRPr="004B4934">
        <w:t>Bristol</w:t>
      </w:r>
      <w:proofErr w:type="spellEnd"/>
      <w:r w:rsidRPr="004B4934">
        <w:t xml:space="preserve"> Business </w:t>
      </w:r>
      <w:proofErr w:type="spellStart"/>
      <w:proofErr w:type="gramStart"/>
      <w:r w:rsidRPr="004B4934">
        <w:t>School,UWE</w:t>
      </w:r>
      <w:proofErr w:type="spellEnd"/>
      <w:proofErr w:type="gramEnd"/>
      <w:r w:rsidRPr="004B4934">
        <w:t xml:space="preserve"> Bristol, UK;</w:t>
      </w:r>
      <w:r w:rsidRPr="004B4934">
        <w:rPr>
          <w:vertAlign w:val="superscript"/>
        </w:rPr>
        <w:t xml:space="preserve"> </w:t>
      </w:r>
      <w:proofErr w:type="spellStart"/>
      <w:r w:rsidRPr="004B4934">
        <w:rPr>
          <w:vertAlign w:val="superscript"/>
        </w:rPr>
        <w:t>c</w:t>
      </w:r>
      <w:r w:rsidRPr="004B4934">
        <w:t>Leeds</w:t>
      </w:r>
      <w:proofErr w:type="spellEnd"/>
      <w:r w:rsidRPr="004B4934">
        <w:t xml:space="preserve"> University Business School, Leeds, UK</w:t>
      </w:r>
    </w:p>
    <w:p w14:paraId="278CBA37" w14:textId="485F681B" w:rsidR="00EE24AA" w:rsidRPr="004B4934" w:rsidRDefault="00EE24AA" w:rsidP="00EE24AA">
      <w:pPr>
        <w:pStyle w:val="Correspondencedetails"/>
        <w:rPr>
          <w:rStyle w:val="Hyperlink"/>
          <w:color w:val="auto"/>
        </w:rPr>
      </w:pPr>
      <w:r w:rsidRPr="004B4934">
        <w:t>*</w:t>
      </w:r>
      <w:proofErr w:type="gramStart"/>
      <w:r w:rsidRPr="004B4934">
        <w:t>corresponding</w:t>
      </w:r>
      <w:proofErr w:type="gramEnd"/>
      <w:r w:rsidRPr="004B4934">
        <w:t xml:space="preserve"> author: </w:t>
      </w:r>
      <w:hyperlink r:id="rId11" w:history="1">
        <w:r w:rsidRPr="004B4934">
          <w:rPr>
            <w:rStyle w:val="Hyperlink"/>
            <w:color w:val="auto"/>
          </w:rPr>
          <w:t>b.bonizzi@herts.ac.uk</w:t>
        </w:r>
      </w:hyperlink>
    </w:p>
    <w:p w14:paraId="0F29BCF0" w14:textId="4F41F098" w:rsidR="00A45DC6" w:rsidRPr="004B4934" w:rsidRDefault="00A45DC6" w:rsidP="00EE24AA">
      <w:pPr>
        <w:pStyle w:val="Correspondencedetails"/>
        <w:rPr>
          <w:rStyle w:val="Hyperlink"/>
          <w:color w:val="auto"/>
        </w:rPr>
      </w:pPr>
    </w:p>
    <w:p w14:paraId="2FB7D3E8" w14:textId="3A493935" w:rsidR="00A45DC6" w:rsidRPr="004B4934" w:rsidRDefault="00A45DC6" w:rsidP="00EE24AA">
      <w:pPr>
        <w:pStyle w:val="Correspondencedetails"/>
        <w:rPr>
          <w:rStyle w:val="Hyperlink"/>
          <w:color w:val="auto"/>
        </w:rPr>
      </w:pPr>
    </w:p>
    <w:p w14:paraId="26247C80" w14:textId="60C8F099" w:rsidR="00A45DC6" w:rsidRPr="004B4934" w:rsidRDefault="00A45DC6" w:rsidP="00EE24AA">
      <w:pPr>
        <w:pStyle w:val="Correspondencedetails"/>
        <w:rPr>
          <w:rStyle w:val="Hyperlink"/>
          <w:color w:val="auto"/>
        </w:rPr>
      </w:pPr>
    </w:p>
    <w:p w14:paraId="04822895" w14:textId="3EDBFC46" w:rsidR="00A45DC6" w:rsidRPr="004B4934" w:rsidRDefault="00A45DC6" w:rsidP="00A45DC6">
      <w:pPr>
        <w:pStyle w:val="Acknowledgements"/>
      </w:pPr>
      <w:r w:rsidRPr="004B4934">
        <w:t>The authors would like to thank Mike McCarthy,</w:t>
      </w:r>
      <w:r w:rsidR="00B10576" w:rsidRPr="004B4934">
        <w:t xml:space="preserve"> </w:t>
      </w:r>
      <w:r w:rsidRPr="004B4934">
        <w:t xml:space="preserve">Rosie </w:t>
      </w:r>
      <w:proofErr w:type="spellStart"/>
      <w:r w:rsidRPr="004B4934">
        <w:t>Collington</w:t>
      </w:r>
      <w:proofErr w:type="spellEnd"/>
      <w:r w:rsidRPr="004B4934">
        <w:t xml:space="preserve"> and Carolyn Sissoko</w:t>
      </w:r>
      <w:r w:rsidR="000E3D0A">
        <w:t xml:space="preserve"> and three anonymous referees</w:t>
      </w:r>
      <w:r w:rsidRPr="004B4934">
        <w:t xml:space="preserve"> for the useful comments</w:t>
      </w:r>
      <w:r w:rsidR="006A1768" w:rsidRPr="004B4934">
        <w:t xml:space="preserve"> on previous version</w:t>
      </w:r>
      <w:r w:rsidR="00B10576" w:rsidRPr="004B4934">
        <w:t>s</w:t>
      </w:r>
      <w:r w:rsidR="006A1768" w:rsidRPr="004B4934">
        <w:t xml:space="preserve"> of our paper,</w:t>
      </w:r>
      <w:r w:rsidR="00D4304F">
        <w:t xml:space="preserve"> </w:t>
      </w:r>
      <w:r w:rsidR="006A1768" w:rsidRPr="004B4934">
        <w:t xml:space="preserve">as well as the various participants to workshop and conferences where this paper has been presented. </w:t>
      </w:r>
    </w:p>
    <w:p w14:paraId="2355762D" w14:textId="541C9ED8" w:rsidR="00EE24AA" w:rsidRPr="004B4934" w:rsidRDefault="00EE24AA" w:rsidP="009B24B5">
      <w:pPr>
        <w:pStyle w:val="Articletitle"/>
      </w:pPr>
      <w:r w:rsidRPr="004B4934">
        <w:br w:type="page"/>
      </w:r>
    </w:p>
    <w:p w14:paraId="3A3B672A" w14:textId="77777777" w:rsidR="000F7574" w:rsidRPr="004B4934" w:rsidRDefault="000F7574" w:rsidP="000F7574">
      <w:pPr>
        <w:pStyle w:val="Articletitle"/>
      </w:pPr>
      <w:r w:rsidRPr="004B4934">
        <w:lastRenderedPageBreak/>
        <w:t>UK pension funds’ patience and liquidity in the age of market-based finance</w:t>
      </w:r>
    </w:p>
    <w:p w14:paraId="3FE2290F" w14:textId="2D56DBCA" w:rsidR="00614EBD" w:rsidRPr="004B4934" w:rsidRDefault="00614EBD" w:rsidP="00614EBD">
      <w:pPr>
        <w:pStyle w:val="Abstract"/>
      </w:pPr>
      <w:r w:rsidRPr="004B4934">
        <w:t>Abstract</w:t>
      </w:r>
    </w:p>
    <w:p w14:paraId="09F3FA0B" w14:textId="556EAC2F" w:rsidR="00952E22" w:rsidRPr="004B4934" w:rsidRDefault="009C2529" w:rsidP="00614EBD">
      <w:pPr>
        <w:pStyle w:val="Abstract"/>
      </w:pPr>
      <w:r w:rsidRPr="004B4934">
        <w:t xml:space="preserve">Pension funds have </w:t>
      </w:r>
      <w:r w:rsidR="004934AB" w:rsidRPr="004B4934">
        <w:t>often</w:t>
      </w:r>
      <w:r w:rsidRPr="004B4934">
        <w:t xml:space="preserve"> failed to meet expectations in terms of providing ‘patient capital’. Explanations for this lapse have ranged over regulatory and ideational factors. We argue that a new ‘impatient’ phenomen</w:t>
      </w:r>
      <w:r w:rsidR="001B4A76" w:rsidRPr="004B4934">
        <w:t>on</w:t>
      </w:r>
      <w:r w:rsidRPr="004B4934">
        <w:t xml:space="preserve"> is emerging</w:t>
      </w:r>
      <w:r w:rsidR="00484B81" w:rsidRPr="004B4934">
        <w:t xml:space="preserve"> that requires further explanation</w:t>
      </w:r>
      <w:r w:rsidR="006A4050" w:rsidRPr="004B4934">
        <w:t>: pension funds are becoming</w:t>
      </w:r>
      <w:r w:rsidR="00F23F18" w:rsidRPr="004B4934">
        <w:t xml:space="preserve"> more mindful of their liquidity and collateral </w:t>
      </w:r>
      <w:proofErr w:type="gramStart"/>
      <w:r w:rsidR="00F23F18" w:rsidRPr="004B4934">
        <w:t>management</w:t>
      </w:r>
      <w:r w:rsidR="00CA307E" w:rsidRPr="004B4934">
        <w:t xml:space="preserve">, </w:t>
      </w:r>
      <w:r w:rsidR="002B7A3E" w:rsidRPr="004B4934">
        <w:t>and</w:t>
      </w:r>
      <w:proofErr w:type="gramEnd"/>
      <w:r w:rsidR="002B7A3E" w:rsidRPr="004B4934">
        <w:t xml:space="preserve"> engage in</w:t>
      </w:r>
      <w:r w:rsidR="006B1FA5" w:rsidRPr="004B4934">
        <w:t xml:space="preserve"> pro-cyclical investment behaviour.</w:t>
      </w:r>
      <w:r w:rsidRPr="004B4934">
        <w:t xml:space="preserve"> </w:t>
      </w:r>
      <w:r w:rsidR="008A2063" w:rsidRPr="004B4934">
        <w:t xml:space="preserve">We show how </w:t>
      </w:r>
      <w:r w:rsidR="002C4D5C" w:rsidRPr="004B4934">
        <w:t xml:space="preserve">UK pension funds have adapted their investment strategies, investing significantly in collective funds, including in foreign and in “alternative assets”, and setting aside protection assets as collateral for their derivatives and repo transactions. This behaviour has increased pension funds' exposure to and participation in liquidity spirals, </w:t>
      </w:r>
      <w:r w:rsidR="003F73B5" w:rsidRPr="004B4934">
        <w:t xml:space="preserve">forcing them to </w:t>
      </w:r>
      <w:r w:rsidR="002C79CA" w:rsidRPr="004B4934">
        <w:t>dispose of</w:t>
      </w:r>
      <w:r w:rsidR="003F73B5" w:rsidRPr="004B4934">
        <w:t xml:space="preserve"> assets during crises</w:t>
      </w:r>
      <w:r w:rsidR="00C656CB" w:rsidRPr="004B4934">
        <w:t xml:space="preserve"> and </w:t>
      </w:r>
      <w:r w:rsidR="002C4D5C" w:rsidRPr="004B4934">
        <w:t>contributing to the overall pro-cyclicality of the contemporary market-based financial system</w:t>
      </w:r>
      <w:r w:rsidR="00B6235D">
        <w:t xml:space="preserve">. </w:t>
      </w:r>
      <w:r w:rsidR="00B6235D">
        <w:rPr>
          <w:color w:val="FF0000"/>
        </w:rPr>
        <w:t xml:space="preserve">This was </w:t>
      </w:r>
      <w:r w:rsidR="00C37B2F">
        <w:rPr>
          <w:color w:val="FF0000"/>
        </w:rPr>
        <w:t>most r</w:t>
      </w:r>
      <w:r w:rsidR="00B6235D">
        <w:rPr>
          <w:color w:val="FF0000"/>
        </w:rPr>
        <w:t>ecently highlighted by the in</w:t>
      </w:r>
      <w:r w:rsidR="00C37B2F">
        <w:rPr>
          <w:color w:val="FF0000"/>
        </w:rPr>
        <w:t xml:space="preserve">stability of </w:t>
      </w:r>
      <w:r w:rsidR="00CE7724">
        <w:rPr>
          <w:color w:val="FF0000"/>
        </w:rPr>
        <w:t xml:space="preserve">UK </w:t>
      </w:r>
      <w:r w:rsidR="00C37B2F">
        <w:rPr>
          <w:color w:val="FF0000"/>
        </w:rPr>
        <w:t>government bond markets in September 2022</w:t>
      </w:r>
      <w:r w:rsidR="002C4D5C" w:rsidRPr="004B4934">
        <w:t xml:space="preserve">. </w:t>
      </w:r>
      <w:r w:rsidR="00952E22" w:rsidRPr="004B4934">
        <w:t xml:space="preserve">Drawing from Minsky and the emerging literature on Critical Macro-Finance, </w:t>
      </w:r>
      <w:r w:rsidR="00484B81" w:rsidRPr="004B4934">
        <w:t>we</w:t>
      </w:r>
      <w:r w:rsidR="00952E22" w:rsidRPr="004B4934">
        <w:t xml:space="preserve"> argue that</w:t>
      </w:r>
      <w:r w:rsidR="00484B81" w:rsidRPr="004B4934">
        <w:t xml:space="preserve"> this new</w:t>
      </w:r>
      <w:r w:rsidR="00952E22" w:rsidRPr="004B4934">
        <w:t xml:space="preserve"> pension fund</w:t>
      </w:r>
      <w:r w:rsidR="00484B81" w:rsidRPr="004B4934">
        <w:t xml:space="preserve"> behaviour is in response</w:t>
      </w:r>
      <w:r w:rsidR="00952E22" w:rsidRPr="004B4934">
        <w:t xml:space="preserve"> </w:t>
      </w:r>
      <w:r w:rsidR="00073869" w:rsidRPr="004B4934">
        <w:t xml:space="preserve">to structural changes in the </w:t>
      </w:r>
      <w:r w:rsidR="00516D7A" w:rsidRPr="004B4934">
        <w:t xml:space="preserve">financial </w:t>
      </w:r>
      <w:r w:rsidR="00073869" w:rsidRPr="004B4934">
        <w:t>markets in which they operate</w:t>
      </w:r>
      <w:r w:rsidR="00886F65" w:rsidRPr="004B4934">
        <w:t xml:space="preserve">. </w:t>
      </w:r>
    </w:p>
    <w:p w14:paraId="27F9DE5D" w14:textId="4847E646" w:rsidR="0020415E" w:rsidRPr="004B4934" w:rsidRDefault="00997B0F" w:rsidP="00F30DFF">
      <w:pPr>
        <w:pStyle w:val="Keywords"/>
      </w:pPr>
      <w:r w:rsidRPr="004B4934">
        <w:t xml:space="preserve">Keywords: </w:t>
      </w:r>
      <w:r w:rsidR="006129AD" w:rsidRPr="004B4934">
        <w:t xml:space="preserve">pension funds, critical macro-finance, </w:t>
      </w:r>
      <w:r w:rsidR="00614EBD" w:rsidRPr="004B4934">
        <w:t xml:space="preserve">patient capital, </w:t>
      </w:r>
      <w:r w:rsidR="006129AD" w:rsidRPr="004B4934">
        <w:t>short-termism</w:t>
      </w:r>
      <w:r w:rsidR="001272F2" w:rsidRPr="004B4934">
        <w:t>, liquidity</w:t>
      </w:r>
      <w:r w:rsidR="00F4072C">
        <w:t>, liability-driven investment</w:t>
      </w:r>
    </w:p>
    <w:p w14:paraId="737214B9" w14:textId="7C8BF87A" w:rsidR="00E37007" w:rsidRPr="004B4934" w:rsidRDefault="00E37007" w:rsidP="00E37007">
      <w:pPr>
        <w:pStyle w:val="Heading1"/>
        <w:numPr>
          <w:ilvl w:val="0"/>
          <w:numId w:val="32"/>
        </w:numPr>
      </w:pPr>
      <w:r w:rsidRPr="004B4934">
        <w:t>Introduction</w:t>
      </w:r>
    </w:p>
    <w:p w14:paraId="6BF041D6" w14:textId="21B0861F" w:rsidR="00E969A0" w:rsidRPr="00733B84" w:rsidRDefault="23FAB579" w:rsidP="00397F07">
      <w:pPr>
        <w:pStyle w:val="Newparagraph"/>
        <w:rPr>
          <w:color w:val="FF0000"/>
        </w:rPr>
      </w:pPr>
      <w:r w:rsidRPr="004B4934">
        <w:t xml:space="preserve">With </w:t>
      </w:r>
      <w:r w:rsidR="2F08B2B6" w:rsidRPr="004B4934">
        <w:t>over £2</w:t>
      </w:r>
      <w:r w:rsidR="511D3E2B" w:rsidRPr="004B4934">
        <w:t>.5</w:t>
      </w:r>
      <w:r w:rsidR="2F08B2B6" w:rsidRPr="004B4934">
        <w:t xml:space="preserve"> trillion </w:t>
      </w:r>
      <w:r w:rsidR="22EC5FF3" w:rsidRPr="004B4934">
        <w:t xml:space="preserve">worth </w:t>
      </w:r>
      <w:r w:rsidR="2F08B2B6" w:rsidRPr="004B4934">
        <w:t>of assets,</w:t>
      </w:r>
      <w:r w:rsidR="00B606EF" w:rsidRPr="004B4934">
        <w:t xml:space="preserve"> UK</w:t>
      </w:r>
      <w:r w:rsidR="2F08B2B6" w:rsidRPr="004B4934">
        <w:t xml:space="preserve"> pension funds</w:t>
      </w:r>
      <w:r w:rsidR="22EC5FF3" w:rsidRPr="004B4934">
        <w:t xml:space="preserve"> (PF)</w:t>
      </w:r>
      <w:r w:rsidR="11E0150A" w:rsidRPr="004B4934">
        <w:t xml:space="preserve"> represent one of the largest pools </w:t>
      </w:r>
      <w:r w:rsidR="3263B894" w:rsidRPr="004B4934">
        <w:t xml:space="preserve">of accumulated wealth in Europe. </w:t>
      </w:r>
      <w:r w:rsidR="5D487A35" w:rsidRPr="004B4934">
        <w:t>Repeated</w:t>
      </w:r>
      <w:r w:rsidR="3263B894" w:rsidRPr="004B4934">
        <w:t xml:space="preserve"> policy efforts</w:t>
      </w:r>
      <w:r w:rsidR="5D487A35" w:rsidRPr="004B4934">
        <w:t xml:space="preserve"> have been made to mobilise them as providers of stable </w:t>
      </w:r>
      <w:r w:rsidR="470DD6FF" w:rsidRPr="004B4934">
        <w:t xml:space="preserve">sources of liquidity for financial markets and </w:t>
      </w:r>
      <w:r w:rsidR="5D487A35" w:rsidRPr="004B4934">
        <w:t>long-term financing</w:t>
      </w:r>
      <w:r w:rsidR="00667B3C" w:rsidRPr="004B4934">
        <w:rPr>
          <w:rStyle w:val="EndnoteReference"/>
        </w:rPr>
        <w:endnoteReference w:id="2"/>
      </w:r>
      <w:r w:rsidR="76CFA4B4" w:rsidRPr="004B4934">
        <w:t xml:space="preserve">. </w:t>
      </w:r>
      <w:r w:rsidR="572E3FDF" w:rsidRPr="004B4934">
        <w:t>By and large these efforts have not been</w:t>
      </w:r>
      <w:r w:rsidR="1DE59656" w:rsidRPr="004B4934">
        <w:t xml:space="preserve"> </w:t>
      </w:r>
      <w:r w:rsidR="572E3FDF" w:rsidRPr="004B4934">
        <w:t>successful</w:t>
      </w:r>
      <w:r w:rsidR="0B37EA42" w:rsidRPr="004B4934">
        <w:t>;</w:t>
      </w:r>
      <w:r w:rsidR="570F9624" w:rsidRPr="004B4934">
        <w:t xml:space="preserve"> </w:t>
      </w:r>
      <w:proofErr w:type="gramStart"/>
      <w:r w:rsidR="3018809D" w:rsidRPr="004B4934">
        <w:t>instead</w:t>
      </w:r>
      <w:proofErr w:type="gramEnd"/>
      <w:r w:rsidR="3018809D" w:rsidRPr="004B4934">
        <w:t xml:space="preserve"> </w:t>
      </w:r>
      <w:r w:rsidR="60C2162A" w:rsidRPr="004B4934">
        <w:t>PF</w:t>
      </w:r>
      <w:r w:rsidR="2F4AB329" w:rsidRPr="004B4934">
        <w:t xml:space="preserve"> </w:t>
      </w:r>
      <w:r w:rsidR="7634A2D8" w:rsidRPr="004B4934">
        <w:t xml:space="preserve">have </w:t>
      </w:r>
      <w:r w:rsidR="7BF05337" w:rsidRPr="004B4934">
        <w:t>succumb</w:t>
      </w:r>
      <w:r w:rsidR="7634A2D8" w:rsidRPr="004B4934">
        <w:t>ed</w:t>
      </w:r>
      <w:r w:rsidR="7BF05337" w:rsidRPr="004B4934">
        <w:t xml:space="preserve"> to short-term financial pressures</w:t>
      </w:r>
      <w:r w:rsidR="00576FF9" w:rsidRPr="004B4934">
        <w:t>:</w:t>
      </w:r>
      <w:r w:rsidR="50EF140F" w:rsidRPr="004B4934">
        <w:t xml:space="preserve"> </w:t>
      </w:r>
      <w:r w:rsidR="00F77742" w:rsidRPr="004B4934">
        <w:t>PF have become more careful about the liquidity of their long-term investments</w:t>
      </w:r>
      <w:r w:rsidR="00792C6C" w:rsidRPr="004B4934">
        <w:t>,</w:t>
      </w:r>
      <w:r w:rsidR="1AC2D24C" w:rsidRPr="004B4934">
        <w:t xml:space="preserve"> and </w:t>
      </w:r>
      <w:r w:rsidR="00395DF5" w:rsidRPr="004B4934">
        <w:t xml:space="preserve">they </w:t>
      </w:r>
      <w:r w:rsidR="007B5A7D" w:rsidRPr="004B4934">
        <w:t>dispose of</w:t>
      </w:r>
      <w:r w:rsidR="50EF140F" w:rsidRPr="004B4934">
        <w:t xml:space="preserve"> </w:t>
      </w:r>
      <w:r w:rsidR="776AFAC8" w:rsidRPr="004B4934">
        <w:t>long-term financial assets</w:t>
      </w:r>
      <w:r w:rsidR="471454A3" w:rsidRPr="004B4934">
        <w:t xml:space="preserve"> – such</w:t>
      </w:r>
      <w:r w:rsidR="00973B27" w:rsidRPr="004B4934">
        <w:t xml:space="preserve"> </w:t>
      </w:r>
      <w:r w:rsidR="471454A3" w:rsidRPr="004B4934">
        <w:t>as corporate and government bonds</w:t>
      </w:r>
      <w:r w:rsidR="00792C6C" w:rsidRPr="004B4934">
        <w:t xml:space="preserve"> -</w:t>
      </w:r>
      <w:r w:rsidR="3B953BAA" w:rsidRPr="004B4934">
        <w:t xml:space="preserve"> to obtain cash during crises</w:t>
      </w:r>
      <w:r w:rsidR="471454A3" w:rsidRPr="004B4934">
        <w:t xml:space="preserve">. </w:t>
      </w:r>
      <w:r w:rsidR="27A942DA" w:rsidRPr="004B4934">
        <w:lastRenderedPageBreak/>
        <w:t>This</w:t>
      </w:r>
      <w:r w:rsidR="43522AAD" w:rsidRPr="004B4934">
        <w:t xml:space="preserve"> </w:t>
      </w:r>
      <w:r w:rsidR="54A83B9D" w:rsidRPr="004B4934">
        <w:t xml:space="preserve">was </w:t>
      </w:r>
      <w:r w:rsidR="4BF37C83" w:rsidRPr="004B4934">
        <w:t>evident</w:t>
      </w:r>
      <w:r w:rsidR="00973B27" w:rsidRPr="004B4934">
        <w:t xml:space="preserve"> </w:t>
      </w:r>
      <w:r w:rsidR="3964C43E" w:rsidRPr="004B4934">
        <w:t>in the</w:t>
      </w:r>
      <w:r w:rsidR="20ACADB5" w:rsidRPr="004B4934">
        <w:t xml:space="preserve"> March 2020 COVID-19 financial turmoil: </w:t>
      </w:r>
      <w:r w:rsidR="6584FAC7" w:rsidRPr="004B4934">
        <w:t>rather than providing patient capital</w:t>
      </w:r>
      <w:r w:rsidR="1CB42DE3" w:rsidRPr="004B4934">
        <w:t xml:space="preserve"> to </w:t>
      </w:r>
      <w:r w:rsidR="195E24A6" w:rsidRPr="004B4934">
        <w:t>cash-po</w:t>
      </w:r>
      <w:r w:rsidR="448D6B0C" w:rsidRPr="004B4934">
        <w:t>or firms,</w:t>
      </w:r>
      <w:r w:rsidR="195E24A6" w:rsidRPr="004B4934">
        <w:t xml:space="preserve"> </w:t>
      </w:r>
      <w:r w:rsidR="2F906B27" w:rsidRPr="004B4934">
        <w:t xml:space="preserve">PF </w:t>
      </w:r>
      <w:r w:rsidR="77F394EB" w:rsidRPr="004B4934">
        <w:t xml:space="preserve">participated </w:t>
      </w:r>
      <w:r w:rsidR="1CB42DE3" w:rsidRPr="004B4934">
        <w:t>in</w:t>
      </w:r>
      <w:r w:rsidR="3D288668" w:rsidRPr="004B4934">
        <w:t xml:space="preserve"> the </w:t>
      </w:r>
      <w:r w:rsidR="61CB6CBD" w:rsidRPr="004B4934">
        <w:t xml:space="preserve">“dash for cash” </w:t>
      </w:r>
      <w:r w:rsidR="78092B7C" w:rsidRPr="004B4934">
        <w:t xml:space="preserve">to cover margin calls on their short-term positions </w:t>
      </w:r>
      <w:r w:rsidR="003D7604" w:rsidRPr="004B4934">
        <w:fldChar w:fldCharType="begin"/>
      </w:r>
      <w:r w:rsidR="00E461FE">
        <w:instrText xml:space="preserve"> ADDIN ZOTERO_ITEM CSL_CITATION {"citationID":"8Qwmjklz","properties":{"formattedCitation":"(Bank of England 2020a, 2020b)","plainCitation":"(Bank of England 2020a, 2020b)","noteIndex":0},"citationItems":[{"id":1727,"uris":["http://zotero.org/users/5165859/items/EZD3NX4A"],"itemData":{"id":1727,"type":"report","genre":"Interim financial stability report","publisher":"Bank of England","title":"UK financial stability and the Covid-19 pandemic","author":[{"family":"Bank of England","given":""}],"issued":{"date-parts":[["2020",5]]}}},{"id":78,"uris":["http://zotero.org/users/5165859/items/V8PE7CKQ"],"itemData":{"id":78,"type":"report","number":"August","publisher":"Bank of England","title":"Financial Stability Report","author":[{"family":"Bank of England","given":""}],"issued":{"date-parts":[["2020"]]}}}],"schema":"https://github.com/citation-style-language/schema/raw/master/csl-citation.json"} </w:instrText>
      </w:r>
      <w:r w:rsidR="003D7604" w:rsidRPr="004B4934">
        <w:fldChar w:fldCharType="separate"/>
      </w:r>
      <w:r w:rsidR="3AE39EEC" w:rsidRPr="004B4934">
        <w:t>(Bank of England 2020a, 2020b)</w:t>
      </w:r>
      <w:r w:rsidR="003D7604" w:rsidRPr="004B4934">
        <w:fldChar w:fldCharType="end"/>
      </w:r>
      <w:r w:rsidR="13F2473A" w:rsidRPr="004B4934">
        <w:t>.</w:t>
      </w:r>
      <w:r w:rsidR="00733B84">
        <w:t xml:space="preserve"> </w:t>
      </w:r>
      <w:r w:rsidR="00733B84">
        <w:rPr>
          <w:color w:val="FF0000"/>
        </w:rPr>
        <w:t xml:space="preserve">This </w:t>
      </w:r>
      <w:r w:rsidR="000E6D3E">
        <w:rPr>
          <w:color w:val="FF0000"/>
        </w:rPr>
        <w:t xml:space="preserve">was </w:t>
      </w:r>
      <w:r w:rsidR="004C6F17">
        <w:rPr>
          <w:color w:val="FF0000"/>
        </w:rPr>
        <w:t xml:space="preserve">again </w:t>
      </w:r>
      <w:r w:rsidR="00CE7724">
        <w:rPr>
          <w:color w:val="FF0000"/>
        </w:rPr>
        <w:t>clearly</w:t>
      </w:r>
      <w:r w:rsidR="004C6F17">
        <w:rPr>
          <w:color w:val="FF0000"/>
        </w:rPr>
        <w:t xml:space="preserve"> shown by the turmoil</w:t>
      </w:r>
      <w:r w:rsidR="000E6D3E">
        <w:rPr>
          <w:color w:val="FF0000"/>
        </w:rPr>
        <w:t xml:space="preserve"> </w:t>
      </w:r>
      <w:r w:rsidR="00CE7724">
        <w:rPr>
          <w:color w:val="FF0000"/>
        </w:rPr>
        <w:t xml:space="preserve">in </w:t>
      </w:r>
      <w:r w:rsidR="000E6D3E">
        <w:rPr>
          <w:color w:val="FF0000"/>
        </w:rPr>
        <w:t>September 2022, when PF, short of liquidity</w:t>
      </w:r>
      <w:r w:rsidR="00C948D4">
        <w:rPr>
          <w:color w:val="FF0000"/>
        </w:rPr>
        <w:t xml:space="preserve">, </w:t>
      </w:r>
      <w:r w:rsidR="004458D0">
        <w:rPr>
          <w:color w:val="FF0000"/>
        </w:rPr>
        <w:t xml:space="preserve">sold gilts and other assets to </w:t>
      </w:r>
      <w:r w:rsidR="004639C1">
        <w:rPr>
          <w:color w:val="FF0000"/>
        </w:rPr>
        <w:t>respond to their margin and collateral calls</w:t>
      </w:r>
      <w:r w:rsidR="004458D0">
        <w:rPr>
          <w:color w:val="FF0000"/>
        </w:rPr>
        <w:t xml:space="preserve"> </w:t>
      </w:r>
      <w:r w:rsidR="00505D82">
        <w:rPr>
          <w:color w:val="FF0000"/>
        </w:rPr>
        <w:fldChar w:fldCharType="begin"/>
      </w:r>
      <w:r w:rsidR="005124AF">
        <w:rPr>
          <w:color w:val="FF0000"/>
        </w:rPr>
        <w:instrText xml:space="preserve"> ADDIN ZOTERO_ITEM CSL_CITATION {"citationID":"04wUvcZ5","properties":{"formattedCitation":"(Bank of England 2022, Hammond {\\i{}et al.} 2022)","plainCitation":"(Bank of England 2022, Hammond et al. 2022)","noteIndex":0},"citationItems":[{"id":4064,"uris":["http://zotero.org/users/5165859/items/R4GLCA43"],"itemData":{"id":4064,"type":"report","number":"December","publisher":"Bank of England","title":"Financial Stability Report","URL":"https://www.bankofengland.co.uk/-/media/boe/files/financial-stability-report/2022/financial-stability-report-december-2022.pdf","author":[{"family":"Bank of England","given":""}],"issued":{"date-parts":[["2022"]]}}},{"id":4063,"uris":["http://zotero.org/users/5165859/items/M2CITXPV"],"itemData":{"id":4063,"type":"article-newspaper","abstract":"Investors withdrawing millions of pounds triggers sale of prime property","container-title":"Financial Times","title":"Fire sale begins as property funds face rush of UK redemptions","author":[{"family":"Hammond","given":"George"},{"family":"Klasa","given":"Adrienne"},{"family":"Oliver","given":"Joshua"}],"issued":{"date-parts":[["2022",11,4]]}}}],"schema":"https://github.com/citation-style-language/schema/raw/master/csl-citation.json"} </w:instrText>
      </w:r>
      <w:r w:rsidR="00505D82">
        <w:rPr>
          <w:color w:val="FF0000"/>
        </w:rPr>
        <w:fldChar w:fldCharType="separate"/>
      </w:r>
      <w:r w:rsidR="00FE798F" w:rsidRPr="00FE798F">
        <w:t xml:space="preserve">(Bank of England 2022, Hammond </w:t>
      </w:r>
      <w:r w:rsidR="00FE798F" w:rsidRPr="00FE798F">
        <w:rPr>
          <w:i/>
          <w:iCs/>
        </w:rPr>
        <w:t>et al.</w:t>
      </w:r>
      <w:r w:rsidR="00FE798F" w:rsidRPr="00FE798F">
        <w:t xml:space="preserve"> 2022)</w:t>
      </w:r>
      <w:r w:rsidR="00505D82">
        <w:rPr>
          <w:color w:val="FF0000"/>
        </w:rPr>
        <w:fldChar w:fldCharType="end"/>
      </w:r>
      <w:r w:rsidR="000E6D3E">
        <w:rPr>
          <w:color w:val="FF0000"/>
        </w:rPr>
        <w:t xml:space="preserve"> </w:t>
      </w:r>
      <w:r w:rsidR="00733B84">
        <w:rPr>
          <w:color w:val="FF0000"/>
        </w:rPr>
        <w:t xml:space="preserve"> </w:t>
      </w:r>
    </w:p>
    <w:p w14:paraId="3E21BC8C" w14:textId="0E0C7291" w:rsidR="00551DD7" w:rsidRPr="004B4934" w:rsidRDefault="00673BB3" w:rsidP="00397F07">
      <w:pPr>
        <w:pStyle w:val="Newparagraph"/>
      </w:pPr>
      <w:r w:rsidRPr="004B4934">
        <w:t>Existing r</w:t>
      </w:r>
      <w:r w:rsidR="002A5114" w:rsidRPr="004B4934">
        <w:t>esearch shows that the patience of PF as investors cannot be taken for granted</w:t>
      </w:r>
      <w:r w:rsidR="001B4E64" w:rsidRPr="004B4934">
        <w:t xml:space="preserve"> </w:t>
      </w:r>
      <w:r w:rsidR="002A5114" w:rsidRPr="004B4934">
        <w:t>and is contingent o</w:t>
      </w:r>
      <w:r w:rsidR="008C438E" w:rsidRPr="004B4934">
        <w:t xml:space="preserve">n </w:t>
      </w:r>
      <w:r w:rsidR="002A5114" w:rsidRPr="004B4934">
        <w:t xml:space="preserve">institutional factors, such as regulation and the preferences of different actors within PF </w:t>
      </w:r>
      <w:r w:rsidRPr="004B4934">
        <w:fldChar w:fldCharType="begin"/>
      </w:r>
      <w:r w:rsidR="00E461FE">
        <w:instrText xml:space="preserve"> ADDIN ZOTERO_ITEM CSL_CITATION {"citationID":"fXxX0pro","properties":{"formattedCitation":"(Naczyk 2013, Datz 2014, Dixon 2014, Wi\\uc0\\u223{} 2015, McCarthy {\\i{}et al.} 2016)","plainCitation":"(Naczyk 2013, Datz 2014, Dixon 2014, Wiß 2015, McCarthy et al. 2016)","noteIndex":0},"citationItems":[{"id":1372,"uris":["http://zotero.org/users/5165859/items/67Q47XJR"],"itemData":{"id":1372,"type":"article-journal","abstract":"This paper analyses business preferences towards the development of private\n                    pension funds. Existing studies about business involvement in welfare state\n                    reform equate capital with employers and focus on the socio-economic\n                    determinants of their preferences. In contrast, this paper also analyses the\n                    role of financial firms. Moreover, it develops a set of\n                    hypotheses about how institutions contribute to shape capital's\n                    preferences towards pension privatization. In particular, I study the impact of\n                    institutional feedback from the public/statutory pay-as-you-go system, from\n                    existing private/supplementary occupational pensions and the influence of social\n                    partnership. Financial firms are hypothesized to be a key proponent of pension\n                    privatization, while employers may have a much more ambivalent attitude. The\n                    argument is tested using a comparative historical analysis of pension debates in\n                    Belgium and France from the end of the 1970s until the mid-2000s.","container-title":"Socio-Economic Review","DOI":"10.1093/ser/mws012","ISSN":"1475-1461","issue":"3","journalAbbreviation":"Socioecon Rev","page":"441-469","source":"academic.oup.com","title":"Agents of privatization? Business groups and the rise of pension funds in Continental Europe","title-short":"Agents of privatization?","volume":"11","author":[{"family":"Naczyk","given":"Marek"}],"issued":{"date-parts":[["2013",7,1]]}}},{"id":955,"uris":["http://zotero.org/users/5165859/items/EET8C8N8"],"itemData":{"id":955,"type":"article-journal","abstract":"When it comes to analyses of financial power in Latin America, there has been a tendency to assume it is mostly external, relatively homogeneous, and usually constraining of domestic policy autonomy. Increasingly, however, when speaking of financial power in the region, a focus exclusively on foreign capital misses a significant part of the empirical landscape, one inhabited by large domestic institutional investors: public and private pension funds. A focus on these funds reveals that a neat state–finance dichotomy is often unrepresentative of the type of blurred web of interests, influence and ownership that characterizes even those economies that have embraced a significant degree of liberalization. In fact, pension finance is far from uniform across countries. In order to capture this diversity in Latin America, a new typology is suggested that departs from the Anglo-American notion of ‘pension fund capitalism’ and further specifies pension finance as also revealing dynamics best described as ‘pension fund developmentalism and statism’. The typology is not only aimed at capturing more empirical nuance in Latin America; it can also serve as reference for cross-regional analyses of these often neglected, but increasingly powerful financial actors in emerging economies.","container-title":"Government and Opposition","DOI":"10.1017/gov.2014.7","ISSN":"0017-257X, 1477-7053","issue":"3","page":"483-510","source":"Cambridge Core","title":"Varieties of Power in Latin American Pension Finance: Pension Fund Capitalism, Developmentalism and Statism","title-short":"Varieties of Power in Latin American Pension Finance","volume":"49","author":[{"family":"Datz","given":"Giselle"}],"issued":{"date-parts":[["2014",7]]}}},{"id":1428,"uris":["http://zotero.org/users/5165859/items/F28CGI4P"],"itemData":{"id":1428,"type":"book","abstract":"This title advances a perspective rooted in economic geography for explaining the changing relationship between contemporary welfare states, firms, and global financial markets.","ISBN":"978-0-19-178195-7","language":"en","note":"Google-Books-ID: INPgoQEACAAJ","number-of-pages":"192","publisher":"Oxford University Press","source":"Google Books","title":"The New Geography of Capitalism: Firms, Finance, and Society","title-short":"The New Geography of Capitalism","author":[{"family":"Dixon","given":"Adam D."}],"issued":{"date-parts":[["2014"]]}}},{"id":1390,"uris":["http://zotero.org/users/5165859/items/D64PNQQJ"],"itemData":{"id":1390,"type":"article-journal","abstract":"Restricted public pension schemes and cuts in earnings-related pensions have increased the role of pension funds. However, it is unclear from previous studies how far financial market crises affect pension funds mediated by trade unions and employee participation. This article draws on institutionalist arguments to link different mechanisms of coordination of market economies to differences in pension systems, corporate and pension fund governance, investment strategies and thus the vulnerability of pension funds to financial market risks. There is higher vulnerability to financial market crises in liberal market economies with weak trade union influence and high equity exposure.","container-title":"European Journal of Industrial Relations","DOI":"10.1177/0959680114530237","ISSN":"0959-6801","issue":"2","journalAbbreviation":"European Journal of Industrial Relations","language":"en","page":"131-147","source":"SAGE Journals","title":"Pension fund vulnerability to the financial market crisis: The role of trade unions","title-short":"Pension fund vulnerability to the financial market crisis","volume":"21","author":[{"family":"Wiß","given":"Tobias"}],"issued":{"date-parts":[["2015",6,1]]}}},{"id":1420,"uris":["http://zotero.org/users/5165859/items/UEC2WAVA"],"itemData":{"id":1420,"type":"article-journal","abstract":"In comparative political economy, the patience of capital investment has often been explained with the political activity of stakeholders. Such scholarship attributes investment preferences to either set assumptions about what various actors are likely to want from their pension systems or to macro-level institutional factors. Comparing the preferences of business and labor actors in the occupational pension systems in Finland, the Netherlands, and the USA, we argue that preferences are better explained more dynamically and emerge from meso-level institutional forces. We find that financing needs and capacities, governance capacities and financial regulations explain changes in labor and business preferences with regard to fund investment. In each of the cases, a combination of these three institutional factors explains a preference shift toward more varied and more impatient investing.","container-title":"Socio-Economic Review","DOI":"10.1093/ser/mww020","ISSN":"1475-1461","issue":"4","journalAbbreviation":"Socioecon Rev","page":"751-769","source":"academic.oup.com","title":"Investment preferences and patient capital: financing, governance, and regulation in pension fund capitalism","title-short":"Investment preferences and patient capital","volume":"14","author":[{"family":"McCarthy","given":"Michael A."},{"family":"Sorsa","given":"Ville-Pekka"},{"family":"Zwan","given":"Natascha","non-dropping-particle":"van der"}],"issued":{"date-parts":[["2016",10,1]]}}}],"schema":"https://github.com/citation-style-language/schema/raw/master/csl-citation.json"} </w:instrText>
      </w:r>
      <w:r w:rsidRPr="004B4934">
        <w:fldChar w:fldCharType="separate"/>
      </w:r>
      <w:r w:rsidR="002A5114" w:rsidRPr="004B4934">
        <w:t xml:space="preserve">(Naczyk 2013, Datz 2014, Dixon 2014, Wiß 2015, McCarthy </w:t>
      </w:r>
      <w:r w:rsidR="002A5114" w:rsidRPr="004B4934">
        <w:rPr>
          <w:i/>
          <w:iCs/>
        </w:rPr>
        <w:t>et al.</w:t>
      </w:r>
      <w:r w:rsidR="002A5114" w:rsidRPr="004B4934">
        <w:t xml:space="preserve"> 2016)</w:t>
      </w:r>
      <w:r w:rsidRPr="004B4934">
        <w:fldChar w:fldCharType="end"/>
      </w:r>
      <w:r w:rsidR="002A5114" w:rsidRPr="004B4934">
        <w:t>.</w:t>
      </w:r>
      <w:r w:rsidRPr="004B4934">
        <w:t xml:space="preserve"> </w:t>
      </w:r>
      <w:r w:rsidR="00B606EF" w:rsidRPr="004B4934">
        <w:t xml:space="preserve"> </w:t>
      </w:r>
      <w:r w:rsidR="004E654E" w:rsidRPr="004B4934">
        <w:t xml:space="preserve">In the UK, the literature </w:t>
      </w:r>
      <w:r w:rsidR="00B02002" w:rsidRPr="004B4934">
        <w:t xml:space="preserve">has </w:t>
      </w:r>
      <w:r w:rsidR="00D93D41" w:rsidRPr="004B4934">
        <w:t>point</w:t>
      </w:r>
      <w:r w:rsidR="00B02002" w:rsidRPr="004B4934">
        <w:t>ed</w:t>
      </w:r>
      <w:r w:rsidR="00D93D41" w:rsidRPr="004B4934">
        <w:t xml:space="preserve"> to</w:t>
      </w:r>
      <w:r w:rsidR="00C75FCB" w:rsidRPr="004B4934">
        <w:t xml:space="preserve"> PF maturity, i.e. the increasing proportion of pensioners to active</w:t>
      </w:r>
      <w:r w:rsidR="00626553" w:rsidRPr="004B4934">
        <w:t xml:space="preserve"> </w:t>
      </w:r>
      <w:r w:rsidR="00892981" w:rsidRPr="004B4934">
        <w:t>workers</w:t>
      </w:r>
      <w:r w:rsidR="00626553" w:rsidRPr="004B4934">
        <w:t xml:space="preserve"> </w:t>
      </w:r>
      <w:r w:rsidRPr="004B4934">
        <w:fldChar w:fldCharType="begin"/>
      </w:r>
      <w:r w:rsidR="00E461FE">
        <w:instrText xml:space="preserve"> ADDIN ZOTERO_ITEM CSL_CITATION {"citationID":"oCRhbA73","properties":{"formattedCitation":"(Toporowski 2000, Engelen 2003)","plainCitation":"(Toporowski 2000, Engelen 2003)","noteIndex":0},"citationItems":[{"id":1417,"uris":["http://zotero.org/users/5165859/items/2P98HHGI"],"itemData":{"id":1417,"type":"book","abstract":"This volume develops an original critique of the belief that the present era of finance, where finance markets dominate contemporary capitalist economies, represents the best possible way of organising economic affairs. In fact, it is argued, the ensuing economic instability and inefficiency create the preconditions for the end of the dominance of finance. The End of Finance develops a theory of capital market inflation rooted in the work of Veblen, Kalecki, Keynes and Minsky, demonstrating how it disinclines productive activity on the part of firms, provides only short-term conditions that are propitious for privatisation and distorts monetary policy in the long-term. The author examines the role of pension fund schemes and financial derivatives in transmitting capital market inflation and provides a nuanced analysis of the contradictory role they play in the financial system. Capital market inflation is also examined in its historical context and compared with past inflations, in particular the South Sea and Mississippi Bubbles, which spawned the first financial derivatives, and the first privatisations. This broad historical vision allows us to see these forms of inflation as temporary and provisional in character.","ISBN":"978-0-203-01409-7","language":"en","number-of-pages":"354","publisher":"Routledge","source":"Google Books","title":"The End of Finance: Capital Market Inflation, Financial Derivatives and Pension Fund Capitalism","title-short":"The End of Finance","author":[{"family":"Toporowski","given":"Jan"}],"issued":{"date-parts":[["2000"]]}}},{"id":208,"uris":["http://zotero.org/users/5165859/items/8VIDAS9G"],"itemData":{"id":208,"type":"article-journal","abstract":"During the 1990s, pension funds seemed to dominate the world's capital markets, reaping unprecedented rates of return. This stands in glaring contrast to the budgetary difficulties of most nonfunded European pension arrangements, which are a result of the changing demographic composition of the population. As a result, a growing number of European states is trying to transform the existing pay-as-you-go systems into funded pension arrangements. After a critical examination of these demographic projections, the claim that funded pension systems are not subject to `demographic stress' is critically assessed. Finally, given the logic to which funded pension arrangements are subject, it is argued that the introduction of such institutions could result in a growing financialisation of the economy. It is claimed here that this is not without dangers for the long-term wealth-generating capacity of firms. So, not only are the reasons for pension restructuring less compelling than is generally thought, restructuring could also result in unwanted side-effects.","container-title":"Environment and Planning A","DOI":"10.1068/a35307","issue":"8","page":"1357 – 1372","source":"Pion Journals","title":"The logic of funding European pension restructuring and the dangers of financialisation","volume":"35","author":[{"family":"Engelen","given":"Ewald"}],"issued":{"date-parts":[["2003"]]}}}],"schema":"https://github.com/citation-style-language/schema/raw/master/csl-citation.json"} </w:instrText>
      </w:r>
      <w:r w:rsidRPr="004B4934">
        <w:fldChar w:fldCharType="separate"/>
      </w:r>
      <w:r w:rsidR="00663564" w:rsidRPr="004B4934">
        <w:t>(Toporowski 2000, Engelen 2003)</w:t>
      </w:r>
      <w:r w:rsidRPr="004B4934">
        <w:fldChar w:fldCharType="end"/>
      </w:r>
      <w:r w:rsidR="00626553" w:rsidRPr="004B4934">
        <w:t>,</w:t>
      </w:r>
      <w:r w:rsidR="004E654E" w:rsidRPr="004B4934">
        <w:t xml:space="preserve"> employers’ unwillingness to act as a stable anchor to the PF system </w:t>
      </w:r>
      <w:r w:rsidR="004E654E" w:rsidRPr="004B4934">
        <w:fldChar w:fldCharType="begin"/>
      </w:r>
      <w:r w:rsidR="00E461FE">
        <w:instrText xml:space="preserve"> ADDIN ZOTERO_ITEM CSL_CITATION {"citationID":"3AQ1Xpm2","properties":{"formattedCitation":"(Berry 2021)","plainCitation":"(Berry 2021)","noteIndex":0},"citationItems":[{"id":8,"uris":["http://zotero.org/users/5165859/items/TD6XQ6WE"],"itemData":{"id":8,"type":"book","abstract":"Private pensions provision in the UK is in crisis, yet it is not the crisis often depicted in political and popular discourses. While population ageing has affected traditional pensions practice, the imperilment of UK pensions is due in fact to the peculiar way policy-makers have responded to wider social and economic change. Pensions are a mechanism for managing failed futures, yet this function is being impeded by the individualization of provision. This book offers a political economy perspective on the development of private pensions, focusing specifically on how policy elites have sought to respond to perceived crises of demographic change, under-saving, and fund deficits, and in doing so have absorbed imperatives to subject individuals to a market-led regime under the influence of neoliberal ideology. This terrain is explored through chapters on the historical and comparative context of UK pensions provision, the demise of collectivist provision, the rise of pensions individualization and the state's role as facilitator and regulator in this regard, and the financial and economic context in which pensions provision operates. By placing the UK system in a comparative context of pensions reform agendas across the world, this book offers an original understanding of the unique temporality and materiality of pensions provision as a set of mechanisms for coping with generational change and forecast failures in capitalist economies. It also presents a nuanced account of the extent to which the state acts to anchor the process of pensions rematerialization and, crucially, concludes by outlining a coherent and radical programme of progressive pensions reform.","event-place":"Oxford, New York","ISBN":"978-0-19-878283-4","number-of-pages":"352","publisher":"Oxford University Press","publisher-place":"Oxford, New York","source":"Oxford University Press","title":"Pensions Imperilled: The Political Economy of Private Pensions Provision in the UK","title-short":"Pensions Imperilled","author":[{"family":"Berry","given":"Craig"}],"issued":{"date-parts":[["2021"]]}}}],"schema":"https://github.com/citation-style-language/schema/raw/master/csl-citation.json"} </w:instrText>
      </w:r>
      <w:r w:rsidR="004E654E" w:rsidRPr="004B4934">
        <w:fldChar w:fldCharType="separate"/>
      </w:r>
      <w:r w:rsidR="004E654E" w:rsidRPr="004B4934">
        <w:t>(Berry 2021)</w:t>
      </w:r>
      <w:r w:rsidR="004E654E" w:rsidRPr="004B4934">
        <w:fldChar w:fldCharType="end"/>
      </w:r>
      <w:r w:rsidR="004E654E" w:rsidRPr="004B4934">
        <w:t xml:space="preserve">, </w:t>
      </w:r>
      <w:r w:rsidR="00626553" w:rsidRPr="004B4934">
        <w:t xml:space="preserve"> and – more recently - </w:t>
      </w:r>
      <w:r w:rsidR="004E654E" w:rsidRPr="004B4934">
        <w:t xml:space="preserve">the influence of the financial industry on pension investment and funding regulation and the adoption of  liability-driven investment” (LDI) </w:t>
      </w:r>
      <w:r w:rsidR="004E654E" w:rsidRPr="004B4934">
        <w:fldChar w:fldCharType="begin"/>
      </w:r>
      <w:r w:rsidR="00E461FE">
        <w:instrText xml:space="preserve"> ADDIN ZOTERO_ITEM CSL_CITATION {"citationID":"7v9Zq1hv","properties":{"formattedCitation":"(Gelepithis 2019, Mabbett 2020a)","plainCitation":"(Gelepithis 2019, Mabbett 2020a)","dontUpdate":true,"noteIndex":0},"citationItems":[{"id":"F02KzQUJ/OQm5cgLU","uris":["http://zotero.org/users/5165859/items/AXZED5RF"],"itemData":{"id":3533,"type":"article-journal","abstract":"Funded pensions are now established components of most mature retirement income systems. The value of global pension fund assets is higher than ever before, and the way these assets are invested affects both the welfare of future retirees, and the performance of national economies. Recent research has identified systematic cross-national variation in the investment behaviour of pension funds, explaining it through the preferences and influence of employer-sponsors and plan members. Yet the ongoing ‘de-risking’ of UK pension funds remains puzzling. Informed by the UK case, this article develops the argument that variation in pension fund asset allocation reflects the independent influence of networks of investment professionals who construct and institutionalise norms of liability driven investment.","container-title":"Journal of European Public Policy","DOI":"10.1080/13501763.2019.1574874","ISSN":"1350-1763","issue":"4","note":"publisher: Routledge\n_eprint: https://doi.org/10.1080/13501763.2019.1574874","page":"540-559","source":"Taylor and Francis+NEJM","title":"Re-assessing the role of financial professionals in pension fund investment strategies","volume":"26","author":[{"family":"Gelepithis","given":"Margarita"}],"issued":{"date-parts":[["2019",4,3]]}}},{"id":1560,"uris":["http://zotero.org/users/5165859/items/QWZ4WTXZ"],"itemData":{"id":1560,"type":"article-journal","abstract":"In pensions, the practice of valuation purports to answer the question of whether a pension fund has sufficient assets to honor its promises. Uncertainty about the answer is converted into calculable risk, using the insights of financial economics. This article examines why UK pension funds have ‘derisked’ their portfolios by moving out of assets with volatile prices. It is shown that derisking is produced by the performance of financialized risk management in a regulatory setting where horizons are shortened. While derisking is not generally in the interests of employers or scheme members, and is damaging to the wider economy, three features of the governance structure for pensions have stymied attempts to counteract it. These are: the spillover effects of financialization in corporate accounting, herding around industry benchmarks, and collective action problems arising from the regulator’s dependence on dialogue with private actors and from the risk-aversion of political actors.","container-title":"Review of International Political Economy","DOI":"10.1080/09692290.2020.1758187","ISSN":"0969-2290","issue":"0","note":"publisher: Routledge\n_eprint: https://doi.org/10.1080/09692290.2020.1758187","page":"1-21","source":"Taylor and Francis+NEJM","title":"Reckless prudence: financialization in UK pension scheme governance after the crisis","title-short":"Reckless prudence","volume":"0","author":[{"family":"Mabbett","given":"Deborah"}],"issued":{"date-parts":[["2020",4,28]]}}}],"schema":"https://github.com/citation-style-language/schema/raw/master/csl-citation.json"} </w:instrText>
      </w:r>
      <w:r w:rsidR="004E654E" w:rsidRPr="004B4934">
        <w:fldChar w:fldCharType="separate"/>
      </w:r>
      <w:r w:rsidR="004E654E" w:rsidRPr="004B4934">
        <w:t>(Gelepithis 2019, Mabbett 2020)</w:t>
      </w:r>
      <w:r w:rsidR="004E654E" w:rsidRPr="004B4934">
        <w:fldChar w:fldCharType="end"/>
      </w:r>
      <w:r w:rsidR="002374FD" w:rsidRPr="004B4934">
        <w:t xml:space="preserve"> “</w:t>
      </w:r>
      <w:r w:rsidR="004E654E" w:rsidRPr="004B4934">
        <w:t>as reasons for PF’ continuing short-termism.</w:t>
      </w:r>
    </w:p>
    <w:p w14:paraId="13663907" w14:textId="46FB0374" w:rsidR="00B8798C" w:rsidRPr="004B4934" w:rsidRDefault="00133AE3" w:rsidP="006F32A6">
      <w:pPr>
        <w:pStyle w:val="Newparagraph"/>
      </w:pPr>
      <w:r w:rsidRPr="004B4934">
        <w:t xml:space="preserve">Whilst all these factors form part of the causal structure governing </w:t>
      </w:r>
      <w:r w:rsidR="007F5C63" w:rsidRPr="004B4934">
        <w:t>PF</w:t>
      </w:r>
      <w:r w:rsidRPr="004B4934">
        <w:t xml:space="preserve"> behaviour</w:t>
      </w:r>
      <w:r w:rsidR="00126A5F" w:rsidRPr="004B4934">
        <w:t>,</w:t>
      </w:r>
      <w:r w:rsidR="00E763A4" w:rsidRPr="004B4934">
        <w:t xml:space="preserve"> </w:t>
      </w:r>
      <w:r w:rsidR="000F746C" w:rsidRPr="004B4934">
        <w:t>t</w:t>
      </w:r>
      <w:r w:rsidR="005E0EF0" w:rsidRPr="004B4934">
        <w:t>his paper argues that</w:t>
      </w:r>
      <w:r w:rsidR="000F746C" w:rsidRPr="004B4934">
        <w:t xml:space="preserve"> </w:t>
      </w:r>
      <w:r w:rsidR="005466AF" w:rsidRPr="004B4934">
        <w:t xml:space="preserve">a key but </w:t>
      </w:r>
      <w:r w:rsidR="004F1077" w:rsidRPr="004B4934">
        <w:t>overlooked</w:t>
      </w:r>
      <w:r w:rsidR="005466AF" w:rsidRPr="004B4934">
        <w:t xml:space="preserve"> determinant of </w:t>
      </w:r>
      <w:r w:rsidR="00003453" w:rsidRPr="004B4934">
        <w:t xml:space="preserve">PF’s </w:t>
      </w:r>
      <w:r w:rsidR="00F20D76" w:rsidRPr="004B4934">
        <w:t>short-termism</w:t>
      </w:r>
      <w:r w:rsidR="00003453" w:rsidRPr="004B4934">
        <w:t xml:space="preserve"> </w:t>
      </w:r>
      <w:r w:rsidR="005466AF" w:rsidRPr="004B4934">
        <w:t xml:space="preserve">is </w:t>
      </w:r>
      <w:r w:rsidR="00003453" w:rsidRPr="004B4934">
        <w:t xml:space="preserve">their need to engage in liquidity management in the increasingly market-based UK financial system. </w:t>
      </w:r>
      <w:r w:rsidR="000D573D" w:rsidRPr="004B4934">
        <w:t>We show how t</w:t>
      </w:r>
      <w:r w:rsidR="00626553" w:rsidRPr="004B4934">
        <w:t xml:space="preserve">he market-based </w:t>
      </w:r>
      <w:r w:rsidR="006F32A6" w:rsidRPr="004B4934">
        <w:t xml:space="preserve">nature </w:t>
      </w:r>
      <w:r w:rsidR="00626553" w:rsidRPr="004B4934">
        <w:t xml:space="preserve">of the UK’s financial </w:t>
      </w:r>
      <w:r w:rsidR="00641BD7" w:rsidRPr="004B4934">
        <w:t xml:space="preserve">system </w:t>
      </w:r>
      <w:r w:rsidR="00641BD7" w:rsidRPr="004B4934" w:rsidDel="006F32A6">
        <w:t>subjects</w:t>
      </w:r>
      <w:r w:rsidR="00DC4C54" w:rsidRPr="004B4934">
        <w:t xml:space="preserve"> PF to the time-critical liquidity pressures deriving from the rise of </w:t>
      </w:r>
      <w:r w:rsidR="00C63CD2" w:rsidRPr="004B4934">
        <w:t xml:space="preserve">daily priced and </w:t>
      </w:r>
      <w:r w:rsidR="00DC4C54" w:rsidRPr="004B4934">
        <w:t>collateralised financial relations</w:t>
      </w:r>
      <w:r w:rsidR="00015D71" w:rsidRPr="004B4934">
        <w:t xml:space="preserve">. </w:t>
      </w:r>
      <w:r w:rsidR="00866DAC" w:rsidRPr="004B4934">
        <w:t>T</w:t>
      </w:r>
      <w:r w:rsidR="00862096" w:rsidRPr="004B4934">
        <w:t>his is the case for both</w:t>
      </w:r>
      <w:r w:rsidR="00B02002" w:rsidRPr="004B4934">
        <w:t xml:space="preserve"> </w:t>
      </w:r>
      <w:r w:rsidR="00DC5F06" w:rsidRPr="004B4934">
        <w:t>defined benefit (DB) and defined contribution (DC)</w:t>
      </w:r>
      <w:r w:rsidR="00677EB7" w:rsidRPr="004B4934">
        <w:t xml:space="preserve"> PF</w:t>
      </w:r>
      <w:r w:rsidR="00F35EA2" w:rsidRPr="004B4934">
        <w:rPr>
          <w:rStyle w:val="EndnoteReference"/>
        </w:rPr>
        <w:endnoteReference w:id="3"/>
      </w:r>
      <w:r w:rsidR="007C5AC3" w:rsidRPr="004B4934">
        <w:t>.</w:t>
      </w:r>
      <w:r w:rsidR="0026471D" w:rsidRPr="004B4934">
        <w:t xml:space="preserve"> </w:t>
      </w:r>
      <w:r w:rsidR="006A36AC" w:rsidRPr="004B4934">
        <w:t xml:space="preserve">In the case of </w:t>
      </w:r>
      <w:r w:rsidR="00677EB7" w:rsidRPr="004B4934">
        <w:t>DB PF</w:t>
      </w:r>
      <w:r w:rsidR="006F32A6" w:rsidRPr="004B4934">
        <w:t>,</w:t>
      </w:r>
      <w:r w:rsidR="00641BD7" w:rsidRPr="004B4934">
        <w:t xml:space="preserve"> </w:t>
      </w:r>
      <w:r w:rsidR="00DA0934" w:rsidRPr="004B4934">
        <w:t>PF have engaged significantly more with d</w:t>
      </w:r>
      <w:r w:rsidR="00B33C01" w:rsidRPr="004B4934">
        <w:t>erivatives and repo, creat</w:t>
      </w:r>
      <w:r w:rsidR="000C277B" w:rsidRPr="004B4934">
        <w:t>ing</w:t>
      </w:r>
      <w:r w:rsidR="00B33C01" w:rsidRPr="004B4934">
        <w:t xml:space="preserve"> the need to hold and manage stores of liquid collateral</w:t>
      </w:r>
      <w:r w:rsidR="00B74179" w:rsidRPr="004B4934">
        <w:t>, while</w:t>
      </w:r>
      <w:r w:rsidR="006A36AC" w:rsidRPr="004B4934">
        <w:t xml:space="preserve"> DC PF</w:t>
      </w:r>
      <w:r w:rsidR="00B74179" w:rsidRPr="004B4934">
        <w:t xml:space="preserve"> rely on</w:t>
      </w:r>
      <w:r w:rsidR="00B85454" w:rsidRPr="004B4934">
        <w:t xml:space="preserve"> daily priced</w:t>
      </w:r>
      <w:r w:rsidR="002F2B0B" w:rsidRPr="004B4934">
        <w:t xml:space="preserve"> liquid investment funds.</w:t>
      </w:r>
      <w:r w:rsidR="007C3432" w:rsidRPr="004B4934">
        <w:t xml:space="preserve"> </w:t>
      </w:r>
    </w:p>
    <w:p w14:paraId="2D686773" w14:textId="04943EBB" w:rsidR="001941E2" w:rsidRPr="004B4934" w:rsidRDefault="00B23017" w:rsidP="00B23017">
      <w:pPr>
        <w:pStyle w:val="Newparagraph"/>
      </w:pPr>
      <w:r w:rsidRPr="004B4934">
        <w:lastRenderedPageBreak/>
        <w:t xml:space="preserve">In </w:t>
      </w:r>
      <w:r w:rsidR="002D724E" w:rsidRPr="004B4934">
        <w:t>highlighting the importance of liquidity</w:t>
      </w:r>
      <w:r w:rsidR="00047A0C" w:rsidRPr="004B4934">
        <w:t xml:space="preserve"> management and market-based finance</w:t>
      </w:r>
      <w:r w:rsidR="00284B50" w:rsidRPr="004B4934">
        <w:t xml:space="preserve"> for PF behaviour</w:t>
      </w:r>
      <w:r w:rsidRPr="004B4934">
        <w:t xml:space="preserve">, </w:t>
      </w:r>
      <w:r w:rsidR="002D724E" w:rsidRPr="004B4934">
        <w:t xml:space="preserve">our paper </w:t>
      </w:r>
      <w:r w:rsidR="0056317C" w:rsidRPr="004B4934">
        <w:t>contributes to</w:t>
      </w:r>
      <w:r w:rsidRPr="004B4934">
        <w:t xml:space="preserve"> the growing literature on Critical Macro-Finance (CMF)</w:t>
      </w:r>
      <w:r w:rsidR="00D50761" w:rsidRPr="004B4934">
        <w:t xml:space="preserve"> </w:t>
      </w:r>
      <w:r w:rsidR="00D50761" w:rsidRPr="004B4934">
        <w:fldChar w:fldCharType="begin"/>
      </w:r>
      <w:r w:rsidR="00E461FE">
        <w:instrText xml:space="preserve"> ADDIN ZOTERO_ITEM CSL_CITATION {"citationID":"juQnl2en","properties":{"formattedCitation":"(Gabor 2016, 2020, Sissoko 2019, Bonizzi and Kaltenbrunner 2020, Braun and Gabor 2020, Dutta {\\i{}et al.} 2020, Pape 2020)","plainCitation":"(Gabor 2016, 2020, Sissoko 2019, Bonizzi and Kaltenbrunner 2020, Braun and Gabor 2020, Dutta et al. 2020, Pape 2020)","noteIndex":0},"citationItems":[{"id":1712,"uris":["http://zotero.org/users/5165859/items/Y6N8RBM9"],"itemData":{"id":1712,"type":"article-journal","abstract":"In its capacity as debt issuer, the state has played a growing role in financial life over the last 30 years. To examine this role and connect it to shadow banking, the paper develops the concept of the ‘repo trinity’, which captures a set of policy objectives that central banks outlined after the 1998 Russian crisis, the first systemic crisis of collateral-based finance. The repo trinity connected financial stability with liquid government bond markets and free repo markets. It further reinforced the dominance of the US government bond market as institutional template for states adjusting to a world of independent central banks, market-based financing and global competition for liquidity. Central banks and the Financial Stability Board recognized the impossible nature of the trinity after 2008, attributing cyclical leverage (financial instability) and elusive liquidity in collateral markets to deregulated repo markets, markets systemic to shadow banking. The new approach triggered radical changes in crisis central banking but has not powered significant regulatory interventions in the absence of an alternative mode of organizing government bond markets.","container-title":"Review of International Political Economy","DOI":"10.1080/09692290.2016.1207699","ISSN":"0969-2290","issue":"6","note":"publisher: Routledge\n_eprint: https://doi.org/10.1080/09692290.2016.1207699","page":"967-1000","source":"Taylor and Francis+NEJM","title":"The (impossible) repo trinity: the political economy of repo markets","title-short":"The (impossible) repo trinity","volume":"23","author":[{"family":"Gabor","given":"Daniela"}],"issued":{"date-parts":[["2016",11,1]]}}},{"id":1540,"uris":["http://zotero.org/users/5165859/items/D4R9IDX9"],"itemData":{"id":1540,"type":"article-journal","abstract":"This forum contribution outlines four propositions of the critical macro-finance approach: (1) US-led financial globalization has structurally evolved around market-based finance, driven by the production of new asset classes and the Americanization of national financial systems with changing practices for producing liquidity; (2) global finance is a set of interconnected, hierarchical balance sheets, increasingly subject to time-critical liquidity; (3) credit creation in market-based finance involves new forms of money (systemic liabilities); and (4) market-based finance structurally requires a derisking state, for both systemic liabilities and for new asset classes. The precise contours of the derisking state are determined through political struggles.","container-title":"Finance and Society","DOI":"10.2218/finsoc.v6i1.4408","ISSN":"2059-5999","issue":"1","language":"en","license":"Copyright (c) 2020","note":"number: 1","page":"45-55","source":"financeandsociety.ed.ac.uk","title":"Critical macro-finance: A theoretical lens","title-short":"Critical macro-finance","volume":"6","author":[{"family":"Gabor","given":"Daniela"}],"issued":{"date-parts":[["2020",5,28]]}}},{"id":1564,"uris":["http://zotero.org/users/5165859/items/VBFLK7MD"],"itemData":{"id":1564,"type":"article-journal","abstract":"The safety of repurchase agreements (repos) depends on the neoclassical premise that markets are reliable sources of liquidity; repos in practice disprove the theory by generating collateral calls, collateral sales, liquidity events, and liquidity-driven losses for repo-borrowing funds and their end investors. As repo-type lending now dominates money markets, borrowers’ self-protective preference for ‘safe assets’ as collateral has distorted financial markets, disrupting private investment, and economic performance. Using a balance sheet approach this paper explains the liquidity-supporting role of the traditional banking system and contrasts it with the liquidity-demanding repo-based financial system. The paper also argues that contractual structure determines the balance of power in private sector loans, that no private loan is ‘safe’ for both borrower and lender, and that repo has shifted the balance of safety decisively in favour of lenders.","container-title":"Economy and Society","DOI":"10.1080/03085147.2018.1525155","ISSN":"0308-5147","issue":"3","note":"publisher: Routledge\n_eprint: https://doi.org/10.1080/03085147.2018.1525155","page":"315-341","source":"Taylor and Francis+NEJM","title":"Repurchase agreements and the (de)construction of financial markets","volume":"48","author":[{"family":"Sissoko","given":"Carolyn"}],"issued":{"date-parts":[["2019",7,3]]}}},{"id":1714,"uris":["http://zotero.org/users/5165859/items/WCNSNV3N"],"itemData":{"id":1714,"type":"article-journal","abstract":"In our contribution to this forum, we suggest that critical macro-finance (CMF) scholars and Post Keynesian monetary theorists would profit from a more explicit engagement with each other. Post Keynesian scholars would benefit from the detailed empirical insights that CMF provides, particularly through its analysis of non-bank financial institutions and the conceptual focus on liquidity and liabilities. Meanwhile, the CMF literature would benefit from more explicit grounding in earlier Post Keynesian concepts. In particular, the theory of liquidity preference, the concept of the liquidity premium, and the theory of endogenous money highlight macroeconomic issues missing from CMF scholarship.","container-title":"Finance and Society","DOI":"10.2218/finsoc.v6i1.4411","ISSN":"2059-5999","issue":"1","language":"en","license":"Copyright (c) 2020","note":"number: 1","page":"76-86","source":"financeandsociety.ed.ac.uk","title":"Critical macro-finance, Post Keynesian monetary theory and emerging economies","volume":"6","author":[{"family":"Bonizzi","given":"Bruno"},{"family":"Kaltenbrunner","given":"Annina"}],"issued":{"date-parts":[["2020",5,28]]}}},{"id":1538,"uris":["http://zotero.org/users/5165859/items/Q7AKDF2F"],"itemData":{"id":1538,"type":"chapter","abstract":"Financialization has become the go-to term for scholars grappling with the growth of finance. This Handbook offers the first comprehensive survey of the scholarship on financialization, connecting finance with changes in politics, technology, culture, society and the economy. It takes stock of the diverse avenues of research that comprise financialization studies and the contributions they have made to understanding the changes in contemporary societies driven by the rise of finance. The chapters chart the field?s evolution from research describing and critiquing the manifestations of financialization towards scholarship that pinpoints the driving forces, mechanisms and boundaries of financialization. Written for researchers and students not only in economics but from across the social sciences and the humanities, this book offers a decidedly global and pluri-disciplinary view on financialization for those who are looking to understand the changing face of finance and its consequences.","container-title":"Routledge International Handbook of Financialization","event-place":"Abingdon, Oxon","ISBN":"978-1-138-30821-3","language":"en","note":"DOI: 10.4324/9781315142876-22","page":"241-252","publisher":"Routledge","publisher-place":"Abingdon, Oxon","source":"routledgehandbooks.com","title":"Central banking, shadow banking, and infrastructural power","URL":"https://routledgehandbooks.com/doi/10.4324/9781315142876-22","author":[{"family":"Braun","given":"Benjamin"},{"family":"Gabor","given":"Daniela"}],"editor":[{"family":"Mader","given":"Philip"},{"family":"Mertens","given":"Daniel"},{"family":"Van der Zwan","given":"Natascha"}],"accessed":{"date-parts":[["2020",6,4]]},"issued":{"date-parts":[["2020",2,24]]}}},{"id":1533,"uris":["http://zotero.org/users/5165859/items/DWLR2M7X"],"itemData":{"id":1533,"type":"article-journal","abstract":"Critical macro-finance (CMF) has become an influential avenue of research aimed at shedding light on how the global payments system is governed. In the introduction to this special forum on CMF, we explore three main themes: (1) the intellectual lineage of CMF and its relation to financialisation studies; (2) the policy relevance of CMF; and (3) its ‘critical’ position.","container-title":"Finance and Society","DOI":"10.2218/finsoc.v6i1.4407","ISSN":"2059-5999","issue":"1","language":"en","license":"Copyright (c) 2020","note":"number: 1","page":"34-44","source":"financeandsociety.ed.ac.uk","title":"Critical macro-finance: An introduction","title-short":"Critical macro-finance","volume":"6","author":[{"family":"Dutta","given":"Sahil Jai"},{"family":"Kremers","given":"Ruben"},{"family":"Pape","given":"Fabian"},{"family":"Petry","given":"Johannes"}],"issued":{"date-parts":[["2020",5,28]]}}},{"id":1715,"uris":["http://zotero.org/users/5165859/items/DPPTYKNR"],"itemData":{"id":1715,"type":"article-journal","abstract":"This forum contribution critically rethinks the macro-financial approach to liquidity by focusing more explicitly on its public-private hybrid dimension. To do so, it introduces the notion of a ‘liquidity regime’: a heuristic device aimed at tracking the ensemble of social relations and institutions that govern the coherence of the payments system at any given time. A key insight that emerges from this approach is that the ability to make markets and access liquidity is never neutral or apolitical. What requires closer attention, therefore, is precisely how the interaction between public authorities and private market participants affords some actors greater leverage in shaping the financial system.","container-title":"Finance and Society","DOI":"10.2218/finsoc.v6i1.4410","ISSN":"2059-5999","issue":"1","language":"en","license":"Copyright (c) 2020","note":"number: 1","page":"67-75","source":"financeandsociety.ed.ac.uk","title":"Rethinking liquidity: A critical macro-finance view","title-short":"Rethinking liquidity","volume":"6","author":[{"family":"Pape","given":"Fabian"}],"issued":{"date-parts":[["2020",5,28]]}}}],"schema":"https://github.com/citation-style-language/schema/raw/master/csl-citation.json"} </w:instrText>
      </w:r>
      <w:r w:rsidR="00D50761" w:rsidRPr="004B4934">
        <w:fldChar w:fldCharType="separate"/>
      </w:r>
      <w:r w:rsidR="006B69C2" w:rsidRPr="004B4934">
        <w:t xml:space="preserve">(Gabor 2016, 2020, Sissoko 2019, Bonizzi and Kaltenbrunner 2020, Braun and Gabor 2020, Dutta </w:t>
      </w:r>
      <w:r w:rsidR="006B69C2" w:rsidRPr="004B4934">
        <w:rPr>
          <w:i/>
          <w:iCs/>
        </w:rPr>
        <w:t>et al.</w:t>
      </w:r>
      <w:r w:rsidR="006B69C2" w:rsidRPr="004B4934">
        <w:t xml:space="preserve"> 2020, Pape 2020)</w:t>
      </w:r>
      <w:r w:rsidR="00D50761" w:rsidRPr="004B4934">
        <w:fldChar w:fldCharType="end"/>
      </w:r>
      <w:r w:rsidRPr="004B4934">
        <w:t xml:space="preserve">. Based on a </w:t>
      </w:r>
      <w:proofErr w:type="spellStart"/>
      <w:r w:rsidRPr="004B4934">
        <w:t>Minskyan</w:t>
      </w:r>
      <w:proofErr w:type="spellEnd"/>
      <w:r w:rsidRPr="004B4934">
        <w:t xml:space="preserve"> understanding of financial markets, this literature has articulated the key structural change in modern – financialised – capitalism as one towards market-based finance, where liquidity and asset prices are increasingly linked, not least through the collateralisation of financial relations </w:t>
      </w:r>
      <w:r w:rsidRPr="004B4934">
        <w:fldChar w:fldCharType="begin"/>
      </w:r>
      <w:r w:rsidR="00184E76" w:rsidRPr="004B4934">
        <w:instrText xml:space="preserve"> ADDIN ZOTERO_ITEM CSL_CITATION {"citationID":"Z85BMlyw","properties":{"formattedCitation":"(Gabor and Vestergaard 2018a)","plainCitation":"(Gabor and Vestergaard 2018a)","noteIndex":0},"citationItems":[{"id":1704,"uris":["http://zotero.org/users/5165859/items/2RT3T8UR"],"itemData":{"id":1704,"type":"article-journal","abstract":"For the past 20 years, Economic and Monetary Union (EMU) institutions have sought to engineer a single safe asset that would provide a credible store of value for capital market participants. Before 2008, the European Central Bank used shadow banking to create a single safe asset that we term shadow money, and in doing so also erased borders between Euro area government bond markets. Lacking appropriate ECB support, shadow euros could not withstand the pressures of the global financial crisis and brought down several periphery euro government bonds with them. Two new plans, the Capital Markets Union and the Sovereign Bond-Backed Securities, again turn to shadow banking, this time by using securitization to generate an entirely private safe asset or a public–private safe asset. Such plans cannot solve the enduring predicament of EMU’s bond markets architecture: that Member States have competed for investors (liquidity) since the introduction of the euro, betraying a deep hostility towards collective political solutions to the single safe asset problem. Technocratic-led, market-based initiatives need to persuade EMU states that there is little threat to their ability to issue debt in liquid markets. Without ECB interventions, market-based engineering of single safe assets runs the danger of repeatedly destabilizing national bond markets.","container-title":"Competition &amp; Change","DOI":"10.1177/1024529418759638","ISSN":"1024-5294, 1477-2221","issue":"2","journalAbbreviation":"Competition &amp; Change","language":"en","page":"139-164","source":"DOI.org (Crossref)","title":"Chasing unicorns: The European single safe asset project","title-short":"Chasing unicorns","volume":"22","author":[{"family":"Gabor","given":"Daniela"},{"family":"Vestergaard","given":"Jakob"}],"issued":{"date-parts":[["2018",4]]}}}],"schema":"https://github.com/citation-style-language/schema/raw/master/csl-citation.json"} </w:instrText>
      </w:r>
      <w:r w:rsidRPr="004B4934">
        <w:fldChar w:fldCharType="separate"/>
      </w:r>
      <w:r w:rsidRPr="004B4934">
        <w:t>(Gabor and Vestergaard 2018a)</w:t>
      </w:r>
      <w:r w:rsidRPr="004B4934">
        <w:fldChar w:fldCharType="end"/>
      </w:r>
      <w:r w:rsidR="00C3189F" w:rsidRPr="004B4934">
        <w:t xml:space="preserve">. </w:t>
      </w:r>
      <w:r w:rsidRPr="004B4934">
        <w:t>This</w:t>
      </w:r>
      <w:r w:rsidR="00C3189F" w:rsidRPr="004B4934">
        <w:t xml:space="preserve"> </w:t>
      </w:r>
      <w:r w:rsidRPr="004B4934">
        <w:t>has produced a sharper segmentation between “safe” assets</w:t>
      </w:r>
      <w:r w:rsidR="00B9380D" w:rsidRPr="004B4934">
        <w:t>,</w:t>
      </w:r>
      <w:r w:rsidRPr="004B4934">
        <w:t xml:space="preserve"> that guarantee access to liquidity in a downturn, and other assets that do not </w:t>
      </w:r>
      <w:r w:rsidRPr="004B4934">
        <w:fldChar w:fldCharType="begin"/>
      </w:r>
      <w:r w:rsidR="00E461FE">
        <w:instrText xml:space="preserve"> ADDIN ZOTERO_ITEM CSL_CITATION {"citationID":"WwPoEyr1","properties":{"formattedCitation":"(Sissoko 2019, Gabor 2020)","plainCitation":"(Sissoko 2019, Gabor 2020)","noteIndex":0},"citationItems":[{"id":1564,"uris":["http://zotero.org/users/5165859/items/VBFLK7MD"],"itemData":{"id":1564,"type":"article-journal","abstract":"The safety of repurchase agreements (repos) depends on the neoclassical premise that markets are reliable sources of liquidity; repos in practice disprove the theory by generating collateral calls, collateral sales, liquidity events, and liquidity-driven losses for repo-borrowing funds and their end investors. As repo-type lending now dominates money markets, borrowers’ self-protective preference for ‘safe assets’ as collateral has distorted financial markets, disrupting private investment, and economic performance. Using a balance sheet approach this paper explains the liquidity-supporting role of the traditional banking system and contrasts it with the liquidity-demanding repo-based financial system. The paper also argues that contractual structure determines the balance of power in private sector loans, that no private loan is ‘safe’ for both borrower and lender, and that repo has shifted the balance of safety decisively in favour of lenders.","container-title":"Economy and Society","DOI":"10.1080/03085147.2018.1525155","ISSN":"0308-5147","issue":"3","note":"publisher: Routledge\n_eprint: https://doi.org/10.1080/03085147.2018.1525155","page":"315-341","source":"Taylor and Francis+NEJM","title":"Repurchase agreements and the (de)construction of financial markets","volume":"48","author":[{"family":"Sissoko","given":"Carolyn"}],"issued":{"date-parts":[["2019",7,3]]}}},{"id":1540,"uris":["http://zotero.org/users/5165859/items/D4R9IDX9"],"itemData":{"id":1540,"type":"article-journal","abstract":"This forum contribution outlines four propositions of the critical macro-finance approach: (1) US-led financial globalization has structurally evolved around market-based finance, driven by the production of new asset classes and the Americanization of national financial systems with changing practices for producing liquidity; (2) global finance is a set of interconnected, hierarchical balance sheets, increasingly subject to time-critical liquidity; (3) credit creation in market-based finance involves new forms of money (systemic liabilities); and (4) market-based finance structurally requires a derisking state, for both systemic liabilities and for new asset classes. The precise contours of the derisking state are determined through political struggles.","container-title":"Finance and Society","DOI":"10.2218/finsoc.v6i1.4408","ISSN":"2059-5999","issue":"1","language":"en","license":"Copyright (c) 2020","note":"number: 1","page":"45-55","source":"financeandsociety.ed.ac.uk","title":"Critical macro-finance: A theoretical lens","title-short":"Critical macro-finance","volume":"6","author":[{"family":"Gabor","given":"Daniela"}],"issued":{"date-parts":[["2020",5,28]]}}}],"schema":"https://github.com/citation-style-language/schema/raw/master/csl-citation.json"} </w:instrText>
      </w:r>
      <w:r w:rsidRPr="004B4934">
        <w:fldChar w:fldCharType="separate"/>
      </w:r>
      <w:r w:rsidR="004B76A1" w:rsidRPr="004B4934">
        <w:t>(Sissoko 2019, Gabor 2020)</w:t>
      </w:r>
      <w:r w:rsidRPr="004B4934">
        <w:fldChar w:fldCharType="end"/>
      </w:r>
      <w:r w:rsidR="00B33C01" w:rsidRPr="004B4934">
        <w:t>.</w:t>
      </w:r>
      <w:r w:rsidR="007709CA" w:rsidRPr="004B4934">
        <w:t xml:space="preserve"> </w:t>
      </w:r>
      <w:r w:rsidR="00B9380D" w:rsidRPr="004B4934">
        <w:t xml:space="preserve">With regards to the behaviour of financial institutions, this literature has </w:t>
      </w:r>
      <w:r w:rsidR="00DF38A4" w:rsidRPr="004B4934">
        <w:t>highlighted</w:t>
      </w:r>
      <w:r w:rsidR="00B9380D" w:rsidRPr="004B4934">
        <w:t xml:space="preserve"> the importance of adopting a balance sheet perspective, which </w:t>
      </w:r>
      <w:r w:rsidR="005710AA" w:rsidRPr="004B4934">
        <w:t>considers</w:t>
      </w:r>
      <w:r w:rsidR="00B9380D" w:rsidRPr="004B4934">
        <w:t xml:space="preserve"> agents</w:t>
      </w:r>
      <w:r w:rsidR="00A6359C" w:rsidRPr="004B4934">
        <w:t xml:space="preserve">’ </w:t>
      </w:r>
      <w:r w:rsidR="00B9380D" w:rsidRPr="004B4934">
        <w:t>interlocking asset and liability decisions</w:t>
      </w:r>
      <w:r w:rsidR="006A36AC" w:rsidRPr="004B4934">
        <w:t xml:space="preserve"> and the role of funding structures for liquidity (funding liquidity)</w:t>
      </w:r>
      <w:r w:rsidR="00B9380D" w:rsidRPr="004B4934">
        <w:t xml:space="preserve">. </w:t>
      </w:r>
    </w:p>
    <w:p w14:paraId="2CECBBBA" w14:textId="2DBD9BDF" w:rsidR="00A44B0A" w:rsidRPr="004B4934" w:rsidRDefault="001941E2" w:rsidP="001941E2">
      <w:pPr>
        <w:pStyle w:val="Newparagraph"/>
      </w:pPr>
      <w:r w:rsidRPr="004B4934">
        <w:t xml:space="preserve">Most recently, </w:t>
      </w:r>
      <w:r w:rsidR="008C7A8D" w:rsidRPr="004B4934">
        <w:t>the</w:t>
      </w:r>
      <w:r w:rsidR="007C12E4" w:rsidRPr="004B4934">
        <w:t xml:space="preserve"> </w:t>
      </w:r>
      <w:r w:rsidR="00C3189F" w:rsidRPr="004B4934">
        <w:t xml:space="preserve">CMF </w:t>
      </w:r>
      <w:r w:rsidR="008C7A8D" w:rsidRPr="004B4934">
        <w:t>literature has</w:t>
      </w:r>
      <w:r w:rsidR="007C12E4" w:rsidRPr="004B4934">
        <w:t xml:space="preserve"> also highlighted the rise of asset managers</w:t>
      </w:r>
      <w:r w:rsidRPr="004B4934">
        <w:t xml:space="preserve">, which intermediate the funds of institutional investors (including PF), </w:t>
      </w:r>
      <w:r w:rsidR="007C12E4" w:rsidRPr="004B4934">
        <w:t xml:space="preserve">as dominant players </w:t>
      </w:r>
      <w:r w:rsidR="00C3189F" w:rsidRPr="004B4934">
        <w:t xml:space="preserve">in </w:t>
      </w:r>
      <w:r w:rsidR="008C7A8D" w:rsidRPr="004B4934">
        <w:t>financial markets</w:t>
      </w:r>
      <w:r w:rsidR="007C12E4" w:rsidRPr="004B4934">
        <w:t xml:space="preserve"> </w:t>
      </w:r>
      <w:r w:rsidRPr="004B4934">
        <w:fldChar w:fldCharType="begin"/>
      </w:r>
      <w:r w:rsidR="00E461FE">
        <w:instrText xml:space="preserve"> ADDIN ZOTERO_ITEM CSL_CITATION {"citationID":"DX8JSFSF","properties":{"formattedCitation":"(Fichtner and Heemskerk 2020, Braun 2021)","plainCitation":"(Fichtner and Heemskerk 2020, Braun 2021)","noteIndex":0},"citationItems":[{"id":58,"uris":["http://zotero.org/users/5165859/items/QB7VKBCZ"],"itemData":{"id":58,"type":"article-journal","abstract":"Fundamental change is happening in global finance – the shift from active management to index funds. This money mass-migration into index funds has far-reaching socio-economic consequences, as it has the potential to transform the nature of shareholder capitalism. We call BlackRock, Vanguard and State Street the ‘New Permanent Universal Owners’ that are invested indefinitely in thousands of firms. We provide novel findings on the combined ownership of the Big Three in European countries and Japan and investigate how this signals a shift away from the shareholder capitalism that has been dominant for the past three decades. We discuss the future role(s) of the New Permanent Universal Owners in corporate governance including whether they foster patient capital and introduce the distinction between feeble and forceful stewardship.","container-title":"Economy and Society","DOI":"10.1080/03085147.2020.1781417","ISSN":"0308-5147","issue":"4","note":"publisher: Routledge\n_eprint: https://doi.org/10.1080/03085147.2020.1781417","page":"493-515","source":"Taylor and Francis+NEJM","title":"The New Permanent Universal Owners: Index funds, patient capital, and the distinction between feeble and forceful stewardship","title-short":"The New Permanent Universal Owners","volume":"49","author":[{"family":"Fichtner","given":"Jan"},{"family":"Heemskerk","given":"Eelke M."}],"issued":{"date-parts":[["2020",10,1]]}}},{"id":4,"uris":["http://zotero.org/users/5165859/items/BAN2K8ZL"],"itemData":{"id":4,"type":"chapter","abstract":"Who holds power in corporate America? Scholars have invariably answered this question in the language of ownership and control. This paper argues that tackling this question today requires a new language. Whereas the comparative political economy literature has long treated dispersed ownership and weak shareholders as core features of the U.S. political economy, a century-long process of re-concentration has consolidated shareholdings in the hands of a few very large asset management companies. In an historically unprecedented configuration, this emerging asset manager capitalism is dominated by fully diversified shareholders that lack direct economic interest in the performance of individual portfolio companies. The paper compares this new corporate governance regime to its predecessors; reconstructs the history of the growth and consolidation of the asset management sector; and examines the political economy of asset manager capitalism, both at the firm level and at the macroeconomic level.","container-title":"American political economy: politics, markets and power","event-place":"New York","note":"DOI: 10.31235/osf.io/v6gue\ntype: article","publisher":"Cambridge University Press","publisher-place":"New York","source":"OSF Preprints","title":"Asset Manager Capitalism as a Corporate Governance Regime","URL":"https://osf.io/preprints/socarxiv/v6gue/","author":[{"family":"Braun","given":"Benjamin"}],"editor":[{"family":"Hacker","given":"J. S."},{"family":"Hertel-Fernandez","given":"A."},{"family":"Pierson","given":"P."},{"family":"Thelen","given":"Kathleen"}],"accessed":{"date-parts":[["2021",4,5]]},"issued":{"date-parts":[["2021"]]}}}],"schema":"https://github.com/citation-style-language/schema/raw/master/csl-citation.json"} </w:instrText>
      </w:r>
      <w:r w:rsidRPr="004B4934">
        <w:fldChar w:fldCharType="separate"/>
      </w:r>
      <w:r w:rsidR="007C12E4" w:rsidRPr="004B4934">
        <w:t>(Fichtner and Heemskerk 2020, Braun 2021)</w:t>
      </w:r>
      <w:r w:rsidRPr="004B4934">
        <w:fldChar w:fldCharType="end"/>
      </w:r>
      <w:r w:rsidRPr="004B4934">
        <w:t xml:space="preserve">. However, </w:t>
      </w:r>
      <w:r w:rsidR="006F32A6" w:rsidRPr="004B4934">
        <w:t xml:space="preserve">so far, </w:t>
      </w:r>
      <w:r w:rsidRPr="004B4934">
        <w:t xml:space="preserve">this </w:t>
      </w:r>
      <w:r w:rsidR="00840810" w:rsidRPr="004B4934">
        <w:t xml:space="preserve">literature </w:t>
      </w:r>
      <w:r w:rsidRPr="004B4934">
        <w:t xml:space="preserve">has not paid analytical attention to the investment decisions of </w:t>
      </w:r>
      <w:r w:rsidR="00840810" w:rsidRPr="004B4934">
        <w:t xml:space="preserve">PF: they </w:t>
      </w:r>
      <w:r w:rsidR="0033376B" w:rsidRPr="004B4934">
        <w:t xml:space="preserve">are </w:t>
      </w:r>
      <w:r w:rsidR="00820E8B" w:rsidRPr="004B4934">
        <w:t>not clearly distinguished from</w:t>
      </w:r>
      <w:r w:rsidR="00DD3EBE" w:rsidRPr="004B4934">
        <w:t xml:space="preserve"> other “long pools</w:t>
      </w:r>
      <w:r w:rsidR="002375BD" w:rsidRPr="004B4934">
        <w:t>”</w:t>
      </w:r>
      <w:r w:rsidR="00D46120" w:rsidRPr="004B4934">
        <w:t xml:space="preserve"> </w:t>
      </w:r>
      <w:r w:rsidRPr="004B4934">
        <w:fldChar w:fldCharType="begin"/>
      </w:r>
      <w:r w:rsidR="00E461FE">
        <w:instrText xml:space="preserve"> ADDIN ZOTERO_ITEM CSL_CITATION {"citationID":"FxYpMZAB","properties":{"formattedCitation":"(Sissoko 2019, Braun 2021)","plainCitation":"(Sissoko 2019, Braun 2021)","noteIndex":0},"citationItems":[{"id":1564,"uris":["http://zotero.org/users/5165859/items/VBFLK7MD"],"itemData":{"id":1564,"type":"article-journal","abstract":"The safety of repurchase agreements (repos) depends on the neoclassical premise that markets are reliable sources of liquidity; repos in practice disprove the theory by generating collateral calls, collateral sales, liquidity events, and liquidity-driven losses for repo-borrowing funds and their end investors. As repo-type lending now dominates money markets, borrowers’ self-protective preference for ‘safe assets’ as collateral has distorted financial markets, disrupting private investment, and economic performance. Using a balance sheet approach this paper explains the liquidity-supporting role of the traditional banking system and contrasts it with the liquidity-demanding repo-based financial system. The paper also argues that contractual structure determines the balance of power in private sector loans, that no private loan is ‘safe’ for both borrower and lender, and that repo has shifted the balance of safety decisively in favour of lenders.","container-title":"Economy and Society","DOI":"10.1080/03085147.2018.1525155","ISSN":"0308-5147","issue":"3","note":"publisher: Routledge\n_eprint: https://doi.org/10.1080/03085147.2018.1525155","page":"315-341","source":"Taylor and Francis+NEJM","title":"Repurchase agreements and the (de)construction of financial markets","volume":"48","author":[{"family":"Sissoko","given":"Carolyn"}],"issued":{"date-parts":[["2019",7,3]]}}},{"id":4,"uris":["http://zotero.org/users/5165859/items/BAN2K8ZL"],"itemData":{"id":4,"type":"chapter","abstract":"Who holds power in corporate America? Scholars have invariably answered this question in the language of ownership and control. This paper argues that tackling this question today requires a new language. Whereas the comparative political economy literature has long treated dispersed ownership and weak shareholders as core features of the U.S. political economy, a century-long process of re-concentration has consolidated shareholdings in the hands of a few very large asset management companies. In an historically unprecedented configuration, this emerging asset manager capitalism is dominated by fully diversified shareholders that lack direct economic interest in the performance of individual portfolio companies. The paper compares this new corporate governance regime to its predecessors; reconstructs the history of the growth and consolidation of the asset management sector; and examines the political economy of asset manager capitalism, both at the firm level and at the macroeconomic level.","container-title":"American political economy: politics, markets and power","event-place":"New York","note":"DOI: 10.31235/osf.io/v6gue\ntype: article","publisher":"Cambridge University Press","publisher-place":"New York","source":"OSF Preprints","title":"Asset Manager Capitalism as a Corporate Governance Regime","URL":"https://osf.io/preprints/socarxiv/v6gue/","author":[{"family":"Braun","given":"Benjamin"}],"editor":[{"family":"Hacker","given":"J. S."},{"family":"Hertel-Fernandez","given":"A."},{"family":"Pierson","given":"P."},{"family":"Thelen","given":"Kathleen"}],"accessed":{"date-parts":[["2021",4,5]]},"issued":{"date-parts":[["2021"]]}}}],"schema":"https://github.com/citation-style-language/schema/raw/master/csl-citation.json"} </w:instrText>
      </w:r>
      <w:r w:rsidRPr="004B4934">
        <w:fldChar w:fldCharType="separate"/>
      </w:r>
      <w:r w:rsidR="00BF6F12" w:rsidRPr="004B4934">
        <w:t>(Sissoko 2019, Braun 2021)</w:t>
      </w:r>
      <w:r w:rsidRPr="004B4934">
        <w:fldChar w:fldCharType="end"/>
      </w:r>
      <w:r w:rsidR="0034781A" w:rsidRPr="004B4934">
        <w:t xml:space="preserve"> and</w:t>
      </w:r>
      <w:r w:rsidR="00F839A4" w:rsidRPr="004B4934">
        <w:t xml:space="preserve"> their investment </w:t>
      </w:r>
      <w:r w:rsidR="00304A0D" w:rsidRPr="004B4934">
        <w:t xml:space="preserve">is </w:t>
      </w:r>
      <w:r w:rsidR="00F839A4" w:rsidRPr="004B4934">
        <w:t xml:space="preserve">analysed </w:t>
      </w:r>
      <w:r w:rsidR="0092224F" w:rsidRPr="004B4934">
        <w:t xml:space="preserve">at </w:t>
      </w:r>
      <w:r w:rsidR="00304A0D" w:rsidRPr="004B4934">
        <w:t xml:space="preserve">a </w:t>
      </w:r>
      <w:r w:rsidR="0092224F" w:rsidRPr="004B4934">
        <w:t xml:space="preserve">broad macro-historical level </w:t>
      </w:r>
      <w:r w:rsidRPr="004B4934">
        <w:fldChar w:fldCharType="begin"/>
      </w:r>
      <w:r w:rsidR="00E461FE">
        <w:instrText xml:space="preserve"> ADDIN ZOTERO_ITEM CSL_CITATION {"citationID":"e4wPALDx","properties":{"formattedCitation":"(Braun 2022)","plainCitation":"(Braun 2022)","noteIndex":0},"citationItems":[{"id":1464,"uris":["http://zotero.org/users/5165859/items/2FBEJVXB"],"itemData":{"id":1464,"type":"article-journal","container-title":"New Labor Forum","DOI":"10.1177/10957960211062218","ISSN":"1095-7960","issue":"1","journalAbbreviation":"New Labor Forum","language":"en","note":"publisher: SAGE Publications Inc","page":"70-79","source":"SAGE Journals","title":"Fueling Financialization: The Economic Consequences of Funded Pensions","title-short":"Fueling Financialization","volume":"31","author":[{"family":"Braun","given":"Benjamin"}],"issued":{"date-parts":[["2022",1,1]]}}}],"schema":"https://github.com/citation-style-language/schema/raw/master/csl-citation.json"} </w:instrText>
      </w:r>
      <w:r w:rsidRPr="004B4934">
        <w:fldChar w:fldCharType="separate"/>
      </w:r>
      <w:r w:rsidR="009C06C9" w:rsidRPr="004B4934">
        <w:t>(Braun 2022)</w:t>
      </w:r>
      <w:r w:rsidRPr="004B4934">
        <w:fldChar w:fldCharType="end"/>
      </w:r>
      <w:r w:rsidR="009C06C9" w:rsidRPr="004B4934">
        <w:t>.</w:t>
      </w:r>
      <w:r w:rsidR="00BF6F12" w:rsidRPr="004B4934">
        <w:t xml:space="preserve"> </w:t>
      </w:r>
      <w:r w:rsidR="006F32A6" w:rsidRPr="004B4934">
        <w:t>We extend th</w:t>
      </w:r>
      <w:r w:rsidR="001C0DB6" w:rsidRPr="004B4934">
        <w:t>e CMF</w:t>
      </w:r>
      <w:r w:rsidR="006F32A6" w:rsidRPr="004B4934">
        <w:t xml:space="preserve"> literature</w:t>
      </w:r>
      <w:r w:rsidR="001C0DB6" w:rsidRPr="004B4934">
        <w:t xml:space="preserve"> by</w:t>
      </w:r>
      <w:r w:rsidR="006F32A6" w:rsidRPr="004B4934">
        <w:t xml:space="preserve"> show</w:t>
      </w:r>
      <w:r w:rsidR="001C0DB6" w:rsidRPr="004B4934">
        <w:t>ing</w:t>
      </w:r>
      <w:r w:rsidR="00B802FB" w:rsidRPr="004B4934">
        <w:t xml:space="preserve"> </w:t>
      </w:r>
      <w:r w:rsidR="006F32A6" w:rsidRPr="004B4934">
        <w:t xml:space="preserve">that </w:t>
      </w:r>
      <w:r w:rsidR="00AA4860" w:rsidRPr="004B4934">
        <w:t>PF are active financial institutions</w:t>
      </w:r>
      <w:r w:rsidR="006A36AC" w:rsidRPr="004B4934">
        <w:t xml:space="preserve">, </w:t>
      </w:r>
      <w:r w:rsidR="001C0DB6" w:rsidRPr="004B4934">
        <w:t>forced to</w:t>
      </w:r>
      <w:r w:rsidR="00840810" w:rsidRPr="004B4934">
        <w:t xml:space="preserve"> </w:t>
      </w:r>
      <w:r w:rsidR="1C76D1C2" w:rsidRPr="004B4934">
        <w:t xml:space="preserve">manage their funding liquidity, </w:t>
      </w:r>
      <w:proofErr w:type="gramStart"/>
      <w:r w:rsidR="1C76D1C2" w:rsidRPr="004B4934">
        <w:t>i.e.</w:t>
      </w:r>
      <w:proofErr w:type="gramEnd"/>
      <w:r w:rsidR="1C76D1C2" w:rsidRPr="004B4934">
        <w:t xml:space="preserve"> their ability to face their cash obligations and payments, </w:t>
      </w:r>
      <w:r w:rsidR="006A36AC" w:rsidRPr="004B4934">
        <w:t>which in turn</w:t>
      </w:r>
      <w:r w:rsidR="0064489F" w:rsidRPr="004B4934">
        <w:t xml:space="preserve"> </w:t>
      </w:r>
      <w:r w:rsidR="00AA7678" w:rsidRPr="004B4934">
        <w:t>shape</w:t>
      </w:r>
      <w:r w:rsidR="006A36AC" w:rsidRPr="004B4934">
        <w:t>s</w:t>
      </w:r>
      <w:r w:rsidR="00AA7678" w:rsidRPr="004B4934">
        <w:t xml:space="preserve"> </w:t>
      </w:r>
      <w:r w:rsidR="008044F5" w:rsidRPr="004B4934">
        <w:t>their</w:t>
      </w:r>
      <w:r w:rsidR="00765DDE" w:rsidRPr="004B4934">
        <w:t xml:space="preserve"> investment</w:t>
      </w:r>
      <w:r w:rsidR="00043F41" w:rsidRPr="004B4934">
        <w:t xml:space="preserve"> behaviour</w:t>
      </w:r>
      <w:r w:rsidR="008044F5" w:rsidRPr="004B4934">
        <w:t xml:space="preserve"> in a </w:t>
      </w:r>
      <w:r w:rsidR="00AF4BD2" w:rsidRPr="004B4934">
        <w:t xml:space="preserve">specific </w:t>
      </w:r>
      <w:r w:rsidR="00DC3C76" w:rsidRPr="004B4934">
        <w:t>way</w:t>
      </w:r>
      <w:r w:rsidR="0019126A" w:rsidRPr="004B4934">
        <w:t xml:space="preserve">. </w:t>
      </w:r>
      <w:r w:rsidR="00FD2097" w:rsidRPr="004B4934">
        <w:t xml:space="preserve"> </w:t>
      </w:r>
    </w:p>
    <w:p w14:paraId="63A6E256" w14:textId="0205978A" w:rsidR="000C46AF" w:rsidRPr="00505DB5" w:rsidRDefault="001C0DB6" w:rsidP="00505DB5">
      <w:pPr>
        <w:pStyle w:val="Newparagraph"/>
        <w:rPr>
          <w:color w:val="FF0000"/>
        </w:rPr>
      </w:pPr>
      <w:r w:rsidRPr="004B4934">
        <w:lastRenderedPageBreak/>
        <w:t>W</w:t>
      </w:r>
      <w:r w:rsidR="00B85323" w:rsidRPr="004B4934">
        <w:t xml:space="preserve">e document </w:t>
      </w:r>
      <w:r w:rsidR="00E74D48" w:rsidRPr="004B4934">
        <w:t>notable</w:t>
      </w:r>
      <w:r w:rsidR="00B85323" w:rsidRPr="004B4934">
        <w:t xml:space="preserve"> trend</w:t>
      </w:r>
      <w:r w:rsidR="00016B26" w:rsidRPr="004B4934">
        <w:t>s</w:t>
      </w:r>
      <w:r w:rsidR="00DE138C" w:rsidRPr="004B4934">
        <w:t xml:space="preserve"> for UK PF</w:t>
      </w:r>
      <w:r w:rsidR="00046D65" w:rsidRPr="004B4934">
        <w:t>:</w:t>
      </w:r>
      <w:r w:rsidR="00B85323" w:rsidRPr="004B4934">
        <w:t xml:space="preserve"> </w:t>
      </w:r>
      <w:r w:rsidR="00330A14" w:rsidRPr="004B4934">
        <w:t xml:space="preserve">a greater </w:t>
      </w:r>
      <w:r w:rsidR="00D05212" w:rsidRPr="004B4934">
        <w:t xml:space="preserve">reliance on </w:t>
      </w:r>
      <w:r w:rsidR="008940B5" w:rsidRPr="004B4934">
        <w:t>collective investment</w:t>
      </w:r>
      <w:r w:rsidR="00B97BBC" w:rsidRPr="004B4934">
        <w:t xml:space="preserve"> funds</w:t>
      </w:r>
      <w:r w:rsidR="00800635" w:rsidRPr="004B4934">
        <w:t xml:space="preserve">; </w:t>
      </w:r>
      <w:r w:rsidR="0072204F" w:rsidRPr="004B4934">
        <w:t xml:space="preserve">a greater attention to “cashflow-driven” </w:t>
      </w:r>
      <w:r w:rsidR="00046D65" w:rsidRPr="004B4934">
        <w:t>strategies within</w:t>
      </w:r>
      <w:r w:rsidR="00330A14" w:rsidRPr="004B4934">
        <w:t xml:space="preserve"> </w:t>
      </w:r>
      <w:r w:rsidR="001A2B7C" w:rsidRPr="004B4934">
        <w:t>PF’s</w:t>
      </w:r>
      <w:r w:rsidR="00330A14" w:rsidRPr="004B4934">
        <w:t xml:space="preserve"> bond portfolio</w:t>
      </w:r>
      <w:r w:rsidR="00E114CA" w:rsidRPr="004B4934">
        <w:t>; an increase in overseas investments</w:t>
      </w:r>
      <w:r w:rsidR="00330A14" w:rsidRPr="004B4934">
        <w:t>, hedged through derivative instruments</w:t>
      </w:r>
      <w:r w:rsidR="002A5071" w:rsidRPr="004B4934">
        <w:t xml:space="preserve">; and </w:t>
      </w:r>
      <w:proofErr w:type="gramStart"/>
      <w:r w:rsidR="002A5071" w:rsidRPr="004B4934">
        <w:t>finally</w:t>
      </w:r>
      <w:proofErr w:type="gramEnd"/>
      <w:r w:rsidR="002A5071" w:rsidRPr="004B4934">
        <w:t xml:space="preserve"> </w:t>
      </w:r>
      <w:r w:rsidR="008B5185" w:rsidRPr="004B4934">
        <w:t xml:space="preserve">a greater engagement with the repo and </w:t>
      </w:r>
      <w:r w:rsidR="003449F4" w:rsidRPr="004B4934">
        <w:t>interest rate swap</w:t>
      </w:r>
      <w:r w:rsidR="008B5185" w:rsidRPr="004B4934">
        <w:t xml:space="preserve"> markets, to hedge interest-rate and liquidity risks. </w:t>
      </w:r>
      <w:r w:rsidR="003763D0" w:rsidRPr="004B4934">
        <w:t xml:space="preserve">These new sophisticated investment strategies rely on daily priced products and collateral. </w:t>
      </w:r>
      <w:r w:rsidR="07CAB7C1" w:rsidRPr="004B4934">
        <w:t xml:space="preserve">They therefore </w:t>
      </w:r>
      <w:r w:rsidR="0FE64FDC" w:rsidRPr="004B4934">
        <w:t>require a higher</w:t>
      </w:r>
      <w:r w:rsidR="07CAB7C1" w:rsidRPr="004B4934">
        <w:t xml:space="preserve"> </w:t>
      </w:r>
      <w:r w:rsidR="003763D0" w:rsidRPr="004B4934">
        <w:t xml:space="preserve">asset allocation to safe liquid assets </w:t>
      </w:r>
      <w:r w:rsidR="00536BB1" w:rsidRPr="004B4934">
        <w:t xml:space="preserve">(collateral) </w:t>
      </w:r>
      <w:r w:rsidR="041DC36B" w:rsidRPr="004B4934">
        <w:t>in paralle</w:t>
      </w:r>
      <w:r w:rsidR="166FB300" w:rsidRPr="004B4934">
        <w:t>l</w:t>
      </w:r>
      <w:r w:rsidR="003763D0" w:rsidRPr="004B4934">
        <w:t xml:space="preserve"> </w:t>
      </w:r>
      <w:r w:rsidR="002E29A6" w:rsidRPr="004B4934">
        <w:t xml:space="preserve">to </w:t>
      </w:r>
      <w:r w:rsidR="003763D0" w:rsidRPr="004B4934">
        <w:t>high-risk/high-return assets and derivatives.</w:t>
      </w:r>
      <w:r w:rsidR="45F789AE" w:rsidRPr="004B4934">
        <w:t xml:space="preserve"> While </w:t>
      </w:r>
      <w:r w:rsidR="7EA8DA3B" w:rsidRPr="004B4934">
        <w:t>potentially enabling riskier</w:t>
      </w:r>
      <w:r w:rsidR="1F5667A3" w:rsidRPr="004B4934">
        <w:t xml:space="preserve"> long-term</w:t>
      </w:r>
      <w:r w:rsidR="7EA8DA3B" w:rsidRPr="004B4934">
        <w:t xml:space="preserve"> investments, such strategies force PF to seek cash during crises, </w:t>
      </w:r>
      <w:r w:rsidR="7D254DE6" w:rsidRPr="004B4934">
        <w:t>lead</w:t>
      </w:r>
      <w:r w:rsidR="00B663F3" w:rsidRPr="004B4934">
        <w:t>ing</w:t>
      </w:r>
      <w:r w:rsidR="7D254DE6" w:rsidRPr="004B4934">
        <w:t xml:space="preserve"> </w:t>
      </w:r>
      <w:r w:rsidR="5F0BC7ED" w:rsidRPr="004B4934">
        <w:t>them to dispose of such investments.</w:t>
      </w:r>
      <w:r w:rsidR="4E01F167" w:rsidRPr="004B4934">
        <w:t xml:space="preserve"> Such disposal is also facilitated by the greater attention towards liquidity when selecting risky assets, </w:t>
      </w:r>
      <w:proofErr w:type="gramStart"/>
      <w:r w:rsidR="4E01F167" w:rsidRPr="004B4934">
        <w:t>e.g.</w:t>
      </w:r>
      <w:proofErr w:type="gramEnd"/>
      <w:r w:rsidR="4E01F167" w:rsidRPr="004B4934">
        <w:t xml:space="preserve"> through the usage of collective funds rather than direct investment.</w:t>
      </w:r>
      <w:r w:rsidR="00792E72">
        <w:t xml:space="preserve"> </w:t>
      </w:r>
      <w:r w:rsidR="00505DB5">
        <w:rPr>
          <w:color w:val="FF0000"/>
        </w:rPr>
        <w:t>These trends have been accelerated by the global financial crisis since 2009.</w:t>
      </w:r>
    </w:p>
    <w:p w14:paraId="41AC2D6D" w14:textId="6C4DEB38" w:rsidR="00E776B6" w:rsidRPr="004B4934" w:rsidRDefault="00E776B6" w:rsidP="00603090">
      <w:pPr>
        <w:pStyle w:val="Newparagraph"/>
      </w:pPr>
      <w:r w:rsidRPr="004B4934">
        <w:t>In sum, our message is that</w:t>
      </w:r>
      <w:r w:rsidR="00A7444C" w:rsidRPr="004B4934">
        <w:t xml:space="preserve"> </w:t>
      </w:r>
      <w:r w:rsidR="005B1681" w:rsidRPr="004B4934">
        <w:t>while there may not be anything inherently impatient about PF investment behaviour, the</w:t>
      </w:r>
      <w:r w:rsidR="002E274E" w:rsidRPr="004B4934">
        <w:t>y</w:t>
      </w:r>
      <w:r w:rsidR="00690377" w:rsidRPr="004B4934">
        <w:t xml:space="preserve"> can succumb and contribute to </w:t>
      </w:r>
      <w:r w:rsidR="00DB2865" w:rsidRPr="004B4934">
        <w:t>the</w:t>
      </w:r>
      <w:r w:rsidR="00690377" w:rsidRPr="004B4934">
        <w:t xml:space="preserve"> short-term</w:t>
      </w:r>
      <w:r w:rsidR="00DB2865" w:rsidRPr="004B4934">
        <w:t>ism and</w:t>
      </w:r>
      <w:r w:rsidR="00690377" w:rsidRPr="004B4934">
        <w:t xml:space="preserve"> pro-cyclical</w:t>
      </w:r>
      <w:r w:rsidR="00DB2865" w:rsidRPr="004B4934">
        <w:t>ity of the</w:t>
      </w:r>
      <w:r w:rsidR="00690377" w:rsidRPr="004B4934">
        <w:t xml:space="preserve"> financial system.</w:t>
      </w:r>
      <w:r w:rsidR="005B1681" w:rsidRPr="004B4934">
        <w:t xml:space="preserve"> </w:t>
      </w:r>
      <w:r w:rsidR="00690377" w:rsidRPr="004B4934">
        <w:t xml:space="preserve">The UK case shows that, </w:t>
      </w:r>
      <w:r w:rsidR="005072CF" w:rsidRPr="004B4934">
        <w:t>i</w:t>
      </w:r>
      <w:r w:rsidR="0019126A" w:rsidRPr="004B4934">
        <w:t xml:space="preserve">n addition to regulatory and </w:t>
      </w:r>
      <w:r w:rsidR="005A0785" w:rsidRPr="004B4934">
        <w:t>ideational changes</w:t>
      </w:r>
      <w:r w:rsidR="00B31143" w:rsidRPr="004B4934">
        <w:t>,</w:t>
      </w:r>
      <w:r w:rsidR="005A0785" w:rsidRPr="004B4934">
        <w:t xml:space="preserve"> </w:t>
      </w:r>
      <w:r w:rsidR="00E4110F" w:rsidRPr="004B4934">
        <w:t>PF short-termism</w:t>
      </w:r>
      <w:r w:rsidR="001F7EEA" w:rsidRPr="004B4934">
        <w:t xml:space="preserve"> can be seen in</w:t>
      </w:r>
      <w:r w:rsidR="00B20B05" w:rsidRPr="004B4934">
        <w:t xml:space="preserve"> </w:t>
      </w:r>
      <w:r w:rsidR="001F7EEA" w:rsidRPr="004B4934">
        <w:t xml:space="preserve">and explained by </w:t>
      </w:r>
      <w:r w:rsidR="004D3B9F" w:rsidRPr="004B4934">
        <w:t>their</w:t>
      </w:r>
      <w:r w:rsidR="00F94D7A" w:rsidRPr="004B4934">
        <w:t xml:space="preserve"> need to engage in </w:t>
      </w:r>
      <w:r w:rsidR="006F151E" w:rsidRPr="004B4934">
        <w:t>liquidity</w:t>
      </w:r>
      <w:r w:rsidR="004D3B9F" w:rsidRPr="004B4934">
        <w:t xml:space="preserve"> management</w:t>
      </w:r>
      <w:r w:rsidR="00F94D7A" w:rsidRPr="004B4934">
        <w:t xml:space="preserve"> practices </w:t>
      </w:r>
      <w:r w:rsidR="00C90635" w:rsidRPr="004B4934">
        <w:t>in an increasingly market-based financial system</w:t>
      </w:r>
      <w:r w:rsidR="00305E4F" w:rsidRPr="004B4934">
        <w:t xml:space="preserve">. </w:t>
      </w:r>
      <w:r w:rsidR="00A6225A" w:rsidRPr="004B4934">
        <w:t>We show that t</w:t>
      </w:r>
      <w:r w:rsidR="00305E4F" w:rsidRPr="004B4934">
        <w:t xml:space="preserve">hrough the adoption of </w:t>
      </w:r>
      <w:r w:rsidR="00416885" w:rsidRPr="004B4934">
        <w:t xml:space="preserve">new investment strategies, </w:t>
      </w:r>
      <w:r w:rsidR="005072CF" w:rsidRPr="004B4934">
        <w:t xml:space="preserve">UK </w:t>
      </w:r>
      <w:r w:rsidR="00BD6457" w:rsidRPr="004B4934">
        <w:t xml:space="preserve">PF have entangled themselves to the core of </w:t>
      </w:r>
      <w:r w:rsidR="00C90635" w:rsidRPr="004B4934">
        <w:t>such a system</w:t>
      </w:r>
      <w:r w:rsidR="00D46E43" w:rsidRPr="004B4934">
        <w:t xml:space="preserve"> through their usage of</w:t>
      </w:r>
      <w:r w:rsidR="00233955" w:rsidRPr="004B4934">
        <w:t xml:space="preserve"> repos, </w:t>
      </w:r>
      <w:proofErr w:type="gramStart"/>
      <w:r w:rsidR="00233955" w:rsidRPr="004B4934">
        <w:t>derivative</w:t>
      </w:r>
      <w:r w:rsidR="00BD7020" w:rsidRPr="004B4934">
        <w:t>s</w:t>
      </w:r>
      <w:proofErr w:type="gramEnd"/>
      <w:r w:rsidR="00BD7020" w:rsidRPr="004B4934">
        <w:t xml:space="preserve"> and collective funds.</w:t>
      </w:r>
      <w:r w:rsidR="00C90635" w:rsidRPr="004B4934">
        <w:t xml:space="preserve"> </w:t>
      </w:r>
      <w:r w:rsidR="001E5F6F" w:rsidRPr="004B4934">
        <w:t xml:space="preserve">As a result, their “impatience” is manifest especially during crises as </w:t>
      </w:r>
      <w:r w:rsidR="003E7CDC" w:rsidRPr="004B4934">
        <w:t>forced exit (</w:t>
      </w:r>
      <w:r w:rsidRPr="004B4934">
        <w:fldChar w:fldCharType="begin"/>
      </w:r>
      <w:r w:rsidR="00E461FE">
        <w:instrText xml:space="preserve"> ADDIN ZOTERO_ITEM CSL_CITATION {"citationID":"UI0FaCJO","properties":{"formattedCitation":"(Deeg and Hardie 2016)","plainCitation":"(Deeg and Hardie 2016)","dontUpdate":true,"noteIndex":0},"citationItems":[{"id":1115,"uris":["http://zotero.org/users/5165859/items/RSHQFY3U"],"itemData":{"id":1115,"type":"article-journal","abstract":"In comparative political economy (CPE), ‘patient capital’ (‘PC’)—primarily from relational banks—is central to distinguishing national economies. The rise of ‘m","container-title":"Socio-Economic Review","DOI":"10.1093/ser/mww025","ISSN":"1475-1461","issue":"4","journalAbbreviation":"Socioecon Rev","language":"en","page":"627-645","source":"academic.oup.com","title":"‘What is patient capital and who supplies it?’","title-short":"‘What is patient capital and who supplies it?","volume":"14","author":[{"family":"Deeg","given":"Richard"},{"family":"Hardie","given":"Iain"}],"issued":{"date-parts":[["2016",10,1]]}}}],"schema":"https://github.com/citation-style-language/schema/raw/master/csl-citation.json"} </w:instrText>
      </w:r>
      <w:r w:rsidRPr="004B4934">
        <w:fldChar w:fldCharType="separate"/>
      </w:r>
      <w:r w:rsidR="003E7CDC" w:rsidRPr="004B4934">
        <w:t>Deeg and Hardie 2016)</w:t>
      </w:r>
      <w:r w:rsidRPr="004B4934">
        <w:fldChar w:fldCharType="end"/>
      </w:r>
      <w:r w:rsidR="00B540FF" w:rsidRPr="004B4934">
        <w:t>, driven by their</w:t>
      </w:r>
      <w:r w:rsidR="004F6F7D" w:rsidRPr="004B4934">
        <w:t xml:space="preserve"> demand for liquidity</w:t>
      </w:r>
      <w:r w:rsidR="00566D39" w:rsidRPr="004B4934">
        <w:t>, as testified by the recent “dash for cash”</w:t>
      </w:r>
      <w:r w:rsidR="00FE798F">
        <w:t xml:space="preserve"> </w:t>
      </w:r>
      <w:r w:rsidR="00FE798F">
        <w:rPr>
          <w:color w:val="FF0000"/>
        </w:rPr>
        <w:t xml:space="preserve">and </w:t>
      </w:r>
      <w:r w:rsidR="00AF674A">
        <w:rPr>
          <w:color w:val="FF0000"/>
        </w:rPr>
        <w:t>gilt market dysfunction</w:t>
      </w:r>
      <w:r w:rsidR="003E7CDC" w:rsidRPr="004B4934">
        <w:t xml:space="preserve">. </w:t>
      </w:r>
      <w:r w:rsidR="00D80707" w:rsidRPr="004B4934">
        <w:t xml:space="preserve">The experience of UK PF </w:t>
      </w:r>
      <w:r w:rsidR="002D2430" w:rsidRPr="004B4934">
        <w:t xml:space="preserve">is </w:t>
      </w:r>
      <w:r w:rsidR="00D80707" w:rsidRPr="004B4934">
        <w:t>instructive for other countries where</w:t>
      </w:r>
      <w:r w:rsidR="002D2430" w:rsidRPr="004B4934">
        <w:t xml:space="preserve"> </w:t>
      </w:r>
      <w:r w:rsidR="00D80707" w:rsidRPr="004B4934">
        <w:t>investment practices</w:t>
      </w:r>
      <w:r w:rsidR="002D2430" w:rsidRPr="004B4934">
        <w:t xml:space="preserve"> such as LDI</w:t>
      </w:r>
      <w:r w:rsidR="00D80707" w:rsidRPr="004B4934">
        <w:t xml:space="preserve"> or indeed pension system reforms towards DC pensions</w:t>
      </w:r>
      <w:r w:rsidR="002D2430" w:rsidRPr="004B4934">
        <w:t xml:space="preserve"> are underway</w:t>
      </w:r>
      <w:r w:rsidR="00CF5F40" w:rsidRPr="004B4934">
        <w:t>.</w:t>
      </w:r>
      <w:r w:rsidR="00D85965" w:rsidRPr="004B4934">
        <w:t xml:space="preserve"> </w:t>
      </w:r>
      <w:r w:rsidR="001C4AC7" w:rsidRPr="004B4934">
        <w:t xml:space="preserve">Although </w:t>
      </w:r>
      <w:r w:rsidR="001C4AC7" w:rsidRPr="004B4934">
        <w:lastRenderedPageBreak/>
        <w:t xml:space="preserve">not explicit focus of this article, the policy context remains therefore crucial </w:t>
      </w:r>
      <w:r w:rsidR="004C7932" w:rsidRPr="004B4934">
        <w:t>in</w:t>
      </w:r>
      <w:r w:rsidR="001C4AC7" w:rsidRPr="004B4934">
        <w:t xml:space="preserve"> influenc</w:t>
      </w:r>
      <w:r w:rsidR="004C7932" w:rsidRPr="004B4934">
        <w:t>ing many of the</w:t>
      </w:r>
      <w:r w:rsidR="001C4AC7" w:rsidRPr="004B4934">
        <w:t xml:space="preserve"> </w:t>
      </w:r>
      <w:r w:rsidR="004C7932" w:rsidRPr="004B4934">
        <w:t>trends we discuss.</w:t>
      </w:r>
      <w:r w:rsidR="001C4AC7" w:rsidRPr="004B4934">
        <w:t xml:space="preserve"> </w:t>
      </w:r>
    </w:p>
    <w:p w14:paraId="4DE4549E" w14:textId="53E167C8" w:rsidR="00E37007" w:rsidRPr="004B4934" w:rsidRDefault="003414EF" w:rsidP="00603090">
      <w:pPr>
        <w:pStyle w:val="Newparagraph"/>
      </w:pPr>
      <w:r w:rsidRPr="004B4934">
        <w:t xml:space="preserve">The article is divided into a further </w:t>
      </w:r>
      <w:r w:rsidR="00B319CC" w:rsidRPr="004B4934">
        <w:t>four</w:t>
      </w:r>
      <w:r w:rsidR="00657D2A" w:rsidRPr="004B4934">
        <w:t xml:space="preserve"> sections. Section 2 discusses the existing literature about the changing UK PF</w:t>
      </w:r>
      <w:r w:rsidR="00834C86" w:rsidRPr="004B4934">
        <w:t xml:space="preserve"> behaviour</w:t>
      </w:r>
      <w:r w:rsidR="002A25AE" w:rsidRPr="004B4934">
        <w:t xml:space="preserve"> and motivates our contribution</w:t>
      </w:r>
      <w:r w:rsidR="00657D2A" w:rsidRPr="004B4934">
        <w:t>.</w:t>
      </w:r>
      <w:r w:rsidR="00F877AE" w:rsidRPr="004B4934">
        <w:t xml:space="preserve"> Section 3 </w:t>
      </w:r>
      <w:r w:rsidR="002A25AE" w:rsidRPr="004B4934">
        <w:t xml:space="preserve">discusses the elements of a </w:t>
      </w:r>
      <w:proofErr w:type="spellStart"/>
      <w:r w:rsidR="002A25AE" w:rsidRPr="004B4934">
        <w:t>Minskyan</w:t>
      </w:r>
      <w:proofErr w:type="spellEnd"/>
      <w:r w:rsidR="002A25AE" w:rsidRPr="004B4934">
        <w:t xml:space="preserve">/CMF framework which can be used to analyse PF rising liquidity needs in a market-based financial system. Section 4 illustrates our argument </w:t>
      </w:r>
      <w:r w:rsidR="00A6225A" w:rsidRPr="004B4934">
        <w:t>by detailing PF behaviour in</w:t>
      </w:r>
      <w:r w:rsidR="002A25AE" w:rsidRPr="004B4934">
        <w:t xml:space="preserve"> the</w:t>
      </w:r>
      <w:r w:rsidR="00A6225A" w:rsidRPr="004B4934">
        <w:t xml:space="preserve"> evolving</w:t>
      </w:r>
      <w:r w:rsidR="002A25AE" w:rsidRPr="004B4934">
        <w:t xml:space="preserve"> UK financial system,</w:t>
      </w:r>
      <w:r w:rsidR="00A6225A" w:rsidRPr="004B4934">
        <w:t xml:space="preserve"> highlighting the growing importance of liquidity management.</w:t>
      </w:r>
      <w:r w:rsidR="002A25AE" w:rsidRPr="004B4934">
        <w:t xml:space="preserve"> </w:t>
      </w:r>
      <w:r w:rsidR="00A6225A" w:rsidRPr="004B4934">
        <w:t>S</w:t>
      </w:r>
      <w:r w:rsidR="002A25AE" w:rsidRPr="004B4934">
        <w:t xml:space="preserve">ections 5 and 6 provide more detailed empirical evidence on the </w:t>
      </w:r>
      <w:r w:rsidR="6647A406" w:rsidRPr="004B4934">
        <w:t>strategie</w:t>
      </w:r>
      <w:r w:rsidR="002A25AE" w:rsidRPr="004B4934">
        <w:t>s of UK pension funds</w:t>
      </w:r>
      <w:r w:rsidR="00131B16" w:rsidRPr="004B4934">
        <w:t xml:space="preserve"> and their implications for their “patience”</w:t>
      </w:r>
      <w:r w:rsidR="00A6225A" w:rsidRPr="004B4934">
        <w:t xml:space="preserve">; Section 5 looks at new </w:t>
      </w:r>
      <w:r w:rsidR="1294D35E" w:rsidRPr="004B4934">
        <w:t>investments into risky assets and how they relate to liquidity practices and section 6 looks at repo and derivatives strategies.</w:t>
      </w:r>
      <w:r w:rsidR="5B07EF4C" w:rsidRPr="004B4934">
        <w:t xml:space="preserve"> </w:t>
      </w:r>
      <w:r w:rsidR="00A6225A" w:rsidRPr="004B4934">
        <w:t xml:space="preserve"> </w:t>
      </w:r>
      <w:r w:rsidR="00FF200E" w:rsidRPr="004B4934">
        <w:t>The final section concludes.</w:t>
      </w:r>
    </w:p>
    <w:p w14:paraId="26F22331" w14:textId="20AD670B" w:rsidR="00D645F3" w:rsidRPr="004B4934" w:rsidRDefault="009757AB" w:rsidP="00677EB7">
      <w:pPr>
        <w:pStyle w:val="Heading1"/>
        <w:numPr>
          <w:ilvl w:val="0"/>
          <w:numId w:val="32"/>
        </w:numPr>
      </w:pPr>
      <w:r w:rsidRPr="004B4934">
        <w:t>The short-termism of PF: LDI and funding regulations</w:t>
      </w:r>
    </w:p>
    <w:p w14:paraId="1EDD186A" w14:textId="03356F4A" w:rsidR="00BD226C" w:rsidRPr="004B4934" w:rsidRDefault="00BD226C" w:rsidP="00B27FC8">
      <w:pPr>
        <w:pStyle w:val="Newparagraph"/>
      </w:pPr>
      <w:r w:rsidRPr="004B4934">
        <w:t xml:space="preserve">It has long been the hope </w:t>
      </w:r>
      <w:r w:rsidR="00104664" w:rsidRPr="004B4934">
        <w:t xml:space="preserve">in the UK </w:t>
      </w:r>
      <w:r w:rsidRPr="004B4934">
        <w:t>that PF could step up and provide long-term finance to benefit the real economy.</w:t>
      </w:r>
      <w:r w:rsidR="00C37650" w:rsidRPr="004B4934">
        <w:t xml:space="preserve"> </w:t>
      </w:r>
      <w:r w:rsidRPr="004B4934">
        <w:t xml:space="preserve"> One of the policy objectives of the “Wilson Committee” (</w:t>
      </w:r>
      <w:r w:rsidRPr="004B4934">
        <w:rPr>
          <w:i/>
          <w:iCs/>
        </w:rPr>
        <w:t>Committee to Review the Functioning of Financial Institutions, 1976-1980)</w:t>
      </w:r>
      <w:r w:rsidR="00222409" w:rsidRPr="004B4934">
        <w:t xml:space="preserve"> </w:t>
      </w:r>
      <w:r w:rsidRPr="004B4934">
        <w:t xml:space="preserve">was to ensure that PF would support “the re-industrialisation of the UK” </w:t>
      </w:r>
      <w:r w:rsidRPr="004B4934">
        <w:fldChar w:fldCharType="begin"/>
      </w:r>
      <w:r w:rsidR="00E461FE">
        <w:instrText xml:space="preserve"> ADDIN ZOTERO_ITEM CSL_CITATION {"citationID":"HfvukJz3","properties":{"formattedCitation":"(Wilson Committee 1980)","plainCitation":"(Wilson Committee 1980)","dontUpdate":true,"noteIndex":0},"citationItems":[{"id":62,"uris":["http://zotero.org/users/5165859/items/I5AB6ZDQ"],"itemData":{"id":62,"type":"report","event-place":"London","number":"7937","publisher":"HMSO","publisher-place":"London","title":"Report of the Committee to Review the  Functioning of the Financial System,","author":[{"family":"Wilson Committee","given":""}],"issued":{"date-parts":[["1980"]]}}}],"schema":"https://github.com/citation-style-language/schema/raw/master/csl-citation.json"} </w:instrText>
      </w:r>
      <w:r w:rsidRPr="004B4934">
        <w:fldChar w:fldCharType="separate"/>
      </w:r>
      <w:r w:rsidRPr="004B4934">
        <w:t>(Wilson Committee Report 1980)</w:t>
      </w:r>
      <w:r w:rsidRPr="004B4934">
        <w:fldChar w:fldCharType="end"/>
      </w:r>
      <w:r w:rsidRPr="004B4934">
        <w:t xml:space="preserve">. The </w:t>
      </w:r>
      <w:proofErr w:type="spellStart"/>
      <w:r w:rsidRPr="004B4934">
        <w:t>Myners</w:t>
      </w:r>
      <w:proofErr w:type="spellEnd"/>
      <w:r w:rsidRPr="004B4934">
        <w:t xml:space="preserve"> (2001) Report and the Kay (2012) Review blamed the practices and short-term incentives of asset managers for apparent short-termism in</w:t>
      </w:r>
      <w:r w:rsidR="00222409" w:rsidRPr="004B4934">
        <w:t xml:space="preserve"> UK PF</w:t>
      </w:r>
      <w:r w:rsidRPr="004B4934">
        <w:t xml:space="preserve"> investment </w:t>
      </w:r>
      <w:r w:rsidR="00AF5535" w:rsidRPr="004B4934">
        <w:t>strategies and</w:t>
      </w:r>
      <w:r w:rsidRPr="004B4934">
        <w:t xml:space="preserve"> set out recommendations to ensure long-term investment from the financial community</w:t>
      </w:r>
      <w:r w:rsidR="00222409" w:rsidRPr="004B4934">
        <w:t>.</w:t>
      </w:r>
    </w:p>
    <w:p w14:paraId="1619462A" w14:textId="6F40E385" w:rsidR="007F144A" w:rsidRPr="004B4934" w:rsidRDefault="00670A49" w:rsidP="007F144A">
      <w:pPr>
        <w:pStyle w:val="Newparagraph"/>
      </w:pPr>
      <w:r w:rsidRPr="004B4934">
        <w:t>Existing p</w:t>
      </w:r>
      <w:r w:rsidR="00807366" w:rsidRPr="004B4934">
        <w:t>olitical economy literature has been sceptical</w:t>
      </w:r>
      <w:r w:rsidR="009140E3" w:rsidRPr="004B4934">
        <w:t xml:space="preserve"> of this</w:t>
      </w:r>
      <w:r w:rsidR="00213A68" w:rsidRPr="004B4934">
        <w:t xml:space="preserve"> political hope,</w:t>
      </w:r>
      <w:r w:rsidR="009140E3" w:rsidRPr="004B4934">
        <w:t xml:space="preserve"> </w:t>
      </w:r>
      <w:r w:rsidR="00213A68" w:rsidRPr="004B4934">
        <w:t xml:space="preserve">offering a range of </w:t>
      </w:r>
      <w:r w:rsidR="009140E3" w:rsidRPr="004B4934">
        <w:t>explan</w:t>
      </w:r>
      <w:r w:rsidR="00213A68" w:rsidRPr="004B4934">
        <w:t>ations</w:t>
      </w:r>
      <w:r w:rsidR="009140E3" w:rsidRPr="004B4934">
        <w:t xml:space="preserve"> </w:t>
      </w:r>
      <w:r w:rsidR="00213A68" w:rsidRPr="004B4934">
        <w:t xml:space="preserve">for </w:t>
      </w:r>
      <w:r w:rsidR="009140E3" w:rsidRPr="004B4934">
        <w:t>the persistent short-termism of PF</w:t>
      </w:r>
      <w:r w:rsidR="007F144A" w:rsidRPr="004B4934">
        <w:t xml:space="preserve">. </w:t>
      </w:r>
      <w:r w:rsidR="00807366" w:rsidRPr="004B4934">
        <w:t>Early studies</w:t>
      </w:r>
      <w:r w:rsidR="007F144A" w:rsidRPr="004B4934">
        <w:t xml:space="preserve"> point</w:t>
      </w:r>
      <w:r w:rsidR="0032531E" w:rsidRPr="004B4934">
        <w:t>ed</w:t>
      </w:r>
      <w:r w:rsidR="007F144A" w:rsidRPr="004B4934">
        <w:t xml:space="preserve"> to </w:t>
      </w:r>
      <w:r w:rsidR="0032531E" w:rsidRPr="004B4934">
        <w:t xml:space="preserve">demographic transitions and </w:t>
      </w:r>
      <w:r w:rsidR="007F144A" w:rsidRPr="004B4934">
        <w:t>increasing maturity</w:t>
      </w:r>
      <w:r w:rsidR="0032531E" w:rsidRPr="004B4934">
        <w:t xml:space="preserve"> of PF, i.e. the increasing proportion of benefit payments compared to contributions from active workers</w:t>
      </w:r>
      <w:r w:rsidR="0055598C" w:rsidRPr="004B4934">
        <w:t xml:space="preserve">, to </w:t>
      </w:r>
      <w:r w:rsidR="0055598C" w:rsidRPr="004B4934">
        <w:lastRenderedPageBreak/>
        <w:t>explain their rising need for very short-term assets (cash)</w:t>
      </w:r>
      <w:r w:rsidR="007F144A" w:rsidRPr="004B4934">
        <w:t xml:space="preserve"> </w:t>
      </w:r>
      <w:r w:rsidR="007F144A" w:rsidRPr="004B4934">
        <w:fldChar w:fldCharType="begin"/>
      </w:r>
      <w:r w:rsidR="00E461FE">
        <w:instrText xml:space="preserve"> ADDIN ZOTERO_ITEM CSL_CITATION {"citationID":"t1KQeKPx","properties":{"unsorted":true,"formattedCitation":"(Blackburn 2004, Engelen 2003, Toporowski 2000)","plainCitation":"(Blackburn 2004, Engelen 2003, Toporowski 2000)","noteIndex":0},"citationItems":[{"id":910,"uris":["http://zotero.org/users/5165859/items/FB4948G6"],"itemData":{"id":910,"type":"article-journal","container-title":"New Political Economy","DOI":"10.1080/1356346042000311173","ISSN":"1356-3467","issue":"4","page":"559-579","source":"Taylor and Francis+NEJM","title":"How to rescue a failing pension regime: the British case","title-short":"How to rescue a failing pension regime","volume":"9","author":[{"family":"Blackburn","given":"Robin"}],"issued":{"date-parts":[["2004",12,1]]}}},{"id":208,"uris":["http://zotero.org/users/5165859/items/8VIDAS9G"],"itemData":{"id":208,"type":"article-journal","abstract":"During the 1990s, pension funds seemed to dominate the world's capital markets, reaping unprecedented rates of return. This stands in glaring contrast to the budgetary difficulties of most nonfunded European pension arrangements, which are a result of the changing demographic composition of the population. As a result, a growing number of European states is trying to transform the existing pay-as-you-go systems into funded pension arrangements. After a critical examination of these demographic projections, the claim that funded pension systems are not subject to `demographic stress' is critically assessed. Finally, given the logic to which funded pension arrangements are subject, it is argued that the introduction of such institutions could result in a growing financialisation of the economy. It is claimed here that this is not without dangers for the long-term wealth-generating capacity of firms. So, not only are the reasons for pension restructuring less compelling than is generally thought, restructuring could also result in unwanted side-effects.","container-title":"Environment and Planning A","DOI":"10.1068/a35307","issue":"8","page":"1357 – 1372","source":"Pion Journals","title":"The logic of funding European pension restructuring and the dangers of financialisation","volume":"35","author":[{"family":"Engelen","given":"Ewald"}],"issued":{"date-parts":[["2003"]]}}},{"id":1417,"uris":["http://zotero.org/users/5165859/items/2P98HHGI"],"itemData":{"id":1417,"type":"book","abstract":"This volume develops an original critique of the belief that the present era of finance, where finance markets dominate contemporary capitalist economies, represents the best possible way of organising economic affairs. In fact, it is argued, the ensuing economic instability and inefficiency create the preconditions for the end of the dominance of finance. The End of Finance develops a theory of capital market inflation rooted in the work of Veblen, Kalecki, Keynes and Minsky, demonstrating how it disinclines productive activity on the part of firms, provides only short-term conditions that are propitious for privatisation and distorts monetary policy in the long-term. The author examines the role of pension fund schemes and financial derivatives in transmitting capital market inflation and provides a nuanced analysis of the contradictory role they play in the financial system. Capital market inflation is also examined in its historical context and compared with past inflations, in particular the South Sea and Mississippi Bubbles, which spawned the first financial derivatives, and the first privatisations. This broad historical vision allows us to see these forms of inflation as temporary and provisional in character.","ISBN":"978-0-203-01409-7","language":"en","number-of-pages":"354","publisher":"Routledge","source":"Google Books","title":"The End of Finance: Capital Market Inflation, Financial Derivatives and Pension Fund Capitalism","title-short":"The End of Finance","author":[{"family":"Toporowski","given":"Jan"}],"issued":{"date-parts":[["2000"]]}}}],"schema":"https://github.com/citation-style-language/schema/raw/master/csl-citation.json"} </w:instrText>
      </w:r>
      <w:r w:rsidR="007F144A" w:rsidRPr="004B4934">
        <w:fldChar w:fldCharType="separate"/>
      </w:r>
      <w:r w:rsidR="007F144A" w:rsidRPr="004B4934">
        <w:t>(Blackburn 2004, Engelen 2003, Toporowski 2000)</w:t>
      </w:r>
      <w:r w:rsidR="007F144A" w:rsidRPr="004B4934">
        <w:fldChar w:fldCharType="end"/>
      </w:r>
      <w:r w:rsidR="007F144A" w:rsidRPr="004B4934">
        <w:t xml:space="preserve">. </w:t>
      </w:r>
      <w:r w:rsidR="001436ED" w:rsidRPr="004B4934">
        <w:t xml:space="preserve">According to this literature, </w:t>
      </w:r>
      <w:r w:rsidR="007F144A" w:rsidRPr="004B4934">
        <w:t>PF effectively follow a life cycle, with a large initial accumulation of assets, which UK PF mainly invested in the equity markets. This inflow was itself partly responsible for the equity boom in the 1990s, and thus the good performance of PF. However, as PF mature</w:t>
      </w:r>
      <w:r w:rsidR="001436ED" w:rsidRPr="004B4934">
        <w:t>d</w:t>
      </w:r>
      <w:r w:rsidR="007F144A" w:rsidRPr="004B4934">
        <w:t>, they stop</w:t>
      </w:r>
      <w:r w:rsidR="001436ED" w:rsidRPr="004B4934">
        <w:t>ped</w:t>
      </w:r>
      <w:r w:rsidR="007F144A" w:rsidRPr="004B4934">
        <w:t xml:space="preserve"> committing </w:t>
      </w:r>
      <w:r w:rsidR="000836C9" w:rsidRPr="004B4934">
        <w:t xml:space="preserve">as </w:t>
      </w:r>
      <w:r w:rsidR="007F144A" w:rsidRPr="004B4934">
        <w:t>much of their capital to equities,</w:t>
      </w:r>
      <w:r w:rsidR="000836C9" w:rsidRPr="004B4934">
        <w:t xml:space="preserve"> and invest</w:t>
      </w:r>
      <w:r w:rsidR="001436ED" w:rsidRPr="004B4934">
        <w:t>ed</w:t>
      </w:r>
      <w:r w:rsidR="000836C9" w:rsidRPr="004B4934">
        <w:t xml:space="preserve"> more heavily in bonds</w:t>
      </w:r>
      <w:r w:rsidR="0055598C" w:rsidRPr="004B4934">
        <w:t xml:space="preserve">, which could be easily converted into cash, </w:t>
      </w:r>
      <w:r w:rsidR="000836C9" w:rsidRPr="004B4934">
        <w:t>to reduce volatility of portfolio value. At the same time</w:t>
      </w:r>
      <w:r w:rsidR="001E77E2" w:rsidRPr="004B4934">
        <w:t>,</w:t>
      </w:r>
      <w:r w:rsidR="000836C9" w:rsidRPr="004B4934">
        <w:t xml:space="preserve"> they</w:t>
      </w:r>
      <w:r w:rsidR="007F144A" w:rsidRPr="004B4934">
        <w:t xml:space="preserve"> start</w:t>
      </w:r>
      <w:r w:rsidR="001436ED" w:rsidRPr="004B4934">
        <w:t>ed</w:t>
      </w:r>
      <w:r w:rsidR="007F144A" w:rsidRPr="004B4934">
        <w:t xml:space="preserve"> investing in riskier assets to ensure high returns. As put by </w:t>
      </w:r>
      <w:r w:rsidR="007F144A" w:rsidRPr="004B4934">
        <w:fldChar w:fldCharType="begin"/>
      </w:r>
      <w:r w:rsidR="00184E76" w:rsidRPr="004B4934">
        <w:instrText xml:space="preserve"> ADDIN ZOTERO_ITEM CSL_CITATION {"citationID":"NLX1jnsZ","properties":{"formattedCitation":"(Engelen 2003, p. 1366)","plainCitation":"(Engelen 2003, p. 1366)","dontUpdate":true,"noteIndex":0},"citationItems":[{"id":208,"uris":["http://zotero.org/users/5165859/items/8VIDAS9G"],"itemData":{"id":208,"type":"article-journal","abstract":"During the 1990s, pension funds seemed to dominate the world's capital markets, reaping unprecedented rates of return. This stands in glaring contrast to the budgetary difficulties of most nonfunded European pension arrangements, which are a result of the changing demographic composition of the population. As a result, a growing number of European states is trying to transform the existing pay-as-you-go systems into funded pension arrangements. After a critical examination of these demographic projections, the claim that funded pension systems are not subject to `demographic stress' is critically assessed. Finally, given the logic to which funded pension arrangements are subject, it is argued that the introduction of such institutions could result in a growing financialisation of the economy. It is claimed here that this is not without dangers for the long-term wealth-generating capacity of firms. So, not only are the reasons for pension restructuring less compelling than is generally thought, restructuring could also result in unwanted side-effects.","container-title":"Environment and Planning A","DOI":"10.1068/a35307","issue":"8","page":"1357 – 1372","source":"Pion Journals","title":"The logic of funding European pension restructuring and the dangers of financialisation","volume":"35","author":[{"family":"Engelen","given":"Ewald"}],"issued":{"date-parts":[["2003"]]}},"locator":"1366"}],"schema":"https://github.com/citation-style-language/schema/raw/master/csl-citation.json"} </w:instrText>
      </w:r>
      <w:r w:rsidR="007F144A" w:rsidRPr="004B4934">
        <w:fldChar w:fldCharType="separate"/>
      </w:r>
      <w:r w:rsidR="007F144A" w:rsidRPr="004B4934">
        <w:t>Engelen (2003, p. 1366)</w:t>
      </w:r>
      <w:r w:rsidR="007F144A" w:rsidRPr="004B4934">
        <w:fldChar w:fldCharType="end"/>
      </w:r>
      <w:r w:rsidR="007F144A" w:rsidRPr="004B4934">
        <w:t xml:space="preserve"> “as pension funds mature, their need to push the envelope of existing investment norms and practices grows, resulting in increasing speculative behaviour”.</w:t>
      </w:r>
      <w:r w:rsidR="00BF782F" w:rsidRPr="004B4934">
        <w:t xml:space="preserve"> </w:t>
      </w:r>
    </w:p>
    <w:p w14:paraId="6752AF59" w14:textId="67B6799B" w:rsidR="00F8081B" w:rsidRPr="004B4934" w:rsidRDefault="000836C9" w:rsidP="00B27FC8">
      <w:pPr>
        <w:pStyle w:val="Newparagraph"/>
      </w:pPr>
      <w:r w:rsidRPr="004B4934">
        <w:t xml:space="preserve"> </w:t>
      </w:r>
      <w:r w:rsidR="0013529D" w:rsidRPr="004B4934">
        <w:t>Contemporary</w:t>
      </w:r>
      <w:r w:rsidR="00056661" w:rsidRPr="004B4934">
        <w:t xml:space="preserve"> </w:t>
      </w:r>
      <w:r w:rsidR="009D6083" w:rsidRPr="004B4934">
        <w:t>literature</w:t>
      </w:r>
      <w:r w:rsidR="00056661" w:rsidRPr="004B4934">
        <w:t xml:space="preserve"> has </w:t>
      </w:r>
      <w:r w:rsidR="00B27FC8" w:rsidRPr="004B4934">
        <w:t>focus</w:t>
      </w:r>
      <w:r w:rsidR="00B61FB8" w:rsidRPr="004B4934">
        <w:t>ed</w:t>
      </w:r>
      <w:r w:rsidR="00B27FC8" w:rsidRPr="004B4934">
        <w:t xml:space="preserve"> on the </w:t>
      </w:r>
      <w:r w:rsidRPr="004B4934">
        <w:t xml:space="preserve">(conflicting) </w:t>
      </w:r>
      <w:r w:rsidR="00B27FC8" w:rsidRPr="004B4934">
        <w:t xml:space="preserve">preferences of </w:t>
      </w:r>
      <w:r w:rsidRPr="004B4934">
        <w:t>PF</w:t>
      </w:r>
      <w:r w:rsidR="00B27FC8" w:rsidRPr="004B4934">
        <w:t xml:space="preserve"> key stakeholders, most importantly employers, trade unions, and governments </w:t>
      </w:r>
      <w:r w:rsidR="00B27FC8" w:rsidRPr="004B4934">
        <w:fldChar w:fldCharType="begin"/>
      </w:r>
      <w:r w:rsidR="00E461FE">
        <w:instrText xml:space="preserve"> ADDIN ZOTERO_ITEM CSL_CITATION {"citationID":"cGwrEBfu","properties":{"unsorted":true,"formattedCitation":"(Macheda 2012, McCarthy {\\i{}et al.} 2016, Naczyk 2013, 2016, 2018, Wi\\uc0\\u223{} 2015)","plainCitation":"(Macheda 2012, McCarthy et al. 2016, Naczyk 2013, 2016, 2018, Wiß 2015)","noteIndex":0},"citationItems":[{"id":1061,"uris":["http://zotero.org/users/5165859/items/QWZC59ZZ"],"itemData":{"id":1061,"type":"article-journal","abstract":"This article explores the decisive role of pension funds in the neoliberal restructuring of the Icelandic economy, arguing that, through their involvement in the pension-fund industry, the labour unions contributed to laying the foundations for Iceland’s economic financialisation. The socioeconomic stability provided by the labour organisations was the crucial element upon which the new financial regime of accumulation relied, enhancing the national economic ‘credibility’ that helped the internal market to attract foreign speculators as well as gaining access to loans from international market. I begin by examining how the structural crisis of the Icelandic economy produced an explosion of inflation and industrial conflict in the late-1980s. I then retrace the way the implementation of a neo-corporatist pattern enabled lower inflation and stabilisation of the currency. Finally, I analyse the way in which the involvement of the Icelandic trade unions in the financial mechanisms through the pension industry generated a degree of identification with pro-market governmental policy on the part of union leaders, encouraging them to tailor their own strategies accordingly. My conclusion is that Icelandic unions’ consensus concerning the ‘stabilisation programme’ implemented by the neoliberal coalitions relies on their embeddedness into the financial structures of the national economy through occupational pension funds.","container-title":"Capital &amp; Class","DOI":"10.1177/0309816812460753","ISSN":"0309-8168","issue":"3","journalAbbreviation":"Capital &amp; Class","language":"en","page":"433-473","source":"SAGE Journals","title":"The role of pension funds in the financialisation of the Icelandic economy","volume":"36","author":[{"family":"Macheda","given":"Francesco"}],"issued":{"date-parts":[["2012",10,1]]}}},{"id":1420,"uris":["http://zotero.org/users/5165859/items/UEC2WAVA"],"itemData":{"id":1420,"type":"article-journal","abstract":"In comparative political economy, the patience of capital investment has often been explained with the political activity of stakeholders. Such scholarship attributes investment preferences to either set assumptions about what various actors are likely to want from their pension systems or to macro-level institutional factors. Comparing the preferences of business and labor actors in the occupational pension systems in Finland, the Netherlands, and the USA, we argue that preferences are better explained more dynamically and emerge from meso-level institutional forces. We find that financing needs and capacities, governance capacities and financial regulations explain changes in labor and business preferences with regard to fund investment. In each of the cases, a combination of these three institutional factors explains a preference shift toward more varied and more impatient investing.","container-title":"Socio-Economic Review","DOI":"10.1093/ser/mww020","ISSN":"1475-1461","issue":"4","journalAbbreviation":"Socioecon Rev","page":"751-769","source":"academic.oup.com","title":"Investment preferences and patient capital: financing, governance, and regulation in pension fund capitalism","title-short":"Investment preferences and patient capital","volume":"14","author":[{"family":"McCarthy","given":"Michael A."},{"family":"Sorsa","given":"Ville-Pekka"},{"family":"Zwan","given":"Natascha","non-dropping-particle":"van der"}],"issued":{"date-parts":[["2016",10,1]]}}},{"id":1372,"uris":["http://zotero.org/users/5165859/items/67Q47XJR"],"itemData":{"id":1372,"type":"article-journal","abstract":"This paper analyses business preferences towards the development of private\n                    pension funds. Existing studies about business involvement in welfare state\n                    reform equate capital with employers and focus on the socio-economic\n                    determinants of their preferences. In contrast, this paper also analyses the\n                    role of financial firms. Moreover, it develops a set of\n                    hypotheses about how institutions contribute to shape capital's\n                    preferences towards pension privatization. In particular, I study the impact of\n                    institutional feedback from the public/statutory pay-as-you-go system, from\n                    existing private/supplementary occupational pensions and the influence of social\n                    partnership. Financial firms are hypothesized to be a key proponent of pension\n                    privatization, while employers may have a much more ambivalent attitude. The\n                    argument is tested using a comparative historical analysis of pension debates in\n                    Belgium and France from the end of the 1970s until the mid-2000s.","container-title":"Socio-Economic Review","DOI":"10.1093/ser/mws012","ISSN":"1475-1461","issue":"3","journalAbbreviation":"Socioecon Rev","page":"441-469","source":"academic.oup.com","title":"Agents of privatization? Business groups and the rise of pension funds in Continental Europe","title-short":"Agents of privatization?","volume":"11","author":[{"family":"Naczyk","given":"Marek"}],"issued":{"date-parts":[["2013",7,1]]}}},{"id":1376,"uris":["http://zotero.org/users/5165859/items/6VSW7JJR"],"itemData":{"id":1376,"type":"article-journal","abstract":"European governments are increasingly retreating from public pension provision and promoting the expansion of private pension funds. Analysts of comparative social policy have traditionally considered that the politics of pension privatisation is driven by politicians’ and socioeconomic actors’ concerns about the generosity and costs of pension arrangements. But, when they are fully funded instead of being financed on a pay-as-you-go basis, pensions generate funds that are injected into the financial system. The existence of such a welfare–finance nexus means that stakeholders in the pension system are also attentive to how pension funds invest their assets, and may try to actively shape the institutional design of pensions in accordance with such financial concerns. This article focuses on the role of organised labour and business, that is, employers and the financial industry, in pension privatisation and develops theoretical expectations on how these actors’ interest in maximising control over private pension funds’ financial assets affects pension politics. The argument is tested with a case study of French pension privatisation between the 1980s and the 2000s.","container-title":"Journal of European Social Policy","DOI":"10.1177/0958928716642944","ISSN":"0958-9287","issue":"3","journalAbbreviation":"Journal of European Social Policy","language":"en","page":"205-218","source":"SAGE Journals","title":"Creating French-style pension funds: Business, labour and the battle over patient capital","title-short":"Creating French-style pension funds","volume":"26","author":[{"family":"Naczyk","given":"Marek"}],"issued":{"date-parts":[["2016",7,1]]}}},{"id":1725,"uris":["http://zotero.org/users/5165859/items/8F9GDPCB"],"itemData":{"id":1725,"type":"article-journal","abstract":"While in Western Europe occupational plans dominate private pension provision, coverage of such plans is marginal in Central and Eastern Europe (CEE). Previous literature has shown the World Bank's instrumental role in persuading CEE countries to divert part of their social security contributions towards mandatory personal pensions. The dominance of the Bank's model of pension privatization from the mid-1990s largely explains the marginalization of occupational plans. However, as this model has been challenged since the late 2000s, occupational pensions (OPs) have re-appeared on the agenda. To shed light on the changing politics of OPs, this article focuses on the role of organized interests—namely employers' associations, trade unions, and financial groups—that are key players in Western Europe, but whose role has been understudied in CEE. The article follows these actors' activities in the last three decades of pension politics in Poland, i.e., one of the few CEE countries to have promoted occupational provision. It shows that, although organized interests had limited policy expertise and mainly mobilized social consent for—or opposition to—reform in the early phases of post-communist pension reform, the growing organizational resources of business groups—in contrast with unions—make them increasingly influential actors in reshaping the contours of CEE private pension provision.","container-title":"Social Policy &amp; Administration","DOI":"10.1111/spol.12383","ISSN":"1467-9515","issue":"2","language":"en","license":"© 2018 John Wiley &amp; Sons Ltd","note":"_eprint: https://onlinelibrary.wiley.com/doi/pdf/10.1111/spol.12383","page":"549-562","source":"Wiley Online Library","title":"When finance captures labor's capital: Dominant personal pensions, resurgent occupational provision in Central and Eastern Europe","title-short":"When finance captures labor's capital","volume":"52","author":[{"family":"Naczyk","given":"Marek"}],"issued":{"date-parts":[["2018"]]}}},{"id":1390,"uris":["http://zotero.org/users/5165859/items/D64PNQQJ"],"itemData":{"id":1390,"type":"article-journal","abstract":"Restricted public pension schemes and cuts in earnings-related pensions have increased the role of pension funds. However, it is unclear from previous studies how far financial market crises affect pension funds mediated by trade unions and employee participation. This article draws on institutionalist arguments to link different mechanisms of coordination of market economies to differences in pension systems, corporate and pension fund governance, investment strategies and thus the vulnerability of pension funds to financial market risks. There is higher vulnerability to financial market crises in liberal market economies with weak trade union influence and high equity exposure.","container-title":"European Journal of Industrial Relations","DOI":"10.1177/0959680114530237","ISSN":"0959-6801","issue":"2","journalAbbreviation":"European Journal of Industrial Relations","language":"en","page":"131-147","source":"SAGE Journals","title":"Pension fund vulnerability to the financial market crisis: The role of trade unions","title-short":"Pension fund vulnerability to the financial market crisis","volume":"21","author":[{"family":"Wiß","given":"Tobias"}],"issued":{"date-parts":[["2015",6,1]]}}}],"schema":"https://github.com/citation-style-language/schema/raw/master/csl-citation.json"} </w:instrText>
      </w:r>
      <w:r w:rsidR="00B27FC8" w:rsidRPr="004B4934">
        <w:fldChar w:fldCharType="separate"/>
      </w:r>
      <w:r w:rsidR="00B27FC8" w:rsidRPr="004B4934">
        <w:t xml:space="preserve">(Macheda 2012, McCarthy </w:t>
      </w:r>
      <w:r w:rsidR="00B27FC8" w:rsidRPr="004B4934">
        <w:rPr>
          <w:i/>
          <w:iCs/>
        </w:rPr>
        <w:t>et al.</w:t>
      </w:r>
      <w:r w:rsidR="00B27FC8" w:rsidRPr="004B4934">
        <w:t xml:space="preserve"> 2016, Naczyk 2013, 2016, 2018, Wiß 2015)</w:t>
      </w:r>
      <w:r w:rsidR="00B27FC8" w:rsidRPr="004B4934">
        <w:fldChar w:fldCharType="end"/>
      </w:r>
      <w:r w:rsidR="0093426F" w:rsidRPr="004B4934">
        <w:t xml:space="preserve"> to explain PF’s </w:t>
      </w:r>
      <w:r w:rsidR="00C01E96" w:rsidRPr="004B4934">
        <w:t>investment behaviour</w:t>
      </w:r>
      <w:r w:rsidR="00B27FC8" w:rsidRPr="004B4934">
        <w:t xml:space="preserve">. </w:t>
      </w:r>
      <w:r w:rsidRPr="004B4934">
        <w:t>Here</w:t>
      </w:r>
      <w:r w:rsidR="00B27FC8" w:rsidRPr="004B4934">
        <w:t>, PF asset demand depends on the competing influence of different stakeholders</w:t>
      </w:r>
      <w:r w:rsidR="0032531E" w:rsidRPr="004B4934">
        <w:t>,</w:t>
      </w:r>
      <w:r w:rsidR="00B27FC8" w:rsidRPr="004B4934">
        <w:t xml:space="preserve"> given a certain macro-level institutional context, such as the degree of coordination between institutional sectors, and the influence of the financial sector as a political and institutional agent </w:t>
      </w:r>
      <w:r w:rsidR="00B27FC8" w:rsidRPr="004B4934">
        <w:fldChar w:fldCharType="begin"/>
      </w:r>
      <w:r w:rsidR="00E461FE">
        <w:instrText xml:space="preserve"> ADDIN ZOTERO_ITEM CSL_CITATION {"citationID":"d5IZvI6A","properties":{"formattedCitation":"(Wi\\uc0\\u223{} 2015, 2019, Naczyk 2018)","plainCitation":"(Wiß 2015, 2019, Naczyk 2018)","noteIndex":0},"citationItems":[{"id":1390,"uris":["http://zotero.org/users/5165859/items/D64PNQQJ"],"itemData":{"id":1390,"type":"article-journal","abstract":"Restricted public pension schemes and cuts in earnings-related pensions have increased the role of pension funds. However, it is unclear from previous studies how far financial market crises affect pension funds mediated by trade unions and employee participation. This article draws on institutionalist arguments to link different mechanisms of coordination of market economies to differences in pension systems, corporate and pension fund governance, investment strategies and thus the vulnerability of pension funds to financial market risks. There is higher vulnerability to financial market crises in liberal market economies with weak trade union influence and high equity exposure.","container-title":"European Journal of Industrial Relations","DOI":"10.1177/0959680114530237","ISSN":"0959-6801","issue":"2","journalAbbreviation":"European Journal of Industrial Relations","language":"en","page":"131-147","source":"SAGE Journals","title":"Pension fund vulnerability to the financial market crisis: The role of trade unions","title-short":"Pension fund vulnerability to the financial market crisis","volume":"21","author":[{"family":"Wiß","given":"Tobias"}],"issued":{"date-parts":[["2015",6,1]]}}},{"id":1721,"uris":["http://zotero.org/users/5165859/items/PDFB2HFV"],"itemData":{"id":1721,"type":"article-journal","abstract":"The financial market crises of 2001/02 and 2007/08 and the sovereign debt crisis that started in 2011 had adverse effects on financialised pensions such as pension funds. In general, moments of crises are major shocks to existing equilibriums and policies and open windows of opportunity for policy change. Did these crises trigger a slowdown or reversal of pension financialisation? This article finds that Germany, the Netherlands and the United Kingdom took similar steps along the pension financialisation path by intensifying the reliance of pension funds on financial markets despite the occurrence of three financial crises. The reinforcement of pension financialisation can be explained by the entrenched interests of several actors in finance, employers, the state, and trade unions, who have no interest in the collapse of pension funds.","container-title":"Journal of European Public Policy","DOI":"10.1080/13501763.2019.1574870","ISSN":"1350-1763","issue":"4","note":"publisher: Routledge\n_eprint: https://doi.org/10.1080/13501763.2019.1574870","page":"501-520","source":"Taylor and Francis+NEJM","title":"Reinforcement of pension financialisation as a response to financial crises in Germany, the Netherlands and the United Kingdom","volume":"26","author":[{"family":"Wiß","given":"Tobias"}],"issued":{"date-parts":[["2019",4,3]]}}},{"id":1725,"uris":["http://zotero.org/users/5165859/items/8F9GDPCB"],"itemData":{"id":1725,"type":"article-journal","abstract":"While in Western Europe occupational plans dominate private pension provision, coverage of such plans is marginal in Central and Eastern Europe (CEE). Previous literature has shown the World Bank's instrumental role in persuading CEE countries to divert part of their social security contributions towards mandatory personal pensions. The dominance of the Bank's model of pension privatization from the mid-1990s largely explains the marginalization of occupational plans. However, as this model has been challenged since the late 2000s, occupational pensions (OPs) have re-appeared on the agenda. To shed light on the changing politics of OPs, this article focuses on the role of organized interests—namely employers' associations, trade unions, and financial groups—that are key players in Western Europe, but whose role has been understudied in CEE. The article follows these actors' activities in the last three decades of pension politics in Poland, i.e., one of the few CEE countries to have promoted occupational provision. It shows that, although organized interests had limited policy expertise and mainly mobilized social consent for—or opposition to—reform in the early phases of post-communist pension reform, the growing organizational resources of business groups—in contrast with unions—make them increasingly influential actors in reshaping the contours of CEE private pension provision.","container-title":"Social Policy &amp; Administration","DOI":"10.1111/spol.12383","ISSN":"1467-9515","issue":"2","language":"en","license":"© 2018 John Wiley &amp; Sons Ltd","note":"_eprint: https://onlinelibrary.wiley.com/doi/pdf/10.1111/spol.12383","page":"549-562","source":"Wiley Online Library","title":"When finance captures labor's capital: Dominant personal pensions, resurgent occupational provision in Central and Eastern Europe","title-short":"When finance captures labor's capital","volume":"52","author":[{"family":"Naczyk","given":"Marek"}],"issued":{"date-parts":[["2018"]]}}}],"schema":"https://github.com/citation-style-language/schema/raw/master/csl-citation.json"} </w:instrText>
      </w:r>
      <w:r w:rsidR="00B27FC8" w:rsidRPr="004B4934">
        <w:fldChar w:fldCharType="separate"/>
      </w:r>
      <w:r w:rsidR="00B27FC8" w:rsidRPr="004B4934">
        <w:t>(Wiß 2015, 2019, Naczyk 2018)</w:t>
      </w:r>
      <w:r w:rsidR="00B27FC8" w:rsidRPr="004B4934">
        <w:fldChar w:fldCharType="end"/>
      </w:r>
      <w:r w:rsidR="00B27FC8" w:rsidRPr="004B4934">
        <w:t xml:space="preserve">. </w:t>
      </w:r>
      <w:r w:rsidR="009D22EC" w:rsidRPr="004B4934">
        <w:t>A</w:t>
      </w:r>
      <w:r w:rsidR="00B27FC8" w:rsidRPr="004B4934">
        <w:t xml:space="preserve">s </w:t>
      </w:r>
      <w:r w:rsidR="00B27FC8" w:rsidRPr="004B4934">
        <w:fldChar w:fldCharType="begin"/>
      </w:r>
      <w:r w:rsidR="00E461FE">
        <w:instrText xml:space="preserve"> ADDIN ZOTERO_ITEM CSL_CITATION {"citationID":"AYwiwTyB","properties":{"formattedCitation":"(McCarthy {\\i{}et al.} 2016)","plainCitation":"(McCarthy et al. 2016)","dontUpdate":true,"noteIndex":0},"citationItems":[{"id":1420,"uris":["http://zotero.org/users/5165859/items/UEC2WAVA"],"itemData":{"id":1420,"type":"article-journal","abstract":"In comparative political economy, the patience of capital investment has often been explained with the political activity of stakeholders. Such scholarship attributes investment preferences to either set assumptions about what various actors are likely to want from their pension systems or to macro-level institutional factors. Comparing the preferences of business and labor actors in the occupational pension systems in Finland, the Netherlands, and the USA, we argue that preferences are better explained more dynamically and emerge from meso-level institutional forces. We find that financing needs and capacities, governance capacities and financial regulations explain changes in labor and business preferences with regard to fund investment. In each of the cases, a combination of these three institutional factors explains a preference shift toward more varied and more impatient investing.","container-title":"Socio-Economic Review","DOI":"10.1093/ser/mww020","ISSN":"1475-1461","issue":"4","journalAbbreviation":"Socioecon Rev","page":"751-769","source":"academic.oup.com","title":"Investment preferences and patient capital: financing, governance, and regulation in pension fund capitalism","title-short":"Investment preferences and patient capital","volume":"14","author":[{"family":"McCarthy","given":"Michael A."},{"family":"Sorsa","given":"Ville-Pekka"},{"family":"Zwan","given":"Natascha","non-dropping-particle":"van der"}],"issued":{"date-parts":[["2016",10,1]]}}}],"schema":"https://github.com/citation-style-language/schema/raw/master/csl-citation.json"} </w:instrText>
      </w:r>
      <w:r w:rsidR="00B27FC8" w:rsidRPr="004B4934">
        <w:fldChar w:fldCharType="separate"/>
      </w:r>
      <w:r w:rsidR="00B27FC8" w:rsidRPr="004B4934">
        <w:t xml:space="preserve">McCarthy </w:t>
      </w:r>
      <w:r w:rsidR="00B27FC8" w:rsidRPr="004B4934">
        <w:rPr>
          <w:i/>
          <w:iCs/>
        </w:rPr>
        <w:t>et al.</w:t>
      </w:r>
      <w:r w:rsidR="00B27FC8" w:rsidRPr="004B4934">
        <w:t xml:space="preserve"> (2016)</w:t>
      </w:r>
      <w:r w:rsidR="00B27FC8" w:rsidRPr="004B4934">
        <w:fldChar w:fldCharType="end"/>
      </w:r>
      <w:r w:rsidR="00B27FC8" w:rsidRPr="004B4934">
        <w:t xml:space="preserve"> argue, these influences and relationships are contingent on meso-level institutional factors such as specific forms of regulation, governance capacity and financing needs. These factors vary over time and space and affect the relative strength, as well as the dynamic preferences</w:t>
      </w:r>
      <w:r w:rsidR="000B2670" w:rsidRPr="004B4934">
        <w:t>,</w:t>
      </w:r>
      <w:r w:rsidR="00B27FC8" w:rsidRPr="004B4934">
        <w:t xml:space="preserve"> of institutional actors, which will then shape the governance of PF and their demand for financial assets. </w:t>
      </w:r>
    </w:p>
    <w:p w14:paraId="109DA1A1" w14:textId="77F537AF" w:rsidR="007476D4" w:rsidRPr="004B4934" w:rsidRDefault="002E7DF0" w:rsidP="00B663F3">
      <w:pPr>
        <w:pStyle w:val="Newparagraph"/>
      </w:pPr>
      <w:r w:rsidRPr="004B4934">
        <w:t>In the case of the UK, this more recent literature highlights a combination of important ideational pressures and political-institutional developments</w:t>
      </w:r>
      <w:r w:rsidR="004068A3" w:rsidRPr="004B4934">
        <w:t xml:space="preserve"> in the early 2000s</w:t>
      </w:r>
      <w:r w:rsidRPr="004B4934">
        <w:t>le</w:t>
      </w:r>
      <w:r w:rsidR="004068A3" w:rsidRPr="004B4934">
        <w:t>a</w:t>
      </w:r>
      <w:r w:rsidRPr="004B4934">
        <w:t>d</w:t>
      </w:r>
      <w:r w:rsidR="004068A3" w:rsidRPr="004B4934">
        <w:t>ing</w:t>
      </w:r>
      <w:r w:rsidRPr="004B4934">
        <w:t xml:space="preserve"> to rising </w:t>
      </w:r>
      <w:r w:rsidR="004866DA" w:rsidRPr="004B4934">
        <w:t>demand by UK PF for short-term, liquid assets, particular</w:t>
      </w:r>
      <w:r w:rsidR="004068A3" w:rsidRPr="004B4934">
        <w:t>ly</w:t>
      </w:r>
      <w:r w:rsidR="004866DA" w:rsidRPr="004B4934">
        <w:t xml:space="preserve"> </w:t>
      </w:r>
      <w:r w:rsidR="004866DA" w:rsidRPr="004B4934">
        <w:lastRenderedPageBreak/>
        <w:t xml:space="preserve">government bonds. </w:t>
      </w:r>
      <w:r w:rsidR="007476D4" w:rsidRPr="004B4934" w:rsidDel="000B2670">
        <w:fldChar w:fldCharType="begin"/>
      </w:r>
      <w:r w:rsidR="00E461FE">
        <w:instrText xml:space="preserve"> ADDIN ZOTERO_ITEM CSL_CITATION {"citationID":"oDY9zySh","properties":{"formattedCitation":"(Berry 2015, 2021)","plainCitation":"(Berry 2015, 2021)","dontUpdate":true,"noteIndex":0},"citationItems":[{"id":1037,"uris":["http://zotero.org/users/5165859/items/2STL3EAI"],"itemData":{"id":1037,"type":"report","publisher":"International Longevity Centre - UK and Sheffield Political Economy Research Institute","title":"Take the long road? Pension fund investments and economic stagnation","author":[{"family":"Berry","given":"Craig"}],"issued":{"date-parts":[["2015"]]}}},{"id":8,"uris":["http://zotero.org/users/5165859/items/TD6XQ6WE"],"itemData":{"id":8,"type":"book","abstract":"Private pensions provision in the UK is in crisis, yet it is not the crisis often depicted in political and popular discourses. While population ageing has affected traditional pensions practice, the imperilment of UK pensions is due in fact to the peculiar way policy-makers have responded to wider social and economic change. Pensions are a mechanism for managing failed futures, yet this function is being impeded by the individualization of provision. This book offers a political economy perspective on the development of private pensions, focusing specifically on how policy elites have sought to respond to perceived crises of demographic change, under-saving, and fund deficits, and in doing so have absorbed imperatives to subject individuals to a market-led regime under the influence of neoliberal ideology. This terrain is explored through chapters on the historical and comparative context of UK pensions provision, the demise of collectivist provision, the rise of pensions individualization and the state's role as facilitator and regulator in this regard, and the financial and economic context in which pensions provision operates. By placing the UK system in a comparative context of pensions reform agendas across the world, this book offers an original understanding of the unique temporality and materiality of pensions provision as a set of mechanisms for coping with generational change and forecast failures in capitalist economies. It also presents a nuanced account of the extent to which the state acts to anchor the process of pensions rematerialization and, crucially, concludes by outlining a coherent and radical programme of progressive pensions reform.","event-place":"Oxford, New York","ISBN":"978-0-19-878283-4","number-of-pages":"352","publisher":"Oxford University Press","publisher-place":"Oxford, New York","source":"Oxford University Press","title":"Pensions Imperilled: The Political Economy of Private Pensions Provision in the UK","title-short":"Pensions Imperilled","author":[{"family":"Berry","given":"Craig"}],"issued":{"date-parts":[["2021"]]}}}],"schema":"https://github.com/citation-style-language/schema/raw/master/csl-citation.json"} </w:instrText>
      </w:r>
      <w:r w:rsidR="007476D4" w:rsidRPr="004B4934" w:rsidDel="000B2670">
        <w:fldChar w:fldCharType="separate"/>
      </w:r>
      <w:r w:rsidR="007476D4" w:rsidRPr="004B4934" w:rsidDel="000B2670">
        <w:t>Berry (2015, 2021)</w:t>
      </w:r>
      <w:r w:rsidR="007476D4" w:rsidRPr="004B4934" w:rsidDel="000B2670">
        <w:fldChar w:fldCharType="end"/>
      </w:r>
      <w:r w:rsidR="007476D4" w:rsidRPr="004B4934">
        <w:t xml:space="preserve"> </w:t>
      </w:r>
      <w:r w:rsidR="007476D4" w:rsidRPr="004B4934" w:rsidDel="000B2670">
        <w:t xml:space="preserve">argues that the lack of a stable “temporal anchor” for pension schemes, as shown by the unwillingness of sponsors to sustain their PF and the move to DC pensions, is largely to blame for their inability to act as “long-term” investors. In Berry’s explanation this is </w:t>
      </w:r>
      <w:r w:rsidR="007476D4" w:rsidRPr="004B4934">
        <w:t>mainly</w:t>
      </w:r>
      <w:r w:rsidR="007476D4" w:rsidRPr="004B4934" w:rsidDel="000B2670">
        <w:t xml:space="preserve"> a question o</w:t>
      </w:r>
      <w:r w:rsidR="00224FD8" w:rsidRPr="004B4934">
        <w:t>f</w:t>
      </w:r>
      <w:r w:rsidR="007476D4" w:rsidRPr="004B4934" w:rsidDel="000B2670">
        <w:t xml:space="preserve"> political economy</w:t>
      </w:r>
      <w:r w:rsidR="004068A3" w:rsidRPr="004B4934">
        <w:t>:</w:t>
      </w:r>
      <w:r w:rsidR="007476D4" w:rsidRPr="004B4934" w:rsidDel="000B2670">
        <w:t xml:space="preserve"> UK employers failed to stabilise PF investment horizon, </w:t>
      </w:r>
      <w:proofErr w:type="gramStart"/>
      <w:r w:rsidR="007476D4" w:rsidRPr="004B4934" w:rsidDel="000B2670">
        <w:t>in order to</w:t>
      </w:r>
      <w:proofErr w:type="gramEnd"/>
      <w:r w:rsidR="007476D4" w:rsidRPr="004B4934" w:rsidDel="000B2670">
        <w:t xml:space="preserve"> protect their own</w:t>
      </w:r>
      <w:r w:rsidR="005E529A" w:rsidRPr="004B4934">
        <w:t xml:space="preserve"> stability</w:t>
      </w:r>
      <w:r w:rsidR="007476D4" w:rsidRPr="004B4934" w:rsidDel="000B2670">
        <w:t>.</w:t>
      </w:r>
      <w:r w:rsidR="004E654E" w:rsidRPr="004B4934">
        <w:t xml:space="preserve"> </w:t>
      </w:r>
      <w:r w:rsidR="004068A3" w:rsidRPr="004B4934">
        <w:t>O</w:t>
      </w:r>
      <w:r w:rsidR="007476D4" w:rsidRPr="004B4934" w:rsidDel="000B2670">
        <w:t>nly full commitments by sponsors, or a higher degree of risk-sharing</w:t>
      </w:r>
      <w:r w:rsidR="00181D81" w:rsidRPr="004B4934">
        <w:t xml:space="preserve">, </w:t>
      </w:r>
      <w:r w:rsidR="007476D4" w:rsidRPr="004B4934" w:rsidDel="000B2670">
        <w:t xml:space="preserve">could provide PF with a stabilising “anchor” and promote patient investment practices. </w:t>
      </w:r>
    </w:p>
    <w:p w14:paraId="0091BB44" w14:textId="0AEDDCC8" w:rsidR="00681FD8" w:rsidRPr="004B4934" w:rsidRDefault="002E7DF0" w:rsidP="00F8081B">
      <w:pPr>
        <w:pStyle w:val="Newparagraph"/>
      </w:pPr>
      <w:r w:rsidRPr="004B4934">
        <w:t xml:space="preserve">Other strands of the literature focus on the </w:t>
      </w:r>
      <w:r w:rsidR="000B0323" w:rsidRPr="004B4934">
        <w:t xml:space="preserve">construction of new regulation and investment practices </w:t>
      </w:r>
      <w:r w:rsidR="00BC2A9E" w:rsidRPr="004B4934">
        <w:t>to explain PF</w:t>
      </w:r>
      <w:r w:rsidR="00A16A7E" w:rsidRPr="004B4934">
        <w:t xml:space="preserve"> “de-risking”, i.e. the</w:t>
      </w:r>
      <w:r w:rsidR="001E52A2" w:rsidRPr="004B4934">
        <w:t xml:space="preserve"> shift </w:t>
      </w:r>
      <w:r w:rsidR="00C01596" w:rsidRPr="004B4934">
        <w:t>away from equities and towards bonds</w:t>
      </w:r>
      <w:r w:rsidR="00414F18" w:rsidRPr="004B4934">
        <w:t xml:space="preserve"> </w:t>
      </w:r>
      <w:r w:rsidR="00063550" w:rsidRPr="004B4934">
        <w:fldChar w:fldCharType="begin"/>
      </w:r>
      <w:r w:rsidR="00E461FE">
        <w:instrText xml:space="preserve"> ADDIN ZOTERO_ITEM CSL_CITATION {"citationID":"QJp1fVhv","properties":{"formattedCitation":"(Gelepithis 2019, Mabbett 2020)","plainCitation":"(Gelepithis 2019, Mabbett 2020)","noteIndex":0},"citationItems":[{"id":"F02KzQUJ/OQm5cgLU","uris":["http://zotero.org/users/5165859/items/AXZED5RF"],"itemData":{"id":"uOvgHCIF/h2gXEIUP","type":"article-journal","abstract":"Funded pensions are now established components of most mature retirement income systems. The value of global pension fund assets is higher than ever before, and the way these assets are invested affects both the welfare of future retirees, and the performance of national economies. Recent research has identified systematic cross-national variation in the investment behaviour of pension funds, explaining it through the preferences and influence of employer-sponsors and plan members. Yet the ongoing ‘de-risking’ of UK pension funds remains puzzling. Informed by the UK case, this article develops the argument that variation in pension fund asset allocation reflects the independent influence of networks of investment professionals who construct and institutionalise norms of liability driven investment.","container-title":"Journal of European Public Policy","DOI":"10.1080/13501763.2019.1574874","ISSN":"1350-1763","issue":"4","note":"publisher: Routledge\n_eprint: https://doi.org/10.1080/13501763.2019.1574874","page":"540-559","source":"Taylor and Francis+NEJM","title":"Re-assessing the role of financial professionals in pension fund investment strategies","volume":"26","author":[{"family":"Gelepithis","given":"Margarita"}],"issued":{"date-parts":[["2019",4,3]]}}},{"id":1560,"uris":["http://zotero.org/users/5165859/items/QWZ4WTXZ"],"itemData":{"id":1560,"type":"article-journal","abstract":"In pensions, the practice of valuation purports to answer the question of whether a pension fund has sufficient assets to honor its promises. Uncertainty about the answer is converted into calculable risk, using the insights of financial economics. This article examines why UK pension funds have ‘derisked’ their portfolios by moving out of assets with volatile prices. It is shown that derisking is produced by the performance of financialized risk management in a regulatory setting where horizons are shortened. While derisking is not generally in the interests of employers or scheme members, and is damaging to the wider economy, three features of the governance structure for pensions have stymied attempts to counteract it. These are: the spillover effects of financialization in corporate accounting, herding around industry benchmarks, and collective action problems arising from the regulator’s dependence on dialogue with private actors and from the risk-aversion of political actors.","container-title":"Review of International Political Economy","DOI":"10.1080/09692290.2020.1758187","ISSN":"0969-2290","issue":"0","note":"publisher: Routledge\n_eprint: https://doi.org/10.1080/09692290.2020.1758187","page":"1-21","source":"Taylor and Francis+NEJM","title":"Reckless prudence: financialization in UK pension scheme governance after the crisis","title-short":"Reckless prudence","volume":"0","author":[{"family":"Mabbett","given":"Deborah"}],"issued":{"date-parts":[["2020",4,28]]}}}],"schema":"https://github.com/citation-style-language/schema/raw/master/csl-citation.json"} </w:instrText>
      </w:r>
      <w:r w:rsidR="00063550" w:rsidRPr="004B4934">
        <w:fldChar w:fldCharType="separate"/>
      </w:r>
      <w:r w:rsidR="00063550" w:rsidRPr="004B4934">
        <w:t>(Gelepithis 2019, Mabbett 2020)</w:t>
      </w:r>
      <w:r w:rsidR="00063550" w:rsidRPr="004B4934">
        <w:fldChar w:fldCharType="end"/>
      </w:r>
      <w:r w:rsidR="005953E0" w:rsidRPr="004B4934">
        <w:t xml:space="preserve">. </w:t>
      </w:r>
      <w:r w:rsidR="0093426F" w:rsidRPr="004B4934">
        <w:t>These</w:t>
      </w:r>
      <w:r w:rsidR="001C4BB1" w:rsidRPr="004B4934">
        <w:t xml:space="preserve"> explanations</w:t>
      </w:r>
      <w:r w:rsidR="0093426F" w:rsidRPr="004B4934">
        <w:t xml:space="preserve"> </w:t>
      </w:r>
      <w:r w:rsidR="00603F95" w:rsidRPr="004B4934">
        <w:t xml:space="preserve">can be summarily captured by the rise of the </w:t>
      </w:r>
      <w:r w:rsidR="00E23607" w:rsidRPr="004B4934">
        <w:t>L</w:t>
      </w:r>
      <w:r w:rsidR="000B2670" w:rsidRPr="004B4934">
        <w:t xml:space="preserve">iability </w:t>
      </w:r>
      <w:r w:rsidR="00E23607" w:rsidRPr="004B4934">
        <w:t>D</w:t>
      </w:r>
      <w:r w:rsidR="000B2670" w:rsidRPr="004B4934">
        <w:t>riven Investment</w:t>
      </w:r>
      <w:r w:rsidR="00C15F0C" w:rsidRPr="004B4934">
        <w:t xml:space="preserve"> (LDI)</w:t>
      </w:r>
      <w:r w:rsidR="000B2670" w:rsidRPr="004B4934">
        <w:t xml:space="preserve"> </w:t>
      </w:r>
      <w:r w:rsidR="00603F95" w:rsidRPr="004B4934">
        <w:t>paradigm</w:t>
      </w:r>
      <w:r w:rsidR="0093426F" w:rsidRPr="004B4934">
        <w:t>, according to which</w:t>
      </w:r>
      <w:r w:rsidR="00623966" w:rsidRPr="004B4934">
        <w:t xml:space="preserve"> the </w:t>
      </w:r>
      <w:r w:rsidR="00154540" w:rsidRPr="004B4934">
        <w:t xml:space="preserve">ultimate </w:t>
      </w:r>
      <w:r w:rsidR="00623966" w:rsidRPr="004B4934">
        <w:t>goal of PF is</w:t>
      </w:r>
      <w:r w:rsidR="009D7605" w:rsidRPr="004B4934">
        <w:t xml:space="preserve"> not</w:t>
      </w:r>
      <w:r w:rsidR="00623966" w:rsidRPr="004B4934">
        <w:t xml:space="preserve"> the pursuit of maximising returns per se, but performance against the commitments originating from </w:t>
      </w:r>
      <w:r w:rsidR="00EE6A9E" w:rsidRPr="004B4934">
        <w:t xml:space="preserve">pension </w:t>
      </w:r>
      <w:r w:rsidR="00623966" w:rsidRPr="004B4934">
        <w:t>liabilities</w:t>
      </w:r>
      <w:r w:rsidR="00111848" w:rsidRPr="004B4934">
        <w:t xml:space="preserve"> </w:t>
      </w:r>
      <w:r w:rsidR="00111848" w:rsidRPr="004B4934">
        <w:fldChar w:fldCharType="begin"/>
      </w:r>
      <w:r w:rsidR="00E461FE">
        <w:instrText xml:space="preserve"> ADDIN ZOTERO_ITEM CSL_CITATION {"citationID":"MQ6eG2rQ","properties":{"formattedCitation":"(Bruder {\\i{}et al.} 2012)","plainCitation":"(Bruder et al. 2012)","noteIndex":0},"citationItems":[{"id":966,"uris":["http://zotero.org/users/5165859/items/38JD28D6"],"itemData":{"id":966,"type":"report","genre":"White Paper","publisher":"Lyxor","title":"Liability-Driven Investment","author":[{"family":"Bruder","given":"Benjamin"},{"family":"Jamet","given":"Guillaume"},{"family":"Lasserre","given":"Guillaume"}],"issued":{"date-parts":[["2012"]]}}}],"schema":"https://github.com/citation-style-language/schema/raw/master/csl-citation.json"} </w:instrText>
      </w:r>
      <w:r w:rsidR="00111848" w:rsidRPr="004B4934">
        <w:fldChar w:fldCharType="separate"/>
      </w:r>
      <w:r w:rsidR="00111848" w:rsidRPr="004B4934">
        <w:t xml:space="preserve">(Bruder </w:t>
      </w:r>
      <w:r w:rsidR="00111848" w:rsidRPr="004B4934">
        <w:rPr>
          <w:i/>
          <w:iCs/>
        </w:rPr>
        <w:t>et al.</w:t>
      </w:r>
      <w:r w:rsidR="00111848" w:rsidRPr="004B4934">
        <w:t xml:space="preserve"> 2012)</w:t>
      </w:r>
      <w:r w:rsidR="00111848" w:rsidRPr="004B4934">
        <w:fldChar w:fldCharType="end"/>
      </w:r>
      <w:r w:rsidR="006E5190" w:rsidRPr="004B4934">
        <w:t xml:space="preserve">. </w:t>
      </w:r>
      <w:r w:rsidR="0030041F" w:rsidRPr="004B4934">
        <w:t>The key objective</w:t>
      </w:r>
      <w:r w:rsidR="00C15F0C" w:rsidRPr="004B4934">
        <w:t xml:space="preserve"> of LDI</w:t>
      </w:r>
      <w:r w:rsidR="0030041F" w:rsidRPr="004B4934">
        <w:t xml:space="preserve"> is the </w:t>
      </w:r>
      <w:r w:rsidR="000F6958" w:rsidRPr="004B4934">
        <w:t xml:space="preserve">minimisation and stabilisation of the so-called “funding deficit”, </w:t>
      </w:r>
      <w:proofErr w:type="gramStart"/>
      <w:r w:rsidR="000F6958" w:rsidRPr="004B4934">
        <w:t>i.e.</w:t>
      </w:r>
      <w:proofErr w:type="gramEnd"/>
      <w:r w:rsidR="000F6958" w:rsidRPr="004B4934">
        <w:t xml:space="preserve"> the difference between the market value of assets and liabilities –</w:t>
      </w:r>
      <w:r w:rsidR="00D06AA1" w:rsidRPr="004B4934">
        <w:t xml:space="preserve"> calculated as</w:t>
      </w:r>
      <w:r w:rsidR="000F6958" w:rsidRPr="004B4934">
        <w:t xml:space="preserve"> the discounted</w:t>
      </w:r>
      <w:r w:rsidR="009E4268" w:rsidRPr="004B4934">
        <w:t xml:space="preserve"> </w:t>
      </w:r>
      <w:r w:rsidR="000F6958" w:rsidRPr="004B4934">
        <w:t>value of the</w:t>
      </w:r>
      <w:r w:rsidR="009E4268" w:rsidRPr="004B4934">
        <w:t xml:space="preserve"> future pensions to be paid.</w:t>
      </w:r>
      <w:r w:rsidR="0039475F" w:rsidRPr="004B4934">
        <w:t xml:space="preserve"> </w:t>
      </w:r>
      <w:r w:rsidR="00C6542B" w:rsidRPr="004B4934">
        <w:t xml:space="preserve">This is </w:t>
      </w:r>
      <w:r w:rsidR="00222409" w:rsidRPr="004B4934">
        <w:t xml:space="preserve">achieved </w:t>
      </w:r>
      <w:r w:rsidR="00C6542B" w:rsidRPr="004B4934">
        <w:t>by investing in assets that are exposed to the same changes in valuation as liabilities</w:t>
      </w:r>
      <w:r w:rsidR="000F325B" w:rsidRPr="004B4934">
        <w:t xml:space="preserve">, </w:t>
      </w:r>
      <w:proofErr w:type="gramStart"/>
      <w:r w:rsidR="000F325B" w:rsidRPr="004B4934">
        <w:t>e.g.</w:t>
      </w:r>
      <w:proofErr w:type="gramEnd"/>
      <w:r w:rsidR="000F325B" w:rsidRPr="004B4934">
        <w:t xml:space="preserve"> changes in the interest rate</w:t>
      </w:r>
      <w:r w:rsidR="0039475F" w:rsidRPr="004B4934">
        <w:rPr>
          <w:rStyle w:val="EndnoteReference"/>
        </w:rPr>
        <w:endnoteReference w:id="4"/>
      </w:r>
      <w:r w:rsidR="00FB0A8D" w:rsidRPr="004B4934">
        <w:t xml:space="preserve">. In practice, LDI has been implemented through a division </w:t>
      </w:r>
      <w:r w:rsidR="005153B2" w:rsidRPr="004B4934">
        <w:t>of</w:t>
      </w:r>
      <w:r w:rsidR="00FB0A8D" w:rsidRPr="004B4934">
        <w:t xml:space="preserve"> PF’s</w:t>
      </w:r>
      <w:r w:rsidR="005153B2" w:rsidRPr="004B4934">
        <w:t xml:space="preserve"> investments between</w:t>
      </w:r>
      <w:r w:rsidR="00FB0A8D" w:rsidRPr="004B4934">
        <w:t xml:space="preserve"> a “protection</w:t>
      </w:r>
      <w:r w:rsidR="008131BE" w:rsidRPr="004B4934">
        <w:t>”</w:t>
      </w:r>
      <w:r w:rsidR="00FB0A8D" w:rsidRPr="004B4934">
        <w:t xml:space="preserve"> portfolio, </w:t>
      </w:r>
      <w:r w:rsidR="009C763E" w:rsidRPr="004B4934">
        <w:t>which directly seeks to</w:t>
      </w:r>
      <w:r w:rsidR="00984D7E" w:rsidRPr="004B4934">
        <w:t xml:space="preserve"> stabilise the funding deficit</w:t>
      </w:r>
      <w:r w:rsidR="000F325B" w:rsidRPr="004B4934">
        <w:t xml:space="preserve"> and mainly consist of government bonds</w:t>
      </w:r>
      <w:r w:rsidR="005360A5" w:rsidRPr="004B4934">
        <w:t xml:space="preserve"> supplemented by the usage of derivatives</w:t>
      </w:r>
      <w:r w:rsidR="00FB0A8D" w:rsidRPr="004B4934">
        <w:t xml:space="preserve">, and a “growth” portfolio, which aims at increasing the risk-adjusted return of PF investments in the presence of rising funding deficits </w:t>
      </w:r>
      <w:r w:rsidR="00387F07" w:rsidRPr="004B4934">
        <w:fldChar w:fldCharType="begin"/>
      </w:r>
      <w:r w:rsidR="00E461FE">
        <w:instrText xml:space="preserve"> ADDIN ZOTERO_ITEM CSL_CITATION {"citationID":"JRy2KeIe","properties":{"formattedCitation":"(Insight Investment 2020)","plainCitation":"(Insight Investment 2020)","noteIndex":0},"citationItems":[{"id":1494,"uris":["http://zotero.org/users/5165859/items/K6KMCZZP"],"itemData":{"id":1494,"type":"report","publisher":"Insight Investment","title":"An introduction to Liability-Driven Investment","URL":"https://www.insightinvestment.com/globalassets/documents/recent-thinking/ire-an-introduction-to-ldi.pdf","author":[{"family":"Insight Investment","given":""}],"accessed":{"date-parts":[["2021",11,2]]},"issued":{"date-parts":[["2020"]]}}}],"schema":"https://github.com/citation-style-language/schema/raw/master/csl-citation.json"} </w:instrText>
      </w:r>
      <w:r w:rsidR="00387F07" w:rsidRPr="004B4934">
        <w:fldChar w:fldCharType="separate"/>
      </w:r>
      <w:r w:rsidR="00387F07" w:rsidRPr="004B4934">
        <w:t>(Insight Investment 2020)</w:t>
      </w:r>
      <w:r w:rsidR="00387F07" w:rsidRPr="004B4934">
        <w:fldChar w:fldCharType="end"/>
      </w:r>
      <w:r w:rsidR="00FB0A8D" w:rsidRPr="004B4934">
        <w:t>.</w:t>
      </w:r>
    </w:p>
    <w:p w14:paraId="745C260B" w14:textId="0B55F6BE" w:rsidR="003813A8" w:rsidRPr="004B4934" w:rsidRDefault="00603F95" w:rsidP="00414F18">
      <w:pPr>
        <w:pStyle w:val="Newparagraph"/>
      </w:pPr>
      <w:r w:rsidRPr="004B4934">
        <w:t>The</w:t>
      </w:r>
      <w:r w:rsidR="00190924" w:rsidRPr="004B4934">
        <w:t xml:space="preserve"> existing</w:t>
      </w:r>
      <w:r w:rsidR="00985042" w:rsidRPr="004B4934">
        <w:t xml:space="preserve"> literature </w:t>
      </w:r>
      <w:r w:rsidR="00AE53C9" w:rsidRPr="004B4934">
        <w:t xml:space="preserve">sees </w:t>
      </w:r>
      <w:r w:rsidR="008E063A" w:rsidRPr="004B4934">
        <w:t>the rise of LDI</w:t>
      </w:r>
      <w:r w:rsidR="00AE53C9" w:rsidRPr="004B4934">
        <w:t xml:space="preserve"> </w:t>
      </w:r>
      <w:r w:rsidR="00AC59C9" w:rsidRPr="004B4934">
        <w:t xml:space="preserve">as </w:t>
      </w:r>
      <w:r w:rsidR="00AE53C9" w:rsidRPr="004B4934">
        <w:t xml:space="preserve">the product of the </w:t>
      </w:r>
      <w:r w:rsidR="002C0C34" w:rsidRPr="004B4934">
        <w:t>performative and ideational role of risk management practices promoted by the financial industry</w:t>
      </w:r>
      <w:r w:rsidR="00B7156E" w:rsidRPr="004B4934">
        <w:t xml:space="preserve"> </w:t>
      </w:r>
      <w:r w:rsidR="008E063A" w:rsidRPr="004B4934">
        <w:lastRenderedPageBreak/>
        <w:t xml:space="preserve">which has been </w:t>
      </w:r>
      <w:r w:rsidR="00B7156E" w:rsidRPr="004B4934">
        <w:t xml:space="preserve">institutionalised through </w:t>
      </w:r>
      <w:r w:rsidR="006061CC" w:rsidRPr="004B4934">
        <w:t>accounting and regulatory developments</w:t>
      </w:r>
      <w:r w:rsidR="002C0C34" w:rsidRPr="004B4934">
        <w:t xml:space="preserve">. </w:t>
      </w:r>
      <w:r w:rsidR="0053209F" w:rsidRPr="004B4934">
        <w:t>From this standpoint</w:t>
      </w:r>
      <w:r w:rsidR="00EA6593" w:rsidRPr="004B4934">
        <w:t xml:space="preserve">, the widespread adoption of </w:t>
      </w:r>
      <w:r w:rsidR="00985042" w:rsidRPr="004B4934">
        <w:t xml:space="preserve">LDI </w:t>
      </w:r>
      <w:r w:rsidR="00EA6593" w:rsidRPr="004B4934">
        <w:t>strategies</w:t>
      </w:r>
      <w:r w:rsidR="0000713E" w:rsidRPr="004B4934">
        <w:t xml:space="preserve"> </w:t>
      </w:r>
      <w:r w:rsidR="0052784A" w:rsidRPr="004B4934">
        <w:t>is due to the</w:t>
      </w:r>
      <w:r w:rsidR="0000713E" w:rsidRPr="004B4934">
        <w:t xml:space="preserve"> </w:t>
      </w:r>
      <w:r w:rsidR="00985042" w:rsidRPr="004B4934">
        <w:t xml:space="preserve">increasing “financialisation” of </w:t>
      </w:r>
      <w:r w:rsidR="00733249" w:rsidRPr="004B4934">
        <w:t>PF’</w:t>
      </w:r>
      <w:r w:rsidR="00985042" w:rsidRPr="004B4934">
        <w:t xml:space="preserve"> balance sheets, as assets and liabilities have become mark-to-market, both for financial accounting and periodic regulatory assessment, and their risk</w:t>
      </w:r>
      <w:r w:rsidR="001F3FD7" w:rsidRPr="004B4934">
        <w:t>s</w:t>
      </w:r>
      <w:r w:rsidR="00985042" w:rsidRPr="004B4934">
        <w:t xml:space="preserve"> are evaluated probabilistically </w:t>
      </w:r>
      <w:r w:rsidR="00985042" w:rsidRPr="004B4934">
        <w:fldChar w:fldCharType="begin"/>
      </w:r>
      <w:r w:rsidR="00E461FE">
        <w:instrText xml:space="preserve"> ADDIN ZOTERO_ITEM CSL_CITATION {"citationID":"N03XMOP5","properties":{"formattedCitation":"(Berry 2016, Gelepithis 2019, Mabbett 2020)","plainCitation":"(Berry 2016, Gelepithis 2019, Mabbett 2020)","noteIndex":0},"citationItems":[{"id":1722,"uris":["http://zotero.org/users/5165859/items/BHGKBYMR"],"itemData":{"id":1722,"type":"article-journal","abstract":"This article offers a detailed analysis of the recent history of pensions policy in the United Kingdom, culminating in two apparent ‘revolutions’ in policy now underway: the introduction of ‘automatic enrolment’ into private pensions, and proposals for a new ‘single-tier’ state pension. These reforms are considered exemplary of the ‘financialisation’ of UK welfare provision – typified in pensions policy by the notion that individuals must take personal responsibility for their own long-term financial security, and engage intimately with the financial services industry to do so. As such, the reforms represent the continuation of pensions policy between the Labour and coalition governments, despite the coalition government’s novel rhetorical commitment to austerity. In fact, the pensions revolutions will actually cost the state significantly more than current arrangements, yet the importance of fears about population ageing means that the government is both able to marshal the imagery of austerity to justify financialisation, but is also required to partly conceal the increased expenditure this requires. The article shows therefore how the financialisation agenda in pensions policy was evident before the financial crisis, but has evolved to both take advantage, and mitigate the constraints, of a post-crisis political climate.","container-title":"British Politics","DOI":"10.1057/bp.2014.19","ISSN":"1746-9198","issue":"1","journalAbbreviation":"Br Polit","language":"en","page":"2-25","source":"Springer Link","title":"Austerity, ageing and the financialisation of pensions policy in the UK","volume":"11","author":[{"family":"Berry","given":"Craig"}],"issued":{"date-parts":[["2016",4,1]]}}},{"id":"F02KzQUJ/OQm5cgLU","uris":["http://zotero.org/users/5165859/items/AXZED5RF"],"itemData":{"id":"RyY8iipg/11NaxYU0","type":"article-journal","abstract":"Funded pensions are now established components of most mature retirement income systems. The value of global pension fund assets is higher than ever before, and the way these assets are invested affects both the welfare of future retirees, and the performance of national economies. Recent research has identified systematic cross-national variation in the investment behaviour of pension funds, explaining it through the preferences and influence of employer-sponsors and plan members. Yet the ongoing ‘de-risking’ of UK pension funds remains puzzling. Informed by the UK case, this article develops the argument that variation in pension fund asset allocation reflects the independent influence of networks of investment professionals who construct and institutionalise norms of liability driven investment.","container-title":"Journal of European Public Policy","DOI":"10.1080/13501763.2019.1574874","ISSN":"1350-1763","issue":"4","note":"publisher: Routledge\n_eprint: https://doi.org/10.1080/13501763.2019.1574874","page":"540-559","source":"Taylor and Francis+NEJM","title":"Re-assessing the role of financial professionals in pension fund investment strategies","volume":"26","author":[{"family":"Gelepithis","given":"Margarita"}],"issued":{"date-parts":[["2019",4,3]]}}},{"id":1560,"uris":["http://zotero.org/users/5165859/items/QWZ4WTXZ"],"itemData":{"id":1560,"type":"article-journal","abstract":"In pensions, the practice of valuation purports to answer the question of whether a pension fund has sufficient assets to honor its promises. Uncertainty about the answer is converted into calculable risk, using the insights of financial economics. This article examines why UK pension funds have ‘derisked’ their portfolios by moving out of assets with volatile prices. It is shown that derisking is produced by the performance of financialized risk management in a regulatory setting where horizons are shortened. While derisking is not generally in the interests of employers or scheme members, and is damaging to the wider economy, three features of the governance structure for pensions have stymied attempts to counteract it. These are: the spillover effects of financialization in corporate accounting, herding around industry benchmarks, and collective action problems arising from the regulator’s dependence on dialogue with private actors and from the risk-aversion of political actors.","container-title":"Review of International Political Economy","DOI":"10.1080/09692290.2020.1758187","ISSN":"0969-2290","issue":"0","note":"publisher: Routledge\n_eprint: https://doi.org/10.1080/09692290.2020.1758187","page":"1-21","source":"Taylor and Francis+NEJM","title":"Reckless prudence: financialization in UK pension scheme governance after the crisis","title-short":"Reckless prudence","volume":"0","author":[{"family":"Mabbett","given":"Deborah"}],"issued":{"date-parts":[["2020",4,28]]}}}],"schema":"https://github.com/citation-style-language/schema/raw/master/csl-citation.json"} </w:instrText>
      </w:r>
      <w:r w:rsidR="00985042" w:rsidRPr="004B4934">
        <w:fldChar w:fldCharType="separate"/>
      </w:r>
      <w:r w:rsidR="004B76A1" w:rsidRPr="004B4934">
        <w:t>(Berry 2016, Gelepithis 2019, Mabbett 2020)</w:t>
      </w:r>
      <w:r w:rsidR="00985042" w:rsidRPr="004B4934">
        <w:fldChar w:fldCharType="end"/>
      </w:r>
      <w:r w:rsidR="007E1F4E" w:rsidRPr="004B4934">
        <w:rPr>
          <w:rStyle w:val="EndnoteReference"/>
        </w:rPr>
        <w:endnoteReference w:id="5"/>
      </w:r>
      <w:r w:rsidR="00985042" w:rsidRPr="004B4934">
        <w:t>.</w:t>
      </w:r>
      <w:r w:rsidR="00383998" w:rsidRPr="004B4934">
        <w:t xml:space="preserve"> </w:t>
      </w:r>
      <w:r w:rsidR="0097682F" w:rsidRPr="004B4934">
        <w:t>This line of thought emphasise</w:t>
      </w:r>
      <w:r w:rsidR="00EA70BA" w:rsidRPr="004B4934">
        <w:t>s</w:t>
      </w:r>
      <w:r w:rsidR="0097682F" w:rsidRPr="004B4934">
        <w:t xml:space="preserve"> the constru</w:t>
      </w:r>
      <w:r w:rsidR="00777D54" w:rsidRPr="004B4934">
        <w:t>cted</w:t>
      </w:r>
      <w:r w:rsidR="0097682F" w:rsidRPr="004B4934">
        <w:t xml:space="preserve"> nature of pension </w:t>
      </w:r>
      <w:r w:rsidR="0030567B" w:rsidRPr="004B4934">
        <w:t>investments</w:t>
      </w:r>
      <w:r w:rsidR="0097682F" w:rsidRPr="004B4934">
        <w:t xml:space="preserve">, </w:t>
      </w:r>
      <w:r w:rsidR="003C7DDA" w:rsidRPr="004B4934">
        <w:t xml:space="preserve">seeing </w:t>
      </w:r>
      <w:r w:rsidR="00E17A68" w:rsidRPr="004B4934">
        <w:t xml:space="preserve">them </w:t>
      </w:r>
      <w:r w:rsidR="003C7DDA" w:rsidRPr="004B4934">
        <w:t xml:space="preserve">as the result of a process through </w:t>
      </w:r>
      <w:r w:rsidR="0097682F" w:rsidRPr="004B4934">
        <w:t>which financial theory becomes embedded into pension policy and</w:t>
      </w:r>
      <w:r w:rsidR="00C95A27" w:rsidRPr="004B4934">
        <w:t xml:space="preserve"> i</w:t>
      </w:r>
      <w:r w:rsidR="0097682F" w:rsidRPr="004B4934">
        <w:t xml:space="preserve">nvestment practice. </w:t>
      </w:r>
    </w:p>
    <w:p w14:paraId="38564185" w14:textId="0C1066B6" w:rsidR="00144461" w:rsidRPr="004B4934" w:rsidRDefault="008C6B07" w:rsidP="00531D7C">
      <w:pPr>
        <w:pStyle w:val="Newparagraph"/>
      </w:pPr>
      <w:r w:rsidRPr="004B4934">
        <w:t>We find these arguments compelling</w:t>
      </w:r>
      <w:r w:rsidR="00AD72B3" w:rsidRPr="004B4934">
        <w:t xml:space="preserve">, and </w:t>
      </w:r>
      <w:r w:rsidR="00B6428C" w:rsidRPr="004B4934">
        <w:t>key to making sense of contemporary PF developments as outlined below. However</w:t>
      </w:r>
      <w:r w:rsidR="005E4DF9" w:rsidRPr="004B4934">
        <w:t>,</w:t>
      </w:r>
      <w:r w:rsidR="00806E22" w:rsidRPr="004B4934">
        <w:t xml:space="preserve"> </w:t>
      </w:r>
      <w:r w:rsidR="00A40284" w:rsidRPr="004B4934">
        <w:t>existing exp</w:t>
      </w:r>
      <w:r w:rsidR="00EB6BB2" w:rsidRPr="004B4934">
        <w:t>lanations</w:t>
      </w:r>
      <w:r w:rsidR="005E4DF9" w:rsidRPr="004B4934">
        <w:t xml:space="preserve"> -</w:t>
      </w:r>
      <w:r w:rsidR="00AB650D" w:rsidRPr="004B4934">
        <w:t xml:space="preserve"> by focussing </w:t>
      </w:r>
      <w:r w:rsidR="0054046B" w:rsidRPr="004B4934">
        <w:t xml:space="preserve">exclusively </w:t>
      </w:r>
      <w:r w:rsidR="00AB650D" w:rsidRPr="004B4934">
        <w:t>on the</w:t>
      </w:r>
      <w:r w:rsidR="0054046B" w:rsidRPr="004B4934">
        <w:t xml:space="preserve"> interests of different stakeholders</w:t>
      </w:r>
      <w:r w:rsidR="00496178" w:rsidRPr="00FE6D6C">
        <w:rPr>
          <w:color w:val="FF0000"/>
        </w:rPr>
        <w:t xml:space="preserve"> </w:t>
      </w:r>
      <w:r w:rsidR="00FE6D6C" w:rsidRPr="00FE6D6C">
        <w:rPr>
          <w:color w:val="FF0000"/>
        </w:rPr>
        <w:t xml:space="preserve">and regulation </w:t>
      </w:r>
      <w:r w:rsidR="005E4DF9" w:rsidRPr="004B4934">
        <w:t>-</w:t>
      </w:r>
      <w:r w:rsidR="00F83A7A" w:rsidRPr="004B4934">
        <w:t xml:space="preserve"> have insufficiently focussed on the</w:t>
      </w:r>
      <w:r w:rsidR="00F46B1F" w:rsidRPr="004B4934">
        <w:t xml:space="preserve"> </w:t>
      </w:r>
      <w:r w:rsidR="00F46B1F" w:rsidRPr="004B4934">
        <w:rPr>
          <w:i/>
          <w:iCs/>
        </w:rPr>
        <w:t>structural</w:t>
      </w:r>
      <w:r w:rsidR="00F46B1F" w:rsidRPr="004B4934">
        <w:t xml:space="preserve"> factors that shape and constrain PF investment.</w:t>
      </w:r>
      <w:r w:rsidR="00FE6D6C">
        <w:t xml:space="preserve"> </w:t>
      </w:r>
      <w:r w:rsidR="00FE6D6C" w:rsidRPr="006803B3">
        <w:rPr>
          <w:color w:val="FF0000"/>
        </w:rPr>
        <w:t xml:space="preserve">As we will show in section 5, </w:t>
      </w:r>
      <w:r w:rsidR="00FE6D6C">
        <w:rPr>
          <w:color w:val="FF0000"/>
        </w:rPr>
        <w:t xml:space="preserve">structural changes in investment behaviour have been accelerated by the global financial crisis in 2009, despite </w:t>
      </w:r>
      <w:r w:rsidR="006803B3">
        <w:rPr>
          <w:color w:val="FF0000"/>
        </w:rPr>
        <w:t>stability in the regulatory framework.</w:t>
      </w:r>
      <w:r w:rsidR="00F46B1F" w:rsidRPr="004B4934">
        <w:t xml:space="preserve"> </w:t>
      </w:r>
      <w:r w:rsidR="00B62A0F" w:rsidRPr="004B4934">
        <w:t xml:space="preserve">As argued by </w:t>
      </w:r>
      <w:r w:rsidRPr="004B4934">
        <w:fldChar w:fldCharType="begin"/>
      </w:r>
      <w:r w:rsidR="00E461FE">
        <w:instrText xml:space="preserve"> ADDIN ZOTERO_ITEM CSL_CITATION {"citationID":"pKBMhoi5","properties":{"formattedCitation":"(Braun 2022)","plainCitation":"(Braun 2022)","dontUpdate":true,"noteIndex":0},"citationItems":[{"id":1464,"uris":["http://zotero.org/users/5165859/items/2FBEJVXB"],"itemData":{"id":1464,"type":"article-journal","container-title":"New Labor Forum","DOI":"10.1177/10957960211062218","ISSN":"1095-7960","issue":"1","journalAbbreviation":"New Labor Forum","language":"en","note":"publisher: SAGE Publications Inc","page":"70-79","source":"SAGE Journals","title":"Fueling Financialization: The Economic Consequences of Funded Pensions","title-short":"Fueling Financialization","volume":"31","author":[{"family":"Braun","given":"Benjamin"}],"issued":{"date-parts":[["2022",1,1]]}}}],"schema":"https://github.com/citation-style-language/schema/raw/master/csl-citation.json"} </w:instrText>
      </w:r>
      <w:r w:rsidRPr="004B4934">
        <w:fldChar w:fldCharType="separate"/>
      </w:r>
      <w:r w:rsidR="00B62A0F" w:rsidRPr="004B4934">
        <w:t>Braun (2022)</w:t>
      </w:r>
      <w:r w:rsidRPr="004B4934">
        <w:fldChar w:fldCharType="end"/>
      </w:r>
      <w:r w:rsidR="00B62A0F" w:rsidRPr="004B4934">
        <w:t xml:space="preserve">, existing meso-level explanations need to be complemented with </w:t>
      </w:r>
      <w:r w:rsidR="00B62A0F" w:rsidRPr="004B4934">
        <w:rPr>
          <w:i/>
          <w:iCs/>
        </w:rPr>
        <w:t>macro</w:t>
      </w:r>
      <w:r w:rsidR="004114BC" w:rsidRPr="004B4934">
        <w:t>-level explanations</w:t>
      </w:r>
      <w:r w:rsidR="008A2479" w:rsidRPr="004B4934">
        <w:t xml:space="preserve">, </w:t>
      </w:r>
      <w:r w:rsidR="003D1EDE" w:rsidRPr="004B4934">
        <w:t>focussing on the structure of the financial system as a whole. At the same time, these structural changes</w:t>
      </w:r>
      <w:r w:rsidR="003003C8" w:rsidRPr="004B4934">
        <w:t xml:space="preserve"> need to be </w:t>
      </w:r>
      <w:r w:rsidR="00D86BCB" w:rsidRPr="004B4934">
        <w:t>r</w:t>
      </w:r>
      <w:r w:rsidR="003003C8" w:rsidRPr="004B4934">
        <w:t>ooted in the concrete practic</w:t>
      </w:r>
      <w:r w:rsidR="00C40399" w:rsidRPr="004B4934">
        <w:t>es and constraint</w:t>
      </w:r>
      <w:r w:rsidR="001836D0" w:rsidRPr="004B4934">
        <w:t>s</w:t>
      </w:r>
      <w:r w:rsidR="00C40399" w:rsidRPr="004B4934">
        <w:t xml:space="preserve"> that </w:t>
      </w:r>
      <w:r w:rsidR="00E948B5" w:rsidRPr="004B4934">
        <w:t xml:space="preserve">different types of </w:t>
      </w:r>
      <w:r w:rsidR="00C40399" w:rsidRPr="004B4934">
        <w:t xml:space="preserve">financial </w:t>
      </w:r>
      <w:proofErr w:type="gramStart"/>
      <w:r w:rsidR="004307FD" w:rsidRPr="004B4934">
        <w:t>actors</w:t>
      </w:r>
      <w:proofErr w:type="gramEnd"/>
      <w:r w:rsidR="00C40399" w:rsidRPr="004B4934">
        <w:t xml:space="preserve"> face</w:t>
      </w:r>
      <w:r w:rsidR="003003C8" w:rsidRPr="004B4934">
        <w:t>.</w:t>
      </w:r>
      <w:r w:rsidR="00806E22" w:rsidRPr="004B4934">
        <w:t xml:space="preserve"> </w:t>
      </w:r>
      <w:r w:rsidR="00ED612B" w:rsidRPr="004B4934">
        <w:t xml:space="preserve">This paper provides such a macro-financial structural explanation and shows that UK PF’s </w:t>
      </w:r>
      <w:r w:rsidR="00301D0E" w:rsidRPr="004B4934">
        <w:t>rising demand for short-term liquid assets</w:t>
      </w:r>
      <w:r w:rsidR="007F7EC0" w:rsidRPr="004B4934">
        <w:t xml:space="preserve"> originates, to a large extent, from their need to engage in active liquidity management practices in the UK’ increasingly </w:t>
      </w:r>
      <w:r w:rsidR="00BA028A" w:rsidRPr="004B4934">
        <w:t xml:space="preserve">market-based system, characterised by the rise of collateralised financial relations. Thus, whilst PF are in principle patient investors, their embeddedness into market-based financial structures makes it increasingly difficult for them to </w:t>
      </w:r>
      <w:r w:rsidR="00AF5660" w:rsidRPr="004B4934">
        <w:t>put their principles into practi</w:t>
      </w:r>
      <w:r w:rsidR="00B074B3" w:rsidRPr="004B4934">
        <w:t>c</w:t>
      </w:r>
      <w:r w:rsidR="00AF5660" w:rsidRPr="004B4934">
        <w:t>e.</w:t>
      </w:r>
      <w:r w:rsidR="00BA028A" w:rsidRPr="004B4934">
        <w:t xml:space="preserve"> </w:t>
      </w:r>
    </w:p>
    <w:p w14:paraId="6D7E661A" w14:textId="7CD80646" w:rsidR="00D9513C" w:rsidRPr="004B4934" w:rsidRDefault="11EDC2D7" w:rsidP="00EE65BE">
      <w:pPr>
        <w:pStyle w:val="Newparagraph"/>
      </w:pPr>
      <w:r w:rsidRPr="004B4934">
        <w:lastRenderedPageBreak/>
        <w:t xml:space="preserve">Before proceeding an observation is in order. </w:t>
      </w:r>
      <w:r w:rsidR="00BA028A" w:rsidRPr="004B4934">
        <w:t xml:space="preserve">Pension funds have always had to manage their liquidity. </w:t>
      </w:r>
      <w:r w:rsidR="3200116A" w:rsidRPr="004B4934">
        <w:t>Our motivation to renew focus on this is</w:t>
      </w:r>
      <w:r w:rsidR="00BA028A" w:rsidRPr="004B4934">
        <w:t xml:space="preserve"> that there is a</w:t>
      </w:r>
      <w:r w:rsidR="00E436F9" w:rsidRPr="004B4934">
        <w:t xml:space="preserve"> </w:t>
      </w:r>
      <w:r w:rsidR="5952484B" w:rsidRPr="004B4934">
        <w:t>qualitative and quantitative</w:t>
      </w:r>
      <w:r w:rsidR="59AF7409" w:rsidRPr="004B4934">
        <w:t xml:space="preserve"> </w:t>
      </w:r>
      <w:r w:rsidR="00144461" w:rsidRPr="004B4934">
        <w:t xml:space="preserve">change </w:t>
      </w:r>
      <w:r w:rsidR="00BA028A" w:rsidRPr="004B4934">
        <w:t>with regards to recent behaviour.</w:t>
      </w:r>
      <w:r w:rsidR="00A66436" w:rsidRPr="004B4934">
        <w:t xml:space="preserve"> </w:t>
      </w:r>
      <w:r w:rsidR="004758C8" w:rsidRPr="004B4934">
        <w:t xml:space="preserve">Traditionally, PF cashflows were steady and predictable, as they consisted in contributions and pension payments. </w:t>
      </w:r>
      <w:r w:rsidR="57F62C77" w:rsidRPr="004B4934">
        <w:t xml:space="preserve">As the next sections discuss, </w:t>
      </w:r>
      <w:r w:rsidR="00BA028A" w:rsidRPr="004B4934">
        <w:t xml:space="preserve">liquidity events </w:t>
      </w:r>
      <w:r w:rsidR="00DB2B77" w:rsidRPr="004B4934">
        <w:t xml:space="preserve">have been </w:t>
      </w:r>
      <w:r w:rsidR="00BA028A" w:rsidRPr="004B4934">
        <w:t xml:space="preserve">growing in </w:t>
      </w:r>
      <w:r w:rsidR="00347760" w:rsidRPr="004B4934">
        <w:t xml:space="preserve">frequency and </w:t>
      </w:r>
      <w:r w:rsidR="00BA028A" w:rsidRPr="004B4934">
        <w:t>importance across the financial system</w:t>
      </w:r>
      <w:r w:rsidR="00347760" w:rsidRPr="004B4934">
        <w:t>, due to the increasing collateralisation of financial relations.</w:t>
      </w:r>
      <w:r w:rsidR="003D17A1" w:rsidRPr="004B4934">
        <w:t xml:space="preserve"> </w:t>
      </w:r>
      <w:r w:rsidR="29088B35" w:rsidRPr="004B4934">
        <w:t>This has profoundly affected PF</w:t>
      </w:r>
      <w:r w:rsidR="001E1C21" w:rsidRPr="004B4934">
        <w:t xml:space="preserve"> by adding a degree of unpredictability</w:t>
      </w:r>
      <w:r w:rsidR="00DB2B77" w:rsidRPr="004B4934">
        <w:t xml:space="preserve"> </w:t>
      </w:r>
      <w:r w:rsidR="00090739" w:rsidRPr="004B4934">
        <w:t>to their cashflows, requiring more careful liquidity management. T</w:t>
      </w:r>
      <w:r w:rsidR="29088B35" w:rsidRPr="004B4934">
        <w:t>here is therefore a need</w:t>
      </w:r>
      <w:r w:rsidR="7D13370D" w:rsidRPr="004B4934">
        <w:t xml:space="preserve"> to empirically document and provide a theoretical interpretation of this. We turn to the latter in the next section.</w:t>
      </w:r>
      <w:r w:rsidR="29088B35" w:rsidRPr="004B4934">
        <w:t xml:space="preserve"> </w:t>
      </w:r>
    </w:p>
    <w:p w14:paraId="13E3FDEC" w14:textId="5CC83331" w:rsidR="00F61779" w:rsidRPr="004B4934" w:rsidRDefault="00085BD4" w:rsidP="00F61779">
      <w:pPr>
        <w:pStyle w:val="Heading1"/>
        <w:numPr>
          <w:ilvl w:val="0"/>
          <w:numId w:val="32"/>
        </w:numPr>
        <w:tabs>
          <w:tab w:val="num" w:pos="720"/>
        </w:tabs>
      </w:pPr>
      <w:r w:rsidRPr="004B4934">
        <w:t xml:space="preserve">A </w:t>
      </w:r>
      <w:proofErr w:type="spellStart"/>
      <w:r w:rsidRPr="004B4934">
        <w:t>Minskyan</w:t>
      </w:r>
      <w:proofErr w:type="spellEnd"/>
      <w:r w:rsidRPr="004B4934">
        <w:t>/CMF framework to analyse PF behaviour</w:t>
      </w:r>
    </w:p>
    <w:p w14:paraId="34770409" w14:textId="14E86ECC" w:rsidR="00200907" w:rsidRPr="004B4934" w:rsidRDefault="00715CAD" w:rsidP="00605C80">
      <w:pPr>
        <w:pStyle w:val="Newparagraph"/>
        <w:tabs>
          <w:tab w:val="left" w:pos="4253"/>
        </w:tabs>
        <w:ind w:firstLine="0"/>
      </w:pPr>
      <w:r w:rsidRPr="004B4934">
        <w:t>At the core of Minsky’s analysis of economic dynamics</w:t>
      </w:r>
      <w:r w:rsidR="006F7119" w:rsidRPr="004B4934">
        <w:t xml:space="preserve"> </w:t>
      </w:r>
      <w:r w:rsidRPr="004B4934">
        <w:t>stand the binding pressures created by agents’ liabilities in the course of the business cycle (</w:t>
      </w:r>
      <w:r w:rsidR="00A76CFD" w:rsidRPr="004B4934">
        <w:t xml:space="preserve">Minsky </w:t>
      </w:r>
      <w:r w:rsidR="00A76CFD" w:rsidRPr="004B4934">
        <w:fldChar w:fldCharType="begin"/>
      </w:r>
      <w:r w:rsidR="00E461FE">
        <w:instrText xml:space="preserve"> ADDIN ZOTERO_ITEM CSL_CITATION {"citationID":"kIwju94g","properties":{"formattedCitation":"(Minsky 1975, 1982, 1986)","plainCitation":"(Minsky 1975, 1982, 1986)","dontUpdate":true,"noteIndex":0},"citationItems":[{"id":175,"uris":["http://zotero.org/users/5165859/items/KT8JPG6G"],"itemData":{"id":175,"type":"book","edition":"1","ISBN":"0-07-159301-2","number-of-pages":"181","publisher":"McGraw-Hill","source":"Amazon.com","title":"John Maynard Keynes","author":[{"family":"Minsky","given":"Hyman"}],"issued":{"date-parts":[["1975"]]}}},{"id":1095,"uris":["http://zotero.org/users/5165859/items/KDXRBK6Y"],"itemData":{"id":1095,"type":"book","abstract":"First Published in 2015. Routledge is an imprint of Taylor&amp;Francis, an informa company.","edition":"1 edition","event-place":"Armonk, NY","ISBN":"978-0-87332-305-5","language":"English","number-of-pages":"320","publisher":"Routledge","publisher-place":"Armonk, NY","source":"Amazon","title":"Can \"It\" Happen Again?: Essays on Instability and Finance","title-short":"Can \"It\" Happen Again?","author":[{"family":"Minsky","given":"Hyman P."}],"issued":{"date-parts":[["1982",6,1]]}}},{"id":1194,"uris":["http://zotero.org/users/5165859/items/SH7C6XTB"],"itemData":{"id":1194,"type":"book","abstract":"“Mr. Minsky long argued markets were crisis prone. His 'moment' has arrived.” -The Wall Street Journal  In his seminal work, Minsky presents his groundbreaking financial theory of investment, one that is startlingly relevant today. He explains why the American economy has experienced periods of debilitating inflation, rising unemployment, and marked slowdowns-and why the economy is now undergoing a credit crisis that he foresaw. Stabilizing an Unstable Economy covers:  The natural inclination of complex, capitalist economies toward instability Booms and busts as unavoidable results of high-risk lending practices  “Speculative finance” and its effect on investment and asset prices  Government's role in bolstering consumption during times of high unemployment The need to increase Federal Reserve oversight of banks   Henry Kaufman, president, Henry Kaufman &amp; Company, Inc., places Minsky's prescient ideas in the context of today's financial markets and institutions in a fascinating new preface. Two of Minsky's colleagues, Dimitri B. Papadimitriou, Ph.D. and president, The Levy Economics Institute of Bard College, and L. Randall Wray, Ph.D. and a senior scholar at the Institute, also weigh in on Minsky's present relevance in today's economic scene in a new introduction.    A surge of interest in and respect for Hyman Minsky's ideas pervades Wall Street, as top economic thinkers and financial writers have started using the phrase “Minsky moment” to describe America's turbulent economy. There has never been a more appropriate time to read this classic of economic theory.","ISBN":"978-0-07-159299-4","language":"English","number-of-pages":"432","publisher":"McGraw-Hill","title":"Stabilizing an Unstable Economy","author":[{"family":"Minsky","given":"Hyman"}],"issued":{"date-parts":[["1986"]]}}}],"schema":"https://github.com/citation-style-language/schema/raw/master/csl-citation.json"} </w:instrText>
      </w:r>
      <w:r w:rsidR="00A76CFD" w:rsidRPr="004B4934">
        <w:fldChar w:fldCharType="separate"/>
      </w:r>
      <w:r w:rsidR="00A76CFD" w:rsidRPr="004B4934">
        <w:t>(1975, 1982, 1986)</w:t>
      </w:r>
      <w:r w:rsidR="00A76CFD" w:rsidRPr="004B4934">
        <w:fldChar w:fldCharType="end"/>
      </w:r>
      <w:r w:rsidRPr="004B4934">
        <w:t>)</w:t>
      </w:r>
      <w:r w:rsidR="00A76CFD" w:rsidRPr="004B4934">
        <w:t xml:space="preserve">. Minsky characterised modern capitalist economies as a set of balance sheets, representing claims of economic actors on each other, which </w:t>
      </w:r>
      <w:r w:rsidR="005710AA" w:rsidRPr="004B4934">
        <w:t>need</w:t>
      </w:r>
      <w:r w:rsidR="00A76CFD" w:rsidRPr="004B4934">
        <w:t xml:space="preserve"> to be settled as cash payments. Economic units must ensure that the cash inflow</w:t>
      </w:r>
      <w:r w:rsidR="00A61168" w:rsidRPr="004B4934">
        <w:t>s</w:t>
      </w:r>
      <w:r w:rsidR="00A76CFD" w:rsidRPr="004B4934">
        <w:t xml:space="preserve"> generated by their assets are sufficient to pay off their obligations, otherwise their very “survival” is in question</w:t>
      </w:r>
      <w:r w:rsidRPr="004B4934">
        <w:t xml:space="preserve"> (</w:t>
      </w:r>
      <w:proofErr w:type="spellStart"/>
      <w:r w:rsidRPr="004B4934">
        <w:t>Mehrling</w:t>
      </w:r>
      <w:proofErr w:type="spellEnd"/>
      <w:r w:rsidRPr="004B4934">
        <w:t xml:space="preserve"> 2013)</w:t>
      </w:r>
      <w:r w:rsidR="00A76CFD" w:rsidRPr="004B4934">
        <w:t xml:space="preserve">. </w:t>
      </w:r>
      <w:r w:rsidR="00B21E45" w:rsidRPr="004B4934">
        <w:t>I</w:t>
      </w:r>
      <w:r w:rsidR="009002EC" w:rsidRPr="004B4934">
        <w:t xml:space="preserve">n this </w:t>
      </w:r>
      <w:proofErr w:type="spellStart"/>
      <w:r w:rsidR="009002EC" w:rsidRPr="004B4934">
        <w:t>Minskyan</w:t>
      </w:r>
      <w:proofErr w:type="spellEnd"/>
      <w:r w:rsidR="009002EC" w:rsidRPr="004B4934">
        <w:t xml:space="preserve"> world</w:t>
      </w:r>
      <w:r w:rsidR="00701A64" w:rsidRPr="004B4934">
        <w:t xml:space="preserve">, liquidity is not just a property of an asset itself, but becomes defined vis-à-vis an agent’s ability to meet its outstanding obligations with such </w:t>
      </w:r>
      <w:r w:rsidR="0003075C" w:rsidRPr="004B4934">
        <w:t xml:space="preserve">an </w:t>
      </w:r>
      <w:r w:rsidR="00701A64" w:rsidRPr="004B4934">
        <w:t xml:space="preserve">asset, </w:t>
      </w:r>
      <w:proofErr w:type="gramStart"/>
      <w:r w:rsidR="00701A64" w:rsidRPr="004B4934">
        <w:t>i.e.</w:t>
      </w:r>
      <w:proofErr w:type="gramEnd"/>
      <w:r w:rsidR="00701A64" w:rsidRPr="004B4934">
        <w:t xml:space="preserve"> their funding liquidity (Minsky, 1975). </w:t>
      </w:r>
    </w:p>
    <w:p w14:paraId="77ECF217" w14:textId="74D3E2B9" w:rsidR="007414B0" w:rsidRPr="004B4934" w:rsidRDefault="00200907" w:rsidP="000728FB">
      <w:pPr>
        <w:pStyle w:val="Newparagraph"/>
        <w:tabs>
          <w:tab w:val="left" w:pos="0"/>
        </w:tabs>
        <w:ind w:firstLine="0"/>
      </w:pPr>
      <w:r w:rsidRPr="004B4934">
        <w:tab/>
      </w:r>
      <w:r w:rsidR="00462E32" w:rsidRPr="004B4934">
        <w:t>CMF scholarship, which draws significantly on Minsky’s framework, is</w:t>
      </w:r>
      <w:r w:rsidR="005A2A3D" w:rsidRPr="004B4934">
        <w:t xml:space="preserve"> fundamentally concerned with this issue at the systemic level. At the core of its research agenda is</w:t>
      </w:r>
      <w:r w:rsidR="00462E32" w:rsidRPr="004B4934">
        <w:t xml:space="preserve"> the analysis of interlocking balance sheets of different types of actors, in particular their liquidity needs and how these are managed and governed in different markets </w:t>
      </w:r>
      <w:r w:rsidR="00462E32" w:rsidRPr="004B4934">
        <w:fldChar w:fldCharType="begin"/>
      </w:r>
      <w:r w:rsidR="00E461FE">
        <w:instrText xml:space="preserve"> ADDIN ZOTERO_ITEM CSL_CITATION {"citationID":"pAWvLuAO","properties":{"formattedCitation":"(Dutta {\\i{}et al.} 2020)","plainCitation":"(Dutta et al. 2020)","noteIndex":0},"citationItems":[{"id":1533,"uris":["http://zotero.org/users/5165859/items/DWLR2M7X"],"itemData":{"id":1533,"type":"article-journal","abstract":"Critical macro-finance (CMF) has become an influential avenue of research aimed at shedding light on how the global payments system is governed. In the introduction to this special forum on CMF, we explore three main themes: (1) the intellectual lineage of CMF and its relation to financialisation studies; (2) the policy relevance of CMF; and (3) its ‘critical’ position.","container-title":"Finance and Society","DOI":"10.2218/finsoc.v6i1.4407","ISSN":"2059-5999","issue":"1","language":"en","license":"Copyright (c) 2020","note":"number: 1","page":"34-44","source":"financeandsociety.ed.ac.uk","title":"Critical macro-finance: An introduction","title-short":"Critical macro-finance","volume":"6","author":[{"family":"Dutta","given":"Sahil Jai"},{"family":"Kremers","given":"Ruben"},{"family":"Pape","given":"Fabian"},{"family":"Petry","given":"Johannes"}],"issued":{"date-parts":[["2020",5,28]]}}}],"schema":"https://github.com/citation-style-language/schema/raw/master/csl-citation.json"} </w:instrText>
      </w:r>
      <w:r w:rsidR="00462E32" w:rsidRPr="004B4934">
        <w:fldChar w:fldCharType="separate"/>
      </w:r>
      <w:r w:rsidR="00462E32" w:rsidRPr="004B4934">
        <w:t xml:space="preserve">(Dutta </w:t>
      </w:r>
      <w:r w:rsidR="00462E32" w:rsidRPr="004B4934">
        <w:rPr>
          <w:i/>
          <w:iCs/>
        </w:rPr>
        <w:t>et al.</w:t>
      </w:r>
      <w:r w:rsidR="00462E32" w:rsidRPr="004B4934">
        <w:t xml:space="preserve"> 2020)</w:t>
      </w:r>
      <w:r w:rsidR="00462E32" w:rsidRPr="004B4934">
        <w:fldChar w:fldCharType="end"/>
      </w:r>
      <w:r w:rsidR="00462E32" w:rsidRPr="004B4934">
        <w:t>.</w:t>
      </w:r>
      <w:r w:rsidR="005A2A3D" w:rsidRPr="004B4934">
        <w:t xml:space="preserve"> </w:t>
      </w:r>
      <w:r w:rsidR="007414B0" w:rsidRPr="004B4934">
        <w:t xml:space="preserve">These interlocking balance sheets, in turn, create a </w:t>
      </w:r>
      <w:r w:rsidR="007414B0" w:rsidRPr="004B4934">
        <w:lastRenderedPageBreak/>
        <w:t xml:space="preserve">hierarchy of assets depending on their ability to meet financial institutions’ hierarchically placed liability structures (ultimately determined by their access to “cash”, i.e. central bank money) </w:t>
      </w:r>
      <w:r w:rsidR="00B110B1" w:rsidRPr="004B4934">
        <w:fldChar w:fldCharType="begin"/>
      </w:r>
      <w:r w:rsidR="00E461FE">
        <w:instrText xml:space="preserve"> ADDIN ZOTERO_ITEM CSL_CITATION {"citationID":"SXJ3H1tf","properties":{"formattedCitation":"(Gabor 2020, Pape 2020)","plainCitation":"(Gabor 2020, Pape 2020)","noteIndex":0},"citationItems":[{"id":1540,"uris":["http://zotero.org/users/5165859/items/D4R9IDX9"],"itemData":{"id":1540,"type":"article-journal","abstract":"This forum contribution outlines four propositions of the critical macro-finance approach: (1) US-led financial globalization has structurally evolved around market-based finance, driven by the production of new asset classes and the Americanization of national financial systems with changing practices for producing liquidity; (2) global finance is a set of interconnected, hierarchical balance sheets, increasingly subject to time-critical liquidity; (3) credit creation in market-based finance involves new forms of money (systemic liabilities); and (4) market-based finance structurally requires a derisking state, for both systemic liabilities and for new asset classes. The precise contours of the derisking state are determined through political struggles.","container-title":"Finance and Society","DOI":"10.2218/finsoc.v6i1.4408","ISSN":"2059-5999","issue":"1","language":"en","license":"Copyright (c) 2020","note":"number: 1","page":"45-55","source":"financeandsociety.ed.ac.uk","title":"Critical macro-finance: A theoretical lens","title-short":"Critical macro-finance","volume":"6","author":[{"family":"Gabor","given":"Daniela"}],"issued":{"date-parts":[["2020",5,28]]}}},{"id":1715,"uris":["http://zotero.org/users/5165859/items/DPPTYKNR"],"itemData":{"id":1715,"type":"article-journal","abstract":"This forum contribution critically rethinks the macro-financial approach to liquidity by focusing more explicitly on its public-private hybrid dimension. To do so, it introduces the notion of a ‘liquidity regime’: a heuristic device aimed at tracking the ensemble of social relations and institutions that govern the coherence of the payments system at any given time. A key insight that emerges from this approach is that the ability to make markets and access liquidity is never neutral or apolitical. What requires closer attention, therefore, is precisely how the interaction between public authorities and private market participants affords some actors greater leverage in shaping the financial system.","container-title":"Finance and Society","DOI":"10.2218/finsoc.v6i1.4410","ISSN":"2059-5999","issue":"1","language":"en","license":"Copyright (c) 2020","note":"number: 1","page":"67-75","source":"financeandsociety.ed.ac.uk","title":"Rethinking liquidity: A critical macro-finance view","title-short":"Rethinking liquidity","volume":"6","author":[{"family":"Pape","given":"Fabian"}],"issued":{"date-parts":[["2020",5,28]]}}}],"schema":"https://github.com/citation-style-language/schema/raw/master/csl-citation.json"} </w:instrText>
      </w:r>
      <w:r w:rsidR="00B110B1" w:rsidRPr="004B4934">
        <w:fldChar w:fldCharType="separate"/>
      </w:r>
      <w:r w:rsidR="00B110B1" w:rsidRPr="004B4934">
        <w:t>(Gabor 2020, Pape 2020)</w:t>
      </w:r>
      <w:r w:rsidR="00B110B1" w:rsidRPr="004B4934">
        <w:fldChar w:fldCharType="end"/>
      </w:r>
      <w:r w:rsidR="00B110B1" w:rsidRPr="004B4934">
        <w:t>.</w:t>
      </w:r>
      <w:r w:rsidR="00CB451F" w:rsidRPr="004B4934" w:rsidDel="00CB451F">
        <w:t xml:space="preserve"> </w:t>
      </w:r>
    </w:p>
    <w:p w14:paraId="72EBD65A" w14:textId="00EBBA52" w:rsidR="00C66953" w:rsidRPr="004B4934" w:rsidRDefault="007414B0" w:rsidP="0059647A">
      <w:pPr>
        <w:pStyle w:val="Newparagraph"/>
        <w:tabs>
          <w:tab w:val="left" w:pos="0"/>
        </w:tabs>
        <w:ind w:firstLine="0"/>
      </w:pPr>
      <w:r w:rsidRPr="004B4934">
        <w:tab/>
      </w:r>
      <w:r w:rsidR="002179A7" w:rsidRPr="004B4934">
        <w:t xml:space="preserve">CMF scholarship </w:t>
      </w:r>
      <w:r w:rsidR="006672B5" w:rsidRPr="004B4934">
        <w:t xml:space="preserve">also </w:t>
      </w:r>
      <w:r w:rsidR="002179A7" w:rsidRPr="004B4934">
        <w:t xml:space="preserve">highlights </w:t>
      </w:r>
      <w:r w:rsidR="00605C80" w:rsidRPr="004B4934">
        <w:t xml:space="preserve">how </w:t>
      </w:r>
      <w:r w:rsidR="00BE6166" w:rsidRPr="004B4934">
        <w:t>the structure of interlocking balance sheets and cashflows</w:t>
      </w:r>
      <w:r w:rsidR="00BD4ABF" w:rsidRPr="004B4934">
        <w:t xml:space="preserve"> have </w:t>
      </w:r>
      <w:r w:rsidR="00605C80" w:rsidRPr="004B4934">
        <w:t>fundamentally changed in recent decades, as a result of a progressive</w:t>
      </w:r>
      <w:r w:rsidR="00C86AF1" w:rsidRPr="004B4934">
        <w:t xml:space="preserve"> “Americanisation</w:t>
      </w:r>
      <w:r w:rsidR="002257F3" w:rsidRPr="004B4934">
        <w:t xml:space="preserve">” </w:t>
      </w:r>
      <w:r w:rsidR="00C86AF1" w:rsidRPr="004B4934">
        <w:t>of finance</w:t>
      </w:r>
      <w:r w:rsidR="00B1127E" w:rsidRPr="004B4934">
        <w:t xml:space="preserve">, where </w:t>
      </w:r>
      <w:r w:rsidR="00827F8E" w:rsidRPr="004B4934">
        <w:t xml:space="preserve">the institutional structure and </w:t>
      </w:r>
      <w:r w:rsidR="00B21E45" w:rsidRPr="004B4934">
        <w:t xml:space="preserve"> </w:t>
      </w:r>
      <w:r w:rsidR="00827F8E" w:rsidRPr="004B4934">
        <w:t>practices of US financial markets are adopted across the globe</w:t>
      </w:r>
      <w:r w:rsidR="00AC6180" w:rsidRPr="004B4934">
        <w:t xml:space="preserve"> </w:t>
      </w:r>
      <w:r w:rsidR="00AC6180" w:rsidRPr="004B4934">
        <w:fldChar w:fldCharType="begin"/>
      </w:r>
      <w:r w:rsidR="00E461FE">
        <w:instrText xml:space="preserve"> ADDIN ZOTERO_ITEM CSL_CITATION {"citationID":"fDAzYWae","properties":{"formattedCitation":"(Konings 2007, Gabor 2020)","plainCitation":"(Konings 2007, Gabor 2020)","noteIndex":0},"citationItems":[{"id":1532,"uris":["http://zotero.org/users/5165859/items/7LNQ8T2N"],"itemData":{"id":1532,"type":"article-journal","abstract":"This essay argues that existing interpretations of US structural power in international finance do not pay sufficient attention to its institutional basis and specifities. It reviews some of the contributions to the literature and offers an account of the re-emergence of global finance during the 1960s to the monetarist turn and its aftermath. The conclusion offers some thoughts on the implications of the analysis for our understanding of US financial power in the current era.","container-title":"Review of International Political Economy","DOI":"10.1080/09692290701751290","ISSN":"0969-2290","issue":"1","note":"publisher: Routledge\n_eprint: https://doi.org/10.1080/09692290701751290","page":"35-61","source":"Taylor and Francis+NEJM","title":"The institutional foundations of US structural power in international finance: From the re-emergence of global finance to the monetarist turn","title-short":"The institutional foundations of US structural power in international finance","volume":"15","author":[{"family":"Konings","given":"Martijn"}],"issued":{"date-parts":[["2007",12,13]]}}},{"id":1540,"uris":["http://zotero.org/users/5165859/items/D4R9IDX9"],"itemData":{"id":1540,"type":"article-journal","abstract":"This forum contribution outlines four propositions of the critical macro-finance approach: (1) US-led financial globalization has structurally evolved around market-based finance, driven by the production of new asset classes and the Americanization of national financial systems with changing practices for producing liquidity; (2) global finance is a set of interconnected, hierarchical balance sheets, increasingly subject to time-critical liquidity; (3) credit creation in market-based finance involves new forms of money (systemic liabilities); and (4) market-based finance structurally requires a derisking state, for both systemic liabilities and for new asset classes. The precise contours of the derisking state are determined through political struggles.","container-title":"Finance and Society","DOI":"10.2218/finsoc.v6i1.4408","ISSN":"2059-5999","issue":"1","language":"en","license":"Copyright (c) 2020","note":"number: 1","page":"45-55","source":"financeandsociety.ed.ac.uk","title":"Critical macro-finance: A theoretical lens","title-short":"Critical macro-finance","volume":"6","author":[{"family":"Gabor","given":"Daniela"}],"issued":{"date-parts":[["2020",5,28]]}}}],"schema":"https://github.com/citation-style-language/schema/raw/master/csl-citation.json"} </w:instrText>
      </w:r>
      <w:r w:rsidR="00AC6180" w:rsidRPr="004B4934">
        <w:fldChar w:fldCharType="separate"/>
      </w:r>
      <w:r w:rsidR="004B76A1" w:rsidRPr="004B4934">
        <w:t>(Konings 2007, Gabor 2020)</w:t>
      </w:r>
      <w:r w:rsidR="00AC6180" w:rsidRPr="004B4934">
        <w:fldChar w:fldCharType="end"/>
      </w:r>
      <w:r w:rsidR="00B1127E" w:rsidRPr="004B4934">
        <w:t xml:space="preserve">. </w:t>
      </w:r>
      <w:r w:rsidR="006F0D09" w:rsidRPr="004B4934">
        <w:t xml:space="preserve">In </w:t>
      </w:r>
      <w:r w:rsidR="007D7B87" w:rsidRPr="004B4934">
        <w:t xml:space="preserve">such </w:t>
      </w:r>
      <w:r w:rsidR="001B68E2" w:rsidRPr="004B4934">
        <w:t>a</w:t>
      </w:r>
      <w:r w:rsidR="00FF44C3" w:rsidRPr="004B4934">
        <w:t xml:space="preserve"> “modern” </w:t>
      </w:r>
      <w:r w:rsidR="006F0D09" w:rsidRPr="004B4934">
        <w:t xml:space="preserve">market-based financial system, lenders </w:t>
      </w:r>
      <w:r w:rsidR="00B1127E" w:rsidRPr="004B4934">
        <w:t>shift</w:t>
      </w:r>
      <w:r w:rsidR="006F0D09" w:rsidRPr="004B4934">
        <w:t xml:space="preserve"> risks to</w:t>
      </w:r>
      <w:r w:rsidR="00394CAB" w:rsidRPr="004B4934">
        <w:t xml:space="preserve"> </w:t>
      </w:r>
      <w:r w:rsidR="006F0D09" w:rsidRPr="004B4934">
        <w:t>borrowers by demanding</w:t>
      </w:r>
      <w:r w:rsidR="00FF44C3" w:rsidRPr="004B4934">
        <w:t xml:space="preserve"> safe-asset </w:t>
      </w:r>
      <w:r w:rsidR="006F0D09" w:rsidRPr="004B4934">
        <w:t>collateral</w:t>
      </w:r>
      <w:r w:rsidR="00AC1B4D" w:rsidRPr="004B4934">
        <w:t xml:space="preserve"> for their liquidity advances</w:t>
      </w:r>
      <w:r w:rsidR="004267D7" w:rsidRPr="004B4934">
        <w:t xml:space="preserve">, thus making access to liquidity highly </w:t>
      </w:r>
      <w:r w:rsidR="00BE43D0" w:rsidRPr="004B4934">
        <w:t xml:space="preserve">pro-cyclical, as it follows </w:t>
      </w:r>
      <w:r w:rsidR="00636169" w:rsidRPr="004B4934">
        <w:t xml:space="preserve">the cycle of asset prices used as collateral </w:t>
      </w:r>
      <w:r w:rsidR="006F0D09" w:rsidRPr="004B4934">
        <w:fldChar w:fldCharType="begin"/>
      </w:r>
      <w:r w:rsidR="00E461FE">
        <w:instrText xml:space="preserve"> ADDIN ZOTERO_ITEM CSL_CITATION {"citationID":"tdbIH9ga","properties":{"formattedCitation":"(Gabor and Vestergaard 2018b, Sgambati 2019, Sissoko 2019)","plainCitation":"(Gabor and Vestergaard 2018b, Sgambati 2019, Sissoko 2019)","noteIndex":0},"citationItems":[{"id":1708,"uris":["http://zotero.org/users/5165859/items/B2PMXFJ3"],"itemData":{"id":1708,"type":"article-journal","abstract":"For the past 20 years, Economic and Monetary Union (EMU) institutions have sought to engineer a single safe asset that would provide a credible store of value for capital market participants. Befor...","archive_location":"Sage UK: London, England","container-title":"Competition &amp; Change","DOI":"10.1177/1024529418759638","language":"en","note":"publisher: SAGE PublicationsSage UK: London, England","source":"journals.sagepub.com","title":"Chasing unicorns: The European single safe asset project:","title-short":"Chasing unicorns","URL":"https://journals.sagepub.com/doi/10.1177/1024529418759638","author":[{"family":"Gabor","given":"Daniela"},{"family":"Vestergaard","given":"Jakob"}],"accessed":{"date-parts":[["2020",7,10]]},"issued":{"date-parts":[["2018",3,1]]}}},{"id":60,"uris":["http://zotero.org/users/5165859/items/EHH6WF5S"],"itemData":{"id":60,"type":"article-journal","abstract":"There are two main theories of banking which seem to be incompatible by nature. According to the first, banks intermediate money through their credit infrastructure but are not themselves able to create new money. By contrast, the second argues that banks do create money out of nothing in the process of lending their credit. Significantly, despite their contrasts, both theories conceptualize banking in functionalist terms as the financing of other people’s indebtedness. In so doing, they relegate to the side-lines the fact that banks are in the business first and foremost to ‘make money’ for themselves as they leverage their unique market position as dealers of other people’s debts. The article thus investigates the phenomenon of modern banking as the art of leverage. After showing the specificity of bank leverage relative to other forms of leverage across society, it delineates the fundamentals of a political economy of banking, money-making and debt finance. Finally, the article turns to an analysis of how contemporary banks make money and at once weave the infrastructure of financial markets through leverage-enhancing techniques rooted in repurchase agreements.","container-title":"Review of International Political Economy","DOI":"10.1080/09692290.2018.1512514","ISSN":"0969-2290","issue":"2","note":"publisher: Routledge\n_eprint: https://doi.org/10.1080/09692290.2018.1512514","page":"287-312","source":"Taylor and Francis+NEJM","title":"The art of leverage: a study of bank power, money-making and debt finance","title-short":"The art of leverage","volume":"26","author":[{"family":"Sgambati","given":"Stefano"}],"issued":{"date-parts":[["2019",3,4]]}}},{"id":1564,"uris":["http://zotero.org/users/5165859/items/VBFLK7MD"],"itemData":{"id":1564,"type":"article-journal","abstract":"The safety of repurchase agreements (repos) depends on the neoclassical premise that markets are reliable sources of liquidity; repos in practice disprove the theory by generating collateral calls, collateral sales, liquidity events, and liquidity-driven losses for repo-borrowing funds and their end investors. As repo-type lending now dominates money markets, borrowers’ self-protective preference for ‘safe assets’ as collateral has distorted financial markets, disrupting private investment, and economic performance. Using a balance sheet approach this paper explains the liquidity-supporting role of the traditional banking system and contrasts it with the liquidity-demanding repo-based financial system. The paper also argues that contractual structure determines the balance of power in private sector loans, that no private loan is ‘safe’ for both borrower and lender, and that repo has shifted the balance of safety decisively in favour of lenders.","container-title":"Economy and Society","DOI":"10.1080/03085147.2018.1525155","ISSN":"0308-5147","issue":"3","note":"publisher: Routledge\n_eprint: https://doi.org/10.1080/03085147.2018.1525155","page":"315-341","source":"Taylor and Francis+NEJM","title":"Repurchase agreements and the (de)construction of financial markets","volume":"48","author":[{"family":"Sissoko","given":"Carolyn"}],"issued":{"date-parts":[["2019",7,3]]}}}],"schema":"https://github.com/citation-style-language/schema/raw/master/csl-citation.json"} </w:instrText>
      </w:r>
      <w:r w:rsidR="006F0D09" w:rsidRPr="004B4934">
        <w:fldChar w:fldCharType="separate"/>
      </w:r>
      <w:r w:rsidR="004B76A1" w:rsidRPr="004B4934">
        <w:t>(Gabor and Vestergaard 2018b, Sgambati 2019, Sissoko 2019)</w:t>
      </w:r>
      <w:r w:rsidR="006F0D09" w:rsidRPr="004B4934">
        <w:fldChar w:fldCharType="end"/>
      </w:r>
      <w:r w:rsidR="006F0D09" w:rsidRPr="004B4934">
        <w:t>.</w:t>
      </w:r>
      <w:r w:rsidR="0055668C" w:rsidRPr="004B4934">
        <w:t xml:space="preserve"> </w:t>
      </w:r>
      <w:r w:rsidR="00D36D09" w:rsidRPr="004B4934">
        <w:t xml:space="preserve">Crises </w:t>
      </w:r>
      <w:r w:rsidR="006F0D09" w:rsidRPr="004B4934" w:rsidDel="00A4361B">
        <w:t xml:space="preserve">periodically manifest themselves as liquidity spirals, </w:t>
      </w:r>
      <w:r w:rsidR="00F83FDF" w:rsidRPr="004B4934">
        <w:t>where</w:t>
      </w:r>
      <w:r w:rsidR="006F0D09" w:rsidRPr="004B4934" w:rsidDel="00A4361B">
        <w:t xml:space="preserve"> </w:t>
      </w:r>
      <w:r w:rsidR="005C3131" w:rsidRPr="004B4934">
        <w:t>a</w:t>
      </w:r>
      <w:r w:rsidR="006F0D09" w:rsidRPr="004B4934" w:rsidDel="00A4361B">
        <w:t xml:space="preserve"> fall in asset prices and</w:t>
      </w:r>
      <w:r w:rsidR="00F83FDF" w:rsidRPr="004B4934">
        <w:t xml:space="preserve"> the</w:t>
      </w:r>
      <w:r w:rsidR="006F0D09" w:rsidRPr="004B4934" w:rsidDel="00A4361B">
        <w:t xml:space="preserve"> </w:t>
      </w:r>
      <w:r w:rsidR="005C3131" w:rsidRPr="004B4934">
        <w:t xml:space="preserve">associated </w:t>
      </w:r>
      <w:r w:rsidR="006F0D09" w:rsidRPr="004B4934" w:rsidDel="00A4361B">
        <w:t>increa</w:t>
      </w:r>
      <w:r w:rsidR="00F83FDF" w:rsidRPr="004B4934">
        <w:t>se in</w:t>
      </w:r>
      <w:r w:rsidR="006F0D09" w:rsidRPr="004B4934" w:rsidDel="00A4361B">
        <w:t xml:space="preserve"> “haircuts” demanded on</w:t>
      </w:r>
      <w:r w:rsidR="00CB02DE" w:rsidRPr="004B4934">
        <w:t xml:space="preserve"> </w:t>
      </w:r>
      <w:r w:rsidR="006F0D09" w:rsidRPr="004B4934" w:rsidDel="00A4361B">
        <w:t>collateral</w:t>
      </w:r>
      <w:r w:rsidR="00CB02DE" w:rsidRPr="004B4934">
        <w:t xml:space="preserve"> </w:t>
      </w:r>
      <w:r w:rsidR="006F0D09" w:rsidRPr="004B4934" w:rsidDel="00A4361B">
        <w:t xml:space="preserve">makes access to liquidity much harder. </w:t>
      </w:r>
      <w:r w:rsidR="006F0D09" w:rsidRPr="004B4934">
        <w:t xml:space="preserve">As a result, </w:t>
      </w:r>
      <w:r w:rsidR="003308E8" w:rsidRPr="004B4934">
        <w:t xml:space="preserve">financial </w:t>
      </w:r>
      <w:r w:rsidR="006F0D09" w:rsidRPr="004B4934">
        <w:t>markets become segmented</w:t>
      </w:r>
      <w:r w:rsidR="006672B5" w:rsidRPr="004B4934">
        <w:t xml:space="preserve"> int</w:t>
      </w:r>
      <w:r w:rsidR="00B21E45" w:rsidRPr="004B4934">
        <w:t xml:space="preserve">o assets </w:t>
      </w:r>
      <w:r w:rsidR="006672B5" w:rsidRPr="004B4934">
        <w:t>which can provide immediate liquidity if needed</w:t>
      </w:r>
      <w:r w:rsidR="00B21E45" w:rsidRPr="004B4934">
        <w:t>,</w:t>
      </w:r>
      <w:r w:rsidR="006672B5" w:rsidRPr="004B4934">
        <w:t xml:space="preserve"> and those which do</w:t>
      </w:r>
      <w:r w:rsidR="0059647A" w:rsidRPr="004B4934">
        <w:t xml:space="preserve"> </w:t>
      </w:r>
      <w:r w:rsidR="006672B5" w:rsidRPr="004B4934">
        <w:t>n</w:t>
      </w:r>
      <w:r w:rsidR="0059647A" w:rsidRPr="004B4934">
        <w:t>o</w:t>
      </w:r>
      <w:r w:rsidR="006672B5" w:rsidRPr="004B4934">
        <w:t>t</w:t>
      </w:r>
      <w:r w:rsidR="00B21E45" w:rsidRPr="004B4934">
        <w:t xml:space="preserve">. This is because </w:t>
      </w:r>
      <w:r w:rsidR="009C40FD" w:rsidRPr="004B4934">
        <w:t xml:space="preserve">- </w:t>
      </w:r>
      <w:r w:rsidR="006F0D09" w:rsidRPr="004B4934">
        <w:t>as Sissoko (2019, p. 327) argues</w:t>
      </w:r>
      <w:r w:rsidR="006672B5" w:rsidRPr="004B4934">
        <w:t xml:space="preserve"> -</w:t>
      </w:r>
      <w:r w:rsidR="00D67973" w:rsidRPr="004B4934">
        <w:t xml:space="preserve"> </w:t>
      </w:r>
      <w:r w:rsidR="006F0D09" w:rsidRPr="004B4934">
        <w:t>“only a very select group of assets</w:t>
      </w:r>
      <w:r w:rsidR="00B9468B" w:rsidRPr="004B4934">
        <w:t xml:space="preserve"> </w:t>
      </w:r>
      <w:r w:rsidR="006F0D09" w:rsidRPr="004B4934">
        <w:t>maintains its value during a liquidity event”.</w:t>
      </w:r>
      <w:r w:rsidR="00B96071" w:rsidRPr="004B4934">
        <w:t xml:space="preserve"> </w:t>
      </w:r>
      <w:r w:rsidR="006D30A7" w:rsidRPr="004B4934">
        <w:t>Government bonds (</w:t>
      </w:r>
      <w:r w:rsidR="00CC21AE" w:rsidRPr="004B4934">
        <w:t xml:space="preserve">and US treasury </w:t>
      </w:r>
      <w:r w:rsidR="00D20809" w:rsidRPr="004B4934">
        <w:t xml:space="preserve">at </w:t>
      </w:r>
      <w:r w:rsidR="006672B5" w:rsidRPr="004B4934">
        <w:t>the global level</w:t>
      </w:r>
      <w:r w:rsidR="00CC21AE" w:rsidRPr="004B4934">
        <w:t xml:space="preserve">) generally fulfil this purpose, </w:t>
      </w:r>
      <w:r w:rsidR="00541C88" w:rsidRPr="004B4934">
        <w:t xml:space="preserve">as their value remains relatively stable </w:t>
      </w:r>
      <w:r w:rsidR="00015856" w:rsidRPr="004B4934">
        <w:t xml:space="preserve">during liquidity crises, which means they </w:t>
      </w:r>
      <w:r w:rsidR="00541C88" w:rsidRPr="004B4934">
        <w:t>continue to fulfil their role as collateral.</w:t>
      </w:r>
      <w:r w:rsidR="006F0D09" w:rsidRPr="004B4934">
        <w:t xml:space="preserve"> </w:t>
      </w:r>
    </w:p>
    <w:p w14:paraId="40592984" w14:textId="0AAFC778" w:rsidR="001F4F9F" w:rsidRPr="004B4934" w:rsidRDefault="006F6171" w:rsidP="001207F8">
      <w:pPr>
        <w:pStyle w:val="Newparagraph"/>
        <w:tabs>
          <w:tab w:val="left" w:pos="0"/>
        </w:tabs>
        <w:ind w:firstLine="0"/>
      </w:pPr>
      <w:r w:rsidRPr="004B4934">
        <w:tab/>
        <w:t xml:space="preserve">More recently, </w:t>
      </w:r>
      <w:r w:rsidR="0059647A" w:rsidRPr="004B4934">
        <w:t>CMF</w:t>
      </w:r>
      <w:r w:rsidRPr="004B4934">
        <w:t xml:space="preserve"> have </w:t>
      </w:r>
      <w:r w:rsidR="0059647A" w:rsidRPr="004B4934">
        <w:t>emphasise</w:t>
      </w:r>
      <w:r w:rsidRPr="004B4934">
        <w:t>d</w:t>
      </w:r>
      <w:r w:rsidR="0059647A" w:rsidRPr="004B4934">
        <w:t xml:space="preserve"> the growing role of non-bank financial institutions, particularly the large asset managers, as dominant players in market-based financial system</w:t>
      </w:r>
      <w:r w:rsidR="00D47309" w:rsidRPr="004B4934">
        <w:t>s</w:t>
      </w:r>
      <w:r w:rsidR="0059647A" w:rsidRPr="004B4934">
        <w:t xml:space="preserve"> </w:t>
      </w:r>
      <w:r w:rsidR="0059647A" w:rsidRPr="004B4934">
        <w:fldChar w:fldCharType="begin"/>
      </w:r>
      <w:r w:rsidR="00E461FE">
        <w:instrText xml:space="preserve"> ADDIN ZOTERO_ITEM CSL_CITATION {"citationID":"rdnIRSuK","properties":{"formattedCitation":"(Fichtner and Heemskerk 2020, Braun 2021)","plainCitation":"(Fichtner and Heemskerk 2020, Braun 2021)","noteIndex":0},"citationItems":[{"id":58,"uris":["http://zotero.org/users/5165859/items/QB7VKBCZ"],"itemData":{"id":58,"type":"article-journal","abstract":"Fundamental change is happening in global finance – the shift from active management to index funds. This money mass-migration into index funds has far-reaching socio-economic consequences, as it has the potential to transform the nature of shareholder capitalism. We call BlackRock, Vanguard and State Street the ‘New Permanent Universal Owners’ that are invested indefinitely in thousands of firms. We provide novel findings on the combined ownership of the Big Three in European countries and Japan and investigate how this signals a shift away from the shareholder capitalism that has been dominant for the past three decades. We discuss the future role(s) of the New Permanent Universal Owners in corporate governance including whether they foster patient capital and introduce the distinction between feeble and forceful stewardship.","container-title":"Economy and Society","DOI":"10.1080/03085147.2020.1781417","ISSN":"0308-5147","issue":"4","note":"publisher: Routledge\n_eprint: https://doi.org/10.1080/03085147.2020.1781417","page":"493-515","source":"Taylor and Francis+NEJM","title":"The New Permanent Universal Owners: Index funds, patient capital, and the distinction between feeble and forceful stewardship","title-short":"The New Permanent Universal Owners","volume":"49","author":[{"family":"Fichtner","given":"Jan"},{"family":"Heemskerk","given":"Eelke M."}],"issued":{"date-parts":[["2020",10,1]]}}},{"id":4,"uris":["http://zotero.org/users/5165859/items/BAN2K8ZL"],"itemData":{"id":4,"type":"chapter","abstract":"Who holds power in corporate America? Scholars have invariably answered this question in the language of ownership and control. This paper argues that tackling this question today requires a new language. Whereas the comparative political economy literature has long treated dispersed ownership and weak shareholders as core features of the U.S. political economy, a century-long process of re-concentration has consolidated shareholdings in the hands of a few very large asset management companies. In an historically unprecedented configuration, this emerging asset manager capitalism is dominated by fully diversified shareholders that lack direct economic interest in the performance of individual portfolio companies. The paper compares this new corporate governance regime to its predecessors; reconstructs the history of the growth and consolidation of the asset management sector; and examines the political economy of asset manager capitalism, both at the firm level and at the macroeconomic level.","container-title":"American political economy: politics, markets and power","event-place":"New York","note":"DOI: 10.31235/osf.io/v6gue\ntype: article","publisher":"Cambridge University Press","publisher-place":"New York","source":"OSF Preprints","title":"Asset Manager Capitalism as a Corporate Governance Regime","URL":"https://osf.io/preprints/socarxiv/v6gue/","author":[{"family":"Braun","given":"Benjamin"}],"editor":[{"family":"Hacker","given":"J. S."},{"family":"Hertel-Fernandez","given":"A."},{"family":"Pierson","given":"P."},{"family":"Thelen","given":"Kathleen"}],"accessed":{"date-parts":[["2021",4,5]]},"issued":{"date-parts":[["2021"]]}}}],"schema":"https://github.com/citation-style-language/schema/raw/master/csl-citation.json"} </w:instrText>
      </w:r>
      <w:r w:rsidR="0059647A" w:rsidRPr="004B4934">
        <w:fldChar w:fldCharType="separate"/>
      </w:r>
      <w:r w:rsidR="008166D8" w:rsidRPr="004B4934">
        <w:t>(Fichtner and Heemskerk 2020, Braun 2021)</w:t>
      </w:r>
      <w:r w:rsidR="0059647A" w:rsidRPr="004B4934">
        <w:fldChar w:fldCharType="end"/>
      </w:r>
      <w:r w:rsidR="00D47309" w:rsidRPr="004B4934">
        <w:t>.</w:t>
      </w:r>
      <w:r w:rsidR="004B0F23" w:rsidRPr="004B4934">
        <w:t xml:space="preserve"> </w:t>
      </w:r>
      <w:r w:rsidRPr="004B4934">
        <w:t>As highlighted by this literature,</w:t>
      </w:r>
      <w:r w:rsidR="00CF3A2B" w:rsidRPr="004B4934">
        <w:t xml:space="preserve"> asset managers</w:t>
      </w:r>
      <w:r w:rsidRPr="004B4934">
        <w:t xml:space="preserve"> manage the funds of large institutional investors, such as PF. However, </w:t>
      </w:r>
      <w:r w:rsidR="0024608E" w:rsidRPr="004B4934">
        <w:t xml:space="preserve">due to the novel nature of this literature, </w:t>
      </w:r>
      <w:r w:rsidRPr="004B4934">
        <w:t xml:space="preserve">so </w:t>
      </w:r>
      <w:proofErr w:type="gramStart"/>
      <w:r w:rsidRPr="004B4934">
        <w:t>far</w:t>
      </w:r>
      <w:proofErr w:type="gramEnd"/>
      <w:r w:rsidRPr="004B4934">
        <w:t xml:space="preserve"> these institu</w:t>
      </w:r>
      <w:r w:rsidR="0024608E" w:rsidRPr="004B4934">
        <w:t xml:space="preserve">tional investors have received little analytical attention as financial actors in and of themselves. </w:t>
      </w:r>
      <w:r w:rsidRPr="004B4934">
        <w:t xml:space="preserve">In a </w:t>
      </w:r>
      <w:r w:rsidRPr="004B4934">
        <w:lastRenderedPageBreak/>
        <w:t xml:space="preserve">recent paper, Braun (2022) notes </w:t>
      </w:r>
      <w:r w:rsidR="00875576" w:rsidRPr="004B4934">
        <w:t>t</w:t>
      </w:r>
      <w:r w:rsidR="00CC6E67" w:rsidRPr="004B4934">
        <w:t>he role of PF in fuelling the growth of asset managers</w:t>
      </w:r>
      <w:r w:rsidRPr="004B4934">
        <w:t xml:space="preserve">, yet his analysis remains limited to </w:t>
      </w:r>
      <w:r w:rsidR="00FF22BB" w:rsidRPr="004B4934">
        <w:t>broad historical trends</w:t>
      </w:r>
      <w:r w:rsidR="0024608E" w:rsidRPr="004B4934">
        <w:t xml:space="preserve">, rather than the detailed analysis of PF’s financial practices which we propose here. </w:t>
      </w:r>
      <w:r w:rsidR="001207F8" w:rsidRPr="004B4934">
        <w:t xml:space="preserve">We fill this gap by providing a </w:t>
      </w:r>
      <w:r w:rsidR="00AF4CB4" w:rsidRPr="004B4934">
        <w:t xml:space="preserve">detailed </w:t>
      </w:r>
      <w:r w:rsidR="00A8638F" w:rsidRPr="004B4934">
        <w:t>and systematic application of the CMF principles to PF investment</w:t>
      </w:r>
      <w:r w:rsidR="001207F8" w:rsidRPr="004B4934">
        <w:t xml:space="preserve"> to provide a novel understanding of PF’s short-termism. </w:t>
      </w:r>
    </w:p>
    <w:p w14:paraId="521D866F" w14:textId="7B49427A" w:rsidR="009002EC" w:rsidRPr="004B4934" w:rsidRDefault="00A8638F" w:rsidP="00C16C7A">
      <w:pPr>
        <w:pStyle w:val="Newparagraph"/>
      </w:pPr>
      <w:r w:rsidRPr="004B4934">
        <w:t>The application of</w:t>
      </w:r>
      <w:r w:rsidR="00015856" w:rsidRPr="004B4934">
        <w:t xml:space="preserve"> </w:t>
      </w:r>
      <w:r w:rsidR="0024608E" w:rsidRPr="004B4934">
        <w:t xml:space="preserve">a </w:t>
      </w:r>
      <w:proofErr w:type="spellStart"/>
      <w:r w:rsidR="000B6474" w:rsidRPr="004B4934">
        <w:t>Minskyan</w:t>
      </w:r>
      <w:proofErr w:type="spellEnd"/>
      <w:r w:rsidR="000B6474" w:rsidRPr="004B4934">
        <w:t xml:space="preserve">/CMF approach </w:t>
      </w:r>
      <w:r w:rsidR="00D3576E" w:rsidRPr="004B4934">
        <w:t>to the analysis of PF</w:t>
      </w:r>
      <w:r w:rsidR="00316F83" w:rsidRPr="004B4934">
        <w:t xml:space="preserve"> investment practices</w:t>
      </w:r>
      <w:r w:rsidR="00490411" w:rsidRPr="004B4934">
        <w:t xml:space="preserve"> in</w:t>
      </w:r>
      <w:r w:rsidR="002459B5" w:rsidRPr="004B4934">
        <w:t xml:space="preserve"> the evolving context of market-based finance</w:t>
      </w:r>
      <w:r w:rsidRPr="004B4934">
        <w:t xml:space="preserve"> yield</w:t>
      </w:r>
      <w:r w:rsidR="00CF3A2B" w:rsidRPr="004B4934">
        <w:t>s</w:t>
      </w:r>
      <w:r w:rsidRPr="004B4934">
        <w:t xml:space="preserve"> three key insights</w:t>
      </w:r>
      <w:r w:rsidR="00CA74D2" w:rsidRPr="004B4934">
        <w:t xml:space="preserve">. The first key </w:t>
      </w:r>
      <w:r w:rsidR="002A2451" w:rsidRPr="004B4934">
        <w:t>insight</w:t>
      </w:r>
      <w:r w:rsidR="00F14008" w:rsidRPr="004B4934">
        <w:t xml:space="preserve"> is that</w:t>
      </w:r>
      <w:r w:rsidR="00223797" w:rsidRPr="004B4934">
        <w:t xml:space="preserve"> PF </w:t>
      </w:r>
      <w:r w:rsidR="00154BAE" w:rsidRPr="004B4934">
        <w:t xml:space="preserve">must be analysed as </w:t>
      </w:r>
      <w:r w:rsidR="00223797" w:rsidRPr="004B4934">
        <w:t>active financial institutions</w:t>
      </w:r>
      <w:r w:rsidR="00154BAE" w:rsidRPr="004B4934">
        <w:t xml:space="preserve"> (rather than “passive” intermediaries of pension savings only constrain</w:t>
      </w:r>
      <w:r w:rsidR="007F2DD4" w:rsidRPr="004B4934">
        <w:t>ed</w:t>
      </w:r>
      <w:r w:rsidR="00154BAE" w:rsidRPr="004B4934">
        <w:t xml:space="preserve"> by regulation), </w:t>
      </w:r>
      <w:r w:rsidR="00223797" w:rsidRPr="004B4934">
        <w:t xml:space="preserve">which </w:t>
      </w:r>
      <w:r w:rsidR="00F00AA0" w:rsidRPr="004B4934">
        <w:t xml:space="preserve">face </w:t>
      </w:r>
      <w:r w:rsidR="0094361E" w:rsidRPr="004B4934">
        <w:t>a</w:t>
      </w:r>
      <w:r w:rsidR="00F00AA0" w:rsidRPr="004B4934">
        <w:t xml:space="preserve"> survival constraint</w:t>
      </w:r>
      <w:r w:rsidR="0008381E" w:rsidRPr="004B4934">
        <w:t>:</w:t>
      </w:r>
      <w:r w:rsidR="00F00AA0" w:rsidRPr="004B4934">
        <w:t xml:space="preserve"> they </w:t>
      </w:r>
      <w:r w:rsidR="002A2451" w:rsidRPr="004B4934">
        <w:t>are obliged</w:t>
      </w:r>
      <w:r w:rsidR="00F00AA0" w:rsidRPr="004B4934">
        <w:t xml:space="preserve"> to pay out the benefits they promise to </w:t>
      </w:r>
      <w:r w:rsidR="007D20AC" w:rsidRPr="004B4934">
        <w:t xml:space="preserve">contributing </w:t>
      </w:r>
      <w:r w:rsidR="00F00AA0" w:rsidRPr="004B4934">
        <w:t>workers</w:t>
      </w:r>
      <w:r w:rsidR="0077029D" w:rsidRPr="004B4934">
        <w:t xml:space="preserve"> as well as any other commitments they have with other financial institutions</w:t>
      </w:r>
      <w:r w:rsidR="002A2451" w:rsidRPr="004B4934">
        <w:t>.</w:t>
      </w:r>
      <w:r w:rsidR="00EF6EBE" w:rsidRPr="004B4934">
        <w:t xml:space="preserve"> </w:t>
      </w:r>
      <w:r w:rsidR="008453FD" w:rsidRPr="004B4934">
        <w:t xml:space="preserve">In </w:t>
      </w:r>
      <w:r w:rsidR="00CB4E98" w:rsidRPr="004B4934">
        <w:t xml:space="preserve">practice, as noted above, </w:t>
      </w:r>
      <w:r w:rsidR="00555BB2" w:rsidRPr="004B4934">
        <w:t xml:space="preserve">DB </w:t>
      </w:r>
      <w:r w:rsidR="00154BAE" w:rsidRPr="004B4934">
        <w:t xml:space="preserve">PF have attempted to mitigate these pressures </w:t>
      </w:r>
      <w:r w:rsidR="009473AE" w:rsidRPr="004B4934">
        <w:t xml:space="preserve">by looking after their </w:t>
      </w:r>
      <w:r w:rsidR="00EA496E" w:rsidRPr="004B4934">
        <w:t>funding levels</w:t>
      </w:r>
      <w:r w:rsidR="002F396B" w:rsidRPr="004B4934">
        <w:t xml:space="preserve"> in the context of LDI</w:t>
      </w:r>
      <w:r w:rsidR="00BA4A89" w:rsidRPr="004B4934">
        <w:t>.</w:t>
      </w:r>
      <w:r w:rsidR="00B948F8" w:rsidRPr="004B4934">
        <w:t xml:space="preserve"> However</w:t>
      </w:r>
      <w:r w:rsidR="00154BAE" w:rsidRPr="004B4934">
        <w:t xml:space="preserve">, whilst LDI strategies might be able to address funding levels, they do not </w:t>
      </w:r>
      <w:r w:rsidR="005E331F" w:rsidRPr="004B4934">
        <w:t xml:space="preserve">directly </w:t>
      </w:r>
      <w:r w:rsidR="00154BAE" w:rsidRPr="004B4934">
        <w:t xml:space="preserve">address the increasing need of PF </w:t>
      </w:r>
      <w:r w:rsidR="007029B9" w:rsidRPr="004B4934">
        <w:t xml:space="preserve">for </w:t>
      </w:r>
      <w:r w:rsidR="007414B0" w:rsidRPr="004B4934">
        <w:t xml:space="preserve">(funding) </w:t>
      </w:r>
      <w:r w:rsidR="006B3053" w:rsidRPr="004B4934">
        <w:t>liquidity</w:t>
      </w:r>
      <w:r w:rsidR="009E44EF" w:rsidRPr="004B4934">
        <w:t xml:space="preserve">, </w:t>
      </w:r>
      <w:proofErr w:type="gramStart"/>
      <w:r w:rsidR="009E44EF" w:rsidRPr="004B4934">
        <w:t>i.e.</w:t>
      </w:r>
      <w:proofErr w:type="gramEnd"/>
      <w:r w:rsidR="009E44EF" w:rsidRPr="004B4934">
        <w:t xml:space="preserve"> cash or highly liquid assets that can be converted into cash at any time and little loss of value. </w:t>
      </w:r>
      <w:r w:rsidR="009002EC" w:rsidRPr="004B4934">
        <w:t>T</w:t>
      </w:r>
      <w:r w:rsidR="00B948F8" w:rsidRPr="004B4934">
        <w:t>he ultimate need to</w:t>
      </w:r>
      <w:r w:rsidR="008D1546" w:rsidRPr="004B4934">
        <w:t xml:space="preserve"> settle cash payments </w:t>
      </w:r>
      <w:r w:rsidR="00C36E14" w:rsidRPr="004B4934">
        <w:t>is</w:t>
      </w:r>
      <w:r w:rsidR="008D1546" w:rsidRPr="004B4934">
        <w:t xml:space="preserve"> an unescapable reality for PF, which </w:t>
      </w:r>
      <w:r w:rsidR="002F396B" w:rsidRPr="004B4934">
        <w:t xml:space="preserve">necessarily </w:t>
      </w:r>
      <w:r w:rsidR="008D1546" w:rsidRPr="004B4934">
        <w:t xml:space="preserve">focuses their </w:t>
      </w:r>
      <w:r w:rsidR="0088584C" w:rsidRPr="004B4934">
        <w:t>attention on</w:t>
      </w:r>
      <w:r w:rsidR="002179A7" w:rsidRPr="004B4934">
        <w:t xml:space="preserve"> liquidity management.</w:t>
      </w:r>
    </w:p>
    <w:p w14:paraId="6B6BD898" w14:textId="16E3D741" w:rsidR="00DE5A2A" w:rsidRPr="004B4934" w:rsidRDefault="009B2386" w:rsidP="00E56BF9">
      <w:pPr>
        <w:pStyle w:val="Newparagraph"/>
      </w:pPr>
      <w:r w:rsidRPr="004B4934">
        <w:t xml:space="preserve">Pension policy </w:t>
      </w:r>
      <w:r w:rsidR="00883CD9" w:rsidRPr="004B4934">
        <w:t>reforms</w:t>
      </w:r>
      <w:r w:rsidR="00DD28B2" w:rsidRPr="004B4934">
        <w:t xml:space="preserve"> </w:t>
      </w:r>
      <w:r w:rsidR="001B0E67" w:rsidRPr="004B4934">
        <w:t xml:space="preserve">have </w:t>
      </w:r>
      <w:r w:rsidR="00BE46A9" w:rsidRPr="004B4934">
        <w:t>reinforc</w:t>
      </w:r>
      <w:r w:rsidR="001B0E67" w:rsidRPr="004B4934">
        <w:t>ed</w:t>
      </w:r>
      <w:r w:rsidR="00BE46A9" w:rsidRPr="004B4934">
        <w:t xml:space="preserve"> the importance of liquidity</w:t>
      </w:r>
      <w:r w:rsidRPr="004B4934">
        <w:t xml:space="preserve"> </w:t>
      </w:r>
      <w:r w:rsidR="00922F25" w:rsidRPr="004B4934">
        <w:t xml:space="preserve">management </w:t>
      </w:r>
      <w:r w:rsidR="00F97E49" w:rsidRPr="004B4934">
        <w:t xml:space="preserve">for </w:t>
      </w:r>
      <w:r w:rsidR="00BE46A9" w:rsidRPr="004B4934">
        <w:t>PF.</w:t>
      </w:r>
      <w:r w:rsidR="009E35C5" w:rsidRPr="004B4934">
        <w:t xml:space="preserve"> </w:t>
      </w:r>
      <w:r w:rsidR="00CC4FF8" w:rsidRPr="004B4934">
        <w:t>D</w:t>
      </w:r>
      <w:r w:rsidR="002F396B" w:rsidRPr="004B4934">
        <w:t>espite their semi-public task (</w:t>
      </w:r>
      <w:proofErr w:type="gramStart"/>
      <w:r w:rsidR="002F396B" w:rsidRPr="004B4934">
        <w:t>i.e.</w:t>
      </w:r>
      <w:proofErr w:type="gramEnd"/>
      <w:r w:rsidR="002F396B" w:rsidRPr="004B4934">
        <w:t xml:space="preserve"> the provision of pensions and/or provision of long-term financing), </w:t>
      </w:r>
      <w:r w:rsidR="000B7CB7" w:rsidRPr="004B4934">
        <w:t xml:space="preserve">no </w:t>
      </w:r>
      <w:r w:rsidR="008D266A" w:rsidRPr="004B4934">
        <w:t>superordinate institution</w:t>
      </w:r>
      <w:r w:rsidR="002A284C" w:rsidRPr="004B4934">
        <w:t>al mechanism</w:t>
      </w:r>
      <w:r w:rsidR="000B7CB7" w:rsidRPr="004B4934">
        <w:t xml:space="preserve"> relieves the survival constraint of PF</w:t>
      </w:r>
      <w:r w:rsidR="005E5F3C" w:rsidRPr="004B4934">
        <w:rPr>
          <w:rStyle w:val="EndnoteReference"/>
        </w:rPr>
        <w:endnoteReference w:id="6"/>
      </w:r>
      <w:r w:rsidR="002F396B" w:rsidRPr="004B4934">
        <w:t xml:space="preserve">. This lack of “lender of last resort” access </w:t>
      </w:r>
      <w:r w:rsidR="00F97E49" w:rsidRPr="004B4934">
        <w:t>forces PF to act like other non-bank financial institutions when it comes to liquidity management</w:t>
      </w:r>
      <w:r w:rsidR="005B386D" w:rsidRPr="004B4934">
        <w:t>.</w:t>
      </w:r>
      <w:r w:rsidR="00C97DF9" w:rsidRPr="004B4934">
        <w:t xml:space="preserve"> </w:t>
      </w:r>
      <w:r w:rsidR="00140C15" w:rsidRPr="004B4934">
        <w:t xml:space="preserve">For DB pensions, </w:t>
      </w:r>
      <w:r w:rsidR="00FA613E" w:rsidRPr="004B4934">
        <w:t>any shortfall in cash to meet pension payments</w:t>
      </w:r>
      <w:r w:rsidR="001541F9" w:rsidRPr="004B4934">
        <w:t xml:space="preserve"> </w:t>
      </w:r>
      <w:r w:rsidR="00FA613E" w:rsidRPr="004B4934">
        <w:t>must be met by the institution sponsoring the pension scheme</w:t>
      </w:r>
      <w:r w:rsidR="001541F9" w:rsidRPr="004B4934">
        <w:t>.</w:t>
      </w:r>
      <w:r w:rsidR="00F06EAA" w:rsidRPr="004B4934">
        <w:t xml:space="preserve"> </w:t>
      </w:r>
      <w:r w:rsidR="005C77C7" w:rsidRPr="004B4934">
        <w:t xml:space="preserve">However, </w:t>
      </w:r>
      <w:r w:rsidR="00143443" w:rsidRPr="004B4934">
        <w:t>p</w:t>
      </w:r>
      <w:r w:rsidR="00475190" w:rsidRPr="004B4934">
        <w:t>rivate</w:t>
      </w:r>
      <w:r w:rsidR="00672D1E" w:rsidRPr="004B4934">
        <w:t>-</w:t>
      </w:r>
      <w:r w:rsidR="00475190" w:rsidRPr="004B4934">
        <w:t>sector employers</w:t>
      </w:r>
      <w:r w:rsidR="00511F12" w:rsidRPr="004B4934">
        <w:t xml:space="preserve"> – especially, but not </w:t>
      </w:r>
      <w:r w:rsidR="00511F12" w:rsidRPr="004B4934">
        <w:lastRenderedPageBreak/>
        <w:t>exclusively, in the UK</w:t>
      </w:r>
      <w:r w:rsidR="00D5094D" w:rsidRPr="004B4934">
        <w:t xml:space="preserve"> -</w:t>
      </w:r>
      <w:r w:rsidR="006711B5" w:rsidRPr="004B4934">
        <w:t xml:space="preserve"> </w:t>
      </w:r>
      <w:r w:rsidR="0085343B" w:rsidRPr="004B4934">
        <w:t xml:space="preserve">have clearly signalled their unwillingness to act as “lenders of last resort” </w:t>
      </w:r>
      <w:r w:rsidR="006711B5" w:rsidRPr="004B4934">
        <w:t xml:space="preserve">by </w:t>
      </w:r>
      <w:r w:rsidR="006A79CC" w:rsidRPr="004B4934">
        <w:t>closing</w:t>
      </w:r>
      <w:r w:rsidR="006711B5" w:rsidRPr="004B4934">
        <w:t xml:space="preserve"> many of their schemes to new employees</w:t>
      </w:r>
      <w:r w:rsidR="001C0899" w:rsidRPr="004B4934">
        <w:t xml:space="preserve">, favoured by policies of pension individualisation </w:t>
      </w:r>
      <w:r w:rsidR="001C0899" w:rsidRPr="004B4934">
        <w:fldChar w:fldCharType="begin"/>
      </w:r>
      <w:r w:rsidR="00E461FE">
        <w:instrText xml:space="preserve"> ADDIN ZOTERO_ITEM CSL_CITATION {"citationID":"sLnfthty","properties":{"formattedCitation":"(Berry 2021)","plainCitation":"(Berry 2021)","noteIndex":0},"citationItems":[{"id":8,"uris":["http://zotero.org/users/5165859/items/TD6XQ6WE"],"itemData":{"id":8,"type":"book","abstract":"Private pensions provision in the UK is in crisis, yet it is not the crisis often depicted in political and popular discourses. While population ageing has affected traditional pensions practice, the imperilment of UK pensions is due in fact to the peculiar way policy-makers have responded to wider social and economic change. Pensions are a mechanism for managing failed futures, yet this function is being impeded by the individualization of provision. This book offers a political economy perspective on the development of private pensions, focusing specifically on how policy elites have sought to respond to perceived crises of demographic change, under-saving, and fund deficits, and in doing so have absorbed imperatives to subject individuals to a market-led regime under the influence of neoliberal ideology. This terrain is explored through chapters on the historical and comparative context of UK pensions provision, the demise of collectivist provision, the rise of pensions individualization and the state's role as facilitator and regulator in this regard, and the financial and economic context in which pensions provision operates. By placing the UK system in a comparative context of pensions reform agendas across the world, this book offers an original understanding of the unique temporality and materiality of pensions provision as a set of mechanisms for coping with generational change and forecast failures in capitalist economies. It also presents a nuanced account of the extent to which the state acts to anchor the process of pensions rematerialization and, crucially, concludes by outlining a coherent and radical programme of progressive pensions reform.","event-place":"Oxford, New York","ISBN":"978-0-19-878283-4","number-of-pages":"352","publisher":"Oxford University Press","publisher-place":"Oxford, New York","source":"Oxford University Press","title":"Pensions Imperilled: The Political Economy of Private Pensions Provision in the UK","title-short":"Pensions Imperilled","author":[{"family":"Berry","given":"Craig"}],"issued":{"date-parts":[["2021"]]}}}],"schema":"https://github.com/citation-style-language/schema/raw/master/csl-citation.json"} </w:instrText>
      </w:r>
      <w:r w:rsidR="001C0899" w:rsidRPr="004B4934">
        <w:fldChar w:fldCharType="separate"/>
      </w:r>
      <w:r w:rsidR="001C0899" w:rsidRPr="004B4934">
        <w:t>(Berry 2021)</w:t>
      </w:r>
      <w:r w:rsidR="001C0899" w:rsidRPr="004B4934">
        <w:fldChar w:fldCharType="end"/>
      </w:r>
      <w:r w:rsidR="00A33166" w:rsidRPr="004B4934">
        <w:t>.</w:t>
      </w:r>
      <w:r w:rsidR="00FC5868" w:rsidRPr="004B4934">
        <w:t xml:space="preserve"> </w:t>
      </w:r>
      <w:r w:rsidR="00FA72EB" w:rsidRPr="004B4934">
        <w:t xml:space="preserve">DC pensions, by design, allow </w:t>
      </w:r>
      <w:r w:rsidR="00DF711D" w:rsidRPr="004B4934">
        <w:t xml:space="preserve">investment </w:t>
      </w:r>
      <w:r w:rsidR="00FA72EB" w:rsidRPr="004B4934">
        <w:t>flexibility to individuals</w:t>
      </w:r>
      <w:r w:rsidR="00D45C9B" w:rsidRPr="004B4934">
        <w:t xml:space="preserve"> and no liquidity support from employers beyond contribution levels</w:t>
      </w:r>
      <w:r w:rsidR="001C0899" w:rsidRPr="004B4934">
        <w:t xml:space="preserve">, and therefore pay even closer attention to the daily management of </w:t>
      </w:r>
      <w:r w:rsidR="007B5DF5" w:rsidRPr="004B4934">
        <w:t>liquidity.</w:t>
      </w:r>
    </w:p>
    <w:p w14:paraId="31D134C1" w14:textId="71382EDC" w:rsidR="00903D44" w:rsidRPr="004B4934" w:rsidRDefault="00B01493" w:rsidP="00903D44">
      <w:pPr>
        <w:pStyle w:val="Newparagraph"/>
      </w:pPr>
      <w:r w:rsidRPr="004B4934">
        <w:t xml:space="preserve">The second </w:t>
      </w:r>
      <w:r w:rsidR="00D62232" w:rsidRPr="004B4934">
        <w:t xml:space="preserve">insight </w:t>
      </w:r>
      <w:r w:rsidR="000B74C7" w:rsidRPr="004B4934">
        <w:t>yielded by the</w:t>
      </w:r>
      <w:r w:rsidR="00D62232" w:rsidRPr="004B4934">
        <w:t xml:space="preserve"> C</w:t>
      </w:r>
      <w:r w:rsidRPr="004B4934">
        <w:t>MF/</w:t>
      </w:r>
      <w:proofErr w:type="spellStart"/>
      <w:r w:rsidRPr="004B4934">
        <w:t>Minskyan</w:t>
      </w:r>
      <w:proofErr w:type="spellEnd"/>
      <w:r w:rsidRPr="004B4934">
        <w:t xml:space="preserve"> approach is </w:t>
      </w:r>
      <w:r w:rsidR="00CF3A2B" w:rsidRPr="004B4934">
        <w:t>an understanding of</w:t>
      </w:r>
      <w:r w:rsidRPr="004B4934">
        <w:t xml:space="preserve"> PF </w:t>
      </w:r>
      <w:r w:rsidR="00B5397C" w:rsidRPr="004B4934">
        <w:t>short-termism</w:t>
      </w:r>
      <w:r w:rsidR="000509F5" w:rsidRPr="004B4934">
        <w:t xml:space="preserve"> </w:t>
      </w:r>
      <w:r w:rsidRPr="004B4934">
        <w:t>in the context of the evolution of the financial system towards market-</w:t>
      </w:r>
      <w:r w:rsidR="00903D44" w:rsidRPr="004B4934">
        <w:t>based finance</w:t>
      </w:r>
      <w:r w:rsidRPr="004B4934">
        <w:t>.</w:t>
      </w:r>
      <w:r w:rsidR="00903D44" w:rsidRPr="004B4934">
        <w:t xml:space="preserve"> </w:t>
      </w:r>
      <w:r w:rsidR="001B436A" w:rsidRPr="004B4934">
        <w:t xml:space="preserve">PF operate in a system </w:t>
      </w:r>
      <w:r w:rsidR="0060386D" w:rsidRPr="004B4934">
        <w:t>where financial relations are characterised by liquid collateral requirements,</w:t>
      </w:r>
      <w:r w:rsidR="001B436A" w:rsidRPr="004B4934">
        <w:t xml:space="preserve"> </w:t>
      </w:r>
      <w:r w:rsidR="004354C3" w:rsidRPr="004B4934">
        <w:t>which generate</w:t>
      </w:r>
      <w:r w:rsidR="00821414" w:rsidRPr="004B4934">
        <w:t xml:space="preserve"> </w:t>
      </w:r>
      <w:r w:rsidR="001B436A" w:rsidRPr="004B4934">
        <w:t>“time-critical liquidity”</w:t>
      </w:r>
      <w:r w:rsidR="004354C3" w:rsidRPr="004B4934">
        <w:t xml:space="preserve"> demands</w:t>
      </w:r>
      <w:r w:rsidR="001B436A" w:rsidRPr="004B4934">
        <w:t xml:space="preserve"> </w:t>
      </w:r>
      <w:r w:rsidR="001B436A" w:rsidRPr="004B4934">
        <w:fldChar w:fldCharType="begin"/>
      </w:r>
      <w:r w:rsidR="00E461FE">
        <w:instrText xml:space="preserve"> ADDIN ZOTERO_ITEM CSL_CITATION {"citationID":"gi7jh493","properties":{"formattedCitation":"(Gabor 2020)","plainCitation":"(Gabor 2020)","noteIndex":0},"citationItems":[{"id":1540,"uris":["http://zotero.org/users/5165859/items/D4R9IDX9"],"itemData":{"id":1540,"type":"article-journal","abstract":"This forum contribution outlines four propositions of the critical macro-finance approach: (1) US-led financial globalization has structurally evolved around market-based finance, driven by the production of new asset classes and the Americanization of national financial systems with changing practices for producing liquidity; (2) global finance is a set of interconnected, hierarchical balance sheets, increasingly subject to time-critical liquidity; (3) credit creation in market-based finance involves new forms of money (systemic liabilities); and (4) market-based finance structurally requires a derisking state, for both systemic liabilities and for new asset classes. The precise contours of the derisking state are determined through political struggles.","container-title":"Finance and Society","DOI":"10.2218/finsoc.v6i1.4408","ISSN":"2059-5999","issue":"1","language":"en","license":"Copyright (c) 2020","note":"number: 1","page":"45-55","source":"financeandsociety.ed.ac.uk","title":"Critical macro-finance: A theoretical lens","title-short":"Critical macro-finance","volume":"6","author":[{"family":"Gabor","given":"Daniela"}],"issued":{"date-parts":[["2020",5,28]]}}}],"schema":"https://github.com/citation-style-language/schema/raw/master/csl-citation.json"} </w:instrText>
      </w:r>
      <w:r w:rsidR="001B436A" w:rsidRPr="004B4934">
        <w:fldChar w:fldCharType="separate"/>
      </w:r>
      <w:r w:rsidR="004B76A1" w:rsidRPr="004B4934">
        <w:t>(Gabor 2020)</w:t>
      </w:r>
      <w:r w:rsidR="001B436A" w:rsidRPr="004B4934">
        <w:fldChar w:fldCharType="end"/>
      </w:r>
      <w:r w:rsidR="00AA60A5" w:rsidRPr="004B4934">
        <w:t>, through margin calls</w:t>
      </w:r>
      <w:r w:rsidR="00531458" w:rsidRPr="004B4934">
        <w:t xml:space="preserve">. </w:t>
      </w:r>
      <w:r w:rsidR="009969A3" w:rsidRPr="004B4934">
        <w:t>At the same time, f</w:t>
      </w:r>
      <w:r w:rsidR="00C6360F" w:rsidRPr="004B4934">
        <w:t>unding l</w:t>
      </w:r>
      <w:r w:rsidR="00531458" w:rsidRPr="004B4934">
        <w:t>iquidity in this</w:t>
      </w:r>
      <w:r w:rsidR="004F0174" w:rsidRPr="004B4934">
        <w:t xml:space="preserve"> system is secured not only by</w:t>
      </w:r>
      <w:r w:rsidR="00AE29C1" w:rsidRPr="004B4934">
        <w:t xml:space="preserve"> holding</w:t>
      </w:r>
      <w:r w:rsidR="004F0174" w:rsidRPr="004B4934">
        <w:t xml:space="preserve"> stocks of </w:t>
      </w:r>
      <w:r w:rsidR="0026148D" w:rsidRPr="004B4934">
        <w:t xml:space="preserve">cash-like assets, but also by reserves of good-quality collateral that can be used to </w:t>
      </w:r>
      <w:r w:rsidR="00EA08A5" w:rsidRPr="004B4934">
        <w:t>obtain</w:t>
      </w:r>
      <w:r w:rsidR="00572702" w:rsidRPr="004B4934">
        <w:t xml:space="preserve"> liquidity on</w:t>
      </w:r>
      <w:r w:rsidR="00EA08A5" w:rsidRPr="004B4934">
        <w:t xml:space="preserve"> demand </w:t>
      </w:r>
      <w:r w:rsidR="00F449AE" w:rsidRPr="004B4934">
        <w:t>through repo</w:t>
      </w:r>
      <w:r w:rsidR="00DC5209" w:rsidRPr="004B4934">
        <w:t>s</w:t>
      </w:r>
      <w:r w:rsidR="0013217B" w:rsidRPr="004B4934">
        <w:t>,</w:t>
      </w:r>
      <w:r w:rsidR="00E61BE6" w:rsidRPr="004B4934">
        <w:t xml:space="preserve"> as well as investments in collective funds that </w:t>
      </w:r>
      <w:r w:rsidR="00016A79" w:rsidRPr="004B4934">
        <w:t xml:space="preserve">offer </w:t>
      </w:r>
      <w:r w:rsidR="00572702" w:rsidRPr="004B4934">
        <w:t>daily liquidity through redemption</w:t>
      </w:r>
      <w:r w:rsidR="00C36C0B" w:rsidRPr="004B4934">
        <w:t xml:space="preserve">. As a result, </w:t>
      </w:r>
      <w:r w:rsidR="00F753BA" w:rsidRPr="004B4934">
        <w:t>PF</w:t>
      </w:r>
      <w:r w:rsidR="00560D1D" w:rsidRPr="004B4934">
        <w:t xml:space="preserve"> asset allocation </w:t>
      </w:r>
      <w:r w:rsidR="00287ACA" w:rsidRPr="004B4934">
        <w:t>w</w:t>
      </w:r>
      <w:r w:rsidR="002E39ED" w:rsidRPr="004B4934">
        <w:t xml:space="preserve">ill not only reflect regulation </w:t>
      </w:r>
      <w:r w:rsidR="00E137BF" w:rsidRPr="004B4934">
        <w:t xml:space="preserve">or the preferences of institutional stakeholders, </w:t>
      </w:r>
      <w:r w:rsidR="00C62F4B" w:rsidRPr="004B4934">
        <w:t xml:space="preserve">but also </w:t>
      </w:r>
      <w:r w:rsidR="008E0476" w:rsidRPr="004B4934">
        <w:t>liquidity management considerations</w:t>
      </w:r>
      <w:r w:rsidR="003608E4" w:rsidRPr="004B4934">
        <w:t xml:space="preserve">, </w:t>
      </w:r>
      <w:proofErr w:type="gramStart"/>
      <w:r w:rsidR="003608E4" w:rsidRPr="004B4934">
        <w:t>i.e.</w:t>
      </w:r>
      <w:proofErr w:type="gramEnd"/>
      <w:r w:rsidR="003608E4" w:rsidRPr="004B4934">
        <w:t xml:space="preserve"> the implications</w:t>
      </w:r>
      <w:r w:rsidR="00F83CFE" w:rsidRPr="004B4934">
        <w:t xml:space="preserve"> and role</w:t>
      </w:r>
      <w:r w:rsidR="003608E4" w:rsidRPr="004B4934">
        <w:t xml:space="preserve"> that different assets have for the funding liquidity of a PF.</w:t>
      </w:r>
      <w:r w:rsidR="003579E3" w:rsidRPr="004B4934">
        <w:rPr>
          <w:i/>
          <w:iCs/>
        </w:rPr>
        <w:t xml:space="preserve"> </w:t>
      </w:r>
    </w:p>
    <w:p w14:paraId="34AD2EA5" w14:textId="48BA79AB" w:rsidR="00255E4E" w:rsidRPr="004B4934" w:rsidRDefault="00BB52BB" w:rsidP="00CF5487">
      <w:pPr>
        <w:pStyle w:val="Newparagraph"/>
      </w:pPr>
      <w:r w:rsidRPr="004B4934">
        <w:t>The</w:t>
      </w:r>
      <w:r w:rsidR="006F6FC0" w:rsidRPr="004B4934">
        <w:t xml:space="preserve"> final</w:t>
      </w:r>
      <w:r w:rsidR="00D66FFB" w:rsidRPr="004B4934">
        <w:t xml:space="preserve"> </w:t>
      </w:r>
      <w:r w:rsidR="000B74C7" w:rsidRPr="004B4934">
        <w:t xml:space="preserve">insight </w:t>
      </w:r>
      <w:r w:rsidR="00D66FFB" w:rsidRPr="004B4934">
        <w:t xml:space="preserve">of </w:t>
      </w:r>
      <w:r w:rsidR="000B74C7" w:rsidRPr="004B4934">
        <w:t>the</w:t>
      </w:r>
      <w:r w:rsidR="00D66FFB" w:rsidRPr="004B4934">
        <w:t xml:space="preserve"> </w:t>
      </w:r>
      <w:proofErr w:type="spellStart"/>
      <w:r w:rsidR="00D66FFB" w:rsidRPr="004B4934">
        <w:t>Minskyan</w:t>
      </w:r>
      <w:proofErr w:type="spellEnd"/>
      <w:r w:rsidR="00D66FFB" w:rsidRPr="004B4934">
        <w:t>/CMF</w:t>
      </w:r>
      <w:r w:rsidR="00D55805" w:rsidRPr="004B4934">
        <w:t xml:space="preserve"> approach</w:t>
      </w:r>
      <w:r w:rsidR="00BE49ED" w:rsidRPr="004B4934">
        <w:t xml:space="preserve"> </w:t>
      </w:r>
      <w:r w:rsidR="00DC3871" w:rsidRPr="004B4934">
        <w:t xml:space="preserve">concerns the </w:t>
      </w:r>
      <w:r w:rsidR="007930DC" w:rsidRPr="004B4934">
        <w:t>dynamic</w:t>
      </w:r>
      <w:r w:rsidR="007F1643" w:rsidRPr="004B4934">
        <w:t xml:space="preserve"> implications </w:t>
      </w:r>
      <w:r w:rsidR="00CA0264" w:rsidRPr="004B4934">
        <w:t>that the importance of liquidity</w:t>
      </w:r>
      <w:r w:rsidR="00943D35" w:rsidRPr="004B4934">
        <w:t xml:space="preserve"> has </w:t>
      </w:r>
      <w:r w:rsidR="00CD5FA4" w:rsidRPr="004B4934">
        <w:t>for</w:t>
      </w:r>
      <w:r w:rsidR="002A3023" w:rsidRPr="004B4934">
        <w:t xml:space="preserve"> </w:t>
      </w:r>
      <w:r w:rsidR="00185E22" w:rsidRPr="004B4934">
        <w:t>PF asset allocation</w:t>
      </w:r>
      <w:r w:rsidR="00DC3871" w:rsidRPr="004B4934">
        <w:t xml:space="preserve">. </w:t>
      </w:r>
      <w:r w:rsidR="00B90BB5" w:rsidRPr="004B4934">
        <w:t xml:space="preserve">Minsky’s analysis </w:t>
      </w:r>
      <w:r w:rsidR="006F2B8F" w:rsidRPr="004B4934">
        <w:t xml:space="preserve">is one where </w:t>
      </w:r>
      <w:r w:rsidR="0051285B" w:rsidRPr="004B4934">
        <w:t>attitudes towards the survival constraint change over the cour</w:t>
      </w:r>
      <w:r w:rsidR="00CF3A2B" w:rsidRPr="004B4934">
        <w:t>s</w:t>
      </w:r>
      <w:r w:rsidR="0051285B" w:rsidRPr="004B4934">
        <w:t>e of a business cycle</w:t>
      </w:r>
      <w:r w:rsidR="00533FAE" w:rsidRPr="004B4934">
        <w:t>. A</w:t>
      </w:r>
      <w:r w:rsidR="00763607" w:rsidRPr="004B4934">
        <w:t xml:space="preserve">fter a financial crash, </w:t>
      </w:r>
      <w:r w:rsidR="00FF6A2F" w:rsidRPr="004B4934">
        <w:t>as asset prices fall</w:t>
      </w:r>
      <w:r w:rsidR="000B7422" w:rsidRPr="004B4934">
        <w:t xml:space="preserve">, economic units tend to place much </w:t>
      </w:r>
      <w:r w:rsidR="00350CF2" w:rsidRPr="004B4934">
        <w:t xml:space="preserve">higher </w:t>
      </w:r>
      <w:r w:rsidR="000B7422" w:rsidRPr="004B4934">
        <w:t xml:space="preserve">value on </w:t>
      </w:r>
      <w:r w:rsidR="00277B2C" w:rsidRPr="004B4934">
        <w:t>liquidity</w:t>
      </w:r>
      <w:r w:rsidR="00D47D0D" w:rsidRPr="004B4934">
        <w:t>,</w:t>
      </w:r>
      <w:r w:rsidR="000B7422" w:rsidRPr="004B4934">
        <w:t xml:space="preserve"> and th</w:t>
      </w:r>
      <w:r w:rsidR="00943E9A" w:rsidRPr="004B4934">
        <w:t>us their</w:t>
      </w:r>
      <w:r w:rsidR="000B7422" w:rsidRPr="004B4934">
        <w:t xml:space="preserve"> </w:t>
      </w:r>
      <w:r w:rsidR="00984BF6" w:rsidRPr="004B4934">
        <w:t>preparedness for</w:t>
      </w:r>
      <w:r w:rsidR="003A1001" w:rsidRPr="004B4934">
        <w:t xml:space="preserve"> </w:t>
      </w:r>
      <w:r w:rsidR="000B7422" w:rsidRPr="004B4934">
        <w:t>their survival constraint</w:t>
      </w:r>
      <w:r w:rsidR="00533FAE" w:rsidRPr="004B4934">
        <w:t>.</w:t>
      </w:r>
      <w:r w:rsidR="002F1EC4" w:rsidRPr="004B4934">
        <w:t xml:space="preserve"> </w:t>
      </w:r>
      <w:r w:rsidR="003A1629" w:rsidRPr="004B4934">
        <w:t>O</w:t>
      </w:r>
      <w:r w:rsidR="002F1EC4" w:rsidRPr="004B4934">
        <w:t>ver time</w:t>
      </w:r>
      <w:r w:rsidR="003A1629" w:rsidRPr="004B4934">
        <w:t>, however</w:t>
      </w:r>
      <w:r w:rsidR="002F1EC4" w:rsidRPr="004B4934">
        <w:t xml:space="preserve"> the survival constraint becomes</w:t>
      </w:r>
      <w:r w:rsidR="00FD6BAE" w:rsidRPr="004B4934">
        <w:t xml:space="preserve"> less binding</w:t>
      </w:r>
      <w:r w:rsidR="00C45F8A" w:rsidRPr="004B4934">
        <w:t>,</w:t>
      </w:r>
      <w:r w:rsidR="00FD6BAE" w:rsidRPr="004B4934">
        <w:t xml:space="preserve"> as </w:t>
      </w:r>
      <w:r w:rsidR="006516D7" w:rsidRPr="004B4934">
        <w:t>less liquid</w:t>
      </w:r>
      <w:r w:rsidR="00FD6BAE" w:rsidRPr="004B4934">
        <w:t xml:space="preserve"> investment strategies are validated at the systemic level</w:t>
      </w:r>
      <w:r w:rsidR="00B51DF8" w:rsidRPr="004B4934">
        <w:t xml:space="preserve">, </w:t>
      </w:r>
      <w:r w:rsidR="001F11CE" w:rsidRPr="004B4934">
        <w:t>and so</w:t>
      </w:r>
      <w:r w:rsidR="00B51DF8" w:rsidRPr="004B4934">
        <w:t xml:space="preserve"> is largely met by most </w:t>
      </w:r>
      <w:r w:rsidR="009F1DDE" w:rsidRPr="004B4934">
        <w:t xml:space="preserve">institutions. </w:t>
      </w:r>
      <w:r w:rsidR="00D47D0D" w:rsidRPr="004B4934">
        <w:t>This process induces a “layering” of the financial system where</w:t>
      </w:r>
      <w:r w:rsidR="00AF083D" w:rsidRPr="004B4934">
        <w:t xml:space="preserve"> financial innovations </w:t>
      </w:r>
      <w:r w:rsidR="006622A5" w:rsidRPr="004B4934">
        <w:t>enhance return</w:t>
      </w:r>
      <w:r w:rsidR="00D8267B" w:rsidRPr="004B4934">
        <w:t>s</w:t>
      </w:r>
      <w:r w:rsidR="006622A5" w:rsidRPr="004B4934">
        <w:t xml:space="preserve"> and </w:t>
      </w:r>
      <w:r w:rsidR="004D5568" w:rsidRPr="004B4934">
        <w:t>stretch</w:t>
      </w:r>
      <w:r w:rsidR="006622A5" w:rsidRPr="004B4934">
        <w:t xml:space="preserve"> liquidity</w:t>
      </w:r>
      <w:r w:rsidR="00F707DB" w:rsidRPr="004B4934">
        <w:t xml:space="preserve"> by</w:t>
      </w:r>
      <w:r w:rsidR="00AA4C4C" w:rsidRPr="004B4934">
        <w:t xml:space="preserve"> </w:t>
      </w:r>
      <w:r w:rsidR="00562FE3" w:rsidRPr="004B4934">
        <w:t>creat</w:t>
      </w:r>
      <w:r w:rsidR="00F707DB" w:rsidRPr="004B4934">
        <w:t>ing</w:t>
      </w:r>
      <w:r w:rsidR="00AA4C4C" w:rsidRPr="004B4934">
        <w:t xml:space="preserve"> new asset classes</w:t>
      </w:r>
      <w:r w:rsidR="004D5568" w:rsidRPr="004B4934">
        <w:t xml:space="preserve">, </w:t>
      </w:r>
      <w:r w:rsidR="00F314DC" w:rsidRPr="004B4934">
        <w:lastRenderedPageBreak/>
        <w:t>so</w:t>
      </w:r>
      <w:r w:rsidR="004D5568" w:rsidRPr="004B4934">
        <w:t xml:space="preserve"> long as </w:t>
      </w:r>
      <w:r w:rsidR="00562FE3" w:rsidRPr="004B4934">
        <w:t>their liquidity is</w:t>
      </w:r>
      <w:r w:rsidR="004D5568" w:rsidRPr="004B4934">
        <w:t xml:space="preserve"> systemically validated</w:t>
      </w:r>
      <w:r w:rsidR="00E03149" w:rsidRPr="004B4934">
        <w:t xml:space="preserve"> by the market</w:t>
      </w:r>
      <w:r w:rsidR="00BB0928" w:rsidRPr="004B4934">
        <w:t xml:space="preserve"> </w:t>
      </w:r>
      <w:r w:rsidR="00BB0928" w:rsidRPr="004B4934">
        <w:fldChar w:fldCharType="begin"/>
      </w:r>
      <w:r w:rsidR="00184E76" w:rsidRPr="004B4934">
        <w:instrText xml:space="preserve"> ADDIN ZOTERO_ITEM CSL_CITATION {"citationID":"1MxCx1kq","properties":{"formattedCitation":"(Neilson 2019)","plainCitation":"(Neilson 2019)","noteIndex":0},"citationItems":[{"id":1710,"uris":["http://zotero.org/users/5165859/items/YFPD5KYD"],"itemData":{"id":1710,"type":"book","abstract":"No economist has written more incisively and provocatively on financial crisis than Hyman Minsky. Minsky is best known for his claim that \"stability is destabilizing\" - that the seeds of the bust are sown in the boom. This financial instability hypothesis received renewed attention - and substantial confirmation - in the global financial crisis of 2008. Minsky's insights are not limited to moments of crisis; they grow out of a comprehensive and critical theory of financial capitalism. This book provides a systematic overview of Minsky's thought, covering his entire body of work. It shows how financial crises arise not as exceptions, but out of the normal operation of a financial capitalist system. It explains why Minsky's theories sit uncomfortably with economics and what efforts have been made to integrate them, and shows how Minsky's work can be incorporated into other fields of social thought. This book will be of interest to students and scholars in economics, political economy, finance, politics, and social theory, as well as to anyone with an interest in the financial system and its tendency toward crisis.","event-place":"Cambridge","ISBN":"978-1-5095-2850-9","language":"English","number-of-pages":"224","publisher":"Polity Press","publisher-place":"Cambridge","source":"Amazon","title":"Minsky","author":[{"family":"Neilson","given":"Daniel H."}],"issued":{"date-parts":[["2019",7,26]]}}}],"schema":"https://github.com/citation-style-language/schema/raw/master/csl-citation.json"} </w:instrText>
      </w:r>
      <w:r w:rsidR="00BB0928" w:rsidRPr="004B4934">
        <w:fldChar w:fldCharType="separate"/>
      </w:r>
      <w:r w:rsidR="00BB0928" w:rsidRPr="004B4934">
        <w:t>(Neilson 2019)</w:t>
      </w:r>
      <w:r w:rsidR="00BB0928" w:rsidRPr="004B4934">
        <w:fldChar w:fldCharType="end"/>
      </w:r>
      <w:r w:rsidR="004D5568" w:rsidRPr="004B4934">
        <w:t>.</w:t>
      </w:r>
      <w:r w:rsidR="003A1001" w:rsidRPr="004B4934">
        <w:t xml:space="preserve"> </w:t>
      </w:r>
      <w:r w:rsidR="0063119F" w:rsidRPr="004B4934">
        <w:t>Eventually, when market liquidity dries up and asset prices fal</w:t>
      </w:r>
      <w:r w:rsidR="00A4194F" w:rsidRPr="004B4934">
        <w:t xml:space="preserve">l, layering collapses, and economic units </w:t>
      </w:r>
      <w:r w:rsidR="00A338C0" w:rsidRPr="004B4934">
        <w:t>make sharper distinctions between liquid and illiquid investments</w:t>
      </w:r>
      <w:r w:rsidR="0096305D" w:rsidRPr="004B4934">
        <w:t xml:space="preserve">. </w:t>
      </w:r>
      <w:r w:rsidR="00AF404C" w:rsidRPr="004B4934">
        <w:t xml:space="preserve">Liquidity </w:t>
      </w:r>
      <w:r w:rsidR="0081376B" w:rsidRPr="004B4934">
        <w:t>is therefore highly pro-cyclical</w:t>
      </w:r>
      <w:r w:rsidR="00D05540" w:rsidRPr="004B4934">
        <w:t xml:space="preserve"> and moves together with asset prices and </w:t>
      </w:r>
      <w:r w:rsidR="0087615E" w:rsidRPr="004B4934">
        <w:t>risk-</w:t>
      </w:r>
      <w:r w:rsidR="00131370" w:rsidRPr="004B4934">
        <w:t>taking.</w:t>
      </w:r>
      <w:r w:rsidR="00377DEC" w:rsidRPr="004B4934">
        <w:t xml:space="preserve"> As said, this link is even stronger in market-based financial systems where asset prices and liquidity are linked directly through </w:t>
      </w:r>
      <w:r w:rsidR="00CB5982" w:rsidRPr="004B4934">
        <w:t>the daily repricing of collateral.</w:t>
      </w:r>
    </w:p>
    <w:p w14:paraId="2C5AA973" w14:textId="7AFD6C36" w:rsidR="005F7EB4" w:rsidRPr="004B4934" w:rsidRDefault="00952465" w:rsidP="00C33637">
      <w:pPr>
        <w:pStyle w:val="Newparagraph"/>
      </w:pPr>
      <w:r w:rsidRPr="004B4934">
        <w:t>PF are not immune to</w:t>
      </w:r>
      <w:r w:rsidR="00D5671E" w:rsidRPr="004B4934">
        <w:t xml:space="preserve"> financial</w:t>
      </w:r>
      <w:r w:rsidR="00DE2802" w:rsidRPr="004B4934">
        <w:t xml:space="preserve"> investment</w:t>
      </w:r>
      <w:r w:rsidR="00D5671E" w:rsidRPr="004B4934">
        <w:t xml:space="preserve"> pro-cyclicality</w:t>
      </w:r>
      <w:r w:rsidR="009E2FD5" w:rsidRPr="004B4934">
        <w:t xml:space="preserve"> and</w:t>
      </w:r>
      <w:r w:rsidRPr="004B4934">
        <w:t xml:space="preserve"> </w:t>
      </w:r>
      <w:r w:rsidR="00901006" w:rsidRPr="004B4934">
        <w:t xml:space="preserve">their </w:t>
      </w:r>
      <w:r w:rsidRPr="004B4934">
        <w:t>asset demand responds to the liquidity cycles of finance</w:t>
      </w:r>
      <w:r w:rsidR="008C6581" w:rsidRPr="004B4934">
        <w:t>.</w:t>
      </w:r>
      <w:r w:rsidR="00487D45" w:rsidRPr="004B4934">
        <w:t xml:space="preserve"> </w:t>
      </w:r>
      <w:r w:rsidR="008C6581" w:rsidRPr="004B4934">
        <w:t>W</w:t>
      </w:r>
      <w:r w:rsidRPr="004B4934">
        <w:t xml:space="preserve">ith each </w:t>
      </w:r>
      <w:r w:rsidR="0039349F" w:rsidRPr="0039349F">
        <w:rPr>
          <w:color w:val="FF0000"/>
        </w:rPr>
        <w:t>crisis</w:t>
      </w:r>
      <w:r w:rsidRPr="004B4934">
        <w:t xml:space="preserve">, UK PF become more mindful of their survival constraint, </w:t>
      </w:r>
      <w:r w:rsidR="00C807A2" w:rsidRPr="0014686C">
        <w:rPr>
          <w:color w:val="FF0000"/>
        </w:rPr>
        <w:t>thus accelerating ongoing structural growth in their demand for safe assets and liquidity</w:t>
      </w:r>
      <w:r w:rsidR="00D90B1F" w:rsidRPr="004B4934">
        <w:t>; b</w:t>
      </w:r>
      <w:r w:rsidRPr="004B4934">
        <w:t>ut at the same time, the secular decline in bond yields</w:t>
      </w:r>
      <w:r w:rsidR="00C83F61" w:rsidRPr="004B4934">
        <w:t xml:space="preserve"> pushes them to chase returns</w:t>
      </w:r>
      <w:r w:rsidR="00E53510" w:rsidRPr="004B4934">
        <w:t>.</w:t>
      </w:r>
      <w:r w:rsidR="007E73A6" w:rsidRPr="004B4934">
        <w:t xml:space="preserve"> </w:t>
      </w:r>
      <w:r w:rsidRPr="004B4934">
        <w:t xml:space="preserve">PF therefore follow the financial cycle as liquidity </w:t>
      </w:r>
      <w:r w:rsidR="00082D05" w:rsidRPr="004B4934">
        <w:t xml:space="preserve">pours </w:t>
      </w:r>
      <w:r w:rsidR="00C05344" w:rsidRPr="004B4934">
        <w:t>into</w:t>
      </w:r>
      <w:r w:rsidRPr="004B4934">
        <w:t xml:space="preserve"> new asset classes</w:t>
      </w:r>
      <w:r w:rsidR="00367CE6" w:rsidRPr="004B4934">
        <w:t xml:space="preserve"> during booms. Paradoxically, however, these strategies further increase the liquidity risk for PF, as their success depends directly or indirectly on the maintenance of market liquidity, which, as discussed, is highly pro-cyclical. Furthermore, th</w:t>
      </w:r>
      <w:r w:rsidR="001B6896" w:rsidRPr="004B4934">
        <w:t>ese strategies</w:t>
      </w:r>
      <w:r w:rsidR="00367CE6" w:rsidRPr="004B4934">
        <w:t xml:space="preserve"> themselves </w:t>
      </w:r>
      <w:r w:rsidR="00F87EF7" w:rsidRPr="004B4934">
        <w:t xml:space="preserve">contribute to </w:t>
      </w:r>
      <w:r w:rsidR="00367CE6" w:rsidRPr="004B4934">
        <w:t xml:space="preserve">the system’s procyclicality, as </w:t>
      </w:r>
      <w:r w:rsidR="001B6896" w:rsidRPr="004B4934">
        <w:t>PF</w:t>
      </w:r>
      <w:r w:rsidR="00367CE6" w:rsidRPr="004B4934">
        <w:t xml:space="preserve"> need for liquidity becomes pro-cyclically related to asset prices</w:t>
      </w:r>
      <w:r w:rsidR="00633F01" w:rsidRPr="004B4934">
        <w:t>.</w:t>
      </w:r>
      <w:r w:rsidR="003E1BDC" w:rsidRPr="004B4934">
        <w:t xml:space="preserve"> </w:t>
      </w:r>
    </w:p>
    <w:p w14:paraId="0E605166" w14:textId="2CB33911" w:rsidR="00C35536" w:rsidRPr="004B4934" w:rsidRDefault="00633F01" w:rsidP="00C35536">
      <w:pPr>
        <w:pStyle w:val="Newparagraph"/>
      </w:pPr>
      <w:r w:rsidRPr="004B4934">
        <w:t xml:space="preserve">In sum, </w:t>
      </w:r>
      <w:r w:rsidR="005F7EB4" w:rsidRPr="004B4934">
        <w:t xml:space="preserve">a </w:t>
      </w:r>
      <w:proofErr w:type="spellStart"/>
      <w:r w:rsidR="005F7EB4" w:rsidRPr="004B4934">
        <w:t>Minskyan</w:t>
      </w:r>
      <w:proofErr w:type="spellEnd"/>
      <w:r w:rsidR="005F7EB4" w:rsidRPr="004B4934">
        <w:t xml:space="preserve"> framework allows us to analyse and conceptualise </w:t>
      </w:r>
      <w:r w:rsidRPr="004B4934">
        <w:t>PF’s greater attention to liquidity</w:t>
      </w:r>
      <w:r w:rsidR="00B31823" w:rsidRPr="004B4934">
        <w:t xml:space="preserve">, </w:t>
      </w:r>
      <w:r w:rsidR="00887C91" w:rsidRPr="004B4934">
        <w:t>leading to</w:t>
      </w:r>
      <w:r w:rsidR="00B31823" w:rsidRPr="004B4934">
        <w:t xml:space="preserve"> new form</w:t>
      </w:r>
      <w:r w:rsidR="00887C91" w:rsidRPr="004B4934">
        <w:t>s</w:t>
      </w:r>
      <w:r w:rsidR="00B31823" w:rsidRPr="004B4934">
        <w:t xml:space="preserve"> of</w:t>
      </w:r>
      <w:r w:rsidR="00961DDB" w:rsidRPr="004B4934">
        <w:t xml:space="preserve"> </w:t>
      </w:r>
      <w:r w:rsidR="006830BD" w:rsidRPr="004B4934">
        <w:t xml:space="preserve">short-termism. </w:t>
      </w:r>
      <w:r w:rsidR="00332EA1" w:rsidRPr="004B4934">
        <w:t xml:space="preserve">To manage their </w:t>
      </w:r>
      <w:r w:rsidR="005F7EB4" w:rsidRPr="004B4934">
        <w:t xml:space="preserve">increasing </w:t>
      </w:r>
      <w:r w:rsidR="00332EA1" w:rsidRPr="004B4934">
        <w:t>liquidity requirements</w:t>
      </w:r>
      <w:r w:rsidR="005F7EB4" w:rsidRPr="004B4934">
        <w:t xml:space="preserve"> in market-based financial structures and no direct access to lender of last resort financing, PF</w:t>
      </w:r>
      <w:r w:rsidR="00332EA1" w:rsidRPr="004B4934">
        <w:t xml:space="preserve"> </w:t>
      </w:r>
      <w:r w:rsidR="00E913E6" w:rsidRPr="004B4934">
        <w:t xml:space="preserve">need to </w:t>
      </w:r>
      <w:r w:rsidR="00332EA1" w:rsidRPr="004B4934">
        <w:t xml:space="preserve">keep a large </w:t>
      </w:r>
      <w:r w:rsidR="00DC6AC3" w:rsidRPr="004B4934">
        <w:t xml:space="preserve">store of liquid </w:t>
      </w:r>
      <w:r w:rsidR="004C3E81" w:rsidRPr="004B4934">
        <w:t xml:space="preserve">and daily re-repriced </w:t>
      </w:r>
      <w:r w:rsidR="00566E5B" w:rsidRPr="004B4934">
        <w:t xml:space="preserve">assets (mainly government bonds) as </w:t>
      </w:r>
      <w:r w:rsidR="00DC6AC3" w:rsidRPr="004B4934">
        <w:t>collateral separated from the rest of their assets</w:t>
      </w:r>
      <w:r w:rsidR="00332EA1" w:rsidRPr="004B4934">
        <w:t>.</w:t>
      </w:r>
      <w:r w:rsidR="00C067A2" w:rsidRPr="004B4934">
        <w:t xml:space="preserve"> Fu</w:t>
      </w:r>
      <w:r w:rsidR="00816D64" w:rsidRPr="004B4934">
        <w:t xml:space="preserve">rthermore, </w:t>
      </w:r>
      <w:r w:rsidR="000042AF" w:rsidRPr="004B4934">
        <w:t xml:space="preserve">as liquidity becomes pro-cyclical </w:t>
      </w:r>
      <w:r w:rsidR="002B0704" w:rsidRPr="004B4934">
        <w:t xml:space="preserve">through its link to asset prices, </w:t>
      </w:r>
      <w:r w:rsidR="00CB14C6" w:rsidRPr="004B4934">
        <w:t xml:space="preserve">the space to </w:t>
      </w:r>
      <w:r w:rsidR="00BF218F" w:rsidRPr="004B4934">
        <w:t xml:space="preserve">experiment with riskier strategies too becomes pro-cyclical </w:t>
      </w:r>
      <w:r w:rsidR="005B65EB" w:rsidRPr="004B4934">
        <w:t>and</w:t>
      </w:r>
      <w:r w:rsidR="003F0AE5" w:rsidRPr="004B4934">
        <w:t xml:space="preserve"> </w:t>
      </w:r>
      <w:r w:rsidR="005B65EB" w:rsidRPr="004B4934">
        <w:t>remain</w:t>
      </w:r>
      <w:r w:rsidR="003F0AE5" w:rsidRPr="004B4934">
        <w:t>s</w:t>
      </w:r>
      <w:r w:rsidR="005B65EB" w:rsidRPr="004B4934">
        <w:t xml:space="preserve"> </w:t>
      </w:r>
      <w:r w:rsidR="00BF218F" w:rsidRPr="004B4934">
        <w:t xml:space="preserve">necessarily short-term </w:t>
      </w:r>
      <w:r w:rsidR="002770A0" w:rsidRPr="004B4934">
        <w:t xml:space="preserve">since it is </w:t>
      </w:r>
      <w:r w:rsidR="00BF218F" w:rsidRPr="004B4934">
        <w:t>contingent on the state of market liquidity.</w:t>
      </w:r>
      <w:r w:rsidR="00CB14C6" w:rsidRPr="004B4934">
        <w:t xml:space="preserve"> </w:t>
      </w:r>
      <w:r w:rsidR="005B65EB" w:rsidRPr="004B4934">
        <w:t>Thus, d</w:t>
      </w:r>
      <w:r w:rsidR="00851473" w:rsidRPr="004B4934">
        <w:t xml:space="preserve">espite their nominally long-term investment horizons, </w:t>
      </w:r>
      <w:r w:rsidR="003C616B" w:rsidRPr="004B4934">
        <w:t>PF</w:t>
      </w:r>
      <w:r w:rsidR="001207F8" w:rsidRPr="004B4934">
        <w:t>’s</w:t>
      </w:r>
      <w:r w:rsidR="003C616B" w:rsidRPr="004B4934">
        <w:t xml:space="preserve"> </w:t>
      </w:r>
      <w:r w:rsidR="00D422DA" w:rsidRPr="004B4934">
        <w:t xml:space="preserve">de facto </w:t>
      </w:r>
      <w:r w:rsidR="00D422DA" w:rsidRPr="004B4934">
        <w:lastRenderedPageBreak/>
        <w:t xml:space="preserve">“impatience” reveals itself as </w:t>
      </w:r>
      <w:r w:rsidR="007B6B63" w:rsidRPr="004B4934">
        <w:t>pro-cyclicality and forced exit during crises.</w:t>
      </w:r>
      <w:r w:rsidR="009B4C27" w:rsidRPr="004B4934">
        <w:t xml:space="preserve"> </w:t>
      </w:r>
      <w:r w:rsidR="001207F8" w:rsidRPr="004B4934">
        <w:t xml:space="preserve">Even outside crises, ensuring adequate levels of liquidity </w:t>
      </w:r>
      <w:r w:rsidR="00C35536" w:rsidRPr="004B4934">
        <w:t xml:space="preserve">among </w:t>
      </w:r>
      <w:r w:rsidR="000541BF" w:rsidRPr="004B4934">
        <w:t xml:space="preserve">“growth” assets </w:t>
      </w:r>
      <w:r w:rsidR="001207F8" w:rsidRPr="004B4934">
        <w:t xml:space="preserve">might put a limit on genuine long-term and patient investments of PFs. </w:t>
      </w:r>
      <w:r w:rsidR="005F7EB4" w:rsidRPr="004B4934">
        <w:t xml:space="preserve">The next section </w:t>
      </w:r>
      <w:r w:rsidR="00D272DF" w:rsidRPr="004B4934">
        <w:t xml:space="preserve">provides the evidence of such a process </w:t>
      </w:r>
      <w:r w:rsidR="00E239DD" w:rsidRPr="004B4934">
        <w:t>drawn from</w:t>
      </w:r>
      <w:r w:rsidR="00B233AF" w:rsidRPr="004B4934">
        <w:t xml:space="preserve"> </w:t>
      </w:r>
      <w:r w:rsidR="00E239DD" w:rsidRPr="004B4934">
        <w:t xml:space="preserve">the </w:t>
      </w:r>
      <w:r w:rsidR="005F7EB4" w:rsidRPr="004B4934">
        <w:t xml:space="preserve">specific context of the UK, home to one of the largest global PF industries. </w:t>
      </w:r>
    </w:p>
    <w:p w14:paraId="7FAD60BD" w14:textId="0DEFB9A8" w:rsidR="00515B92" w:rsidRPr="004B4934" w:rsidRDefault="00515B92" w:rsidP="00CC7D20">
      <w:pPr>
        <w:pStyle w:val="Heading1"/>
        <w:numPr>
          <w:ilvl w:val="0"/>
          <w:numId w:val="32"/>
        </w:numPr>
      </w:pPr>
      <w:r w:rsidRPr="004B4934">
        <w:t xml:space="preserve">Market-based financial structures, LDI and the need for liquidity management of UK PF </w:t>
      </w:r>
    </w:p>
    <w:p w14:paraId="4CA555E7" w14:textId="181214B9" w:rsidR="00764FCB" w:rsidRPr="004B4934" w:rsidRDefault="00CB1932" w:rsidP="00764FCB">
      <w:pPr>
        <w:pStyle w:val="Newparagraph"/>
        <w:ind w:firstLine="0"/>
      </w:pPr>
      <w:r w:rsidRPr="004B4934">
        <w:t xml:space="preserve">As discussed in Section 2, </w:t>
      </w:r>
      <w:r w:rsidR="00066A4C" w:rsidRPr="004B4934">
        <w:t xml:space="preserve">the </w:t>
      </w:r>
      <w:r w:rsidR="00441FC0" w:rsidRPr="004B4934">
        <w:t>short</w:t>
      </w:r>
      <w:r w:rsidR="00066A4C" w:rsidRPr="004B4934">
        <w:t xml:space="preserve">-termism of UK PF has been noted by the existing literature. However, </w:t>
      </w:r>
      <w:r w:rsidRPr="004B4934">
        <w:t>n</w:t>
      </w:r>
      <w:r w:rsidR="0079178A" w:rsidRPr="004B4934">
        <w:t>ew developments relating to liquidity management</w:t>
      </w:r>
      <w:r w:rsidR="00341090" w:rsidRPr="004B4934">
        <w:t xml:space="preserve"> require further explanation.</w:t>
      </w:r>
      <w:r w:rsidR="00764FCB" w:rsidRPr="004B4934">
        <w:t xml:space="preserve"> </w:t>
      </w:r>
      <w:r w:rsidR="00341090" w:rsidRPr="004B4934">
        <w:t>B</w:t>
      </w:r>
      <w:r w:rsidR="00764FCB" w:rsidRPr="004B4934">
        <w:t xml:space="preserve">ased on our CMF approach, we consider </w:t>
      </w:r>
      <w:proofErr w:type="gramStart"/>
      <w:r w:rsidR="00764FCB" w:rsidRPr="004B4934">
        <w:t>this</w:t>
      </w:r>
      <w:r w:rsidR="00341090" w:rsidRPr="004B4934">
        <w:t xml:space="preserve"> new form</w:t>
      </w:r>
      <w:r w:rsidR="00A57361" w:rsidRPr="004B4934">
        <w:t>s</w:t>
      </w:r>
      <w:r w:rsidR="00341090" w:rsidRPr="004B4934">
        <w:t xml:space="preserve"> of</w:t>
      </w:r>
      <w:r w:rsidR="00764FCB" w:rsidRPr="004B4934">
        <w:t xml:space="preserve"> short-termism</w:t>
      </w:r>
      <w:proofErr w:type="gramEnd"/>
      <w:r w:rsidR="00764FCB" w:rsidRPr="004B4934">
        <w:t>, and the investment strategies that stand behind</w:t>
      </w:r>
      <w:r w:rsidR="00DE5CF1" w:rsidRPr="004B4934">
        <w:t xml:space="preserve"> it</w:t>
      </w:r>
      <w:r w:rsidR="00764FCB" w:rsidRPr="004B4934">
        <w:t>, in the context of the evolution of the UK financial system</w:t>
      </w:r>
      <w:r w:rsidR="0088584C" w:rsidRPr="004B4934">
        <w:t xml:space="preserve"> towards an increasingly market-based system</w:t>
      </w:r>
      <w:r w:rsidR="00764FCB" w:rsidRPr="004B4934">
        <w:t xml:space="preserve">. </w:t>
      </w:r>
    </w:p>
    <w:p w14:paraId="32048E7B" w14:textId="36762782" w:rsidR="00C443D3" w:rsidRPr="004B4934" w:rsidRDefault="00B51AD8" w:rsidP="00C443D3">
      <w:pPr>
        <w:pStyle w:val="Newparagraph"/>
      </w:pPr>
      <w:r w:rsidRPr="004B4934">
        <w:t xml:space="preserve">While a full account of the transformations of UK finance is beyond the scope of this paper, the key practices highlighted by CMF scholarship have become widespread. Since the 1980s, with the liberalisation of foreign exchange transactions, and the “big </w:t>
      </w:r>
      <w:r w:rsidR="00626802" w:rsidRPr="004B4934">
        <w:t>bang</w:t>
      </w:r>
      <w:r w:rsidRPr="004B4934">
        <w:t xml:space="preserve">” in capital markets, the UK financial system has </w:t>
      </w:r>
      <w:r w:rsidR="0091077D" w:rsidRPr="004B4934">
        <w:t xml:space="preserve">become </w:t>
      </w:r>
      <w:r w:rsidRPr="004B4934">
        <w:t xml:space="preserve">decisively </w:t>
      </w:r>
      <w:r w:rsidR="0091077D" w:rsidRPr="004B4934">
        <w:t xml:space="preserve">more </w:t>
      </w:r>
      <w:proofErr w:type="gramStart"/>
      <w:r w:rsidR="0091077D" w:rsidRPr="004B4934">
        <w:t>market-based</w:t>
      </w:r>
      <w:proofErr w:type="gramEnd"/>
      <w:r w:rsidRPr="004B4934">
        <w:t xml:space="preserve">. The City of London has become one of the most important centres of foreign exchange and derivative trading globally, whilst the weight of non-bank financial institutions has increased dramatically. Between 1992 and 2019, the asset management industry has expanded from 144% to over 400% of GDP </w:t>
      </w:r>
      <w:r w:rsidRPr="004B4934">
        <w:fldChar w:fldCharType="begin"/>
      </w:r>
      <w:r w:rsidR="00184E76" w:rsidRPr="004B4934">
        <w:instrText xml:space="preserve"> ADDIN ZOTERO_ITEM CSL_CITATION {"citationID":"FuyppmDP","properties":{"formattedCitation":"(Investment Association 2019)","plainCitation":"(Investment Association 2019)","noteIndex":0},"citationItems":[{"id":1698,"uris":["http://zotero.org/users/5165859/items/5734N4YC"],"itemData":{"id":1698,"type":"report","genre":"Annual Survey","publisher":"The Investment Association","title":"Investment management in the UK 2018-2019","author":[{"family":"Investment Association","given":""}],"issued":{"date-parts":[["2019"]]}}}],"schema":"https://github.com/citation-style-language/schema/raw/master/csl-citation.json"} </w:instrText>
      </w:r>
      <w:r w:rsidRPr="004B4934">
        <w:fldChar w:fldCharType="separate"/>
      </w:r>
      <w:r w:rsidRPr="004B4934">
        <w:t>(Investment Association 2019)</w:t>
      </w:r>
      <w:r w:rsidRPr="004B4934">
        <w:fldChar w:fldCharType="end"/>
      </w:r>
      <w:r w:rsidRPr="004B4934">
        <w:t xml:space="preserve">, notable for its $463 billion – about 15% of GDP – hedge fund sector </w:t>
      </w:r>
      <w:r w:rsidRPr="004B4934">
        <w:fldChar w:fldCharType="begin"/>
      </w:r>
      <w:r w:rsidR="00E461FE">
        <w:instrText xml:space="preserve"> ADDIN ZOTERO_ITEM CSL_CITATION {"citationID":"G232pdQA","properties":{"formattedCitation":"(Preqin 2020)","plainCitation":"(Preqin 2020)","noteIndex":0},"citationItems":[{"id":79,"uris":["http://zotero.org/users/5165859/items/LX4KLVI4"],"itemData":{"id":79,"type":"report","publisher":"Preqin","title":"Global Hedge Fund Report","author":[{"family":"Preqin","given":""}],"issued":{"date-parts":[["2020"]]}}}],"schema":"https://github.com/citation-style-language/schema/raw/master/csl-citation.json"} </w:instrText>
      </w:r>
      <w:r w:rsidRPr="004B4934">
        <w:fldChar w:fldCharType="separate"/>
      </w:r>
      <w:r w:rsidRPr="004B4934">
        <w:t>(Preqin 2020)</w:t>
      </w:r>
      <w:r w:rsidRPr="004B4934">
        <w:fldChar w:fldCharType="end"/>
      </w:r>
      <w:r w:rsidRPr="004B4934">
        <w:t xml:space="preserve">. </w:t>
      </w:r>
    </w:p>
    <w:p w14:paraId="219366FB" w14:textId="084B1E2D" w:rsidR="00B51AD8" w:rsidRPr="004B4934" w:rsidRDefault="00B51AD8" w:rsidP="00C443D3">
      <w:pPr>
        <w:pStyle w:val="Newparagraph"/>
      </w:pPr>
      <w:r w:rsidRPr="004B4934">
        <w:t>Domestically, the gilt market itself has been transformed, with the creation of a repo market</w:t>
      </w:r>
      <w:r w:rsidR="00A64284">
        <w:rPr>
          <w:rStyle w:val="EndnoteReference"/>
        </w:rPr>
        <w:endnoteReference w:id="7"/>
      </w:r>
      <w:r w:rsidRPr="004B4934">
        <w:t xml:space="preserve">, a large number of primary broker-dealers, and issuance through periodic auctions </w:t>
      </w:r>
      <w:r w:rsidRPr="004B4934">
        <w:fldChar w:fldCharType="begin"/>
      </w:r>
      <w:r w:rsidR="00E461FE">
        <w:instrText xml:space="preserve"> ADDIN ZOTERO_ITEM CSL_CITATION {"citationID":"vkY9k9ky","properties":{"formattedCitation":"(Choudhry 2009, Dutta 2018, Gabor 2020)","plainCitation":"(Choudhry 2009, Dutta 2018, Gabor 2020)","noteIndex":0},"citationItems":[{"id":90,"uris":["http://zotero.org/users/5165859/items/D9NFMVQ9"],"itemData":{"id":90,"type":"article-journal","abstract":"The importance of maintaining sufficient liquidity in financial markets is emphasised strongly in the academic literature. During the 1990s the United Kingdom monetary authorities introduced a number of structural reforms in the government bond market, aimed at improving secondary market liquidity. In this paper we examine the impact of the reforms by attempting to ascertain if liquidity levels improved in the post-reform period. We estimate the change in liquidity levels through the use of a proxy measure of liquidity, namely the benchmark bond theoretical versus market yield error. We examine the determinants of the proxy measure of market liquidity, and estimate which of the explanatory variables carries the greatest weight in influencing liquidity levels. We identify those factors that contributed most to maintaining secondary market liquidity and thereby draw conclusions of potential value to sovereign bond market monetary authorities.","container-title":"European Journal of Finance and Banking Research","issue":"2","language":"en","page":"13-35","source":"papers.ssrn.com","title":"The Value of Introducing Structural Reform to Improve Bond Market Liquidity: Experience from the U.K. Gilt Market","title-short":"The Value of Introducing Structural Reform to Improve Bond Market Liquidity","volume":"2","author":[{"family":"Choudhry","given":"Moorad"}],"issued":{"date-parts":[["2009",7,15]]}}},{"id":1651,"uris":["http://zotero.org/users/5165859/items/Z2MAITRQ"],"itemData":{"id":1651,"type":"article-journal","abstract":"This article focuses on the central position of sovereign debt securities in the financial system to challenge existing accounts about the 1986 ‘Big Bang’ deregulation of the City of London’s securities market. The reforms are often cast as an iconic moment of neoliberal deregulation and a key episode in the globalization of financial markets. Such accounts stress that the state played an active role in constructing the reforms and upholding the global market relations they produced, yet they remain unclear about the state’s direct interest in pursuing financial market liberalization. The article contends that domestic concerns over sovereign debt management were central to the state’s pursuit of regulatory change. The Big Bang reforms greatly expanded the size and liquidity of the market for British sovereign debt. This empowered the state, improving its capacity to conduct monetary policy and to raise finance on better terms. In doing so, the article demonstrates the necessity of examining sovereign debt management in order to specify the state’s role in the construction of financial globalization.","container-title":"Competition &amp; Change","DOI":"10.1177/1024529417734524","ISSN":"1024-5294","issue":"1","journalAbbreviation":"Competition &amp; Change","language":"en","note":"publisher: SAGE Publications Ltd","page":"3-22","source":"SAGE Journals","title":"Sovereign debt management and the globalization of finance: Recasting the City of London’s ‘Big Bang’","title-short":"Sovereign debt management and the globalization of finance","volume":"22","author":[{"family":"Dutta","given":"Sahil Jai"}],"issued":{"date-parts":[["2018",2,1]]}}},{"id":1540,"uris":["http://zotero.org/users/5165859/items/D4R9IDX9"],"itemData":{"id":1540,"type":"article-journal","abstract":"This forum contribution outlines four propositions of the critical macro-finance approach: (1) US-led financial globalization has structurally evolved around market-based finance, driven by the production of new asset classes and the Americanization of national financial systems with changing practices for producing liquidity; (2) global finance is a set of interconnected, hierarchical balance sheets, increasingly subject to time-critical liquidity; (3) credit creation in market-based finance involves new forms of money (systemic liabilities); and (4) market-based finance structurally requires a derisking state, for both systemic liabilities and for new asset classes. The precise contours of the derisking state are determined through political struggles.","container-title":"Finance and Society","DOI":"10.2218/finsoc.v6i1.4408","ISSN":"2059-5999","issue":"1","language":"en","license":"Copyright (c) 2020","note":"number: 1","page":"45-55","source":"financeandsociety.ed.ac.uk","title":"Critical macro-finance: A theoretical lens","title-short":"Critical macro-finance","volume":"6","author":[{"family":"Gabor","given":"Daniela"}],"issued":{"date-parts":[["2020",5,28]]}}}],"schema":"https://github.com/citation-style-language/schema/raw/master/csl-citation.json"} </w:instrText>
      </w:r>
      <w:r w:rsidRPr="004B4934">
        <w:fldChar w:fldCharType="separate"/>
      </w:r>
      <w:r w:rsidR="00572740" w:rsidRPr="004B4934">
        <w:t>(Choudhry 2009, Dutta 2018, Gabor 2020)</w:t>
      </w:r>
      <w:r w:rsidRPr="004B4934">
        <w:fldChar w:fldCharType="end"/>
      </w:r>
      <w:r w:rsidRPr="004B4934">
        <w:t xml:space="preserve">. As a result, gilts have become </w:t>
      </w:r>
      <w:r w:rsidRPr="004B4934">
        <w:lastRenderedPageBreak/>
        <w:t xml:space="preserve">more central to the UK financial systems as an essential form of collateral and tool of liquidity management,  reproducing the segmentation in financial markets </w:t>
      </w:r>
      <w:r w:rsidRPr="004B4934">
        <w:fldChar w:fldCharType="begin"/>
      </w:r>
      <w:r w:rsidR="00E461FE">
        <w:instrText xml:space="preserve"> ADDIN ZOTERO_ITEM CSL_CITATION {"citationID":"kDxn4T1n","properties":{"formattedCitation":"(Sissoko 2019)","plainCitation":"(Sissoko 2019)","noteIndex":0},"citationItems":[{"id":1564,"uris":["http://zotero.org/users/5165859/items/VBFLK7MD"],"itemData":{"id":1564,"type":"article-journal","abstract":"The safety of repurchase agreements (repos) depends on the neoclassical premise that markets are reliable sources of liquidity; repos in practice disprove the theory by generating collateral calls, collateral sales, liquidity events, and liquidity-driven losses for repo-borrowing funds and their end investors. As repo-type lending now dominates money markets, borrowers’ self-protective preference for ‘safe assets’ as collateral has distorted financial markets, disrupting private investment, and economic performance. Using a balance sheet approach this paper explains the liquidity-supporting role of the traditional banking system and contrasts it with the liquidity-demanding repo-based financial system. The paper also argues that contractual structure determines the balance of power in private sector loans, that no private loan is ‘safe’ for both borrower and lender, and that repo has shifted the balance of safety decisively in favour of lenders.","container-title":"Economy and Society","DOI":"10.1080/03085147.2018.1525155","ISSN":"0308-5147","issue":"3","note":"publisher: Routledge\n_eprint: https://doi.org/10.1080/03085147.2018.1525155","page":"315-341","source":"Taylor and Francis+NEJM","title":"Repurchase agreements and the (de)construction of financial markets","volume":"48","author":[{"family":"Sissoko","given":"Carolyn"}],"issued":{"date-parts":[["2019",7,3]]}}}],"schema":"https://github.com/citation-style-language/schema/raw/master/csl-citation.json"} </w:instrText>
      </w:r>
      <w:r w:rsidRPr="004B4934">
        <w:fldChar w:fldCharType="separate"/>
      </w:r>
      <w:r w:rsidRPr="004B4934">
        <w:t>(Sissoko 2019)</w:t>
      </w:r>
      <w:r w:rsidRPr="004B4934">
        <w:fldChar w:fldCharType="end"/>
      </w:r>
      <w:r w:rsidRPr="004B4934">
        <w:t xml:space="preserve">. Consequently, maintaining the liquidity of gilts has become paramount to the functioning of the UK financial system  </w:t>
      </w:r>
      <w:r w:rsidRPr="004B4934">
        <w:fldChar w:fldCharType="begin"/>
      </w:r>
      <w:r w:rsidR="00E461FE">
        <w:instrText xml:space="preserve"> ADDIN ZOTERO_ITEM CSL_CITATION {"citationID":"7d5nmagI","properties":{"formattedCitation":"(Bank of England 2020b, pp. 63\\uc0\\u8211{}68)","plainCitation":"(Bank of England 2020b, pp. 63–68)","noteIndex":0},"citationItems":[{"id":78,"uris":["http://zotero.org/users/5165859/items/V8PE7CKQ"],"itemData":{"id":78,"type":"report","number":"August","publisher":"Bank of England","title":"Financial Stability Report","author":[{"family":"Bank of England","given":""}],"issued":{"date-parts":[["2020"]]}},"locator":"63-68"}],"schema":"https://github.com/citation-style-language/schema/raw/master/csl-citation.json"} </w:instrText>
      </w:r>
      <w:r w:rsidRPr="004B4934">
        <w:fldChar w:fldCharType="separate"/>
      </w:r>
      <w:r w:rsidRPr="004B4934">
        <w:t>(Bank of England 2020b, pp. 63–68)</w:t>
      </w:r>
      <w:r w:rsidRPr="004B4934">
        <w:fldChar w:fldCharType="end"/>
      </w:r>
      <w:r w:rsidRPr="004B4934">
        <w:t xml:space="preserve">. </w:t>
      </w:r>
      <w:r w:rsidR="000720C1" w:rsidRPr="004B4934">
        <w:t>Indeed, a</w:t>
      </w:r>
      <w:r w:rsidRPr="004B4934">
        <w:t xml:space="preserve">s we will see below, it </w:t>
      </w:r>
      <w:r w:rsidR="000720C1" w:rsidRPr="004B4934">
        <w:t>was</w:t>
      </w:r>
      <w:r w:rsidRPr="004B4934">
        <w:t xml:space="preserve"> around the gilt market that the stress in Spring 2020 originated, as investors were forced to sell them </w:t>
      </w:r>
      <w:proofErr w:type="spellStart"/>
      <w:r w:rsidRPr="004B4934">
        <w:rPr>
          <w:i/>
          <w:iCs/>
        </w:rPr>
        <w:t>en</w:t>
      </w:r>
      <w:proofErr w:type="spellEnd"/>
      <w:r w:rsidR="00B76730" w:rsidRPr="004B4934">
        <w:rPr>
          <w:i/>
          <w:iCs/>
        </w:rPr>
        <w:t xml:space="preserve"> </w:t>
      </w:r>
      <w:r w:rsidRPr="004B4934">
        <w:rPr>
          <w:i/>
          <w:iCs/>
        </w:rPr>
        <w:t>masse</w:t>
      </w:r>
      <w:r w:rsidRPr="004B4934">
        <w:t xml:space="preserve"> to obtain cash to face their liability commitments.</w:t>
      </w:r>
    </w:p>
    <w:p w14:paraId="50D081E8" w14:textId="3320F55D" w:rsidR="00863CA7" w:rsidRPr="004B4934" w:rsidRDefault="009618E8" w:rsidP="00863CA7">
      <w:pPr>
        <w:pStyle w:val="Newparagraph"/>
      </w:pPr>
      <w:r w:rsidRPr="004B4934">
        <w:t>This context is missing from the existing literature</w:t>
      </w:r>
      <w:r w:rsidR="00C443D3" w:rsidRPr="004B4934">
        <w:t xml:space="preserve">. As discussed in section 2, </w:t>
      </w:r>
      <w:r w:rsidR="00A16A7E" w:rsidRPr="004B4934">
        <w:t>the</w:t>
      </w:r>
      <w:r w:rsidR="00A7517F" w:rsidRPr="004B4934">
        <w:t xml:space="preserve"> existing</w:t>
      </w:r>
      <w:r w:rsidR="00794BA6" w:rsidRPr="004B4934">
        <w:t xml:space="preserve"> literature</w:t>
      </w:r>
      <w:r w:rsidRPr="004B4934">
        <w:t xml:space="preserve"> </w:t>
      </w:r>
      <w:r w:rsidR="00A16A7E" w:rsidRPr="004B4934">
        <w:t>focuses on</w:t>
      </w:r>
      <w:r w:rsidR="00863CA7" w:rsidRPr="004B4934">
        <w:t xml:space="preserve"> </w:t>
      </w:r>
      <w:proofErr w:type="spellStart"/>
      <w:r w:rsidR="00863CA7" w:rsidRPr="004B4934">
        <w:t>i</w:t>
      </w:r>
      <w:proofErr w:type="spellEnd"/>
      <w:r w:rsidR="00863CA7" w:rsidRPr="004B4934">
        <w:t>)</w:t>
      </w:r>
      <w:r w:rsidR="00A16A7E" w:rsidRPr="004B4934">
        <w:t xml:space="preserve"> the</w:t>
      </w:r>
      <w:r w:rsidR="00794BA6" w:rsidRPr="004B4934">
        <w:t xml:space="preserve"> de-risking</w:t>
      </w:r>
      <w:r w:rsidR="009759B4" w:rsidRPr="004B4934">
        <w:t xml:space="preserve"> </w:t>
      </w:r>
      <w:r w:rsidR="006D3FF3" w:rsidRPr="004B4934">
        <w:t xml:space="preserve">process </w:t>
      </w:r>
      <w:r w:rsidR="009759B4" w:rsidRPr="004B4934">
        <w:t>associated with LDI</w:t>
      </w:r>
      <w:r w:rsidR="002E29A6" w:rsidRPr="004B4934">
        <w:t xml:space="preserve"> leading to lower equity and higher bond allocations </w:t>
      </w:r>
      <w:r w:rsidR="009658C0" w:rsidRPr="004B4934">
        <w:t>and</w:t>
      </w:r>
      <w:r w:rsidR="00863CA7" w:rsidRPr="004B4934">
        <w:t xml:space="preserve"> ii) the increasing maturity of PF, which reduces cash inflows from active workers contributions</w:t>
      </w:r>
      <w:r w:rsidR="00A44B0A" w:rsidRPr="004B4934">
        <w:t xml:space="preserve">, </w:t>
      </w:r>
      <w:r w:rsidR="00863CA7" w:rsidRPr="004B4934">
        <w:fldChar w:fldCharType="begin"/>
      </w:r>
      <w:r w:rsidR="00863CA7" w:rsidRPr="004B4934">
        <w:instrText xml:space="preserve"> ADDIN ZOTERO_ITEM CSL_CITATION {"citationID":"IDihoYaq","properties":{"formattedCitation":"(Engelen 2003)","plainCitation":"(Engelen 2003)","noteIndex":0},"citationItems":[{"id":208,"uris":["http://zotero.org/users/5165859/items/8VIDAS9G"],"itemData":{"id":208,"type":"article-journal","abstract":"During the 1990s, pension funds seemed to dominate the world's capital markets, reaping unprecedented rates of return. This stands in glaring contrast to the budgetary difficulties of most nonfunded European pension arrangements, which are a result of the changing demographic composition of the population. As a result, a growing number of European states is trying to transform the existing pay-as-you-go systems into funded pension arrangements. After a critical examination of these demographic projections, the claim that funded pension systems are not subject to `demographic stress' is critically assessed. Finally, given the logic to which funded pension arrangements are subject, it is argued that the introduction of such institutions could result in a growing financialisation of the economy. It is claimed here that this is not without dangers for the long-term wealth-generating capacity of firms. So, not only are the reasons for pension restructuring less compelling than is generally thought, restructuring could also result in unwanted side-effects.","container-title":"Environment and Planning A","DOI":"10.1068/a35307","issue":"8","page":"1357 – 1372","source":"Pion Journals","title":"The logic of funding European pension restructuring and the dangers of financialisation","volume":"35","author":[{"family":"Engelen","given":"Ewald"}],"issued":{"date-parts":[["2003"]]}}}],"schema":"https://github.com/citation-style-language/schema/raw/master/csl-citation.json"} </w:instrText>
      </w:r>
      <w:r w:rsidR="00863CA7" w:rsidRPr="004B4934">
        <w:fldChar w:fldCharType="separate"/>
      </w:r>
      <w:r w:rsidR="00863CA7" w:rsidRPr="004B4934">
        <w:t>(Engelen 2003)</w:t>
      </w:r>
      <w:r w:rsidR="00863CA7" w:rsidRPr="004B4934">
        <w:fldChar w:fldCharType="end"/>
      </w:r>
      <w:r w:rsidR="00A44B0A" w:rsidRPr="004B4934">
        <w:t xml:space="preserve"> to explain PF’s </w:t>
      </w:r>
      <w:proofErr w:type="spellStart"/>
      <w:r w:rsidR="002E29A6" w:rsidRPr="004B4934">
        <w:t>shor</w:t>
      </w:r>
      <w:proofErr w:type="spellEnd"/>
      <w:r w:rsidR="002E29A6" w:rsidRPr="004B4934">
        <w:t>-term investment horizons</w:t>
      </w:r>
      <w:r w:rsidR="00A44B0A" w:rsidRPr="004B4934">
        <w:t xml:space="preserve">. </w:t>
      </w:r>
      <w:proofErr w:type="gramStart"/>
      <w:r w:rsidR="00863CA7" w:rsidRPr="004B4934">
        <w:t>Figure</w:t>
      </w:r>
      <w:proofErr w:type="gramEnd"/>
      <w:r w:rsidR="00863CA7" w:rsidRPr="004B4934">
        <w:t xml:space="preserve"> 1 and 2 testify that these are relevant explanations: UK PF’s funding deficit, that is the difference between their assets and liabilities, has increased since the early 2000s, and, at the aggregate level, PF have found themselves in a negative cashflow position from 2015</w:t>
      </w:r>
      <w:r w:rsidR="00863CA7" w:rsidRPr="004B4934">
        <w:rPr>
          <w:rStyle w:val="EndnoteReference"/>
        </w:rPr>
        <w:endnoteReference w:id="8"/>
      </w:r>
      <w:r w:rsidR="00863CA7" w:rsidRPr="004B4934">
        <w:t xml:space="preserve">. </w:t>
      </w:r>
    </w:p>
    <w:p w14:paraId="47AA853E" w14:textId="77777777" w:rsidR="0035438A" w:rsidRPr="004B4934" w:rsidRDefault="0035438A" w:rsidP="0035438A">
      <w:pPr>
        <w:pStyle w:val="Figurecaption"/>
      </w:pPr>
      <w:r w:rsidRPr="004B4934">
        <w:t>Figure 1. Pension fund assets and liabilities</w:t>
      </w:r>
    </w:p>
    <w:p w14:paraId="73C689D1" w14:textId="19F6AB25" w:rsidR="0035438A" w:rsidRPr="004B4934" w:rsidRDefault="006040BB" w:rsidP="0035438A">
      <w:pPr>
        <w:pStyle w:val="Figurecaption"/>
        <w:jc w:val="center"/>
      </w:pPr>
      <w:r>
        <w:rPr>
          <w:noProof/>
        </w:rPr>
        <w:drawing>
          <wp:inline distT="0" distB="0" distL="0" distR="0" wp14:anchorId="27105766" wp14:editId="38F5BD4C">
            <wp:extent cx="4358640" cy="2529840"/>
            <wp:effectExtent l="0" t="0" r="3810" b="3810"/>
            <wp:docPr id="6" name="Chart 6">
              <a:extLst xmlns:a="http://schemas.openxmlformats.org/drawingml/2006/main">
                <a:ext uri="{FF2B5EF4-FFF2-40B4-BE49-F238E27FC236}">
                  <a16:creationId xmlns:a16="http://schemas.microsoft.com/office/drawing/2014/main" id="{9DDF0864-2B40-4C53-AB2C-75036BBBA2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D64A616" w14:textId="23B9CC23" w:rsidR="00C34896" w:rsidRPr="004B4934" w:rsidRDefault="0035438A" w:rsidP="00863CA7">
      <w:pPr>
        <w:pStyle w:val="Figurecaption"/>
      </w:pPr>
      <w:r w:rsidRPr="004B4934">
        <w:lastRenderedPageBreak/>
        <w:t>Source: authors’ elaboration of ONS – Financial Survey of Pension Schemes and UK national accounts</w:t>
      </w:r>
    </w:p>
    <w:p w14:paraId="68509FBE" w14:textId="60F4FEAF" w:rsidR="00863CA7" w:rsidRPr="004B4934" w:rsidRDefault="00863CA7" w:rsidP="00863CA7">
      <w:pPr>
        <w:pStyle w:val="Figurecaption"/>
      </w:pPr>
      <w:r w:rsidRPr="004B4934">
        <w:t>Figure 2. Pension fund cash inflows and outflows</w:t>
      </w:r>
    </w:p>
    <w:p w14:paraId="780D1808" w14:textId="77777777" w:rsidR="00863CA7" w:rsidRPr="004B4934" w:rsidRDefault="00863CA7" w:rsidP="00863CA7">
      <w:pPr>
        <w:pStyle w:val="Figurecaption"/>
      </w:pPr>
      <w:r w:rsidRPr="004B4934">
        <w:rPr>
          <w:noProof/>
        </w:rPr>
        <w:drawing>
          <wp:inline distT="0" distB="0" distL="0" distR="0" wp14:anchorId="601BDF4C" wp14:editId="285246AB">
            <wp:extent cx="5240655" cy="3745230"/>
            <wp:effectExtent l="0" t="0" r="17145" b="7620"/>
            <wp:docPr id="3" name="Chart 3">
              <a:extLst xmlns:a="http://schemas.openxmlformats.org/drawingml/2006/main">
                <a:ext uri="{FF2B5EF4-FFF2-40B4-BE49-F238E27FC236}">
                  <a16:creationId xmlns:a16="http://schemas.microsoft.com/office/drawing/2014/main" id="{A53EAE88-0C3F-4AF5-89D7-6FA2DACE83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95FED35" w14:textId="76576C98" w:rsidR="00863CA7" w:rsidRPr="004B4934" w:rsidRDefault="00863CA7" w:rsidP="00863CA7">
      <w:pPr>
        <w:pStyle w:val="Figurecaption"/>
      </w:pPr>
      <w:r w:rsidRPr="004B4934">
        <w:t>Source: authors’ elaboration of ONS - Financial Survey of Pension Schemes</w:t>
      </w:r>
      <w:r w:rsidR="0011457F" w:rsidRPr="004B4934">
        <w:t>.</w:t>
      </w:r>
      <w:r w:rsidRPr="004B4934">
        <w:t xml:space="preserve"> Note: other income is mainly investment income. The net cashflow includes transfer payments, the net cash transfer of workers into and out of the UK PF system. </w:t>
      </w:r>
    </w:p>
    <w:p w14:paraId="3D57B1E6" w14:textId="77777777" w:rsidR="00863CA7" w:rsidRPr="004B4934" w:rsidRDefault="00863CA7" w:rsidP="00C34896">
      <w:pPr>
        <w:pStyle w:val="Newparagraph"/>
      </w:pPr>
    </w:p>
    <w:p w14:paraId="1FAD2FA9" w14:textId="4DE50E26" w:rsidR="001A4ABE" w:rsidRPr="004B4934" w:rsidRDefault="009658C0" w:rsidP="001A4ABE">
      <w:pPr>
        <w:pStyle w:val="Newparagraph"/>
      </w:pPr>
      <w:r w:rsidRPr="004B4934">
        <w:t xml:space="preserve">However, these explanations are missing an important part of the picture: the increasingly market-based financial system characterised by the collateralisation of financial relationships and a sharper segmentation of asset markets </w:t>
      </w:r>
      <w:r w:rsidRPr="004B4934">
        <w:fldChar w:fldCharType="begin"/>
      </w:r>
      <w:r w:rsidR="00E461FE">
        <w:instrText xml:space="preserve"> ADDIN ZOTERO_ITEM CSL_CITATION {"citationID":"DNboOjLb","properties":{"formattedCitation":"(Bank of England 2020b, 2021)","plainCitation":"(Bank of England 2020b, 2021)","noteIndex":0},"citationItems":[{"id":78,"uris":["http://zotero.org/users/5165859/items/V8PE7CKQ"],"itemData":{"id":78,"type":"report","number":"August","publisher":"Bank of England","title":"Financial Stability Report","author":[{"family":"Bank of England","given":""}],"issued":{"date-parts":[["2020"]]}}},{"id":1491,"uris":["http://zotero.org/users/5165859/items/H6DD8Y7B"],"itemData":{"id":1491,"type":"report","publisher":"Bank of England, Financial policy committee","title":"Assessing the resilience of market-based finance","author":[{"family":"Bank of England","given":""}],"issued":{"date-parts":[["2021",7]]}}}],"schema":"https://github.com/citation-style-language/schema/raw/master/csl-citation.json"} </w:instrText>
      </w:r>
      <w:r w:rsidRPr="004B4934">
        <w:fldChar w:fldCharType="separate"/>
      </w:r>
      <w:r w:rsidRPr="004B4934">
        <w:t>(Bank of England 2020b, 2021)</w:t>
      </w:r>
      <w:r w:rsidRPr="004B4934">
        <w:fldChar w:fldCharType="end"/>
      </w:r>
      <w:r w:rsidRPr="004B4934">
        <w:t>. This affec</w:t>
      </w:r>
      <w:r w:rsidR="001A4ABE" w:rsidRPr="004B4934">
        <w:t xml:space="preserve">ts PF in two </w:t>
      </w:r>
      <w:r w:rsidR="00D12808" w:rsidRPr="004B4934">
        <w:t>main</w:t>
      </w:r>
      <w:r w:rsidR="009618E8" w:rsidRPr="004B4934">
        <w:t xml:space="preserve"> ways</w:t>
      </w:r>
      <w:r w:rsidR="001A4ABE" w:rsidRPr="004B4934">
        <w:t xml:space="preserve">. </w:t>
      </w:r>
      <w:r w:rsidRPr="004B4934">
        <w:t>First</w:t>
      </w:r>
      <w:r w:rsidR="009618E8" w:rsidRPr="004B4934">
        <w:t xml:space="preserve">ly, </w:t>
      </w:r>
      <w:r w:rsidR="001A4ABE" w:rsidRPr="004B4934">
        <w:t xml:space="preserve">the increasing use of derivatives and leverage strategies has significantly increased PF’s liquidity needs and made them less unpredictable. This is particularly evident during moments of financial turmoil. As illustrated in more detail in section 5 and 6, both protection and growth strategies within LDI of DB PF entail a greater usage of derivatives, particularly foreign </w:t>
      </w:r>
      <w:r w:rsidR="001A4ABE" w:rsidRPr="004B4934">
        <w:lastRenderedPageBreak/>
        <w:t xml:space="preserve">exchange derivatives and interest rate swaps, as well as leverage through repos. These require collateral and daily margins requirements, thus generating unpredictable and time-critical liquidity needs for PF beyond their standard pension payments </w:t>
      </w:r>
      <w:r w:rsidR="001A4ABE" w:rsidRPr="004B4934">
        <w:fldChar w:fldCharType="begin"/>
      </w:r>
      <w:r w:rsidR="00E461FE">
        <w:instrText xml:space="preserve"> ADDIN ZOTERO_ITEM CSL_CITATION {"citationID":"KdBAHrnN","properties":{"formattedCitation":"(Broeders {\\i{}et al.} 2021)","plainCitation":"(Broeders et al. 2021)","noteIndex":0},"citationItems":[{"id":1493,"uris":["http://zotero.org/users/5165859/items/LYHYJ2XR"],"itemData":{"id":1493,"type":"article-journal","abstract":"Defined benefit pension funds invest in illiquid asset classes for return, diversification or liability hedging reasons. So far, little is known about factors influencing how much they invest in illiquid assets. We conjecture that liquidity and capital requirements are pivotal in this decision. Short-term pension payments and margining on derivative contracts generate liquidity requirements, while regulations impose capital requirements. Consistent with our model we empirically find that these requirements create a hump-shaped impact of liability duration on the fraction of risky assets invested in illiquid assets. Further, we report that pension fund size, type, and funding ratio impact illiquid assets allocations.","container-title":"Journal of Pension Economics &amp; Finance","DOI":"10.1017/S1474747219000398","ISSN":"1474-7472, 1475-3022","issue":"1","language":"en","note":"publisher: Cambridge University Press","page":"102-124","source":"Cambridge University Press","title":"Pension fund's illiquid assets allocation under liquidity and capital requirements","volume":"20","author":[{"family":"Broeders","given":"Dirk W. G. A."},{"family":"Jansen","given":"Kristy A. E."},{"family":"Werker","given":"Bas J. M."}],"issued":{"date-parts":[["2021",1]]}}}],"schema":"https://github.com/citation-style-language/schema/raw/master/csl-citation.json"} </w:instrText>
      </w:r>
      <w:r w:rsidR="001A4ABE" w:rsidRPr="004B4934">
        <w:fldChar w:fldCharType="separate"/>
      </w:r>
      <w:r w:rsidR="001A4ABE" w:rsidRPr="004B4934">
        <w:t xml:space="preserve">(Broeders </w:t>
      </w:r>
      <w:r w:rsidR="001A4ABE" w:rsidRPr="004B4934">
        <w:rPr>
          <w:i/>
          <w:iCs/>
        </w:rPr>
        <w:t>et al.</w:t>
      </w:r>
      <w:r w:rsidR="001A4ABE" w:rsidRPr="004B4934">
        <w:t xml:space="preserve"> 2021)</w:t>
      </w:r>
      <w:r w:rsidR="001A4ABE" w:rsidRPr="004B4934">
        <w:fldChar w:fldCharType="end"/>
      </w:r>
      <w:r w:rsidR="001A4ABE" w:rsidRPr="004B4934">
        <w:t xml:space="preserve">. </w:t>
      </w:r>
    </w:p>
    <w:p w14:paraId="12D08351" w14:textId="2A1700FB" w:rsidR="009618E8" w:rsidRPr="004B4934" w:rsidRDefault="001A4ABE" w:rsidP="009618E8">
      <w:pPr>
        <w:pStyle w:val="Newparagraph"/>
      </w:pPr>
      <w:r w:rsidRPr="004B4934">
        <w:t xml:space="preserve">These liquidity considerations also apply to DC PF, which use derivatives extensively, especially in the context of increasing portfolio internationalisation </w:t>
      </w:r>
      <w:r w:rsidRPr="004B4934">
        <w:fldChar w:fldCharType="begin"/>
      </w:r>
      <w:r w:rsidR="00E461FE">
        <w:instrText xml:space="preserve"> ADDIN ZOTERO_ITEM CSL_CITATION {"citationID":"RADUTjxN","properties":{"formattedCitation":"(Pension Policy Institute 2021)","plainCitation":"(Pension Policy Institute 2021)","noteIndex":0},"citationItems":[{"id":1496,"uris":["http://zotero.org/users/5165859/items/IVAXZTUL"],"itemData":{"id":1496,"type":"report","language":"English","note":"OCLC: 1253561578","publisher":"Pension Policy Institute","source":"Open WorldCat","title":"How do UK pension schemes approach investment into overseas assets?.","title-short":"How do UK pension schemes approach investment into overseas assets?","author":[{"family":"Pension Policy Institute","given":""}],"issued":{"date-parts":[["2021"]]}}}],"schema":"https://github.com/citation-style-language/schema/raw/master/csl-citation.json"} </w:instrText>
      </w:r>
      <w:r w:rsidRPr="004B4934">
        <w:fldChar w:fldCharType="separate"/>
      </w:r>
      <w:r w:rsidRPr="004B4934">
        <w:t>(Pension Policy Institute 2021)</w:t>
      </w:r>
      <w:r w:rsidRPr="004B4934">
        <w:fldChar w:fldCharType="end"/>
      </w:r>
      <w:r w:rsidRPr="004B4934">
        <w:t xml:space="preserve">. Furthermore, DC schemes have specific incentives to maintain a portfolio of liquid assets. Their key objective is to keep costs low and allow flexibility – increased by the so-called “pension freedoms” which allow DC PF  to withdraw their funds entirely by 55 - and a degree of transparency to members </w:t>
      </w:r>
      <w:r w:rsidRPr="004B4934">
        <w:fldChar w:fldCharType="begin"/>
      </w:r>
      <w:r w:rsidR="00E461FE">
        <w:instrText xml:space="preserve"> ADDIN ZOTERO_ITEM CSL_CITATION {"citationID":"Mi5RvcUR","properties":{"formattedCitation":"(Berry 2021)","plainCitation":"(Berry 2021)","noteIndex":0},"citationItems":[{"id":8,"uris":["http://zotero.org/users/5165859/items/TD6XQ6WE"],"itemData":{"id":8,"type":"book","abstract":"Private pensions provision in the UK is in crisis, yet it is not the crisis often depicted in political and popular discourses. While population ageing has affected traditional pensions practice, the imperilment of UK pensions is due in fact to the peculiar way policy-makers have responded to wider social and economic change. Pensions are a mechanism for managing failed futures, yet this function is being impeded by the individualization of provision. This book offers a political economy perspective on the development of private pensions, focusing specifically on how policy elites have sought to respond to perceived crises of demographic change, under-saving, and fund deficits, and in doing so have absorbed imperatives to subject individuals to a market-led regime under the influence of neoliberal ideology. This terrain is explored through chapters on the historical and comparative context of UK pensions provision, the demise of collectivist provision, the rise of pensions individualization and the state's role as facilitator and regulator in this regard, and the financial and economic context in which pensions provision operates. By placing the UK system in a comparative context of pensions reform agendas across the world, this book offers an original understanding of the unique temporality and materiality of pensions provision as a set of mechanisms for coping with generational change and forecast failures in capitalist economies. It also presents a nuanced account of the extent to which the state acts to anchor the process of pensions rematerialization and, crucially, concludes by outlining a coherent and radical programme of progressive pensions reform.","event-place":"Oxford, New York","ISBN":"978-0-19-878283-4","number-of-pages":"352","publisher":"Oxford University Press","publisher-place":"Oxford, New York","source":"Oxford University Press","title":"Pensions Imperilled: The Political Economy of Private Pensions Provision in the UK","title-short":"Pensions Imperilled","author":[{"family":"Berry","given":"Craig"}],"issued":{"date-parts":[["2021"]]}}}],"schema":"https://github.com/citation-style-language/schema/raw/master/csl-citation.json"} </w:instrText>
      </w:r>
      <w:r w:rsidRPr="004B4934">
        <w:fldChar w:fldCharType="separate"/>
      </w:r>
      <w:r w:rsidRPr="004B4934">
        <w:t>(Berry 2021)</w:t>
      </w:r>
      <w:r w:rsidRPr="004B4934">
        <w:fldChar w:fldCharType="end"/>
      </w:r>
      <w:r w:rsidRPr="004B4934">
        <w:t xml:space="preserve">. Liquidity and daily pricing are paramount for DC PF to ensure that their “liabilities” are constantly marked-to-market in line with the market value of assets, and quick and “low-cost” changes in asset allocation can be – in principle – made by individual pension savers. </w:t>
      </w:r>
      <w:r w:rsidR="0011457F" w:rsidRPr="004B4934">
        <w:t>This suggests that, w</w:t>
      </w:r>
      <w:r w:rsidR="009618E8" w:rsidRPr="004B4934">
        <w:t xml:space="preserve">hile the impact of DC PF in terms of total pension assets in the UK is still limited, their rise might further boost the need for liquidity management practices and short-term nature of PF in the UK. This trend is therefore set to continue, as UK pension policy has moved to </w:t>
      </w:r>
      <w:r w:rsidR="0011457F" w:rsidRPr="004B4934">
        <w:t>boost and entrench</w:t>
      </w:r>
      <w:r w:rsidR="009618E8" w:rsidRPr="004B4934">
        <w:t xml:space="preserve"> individualised DC pensions, and with that the inherent constraints in their investment strategies. </w:t>
      </w:r>
    </w:p>
    <w:p w14:paraId="2E13524D" w14:textId="5BE0DB26" w:rsidR="00C443D3" w:rsidRPr="004B4934" w:rsidRDefault="00D12808" w:rsidP="00C34896">
      <w:pPr>
        <w:pStyle w:val="Newparagraph"/>
      </w:pPr>
      <w:r w:rsidRPr="004B4934">
        <w:t>Secondly, liquidity management in an increasingly market-based financial context helps explaining</w:t>
      </w:r>
      <w:r w:rsidR="009618E8" w:rsidRPr="004B4934">
        <w:t xml:space="preserve"> </w:t>
      </w:r>
      <w:r w:rsidRPr="004B4934">
        <w:t>UK PF changing asset allocation.</w:t>
      </w:r>
      <w:r w:rsidR="00C443D3" w:rsidRPr="004B4934">
        <w:t xml:space="preserve"> </w:t>
      </w:r>
      <w:r w:rsidRPr="004B4934">
        <w:t>T</w:t>
      </w:r>
      <w:r w:rsidR="00C443D3" w:rsidRPr="004B4934">
        <w:t>he greater importance of gilts</w:t>
      </w:r>
      <w:r w:rsidR="00F269DC" w:rsidRPr="004B4934">
        <w:t xml:space="preserve"> for P</w:t>
      </w:r>
      <w:r w:rsidR="522A0DA4" w:rsidRPr="004B4934">
        <w:t>F</w:t>
      </w:r>
      <w:r w:rsidR="00F269DC" w:rsidRPr="004B4934">
        <w:t xml:space="preserve"> is not just </w:t>
      </w:r>
      <w:r w:rsidRPr="004B4934">
        <w:t>important</w:t>
      </w:r>
      <w:r w:rsidR="00F269DC" w:rsidRPr="004B4934">
        <w:t xml:space="preserve"> </w:t>
      </w:r>
      <w:r w:rsidRPr="004B4934">
        <w:t>for LDI protection strategies</w:t>
      </w:r>
      <w:r w:rsidR="001A4ABE" w:rsidRPr="004B4934">
        <w:t>.</w:t>
      </w:r>
      <w:r w:rsidR="00C443D3" w:rsidRPr="004B4934">
        <w:t xml:space="preserve"> Holding gilt reserves is necessary in modern UK financial markets, as they </w:t>
      </w:r>
      <w:proofErr w:type="gramStart"/>
      <w:r w:rsidR="00C443D3" w:rsidRPr="004B4934">
        <w:t>provide access to liquidity at all times</w:t>
      </w:r>
      <w:proofErr w:type="gramEnd"/>
      <w:r w:rsidR="00C443D3" w:rsidRPr="004B4934">
        <w:t>.</w:t>
      </w:r>
      <w:r w:rsidR="00B23D13" w:rsidRPr="004B4934">
        <w:t xml:space="preserve"> Gilts ensure access to liquidity because they promise predictable and safe cashflows, ease of sale, </w:t>
      </w:r>
      <w:r w:rsidR="00B23D13" w:rsidRPr="004B4934">
        <w:rPr>
          <w:i/>
          <w:iCs/>
        </w:rPr>
        <w:t>and</w:t>
      </w:r>
      <w:r w:rsidR="00B23D13" w:rsidRPr="004B4934">
        <w:t xml:space="preserve"> – crucially – they work as collateral for repo positions, and</w:t>
      </w:r>
      <w:r w:rsidR="00F66C4A" w:rsidRPr="004B4934">
        <w:t xml:space="preserve"> </w:t>
      </w:r>
      <w:r w:rsidR="00F66C4A" w:rsidRPr="004B4934">
        <w:lastRenderedPageBreak/>
        <w:t>so</w:t>
      </w:r>
      <w:r w:rsidR="00B23D13" w:rsidRPr="004B4934">
        <w:t xml:space="preserve"> maintain their value during a crisis. The shift towards gilts and protection assets in LDI strategies therefore </w:t>
      </w:r>
      <w:r w:rsidR="000720C1" w:rsidRPr="004B4934">
        <w:t xml:space="preserve">must be </w:t>
      </w:r>
      <w:r w:rsidR="00B23D13" w:rsidRPr="004B4934">
        <w:t xml:space="preserve">understood not only as a response to regulatory updates and the influence of the financial industry, but a way to manage liquidity needs in a market-based system.  In the words of a Director of Redington, a UK pension investment consultancy, protection assets are  “a big pool of collateral and therefore liquidity… a pool of gilts that you can ultimately redeem and therefore satisfy an extra cashflow” </w:t>
      </w:r>
      <w:r w:rsidR="0035438A" w:rsidRPr="004B4934">
        <w:fldChar w:fldCharType="begin"/>
      </w:r>
      <w:r w:rsidR="00E461FE">
        <w:instrText xml:space="preserve"> ADDIN ZOTERO_ITEM CSL_CITATION {"citationID":"8SuDG70f","properties":{"formattedCitation":"(Portfolio Institutional 2019)","plainCitation":"(Portfolio Institutional 2019)","noteIndex":0},"citationItems":[{"id":1504,"uris":["http://zotero.org/users/5165859/items/ZE3MMPX2"],"itemData":{"id":1504,"type":"speech","event-title":"Portfolio Institutional Roundtable","title":"Cashflow-Driven Investment","author":[{"family":"Portfolio Institutional","given":""}],"issued":{"date-parts":[["2019",3]]}}}],"schema":"https://github.com/citation-style-language/schema/raw/master/csl-citation.json"} </w:instrText>
      </w:r>
      <w:r w:rsidR="0035438A" w:rsidRPr="004B4934">
        <w:fldChar w:fldCharType="separate"/>
      </w:r>
      <w:r w:rsidR="00B23D13" w:rsidRPr="004B4934">
        <w:t>(Portfolio Institutional 2019)</w:t>
      </w:r>
      <w:r w:rsidR="0035438A" w:rsidRPr="004B4934">
        <w:fldChar w:fldCharType="end"/>
      </w:r>
      <w:r w:rsidR="00B23D13" w:rsidRPr="004B4934">
        <w:t>.</w:t>
      </w:r>
    </w:p>
    <w:p w14:paraId="61931A00" w14:textId="284B408A" w:rsidR="008F3BE0" w:rsidRPr="004B4934" w:rsidRDefault="006859F7" w:rsidP="00D24DA0">
      <w:pPr>
        <w:pStyle w:val="Newparagraph"/>
      </w:pPr>
      <w:r w:rsidRPr="004B4934">
        <w:t xml:space="preserve">In addition to holding gilts, PF manage their funding liquidity by </w:t>
      </w:r>
      <w:r w:rsidR="00A0473E" w:rsidRPr="004B4934">
        <w:t>using</w:t>
      </w:r>
      <w:r w:rsidRPr="004B4934">
        <w:t xml:space="preserve"> collectively managed funds. </w:t>
      </w:r>
      <w:r w:rsidR="00A7517F" w:rsidRPr="004B4934">
        <w:t>Pooled funds</w:t>
      </w:r>
      <w:r w:rsidRPr="004B4934">
        <w:t xml:space="preserve"> can enhance the liquidity of their investments by relying on the additional layer of liquidity provided by asset managers. Asset managers hold cash in order to allow investors the possibility to buy or redeem shares from the fund</w:t>
      </w:r>
      <w:r w:rsidR="00BA091A" w:rsidRPr="004B4934">
        <w:t>, which is a simpler operation than</w:t>
      </w:r>
      <w:r w:rsidR="00C34896" w:rsidRPr="004B4934">
        <w:t xml:space="preserve"> buying or selling financial assets directly</w:t>
      </w:r>
      <w:r w:rsidRPr="004B4934">
        <w:t xml:space="preserve"> </w:t>
      </w:r>
      <w:r w:rsidRPr="004B4934">
        <w:fldChar w:fldCharType="begin"/>
      </w:r>
      <w:r w:rsidR="00E461FE">
        <w:instrText xml:space="preserve"> ADDIN ZOTERO_ITEM CSL_CITATION {"citationID":"o6ACKI0H","properties":{"formattedCitation":"(Chernenko and Sunderam 2016)","plainCitation":"(Chernenko and Sunderam 2016)","noteIndex":0},"citationItems":[{"id":74,"uris":["http://zotero.org/users/5165859/items/BYT9RFAI"],"itemData":{"id":74,"type":"report","abstract":"Founded in 1920, the NBER is a private, non-profit, non-partisan organization dedicated to conducting economic research and to disseminating research findings among academics, public policy makers, and business professionals.","language":"en","note":"DOI: 10.3386/w22391","number":"w22391","publisher":"National Bureau of Economic Research","source":"www.nber.org","title":"Liquidity Transformation in Asset Management: Evidence from the Cash Holdings of Mutual Funds","title-short":"Liquidity Transformation in Asset Management","URL":"https://www.nber.org/papers/w22391","author":[{"family":"Chernenko","given":"Sergey"},{"family":"Sunderam","given":"Adi"}],"accessed":{"date-parts":[["2020",10,23]]},"issued":{"date-parts":[["2016",7,11]]}}}],"schema":"https://github.com/citation-style-language/schema/raw/master/csl-citation.json"} </w:instrText>
      </w:r>
      <w:r w:rsidRPr="004B4934">
        <w:fldChar w:fldCharType="separate"/>
      </w:r>
      <w:r w:rsidRPr="004B4934">
        <w:t>(Chernenko and Sunderam 2016)</w:t>
      </w:r>
      <w:r w:rsidRPr="004B4934">
        <w:fldChar w:fldCharType="end"/>
      </w:r>
      <w:r w:rsidRPr="004B4934">
        <w:t xml:space="preserve">. Even where there are restrictions on redemptions, such as in closed-end funds like private equity, a </w:t>
      </w:r>
      <w:r w:rsidR="000F5314" w:rsidRPr="004B4934">
        <w:t xml:space="preserve">larger </w:t>
      </w:r>
      <w:r w:rsidRPr="004B4934">
        <w:t xml:space="preserve">secondary market </w:t>
      </w:r>
      <w:r w:rsidR="000F5314" w:rsidRPr="004B4934">
        <w:t xml:space="preserve">exists </w:t>
      </w:r>
      <w:r w:rsidRPr="004B4934">
        <w:t xml:space="preserve">for </w:t>
      </w:r>
      <w:r w:rsidR="000F5314" w:rsidRPr="004B4934">
        <w:t xml:space="preserve">fund </w:t>
      </w:r>
      <w:r w:rsidRPr="004B4934">
        <w:t>shares that can allow PF to dispose more easily of an investment.</w:t>
      </w:r>
    </w:p>
    <w:p w14:paraId="3DA76994" w14:textId="76CDB53F" w:rsidR="00C656CB" w:rsidRPr="004B4934" w:rsidRDefault="004D4722" w:rsidP="00953CDB">
      <w:pPr>
        <w:pStyle w:val="Newparagraph"/>
      </w:pPr>
      <w:r w:rsidRPr="004B4934">
        <w:t>It</w:t>
      </w:r>
      <w:r w:rsidR="002961B5" w:rsidRPr="004B4934">
        <w:t xml:space="preserve"> is therefore possible to claim that the </w:t>
      </w:r>
      <w:r w:rsidR="00D12808" w:rsidRPr="004B4934">
        <w:t xml:space="preserve">growing importance of liquidity management and </w:t>
      </w:r>
      <w:r w:rsidRPr="004B4934">
        <w:t xml:space="preserve">the </w:t>
      </w:r>
      <w:r w:rsidR="002961B5" w:rsidRPr="004B4934">
        <w:t xml:space="preserve">shift in the asset allocation of UK PF </w:t>
      </w:r>
      <w:r w:rsidR="001D3B26" w:rsidRPr="004B4934">
        <w:t>to</w:t>
      </w:r>
      <w:r w:rsidR="00423623" w:rsidRPr="004B4934">
        <w:t>wards</w:t>
      </w:r>
      <w:r w:rsidR="001D3B26" w:rsidRPr="004B4934">
        <w:t xml:space="preserve"> </w:t>
      </w:r>
      <w:r w:rsidR="00FF5A38" w:rsidRPr="004B4934">
        <w:t>safe assets and pooled funds</w:t>
      </w:r>
      <w:r w:rsidR="001D3B26" w:rsidRPr="004B4934">
        <w:t xml:space="preserve"> </w:t>
      </w:r>
      <w:r w:rsidR="002961B5" w:rsidRPr="004B4934">
        <w:t xml:space="preserve">can be </w:t>
      </w:r>
      <w:r w:rsidR="00D12808" w:rsidRPr="004B4934">
        <w:t xml:space="preserve">at least in part be explained by </w:t>
      </w:r>
      <w:r w:rsidRPr="004B4934">
        <w:t>t</w:t>
      </w:r>
      <w:r w:rsidR="002961B5" w:rsidRPr="004B4934">
        <w:t xml:space="preserve">he </w:t>
      </w:r>
      <w:r w:rsidRPr="004B4934">
        <w:t>rise of market-based finance in the UK.</w:t>
      </w:r>
      <w:r w:rsidR="001D3B26" w:rsidRPr="004B4934">
        <w:t xml:space="preserve"> </w:t>
      </w:r>
      <w:r w:rsidRPr="004B4934">
        <w:t xml:space="preserve">The segmentation of financial markets </w:t>
      </w:r>
      <w:r w:rsidR="002961B5" w:rsidRPr="004B4934">
        <w:t xml:space="preserve">and the collateral-liquidity nexus of modern market-based finance – at the backdrop of a lack of willingness by sponsors to provide liquidity (cash) when needed and the shift to DC pensions </w:t>
      </w:r>
      <w:r w:rsidR="001F2D76" w:rsidRPr="004B4934">
        <w:t>– have</w:t>
      </w:r>
      <w:r w:rsidR="002961B5" w:rsidRPr="004B4934">
        <w:t xml:space="preserve"> led to a greater attention towards</w:t>
      </w:r>
      <w:r w:rsidR="00290A0B" w:rsidRPr="004B4934">
        <w:t xml:space="preserve"> </w:t>
      </w:r>
      <w:r w:rsidR="008A461E" w:rsidRPr="004B4934">
        <w:t xml:space="preserve">short-term </w:t>
      </w:r>
      <w:r w:rsidR="002961B5" w:rsidRPr="004B4934">
        <w:t>liquidity</w:t>
      </w:r>
      <w:r w:rsidR="00A915D5" w:rsidRPr="004B4934">
        <w:t xml:space="preserve"> </w:t>
      </w:r>
      <w:r w:rsidR="008A461E" w:rsidRPr="004B4934">
        <w:t>management</w:t>
      </w:r>
      <w:r w:rsidR="00751DC3" w:rsidRPr="004B4934">
        <w:t>.</w:t>
      </w:r>
      <w:r w:rsidR="001D3B26" w:rsidRPr="004B4934">
        <w:t xml:space="preserve"> </w:t>
      </w:r>
      <w:r w:rsidR="008D6337" w:rsidRPr="004B4934">
        <w:t xml:space="preserve">Nevertheless, </w:t>
      </w:r>
      <w:r w:rsidR="002E29A6" w:rsidRPr="004B4934">
        <w:t>the new collateralised financial structures</w:t>
      </w:r>
      <w:r w:rsidRPr="004B4934">
        <w:t xml:space="preserve"> </w:t>
      </w:r>
      <w:r w:rsidR="00284FD0" w:rsidRPr="004B4934">
        <w:t xml:space="preserve">that PF are embedded in, </w:t>
      </w:r>
      <w:r w:rsidRPr="004B4934">
        <w:t xml:space="preserve">can generate </w:t>
      </w:r>
      <w:r w:rsidR="008D6337" w:rsidRPr="004B4934">
        <w:t>liquidity pressures</w:t>
      </w:r>
      <w:r w:rsidRPr="004B4934">
        <w:t xml:space="preserve"> that can</w:t>
      </w:r>
      <w:r w:rsidR="008D6337" w:rsidRPr="004B4934">
        <w:t xml:space="preserve"> force</w:t>
      </w:r>
      <w:r w:rsidR="006439C3" w:rsidRPr="004B4934">
        <w:t xml:space="preserve"> </w:t>
      </w:r>
      <w:r w:rsidR="00560756" w:rsidRPr="004B4934">
        <w:t>pension funds</w:t>
      </w:r>
      <w:r w:rsidR="008D6337" w:rsidRPr="004B4934">
        <w:t xml:space="preserve"> t</w:t>
      </w:r>
      <w:r w:rsidR="00560756" w:rsidRPr="004B4934">
        <w:t>o</w:t>
      </w:r>
      <w:r w:rsidR="00F72963" w:rsidRPr="004B4934">
        <w:t xml:space="preserve"> act impatiently, by disposing long-term assets to face </w:t>
      </w:r>
      <w:r w:rsidR="00F960E0" w:rsidRPr="004B4934">
        <w:t>margin calls</w:t>
      </w:r>
      <w:r w:rsidR="00386E67" w:rsidRPr="004B4934">
        <w:t>.</w:t>
      </w:r>
    </w:p>
    <w:p w14:paraId="0B489635" w14:textId="4AE492FB" w:rsidR="00C35536" w:rsidRPr="004B4934" w:rsidRDefault="00ED1AB4" w:rsidP="00953CDB">
      <w:pPr>
        <w:pStyle w:val="Newparagraph"/>
      </w:pPr>
      <w:r w:rsidRPr="004B4934">
        <w:lastRenderedPageBreak/>
        <w:t>Out of all this, the</w:t>
      </w:r>
      <w:r w:rsidR="002D5CE7" w:rsidRPr="004B4934">
        <w:t xml:space="preserve"> </w:t>
      </w:r>
      <w:r w:rsidR="0051008F" w:rsidRPr="004B4934">
        <w:t xml:space="preserve">UK </w:t>
      </w:r>
      <w:r w:rsidRPr="004B4934">
        <w:t>asset manager industry</w:t>
      </w:r>
      <w:r w:rsidR="00F960E0" w:rsidRPr="004B4934">
        <w:t xml:space="preserve"> stands a clear beneficiary, as t</w:t>
      </w:r>
      <w:r w:rsidRPr="004B4934">
        <w:t xml:space="preserve">hey intermediate an increasing proportion of PF </w:t>
      </w:r>
      <w:r w:rsidR="00C70DFE" w:rsidRPr="004B4934">
        <w:t>assets</w:t>
      </w:r>
      <w:r w:rsidR="00124F70" w:rsidRPr="004B4934">
        <w:t xml:space="preserve">. </w:t>
      </w:r>
      <w:r w:rsidR="005D5182" w:rsidRPr="004B4934">
        <w:t>PF are the</w:t>
      </w:r>
      <w:r w:rsidR="00D266AF" w:rsidRPr="004B4934">
        <w:t xml:space="preserve"> largest client group of UK asset managers, and have grown significantly over the past decade driven by the fast growth of LDI funds and DC schemes </w:t>
      </w:r>
      <w:r w:rsidR="00D266AF" w:rsidRPr="004B4934">
        <w:fldChar w:fldCharType="begin"/>
      </w:r>
      <w:r w:rsidR="00E461FE">
        <w:instrText xml:space="preserve"> ADDIN ZOTERO_ITEM CSL_CITATION {"citationID":"7N3Bo2YD","properties":{"formattedCitation":"(Investment Association 2020)","plainCitation":"(Investment Association 2020)","noteIndex":0},"citationItems":[{"id":67,"uris":["http://zotero.org/users/5165859/items/I8FVFYKS"],"itemData":{"id":67,"type":"report","genre":"Annual Survey","publisher":"The Investment Association","title":"Investment management in the UK 2019-2020","author":[{"family":"Investment Association","given":""}],"issued":{"date-parts":[["2020"]]}}}],"schema":"https://github.com/citation-style-language/schema/raw/master/csl-citation.json"} </w:instrText>
      </w:r>
      <w:r w:rsidR="00D266AF" w:rsidRPr="004B4934">
        <w:fldChar w:fldCharType="separate"/>
      </w:r>
      <w:r w:rsidR="00D266AF" w:rsidRPr="004B4934">
        <w:t>(Investment Association 2020)</w:t>
      </w:r>
      <w:r w:rsidR="00D266AF" w:rsidRPr="004B4934">
        <w:fldChar w:fldCharType="end"/>
      </w:r>
      <w:r w:rsidR="00D266AF" w:rsidRPr="004B4934">
        <w:t>.</w:t>
      </w:r>
      <w:r w:rsidR="0071584E">
        <w:t xml:space="preserve"> </w:t>
      </w:r>
      <w:r w:rsidR="0071584E">
        <w:rPr>
          <w:color w:val="FF0000"/>
        </w:rPr>
        <w:t>This includes some of the largest global asset managers, such as Blackrock</w:t>
      </w:r>
      <w:r w:rsidR="00CF070D">
        <w:rPr>
          <w:color w:val="FF0000"/>
        </w:rPr>
        <w:t xml:space="preserve"> and Legal and General</w:t>
      </w:r>
      <w:r w:rsidR="0071584E">
        <w:rPr>
          <w:color w:val="FF0000"/>
        </w:rPr>
        <w:t>, but also some more specialised</w:t>
      </w:r>
      <w:r w:rsidR="00CF070D">
        <w:rPr>
          <w:color w:val="FF0000"/>
        </w:rPr>
        <w:t xml:space="preserve"> UK-based organisations such as Insight</w:t>
      </w:r>
      <w:r w:rsidR="008225DB">
        <w:rPr>
          <w:color w:val="FF0000"/>
        </w:rPr>
        <w:t xml:space="preserve"> Investment and Schroders </w:t>
      </w:r>
      <w:r w:rsidR="008225DB">
        <w:rPr>
          <w:color w:val="FF0000"/>
        </w:rPr>
        <w:fldChar w:fldCharType="begin"/>
      </w:r>
      <w:r w:rsidR="008225DB">
        <w:rPr>
          <w:color w:val="FF0000"/>
        </w:rPr>
        <w:instrText xml:space="preserve"> ADDIN ZOTERO_ITEM CSL_CITATION {"citationID":"DcWEzkxM","properties":{"formattedCitation":"(Investment Association 2020)","plainCitation":"(Investment Association 2020)","noteIndex":0},"citationItems":[{"id":67,"uris":["http://zotero.org/users/5165859/items/I8FVFYKS"],"itemData":{"id":67,"type":"report","genre":"Annual Survey","publisher":"The Investment Association","title":"Investment management in the UK 2019-2020","author":[{"family":"Investment Association","given":""}],"issued":{"date-parts":[["2020"]]}}}],"schema":"https://github.com/citation-style-language/schema/raw/master/csl-citation.json"} </w:instrText>
      </w:r>
      <w:r w:rsidR="008225DB">
        <w:rPr>
          <w:color w:val="FF0000"/>
        </w:rPr>
        <w:fldChar w:fldCharType="separate"/>
      </w:r>
      <w:r w:rsidR="008225DB" w:rsidRPr="008225DB">
        <w:t>(Investment Association 2020)</w:t>
      </w:r>
      <w:r w:rsidR="008225DB">
        <w:rPr>
          <w:color w:val="FF0000"/>
        </w:rPr>
        <w:fldChar w:fldCharType="end"/>
      </w:r>
      <w:r w:rsidR="008225DB">
        <w:rPr>
          <w:color w:val="FF0000"/>
        </w:rPr>
        <w:t>.</w:t>
      </w:r>
      <w:r w:rsidR="00124F70" w:rsidRPr="0082738A">
        <w:t xml:space="preserve"> </w:t>
      </w:r>
      <w:r w:rsidR="0051008F" w:rsidRPr="004B4934">
        <w:t xml:space="preserve">As we will show in the next section 5, this is also visible on PF balance sheets, as a dominant and growing proportion of their assets </w:t>
      </w:r>
      <w:r w:rsidR="00B055E1" w:rsidRPr="004B4934">
        <w:t>are invested into pooled funds.</w:t>
      </w:r>
    </w:p>
    <w:p w14:paraId="680A5555" w14:textId="571900FF" w:rsidR="00E358D9" w:rsidRPr="004B4934" w:rsidRDefault="0090749E" w:rsidP="00EE65BE">
      <w:pPr>
        <w:pStyle w:val="Newparagraph"/>
      </w:pPr>
      <w:r w:rsidRPr="004B4934">
        <w:t xml:space="preserve">The next two sections will provide more empirical detail about these transformations in UK PF balance sheets in the context of an increasingly financialised </w:t>
      </w:r>
      <w:r w:rsidR="00B1063B" w:rsidRPr="004B4934">
        <w:t>system</w:t>
      </w:r>
      <w:r w:rsidR="00956482" w:rsidRPr="004B4934">
        <w:t>. Whereas section 5 presents empirical evidence about the new</w:t>
      </w:r>
      <w:r w:rsidR="00AB2C6E" w:rsidRPr="004B4934">
        <w:t xml:space="preserve"> liquid</w:t>
      </w:r>
      <w:r w:rsidR="00B76730" w:rsidRPr="004B4934">
        <w:t xml:space="preserve"> </w:t>
      </w:r>
      <w:r w:rsidR="00956482" w:rsidRPr="004B4934">
        <w:t>asset classes that UK PF have been investing in over the past two decades, section 6 focuses</w:t>
      </w:r>
      <w:r w:rsidR="00AB2C6E" w:rsidRPr="004B4934">
        <w:t xml:space="preserve"> on the reasons for PFs’ increased liquidity needs, that is the increasing use of</w:t>
      </w:r>
      <w:r w:rsidR="00956482" w:rsidRPr="004B4934">
        <w:t xml:space="preserve"> repo and derivative strategies and their implication for systemic financial instability.</w:t>
      </w:r>
    </w:p>
    <w:p w14:paraId="3B1DEB66" w14:textId="238F4D3E" w:rsidR="00E358D9" w:rsidRPr="004B4934" w:rsidRDefault="00BA0B6A" w:rsidP="00EE65BE">
      <w:pPr>
        <w:pStyle w:val="Heading1"/>
        <w:numPr>
          <w:ilvl w:val="0"/>
          <w:numId w:val="32"/>
        </w:numPr>
      </w:pPr>
      <w:r w:rsidRPr="004B4934">
        <w:t>PF between returns and liquidity:</w:t>
      </w:r>
      <w:r w:rsidR="00E358D9" w:rsidRPr="004B4934">
        <w:t xml:space="preserve"> </w:t>
      </w:r>
      <w:r w:rsidR="007F2B63" w:rsidRPr="004B4934">
        <w:t>Gilts and Asset Managers</w:t>
      </w:r>
    </w:p>
    <w:p w14:paraId="2D98ED6A" w14:textId="601735FE" w:rsidR="00D049F0" w:rsidRPr="004B4934" w:rsidRDefault="00D049F0" w:rsidP="00E358D9">
      <w:pPr>
        <w:pStyle w:val="Newparagraph"/>
      </w:pPr>
      <w:r w:rsidRPr="004B4934">
        <w:t>The dramatic changes</w:t>
      </w:r>
      <w:r w:rsidR="003635C4" w:rsidRPr="004B4934">
        <w:t xml:space="preserve"> in UK PF asset allocation over the past twenty years are </w:t>
      </w:r>
      <w:r w:rsidR="00C10243" w:rsidRPr="004B4934">
        <w:t xml:space="preserve">shown in Figure </w:t>
      </w:r>
      <w:r w:rsidR="003B6801" w:rsidRPr="004B4934">
        <w:t>3</w:t>
      </w:r>
      <w:r w:rsidR="007678E3" w:rsidRPr="004B4934">
        <w:rPr>
          <w:rStyle w:val="EndnoteReference"/>
        </w:rPr>
        <w:endnoteReference w:id="9"/>
      </w:r>
      <w:r w:rsidR="00C10243" w:rsidRPr="004B4934">
        <w:t xml:space="preserve">. </w:t>
      </w:r>
    </w:p>
    <w:p w14:paraId="2BB5910D" w14:textId="2D660986" w:rsidR="00915AC6" w:rsidRPr="004B4934" w:rsidRDefault="00915AC6" w:rsidP="002767D1">
      <w:pPr>
        <w:pStyle w:val="Figurecaption"/>
      </w:pPr>
      <w:r w:rsidRPr="004B4934">
        <w:t xml:space="preserve">Figure </w:t>
      </w:r>
      <w:r w:rsidR="003B6801" w:rsidRPr="004B4934">
        <w:t>3</w:t>
      </w:r>
      <w:r w:rsidR="00D37C45" w:rsidRPr="004B4934">
        <w:t xml:space="preserve">. </w:t>
      </w:r>
      <w:r w:rsidR="003635C4" w:rsidRPr="004B4934">
        <w:t xml:space="preserve">UK </w:t>
      </w:r>
      <w:r w:rsidR="00D37C45" w:rsidRPr="004B4934">
        <w:t>PF asset allocation</w:t>
      </w:r>
    </w:p>
    <w:p w14:paraId="49E3A60A" w14:textId="14C0CEA9" w:rsidR="00565B8D" w:rsidRPr="004B4934" w:rsidRDefault="008F7043" w:rsidP="00B75ED6">
      <w:pPr>
        <w:pStyle w:val="Figurecaption"/>
      </w:pPr>
      <w:r>
        <w:rPr>
          <w:noProof/>
        </w:rPr>
        <w:lastRenderedPageBreak/>
        <w:drawing>
          <wp:inline distT="0" distB="0" distL="0" distR="0" wp14:anchorId="43C4F359" wp14:editId="75B881E2">
            <wp:extent cx="4751070" cy="3901440"/>
            <wp:effectExtent l="0" t="0" r="11430" b="3810"/>
            <wp:docPr id="1" name="Chart 1">
              <a:extLst xmlns:a="http://schemas.openxmlformats.org/drawingml/2006/main">
                <a:ext uri="{FF2B5EF4-FFF2-40B4-BE49-F238E27FC236}">
                  <a16:creationId xmlns:a16="http://schemas.microsoft.com/office/drawing/2014/main" id="{FD9B944A-ED94-4F26-9F27-67AC2F4774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0B1647A" w14:textId="113B1ABF" w:rsidR="00FE267D" w:rsidRPr="004B4934" w:rsidRDefault="0078272F" w:rsidP="0078272F">
      <w:pPr>
        <w:pStyle w:val="Figurecaption"/>
      </w:pPr>
      <w:r w:rsidRPr="004B4934">
        <w:t xml:space="preserve">Source: </w:t>
      </w:r>
      <w:r w:rsidR="00496D17" w:rsidRPr="004B4934">
        <w:t>author’s elaboration based on</w:t>
      </w:r>
      <w:r w:rsidR="00E6721F" w:rsidRPr="004B4934">
        <w:t xml:space="preserve"> </w:t>
      </w:r>
      <w:r w:rsidR="007029DE" w:rsidRPr="004B4934">
        <w:fldChar w:fldCharType="begin"/>
      </w:r>
      <w:r w:rsidR="00E461FE">
        <w:instrText xml:space="preserve"> ADDIN ZOTERO_ITEM CSL_CITATION {"citationID":"9ltpR37i","properties":{"formattedCitation":"(ONS 2019)","plainCitation":"(ONS 2019)","dontUpdate":true,"noteIndex":0},"citationItems":[{"id":68,"uris":["http://zotero.org/users/5165859/items/RTMSMVKI"],"itemData":{"id":68,"type":"report","publisher":"Office for National Statistics","title":"MQ5: Investment by insurance companies, pension funds and trusts, October to December 2018","author":[{"family":"ONS","given":""}],"issued":{"date-parts":[["2019"]]}}}],"schema":"https://github.com/citation-style-language/schema/raw/master/csl-citation.json"} </w:instrText>
      </w:r>
      <w:r w:rsidR="007029DE" w:rsidRPr="004B4934">
        <w:fldChar w:fldCharType="separate"/>
      </w:r>
      <w:r w:rsidR="00B75ED6" w:rsidRPr="004B4934">
        <w:t>ONS (2019)</w:t>
      </w:r>
      <w:r w:rsidR="007029DE" w:rsidRPr="004B4934">
        <w:fldChar w:fldCharType="end"/>
      </w:r>
      <w:r w:rsidR="00D15990">
        <w:t xml:space="preserve"> and FSPS</w:t>
      </w:r>
      <w:r w:rsidR="00B75ED6" w:rsidRPr="004B4934">
        <w:t>. Figures are</w:t>
      </w:r>
      <w:r w:rsidR="006C2219" w:rsidRPr="004B4934">
        <w:t xml:space="preserve"> expressed as percentages of total assets (</w:t>
      </w:r>
      <w:r w:rsidR="0057123B" w:rsidRPr="004B4934">
        <w:t>net</w:t>
      </w:r>
      <w:r w:rsidR="006C2219" w:rsidRPr="004B4934">
        <w:t xml:space="preserve"> of derivatives).</w:t>
      </w:r>
      <w:r w:rsidR="008921CF" w:rsidRPr="004B4934">
        <w:t xml:space="preserve"> The 2018 gap reflects a change in the survey methods by the ONS, see endnote </w:t>
      </w:r>
      <w:r w:rsidR="00E50ECA" w:rsidRPr="004B4934">
        <w:rPr>
          <w:i/>
          <w:iCs/>
        </w:rPr>
        <w:t>i</w:t>
      </w:r>
      <w:r w:rsidR="006171BF" w:rsidRPr="004B4934">
        <w:rPr>
          <w:i/>
          <w:iCs/>
        </w:rPr>
        <w:t>x</w:t>
      </w:r>
      <w:r w:rsidR="008921CF" w:rsidRPr="004B4934">
        <w:t>.</w:t>
      </w:r>
    </w:p>
    <w:p w14:paraId="1BC950C4" w14:textId="77777777" w:rsidR="008F2E00" w:rsidRPr="004B4934" w:rsidRDefault="008F2E00" w:rsidP="004C24D0">
      <w:pPr>
        <w:ind w:firstLine="720"/>
      </w:pPr>
    </w:p>
    <w:p w14:paraId="3D5819DF" w14:textId="2CF1CF8D" w:rsidR="00435E6F" w:rsidRPr="004B4934" w:rsidRDefault="003635C4" w:rsidP="002F068C">
      <w:pPr>
        <w:pStyle w:val="Newparagraph"/>
      </w:pPr>
      <w:r w:rsidRPr="004B4934">
        <w:t xml:space="preserve">One can observe the substantial decline </w:t>
      </w:r>
      <w:r w:rsidR="00814725" w:rsidRPr="004B4934">
        <w:t xml:space="preserve">in </w:t>
      </w:r>
      <w:r w:rsidR="00AB6B74" w:rsidRPr="004B4934">
        <w:t>(direct) equity holding</w:t>
      </w:r>
      <w:r w:rsidR="00D92D03" w:rsidRPr="004B4934">
        <w:t>,</w:t>
      </w:r>
      <w:r w:rsidR="00AB6B74" w:rsidRPr="004B4934">
        <w:t xml:space="preserve"> </w:t>
      </w:r>
      <w:r w:rsidR="00D92D03" w:rsidRPr="004B4934">
        <w:t xml:space="preserve">from over </w:t>
      </w:r>
      <w:r w:rsidR="003B5B1A" w:rsidRPr="004B4934">
        <w:t xml:space="preserve">50% </w:t>
      </w:r>
      <w:r w:rsidR="00D92D03" w:rsidRPr="004B4934">
        <w:t xml:space="preserve">in 2000 to </w:t>
      </w:r>
      <w:r w:rsidR="00E867BA" w:rsidRPr="004B4934">
        <w:t>under 1</w:t>
      </w:r>
      <w:r w:rsidR="00B00518" w:rsidRPr="004B4934">
        <w:t>4</w:t>
      </w:r>
      <w:r w:rsidR="00E867BA" w:rsidRPr="004B4934">
        <w:t>% in 2020</w:t>
      </w:r>
      <w:r w:rsidR="00B70D76" w:rsidRPr="004B4934">
        <w:t>. In parallel</w:t>
      </w:r>
      <w:r w:rsidR="0020412B" w:rsidRPr="004B4934">
        <w:t xml:space="preserve"> </w:t>
      </w:r>
      <w:r w:rsidR="00B70D76" w:rsidRPr="004B4934">
        <w:t xml:space="preserve">there has been a marked increase in allocations to “funds” from 10% to </w:t>
      </w:r>
      <w:r w:rsidR="00B00518" w:rsidRPr="004B4934">
        <w:t>over</w:t>
      </w:r>
      <w:r w:rsidR="00B70D76" w:rsidRPr="004B4934">
        <w:t xml:space="preserve"> 30% in 2017, with latest ONS data show that the participation had increased to more than 50% by 202</w:t>
      </w:r>
      <w:r w:rsidR="00F145F6" w:rsidRPr="004B4934">
        <w:t>0</w:t>
      </w:r>
      <w:r w:rsidR="00B70D76" w:rsidRPr="004B4934">
        <w:rPr>
          <w:rStyle w:val="EndnoteReference"/>
        </w:rPr>
        <w:endnoteReference w:id="10"/>
      </w:r>
      <w:r w:rsidR="00341E79" w:rsidRPr="004B4934">
        <w:t xml:space="preserve"> and </w:t>
      </w:r>
      <w:r w:rsidR="00433B2F" w:rsidRPr="004B4934">
        <w:t>g</w:t>
      </w:r>
      <w:r w:rsidR="004B52B2" w:rsidRPr="004B4934">
        <w:t>ilts</w:t>
      </w:r>
      <w:r w:rsidR="001F11CE" w:rsidRPr="004B4934">
        <w:t>,</w:t>
      </w:r>
      <w:r w:rsidR="00814725" w:rsidRPr="004B4934">
        <w:t xml:space="preserve"> </w:t>
      </w:r>
      <w:r w:rsidR="003B5B1A" w:rsidRPr="004B4934">
        <w:t>which</w:t>
      </w:r>
      <w:r w:rsidR="00814725" w:rsidRPr="004B4934">
        <w:t xml:space="preserve"> increased from 16% to over 2</w:t>
      </w:r>
      <w:r w:rsidR="00E50ECA" w:rsidRPr="004B4934">
        <w:t>3</w:t>
      </w:r>
      <w:r w:rsidR="00814725" w:rsidRPr="004B4934">
        <w:t>% in 20</w:t>
      </w:r>
      <w:r w:rsidR="00E50ECA" w:rsidRPr="004B4934">
        <w:t>20</w:t>
      </w:r>
      <w:r w:rsidR="006319B3" w:rsidRPr="004B4934">
        <w:rPr>
          <w:rStyle w:val="EndnoteReference"/>
        </w:rPr>
        <w:endnoteReference w:id="11"/>
      </w:r>
      <w:r w:rsidR="00433B2F" w:rsidRPr="004B4934">
        <w:t>.</w:t>
      </w:r>
      <w:r w:rsidR="007A49A6">
        <w:t xml:space="preserve"> </w:t>
      </w:r>
      <w:r w:rsidR="0034294B">
        <w:rPr>
          <w:color w:val="FF0000"/>
        </w:rPr>
        <w:t xml:space="preserve">The </w:t>
      </w:r>
      <w:r w:rsidR="00E26C24">
        <w:rPr>
          <w:color w:val="FF0000"/>
        </w:rPr>
        <w:t xml:space="preserve">structural impact of the </w:t>
      </w:r>
      <w:r w:rsidR="0034294B">
        <w:rPr>
          <w:color w:val="FF0000"/>
        </w:rPr>
        <w:t xml:space="preserve">global financial crisis </w:t>
      </w:r>
      <w:r w:rsidR="00E26C24">
        <w:rPr>
          <w:color w:val="FF0000"/>
        </w:rPr>
        <w:t>is shown by the acceleration of these trends since 2009</w:t>
      </w:r>
      <w:r w:rsidR="007D58A0">
        <w:rPr>
          <w:color w:val="FF0000"/>
        </w:rPr>
        <w:t xml:space="preserve">, </w:t>
      </w:r>
      <w:r w:rsidR="00E26C24">
        <w:rPr>
          <w:color w:val="FF0000"/>
        </w:rPr>
        <w:t xml:space="preserve">a period with </w:t>
      </w:r>
      <w:r w:rsidR="00CB69D6">
        <w:rPr>
          <w:color w:val="FF0000"/>
        </w:rPr>
        <w:t>no</w:t>
      </w:r>
      <w:r w:rsidR="007D58A0">
        <w:rPr>
          <w:color w:val="FF0000"/>
        </w:rPr>
        <w:t xml:space="preserve"> significant regulatory </w:t>
      </w:r>
      <w:r w:rsidR="00E26C24">
        <w:rPr>
          <w:color w:val="FF0000"/>
        </w:rPr>
        <w:t>change</w:t>
      </w:r>
      <w:r w:rsidR="007F57BB" w:rsidRPr="007F57BB">
        <w:rPr>
          <w:color w:val="FF0000"/>
        </w:rPr>
        <w:t xml:space="preserve">. </w:t>
      </w:r>
      <w:r w:rsidR="00435E6F" w:rsidRPr="004B4934">
        <w:t>The adoption of modern liquidity management practices, within the context of market-based finance, plays a key role in understanding these trends. This can be seen in the larger allocation to gilts, which</w:t>
      </w:r>
      <w:r w:rsidR="006D0268" w:rsidRPr="004B4934">
        <w:t>,</w:t>
      </w:r>
      <w:r w:rsidR="00435E6F" w:rsidRPr="004B4934">
        <w:t xml:space="preserve"> as discussed in section 4, provide access to immediate cash if required. But even for </w:t>
      </w:r>
      <w:r w:rsidR="002F068C" w:rsidRPr="004B4934">
        <w:t xml:space="preserve">other </w:t>
      </w:r>
      <w:r w:rsidR="00435E6F" w:rsidRPr="004B4934">
        <w:t xml:space="preserve">“growth” assets, which are </w:t>
      </w:r>
      <w:r w:rsidR="00435E6F" w:rsidRPr="004B4934">
        <w:lastRenderedPageBreak/>
        <w:t xml:space="preserve">primarily aimed at increasing returns, liquidity considerations </w:t>
      </w:r>
      <w:r w:rsidR="006D0268" w:rsidRPr="004B4934">
        <w:t>have become mor</w:t>
      </w:r>
      <w:r w:rsidR="00435E6F" w:rsidRPr="004B4934">
        <w:t xml:space="preserve">e important. This is clear when looking at three key trends. </w:t>
      </w:r>
    </w:p>
    <w:p w14:paraId="43FAF962" w14:textId="1AD1D5C6" w:rsidR="002F068C" w:rsidRPr="004B4934" w:rsidRDefault="002F068C" w:rsidP="002F068C">
      <w:pPr>
        <w:pStyle w:val="Newparagraph"/>
      </w:pPr>
      <w:r w:rsidRPr="004B4934">
        <w:t>First, as also mentioned in section 4</w:t>
      </w:r>
      <w:r w:rsidR="00C671B2" w:rsidRPr="004B4934">
        <w:t xml:space="preserve"> and shown in Figure 3</w:t>
      </w:r>
      <w:r w:rsidRPr="004B4934">
        <w:t>, is the growth of “alternative assets”, through pooled funds.</w:t>
      </w:r>
      <w:r w:rsidR="005D7802" w:rsidRPr="004B4934">
        <w:t xml:space="preserve"> The results of the </w:t>
      </w:r>
      <w:r w:rsidR="0039638D">
        <w:t>ONS</w:t>
      </w:r>
      <w:r w:rsidR="005D7802" w:rsidRPr="004B4934">
        <w:t xml:space="preserve"> Financial Survey of Pension Schemes and the Leverage and Liquidity Survey for the Pensions Regulator </w:t>
      </w:r>
      <w:r w:rsidR="005D7802" w:rsidRPr="004B4934">
        <w:fldChar w:fldCharType="begin"/>
      </w:r>
      <w:r w:rsidR="005D7802" w:rsidRPr="004B4934">
        <w:instrText xml:space="preserve"> ADDIN ZOTERO_ITEM CSL_CITATION {"citationID":"HHi9tsOK","properties":{"formattedCitation":"(OMB Research 2019)","plainCitation":"(OMB Research 2019)","noteIndex":0},"citationItems":[{"id":1699,"uris":["http://zotero.org/users/5165859/items/CEZHGENZ"],"itemData":{"id":1699,"type":"report","publisher":"The Pensions Regulator","title":"DB Pension Scheme Leverage and Liquidity Survey","author":[{"family":"OMB Research","given":""}],"issued":{"date-parts":[["2019"]]}}}],"schema":"https://github.com/citation-style-language/schema/raw/master/csl-citation.json"} </w:instrText>
      </w:r>
      <w:r w:rsidR="005D7802" w:rsidRPr="004B4934">
        <w:fldChar w:fldCharType="separate"/>
      </w:r>
      <w:r w:rsidR="005D7802" w:rsidRPr="004B4934">
        <w:t>(OMB Research 2019)</w:t>
      </w:r>
      <w:r w:rsidR="005D7802" w:rsidRPr="004B4934">
        <w:fldChar w:fldCharType="end"/>
      </w:r>
      <w:r w:rsidR="005D7802" w:rsidRPr="004B4934">
        <w:t xml:space="preserve"> give a more detailed picture of the nature pooled funds</w:t>
      </w:r>
      <w:r w:rsidR="005D7802" w:rsidRPr="004B4934">
        <w:rPr>
          <w:rStyle w:val="EndnoteReference"/>
        </w:rPr>
        <w:endnoteReference w:id="12"/>
      </w:r>
      <w:r w:rsidR="005D7802" w:rsidRPr="004B4934">
        <w:t>.</w:t>
      </w:r>
      <w:r w:rsidR="00307948">
        <w:t xml:space="preserve"> Roughly half </w:t>
      </w:r>
      <w:r w:rsidR="005D7802" w:rsidRPr="004B4934">
        <w:t xml:space="preserve">of PF investments were </w:t>
      </w:r>
      <w:r w:rsidR="003867E7" w:rsidRPr="004B4934">
        <w:t>made</w:t>
      </w:r>
      <w:r w:rsidR="005D7802" w:rsidRPr="004B4934">
        <w:t xml:space="preserve"> through pooled funds. Of these </w:t>
      </w:r>
      <w:r w:rsidR="003751EF" w:rsidRPr="004B4934">
        <w:t>a</w:t>
      </w:r>
      <w:r w:rsidR="005D7802" w:rsidRPr="004B4934">
        <w:t xml:space="preserve">bout 43% </w:t>
      </w:r>
      <w:r w:rsidR="00307948">
        <w:t>were</w:t>
      </w:r>
      <w:r w:rsidR="005D7802" w:rsidRPr="004B4934">
        <w:t xml:space="preserve"> allocated to “alternative” assets: hedge funds, private equity, multi-asset credit, loan funds and property</w:t>
      </w:r>
      <w:r w:rsidR="005D7802" w:rsidRPr="004B4934">
        <w:rPr>
          <w:rStyle w:val="EndnoteReference"/>
        </w:rPr>
        <w:endnoteReference w:id="13"/>
      </w:r>
      <w:r w:rsidR="005D7802" w:rsidRPr="004B4934">
        <w:t xml:space="preserve">. </w:t>
      </w:r>
      <w:r w:rsidRPr="004B4934">
        <w:t xml:space="preserve"> These represent the pursuit of higher returns, while limiting direct commitments to illiquid assets. </w:t>
      </w:r>
      <w:r w:rsidR="008C7FC2" w:rsidRPr="004B4934">
        <w:t xml:space="preserve">Investments such as </w:t>
      </w:r>
      <w:r w:rsidRPr="004B4934">
        <w:t xml:space="preserve">hedge funds increase diversification as their returns </w:t>
      </w:r>
      <w:r w:rsidR="008C7FC2" w:rsidRPr="004B4934">
        <w:t>should</w:t>
      </w:r>
      <w:r w:rsidRPr="004B4934">
        <w:t xml:space="preserve"> have low correlation with traditional bonds and equities, and they allow exposure to leveraged investment strategies, which can enhance returns. At the same time, these are accessed through pooled investments, which makes illiquid asset classes more liquid from the point of view of PF, thanks to redemptions and/or a liquid secondary market where shares in collective investment vehicles can be bought and sold.</w:t>
      </w:r>
    </w:p>
    <w:p w14:paraId="79CFF4E1" w14:textId="0BEB6AF1" w:rsidR="000C0AEB" w:rsidRPr="004B4934" w:rsidRDefault="000C0AEB" w:rsidP="000C0AEB">
      <w:pPr>
        <w:ind w:firstLine="720"/>
      </w:pPr>
      <w:r w:rsidRPr="004B4934">
        <w:t xml:space="preserve">The second is the rise of index </w:t>
      </w:r>
      <w:r w:rsidR="00F805FA" w:rsidRPr="004B4934">
        <w:t>funds</w:t>
      </w:r>
      <w:r w:rsidR="00F805FA">
        <w:t xml:space="preserve"> </w:t>
      </w:r>
      <w:r w:rsidR="00F805FA" w:rsidRPr="00D359FC">
        <w:rPr>
          <w:color w:val="FF0000"/>
        </w:rPr>
        <w:t>and ETFs</w:t>
      </w:r>
      <w:r w:rsidR="00F805FA" w:rsidRPr="004B4934">
        <w:t xml:space="preserve">. </w:t>
      </w:r>
      <w:r w:rsidR="00F805FA">
        <w:rPr>
          <w:color w:val="FF0000"/>
        </w:rPr>
        <w:t>More than</w:t>
      </w:r>
      <w:r w:rsidR="00F805FA" w:rsidRPr="001766DF">
        <w:rPr>
          <w:color w:val="FF0000"/>
        </w:rPr>
        <w:t xml:space="preserve"> half of pooled investments are in more conventional assets like equities (33%)</w:t>
      </w:r>
      <w:r w:rsidR="00F805FA">
        <w:rPr>
          <w:color w:val="FF0000"/>
        </w:rPr>
        <w:t>,</w:t>
      </w:r>
      <w:r w:rsidR="00F805FA" w:rsidRPr="001766DF">
        <w:rPr>
          <w:color w:val="FF0000"/>
        </w:rPr>
        <w:t xml:space="preserve"> bonds (22%)</w:t>
      </w:r>
      <w:r w:rsidR="00F805FA">
        <w:rPr>
          <w:color w:val="FF0000"/>
        </w:rPr>
        <w:t xml:space="preserve"> and property (5%). Also important have been multi-asset funds (16% as of 2021), which allow access to a variety of different asset classes – including illiquid ones such as infrastructure </w:t>
      </w:r>
      <w:r w:rsidR="00F805FA">
        <w:rPr>
          <w:color w:val="FF0000"/>
        </w:rPr>
        <w:fldChar w:fldCharType="begin"/>
      </w:r>
      <w:r w:rsidR="00F805FA">
        <w:rPr>
          <w:color w:val="FF0000"/>
        </w:rPr>
        <w:instrText xml:space="preserve"> ADDIN ZOTERO_ITEM CSL_CITATION {"citationID":"fla6WA5a","properties":{"formattedCitation":"(PLSA 2015)","plainCitation":"(PLSA 2015)","noteIndex":0},"citationItems":[{"id":1695,"uris":["http://zotero.org/users/5165859/items/JYF4CD7U"],"itemData":{"id":1695,"type":"report","publisher":"Pension and Lifetime Savings Association","title":"Diverisfied growth funds","author":[{"family":"PLSA","given":""}],"issued":{"date-parts":[["2015",10]]}}}],"schema":"https://github.com/citation-style-language/schema/raw/master/csl-citation.json"} </w:instrText>
      </w:r>
      <w:r w:rsidR="00F805FA">
        <w:rPr>
          <w:color w:val="FF0000"/>
        </w:rPr>
        <w:fldChar w:fldCharType="separate"/>
      </w:r>
      <w:r w:rsidR="00F805FA" w:rsidRPr="00572D68">
        <w:t>(PLSA 2015)</w:t>
      </w:r>
      <w:r w:rsidR="00F805FA">
        <w:rPr>
          <w:color w:val="FF0000"/>
        </w:rPr>
        <w:fldChar w:fldCharType="end"/>
      </w:r>
      <w:r w:rsidR="00F805FA" w:rsidRPr="00C10F9F">
        <w:t>.</w:t>
      </w:r>
      <w:r w:rsidR="00F805FA">
        <w:t xml:space="preserve"> </w:t>
      </w:r>
      <w:r w:rsidR="00F805FA" w:rsidRPr="001979AC">
        <w:rPr>
          <w:color w:val="FF0000"/>
        </w:rPr>
        <w:t xml:space="preserve">A large part </w:t>
      </w:r>
      <w:r w:rsidR="00F805FA">
        <w:rPr>
          <w:color w:val="FF0000"/>
        </w:rPr>
        <w:t xml:space="preserve">of pooled investments </w:t>
      </w:r>
      <w:r w:rsidR="00F805FA" w:rsidRPr="001979AC">
        <w:rPr>
          <w:color w:val="FF0000"/>
        </w:rPr>
        <w:t xml:space="preserve">– 40% based on data by the </w:t>
      </w:r>
      <w:r w:rsidR="00F805FA" w:rsidRPr="001979AC">
        <w:rPr>
          <w:color w:val="FF0000"/>
        </w:rPr>
        <w:fldChar w:fldCharType="begin"/>
      </w:r>
      <w:r w:rsidR="00F805FA" w:rsidRPr="001979AC">
        <w:rPr>
          <w:color w:val="FF0000"/>
        </w:rPr>
        <w:instrText xml:space="preserve"> ADDIN ZOTERO_ITEM CSL_CITATION {"citationID":"7r5yRL38","properties":{"formattedCitation":"(Investment Association 2020)","plainCitation":"(Investment Association 2020)","dontUpdate":true,"noteIndex":0},"citationItems":[{"id":67,"uris":["http://zotero.org/users/5165859/items/I8FVFYKS"],"itemData":{"id":67,"type":"report","genre":"Annual Survey","publisher":"The Investment Association","title":"Investment management in the UK 2019-2020","author":[{"family":"Investment Association","given":""}],"issued":{"date-parts":[["2020"]]}}}],"schema":"https://github.com/citation-style-language/schema/raw/master/csl-citation.json"} </w:instrText>
      </w:r>
      <w:r w:rsidR="00F805FA" w:rsidRPr="001979AC">
        <w:rPr>
          <w:color w:val="FF0000"/>
        </w:rPr>
        <w:fldChar w:fldCharType="separate"/>
      </w:r>
      <w:r w:rsidR="00F805FA" w:rsidRPr="001979AC">
        <w:rPr>
          <w:color w:val="FF0000"/>
        </w:rPr>
        <w:t>Investment Association (2020)</w:t>
      </w:r>
      <w:r w:rsidR="00F805FA" w:rsidRPr="001979AC">
        <w:rPr>
          <w:color w:val="FF0000"/>
        </w:rPr>
        <w:fldChar w:fldCharType="end"/>
      </w:r>
      <w:r w:rsidR="00F805FA" w:rsidRPr="001979AC">
        <w:rPr>
          <w:color w:val="FF0000"/>
        </w:rPr>
        <w:t xml:space="preserve"> – is in passive strategies</w:t>
      </w:r>
      <w:r w:rsidR="00F805FA">
        <w:rPr>
          <w:color w:val="FF0000"/>
        </w:rPr>
        <w:t>, which include a rapidly growing market for ETFs</w:t>
      </w:r>
      <w:r w:rsidR="00F805FA" w:rsidRPr="00C10F9F">
        <w:rPr>
          <w:color w:val="FF0000"/>
        </w:rPr>
        <w:t>.</w:t>
      </w:r>
      <w:r w:rsidR="00F805FA">
        <w:rPr>
          <w:color w:val="FF0000"/>
        </w:rPr>
        <w:t xml:space="preserve"> </w:t>
      </w:r>
      <w:r w:rsidR="00F805FA" w:rsidRPr="003A388F">
        <w:rPr>
          <w:color w:val="FF0000"/>
        </w:rPr>
        <w:t>ETFs and index funds are</w:t>
      </w:r>
      <w:r w:rsidR="00F805FA">
        <w:rPr>
          <w:color w:val="FF0000"/>
        </w:rPr>
        <w:t xml:space="preserve"> especially</w:t>
      </w:r>
      <w:r w:rsidR="00F805FA" w:rsidRPr="003A388F">
        <w:rPr>
          <w:color w:val="FF0000"/>
        </w:rPr>
        <w:t xml:space="preserve"> prevalent</w:t>
      </w:r>
      <w:r w:rsidR="00F805FA">
        <w:rPr>
          <w:color w:val="FF0000"/>
        </w:rPr>
        <w:t xml:space="preserve"> </w:t>
      </w:r>
      <w:r w:rsidRPr="004B4934">
        <w:t>among DC PF, which invest almost the entirety of their portfolio – over 92% according to ONS data – through pooled vehicles, in a wide range of assets.</w:t>
      </w:r>
      <w:r w:rsidR="0003371C">
        <w:t xml:space="preserve"> </w:t>
      </w:r>
      <w:r w:rsidRPr="004B4934">
        <w:t xml:space="preserve">Aside from their low management </w:t>
      </w:r>
      <w:r w:rsidRPr="004B4934">
        <w:lastRenderedPageBreak/>
        <w:t xml:space="preserve">cost, the promise of daily redemptions represents a key attractive way to enhance the liquidity of investment </w:t>
      </w:r>
      <w:r w:rsidRPr="004A5C6D">
        <w:t>strategies</w:t>
      </w:r>
      <w:r w:rsidRPr="006449A1">
        <w:rPr>
          <w:color w:val="FF0000"/>
        </w:rPr>
        <w:t xml:space="preserve"> into </w:t>
      </w:r>
      <w:r w:rsidR="006449A1" w:rsidRPr="006449A1">
        <w:rPr>
          <w:color w:val="FF0000"/>
        </w:rPr>
        <w:t xml:space="preserve">both </w:t>
      </w:r>
      <w:r w:rsidRPr="006449A1">
        <w:rPr>
          <w:color w:val="FF0000"/>
        </w:rPr>
        <w:t>traditional</w:t>
      </w:r>
      <w:r w:rsidR="006449A1" w:rsidRPr="006449A1">
        <w:rPr>
          <w:color w:val="FF0000"/>
        </w:rPr>
        <w:t xml:space="preserve"> and less traditional</w:t>
      </w:r>
      <w:r w:rsidRPr="006449A1">
        <w:rPr>
          <w:color w:val="FF0000"/>
        </w:rPr>
        <w:t xml:space="preserve"> </w:t>
      </w:r>
      <w:r w:rsidRPr="004B4934">
        <w:t xml:space="preserve">asset classes. </w:t>
      </w:r>
      <w:r w:rsidR="0045746A" w:rsidRPr="0045746A">
        <w:rPr>
          <w:color w:val="FF0000"/>
        </w:rPr>
        <w:t>The recent policy debate in the UK regarding establishing a Long-Term Asset Fund itself focused on the need to be open-ended</w:t>
      </w:r>
      <w:r w:rsidR="00C70254">
        <w:rPr>
          <w:color w:val="FF0000"/>
        </w:rPr>
        <w:t xml:space="preserve"> and offer redemption opportunities</w:t>
      </w:r>
      <w:r w:rsidR="0045746A" w:rsidRPr="0045746A">
        <w:rPr>
          <w:color w:val="FF0000"/>
        </w:rPr>
        <w:t xml:space="preserve">, to encourage </w:t>
      </w:r>
      <w:r w:rsidR="00C70254">
        <w:rPr>
          <w:color w:val="FF0000"/>
        </w:rPr>
        <w:t>PF participation</w:t>
      </w:r>
      <w:r w:rsidR="00E7595C">
        <w:rPr>
          <w:color w:val="FF0000"/>
        </w:rPr>
        <w:t xml:space="preserve"> </w:t>
      </w:r>
      <w:r w:rsidR="00E7595C">
        <w:rPr>
          <w:color w:val="FF0000"/>
        </w:rPr>
        <w:fldChar w:fldCharType="begin"/>
      </w:r>
      <w:r w:rsidR="00E7595C">
        <w:rPr>
          <w:color w:val="FF0000"/>
        </w:rPr>
        <w:instrText xml:space="preserve"> ADDIN ZOTERO_ITEM CSL_CITATION {"citationID":"bG1WemiT","properties":{"formattedCitation":"(Productive Finance Working Group 2021)","plainCitation":"(Productive Finance Working Group 2021)","noteIndex":0},"citationItems":[{"id":4066,"uris":["http://zotero.org/users/5165859/items/PRASWQIK"],"itemData":{"id":4066,"type":"report","publisher":"Bank of England and Financial Conduct Authority","title":"A Roadmap for Increasing Productive Investment","URL":"https://www.bankofengland.co.uk/-/media/boe/files/report/2021/roadmap-for-increasing-productive-finance-investment.pdf?la=en&amp;hash=F92ADDFB1B815895AAFCC21CE6A29C5B0A74D6B7","author":[{"family":"Productive Finance Working Group","given":""}],"accessed":{"date-parts":[["2022",1,6]]},"issued":{"date-parts":[["2021",9]]}}}],"schema":"https://github.com/citation-style-language/schema/raw/master/csl-citation.json"} </w:instrText>
      </w:r>
      <w:r w:rsidR="00E7595C">
        <w:rPr>
          <w:color w:val="FF0000"/>
        </w:rPr>
        <w:fldChar w:fldCharType="separate"/>
      </w:r>
      <w:r w:rsidR="00E7595C" w:rsidRPr="00E7595C">
        <w:t>(Productive Finance Working Group 2021)</w:t>
      </w:r>
      <w:r w:rsidR="00E7595C">
        <w:rPr>
          <w:color w:val="FF0000"/>
        </w:rPr>
        <w:fldChar w:fldCharType="end"/>
      </w:r>
      <w:r w:rsidR="00C70254">
        <w:rPr>
          <w:color w:val="FF0000"/>
        </w:rPr>
        <w:t xml:space="preserve">. </w:t>
      </w:r>
    </w:p>
    <w:p w14:paraId="7B9AB99F" w14:textId="00C59779" w:rsidR="000C0AEB" w:rsidRPr="004B4934" w:rsidRDefault="00E33AE8" w:rsidP="00285CC5">
      <w:pPr>
        <w:ind w:firstLine="720"/>
      </w:pPr>
      <w:r w:rsidRPr="004B4934">
        <w:t xml:space="preserve">Finally, there has been a marked internationalisation in the assets owned by PF. </w:t>
      </w:r>
      <w:r w:rsidR="00285CC5" w:rsidRPr="004B4934">
        <w:t>ONS data shows that the proportion of overseas equities within equity allocations increased from 32% to 70% between 2000 and 2019, and that of overseas corporate bonds increased from 34% to 48%</w:t>
      </w:r>
      <w:r w:rsidR="00285CC5" w:rsidRPr="004B4934">
        <w:rPr>
          <w:rStyle w:val="EndnoteReference"/>
        </w:rPr>
        <w:endnoteReference w:id="14"/>
      </w:r>
      <w:r w:rsidR="00285CC5" w:rsidRPr="004B4934">
        <w:t xml:space="preserve">; as of 2019 about half of foreign assets were securities issued in the United States. Data from the Investment Association confirm the significant increase of fixed-income investment mandates dedicated to non-UK strategies from 33% to over 50% in the last decade </w:t>
      </w:r>
      <w:r w:rsidR="00285CC5" w:rsidRPr="004B4934">
        <w:fldChar w:fldCharType="begin"/>
      </w:r>
      <w:r w:rsidR="00285CC5" w:rsidRPr="004B4934">
        <w:instrText xml:space="preserve"> ADDIN ZOTERO_ITEM CSL_CITATION {"citationID":"K8DNLUS2","properties":{"formattedCitation":"(Investment Association 2019, p. 64)","plainCitation":"(Investment Association 2019, p. 64)","noteIndex":0},"citationItems":[{"id":1698,"uris":["http://zotero.org/users/5165859/items/5734N4YC"],"itemData":{"id":1698,"type":"report","genre":"Annual Survey","publisher":"The Investment Association","title":"Investment management in the UK 2018-2019","author":[{"family":"Investment Association","given":""}],"issued":{"date-parts":[["2019"]]}},"locator":"64"}],"schema":"https://github.com/citation-style-language/schema/raw/master/csl-citation.json"} </w:instrText>
      </w:r>
      <w:r w:rsidR="00285CC5" w:rsidRPr="004B4934">
        <w:fldChar w:fldCharType="separate"/>
      </w:r>
      <w:r w:rsidR="00285CC5" w:rsidRPr="004B4934">
        <w:t>(Investment Association 2019, p. 64)</w:t>
      </w:r>
      <w:r w:rsidR="00285CC5" w:rsidRPr="004B4934">
        <w:fldChar w:fldCharType="end"/>
      </w:r>
      <w:r w:rsidR="00285CC5" w:rsidRPr="004B4934">
        <w:t xml:space="preserve">. </w:t>
      </w:r>
      <w:r w:rsidR="0096716D" w:rsidRPr="004B4934">
        <w:t xml:space="preserve">In part this reflects a “search for yield”, as indicated by the fact that among corporate bonds investments, about 45% have a grade of BBB or lower. In part however this reflects the </w:t>
      </w:r>
      <w:r w:rsidR="00582733" w:rsidRPr="004B4934">
        <w:t>emergence</w:t>
      </w:r>
      <w:r w:rsidR="0096716D" w:rsidRPr="004B4934">
        <w:t xml:space="preserve"> of so-called “cashflow-driven” investment </w:t>
      </w:r>
      <w:r w:rsidR="0096716D" w:rsidRPr="004B4934">
        <w:fldChar w:fldCharType="begin"/>
      </w:r>
      <w:r w:rsidR="0096716D" w:rsidRPr="004B4934">
        <w:instrText xml:space="preserve"> ADDIN ZOTERO_ITEM CSL_CITATION {"citationID":"06zqpdJd","properties":{"formattedCitation":"(PLSA 2017)","plainCitation":"(PLSA 2017)","noteIndex":0},"citationItems":[{"id":1696,"uris":["http://zotero.org/users/5165859/items/G46IYMU4"],"itemData":{"id":1696,"type":"report","publisher":"Pension and Lifetime Savings Association","title":"Cashflow Driven Investment","author":[{"family":"PLSA","given":""}],"issued":{"date-parts":[["2017"]]}}}],"schema":"https://github.com/citation-style-language/schema/raw/master/csl-citation.json"} </w:instrText>
      </w:r>
      <w:r w:rsidR="0096716D" w:rsidRPr="004B4934">
        <w:fldChar w:fldCharType="separate"/>
      </w:r>
      <w:r w:rsidR="0096716D" w:rsidRPr="004B4934">
        <w:t>(PLSA 2017)</w:t>
      </w:r>
      <w:r w:rsidR="0096716D" w:rsidRPr="004B4934">
        <w:fldChar w:fldCharType="end"/>
      </w:r>
      <w:r w:rsidR="0096716D" w:rsidRPr="004B4934">
        <w:t xml:space="preserve">: DB PF seek to adopt a “middle ground” between pure protection and growth assets, as these can provide higher returns with a fairly predictable series of cashflows. </w:t>
      </w:r>
      <w:r w:rsidR="0088358C" w:rsidRPr="004B4934">
        <w:t xml:space="preserve">These tend to favour investments into </w:t>
      </w:r>
      <w:r w:rsidR="0096716D" w:rsidRPr="004B4934">
        <w:t xml:space="preserve">US </w:t>
      </w:r>
      <w:r w:rsidR="00A754DA" w:rsidRPr="004B4934">
        <w:t>bonds</w:t>
      </w:r>
      <w:r w:rsidR="0096716D" w:rsidRPr="004B4934">
        <w:t xml:space="preserve">, </w:t>
      </w:r>
      <w:r w:rsidR="0088358C" w:rsidRPr="004B4934">
        <w:t xml:space="preserve">due to their </w:t>
      </w:r>
      <w:r w:rsidR="00A754DA" w:rsidRPr="004B4934">
        <w:t>broader and more liquid markets.</w:t>
      </w:r>
    </w:p>
    <w:p w14:paraId="009FC7C8" w14:textId="03F50698" w:rsidR="00175F61" w:rsidRPr="004B4934" w:rsidRDefault="004068A3" w:rsidP="003D3196">
      <w:pPr>
        <w:pStyle w:val="Newparagraph"/>
      </w:pPr>
      <w:r w:rsidRPr="004B4934">
        <w:t>A</w:t>
      </w:r>
      <w:r w:rsidR="009472F3" w:rsidRPr="004B4934">
        <w:t>ll t</w:t>
      </w:r>
      <w:r w:rsidR="009D7A40" w:rsidRPr="004B4934">
        <w:t>hese</w:t>
      </w:r>
      <w:r w:rsidR="002010E3" w:rsidRPr="004B4934">
        <w:t xml:space="preserve"> new</w:t>
      </w:r>
      <w:r w:rsidR="009D7A40" w:rsidRPr="004B4934">
        <w:t xml:space="preserve"> </w:t>
      </w:r>
      <w:r w:rsidR="00CD6826" w:rsidRPr="004B4934">
        <w:t xml:space="preserve">“growth” </w:t>
      </w:r>
      <w:r w:rsidR="009D7A40" w:rsidRPr="004B4934">
        <w:t>strategies</w:t>
      </w:r>
      <w:r w:rsidR="00F20B53" w:rsidRPr="004B4934">
        <w:t xml:space="preserve">, while aimed at increasing returns, </w:t>
      </w:r>
      <w:r w:rsidR="003D0A02" w:rsidRPr="004B4934">
        <w:t xml:space="preserve">are </w:t>
      </w:r>
      <w:r w:rsidR="008921CF" w:rsidRPr="004B4934">
        <w:t xml:space="preserve">significantly shaped by </w:t>
      </w:r>
      <w:r w:rsidR="001376E9" w:rsidRPr="004B4934">
        <w:t>funding liquidity considerations</w:t>
      </w:r>
      <w:r w:rsidR="00F20B53" w:rsidRPr="004B4934">
        <w:t>.</w:t>
      </w:r>
      <w:r w:rsidR="00CA041C" w:rsidRPr="004B4934">
        <w:t xml:space="preserve"> </w:t>
      </w:r>
      <w:r w:rsidR="001C4670" w:rsidRPr="004B4934">
        <w:t>At the same time however, and somewhat</w:t>
      </w:r>
      <w:r w:rsidR="008762C3" w:rsidRPr="004B4934">
        <w:t xml:space="preserve"> paradoxically, they </w:t>
      </w:r>
      <w:r w:rsidR="009D7A40" w:rsidRPr="004B4934">
        <w:t xml:space="preserve">expose PF to the inherent liquidity risks of market-based </w:t>
      </w:r>
      <w:proofErr w:type="gramStart"/>
      <w:r w:rsidR="009D7A40" w:rsidRPr="004B4934">
        <w:t>finance</w:t>
      </w:r>
      <w:r w:rsidR="00CD34DA" w:rsidRPr="004B4934">
        <w:t>, and</w:t>
      </w:r>
      <w:proofErr w:type="gramEnd"/>
      <w:r w:rsidR="00CD34DA" w:rsidRPr="004B4934">
        <w:t xml:space="preserve"> </w:t>
      </w:r>
      <w:r w:rsidR="0000086C" w:rsidRPr="004B4934">
        <w:t>mak</w:t>
      </w:r>
      <w:r w:rsidR="005B4A0F" w:rsidRPr="004B4934">
        <w:t>e</w:t>
      </w:r>
      <w:r w:rsidR="0000086C" w:rsidRPr="004B4934">
        <w:t xml:space="preserve"> </w:t>
      </w:r>
      <w:r w:rsidR="005B4A0F" w:rsidRPr="004B4934">
        <w:t>PF</w:t>
      </w:r>
      <w:r w:rsidR="00CD34DA" w:rsidRPr="004B4934">
        <w:t xml:space="preserve"> pro-cyclical and therefore potentially unable to exercise patience during crises</w:t>
      </w:r>
      <w:r w:rsidR="009D7A40" w:rsidRPr="004B4934">
        <w:t>.</w:t>
      </w:r>
      <w:r w:rsidR="005D747B" w:rsidRPr="004B4934">
        <w:t xml:space="preserve"> Firstly, </w:t>
      </w:r>
      <w:r w:rsidR="007A59B3" w:rsidRPr="004B4934">
        <w:t xml:space="preserve">PF might struggle </w:t>
      </w:r>
      <w:r w:rsidR="00B26130" w:rsidRPr="004B4934">
        <w:t>to liquidate these assets</w:t>
      </w:r>
      <w:r w:rsidR="007A59B3" w:rsidRPr="004B4934">
        <w:t xml:space="preserve">, as </w:t>
      </w:r>
      <w:r w:rsidR="005F10A7" w:rsidRPr="004B4934">
        <w:t>the</w:t>
      </w:r>
      <w:r w:rsidR="00B26130" w:rsidRPr="004B4934">
        <w:t>ir</w:t>
      </w:r>
      <w:r w:rsidR="005F10A7" w:rsidRPr="004B4934">
        <w:t xml:space="preserve"> liquidity of some of these asset classes </w:t>
      </w:r>
      <w:r w:rsidR="00F33E31" w:rsidRPr="004B4934">
        <w:t>is</w:t>
      </w:r>
      <w:r w:rsidR="005F10A7" w:rsidRPr="004B4934">
        <w:t xml:space="preserve"> highly pro-cyclical.</w:t>
      </w:r>
      <w:r w:rsidR="00107A24" w:rsidRPr="004B4934">
        <w:t xml:space="preserve"> </w:t>
      </w:r>
      <w:r w:rsidR="001C0401" w:rsidRPr="004B4934">
        <w:t xml:space="preserve">Just as ample liquidity boosts the value of assets such as corporate bonds </w:t>
      </w:r>
      <w:r w:rsidR="001A7C2E" w:rsidRPr="004B4934">
        <w:fldChar w:fldCharType="begin"/>
      </w:r>
      <w:r w:rsidR="00E461FE">
        <w:instrText xml:space="preserve"> ADDIN ZOTERO_ITEM CSL_CITATION {"citationID":"Ab9NJlTt","properties":{"formattedCitation":"(Shin 2013, Lo Duca {\\i{}et al.} 2016)","plainCitation":"(Shin 2013, Lo Duca et al. 2016)","noteIndex":0},"citationItems":[{"id":186,"uris":["http://zotero.org/users/5165859/items/2A4RRFQ6"],"itemData":{"id":186,"type":"report","event-place":"Federal Reserve Bank of San Francisco","genre":"Keynote Address, Asia Economic Policy Conference","publisher-place":"Federal Reserve Bank of San Francisco","title":"The second phase of global liquidity and its impact on emerging economies","URL":"https://ideas.repec.org/a/fip/fedfpr/00011.html","author":[{"family":"Shin","given":"Hyun Song"}],"accessed":{"date-parts":[["2014",12,9]]},"issued":{"date-parts":[["2013",11]]}}},{"id":75,"uris":["http://zotero.org/users/5165859/items/NZJKM4X9"],"itemData":{"id":75,"type":"article-journal","abstract":"The paper analyses the link between global corporate bond issuance and US quantitative easing (QE). It finds that purchases and holdings of MBS and Treasuries by the Fed have a strong impact on gross corporate bond issuance across advanced and emerging economies. The results are robust to a large number of checks, including controlling for the reduced supply of domestic and international bank loans in the aftermath of the global crisis which might have induced the corporate sector to issue more bonds. Our results support the “gap-filling” theory (Greenwood et al., 2010) where corporate bonds replace the assets removed from the market by large scale asset purchases. Specifically, asset holdings and purchases crowded out investors from the markets where the Fed intervened and accelerated portfolio rebalancing across assets and countries leading to stronger corporate bond issuance across the globe. A counterfactual analysis shows that bond issuance in emerging markets since 2009 would have been halved without QE.","container-title":"Journal of International Money and Finance","DOI":"10.1016/j.jimonfin.2015.07.013","ISSN":"0261-5606","journalAbbreviation":"Journal of International Money and Finance","language":"en","page":"114-150","source":"ScienceDirect","title":"Global corporate bond issuance: What role for US quantitative easing?","title-short":"Global corporate bond issuance","volume":"60","author":[{"family":"Lo Duca","given":"Marco"},{"family":"Nicoletti","given":"Giulio"},{"family":"Vidal Martínez","given":"Ariadna"}],"issued":{"date-parts":[["2016",2,1]]}}}],"schema":"https://github.com/citation-style-language/schema/raw/master/csl-citation.json"} </w:instrText>
      </w:r>
      <w:r w:rsidR="001A7C2E" w:rsidRPr="004B4934">
        <w:fldChar w:fldCharType="separate"/>
      </w:r>
      <w:r w:rsidR="008D3360" w:rsidRPr="004B4934">
        <w:t xml:space="preserve">(Shin 2013, Lo Duca </w:t>
      </w:r>
      <w:r w:rsidR="008D3360" w:rsidRPr="004B4934">
        <w:rPr>
          <w:i/>
          <w:iCs/>
        </w:rPr>
        <w:t>et al.</w:t>
      </w:r>
      <w:r w:rsidR="008D3360" w:rsidRPr="004B4934">
        <w:t xml:space="preserve"> 2016)</w:t>
      </w:r>
      <w:r w:rsidR="001A7C2E" w:rsidRPr="004B4934">
        <w:fldChar w:fldCharType="end"/>
      </w:r>
      <w:r w:rsidR="001C0401" w:rsidRPr="004B4934">
        <w:t>,</w:t>
      </w:r>
      <w:r w:rsidR="007029A6" w:rsidRPr="004B4934">
        <w:t xml:space="preserve"> </w:t>
      </w:r>
      <w:r w:rsidR="001C0401" w:rsidRPr="004B4934">
        <w:t>d</w:t>
      </w:r>
      <w:r w:rsidR="000D53F7" w:rsidRPr="004B4934">
        <w:t xml:space="preserve">uring </w:t>
      </w:r>
      <w:r w:rsidR="000D53F7" w:rsidRPr="004B4934">
        <w:lastRenderedPageBreak/>
        <w:t>liquidity downturns, riskier asset classes, including “alternatives”</w:t>
      </w:r>
      <w:r w:rsidR="00222BD2" w:rsidRPr="004B4934">
        <w:t xml:space="preserve">, </w:t>
      </w:r>
      <w:r w:rsidR="004A41A2" w:rsidRPr="004B4934">
        <w:t>inevitably fall in valu</w:t>
      </w:r>
      <w:r w:rsidR="009A0154" w:rsidRPr="004B4934">
        <w:t>e</w:t>
      </w:r>
      <w:r w:rsidR="00C95B81" w:rsidRPr="004B4934">
        <w:t xml:space="preserve"> and become much harder to sell</w:t>
      </w:r>
      <w:r w:rsidR="004A41A2" w:rsidRPr="004B4934">
        <w:t xml:space="preserve">. </w:t>
      </w:r>
      <w:r w:rsidR="001D4628" w:rsidRPr="004B4934">
        <w:t>The additional liquidity provided by asset managers too can be ephemera</w:t>
      </w:r>
      <w:r w:rsidR="00981D7B" w:rsidRPr="004B4934">
        <w:t>l</w:t>
      </w:r>
      <w:r w:rsidR="00E21D78" w:rsidRPr="004B4934">
        <w:t>. There is evidence that funds’ cash holdings might not be sufficient to cover redemption needs of investors</w:t>
      </w:r>
      <w:r w:rsidR="00DE562B" w:rsidRPr="004B4934">
        <w:t xml:space="preserve"> (including from PF)</w:t>
      </w:r>
      <w:r w:rsidR="00E21D78" w:rsidRPr="004B4934">
        <w:t xml:space="preserve"> in case of a crisis</w:t>
      </w:r>
      <w:r w:rsidR="008E6506" w:rsidRPr="004B4934">
        <w:t xml:space="preserve"> </w:t>
      </w:r>
      <w:r w:rsidR="008E6506" w:rsidRPr="004B4934">
        <w:fldChar w:fldCharType="begin"/>
      </w:r>
      <w:r w:rsidR="00E461FE">
        <w:instrText xml:space="preserve"> ADDIN ZOTERO_ITEM CSL_CITATION {"citationID":"PNDpDhl4","properties":{"formattedCitation":"(Chernenko and Sunderam 2016, Douglas and Roberts-Sklar 2018)","plainCitation":"(Chernenko and Sunderam 2016, Douglas and Roberts-Sklar 2018)","noteIndex":0},"citationItems":[{"id":74,"uris":["http://zotero.org/users/5165859/items/BYT9RFAI"],"itemData":{"id":74,"type":"report","abstract":"Founded in 1920, the NBER is a private, non-profit, non-partisan organization dedicated to conducting economic research and to disseminating research findings among academics, public policy makers, and business professionals.","language":"en","note":"DOI: 10.3386/w22391","number":"w22391","publisher":"National Bureau of Economic Research","source":"www.nber.org","title":"Liquidity Transformation in Asset Management: Evidence from the Cash Holdings of Mutual Funds","title-short":"Liquidity Transformation in Asset Management","URL":"https://www.nber.org/papers/w22391","author":[{"family":"Chernenko","given":"Sergey"},{"family":"Sunderam","given":"Adi"}],"accessed":{"date-parts":[["2020",10,23]]},"issued":{"date-parts":[["2016",7,11]]}}},{"id":1038,"uris":["http://zotero.org/users/5165859/items/3FI9WPRA"],"itemData":{"id":1038,"type":"report","abstract":"We have developed a structural model to explain defined benefit (DB) pension funds’ investment behaviour. The model is calibrated to the aggregate UK DB pension fund and four different cohorts of funds. We use the model to estimate how pension funds can be expected to adjust their asset portfolios in the face of different exogenous shocks. Our results suggest that pension funds are sensitive to shocks that change their funding ratios — that is, the ratio of pension assets to liabilities. Deteriorations in funding ratios encourage pension funds supported by financially weaker corporate sponsors to switch some equity holdings into bonds. This is because reduced funding ratios weigh on the perceived vulnerability of already weak corporate sponsors. But similar deteriorations in funding ratios encourage funds supported by financially stronger corporates to increase their equity holdings to benefit from their higher expected returns. In contrast, shocks that result in material improvements in funding ratios — for example, resulting from a large rise in interest rates — encourage all pension funds to increase their bond holdings to ‘lock in’ those improved positions.","collection-title":"Bank of England working papers","language":"en","number":"757","publisher":"Bank of England","source":"ideas.repec.org","title":"What drives UK defined benefit pension funds' investment behaviour?","URL":"https://ideas.repec.org/p/boe/boeewp/0757.html","author":[{"family":"Douglas","given":"Graeme"},{"family":"Roberts-Sklar","given":"Matt"}],"accessed":{"date-parts":[["2019",10,11]]},"issued":{"date-parts":[["2018",10,5]]}}}],"schema":"https://github.com/citation-style-language/schema/raw/master/csl-citation.json"} </w:instrText>
      </w:r>
      <w:r w:rsidR="008E6506" w:rsidRPr="004B4934">
        <w:fldChar w:fldCharType="separate"/>
      </w:r>
      <w:r w:rsidR="00DD0947" w:rsidRPr="004B4934">
        <w:t>(Chernenko and Sunderam 2016, Douglas and Roberts-Sklar 2018)</w:t>
      </w:r>
      <w:r w:rsidR="008E6506" w:rsidRPr="004B4934">
        <w:fldChar w:fldCharType="end"/>
      </w:r>
      <w:r w:rsidR="00112851" w:rsidRPr="004B4934">
        <w:t>.</w:t>
      </w:r>
      <w:r w:rsidR="00222BD2" w:rsidRPr="004B4934">
        <w:t xml:space="preserve"> According to the FSB (2017), t</w:t>
      </w:r>
      <w:r w:rsidR="00EE71C2" w:rsidRPr="004B4934">
        <w:t>he “first-mover” incentive among fund investors</w:t>
      </w:r>
      <w:r w:rsidR="00E617AA" w:rsidRPr="004B4934">
        <w:t xml:space="preserve"> </w:t>
      </w:r>
      <w:r w:rsidR="00222BD2" w:rsidRPr="004B4934">
        <w:t xml:space="preserve">could </w:t>
      </w:r>
      <w:r w:rsidR="00722869" w:rsidRPr="004B4934">
        <w:t>potentially</w:t>
      </w:r>
      <w:r w:rsidR="00222BD2" w:rsidRPr="004B4934">
        <w:t xml:space="preserve"> even</w:t>
      </w:r>
      <w:r w:rsidR="00722869" w:rsidRPr="004B4934">
        <w:t xml:space="preserve"> creat</w:t>
      </w:r>
      <w:r w:rsidR="00222BD2" w:rsidRPr="004B4934">
        <w:t>e</w:t>
      </w:r>
      <w:r w:rsidR="00722869" w:rsidRPr="004B4934">
        <w:t xml:space="preserve"> the risk of a “run” </w:t>
      </w:r>
      <w:r w:rsidR="00222BD2" w:rsidRPr="004B4934">
        <w:t>on those</w:t>
      </w:r>
      <w:r w:rsidR="00722869" w:rsidRPr="004B4934">
        <w:t xml:space="preserve"> funds </w:t>
      </w:r>
      <w:r w:rsidR="00B603D7" w:rsidRPr="004B4934">
        <w:fldChar w:fldCharType="begin"/>
      </w:r>
      <w:r w:rsidR="00E461FE">
        <w:instrText xml:space="preserve"> ADDIN ZOTERO_ITEM CSL_CITATION {"citationID":"o1pKgTBe","properties":{"formattedCitation":"(FSB 2017)","plainCitation":"(FSB 2017)","noteIndex":0},"citationItems":[{"id":73,"uris":["http://zotero.org/users/5165859/items/9VY6NGH2"],"itemData":{"id":73,"type":"report","publisher":"Financial Stability Board","title":"Policy Recommendations to Address Structural Vulnerabilities from Asset Management Activities","author":[{"family":"FSB","given":""}],"issued":{"date-parts":[["2017"]]}}}],"schema":"https://github.com/citation-style-language/schema/raw/master/csl-citation.json"} </w:instrText>
      </w:r>
      <w:r w:rsidR="00B603D7" w:rsidRPr="004B4934">
        <w:fldChar w:fldCharType="separate"/>
      </w:r>
      <w:r w:rsidR="00B603D7" w:rsidRPr="004B4934">
        <w:t>(FSB 2017)</w:t>
      </w:r>
      <w:r w:rsidR="00B603D7" w:rsidRPr="004B4934">
        <w:fldChar w:fldCharType="end"/>
      </w:r>
      <w:r w:rsidR="00C94434" w:rsidRPr="004B4934">
        <w:t>.</w:t>
      </w:r>
      <w:r w:rsidR="00CC234F" w:rsidRPr="004B4934">
        <w:t xml:space="preserve"> </w:t>
      </w:r>
      <w:r w:rsidR="001C0401" w:rsidRPr="004B4934">
        <w:t xml:space="preserve">Furthermore, </w:t>
      </w:r>
      <w:r w:rsidR="008109CF" w:rsidRPr="004B4934">
        <w:t>w</w:t>
      </w:r>
      <w:r w:rsidR="00F12E0A" w:rsidRPr="004B4934">
        <w:t xml:space="preserve">hile conventional funds and ETF typically use limited leverage, some of these funds – and certainly “alternatives” </w:t>
      </w:r>
      <w:r w:rsidR="00A51F18" w:rsidRPr="004B4934">
        <w:t xml:space="preserve">like hedge and private equity funds – </w:t>
      </w:r>
      <w:r w:rsidR="00C16F7C" w:rsidRPr="004B4934">
        <w:t>are highly leveraged</w:t>
      </w:r>
      <w:r w:rsidR="008109CF" w:rsidRPr="004B4934">
        <w:t>. During liquidity downturn</w:t>
      </w:r>
      <w:r w:rsidR="004E1D6A" w:rsidRPr="004B4934">
        <w:t>s</w:t>
      </w:r>
      <w:r w:rsidR="008109CF" w:rsidRPr="004B4934">
        <w:t xml:space="preserve">, access to </w:t>
      </w:r>
      <w:r w:rsidR="008E2614" w:rsidRPr="004B4934">
        <w:t>funding liquidity might become difficult and/or much more expensive</w:t>
      </w:r>
      <w:r w:rsidR="00CD0712" w:rsidRPr="004B4934">
        <w:t xml:space="preserve"> for leveraged funds</w:t>
      </w:r>
      <w:r w:rsidR="008E2614" w:rsidRPr="004B4934">
        <w:t xml:space="preserve">, </w:t>
      </w:r>
      <w:r w:rsidR="007429B1" w:rsidRPr="004B4934">
        <w:t>significantly</w:t>
      </w:r>
      <w:r w:rsidR="00384D8A" w:rsidRPr="004B4934">
        <w:t xml:space="preserve"> reducing PF’</w:t>
      </w:r>
      <w:r w:rsidR="00C95B81" w:rsidRPr="004B4934">
        <w:t xml:space="preserve"> </w:t>
      </w:r>
      <w:r w:rsidR="00384D8A" w:rsidRPr="004B4934">
        <w:t xml:space="preserve">possibility for </w:t>
      </w:r>
      <w:r w:rsidR="00C50465" w:rsidRPr="004B4934">
        <w:t>lossless</w:t>
      </w:r>
      <w:r w:rsidR="00384D8A" w:rsidRPr="004B4934">
        <w:t xml:space="preserve"> redemption and</w:t>
      </w:r>
      <w:r w:rsidR="00C50465" w:rsidRPr="004B4934">
        <w:t>/or</w:t>
      </w:r>
      <w:r w:rsidR="00384D8A" w:rsidRPr="004B4934">
        <w:t xml:space="preserve"> disposal of these funds’ shares.</w:t>
      </w:r>
      <w:r w:rsidR="00EF0088">
        <w:t xml:space="preserve"> </w:t>
      </w:r>
      <w:r w:rsidR="002F703D" w:rsidRPr="008E0FA3">
        <w:rPr>
          <w:color w:val="FF0000"/>
        </w:rPr>
        <w:t xml:space="preserve">Indeed </w:t>
      </w:r>
      <w:r w:rsidR="002F703D">
        <w:rPr>
          <w:color w:val="FF0000"/>
        </w:rPr>
        <w:t xml:space="preserve">property funds limited and delayed investor repayments due to PFs’ unusually high redemption requests in Autumn 2022 </w:t>
      </w:r>
      <w:r w:rsidR="002F703D">
        <w:rPr>
          <w:color w:val="FF0000"/>
        </w:rPr>
        <w:fldChar w:fldCharType="begin"/>
      </w:r>
      <w:r w:rsidR="002F703D">
        <w:rPr>
          <w:color w:val="FF0000"/>
        </w:rPr>
        <w:instrText xml:space="preserve"> ADDIN ZOTERO_ITEM CSL_CITATION {"citationID":"8GxOBqol","properties":{"formattedCitation":"(Hammond {\\i{}et al.} 2022, Hickey 2022)","plainCitation":"(Hammond et al. 2022, Hickey 2022)","noteIndex":0},"citationItems":[{"id":4063,"uris":["http://zotero.org/users/5165859/items/M2CITXPV"],"itemData":{"id":4063,"type":"article-newspaper","abstract":"Investors withdrawing millions of pounds triggers sale of prime property","container-title":"Financial Times","title":"Fire sale begins as property funds face rush of UK redemptions","author":[{"family":"Hammond","given":"George"},{"family":"Klasa","given":"Adrienne"},{"family":"Oliver","given":"Joshua"}],"issued":{"date-parts":[["2022",11,4]]}}},{"id":4068,"uris":["http://zotero.org/users/5165859/items/ENKTDKGW"],"itemData":{"id":4068,"type":"article-newspaper","abstract":"Asset managers decision to delay redemptions from property funds will not impact the rest of the market experts have said","container-title":"FT Adviser","language":"en","note":"section: Real Estate","title":"Property fund redemption delay will not impact rest of market","URL":"https://www.ftadviser.com/property/2022/10/04/property-fund-redemption-delay-will-not-impact-rest-of-market/","author":[{"family":"Hickey","given":"Sally"}],"accessed":{"date-parts":[["2023",1,6]]},"issued":{"date-parts":[["2022",10,4]]}}}],"schema":"https://github.com/citation-style-language/schema/raw/master/csl-citation.json"} </w:instrText>
      </w:r>
      <w:r w:rsidR="002F703D">
        <w:rPr>
          <w:color w:val="FF0000"/>
        </w:rPr>
        <w:fldChar w:fldCharType="separate"/>
      </w:r>
      <w:r w:rsidR="002F703D" w:rsidRPr="007E4833">
        <w:t xml:space="preserve">(Hammond </w:t>
      </w:r>
      <w:r w:rsidR="002F703D" w:rsidRPr="007E4833">
        <w:rPr>
          <w:i/>
          <w:iCs/>
        </w:rPr>
        <w:t>et al.</w:t>
      </w:r>
      <w:r w:rsidR="002F703D" w:rsidRPr="007E4833">
        <w:t xml:space="preserve"> 2022, Hickey 2022)</w:t>
      </w:r>
      <w:r w:rsidR="002F703D">
        <w:rPr>
          <w:color w:val="FF0000"/>
        </w:rPr>
        <w:fldChar w:fldCharType="end"/>
      </w:r>
    </w:p>
    <w:p w14:paraId="7A6F06F6" w14:textId="5BDCEA45" w:rsidR="009472F3" w:rsidRPr="004B4934" w:rsidRDefault="00384D8A" w:rsidP="005C3C7E">
      <w:pPr>
        <w:pStyle w:val="Newparagraph"/>
      </w:pPr>
      <w:r w:rsidRPr="004B4934">
        <w:t xml:space="preserve">Internationalisation too comes with liquidity risks, as foreign investments often </w:t>
      </w:r>
      <w:proofErr w:type="gramStart"/>
      <w:r w:rsidR="008D5485" w:rsidRPr="004B4934">
        <w:t>require</w:t>
      </w:r>
      <w:r w:rsidRPr="004B4934">
        <w:t>s</w:t>
      </w:r>
      <w:proofErr w:type="gramEnd"/>
      <w:r w:rsidR="008D5485" w:rsidRPr="004B4934">
        <w:t xml:space="preserve"> </w:t>
      </w:r>
      <w:r w:rsidR="003F60BF" w:rsidRPr="004B4934">
        <w:t xml:space="preserve">hedging through derivatives. Out of the </w:t>
      </w:r>
      <w:r w:rsidR="00370E76" w:rsidRPr="004B4934">
        <w:t>roughly £300 billion of derivative exposure by UK PF</w:t>
      </w:r>
      <w:r w:rsidR="00780074" w:rsidRPr="004B4934">
        <w:t>, 43% are foreign currency forward contracts</w:t>
      </w:r>
      <w:r w:rsidR="00134942" w:rsidRPr="004B4934">
        <w:t>. While comprehensive</w:t>
      </w:r>
      <w:r w:rsidR="009321BD" w:rsidRPr="004B4934">
        <w:t xml:space="preserve"> evidence about currency exposure</w:t>
      </w:r>
      <w:r w:rsidR="00134942" w:rsidRPr="004B4934">
        <w:t xml:space="preserve"> is not available, </w:t>
      </w:r>
      <w:r w:rsidR="00DC6193" w:rsidRPr="004B4934">
        <w:t xml:space="preserve">what </w:t>
      </w:r>
      <w:r w:rsidR="00493D09" w:rsidRPr="004B4934">
        <w:t>exist</w:t>
      </w:r>
      <w:r w:rsidR="00DC6193" w:rsidRPr="004B4934">
        <w:t>s</w:t>
      </w:r>
      <w:r w:rsidR="00493D09" w:rsidRPr="004B4934">
        <w:t xml:space="preserve"> suggests</w:t>
      </w:r>
      <w:r w:rsidR="005516FA" w:rsidRPr="004B4934">
        <w:t xml:space="preserve"> </w:t>
      </w:r>
      <w:r w:rsidR="00884A77" w:rsidRPr="004B4934">
        <w:t xml:space="preserve">that </w:t>
      </w:r>
      <w:proofErr w:type="gramStart"/>
      <w:r w:rsidR="00493D09" w:rsidRPr="004B4934">
        <w:t>the</w:t>
      </w:r>
      <w:r w:rsidR="006A6DDC" w:rsidRPr="004B4934">
        <w:t xml:space="preserve"> majority of</w:t>
      </w:r>
      <w:proofErr w:type="gramEnd"/>
      <w:r w:rsidR="005516FA" w:rsidRPr="004B4934">
        <w:t xml:space="preserve"> these</w:t>
      </w:r>
      <w:r w:rsidR="008D2F5C" w:rsidRPr="004B4934">
        <w:t xml:space="preserve"> contracts</w:t>
      </w:r>
      <w:r w:rsidR="005516FA" w:rsidRPr="004B4934">
        <w:t xml:space="preserve"> </w:t>
      </w:r>
      <w:r w:rsidR="00493D09" w:rsidRPr="004B4934">
        <w:t>sell USD forwards to buy GBP</w:t>
      </w:r>
      <w:r w:rsidR="00BF0846" w:rsidRPr="004B4934">
        <w:rPr>
          <w:rStyle w:val="EndnoteReference"/>
        </w:rPr>
        <w:endnoteReference w:id="15"/>
      </w:r>
      <w:r w:rsidR="00884A77" w:rsidRPr="004B4934">
        <w:t>. T</w:t>
      </w:r>
      <w:r w:rsidR="00493D09" w:rsidRPr="004B4934">
        <w:t xml:space="preserve">he Triennial </w:t>
      </w:r>
      <w:r w:rsidR="001D623A" w:rsidRPr="004B4934">
        <w:t xml:space="preserve">BIS </w:t>
      </w:r>
      <w:r w:rsidR="00493D09" w:rsidRPr="004B4934">
        <w:t xml:space="preserve">Survey shows that about three quarters of GBP-based FX derivatives are with the USD </w:t>
      </w:r>
      <w:r w:rsidR="00493D09" w:rsidRPr="004B4934">
        <w:fldChar w:fldCharType="begin"/>
      </w:r>
      <w:r w:rsidR="00E461FE">
        <w:instrText xml:space="preserve"> ADDIN ZOTERO_ITEM CSL_CITATION {"citationID":"IkEBQrTO","properties":{"formattedCitation":"(BIS 2019)","plainCitation":"(BIS 2019)","noteIndex":0},"citationItems":[{"id":72,"uris":["http://zotero.org/users/5165859/items/UZACHEHS"],"itemData":{"id":72,"type":"report","abstract":"The results of the 2019 Triennial Survey are summarised in commentaries about foreign exchange turnover and interest rate turnover.","language":"en","publisher":"Bank for International Settlements","source":"www.bis.org","title":"Triennial Central Bank Survey of Foreign Exchange and Over-the-counter (OTC) Derivatives Markets in 2019","URL":"https://www.bis.org/statistics/rpfx19.htm","author":[{"family":"BIS","given":""}],"accessed":{"date-parts":[["2020",10,26]]},"issued":{"date-parts":[["2019",9,16]]}}}],"schema":"https://github.com/citation-style-language/schema/raw/master/csl-citation.json"} </w:instrText>
      </w:r>
      <w:r w:rsidR="00493D09" w:rsidRPr="004B4934">
        <w:fldChar w:fldCharType="separate"/>
      </w:r>
      <w:r w:rsidR="00493D09" w:rsidRPr="004B4934">
        <w:rPr>
          <w:sz w:val="22"/>
          <w:szCs w:val="22"/>
        </w:rPr>
        <w:t>(BIS 2019)</w:t>
      </w:r>
      <w:r w:rsidR="00493D09" w:rsidRPr="004B4934">
        <w:fldChar w:fldCharType="end"/>
      </w:r>
      <w:r w:rsidR="00493D09" w:rsidRPr="004B4934">
        <w:t>, and the financial report of BT pension scheme, the largest private</w:t>
      </w:r>
      <w:r w:rsidR="00175F61" w:rsidRPr="004B4934">
        <w:t>-sector</w:t>
      </w:r>
      <w:r w:rsidR="00493D09" w:rsidRPr="004B4934">
        <w:t xml:space="preserve"> scheme in the UK</w:t>
      </w:r>
      <w:r w:rsidR="00175F61" w:rsidRPr="004B4934">
        <w:t xml:space="preserve">, shows that over </w:t>
      </w:r>
      <w:r w:rsidR="00CA74A3" w:rsidRPr="004B4934">
        <w:t>74</w:t>
      </w:r>
      <w:r w:rsidR="00175F61" w:rsidRPr="004B4934">
        <w:t>% of curren</w:t>
      </w:r>
      <w:r w:rsidR="00FE4ACE" w:rsidRPr="004B4934">
        <w:t xml:space="preserve">cy forwards are purchases of GBP for USD </w:t>
      </w:r>
      <w:r w:rsidR="006C098E" w:rsidRPr="004B4934">
        <w:t xml:space="preserve">as of </w:t>
      </w:r>
      <w:r w:rsidR="00B03A1B" w:rsidRPr="004B4934">
        <w:t xml:space="preserve">June 2020 </w:t>
      </w:r>
      <w:r w:rsidR="00B03A1B" w:rsidRPr="004B4934">
        <w:fldChar w:fldCharType="begin"/>
      </w:r>
      <w:r w:rsidR="00E461FE">
        <w:instrText xml:space="preserve"> ADDIN ZOTERO_ITEM CSL_CITATION {"citationID":"iuHqeGM8","properties":{"formattedCitation":"(BTPS 2020)","plainCitation":"(BTPS 2020)","noteIndex":0},"citationItems":[{"id":71,"uris":["http://zotero.org/users/5165859/items/PWBG9B9D"],"itemData":{"id":71,"type":"report","title":"BTPS Annual Report and Accounts 2020","author":[{"family":"BTPS","given":""}],"issued":{"date-parts":[["2020"]]}}}],"schema":"https://github.com/citation-style-language/schema/raw/master/csl-citation.json"} </w:instrText>
      </w:r>
      <w:r w:rsidR="00B03A1B" w:rsidRPr="004B4934">
        <w:fldChar w:fldCharType="separate"/>
      </w:r>
      <w:r w:rsidR="00B03A1B" w:rsidRPr="004B4934">
        <w:t>(BTPS 2020)</w:t>
      </w:r>
      <w:r w:rsidR="00B03A1B" w:rsidRPr="004B4934">
        <w:fldChar w:fldCharType="end"/>
      </w:r>
      <w:r w:rsidR="00FE4ACE" w:rsidRPr="004B4934">
        <w:t>.</w:t>
      </w:r>
      <w:r w:rsidR="00C92BE1" w:rsidRPr="004B4934">
        <w:t xml:space="preserve"> Thes</w:t>
      </w:r>
      <w:r w:rsidR="000C7651" w:rsidRPr="004B4934">
        <w:t>e contract</w:t>
      </w:r>
      <w:r w:rsidR="00551258" w:rsidRPr="004B4934">
        <w:t>s</w:t>
      </w:r>
      <w:r w:rsidR="000C7651" w:rsidRPr="004B4934">
        <w:t xml:space="preserve"> </w:t>
      </w:r>
      <w:r w:rsidR="00216DA4" w:rsidRPr="004B4934">
        <w:t xml:space="preserve">are however typically short-term, </w:t>
      </w:r>
      <w:r w:rsidR="00DC3784" w:rsidRPr="004B4934">
        <w:t xml:space="preserve">as </w:t>
      </w:r>
      <w:r w:rsidR="00216DA4" w:rsidRPr="004B4934">
        <w:t>al</w:t>
      </w:r>
      <w:r w:rsidR="00DC3784" w:rsidRPr="004B4934">
        <w:t>most</w:t>
      </w:r>
      <w:r w:rsidR="00216DA4" w:rsidRPr="004B4934">
        <w:t xml:space="preserve"> 90% of</w:t>
      </w:r>
      <w:r w:rsidR="00DC3784" w:rsidRPr="004B4934">
        <w:t xml:space="preserve"> currency forward</w:t>
      </w:r>
      <w:r w:rsidR="00216DA4" w:rsidRPr="004B4934">
        <w:t>s</w:t>
      </w:r>
      <w:r w:rsidR="00DC3784" w:rsidRPr="004B4934">
        <w:t xml:space="preserve"> have maturities</w:t>
      </w:r>
      <w:r w:rsidR="00216DA4" w:rsidRPr="004B4934">
        <w:t xml:space="preserve"> under six months</w:t>
      </w:r>
      <w:r w:rsidR="00146BEA" w:rsidRPr="004B4934">
        <w:t>. This short-term nature of derivatives</w:t>
      </w:r>
      <w:r w:rsidR="00216DA4" w:rsidRPr="004B4934">
        <w:t xml:space="preserve"> exposes PF to roll-over risks</w:t>
      </w:r>
      <w:r w:rsidR="00334FEC" w:rsidRPr="004B4934">
        <w:t>.</w:t>
      </w:r>
      <w:r w:rsidR="00C26397" w:rsidRPr="004B4934">
        <w:t xml:space="preserve"> In a situation of financial market distress, PF </w:t>
      </w:r>
      <w:r w:rsidR="00C26397" w:rsidRPr="004B4934">
        <w:lastRenderedPageBreak/>
        <w:t>might find it difficult to renew their forward contracts, potentially exposing them to unhedged investments.</w:t>
      </w:r>
      <w:r w:rsidR="00334FEC" w:rsidRPr="004B4934">
        <w:t xml:space="preserve"> Furthermore,</w:t>
      </w:r>
      <w:r w:rsidR="00DC3784" w:rsidRPr="004B4934">
        <w:t xml:space="preserve"> </w:t>
      </w:r>
      <w:r w:rsidR="00334FEC" w:rsidRPr="004B4934">
        <w:t xml:space="preserve">most of these contracts require margins, </w:t>
      </w:r>
      <w:r w:rsidR="006542CB" w:rsidRPr="004B4934">
        <w:t>including daily variation margins</w:t>
      </w:r>
      <w:r w:rsidR="00334FEC" w:rsidRPr="004B4934">
        <w:t>, which require</w:t>
      </w:r>
      <w:r w:rsidR="00525606" w:rsidRPr="004B4934">
        <w:t xml:space="preserve"> PF to post</w:t>
      </w:r>
      <w:r w:rsidR="00334FEC" w:rsidRPr="004B4934">
        <w:t xml:space="preserve"> either </w:t>
      </w:r>
      <w:r w:rsidR="009472F3" w:rsidRPr="004B4934">
        <w:t>g</w:t>
      </w:r>
      <w:r w:rsidR="00334FEC" w:rsidRPr="004B4934">
        <w:t xml:space="preserve">ilts or cash </w:t>
      </w:r>
      <w:r w:rsidR="00525606" w:rsidRPr="004B4934">
        <w:t>to cover their positions depending on the value of the contract</w:t>
      </w:r>
      <w:r w:rsidR="00334FEC" w:rsidRPr="004B4934">
        <w:t xml:space="preserve"> </w:t>
      </w:r>
      <w:r w:rsidR="00334FEC" w:rsidRPr="004B4934">
        <w:fldChar w:fldCharType="begin"/>
      </w:r>
      <w:r w:rsidR="00184E76" w:rsidRPr="004B4934">
        <w:instrText xml:space="preserve"> ADDIN ZOTERO_ITEM CSL_CITATION {"citationID":"bn26oUSl","properties":{"formattedCitation":"(OMB Research 2019)","plainCitation":"(OMB Research 2019)","noteIndex":0},"citationItems":[{"id":1699,"uris":["http://zotero.org/users/5165859/items/CEZHGENZ"],"itemData":{"id":1699,"type":"report","publisher":"The Pensions Regulator","title":"DB Pension Scheme Leverage and Liquidity Survey","author":[{"family":"OMB Research","given":""}],"issued":{"date-parts":[["2019"]]}}}],"schema":"https://github.com/citation-style-language/schema/raw/master/csl-citation.json"} </w:instrText>
      </w:r>
      <w:r w:rsidR="00334FEC" w:rsidRPr="004B4934">
        <w:fldChar w:fldCharType="separate"/>
      </w:r>
      <w:r w:rsidR="00334FEC" w:rsidRPr="004B4934">
        <w:t>(OMB Research 2019)</w:t>
      </w:r>
      <w:r w:rsidR="00334FEC" w:rsidRPr="004B4934">
        <w:fldChar w:fldCharType="end"/>
      </w:r>
      <w:r w:rsidR="00066981" w:rsidRPr="004B4934">
        <w:t xml:space="preserve">. </w:t>
      </w:r>
      <w:r w:rsidR="00B04F62" w:rsidRPr="004B4934">
        <w:t>Th</w:t>
      </w:r>
      <w:r w:rsidR="00146BEA" w:rsidRPr="004B4934">
        <w:t xml:space="preserve">e need to post margins </w:t>
      </w:r>
      <w:r w:rsidR="0081346F" w:rsidRPr="004B4934">
        <w:t xml:space="preserve">directly </w:t>
      </w:r>
      <w:r w:rsidR="00146BEA" w:rsidRPr="004B4934">
        <w:t xml:space="preserve">creates liquidity problems for PF </w:t>
      </w:r>
      <w:r w:rsidR="00375114" w:rsidRPr="004B4934">
        <w:t>during crises, forcing them to</w:t>
      </w:r>
      <w:r w:rsidR="0035092D" w:rsidRPr="004B4934">
        <w:t xml:space="preserve"> dispose of long-term</w:t>
      </w:r>
      <w:r w:rsidR="00375114" w:rsidRPr="004B4934">
        <w:t xml:space="preserve"> assets and thus exerting pressure on </w:t>
      </w:r>
      <w:r w:rsidR="15F285C5" w:rsidRPr="004B4934">
        <w:t>asset prices, bond</w:t>
      </w:r>
      <w:r w:rsidR="22165756" w:rsidRPr="004B4934">
        <w:t xml:space="preserve"> </w:t>
      </w:r>
      <w:r w:rsidR="00375114" w:rsidRPr="004B4934">
        <w:t>yields and</w:t>
      </w:r>
      <w:r w:rsidR="0035092D" w:rsidRPr="004B4934">
        <w:t xml:space="preserve"> the</w:t>
      </w:r>
      <w:r w:rsidR="00146BEA" w:rsidRPr="004B4934">
        <w:t xml:space="preserve"> Pound Sterling</w:t>
      </w:r>
      <w:r w:rsidR="00F33E31" w:rsidRPr="004B4934">
        <w:t xml:space="preserve"> </w:t>
      </w:r>
      <w:r w:rsidR="00F33E31" w:rsidRPr="004B4934">
        <w:fldChar w:fldCharType="begin"/>
      </w:r>
      <w:r w:rsidR="00E461FE">
        <w:instrText xml:space="preserve"> ADDIN ZOTERO_ITEM CSL_CITATION {"citationID":"a7p4AIlc","properties":{"formattedCitation":"(Czech, Gual-Ricart, {\\i{}et al.} 2021, Czech, Huang, {\\i{}et al.} 2021)","plainCitation":"(Czech, Gual-Ricart, et al. 2021, Czech, Huang, et al. 2021)","noteIndex":0},"citationItems":[{"id":4021,"uris":["http://zotero.org/users/5165859/items/CZ2XWDHR"],"itemData":{"id":4021,"type":"report","collection-title":"Financial stability paper","language":"eng","number":"47","publisher":"Bank of England","title":"The role of non-bank financial intermediaries in the \"dash for cash\" in sterling markets","author":[{"family":"Czech","given":"Robert"},{"family":"Gual-Ricart","given":"Bernat"},{"family":"Lillis","given":"Joshua"},{"family":"Worlidge","given":"Jack"}],"issued":{"date-parts":[["2021",6,25]]}}},{"id":1453,"uris":["http://zotero.org/users/5165859/items/CPXTIP6C"],"itemData":{"id":1453,"type":"report","abstract":"We study investor trading behaviour and yield patterns in the UK government bond market during the recent Covid crisis. We show that the yield spike in mid-March 2020 was accompanied by heavy selling of gilts by UK-based insurance companies and pension funds (ICPFs), which we argue was an indirect result of the US dollar’s global prominence. Non-US institutions invest a large portion of their capital in dollar assets and hedge their dollar exposures by selling dollars forward through FX derivatives. In crisis periods, dollars appreciate against other currencies. To meet margin calls on these short-dollar FX positions, non-US institutions sell their domestic safe assets, thereby contributing to the yield spikes in domestic markets.","collection-title":"Bank of England working papers","language":"en","note":"container-title: Bank of England working papers","number":"953","publisher":"Bank of England","source":"ideas.repec.org","title":"An unintended consequence of holding dollar assets","URL":"https://ideas.repec.org/p/boe/boeewp/0953.html","author":[{"family":"Czech","given":"Robert"},{"family":"Huang","given":"Shiyang"},{"family":"Lou","given":"Dong"},{"family":"Wang","given":"Tianyu"}],"accessed":{"date-parts":[["2022",7,20]]},"issued":{"date-parts":[["2021",12,10]]}}}],"schema":"https://github.com/citation-style-language/schema/raw/master/csl-citation.json"} </w:instrText>
      </w:r>
      <w:r w:rsidR="00F33E31" w:rsidRPr="004B4934">
        <w:fldChar w:fldCharType="separate"/>
      </w:r>
      <w:r w:rsidR="00184E76" w:rsidRPr="004B4934">
        <w:t xml:space="preserve">(Czech, Gual-Ricart, </w:t>
      </w:r>
      <w:r w:rsidR="00184E76" w:rsidRPr="004B4934">
        <w:rPr>
          <w:i/>
          <w:iCs/>
        </w:rPr>
        <w:t>et al.</w:t>
      </w:r>
      <w:r w:rsidR="00184E76" w:rsidRPr="004B4934">
        <w:t xml:space="preserve"> 2021, Czech, Huang, </w:t>
      </w:r>
      <w:r w:rsidR="00184E76" w:rsidRPr="004B4934">
        <w:rPr>
          <w:i/>
          <w:iCs/>
        </w:rPr>
        <w:t>et al.</w:t>
      </w:r>
      <w:r w:rsidR="00184E76" w:rsidRPr="004B4934">
        <w:t xml:space="preserve"> 2021)</w:t>
      </w:r>
      <w:r w:rsidR="00F33E31" w:rsidRPr="004B4934">
        <w:fldChar w:fldCharType="end"/>
      </w:r>
      <w:r w:rsidR="00146BEA" w:rsidRPr="004B4934">
        <w:t>.</w:t>
      </w:r>
    </w:p>
    <w:p w14:paraId="25CD47C6" w14:textId="3E3F8910" w:rsidR="00D61AC6" w:rsidRPr="004B4934" w:rsidRDefault="00146BEA" w:rsidP="005C3C7E">
      <w:pPr>
        <w:pStyle w:val="Newparagraph"/>
      </w:pPr>
      <w:r w:rsidRPr="004B4934">
        <w:t xml:space="preserve"> </w:t>
      </w:r>
      <w:r w:rsidR="004068A3" w:rsidRPr="004B4934">
        <w:t>T</w:t>
      </w:r>
      <w:r w:rsidR="003362C1" w:rsidRPr="004B4934">
        <w:t xml:space="preserve">his section has </w:t>
      </w:r>
      <w:r w:rsidR="00F70638" w:rsidRPr="004B4934">
        <w:t xml:space="preserve">provided more detail on </w:t>
      </w:r>
      <w:r w:rsidR="003362C1" w:rsidRPr="004B4934">
        <w:t xml:space="preserve">how </w:t>
      </w:r>
      <w:r w:rsidR="0E02B539" w:rsidRPr="004B4934">
        <w:t>PF new</w:t>
      </w:r>
      <w:r w:rsidR="001313F1" w:rsidRPr="004B4934">
        <w:t xml:space="preserve"> </w:t>
      </w:r>
      <w:r w:rsidR="00486A92" w:rsidRPr="004B4934">
        <w:t xml:space="preserve">investment </w:t>
      </w:r>
      <w:r w:rsidR="0035092D" w:rsidRPr="004B4934">
        <w:t>strategies created</w:t>
      </w:r>
      <w:r w:rsidR="00DD7B25" w:rsidRPr="004B4934">
        <w:t xml:space="preserve"> a tighter link between </w:t>
      </w:r>
      <w:r w:rsidR="001B4593" w:rsidRPr="004B4934">
        <w:t>their investment</w:t>
      </w:r>
      <w:r w:rsidR="003362C1" w:rsidRPr="004B4934">
        <w:t>s</w:t>
      </w:r>
      <w:r w:rsidR="001B4593" w:rsidRPr="004B4934">
        <w:t xml:space="preserve"> and </w:t>
      </w:r>
      <w:r w:rsidR="4400C771" w:rsidRPr="004B4934">
        <w:t xml:space="preserve">(pro-cyclical) liquidity. This has important implications for the “patience” of PF investment. While </w:t>
      </w:r>
      <w:r w:rsidR="39EA6E93" w:rsidRPr="004B4934">
        <w:t xml:space="preserve">some of these investments – </w:t>
      </w:r>
      <w:proofErr w:type="gramStart"/>
      <w:r w:rsidR="39EA6E93" w:rsidRPr="004B4934">
        <w:t>e.g.</w:t>
      </w:r>
      <w:proofErr w:type="gramEnd"/>
      <w:r w:rsidR="39EA6E93" w:rsidRPr="004B4934">
        <w:t xml:space="preserve"> </w:t>
      </w:r>
      <w:r w:rsidR="6A624E25" w:rsidRPr="004B4934">
        <w:t>“</w:t>
      </w:r>
      <w:r w:rsidR="39EA6E93" w:rsidRPr="004B4934">
        <w:t>alternatives</w:t>
      </w:r>
      <w:r w:rsidR="0AF17D56" w:rsidRPr="004B4934">
        <w:t>”</w:t>
      </w:r>
      <w:r w:rsidR="00284FD0" w:rsidRPr="004B4934">
        <w:t xml:space="preserve"> like private equity</w:t>
      </w:r>
      <w:r w:rsidR="39EA6E93" w:rsidRPr="004B4934">
        <w:t xml:space="preserve"> – could </w:t>
      </w:r>
      <w:r w:rsidR="00284FD0" w:rsidRPr="004B4934">
        <w:t xml:space="preserve">arguably </w:t>
      </w:r>
      <w:r w:rsidR="39EA6E93" w:rsidRPr="004B4934">
        <w:t xml:space="preserve">be </w:t>
      </w:r>
      <w:r w:rsidR="229571E3" w:rsidRPr="004B4934">
        <w:t>considered patient</w:t>
      </w:r>
      <w:r w:rsidR="3A6E0268" w:rsidRPr="004B4934">
        <w:t>, PF have become more mindful of their liquidity</w:t>
      </w:r>
      <w:r w:rsidR="022FB39B" w:rsidRPr="004B4934">
        <w:t>, and as such disposability</w:t>
      </w:r>
      <w:r w:rsidR="56679A2C" w:rsidRPr="004B4934">
        <w:t xml:space="preserve">, thus de facto revealing a lessened patience. </w:t>
      </w:r>
      <w:r w:rsidR="00284FD0" w:rsidRPr="004B4934">
        <w:t>T</w:t>
      </w:r>
      <w:r w:rsidR="56679A2C" w:rsidRPr="004B4934">
        <w:t>his might not</w:t>
      </w:r>
      <w:r w:rsidR="005710AA" w:rsidRPr="004B4934">
        <w:t xml:space="preserve"> always </w:t>
      </w:r>
      <w:r w:rsidR="56679A2C" w:rsidRPr="004B4934">
        <w:t xml:space="preserve">be </w:t>
      </w:r>
      <w:r w:rsidR="64659689" w:rsidRPr="004B4934">
        <w:t>visible</w:t>
      </w:r>
      <w:r w:rsidR="56679A2C" w:rsidRPr="004B4934">
        <w:t xml:space="preserve">, </w:t>
      </w:r>
      <w:r w:rsidR="00284FD0" w:rsidRPr="004B4934">
        <w:t xml:space="preserve">but </w:t>
      </w:r>
      <w:r w:rsidR="56679A2C" w:rsidRPr="004B4934">
        <w:t xml:space="preserve">during crises, </w:t>
      </w:r>
      <w:r w:rsidR="77152793" w:rsidRPr="004B4934">
        <w:t>PF tap into these liquidity sources</w:t>
      </w:r>
      <w:r w:rsidR="0E2FEFF2" w:rsidRPr="004B4934">
        <w:t xml:space="preserve"> by redeeming their</w:t>
      </w:r>
      <w:r w:rsidR="415A8D5C" w:rsidRPr="004B4934">
        <w:t xml:space="preserve"> </w:t>
      </w:r>
      <w:r w:rsidR="0E2FEFF2" w:rsidRPr="004B4934">
        <w:t>fund shares</w:t>
      </w:r>
      <w:r w:rsidR="00284FD0" w:rsidRPr="004B4934">
        <w:t>, as they seek cash to face their margin calls</w:t>
      </w:r>
      <w:r w:rsidR="77152793" w:rsidRPr="004B4934">
        <w:t>.</w:t>
      </w:r>
      <w:r w:rsidR="52BF6112" w:rsidRPr="004B4934">
        <w:t xml:space="preserve"> </w:t>
      </w:r>
      <w:r w:rsidR="00423623" w:rsidRPr="004B4934">
        <w:t xml:space="preserve">Since pooled funds’ liquidity </w:t>
      </w:r>
      <w:r w:rsidR="516B3C51" w:rsidRPr="004B4934">
        <w:t xml:space="preserve">too </w:t>
      </w:r>
      <w:r w:rsidR="00423623" w:rsidRPr="004B4934">
        <w:t xml:space="preserve">is negatively </w:t>
      </w:r>
      <w:r w:rsidR="2B95A297" w:rsidRPr="004B4934">
        <w:t>affected by the pro-cyclicality of liquidity, PF can turn into sellers of long-term assets as they face liquidity calls</w:t>
      </w:r>
      <w:r w:rsidR="00284FD0" w:rsidRPr="004B4934">
        <w:t>, thus putting direct downward pressure on asset prices</w:t>
      </w:r>
      <w:r w:rsidR="2B95A297" w:rsidRPr="004B4934">
        <w:t xml:space="preserve">. We </w:t>
      </w:r>
      <w:r w:rsidR="73E8F8EE" w:rsidRPr="004B4934">
        <w:t>have described</w:t>
      </w:r>
      <w:r w:rsidR="2B95A297" w:rsidRPr="004B4934">
        <w:t xml:space="preserve"> one primary source of th</w:t>
      </w:r>
      <w:r w:rsidR="7781D8AB" w:rsidRPr="004B4934">
        <w:t>ese calls</w:t>
      </w:r>
      <w:r w:rsidR="2B95A297" w:rsidRPr="004B4934">
        <w:t xml:space="preserve">, </w:t>
      </w:r>
      <w:proofErr w:type="gramStart"/>
      <w:r w:rsidR="675CBC28" w:rsidRPr="004B4934">
        <w:t>i</w:t>
      </w:r>
      <w:r w:rsidR="2B95A297" w:rsidRPr="004B4934">
        <w:t>.e.</w:t>
      </w:r>
      <w:proofErr w:type="gramEnd"/>
      <w:r w:rsidR="2B95A297" w:rsidRPr="004B4934">
        <w:t xml:space="preserve"> foreign exchange hedging</w:t>
      </w:r>
      <w:r w:rsidR="6D82628A" w:rsidRPr="004B4934">
        <w:t>. The next section focuses on other key sources, and the role of repos in this process.</w:t>
      </w:r>
      <w:r w:rsidR="2B95A297" w:rsidRPr="004B4934">
        <w:t xml:space="preserve"> </w:t>
      </w:r>
      <w:r w:rsidR="004D3587" w:rsidRPr="004B4934">
        <w:t xml:space="preserve"> </w:t>
      </w:r>
      <w:r w:rsidR="000C640B" w:rsidRPr="004B4934">
        <w:t xml:space="preserve"> </w:t>
      </w:r>
    </w:p>
    <w:p w14:paraId="475B04D0" w14:textId="069FDFE1" w:rsidR="009E383B" w:rsidRPr="004B4934" w:rsidRDefault="00C35536" w:rsidP="00D61AC6">
      <w:pPr>
        <w:pStyle w:val="Heading1"/>
        <w:numPr>
          <w:ilvl w:val="0"/>
          <w:numId w:val="32"/>
        </w:numPr>
      </w:pPr>
      <w:r w:rsidRPr="004B4934">
        <w:t>Time-critical liquidity: r</w:t>
      </w:r>
      <w:r w:rsidR="00AD3FF6" w:rsidRPr="004B4934">
        <w:t>epos and swaps</w:t>
      </w:r>
    </w:p>
    <w:p w14:paraId="7A8FBA9C" w14:textId="7FA08321" w:rsidR="0085225B" w:rsidRPr="004B4934" w:rsidRDefault="00EE0392" w:rsidP="0085225B">
      <w:pPr>
        <w:pStyle w:val="Newparagraph"/>
      </w:pPr>
      <w:r w:rsidRPr="004B4934">
        <w:t>As shown in the previous</w:t>
      </w:r>
      <w:r w:rsidR="00535322" w:rsidRPr="004B4934">
        <w:t xml:space="preserve"> </w:t>
      </w:r>
      <w:r w:rsidRPr="004B4934">
        <w:t xml:space="preserve">section, allocations to gilts have increased </w:t>
      </w:r>
      <w:r w:rsidR="00535322" w:rsidRPr="004B4934">
        <w:t xml:space="preserve">for UK PF. </w:t>
      </w:r>
      <w:r w:rsidR="000838AF" w:rsidRPr="004B4934">
        <w:t>Aside from their interest-rate hedging role in LDI strategies, t</w:t>
      </w:r>
      <w:r w:rsidRPr="004B4934">
        <w:t xml:space="preserve">his </w:t>
      </w:r>
      <w:r w:rsidR="00535322" w:rsidRPr="004B4934">
        <w:t>has been a direct outcome of the rise in collateralized lending in market-based financial systems</w:t>
      </w:r>
      <w:r w:rsidR="009F0980" w:rsidRPr="004B4934">
        <w:t xml:space="preserve">. In addition to </w:t>
      </w:r>
      <w:r w:rsidR="00AA02D1" w:rsidRPr="004B4934">
        <w:t>FX derivatives, gilts have two additional key functions for PF</w:t>
      </w:r>
      <w:r w:rsidR="00535322" w:rsidRPr="004B4934">
        <w:t xml:space="preserve">. </w:t>
      </w:r>
      <w:r w:rsidR="00E66620" w:rsidRPr="004B4934">
        <w:t>First</w:t>
      </w:r>
      <w:r w:rsidR="00C67F90" w:rsidRPr="004B4934">
        <w:t>ly</w:t>
      </w:r>
      <w:r w:rsidR="005175AE" w:rsidRPr="004B4934">
        <w:t>,</w:t>
      </w:r>
      <w:r w:rsidR="00E66620" w:rsidRPr="004B4934">
        <w:t xml:space="preserve"> </w:t>
      </w:r>
      <w:r w:rsidR="00AA02D1" w:rsidRPr="004B4934">
        <w:t>they</w:t>
      </w:r>
      <w:r w:rsidR="005175AE" w:rsidRPr="004B4934">
        <w:t xml:space="preserve"> are </w:t>
      </w:r>
      <w:r w:rsidR="00876314" w:rsidRPr="004B4934">
        <w:t xml:space="preserve">used </w:t>
      </w:r>
      <w:r w:rsidR="00E66620" w:rsidRPr="004B4934">
        <w:t>for</w:t>
      </w:r>
      <w:r w:rsidR="00E021C5" w:rsidRPr="004B4934">
        <w:t xml:space="preserve"> leverage</w:t>
      </w:r>
      <w:r w:rsidR="00E66620" w:rsidRPr="004B4934">
        <w:t xml:space="preserve"> </w:t>
      </w:r>
      <w:r w:rsidR="003D0C11" w:rsidRPr="004B4934">
        <w:t>through repos</w:t>
      </w:r>
      <w:r w:rsidR="00AC0DDC" w:rsidRPr="004B4934">
        <w:t xml:space="preserve">. </w:t>
      </w:r>
      <w:r w:rsidR="00225A4B" w:rsidRPr="004B4934">
        <w:t xml:space="preserve">Traditionally, </w:t>
      </w:r>
      <w:r w:rsidR="00E021C5" w:rsidRPr="004B4934">
        <w:t xml:space="preserve">UK PF have not used extensive </w:t>
      </w:r>
      <w:r w:rsidR="00E021C5" w:rsidRPr="004B4934">
        <w:lastRenderedPageBreak/>
        <w:t>leverag</w:t>
      </w:r>
      <w:r w:rsidR="005C4D75" w:rsidRPr="004B4934">
        <w:t>e, despite not having stringent regulations</w:t>
      </w:r>
      <w:r w:rsidR="005C4D75" w:rsidRPr="004B4934">
        <w:rPr>
          <w:rStyle w:val="EndnoteReference"/>
        </w:rPr>
        <w:endnoteReference w:id="16"/>
      </w:r>
      <w:r w:rsidR="005C4D75" w:rsidRPr="004B4934">
        <w:t>.</w:t>
      </w:r>
      <w:r w:rsidR="0085225B" w:rsidRPr="004B4934">
        <w:t xml:space="preserve"> </w:t>
      </w:r>
      <w:r w:rsidR="00DC45E9" w:rsidRPr="004B4934">
        <w:t>However, since 200</w:t>
      </w:r>
      <w:r w:rsidR="000A75B7" w:rsidRPr="004B4934">
        <w:t>2</w:t>
      </w:r>
      <w:r w:rsidR="00DC45E9" w:rsidRPr="004B4934">
        <w:t xml:space="preserve"> </w:t>
      </w:r>
      <w:r w:rsidR="00824ADE" w:rsidRPr="004B4934">
        <w:t xml:space="preserve">leverage has </w:t>
      </w:r>
      <w:r w:rsidR="00245F36" w:rsidRPr="004B4934">
        <w:t xml:space="preserve">increased and </w:t>
      </w:r>
      <w:r w:rsidR="00824ADE" w:rsidRPr="004B4934">
        <w:t xml:space="preserve">fluctuated </w:t>
      </w:r>
      <w:r w:rsidR="0012460F" w:rsidRPr="004B4934">
        <w:t>pro-</w:t>
      </w:r>
      <w:r w:rsidR="00824ADE" w:rsidRPr="004B4934">
        <w:t>cyclically,</w:t>
      </w:r>
      <w:r w:rsidR="00245F36" w:rsidRPr="004B4934">
        <w:t xml:space="preserve"> reaching about </w:t>
      </w:r>
      <w:r w:rsidR="0012460F" w:rsidRPr="004B4934">
        <w:t>8</w:t>
      </w:r>
      <w:r w:rsidR="00245F36" w:rsidRPr="004B4934">
        <w:t xml:space="preserve">% as of the end of </w:t>
      </w:r>
      <w:r w:rsidR="0012460F" w:rsidRPr="004B4934">
        <w:t xml:space="preserve">2020 </w:t>
      </w:r>
      <w:r w:rsidR="00107D8C" w:rsidRPr="004B4934">
        <w:t xml:space="preserve">(Figure </w:t>
      </w:r>
      <w:r w:rsidR="003B6801" w:rsidRPr="004B4934">
        <w:t>4</w:t>
      </w:r>
      <w:r w:rsidR="00107D8C" w:rsidRPr="004B4934">
        <w:t>)</w:t>
      </w:r>
      <w:r w:rsidR="00245F36" w:rsidRPr="004B4934">
        <w:t>.</w:t>
      </w:r>
      <w:r w:rsidR="00CD6F24" w:rsidRPr="004B4934">
        <w:t xml:space="preserve"> </w:t>
      </w:r>
    </w:p>
    <w:p w14:paraId="0712B9D1" w14:textId="084A5CB8" w:rsidR="00A16CBB" w:rsidRPr="004B4934" w:rsidRDefault="005E5C4F" w:rsidP="00242149">
      <w:pPr>
        <w:pStyle w:val="Figurecaption"/>
      </w:pPr>
      <w:r w:rsidRPr="004B4934">
        <w:t xml:space="preserve">Figure </w:t>
      </w:r>
      <w:r w:rsidR="003B6801" w:rsidRPr="004B4934">
        <w:t>4</w:t>
      </w:r>
      <w:r w:rsidRPr="004B4934">
        <w:t xml:space="preserve">. </w:t>
      </w:r>
      <w:r w:rsidR="00624921" w:rsidRPr="004B4934">
        <w:t>Pension fund leverage</w:t>
      </w:r>
    </w:p>
    <w:p w14:paraId="19BAADDD" w14:textId="2FA2CB58" w:rsidR="00242149" w:rsidRPr="004B4934" w:rsidRDefault="00D4581B" w:rsidP="00242149">
      <w:pPr>
        <w:pStyle w:val="Figurecaption"/>
      </w:pPr>
      <w:r>
        <w:rPr>
          <w:noProof/>
        </w:rPr>
        <w:drawing>
          <wp:inline distT="0" distB="0" distL="0" distR="0" wp14:anchorId="135FB94D" wp14:editId="5AF124DD">
            <wp:extent cx="5396865" cy="3070225"/>
            <wp:effectExtent l="0" t="0" r="13335" b="15875"/>
            <wp:docPr id="4" name="Chart 4">
              <a:extLst xmlns:a="http://schemas.openxmlformats.org/drawingml/2006/main">
                <a:ext uri="{FF2B5EF4-FFF2-40B4-BE49-F238E27FC236}">
                  <a16:creationId xmlns:a16="http://schemas.microsoft.com/office/drawing/2014/main" id="{CA4C6CD7-B42B-4FB0-B132-C3C9D43BF5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624921" w:rsidRPr="004B4934">
        <w:rPr>
          <w:sz w:val="22"/>
          <w:szCs w:val="22"/>
        </w:rPr>
        <w:t>Source</w:t>
      </w:r>
      <w:r w:rsidR="00E6721F" w:rsidRPr="004B4934">
        <w:rPr>
          <w:sz w:val="22"/>
          <w:szCs w:val="22"/>
        </w:rPr>
        <w:t>:</w:t>
      </w:r>
      <w:r w:rsidR="00624921" w:rsidRPr="004B4934">
        <w:rPr>
          <w:sz w:val="22"/>
          <w:szCs w:val="22"/>
        </w:rPr>
        <w:t xml:space="preserve"> ONS MQ5 and FSPS</w:t>
      </w:r>
      <w:r w:rsidR="00E6721F" w:rsidRPr="004B4934">
        <w:rPr>
          <w:sz w:val="22"/>
          <w:szCs w:val="22"/>
        </w:rPr>
        <w:t>.</w:t>
      </w:r>
      <w:r w:rsidR="008678C9" w:rsidRPr="004B4934">
        <w:rPr>
          <w:sz w:val="22"/>
          <w:szCs w:val="22"/>
        </w:rPr>
        <w:t xml:space="preserve"> Leverage is calculated as the sum of</w:t>
      </w:r>
      <w:r w:rsidR="004853FF" w:rsidRPr="004B4934">
        <w:rPr>
          <w:sz w:val="22"/>
          <w:szCs w:val="22"/>
        </w:rPr>
        <w:t xml:space="preserve"> </w:t>
      </w:r>
      <w:r w:rsidR="008678C9" w:rsidRPr="004B4934">
        <w:rPr>
          <w:sz w:val="22"/>
          <w:szCs w:val="22"/>
        </w:rPr>
        <w:t>non-</w:t>
      </w:r>
      <w:r w:rsidR="003B6CC8" w:rsidRPr="004B4934">
        <w:rPr>
          <w:sz w:val="22"/>
          <w:szCs w:val="22"/>
        </w:rPr>
        <w:t xml:space="preserve">pension and </w:t>
      </w:r>
      <w:r w:rsidR="008678C9" w:rsidRPr="004B4934">
        <w:rPr>
          <w:sz w:val="22"/>
          <w:szCs w:val="22"/>
        </w:rPr>
        <w:t>non-derivative liabilities</w:t>
      </w:r>
      <w:r w:rsidR="00242149" w:rsidRPr="004B4934">
        <w:rPr>
          <w:sz w:val="22"/>
          <w:szCs w:val="22"/>
        </w:rPr>
        <w:t>, divided by total assets.</w:t>
      </w:r>
      <w:r w:rsidR="00C453C9" w:rsidRPr="004B4934">
        <w:rPr>
          <w:sz w:val="22"/>
          <w:szCs w:val="22"/>
        </w:rPr>
        <w:t xml:space="preserve"> There is unfortunately no data for 201</w:t>
      </w:r>
      <w:r w:rsidR="0012460F" w:rsidRPr="004B4934">
        <w:rPr>
          <w:sz w:val="22"/>
          <w:szCs w:val="22"/>
        </w:rPr>
        <w:t>8</w:t>
      </w:r>
      <w:r w:rsidR="00C453C9" w:rsidRPr="004B4934">
        <w:rPr>
          <w:sz w:val="22"/>
          <w:szCs w:val="22"/>
        </w:rPr>
        <w:t xml:space="preserve"> due to the MQ5 database being discontinued</w:t>
      </w:r>
      <w:r w:rsidR="0012460F" w:rsidRPr="004B4934">
        <w:rPr>
          <w:sz w:val="22"/>
          <w:szCs w:val="22"/>
        </w:rPr>
        <w:t xml:space="preserve"> before the years of FSPS coverage</w:t>
      </w:r>
      <w:r w:rsidR="00C453C9" w:rsidRPr="004B4934">
        <w:rPr>
          <w:sz w:val="22"/>
          <w:szCs w:val="22"/>
        </w:rPr>
        <w:t xml:space="preserve">. </w:t>
      </w:r>
    </w:p>
    <w:p w14:paraId="00AC08A6" w14:textId="77777777" w:rsidR="00F71F32" w:rsidRPr="004B4934" w:rsidRDefault="00F71F32" w:rsidP="0026454D">
      <w:pPr>
        <w:pStyle w:val="Newparagraph"/>
      </w:pPr>
    </w:p>
    <w:p w14:paraId="49863C8C" w14:textId="030AFB70" w:rsidR="0026454D" w:rsidRPr="004B4934" w:rsidRDefault="00876314" w:rsidP="00923D93">
      <w:pPr>
        <w:pStyle w:val="Newparagraph"/>
        <w:ind w:firstLine="0"/>
      </w:pPr>
      <w:proofErr w:type="gramStart"/>
      <w:r w:rsidRPr="004B4934">
        <w:t xml:space="preserve">The vast majority </w:t>
      </w:r>
      <w:r w:rsidR="00ED357F" w:rsidRPr="004B4934">
        <w:t>of</w:t>
      </w:r>
      <w:proofErr w:type="gramEnd"/>
      <w:r w:rsidR="00ED357F" w:rsidRPr="004B4934">
        <w:t xml:space="preserve"> this leverage </w:t>
      </w:r>
      <w:r w:rsidRPr="004B4934">
        <w:t>takes</w:t>
      </w:r>
      <w:r w:rsidR="00ED357F" w:rsidRPr="004B4934">
        <w:t xml:space="preserve"> the form of repo borrowing. </w:t>
      </w:r>
      <w:r w:rsidR="003E63D9" w:rsidRPr="004B4934">
        <w:t>Repo borrowing allows PF to use their safe assets</w:t>
      </w:r>
      <w:r w:rsidR="00ED357F" w:rsidRPr="004B4934">
        <w:t xml:space="preserve"> (mainly </w:t>
      </w:r>
      <w:r w:rsidR="00811890" w:rsidRPr="004B4934">
        <w:t>g</w:t>
      </w:r>
      <w:r w:rsidR="00ED357F" w:rsidRPr="004B4934">
        <w:t>ilts</w:t>
      </w:r>
      <w:r w:rsidR="00FA6BBB" w:rsidRPr="004B4934">
        <w:t>)</w:t>
      </w:r>
      <w:r w:rsidR="00ED357F" w:rsidRPr="004B4934">
        <w:t xml:space="preserve"> </w:t>
      </w:r>
      <w:r w:rsidR="003E63D9" w:rsidRPr="004B4934">
        <w:t xml:space="preserve">to gain access to </w:t>
      </w:r>
      <w:r w:rsidR="00ED357F" w:rsidRPr="004B4934">
        <w:t xml:space="preserve">additional </w:t>
      </w:r>
      <w:r w:rsidR="00FA6BBB" w:rsidRPr="004B4934">
        <w:t>cash</w:t>
      </w:r>
      <w:r w:rsidR="003E63D9" w:rsidRPr="004B4934">
        <w:t xml:space="preserve">, </w:t>
      </w:r>
      <w:r w:rsidR="00ED357F" w:rsidRPr="004B4934">
        <w:t>which in turn can be used to acquire</w:t>
      </w:r>
      <w:r w:rsidR="00AE4F59" w:rsidRPr="004B4934">
        <w:t xml:space="preserve"> other assets or more generally to settle a cash transaction</w:t>
      </w:r>
      <w:r w:rsidR="003E63D9" w:rsidRPr="004B4934">
        <w:t xml:space="preserve">. Figure </w:t>
      </w:r>
      <w:r w:rsidR="003B6801" w:rsidRPr="004B4934">
        <w:t>5</w:t>
      </w:r>
      <w:r w:rsidR="003E63D9" w:rsidRPr="004B4934">
        <w:t xml:space="preserve"> shows how this works.</w:t>
      </w:r>
    </w:p>
    <w:p w14:paraId="3DCDA92A" w14:textId="3E7F6120" w:rsidR="0026454D" w:rsidRPr="004B4934" w:rsidRDefault="0026454D" w:rsidP="00991119">
      <w:pPr>
        <w:pStyle w:val="Figurecaption"/>
      </w:pPr>
      <w:r w:rsidRPr="004B4934">
        <w:t xml:space="preserve">Figure </w:t>
      </w:r>
      <w:r w:rsidR="003B6801" w:rsidRPr="004B4934">
        <w:t>5</w:t>
      </w:r>
      <w:r w:rsidRPr="004B4934">
        <w:t xml:space="preserve">. </w:t>
      </w:r>
      <w:r w:rsidR="00D95998" w:rsidRPr="004B4934">
        <w:t>PF repo transaction</w:t>
      </w:r>
      <w:r w:rsidRPr="004B4934">
        <w:t xml:space="preserve"> </w:t>
      </w:r>
    </w:p>
    <w:p w14:paraId="588ED40B" w14:textId="01F47C02" w:rsidR="00C74AA2" w:rsidRPr="004B4934" w:rsidRDefault="00BC1DB1" w:rsidP="00991119">
      <w:pPr>
        <w:pStyle w:val="Figurecaption"/>
      </w:pPr>
      <w:r w:rsidRPr="004B4934">
        <w:rPr>
          <w:noProof/>
        </w:rPr>
        <w:lastRenderedPageBreak/>
        <w:drawing>
          <wp:inline distT="0" distB="0" distL="0" distR="0" wp14:anchorId="00D44377" wp14:editId="55632B69">
            <wp:extent cx="3008484" cy="2508250"/>
            <wp:effectExtent l="0" t="0" r="1905"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hqprint">
                      <a:extLst>
                        <a:ext uri="{28A0092B-C50C-407E-A947-70E740481C1C}">
                          <a14:useLocalDpi xmlns:a14="http://schemas.microsoft.com/office/drawing/2010/main" val="0"/>
                        </a:ext>
                      </a:extLst>
                    </a:blip>
                    <a:srcRect/>
                    <a:stretch>
                      <a:fillRect/>
                    </a:stretch>
                  </pic:blipFill>
                  <pic:spPr bwMode="auto">
                    <a:xfrm>
                      <a:off x="0" y="0"/>
                      <a:ext cx="3028936" cy="2525302"/>
                    </a:xfrm>
                    <a:prstGeom prst="rect">
                      <a:avLst/>
                    </a:prstGeom>
                    <a:noFill/>
                    <a:ln>
                      <a:noFill/>
                    </a:ln>
                  </pic:spPr>
                </pic:pic>
              </a:graphicData>
            </a:graphic>
          </wp:inline>
        </w:drawing>
      </w:r>
    </w:p>
    <w:p w14:paraId="04597502" w14:textId="7ABF3FE3" w:rsidR="00090754" w:rsidRPr="004B4934" w:rsidRDefault="0026454D" w:rsidP="007278C5">
      <w:pPr>
        <w:pStyle w:val="Figurecaption"/>
      </w:pPr>
      <w:r w:rsidRPr="004B4934">
        <w:t>Source: Authors’ elaboration</w:t>
      </w:r>
      <w:r w:rsidR="00AB15E3" w:rsidRPr="004B4934">
        <w:t xml:space="preserve">. </w:t>
      </w:r>
    </w:p>
    <w:p w14:paraId="3D8D9E10" w14:textId="4EFA0B89" w:rsidR="0026454D" w:rsidRPr="004B4934" w:rsidRDefault="00991119" w:rsidP="00923D93">
      <w:pPr>
        <w:pStyle w:val="Newparagraph"/>
      </w:pPr>
      <w:r w:rsidRPr="004B4934">
        <w:t>PF</w:t>
      </w:r>
      <w:r w:rsidR="0026454D" w:rsidRPr="004B4934">
        <w:t xml:space="preserve"> borrow</w:t>
      </w:r>
      <w:r w:rsidR="00B30FAE" w:rsidRPr="004B4934">
        <w:t xml:space="preserve"> cash from a bank or other financial institution</w:t>
      </w:r>
      <w:r w:rsidR="0026454D" w:rsidRPr="004B4934">
        <w:t xml:space="preserve"> </w:t>
      </w:r>
      <w:r w:rsidR="005A7C33" w:rsidRPr="004B4934">
        <w:t xml:space="preserve">using </w:t>
      </w:r>
      <w:r w:rsidR="00811890" w:rsidRPr="004B4934">
        <w:t>g</w:t>
      </w:r>
      <w:r w:rsidR="005A7C33" w:rsidRPr="004B4934">
        <w:t>ilts as collateral</w:t>
      </w:r>
      <w:r w:rsidR="00D95998" w:rsidRPr="004B4934">
        <w:t xml:space="preserve">, </w:t>
      </w:r>
      <w:r w:rsidR="005A7C33" w:rsidRPr="004B4934">
        <w:t xml:space="preserve">with the intention </w:t>
      </w:r>
      <w:r w:rsidR="00B30FAE" w:rsidRPr="004B4934">
        <w:t>of</w:t>
      </w:r>
      <w:r w:rsidR="005A7C33" w:rsidRPr="004B4934">
        <w:t xml:space="preserve"> repurchas</w:t>
      </w:r>
      <w:r w:rsidR="00B30FAE" w:rsidRPr="004B4934">
        <w:t>ing</w:t>
      </w:r>
      <w:r w:rsidR="005A7C33" w:rsidRPr="004B4934">
        <w:t xml:space="preserve"> it</w:t>
      </w:r>
      <w:r w:rsidR="00B30FAE" w:rsidRPr="004B4934">
        <w:t xml:space="preserve"> later at a</w:t>
      </w:r>
      <w:r w:rsidR="00354110" w:rsidRPr="004B4934">
        <w:t xml:space="preserve"> specified price</w:t>
      </w:r>
      <w:r w:rsidR="00B30FAE" w:rsidRPr="004B4934">
        <w:t xml:space="preserve"> (</w:t>
      </w:r>
      <w:r w:rsidR="00354110" w:rsidRPr="004B4934">
        <w:t>set higher to include a return for the bank</w:t>
      </w:r>
      <w:r w:rsidR="00B30FAE" w:rsidRPr="004B4934">
        <w:t xml:space="preserve">, </w:t>
      </w:r>
      <w:r w:rsidR="00354110" w:rsidRPr="004B4934">
        <w:t>the repo rate)</w:t>
      </w:r>
      <w:r w:rsidR="0026454D" w:rsidRPr="004B4934">
        <w:t xml:space="preserve">. </w:t>
      </w:r>
      <w:r w:rsidR="009D22EC" w:rsidRPr="004B4934">
        <w:t>T</w:t>
      </w:r>
      <w:r w:rsidR="0026454D" w:rsidRPr="004B4934">
        <w:t xml:space="preserve">he </w:t>
      </w:r>
      <w:r w:rsidRPr="004B4934">
        <w:t>PF</w:t>
      </w:r>
      <w:r w:rsidR="0026454D" w:rsidRPr="004B4934">
        <w:t xml:space="preserve"> retains</w:t>
      </w:r>
      <w:r w:rsidR="008D2F5C" w:rsidRPr="004B4934">
        <w:t xml:space="preserve"> legal ownership and</w:t>
      </w:r>
      <w:r w:rsidR="0026454D" w:rsidRPr="004B4934">
        <w:t xml:space="preserve"> exposure to the underlying asset, which therefore still functions as a </w:t>
      </w:r>
      <w:r w:rsidR="00AA3801" w:rsidRPr="004B4934">
        <w:t>protection</w:t>
      </w:r>
      <w:r w:rsidR="0026454D" w:rsidRPr="004B4934">
        <w:t xml:space="preserve"> asset</w:t>
      </w:r>
      <w:r w:rsidR="00073667" w:rsidRPr="004B4934">
        <w:t xml:space="preserve"> for the purpose of hedging interest rate risk</w:t>
      </w:r>
      <w:r w:rsidR="0040752A" w:rsidRPr="004B4934">
        <w:rPr>
          <w:rStyle w:val="EndnoteReference"/>
        </w:rPr>
        <w:endnoteReference w:id="17"/>
      </w:r>
      <w:r w:rsidR="003C3779" w:rsidRPr="004B4934">
        <w:t xml:space="preserve"> </w:t>
      </w:r>
      <w:r w:rsidR="0026454D" w:rsidRPr="004B4934">
        <w:t xml:space="preserve">. </w:t>
      </w:r>
      <w:r w:rsidR="0013379F" w:rsidRPr="004B4934">
        <w:t>T</w:t>
      </w:r>
      <w:r w:rsidR="00B30FAE" w:rsidRPr="004B4934">
        <w:t>he cash acquired</w:t>
      </w:r>
      <w:r w:rsidR="0013379F" w:rsidRPr="004B4934">
        <w:t xml:space="preserve"> can be used to buy</w:t>
      </w:r>
      <w:r w:rsidR="00B30FAE" w:rsidRPr="004B4934">
        <w:t xml:space="preserve"> another asset </w:t>
      </w:r>
      <w:r w:rsidR="00DB6398" w:rsidRPr="004B4934">
        <w:t>to hedge</w:t>
      </w:r>
      <w:r w:rsidR="00B30FAE" w:rsidRPr="004B4934">
        <w:t xml:space="preserve"> their liabilities</w:t>
      </w:r>
      <w:r w:rsidR="00DB6398" w:rsidRPr="004B4934">
        <w:t xml:space="preserve"> valuation risks</w:t>
      </w:r>
      <w:r w:rsidR="00BD74FF" w:rsidRPr="004B4934">
        <w:t xml:space="preserve">, typically more </w:t>
      </w:r>
      <w:r w:rsidR="005512A5" w:rsidRPr="004B4934">
        <w:t>g</w:t>
      </w:r>
      <w:r w:rsidR="00B30FAE" w:rsidRPr="004B4934">
        <w:t xml:space="preserve">ilts. </w:t>
      </w:r>
      <w:r w:rsidR="002D6BCF" w:rsidRPr="004B4934">
        <w:t>Alternatively</w:t>
      </w:r>
      <w:r w:rsidR="005512A5" w:rsidRPr="004B4934">
        <w:t xml:space="preserve">, </w:t>
      </w:r>
      <w:r w:rsidR="0013379F" w:rsidRPr="004B4934">
        <w:t>it</w:t>
      </w:r>
      <w:r w:rsidR="002D6BCF" w:rsidRPr="004B4934">
        <w:t xml:space="preserve"> </w:t>
      </w:r>
      <w:r w:rsidR="00FA759B" w:rsidRPr="004B4934">
        <w:t>can be used to settle</w:t>
      </w:r>
      <w:r w:rsidR="005512A5" w:rsidRPr="004B4934">
        <w:t xml:space="preserve"> </w:t>
      </w:r>
      <w:r w:rsidR="005710AA" w:rsidRPr="004B4934">
        <w:t>liquidity</w:t>
      </w:r>
      <w:r w:rsidR="005512A5" w:rsidRPr="004B4934">
        <w:t xml:space="preserve"> needs</w:t>
      </w:r>
      <w:r w:rsidR="00DB6398" w:rsidRPr="004B4934">
        <w:t>, such as a pension paymen</w:t>
      </w:r>
      <w:r w:rsidR="00E47F44" w:rsidRPr="004B4934">
        <w:t>t, or purchase a growth asset. The PF has therefore paid the repo rate to retain exposure to protection asset</w:t>
      </w:r>
      <w:r w:rsidR="002609EC" w:rsidRPr="004B4934">
        <w:t>s</w:t>
      </w:r>
      <w:r w:rsidR="00E47F44" w:rsidRPr="004B4934">
        <w:t xml:space="preserve">, </w:t>
      </w:r>
      <w:r w:rsidR="00FA759B" w:rsidRPr="004B4934">
        <w:t xml:space="preserve">simultaneously </w:t>
      </w:r>
      <w:r w:rsidR="00E47F44" w:rsidRPr="004B4934">
        <w:t xml:space="preserve">“freeing” additional cash </w:t>
      </w:r>
      <w:r w:rsidR="00FA759B" w:rsidRPr="004B4934">
        <w:t>which can be used for other purposes.</w:t>
      </w:r>
    </w:p>
    <w:p w14:paraId="75BB9687" w14:textId="69192F8A" w:rsidR="0026454D" w:rsidRPr="004B4934" w:rsidRDefault="00E83605" w:rsidP="0026454D">
      <w:pPr>
        <w:pStyle w:val="Newparagraph"/>
      </w:pPr>
      <w:r w:rsidRPr="004B4934">
        <w:t>Secondly, gilts are used as collateral for interest rate swaps</w:t>
      </w:r>
      <w:r w:rsidR="008C3D84" w:rsidRPr="004B4934">
        <w:t>.</w:t>
      </w:r>
      <w:r w:rsidR="0001498C" w:rsidRPr="004B4934">
        <w:t xml:space="preserve"> </w:t>
      </w:r>
      <w:r w:rsidR="00183A3A" w:rsidRPr="004B4934">
        <w:t xml:space="preserve">As shown in Figure </w:t>
      </w:r>
      <w:r w:rsidR="003B6801" w:rsidRPr="004B4934">
        <w:t>6</w:t>
      </w:r>
      <w:r w:rsidR="00BD74FF" w:rsidRPr="004B4934">
        <w:t xml:space="preserve">, </w:t>
      </w:r>
      <w:r w:rsidR="0001498C" w:rsidRPr="004B4934">
        <w:t>PF have significantly increased their exposure to derivatives</w:t>
      </w:r>
      <w:r w:rsidR="008D2F5C" w:rsidRPr="004B4934">
        <w:t xml:space="preserve">, </w:t>
      </w:r>
      <w:r w:rsidR="0001498C" w:rsidRPr="004B4934">
        <w:t>especially in the 2010s</w:t>
      </w:r>
      <w:r w:rsidR="00BD74FF" w:rsidRPr="004B4934">
        <w:t xml:space="preserve">. </w:t>
      </w:r>
      <w:r w:rsidR="00992CFB" w:rsidRPr="004B4934">
        <w:t>Just under half</w:t>
      </w:r>
      <w:r w:rsidRPr="004B4934">
        <w:t xml:space="preserve"> </w:t>
      </w:r>
      <w:r w:rsidR="003C4B24" w:rsidRPr="004B4934">
        <w:t>of th</w:t>
      </w:r>
      <w:r w:rsidR="008D2F5C" w:rsidRPr="004B4934">
        <w:t>e</w:t>
      </w:r>
      <w:r w:rsidR="003C4B24" w:rsidRPr="004B4934">
        <w:t>s</w:t>
      </w:r>
      <w:r w:rsidR="008D2F5C" w:rsidRPr="004B4934">
        <w:t>e derivatives</w:t>
      </w:r>
      <w:r w:rsidR="003C4B24" w:rsidRPr="004B4934">
        <w:t xml:space="preserve"> are currency forwards</w:t>
      </w:r>
      <w:r w:rsidR="005C31A1" w:rsidRPr="004B4934">
        <w:t>, which hedge currency risk on foreign assets</w:t>
      </w:r>
      <w:r w:rsidR="00E83488" w:rsidRPr="004B4934">
        <w:t xml:space="preserve"> for the increasing foreign asset holdings, </w:t>
      </w:r>
      <w:r w:rsidR="005C31A1" w:rsidRPr="004B4934">
        <w:t>as described in the previous section</w:t>
      </w:r>
      <w:r w:rsidR="00BD74FF" w:rsidRPr="004B4934">
        <w:t xml:space="preserve">. However, </w:t>
      </w:r>
      <w:r w:rsidR="003C4B24" w:rsidRPr="004B4934">
        <w:t>an even larger proportion</w:t>
      </w:r>
      <w:r w:rsidR="00BD74FF" w:rsidRPr="004B4934">
        <w:t xml:space="preserve"> </w:t>
      </w:r>
      <w:r w:rsidR="00811890" w:rsidRPr="004B4934">
        <w:t>(</w:t>
      </w:r>
      <w:r w:rsidR="00B214CB" w:rsidRPr="004B4934">
        <w:t>more than half as of</w:t>
      </w:r>
      <w:r w:rsidR="00E83488" w:rsidRPr="004B4934">
        <w:t xml:space="preserve"> 2020</w:t>
      </w:r>
      <w:r w:rsidR="00811890" w:rsidRPr="004B4934">
        <w:t>)</w:t>
      </w:r>
      <w:r w:rsidR="00BD74FF" w:rsidRPr="004B4934">
        <w:t xml:space="preserve"> </w:t>
      </w:r>
      <w:r w:rsidR="003C4B24" w:rsidRPr="004B4934">
        <w:t xml:space="preserve">is accounted for by interest rate swaps. </w:t>
      </w:r>
    </w:p>
    <w:p w14:paraId="1E4DE619" w14:textId="0B12FBFE" w:rsidR="00B214CB" w:rsidRPr="004B4934" w:rsidRDefault="00B214CB" w:rsidP="002B7F99">
      <w:pPr>
        <w:pStyle w:val="Figurecaption"/>
      </w:pPr>
      <w:r w:rsidRPr="004B4934">
        <w:t xml:space="preserve">Figure </w:t>
      </w:r>
      <w:r w:rsidR="003B6801" w:rsidRPr="004B4934">
        <w:t>6</w:t>
      </w:r>
      <w:r w:rsidR="00BA7805" w:rsidRPr="004B4934">
        <w:t>. UK PF derivatives exposure</w:t>
      </w:r>
    </w:p>
    <w:p w14:paraId="5004262A" w14:textId="225D655F" w:rsidR="002B7F99" w:rsidRPr="004B4934" w:rsidRDefault="00A62168" w:rsidP="002B7F99">
      <w:pPr>
        <w:pStyle w:val="Figurecaption"/>
      </w:pPr>
      <w:r>
        <w:rPr>
          <w:noProof/>
        </w:rPr>
        <w:lastRenderedPageBreak/>
        <w:drawing>
          <wp:inline distT="0" distB="0" distL="0" distR="0" wp14:anchorId="7406B5E4" wp14:editId="407CD780">
            <wp:extent cx="4572000" cy="2743200"/>
            <wp:effectExtent l="0" t="0" r="0" b="0"/>
            <wp:docPr id="5" name="Chart 5">
              <a:extLst xmlns:a="http://schemas.openxmlformats.org/drawingml/2006/main">
                <a:ext uri="{FF2B5EF4-FFF2-40B4-BE49-F238E27FC236}">
                  <a16:creationId xmlns:a16="http://schemas.microsoft.com/office/drawing/2014/main" id="{F6ECE178-526E-4B23-9115-13EB602071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EEC0A38" w14:textId="02E88208" w:rsidR="00BA7805" w:rsidRPr="004B4934" w:rsidRDefault="00BA7805" w:rsidP="002B7F99">
      <w:pPr>
        <w:pStyle w:val="Figurecaption"/>
      </w:pPr>
      <w:r w:rsidRPr="004B4934">
        <w:t>Source: ONS MQ5</w:t>
      </w:r>
      <w:r w:rsidR="002E6CEB" w:rsidRPr="004B4934">
        <w:t xml:space="preserve"> and Financial Survey of Pension Schemes. </w:t>
      </w:r>
      <w:r w:rsidR="00E6721F" w:rsidRPr="004B4934">
        <w:t>Figures are percentages of total assets.</w:t>
      </w:r>
    </w:p>
    <w:p w14:paraId="4FCBCFF2" w14:textId="21B75F09" w:rsidR="00183A3A" w:rsidRPr="004B4934" w:rsidRDefault="00183A3A" w:rsidP="00CD1E8B">
      <w:pPr>
        <w:pStyle w:val="Figurecaption"/>
      </w:pPr>
      <w:r w:rsidRPr="004B4934">
        <w:t xml:space="preserve">These derivatives </w:t>
      </w:r>
      <w:r w:rsidR="00A97E3E" w:rsidRPr="004B4934">
        <w:t>increase the interest-rate hedge on</w:t>
      </w:r>
      <w:r w:rsidRPr="004B4934">
        <w:t xml:space="preserve"> the PF portfolio, by generating fixed interest receipts in exchange for variable interest payments. Figure </w:t>
      </w:r>
      <w:r w:rsidR="003B6801" w:rsidRPr="004B4934">
        <w:t>7</w:t>
      </w:r>
      <w:r w:rsidRPr="004B4934">
        <w:t xml:space="preserve"> shows how it works. </w:t>
      </w:r>
    </w:p>
    <w:p w14:paraId="388AB726" w14:textId="7F3887A0" w:rsidR="0026454D" w:rsidRPr="004B4934" w:rsidRDefault="0026454D" w:rsidP="00CD1E8B">
      <w:pPr>
        <w:pStyle w:val="Figurecaption"/>
      </w:pPr>
      <w:r w:rsidRPr="004B4934">
        <w:t xml:space="preserve">Figure </w:t>
      </w:r>
      <w:r w:rsidR="003B6801" w:rsidRPr="004B4934">
        <w:t>7</w:t>
      </w:r>
      <w:r w:rsidRPr="004B4934">
        <w:t xml:space="preserve">. </w:t>
      </w:r>
      <w:r w:rsidR="00267CEA" w:rsidRPr="004B4934">
        <w:t>PF interest rate swaps.</w:t>
      </w:r>
      <w:r w:rsidRPr="004B4934">
        <w:t xml:space="preserve"> </w:t>
      </w:r>
    </w:p>
    <w:p w14:paraId="4D6D33BF" w14:textId="511A7221" w:rsidR="0078708C" w:rsidRPr="004B4934" w:rsidRDefault="000131D8" w:rsidP="00CD1E8B">
      <w:pPr>
        <w:pStyle w:val="Figurecaption"/>
      </w:pPr>
      <w:r w:rsidRPr="004B4934">
        <w:rPr>
          <w:noProof/>
        </w:rPr>
        <w:drawing>
          <wp:inline distT="0" distB="0" distL="0" distR="0" wp14:anchorId="7E992D95" wp14:editId="4363429B">
            <wp:extent cx="3673475" cy="2034573"/>
            <wp:effectExtent l="0" t="0" r="3175"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91738" cy="2044688"/>
                    </a:xfrm>
                    <a:prstGeom prst="rect">
                      <a:avLst/>
                    </a:prstGeom>
                    <a:noFill/>
                    <a:ln>
                      <a:noFill/>
                    </a:ln>
                  </pic:spPr>
                </pic:pic>
              </a:graphicData>
            </a:graphic>
          </wp:inline>
        </w:drawing>
      </w:r>
    </w:p>
    <w:p w14:paraId="3CA0FB41" w14:textId="01984BB0" w:rsidR="0026454D" w:rsidRPr="004B4934" w:rsidRDefault="0026454D" w:rsidP="00CD1E8B">
      <w:pPr>
        <w:pStyle w:val="Figurecaption"/>
      </w:pPr>
      <w:r w:rsidRPr="004B4934">
        <w:t>Source: Author’s own elaboration</w:t>
      </w:r>
    </w:p>
    <w:p w14:paraId="4A9C60E0" w14:textId="77777777" w:rsidR="00CD1E8B" w:rsidRPr="004B4934" w:rsidRDefault="00CD1E8B" w:rsidP="00CD1E8B"/>
    <w:p w14:paraId="06D3CD46" w14:textId="3F522D5B" w:rsidR="0026454D" w:rsidRPr="004B4934" w:rsidRDefault="001B00D6" w:rsidP="00BA7805">
      <w:pPr>
        <w:pStyle w:val="Newparagraph"/>
        <w:ind w:firstLine="0"/>
      </w:pPr>
      <w:r w:rsidRPr="004B4934">
        <w:t xml:space="preserve">In the interest rate swap, </w:t>
      </w:r>
      <w:r w:rsidR="00BA7805" w:rsidRPr="004B4934">
        <w:t>PF</w:t>
      </w:r>
      <w:r w:rsidR="0026454D" w:rsidRPr="004B4934">
        <w:t xml:space="preserve"> </w:t>
      </w:r>
      <w:r w:rsidRPr="004B4934">
        <w:t xml:space="preserve">effectively </w:t>
      </w:r>
      <w:r w:rsidR="0026454D" w:rsidRPr="004B4934">
        <w:t>swap interest payments with a financial institution. They pay a variable rate (</w:t>
      </w:r>
      <w:proofErr w:type="gramStart"/>
      <w:r w:rsidR="0026454D" w:rsidRPr="004B4934">
        <w:t>e.g.</w:t>
      </w:r>
      <w:proofErr w:type="gramEnd"/>
      <w:r w:rsidR="0026454D" w:rsidRPr="004B4934">
        <w:t xml:space="preserve"> the LIBOR</w:t>
      </w:r>
      <w:r w:rsidR="00BA7805" w:rsidRPr="004B4934">
        <w:t xml:space="preserve"> or </w:t>
      </w:r>
      <w:r w:rsidR="001673F6" w:rsidRPr="004B4934">
        <w:t>its recent replacement SONIA</w:t>
      </w:r>
      <w:r w:rsidR="0026454D" w:rsidRPr="004B4934">
        <w:t>) in exchange for a fix</w:t>
      </w:r>
      <w:r w:rsidR="00E14B7A" w:rsidRPr="004B4934">
        <w:t>ed</w:t>
      </w:r>
      <w:r w:rsidR="0026454D" w:rsidRPr="004B4934">
        <w:t xml:space="preserve"> interest payment (the Swap rate). </w:t>
      </w:r>
      <w:r w:rsidR="00462EA3" w:rsidRPr="004B4934">
        <w:t>Periodically</w:t>
      </w:r>
      <w:r w:rsidR="0026454D" w:rsidRPr="004B4934">
        <w:t xml:space="preserve">, depending on the </w:t>
      </w:r>
      <w:r w:rsidR="00BB471D" w:rsidRPr="004B4934">
        <w:lastRenderedPageBreak/>
        <w:t>changes in</w:t>
      </w:r>
      <w:r w:rsidR="0026454D" w:rsidRPr="004B4934">
        <w:t xml:space="preserve"> the variable rate, the </w:t>
      </w:r>
      <w:r w:rsidR="00BB471D" w:rsidRPr="004B4934">
        <w:t>PF</w:t>
      </w:r>
      <w:r w:rsidR="0026454D" w:rsidRPr="004B4934">
        <w:t xml:space="preserve"> pay/receive the difference between the two rates. </w:t>
      </w:r>
      <w:r w:rsidRPr="004B4934">
        <w:t xml:space="preserve">Most sterling interest rate swaps are cleared through LCH, which requires initial margins as cash or bonds. </w:t>
      </w:r>
      <w:r w:rsidR="0026454D" w:rsidRPr="004B4934">
        <w:t xml:space="preserve">Additionally, the </w:t>
      </w:r>
      <w:r w:rsidR="004C4681" w:rsidRPr="004B4934">
        <w:t xml:space="preserve">swap </w:t>
      </w:r>
      <w:r w:rsidR="0026454D" w:rsidRPr="004B4934">
        <w:t>is re-priced</w:t>
      </w:r>
      <w:r w:rsidR="00BB471D" w:rsidRPr="004B4934">
        <w:t xml:space="preserve"> daily</w:t>
      </w:r>
      <w:r w:rsidR="005D1C82" w:rsidRPr="004B4934">
        <w:rPr>
          <w:rStyle w:val="EndnoteReference"/>
        </w:rPr>
        <w:endnoteReference w:id="18"/>
      </w:r>
      <w:r w:rsidR="005D1C82" w:rsidRPr="004B4934">
        <w:t>:</w:t>
      </w:r>
      <w:r w:rsidR="0026454D" w:rsidRPr="004B4934">
        <w:t xml:space="preserve"> </w:t>
      </w:r>
      <w:r w:rsidR="00892D07" w:rsidRPr="004B4934">
        <w:t>if</w:t>
      </w:r>
      <w:r w:rsidR="0026454D" w:rsidRPr="004B4934">
        <w:t xml:space="preserve"> the price of the </w:t>
      </w:r>
      <w:r w:rsidR="00D9718D" w:rsidRPr="004B4934">
        <w:t xml:space="preserve">swap </w:t>
      </w:r>
      <w:r w:rsidR="0026454D" w:rsidRPr="004B4934">
        <w:t xml:space="preserve">increases/decreases, the </w:t>
      </w:r>
      <w:r w:rsidR="002132E9" w:rsidRPr="004B4934">
        <w:t>PF</w:t>
      </w:r>
      <w:r w:rsidR="0026454D" w:rsidRPr="004B4934">
        <w:t xml:space="preserve"> will need to receive/post additional collateral to cover its </w:t>
      </w:r>
      <w:r w:rsidR="00892D07" w:rsidRPr="004B4934">
        <w:t>margins</w:t>
      </w:r>
      <w:r w:rsidR="0026454D" w:rsidRPr="004B4934">
        <w:t>.</w:t>
      </w:r>
      <w:r w:rsidR="008B3D2E" w:rsidRPr="004B4934">
        <w:t xml:space="preserve"> </w:t>
      </w:r>
      <w:r w:rsidR="00CB10CE" w:rsidRPr="004B4934">
        <w:t>This solution allows the PF to have a fixed interest rate payment and thus insure itself against future changes in interest rates. I</w:t>
      </w:r>
      <w:r w:rsidR="0026454D" w:rsidRPr="004B4934">
        <w:t xml:space="preserve">t can do so </w:t>
      </w:r>
      <w:r w:rsidR="008F01DA" w:rsidRPr="004B4934">
        <w:t>in a very “</w:t>
      </w:r>
      <w:r w:rsidR="0026454D" w:rsidRPr="004B4934">
        <w:t>capital</w:t>
      </w:r>
      <w:r w:rsidR="008F01DA" w:rsidRPr="004B4934">
        <w:t>-efficient” way</w:t>
      </w:r>
      <w:r w:rsidR="0026454D" w:rsidRPr="004B4934">
        <w:t xml:space="preserve">, since the </w:t>
      </w:r>
      <w:r w:rsidR="00F1328D" w:rsidRPr="004B4934">
        <w:t>s</w:t>
      </w:r>
      <w:r w:rsidR="0026454D" w:rsidRPr="004B4934">
        <w:t>wap only require potential periodic interest and collateral payments but no initial asset allocation commitment</w:t>
      </w:r>
      <w:r w:rsidR="008F01DA" w:rsidRPr="004B4934">
        <w:t>, except the initial margin.</w:t>
      </w:r>
    </w:p>
    <w:p w14:paraId="0676B60C" w14:textId="098AD851" w:rsidR="0026454D" w:rsidRPr="004B4934" w:rsidRDefault="0026454D" w:rsidP="0026454D">
      <w:pPr>
        <w:pStyle w:val="Newparagraph"/>
      </w:pPr>
      <w:r w:rsidRPr="004B4934">
        <w:t>It is evident from the example that repos and swaps</w:t>
      </w:r>
      <w:r w:rsidR="00DA51D0" w:rsidRPr="004B4934">
        <w:t xml:space="preserve"> are </w:t>
      </w:r>
      <w:r w:rsidR="003F6EA0" w:rsidRPr="004B4934">
        <w:t>appealing complementary</w:t>
      </w:r>
      <w:r w:rsidR="00B70C71" w:rsidRPr="004B4934">
        <w:t xml:space="preserve"> strategies </w:t>
      </w:r>
      <w:r w:rsidR="00972405" w:rsidRPr="004B4934">
        <w:t xml:space="preserve">to </w:t>
      </w:r>
      <w:r w:rsidR="007F5EB8" w:rsidRPr="004B4934">
        <w:t xml:space="preserve">the new growth </w:t>
      </w:r>
      <w:r w:rsidR="00B70C71" w:rsidRPr="004B4934">
        <w:t>investments</w:t>
      </w:r>
      <w:r w:rsidR="007F5EB8" w:rsidRPr="004B4934">
        <w:t xml:space="preserve"> discussed in the previous section</w:t>
      </w:r>
      <w:r w:rsidR="003F6EA0" w:rsidRPr="004B4934">
        <w:t>. This is because they allow PF to hedge interest rate and liquidity risk, without the need to commit too much of their assets to explicitly liquid strategies. Indeed,</w:t>
      </w:r>
      <w:r w:rsidR="00923FF0" w:rsidRPr="004B4934">
        <w:t xml:space="preserve"> PF have reduced their cash holdings, as shown in Figure </w:t>
      </w:r>
      <w:r w:rsidR="003B6801" w:rsidRPr="004B4934">
        <w:t>3</w:t>
      </w:r>
      <w:r w:rsidR="00923FF0" w:rsidRPr="004B4934">
        <w:t xml:space="preserve">, and an increasing proportion – from 8% in 2000 to 30% in 2017 – is now in the form of money market funds </w:t>
      </w:r>
      <w:r w:rsidR="00923FF0" w:rsidRPr="004B4934">
        <w:fldChar w:fldCharType="begin"/>
      </w:r>
      <w:r w:rsidR="00B25AEB">
        <w:instrText xml:space="preserve"> ADDIN ZOTERO_ITEM CSL_CITATION {"citationID":"41c6lk7h","properties":{"formattedCitation":"(ONS 2019)","plainCitation":"(ONS 2019)","noteIndex":0},"citationItems":[{"id":68,"uris":["http://zotero.org/users/5165859/items/RTMSMVKI"],"itemData":{"id":68,"type":"report","publisher":"Office for National Statistics","title":"MQ5: Investment by insurance companies, pension funds and trusts, October to December 2018","author":[{"family":"ONS","given":""}],"issued":{"date-parts":[["2019"]]}}}],"schema":"https://github.com/citation-style-language/schema/raw/master/csl-citation.json"} </w:instrText>
      </w:r>
      <w:r w:rsidR="00923FF0" w:rsidRPr="004B4934">
        <w:fldChar w:fldCharType="separate"/>
      </w:r>
      <w:r w:rsidR="00B25AEB" w:rsidRPr="00B25AEB">
        <w:t>(ONS 2019)</w:t>
      </w:r>
      <w:r w:rsidR="00923FF0" w:rsidRPr="004B4934">
        <w:fldChar w:fldCharType="end"/>
      </w:r>
      <w:r w:rsidR="00923FF0" w:rsidRPr="004B4934">
        <w:t xml:space="preserve">. </w:t>
      </w:r>
      <w:r w:rsidR="003F582B" w:rsidRPr="00D8570C">
        <w:rPr>
          <w:color w:val="FF0000"/>
        </w:rPr>
        <w:t xml:space="preserve">These leveraged strategies </w:t>
      </w:r>
      <w:proofErr w:type="spellStart"/>
      <w:r w:rsidR="003F582B" w:rsidRPr="00D8570C">
        <w:rPr>
          <w:color w:val="FF0000"/>
        </w:rPr>
        <w:t>too</w:t>
      </w:r>
      <w:proofErr w:type="spellEnd"/>
      <w:r w:rsidR="003F582B" w:rsidRPr="00D8570C">
        <w:rPr>
          <w:color w:val="FF0000"/>
        </w:rPr>
        <w:t xml:space="preserve"> </w:t>
      </w:r>
      <w:r w:rsidR="00D8570C" w:rsidRPr="00D8570C">
        <w:rPr>
          <w:color w:val="FF0000"/>
        </w:rPr>
        <w:t>fuel the growth of asset manager</w:t>
      </w:r>
      <w:r w:rsidR="00D8570C">
        <w:rPr>
          <w:color w:val="FF0000"/>
        </w:rPr>
        <w:t>s and pooled investment</w:t>
      </w:r>
      <w:r w:rsidR="00787537">
        <w:rPr>
          <w:color w:val="FF0000"/>
        </w:rPr>
        <w:t xml:space="preserve"> funds</w:t>
      </w:r>
      <w:r w:rsidR="00E32C8F">
        <w:rPr>
          <w:color w:val="FF0000"/>
        </w:rPr>
        <w:t xml:space="preserve">, which amounted to about £200bn as of 2021 </w:t>
      </w:r>
      <w:r w:rsidR="00E461FE">
        <w:rPr>
          <w:color w:val="FF0000"/>
        </w:rPr>
        <w:fldChar w:fldCharType="begin"/>
      </w:r>
      <w:r w:rsidR="00E461FE">
        <w:rPr>
          <w:color w:val="FF0000"/>
        </w:rPr>
        <w:instrText xml:space="preserve"> ADDIN ZOTERO_ITEM CSL_CITATION {"citationID":"wa2o8Wyg","properties":{"formattedCitation":"(Breeden 2022)","plainCitation":"(Breeden 2022)","noteIndex":0},"citationItems":[{"id":4061,"uris":["http://zotero.org/users/5165859/items/6CKUTJIN"],"itemData":{"id":4061,"type":"report","event-place":"Given at ISDA &amp; AIMA","language":"en","publisher":"Bank of England","publisher-place":"Given at ISDA &amp; AIMA","title":"Risks from leverage: how did a small corner of the pensions industry threaten financial stability?","title-short":"Risks from leverage","URL":"https://www.bankofengland.co.uk/speech/2022/november/sarah-breeden-speech-at-isda-aimi-boe-on-nbfi-and-leverage","author":[{"family":"Breeden","given":"Sarah"}],"accessed":{"date-parts":[["2023",1,5]]},"issued":{"date-parts":[["2022",11,7]]}}}],"schema":"https://github.com/citation-style-language/schema/raw/master/csl-citation.json"} </w:instrText>
      </w:r>
      <w:r w:rsidR="00E461FE">
        <w:rPr>
          <w:color w:val="FF0000"/>
        </w:rPr>
        <w:fldChar w:fldCharType="separate"/>
      </w:r>
      <w:r w:rsidR="00E461FE" w:rsidRPr="00E461FE">
        <w:t>(Breeden 2022)</w:t>
      </w:r>
      <w:r w:rsidR="00E461FE">
        <w:rPr>
          <w:color w:val="FF0000"/>
        </w:rPr>
        <w:fldChar w:fldCharType="end"/>
      </w:r>
      <w:r w:rsidR="00B25AEB">
        <w:rPr>
          <w:color w:val="FF0000"/>
        </w:rPr>
        <w:t>.</w:t>
      </w:r>
    </w:p>
    <w:p w14:paraId="4ED8D52D" w14:textId="47284AA1" w:rsidR="0054024D" w:rsidRPr="004B4934" w:rsidRDefault="00FE1CDD" w:rsidP="008273F8">
      <w:pPr>
        <w:pStyle w:val="Newparagraph"/>
      </w:pPr>
      <w:r w:rsidRPr="004B4934">
        <w:t>However</w:t>
      </w:r>
      <w:r w:rsidR="008273F8" w:rsidRPr="004B4934">
        <w:t xml:space="preserve">, </w:t>
      </w:r>
      <w:r w:rsidRPr="004B4934">
        <w:t>these strategies</w:t>
      </w:r>
      <w:r w:rsidR="008273F8" w:rsidRPr="004B4934">
        <w:t xml:space="preserve"> can also present important liquidity risks for </w:t>
      </w:r>
      <w:r w:rsidR="001E5263" w:rsidRPr="004B4934">
        <w:t>PF</w:t>
      </w:r>
      <w:r w:rsidR="008273F8" w:rsidRPr="004B4934">
        <w:t>.</w:t>
      </w:r>
      <w:r w:rsidR="005E6258" w:rsidRPr="004B4934">
        <w:t xml:space="preserve"> </w:t>
      </w:r>
      <w:r w:rsidR="009D54A4" w:rsidRPr="004B4934">
        <w:t xml:space="preserve">They </w:t>
      </w:r>
      <w:r w:rsidR="008273F8" w:rsidRPr="004B4934">
        <w:t xml:space="preserve">expose </w:t>
      </w:r>
      <w:r w:rsidR="001E5263" w:rsidRPr="004B4934">
        <w:t>them</w:t>
      </w:r>
      <w:r w:rsidR="008273F8" w:rsidRPr="004B4934">
        <w:t xml:space="preserve"> to refinancing risks through the repo market</w:t>
      </w:r>
      <w:r w:rsidR="001E5263" w:rsidRPr="004B4934">
        <w:t xml:space="preserve"> and the </w:t>
      </w:r>
      <w:r w:rsidR="005E6258" w:rsidRPr="004B4934">
        <w:t xml:space="preserve">daily </w:t>
      </w:r>
      <w:r w:rsidR="008273F8" w:rsidRPr="004B4934">
        <w:t xml:space="preserve">volatility </w:t>
      </w:r>
      <w:r w:rsidR="005E6258" w:rsidRPr="004B4934">
        <w:t>of mark-to-market instruments, and consequent needs for cash to cover margins</w:t>
      </w:r>
      <w:r w:rsidR="006A5F1F" w:rsidRPr="004B4934">
        <w:t>. For example, s</w:t>
      </w:r>
      <w:r w:rsidR="008273F8" w:rsidRPr="004B4934">
        <w:t>uppose that interest rates rise</w:t>
      </w:r>
      <w:r w:rsidR="00655735" w:rsidRPr="004B4934">
        <w:t>,</w:t>
      </w:r>
      <w:r w:rsidR="008273F8" w:rsidRPr="004B4934">
        <w:t xml:space="preserve"> and a </w:t>
      </w:r>
      <w:r w:rsidR="00655735" w:rsidRPr="004B4934">
        <w:t>PF</w:t>
      </w:r>
      <w:r w:rsidR="008273F8" w:rsidRPr="004B4934">
        <w:t xml:space="preserve"> is both engaged in a repo and </w:t>
      </w:r>
      <w:r w:rsidR="0093720B" w:rsidRPr="004B4934">
        <w:t xml:space="preserve">an </w:t>
      </w:r>
      <w:r w:rsidR="008273F8" w:rsidRPr="004B4934">
        <w:t xml:space="preserve">interest rate swap transaction. </w:t>
      </w:r>
      <w:r w:rsidR="002E11C9" w:rsidRPr="004B4934">
        <w:t xml:space="preserve">If the movement is significant enough, it </w:t>
      </w:r>
      <w:r w:rsidR="008273F8" w:rsidRPr="004B4934">
        <w:t xml:space="preserve">forces them to post additional </w:t>
      </w:r>
      <w:r w:rsidR="002E11C9" w:rsidRPr="004B4934">
        <w:t>cash</w:t>
      </w:r>
      <w:r w:rsidR="008273F8" w:rsidRPr="004B4934">
        <w:t xml:space="preserve"> </w:t>
      </w:r>
      <w:r w:rsidR="002E11C9" w:rsidRPr="004B4934">
        <w:t>as variation margins</w:t>
      </w:r>
      <w:r w:rsidR="008273F8" w:rsidRPr="004B4934">
        <w:t>, as the value of the bond used as collateral for the repo</w:t>
      </w:r>
      <w:r w:rsidR="001E5263" w:rsidRPr="004B4934">
        <w:t xml:space="preserve"> and the swap</w:t>
      </w:r>
      <w:r w:rsidR="008273F8" w:rsidRPr="004B4934">
        <w:t xml:space="preserve"> falls</w:t>
      </w:r>
      <w:r w:rsidR="001E5263" w:rsidRPr="004B4934">
        <w:t xml:space="preserve">. </w:t>
      </w:r>
      <w:r w:rsidR="00333B3C" w:rsidRPr="004B4934">
        <w:t xml:space="preserve">If the PF has sufficient cash reserves this is not an issue, but </w:t>
      </w:r>
      <w:r w:rsidR="00862A48" w:rsidRPr="004B4934">
        <w:t>otherwise</w:t>
      </w:r>
      <w:r w:rsidR="00333B3C" w:rsidRPr="004B4934">
        <w:t xml:space="preserve"> </w:t>
      </w:r>
      <w:r w:rsidR="004F7092" w:rsidRPr="004B4934">
        <w:t>the PF will be under pressure to generate additional cash through the repo market,</w:t>
      </w:r>
      <w:r w:rsidR="00791471" w:rsidRPr="004B4934">
        <w:t xml:space="preserve"> in addition to refinancing existing repo arrangements that are coming to </w:t>
      </w:r>
      <w:r w:rsidR="00791471" w:rsidRPr="004B4934">
        <w:lastRenderedPageBreak/>
        <w:t>maturity.</w:t>
      </w:r>
      <w:r w:rsidR="008273F8" w:rsidRPr="004B4934">
        <w:t xml:space="preserve"> </w:t>
      </w:r>
      <w:r w:rsidR="0034696B" w:rsidRPr="004B4934">
        <w:t xml:space="preserve">However, </w:t>
      </w:r>
      <w:r w:rsidR="00791471" w:rsidRPr="004B4934">
        <w:t xml:space="preserve">with higher interest rates, repo </w:t>
      </w:r>
      <w:r w:rsidR="008273F8" w:rsidRPr="004B4934">
        <w:t xml:space="preserve">will be at a higher cost </w:t>
      </w:r>
      <w:r w:rsidR="00B65508" w:rsidRPr="004B4934">
        <w:t xml:space="preserve">in the form of higher </w:t>
      </w:r>
      <w:r w:rsidR="008273F8" w:rsidRPr="004B4934">
        <w:t>“haircut</w:t>
      </w:r>
      <w:r w:rsidR="00B65508" w:rsidRPr="004B4934">
        <w:t>s</w:t>
      </w:r>
      <w:r w:rsidR="008273F8" w:rsidRPr="004B4934">
        <w:t xml:space="preserve">”, </w:t>
      </w:r>
      <w:proofErr w:type="gramStart"/>
      <w:r w:rsidR="008273F8" w:rsidRPr="004B4934">
        <w:t>i.e.</w:t>
      </w:r>
      <w:proofErr w:type="gramEnd"/>
      <w:r w:rsidR="008273F8" w:rsidRPr="004B4934">
        <w:t xml:space="preserve"> the difference between the cash borrowed through the repo and the value of the collateral. </w:t>
      </w:r>
      <w:r w:rsidR="00B67A05" w:rsidRPr="004B4934">
        <w:t>Therefore, the PF can face significant</w:t>
      </w:r>
      <w:r w:rsidR="009E4AA5" w:rsidRPr="004B4934">
        <w:t xml:space="preserve"> short-term</w:t>
      </w:r>
      <w:r w:rsidR="00B67A05" w:rsidRPr="004B4934">
        <w:t xml:space="preserve"> </w:t>
      </w:r>
      <w:r w:rsidR="009E4AA5" w:rsidRPr="004B4934">
        <w:t xml:space="preserve">liquidity </w:t>
      </w:r>
      <w:r w:rsidR="00B67A05" w:rsidRPr="004B4934">
        <w:t>pressure</w:t>
      </w:r>
      <w:r w:rsidR="009E4AA5" w:rsidRPr="004B4934">
        <w:t>s</w:t>
      </w:r>
      <w:r w:rsidR="00B67A05" w:rsidRPr="004B4934">
        <w:t xml:space="preserve">. </w:t>
      </w:r>
    </w:p>
    <w:p w14:paraId="02A71B2C" w14:textId="54DE480B" w:rsidR="00DD17EA" w:rsidRPr="004B4934" w:rsidRDefault="00564C19" w:rsidP="006E689F">
      <w:pPr>
        <w:pStyle w:val="Newparagraph"/>
      </w:pPr>
      <w:r w:rsidRPr="004B4934">
        <w:t>Furthermore, these</w:t>
      </w:r>
      <w:r w:rsidR="00644808" w:rsidRPr="004B4934">
        <w:t xml:space="preserve"> strategies </w:t>
      </w:r>
      <w:r w:rsidR="00B67A05" w:rsidRPr="004B4934">
        <w:t xml:space="preserve">can </w:t>
      </w:r>
      <w:r w:rsidR="00DB122A" w:rsidRPr="004B4934">
        <w:t>have systemic financial instability consequences. Firstly,</w:t>
      </w:r>
      <w:r w:rsidR="004D5FE7" w:rsidRPr="004B4934">
        <w:t xml:space="preserve"> PF</w:t>
      </w:r>
      <w:r w:rsidR="00DB122A" w:rsidRPr="004B4934">
        <w:t xml:space="preserve"> </w:t>
      </w:r>
      <w:r w:rsidR="004D5FE7" w:rsidRPr="004B4934">
        <w:t xml:space="preserve">demand for </w:t>
      </w:r>
      <w:r w:rsidR="002C2846" w:rsidRPr="004B4934">
        <w:t>safe</w:t>
      </w:r>
      <w:r w:rsidR="004D5FE7" w:rsidRPr="004B4934">
        <w:t xml:space="preserve"> assets </w:t>
      </w:r>
      <w:r w:rsidR="00DB122A" w:rsidRPr="004B4934">
        <w:t xml:space="preserve">can generate </w:t>
      </w:r>
      <w:r w:rsidRPr="004B4934">
        <w:t>pressures in particular market segments</w:t>
      </w:r>
      <w:r w:rsidR="00DB122A" w:rsidRPr="004B4934">
        <w:t xml:space="preserve">, </w:t>
      </w:r>
      <w:r w:rsidR="00B04CA9" w:rsidRPr="004B4934">
        <w:t xml:space="preserve">such as the very long-end of </w:t>
      </w:r>
      <w:r w:rsidR="00F27CB3" w:rsidRPr="004B4934">
        <w:t>g</w:t>
      </w:r>
      <w:r w:rsidR="00B04CA9" w:rsidRPr="004B4934">
        <w:t xml:space="preserve">ilt and interest rate </w:t>
      </w:r>
      <w:r w:rsidRPr="004B4934">
        <w:t>swap markets</w:t>
      </w:r>
      <w:r w:rsidR="00535687" w:rsidRPr="004B4934">
        <w:t xml:space="preserve"> </w:t>
      </w:r>
      <w:r w:rsidRPr="004B4934">
        <w:fldChar w:fldCharType="begin"/>
      </w:r>
      <w:r w:rsidR="00E461FE">
        <w:instrText xml:space="preserve"> ADDIN ZOTERO_ITEM CSL_CITATION {"citationID":"csZg9hgr","properties":{"formattedCitation":"(Greenwood and Vayanos 2010, Domanski {\\i{}et al.} 2015, Klingler and Sundaresan 2019)","plainCitation":"(Greenwood and Vayanos 2010, Domanski et al. 2015, Klingler and Sundaresan 2019)","noteIndex":0},"citationItems":[{"id":65,"uris":["http://zotero.org/users/5165859/items/MBP26HXL"],"itemData":{"id":65,"type":"article-journal","container-title":"American Economic Review","DOI":"10.1257/aer.100.2.585","ISSN":"0002-8282","issue":"2","language":"en","page":"585-590","source":"www.aeaweb.org","title":"Price Pressure in the Government Bond Market","volume":"100","author":[{"family":"Greenwood","given":"Robin"},{"family":"Vayanos","given":"Dimitri"}],"issued":{"date-parts":[["2010",5]]}}},{"id":891,"uris":["http://zotero.org/users/5165859/items/8WQGPD54"],"itemData":{"id":891,"type":"report","abstract":"Long-term interest rates in Europe fell sharply in 2014 to historically low levels. This development is often attributed to yield-chasing in anticipation of quantitative easing (QE) by the European Central Bank (ECB). We examine how portfolio adjustments by long-term investors aimed at containing duration mismatches may have acted as an amplification mechanism in this process. Declining long-term interest rates tend to widen the negative duration gap between the assets and liabilities of insurers and pension funds, and any attempted rebalancing by increasing asset duration results in further downward pressure on interest rates. Evidence from the German insurance sector is consistent with such an amplification mechanism.","genre":"BIS Working Paper","number":"519","publisher":"Bank for International Settlements","source":"RePEc - IDEAS","title":"The hunt for duration: not waving but drowning?","title-short":"The hunt for duration","URL":"https://ideas.repec.org/p/bis/biswps/519.html","author":[{"family":"Domanski","given":"Dietrich"},{"family":"Shin","given":"Hyun Song"},{"family":"Sushko","given":"Vladyslav"}],"accessed":{"date-parts":[["2016",5,9]]},"issued":{"date-parts":[["2015"]]}}},{"id":66,"uris":["http://zotero.org/users/5165859/items/79HJHTCP"],"itemData":{"id":66,"type":"article-journal","abstract":"The 30-year U.S. swap spreads have been negative since September 2008. We offer a novel explanation for this persistent anomaly. Through an illustrative model, we show that underfunded pension plans optimally use swaps for duration hedging. Combined with dealer banks' balance sheet constraints, this demand can drive swap spreads to become negative. Empirically, we construct a measure of the aggregate funding status of defined benefit pension plans and show that this measure helps explain 30-year swap spreads. We find a similar link between pension funds' underfunding and swap spreads for two other regions.","container-title":"The Journal of Finance","DOI":"10.1111/jofi.12750","ISSN":"1540-6261","issue":"2","language":"en","license":"© 2018 the American Finance Association","note":"_eprint: https://onlinelibrary.wiley.com/doi/pdf/10.1111/jofi.12750","page":"675-710","source":"Wiley Online Library","title":"An Explanation of Negative Swap Spreads: Demand for Duration from Underfunded Pension Plans","title-short":"An Explanation of Negative Swap Spreads","volume":"74","author":[{"family":"Klingler","given":"Sven"},{"family":"Sundaresan","given":"Suresh"}],"issued":{"date-parts":[["2019"]]}}}],"schema":"https://github.com/citation-style-language/schema/raw/master/csl-citation.json"} </w:instrText>
      </w:r>
      <w:r w:rsidRPr="004B4934">
        <w:fldChar w:fldCharType="separate"/>
      </w:r>
      <w:r w:rsidR="00B04CA9" w:rsidRPr="004B4934">
        <w:t xml:space="preserve">(Greenwood and Vayanos 2010, Domanski </w:t>
      </w:r>
      <w:r w:rsidR="00B04CA9" w:rsidRPr="004B4934">
        <w:rPr>
          <w:i/>
          <w:iCs/>
        </w:rPr>
        <w:t>et al.</w:t>
      </w:r>
      <w:r w:rsidR="00B04CA9" w:rsidRPr="004B4934">
        <w:t xml:space="preserve"> 2015, Klingler and Sundaresan 2019)</w:t>
      </w:r>
      <w:r w:rsidRPr="004B4934">
        <w:fldChar w:fldCharType="end"/>
      </w:r>
      <w:r w:rsidR="00C34658" w:rsidRPr="004B4934">
        <w:t>.</w:t>
      </w:r>
      <w:r w:rsidR="00DB122A" w:rsidRPr="004B4934">
        <w:t xml:space="preserve"> </w:t>
      </w:r>
      <w:r w:rsidR="001125FC" w:rsidRPr="004B4934">
        <w:t>These pressures are further compounded by the fact that, as discussed, most of these strategies are leveraged, and, significantly</w:t>
      </w:r>
      <w:r w:rsidR="00AA661D" w:rsidRPr="004B4934">
        <w:t xml:space="preserve">, many are done through pooled investment vehicles </w:t>
      </w:r>
      <w:r w:rsidRPr="004B4934">
        <w:fldChar w:fldCharType="begin"/>
      </w:r>
      <w:r w:rsidR="00E461FE">
        <w:instrText xml:space="preserve"> ADDIN ZOTERO_ITEM CSL_CITATION {"citationID":"bwHfBKQ2","properties":{"formattedCitation":"(Mercer 2020b)","plainCitation":"(Mercer 2020b)","noteIndex":0},"citationItems":[{"id":1505,"uris":["http://zotero.org/users/5165859/items/VKU8NLVA"],"itemData":{"id":1505,"type":"report","publisher":"Mercer","title":"European asset allocation insights 2020","author":[{"family":"Mercer","given":""}],"issued":{"date-parts":[["2020"]]}}}],"schema":"https://github.com/citation-style-language/schema/raw/master/csl-citation.json"} </w:instrText>
      </w:r>
      <w:r w:rsidRPr="004B4934">
        <w:fldChar w:fldCharType="separate"/>
      </w:r>
      <w:r w:rsidR="00BE6E4A" w:rsidRPr="004B4934">
        <w:t>(Mercer 2020b)</w:t>
      </w:r>
      <w:r w:rsidRPr="004B4934">
        <w:fldChar w:fldCharType="end"/>
      </w:r>
      <w:r w:rsidR="00A059DC" w:rsidRPr="004B4934">
        <w:t xml:space="preserve">. </w:t>
      </w:r>
      <w:r w:rsidR="00283269" w:rsidRPr="004B4934">
        <w:t xml:space="preserve">Secondly, and crucially, these </w:t>
      </w:r>
      <w:r w:rsidR="00BB681C" w:rsidRPr="004B4934">
        <w:t xml:space="preserve">pressures can </w:t>
      </w:r>
      <w:r w:rsidR="003E4061" w:rsidRPr="004B4934">
        <w:t>add to</w:t>
      </w:r>
      <w:r w:rsidR="00BB681C" w:rsidRPr="004B4934">
        <w:t xml:space="preserve"> liquidity spiral dynamics</w:t>
      </w:r>
      <w:r w:rsidR="003E4061" w:rsidRPr="004B4934">
        <w:t xml:space="preserve"> during market stress periods.</w:t>
      </w:r>
      <w:r w:rsidR="00BB681C" w:rsidRPr="004B4934">
        <w:t xml:space="preserve"> </w:t>
      </w:r>
      <w:r w:rsidR="003E4061" w:rsidRPr="004B4934">
        <w:t xml:space="preserve">This is what </w:t>
      </w:r>
      <w:r w:rsidR="006372F8" w:rsidRPr="004B4934">
        <w:t>t</w:t>
      </w:r>
      <w:r w:rsidR="008E4FB6" w:rsidRPr="004B4934">
        <w:t xml:space="preserve">he </w:t>
      </w:r>
      <w:r w:rsidR="006372F8" w:rsidRPr="004B4934">
        <w:t>March 2020</w:t>
      </w:r>
      <w:r w:rsidR="008E4FB6" w:rsidRPr="004B4934">
        <w:t xml:space="preserve"> financial turbulence highlights</w:t>
      </w:r>
      <w:r w:rsidR="006372F8" w:rsidRPr="004B4934">
        <w:t>.</w:t>
      </w:r>
      <w:r w:rsidR="008E4FB6" w:rsidRPr="004B4934">
        <w:t xml:space="preserve"> As asset prices collapsed</w:t>
      </w:r>
      <w:r w:rsidR="00885937" w:rsidRPr="004B4934">
        <w:t xml:space="preserve"> and</w:t>
      </w:r>
      <w:r w:rsidR="001E77F7" w:rsidRPr="004B4934">
        <w:t xml:space="preserve"> the Pound Sterling depreciated, </w:t>
      </w:r>
      <w:r w:rsidR="008E4FB6" w:rsidRPr="004B4934">
        <w:t xml:space="preserve">so did the value of </w:t>
      </w:r>
      <w:r w:rsidR="001E5263" w:rsidRPr="004B4934">
        <w:t>PF</w:t>
      </w:r>
      <w:r w:rsidR="008E4FB6" w:rsidRPr="004B4934">
        <w:t xml:space="preserve"> </w:t>
      </w:r>
      <w:r w:rsidR="00AE5BF1" w:rsidRPr="004B4934">
        <w:t xml:space="preserve">interest rate </w:t>
      </w:r>
      <w:r w:rsidR="008E4FB6" w:rsidRPr="004B4934">
        <w:t>and FX derivative positions</w:t>
      </w:r>
      <w:r w:rsidR="00F27CB3" w:rsidRPr="004B4934">
        <w:t>,</w:t>
      </w:r>
      <w:r w:rsidR="00885937" w:rsidRPr="004B4934">
        <w:t xml:space="preserve"> triggering margin calls. </w:t>
      </w:r>
      <w:r w:rsidR="00B127E6" w:rsidRPr="004B4934">
        <w:t xml:space="preserve">PF were under pressure to find liquidity and </w:t>
      </w:r>
      <w:r w:rsidR="00DF0005" w:rsidRPr="004B4934">
        <w:t>a</w:t>
      </w:r>
      <w:r w:rsidR="00B127E6" w:rsidRPr="004B4934">
        <w:t xml:space="preserve"> major contributor </w:t>
      </w:r>
      <w:r w:rsidR="002806F2" w:rsidRPr="004B4934">
        <w:t>to t</w:t>
      </w:r>
      <w:r w:rsidR="00B127E6" w:rsidRPr="004B4934">
        <w:t>he “dash-for-cash</w:t>
      </w:r>
      <w:r w:rsidR="002806F2" w:rsidRPr="004B4934">
        <w:t>”</w:t>
      </w:r>
      <w:r w:rsidR="00B127E6" w:rsidRPr="004B4934">
        <w:t xml:space="preserve"> </w:t>
      </w:r>
      <w:r w:rsidRPr="004B4934">
        <w:fldChar w:fldCharType="begin"/>
      </w:r>
      <w:r w:rsidR="00E461FE">
        <w:instrText xml:space="preserve"> ADDIN ZOTERO_ITEM CSL_CITATION {"citationID":"3DeDfMeV","properties":{"formattedCitation":"(Bank of England 2020a, 2020b)","plainCitation":"(Bank of England 2020a, 2020b)","noteIndex":0},"citationItems":[{"id":1727,"uris":["http://zotero.org/users/5165859/items/EZD3NX4A"],"itemData":{"id":1727,"type":"report","genre":"Interim financial stability report","publisher":"Bank of England","title":"UK financial stability and the Covid-19 pandemic","author":[{"family":"Bank of England","given":""}],"issued":{"date-parts":[["2020",5]]}}},{"id":78,"uris":["http://zotero.org/users/5165859/items/V8PE7CKQ"],"itemData":{"id":78,"type":"report","number":"August","publisher":"Bank of England","title":"Financial Stability Report","author":[{"family":"Bank of England","given":""}],"issued":{"date-parts":[["2020"]]}}}],"schema":"https://github.com/citation-style-language/schema/raw/master/csl-citation.json"} </w:instrText>
      </w:r>
      <w:r w:rsidRPr="004B4934">
        <w:fldChar w:fldCharType="separate"/>
      </w:r>
      <w:r w:rsidR="00B127E6" w:rsidRPr="004B4934">
        <w:t>(Bank of England 2020a, 2020b)</w:t>
      </w:r>
      <w:r w:rsidRPr="004B4934">
        <w:fldChar w:fldCharType="end"/>
      </w:r>
      <w:r w:rsidR="002A0E4D" w:rsidRPr="004B4934">
        <w:t>, which propagated the liquidity stress</w:t>
      </w:r>
      <w:r w:rsidR="005A2DBA" w:rsidRPr="004B4934">
        <w:t xml:space="preserve">. </w:t>
      </w:r>
      <w:r w:rsidR="003A6CDC">
        <w:rPr>
          <w:color w:val="FF0000"/>
        </w:rPr>
        <w:t xml:space="preserve">Similarly, in September 2022, </w:t>
      </w:r>
      <w:r w:rsidR="005F6965">
        <w:rPr>
          <w:color w:val="FF0000"/>
        </w:rPr>
        <w:t xml:space="preserve">an increase in bond yields generated </w:t>
      </w:r>
      <w:r w:rsidR="009C7AB1">
        <w:rPr>
          <w:color w:val="FF0000"/>
        </w:rPr>
        <w:t xml:space="preserve">margin and collateral calls of up to £70bn </w:t>
      </w:r>
      <w:r w:rsidR="006557C8" w:rsidRPr="006557C8">
        <w:rPr>
          <w:color w:val="FF0000"/>
        </w:rPr>
        <w:t>between 23 September and 14 October</w:t>
      </w:r>
      <w:r w:rsidR="006557C8">
        <w:rPr>
          <w:color w:val="FF0000"/>
        </w:rPr>
        <w:t xml:space="preserve"> 2022, primarily from LDI funds </w:t>
      </w:r>
      <w:r w:rsidR="006557C8">
        <w:rPr>
          <w:color w:val="FF0000"/>
        </w:rPr>
        <w:fldChar w:fldCharType="begin"/>
      </w:r>
      <w:r w:rsidR="005124AF">
        <w:rPr>
          <w:color w:val="FF0000"/>
        </w:rPr>
        <w:instrText xml:space="preserve"> ADDIN ZOTERO_ITEM CSL_CITATION {"citationID":"XMUJczEt","properties":{"formattedCitation":"(Bank of England 2022)","plainCitation":"(Bank of England 2022)","noteIndex":0},"citationItems":[{"id":4064,"uris":["http://zotero.org/users/5165859/items/R4GLCA43"],"itemData":{"id":4064,"type":"report","number":"December","publisher":"Bank of England","title":"Financial Stability Report","URL":"https://www.bankofengland.co.uk/-/media/boe/files/financial-stability-report/2022/financial-stability-report-december-2022.pdf","author":[{"family":"Bank of England","given":""}],"issued":{"date-parts":[["2022"]]}}}],"schema":"https://github.com/citation-style-language/schema/raw/master/csl-citation.json"} </w:instrText>
      </w:r>
      <w:r w:rsidR="006557C8">
        <w:rPr>
          <w:color w:val="FF0000"/>
        </w:rPr>
        <w:fldChar w:fldCharType="separate"/>
      </w:r>
      <w:r w:rsidR="006557C8" w:rsidRPr="006557C8">
        <w:t>(Bank of England 2022)</w:t>
      </w:r>
      <w:r w:rsidR="006557C8">
        <w:rPr>
          <w:color w:val="FF0000"/>
        </w:rPr>
        <w:fldChar w:fldCharType="end"/>
      </w:r>
      <w:r w:rsidR="006557C8">
        <w:rPr>
          <w:color w:val="FF0000"/>
        </w:rPr>
        <w:t xml:space="preserve">. </w:t>
      </w:r>
      <w:r w:rsidR="005A2DBA" w:rsidRPr="004B4934">
        <w:t xml:space="preserve">To </w:t>
      </w:r>
      <w:r w:rsidR="006565E4" w:rsidRPr="004B4934">
        <w:t xml:space="preserve">generate liquidity, PF </w:t>
      </w:r>
      <w:r w:rsidR="00195939" w:rsidRPr="004B4934">
        <w:t>redeemed their investments</w:t>
      </w:r>
      <w:r w:rsidR="00D64161" w:rsidRPr="004B4934">
        <w:t xml:space="preserve"> from </w:t>
      </w:r>
      <w:r w:rsidR="00BB1614" w:rsidRPr="004B4934">
        <w:t>collective</w:t>
      </w:r>
      <w:r w:rsidR="00D64161" w:rsidRPr="004B4934">
        <w:t xml:space="preserve"> funds,</w:t>
      </w:r>
      <w:r w:rsidR="00E97994" w:rsidRPr="004B4934">
        <w:t xml:space="preserve"> </w:t>
      </w:r>
      <w:r w:rsidR="005A2DBA" w:rsidRPr="004B4934">
        <w:t>increased borrowing</w:t>
      </w:r>
      <w:r w:rsidR="00BB1614" w:rsidRPr="004B4934">
        <w:t xml:space="preserve"> in</w:t>
      </w:r>
      <w:r w:rsidR="006C4024" w:rsidRPr="004B4934">
        <w:t xml:space="preserve"> repo markets, </w:t>
      </w:r>
      <w:r w:rsidR="005A2DBA" w:rsidRPr="004B4934">
        <w:t>and s</w:t>
      </w:r>
      <w:r w:rsidR="006565E4" w:rsidRPr="004B4934">
        <w:t>old</w:t>
      </w:r>
      <w:r w:rsidR="005A2DBA" w:rsidRPr="004B4934">
        <w:t xml:space="preserve"> </w:t>
      </w:r>
      <w:r w:rsidR="00F27CB3" w:rsidRPr="004B4934">
        <w:t>g</w:t>
      </w:r>
      <w:r w:rsidR="005A2DBA" w:rsidRPr="004B4934">
        <w:t>ilts</w:t>
      </w:r>
      <w:r w:rsidR="60BCC28C" w:rsidRPr="004B4934">
        <w:t xml:space="preserve"> and corporate bonds</w:t>
      </w:r>
      <w:r w:rsidR="00204C0F" w:rsidRPr="004B4934">
        <w:t xml:space="preserve">, increasing pressures in these markets, that were only </w:t>
      </w:r>
      <w:r w:rsidR="00DF0005" w:rsidRPr="004B4934">
        <w:t>relieved</w:t>
      </w:r>
      <w:r w:rsidR="00204C0F" w:rsidRPr="004B4934">
        <w:t xml:space="preserve"> once the Bank of England intervened.</w:t>
      </w:r>
      <w:r w:rsidR="48A7CF04" w:rsidRPr="004B4934">
        <w:t xml:space="preserve"> </w:t>
      </w:r>
    </w:p>
    <w:p w14:paraId="7059B934" w14:textId="4EA2E016" w:rsidR="00E90B43" w:rsidRPr="004B4934" w:rsidRDefault="00E90B43" w:rsidP="00E90B43">
      <w:pPr>
        <w:pStyle w:val="Newparagraph"/>
      </w:pPr>
      <w:r w:rsidRPr="004B4934">
        <w:t xml:space="preserve">In sum, the greater usage of derivatives and repo markets by PF is a primary cause of their increased need for liquidity management. This has forced PF to act </w:t>
      </w:r>
      <w:r w:rsidRPr="004B4934">
        <w:lastRenderedPageBreak/>
        <w:t xml:space="preserve">“impatiently” and dispose of long-term assets thus contributing to the downward liquidity and asset price spiral. </w:t>
      </w:r>
    </w:p>
    <w:p w14:paraId="018D160A" w14:textId="767C4EF5" w:rsidR="00DD17EA" w:rsidRPr="004B4934" w:rsidRDefault="00DD17EA" w:rsidP="00EE65BE">
      <w:pPr>
        <w:pStyle w:val="Heading1"/>
        <w:numPr>
          <w:ilvl w:val="0"/>
          <w:numId w:val="32"/>
        </w:numPr>
      </w:pPr>
      <w:r w:rsidRPr="004B4934">
        <w:t>Conclusions</w:t>
      </w:r>
    </w:p>
    <w:p w14:paraId="3A2DE417" w14:textId="163D5D77" w:rsidR="00C727A1" w:rsidRPr="00A95C66" w:rsidRDefault="00C727A1" w:rsidP="00C727A1">
      <w:pPr>
        <w:pStyle w:val="Newparagraph"/>
        <w:ind w:firstLine="360"/>
        <w:rPr>
          <w:color w:val="FF0000"/>
        </w:rPr>
      </w:pPr>
      <w:r w:rsidRPr="004B4934">
        <w:t xml:space="preserve">This paper draws attention to </w:t>
      </w:r>
      <w:proofErr w:type="gramStart"/>
      <w:r w:rsidRPr="004B4934">
        <w:t>an as yet</w:t>
      </w:r>
      <w:proofErr w:type="gramEnd"/>
      <w:r w:rsidRPr="004B4934">
        <w:t xml:space="preserve"> under-appreciated aspect of PF’ short-termism, that is the rise of and need for liquidity management practices that even “long-term” investors such as PF adhere to, in the context of increasingly market-based financial systems. Using evidence from the UK, we have argued that PF’s liquidity demands have been driven by the daily management of collateral and the turn towards daily priced DC PF. To manage these liquidity needs, PF keep high holdings of gilts – that can be turned into cash quickly through repo markets – as well as ensuring a higher degree of liquidity through pooled investments. While potentially enabling long-term investments in good times, these strategies turn PF into forced sellers of many asset categories during crises, thus severely constraining their ability to act as patient investors.</w:t>
      </w:r>
      <w:r w:rsidR="00A95C66">
        <w:t xml:space="preserve"> </w:t>
      </w:r>
      <w:r w:rsidR="00A95C66">
        <w:rPr>
          <w:color w:val="FF0000"/>
        </w:rPr>
        <w:t xml:space="preserve">The </w:t>
      </w:r>
      <w:r w:rsidR="00B24B01">
        <w:rPr>
          <w:color w:val="FF0000"/>
        </w:rPr>
        <w:t xml:space="preserve">events of September 2022, when PF put severe downward pressure on gilt markets due to their margin calls, precipitated the intervention of the Bank of England </w:t>
      </w:r>
      <w:r w:rsidR="00385BF8">
        <w:rPr>
          <w:color w:val="FF0000"/>
        </w:rPr>
        <w:t xml:space="preserve">are clear testimony to this. </w:t>
      </w:r>
    </w:p>
    <w:p w14:paraId="0D941CFA" w14:textId="16F5D719" w:rsidR="00C727A1" w:rsidRPr="004B4934" w:rsidRDefault="00C727A1" w:rsidP="00C727A1">
      <w:pPr>
        <w:pStyle w:val="Newparagraph"/>
        <w:ind w:firstLine="360"/>
      </w:pPr>
      <w:r w:rsidRPr="004B4934">
        <w:t xml:space="preserve">Whilst our evidence is time and space specific, the findings become if anything more relevant in the UK going forward while the trend towards DC pension schemes continues. Outside of the UK the relevance will depend on the existence of similar financial system architecture and institutions. There are clear affinities with developments Canada and the Netherlands for example, where widespread usage of derivatives among large PF requires liquidity management and has been highlighted as a source of systemic risk during crises </w:t>
      </w:r>
      <w:r w:rsidRPr="004B4934">
        <w:fldChar w:fldCharType="begin"/>
      </w:r>
      <w:r w:rsidR="00E461FE">
        <w:instrText xml:space="preserve"> ADDIN ZOTERO_ITEM CSL_CITATION {"citationID":"FcGvoDZ3","properties":{"formattedCitation":"(Fache Rousov\\uc0\\u225{} {\\i{}et al.} 2020, Broeders {\\i{}et al.} 2021, B\\uc0\\u233{}dard-Pag\\uc0\\u233{} {\\i{}et al.} 2021)","plainCitation":"(Fache Rousová et al. 2020, Broeders et al. 2021, Bédard-Pagé et al. 2021)","noteIndex":0},"citationItems":[{"id":1492,"uris":["http://zotero.org/users/5165859/items/9S7NEHWC"],"itemData":{"id":1492,"type":"article-journal","abstract":"The European Central Bank (ECB) is the central bank of the 19 European Union countries which have adopted the euro. Our main task is to maintain price stability in the euro area and so preserve the purchasing power of the single currency.","container-title":"Financial stability review","language":"en","source":"www.ecb.europa.eu","title":"Derivatives-related liquidity risk facing investment funds","URL":"https://www.ecb.europa.eu/pub/financial-stability/fsr/special/html/ecb.fsrart202005_02~d48451c1cb.en.html","author":[{"family":"Fache Rousová","given":"Linda"},{"family":"Jukonis","given":"Audrius"},{"family":"Letizia","given":"Elisa"},{"family":"Gravanis","given":"Marios"}],"accessed":{"date-parts":[["2021",11,2]]},"issued":{"date-parts":[["2020",5,26]]}}},{"id":1493,"uris":["http://zotero.org/users/5165859/items/LYHYJ2XR"],"itemData":{"id":1493,"type":"article-journal","abstract":"Defined benefit pension funds invest in illiquid asset classes for return, diversification or liability hedging reasons. So far, little is known about factors influencing how much they invest in illiquid assets. We conjecture that liquidity and capital requirements are pivotal in this decision. Short-term pension payments and margining on derivative contracts generate liquidity requirements, while regulations impose capital requirements. Consistent with our model we empirically find that these requirements create a hump-shaped impact of liability duration on the fraction of risky assets invested in illiquid assets. Further, we report that pension fund size, type, and funding ratio impact illiquid assets allocations.","container-title":"Journal of Pension Economics &amp; Finance","DOI":"10.1017/S1474747219000398","ISSN":"1474-7472, 1475-3022","issue":"1","language":"en","note":"publisher: Cambridge University Press","page":"102-124","source":"Cambridge University Press","title":"Pension fund's illiquid assets allocation under liquidity and capital requirements","volume":"20","author":[{"family":"Broeders","given":"Dirk W. G. A."},{"family":"Jansen","given":"Kristy A. E."},{"family":"Werker","given":"Bas J. M."}],"issued":{"date-parts":[["2021",1]]}}},{"id":1455,"uris":["http://zotero.org/users/5165859/items/S22LHXI7"],"itemData":{"id":1455,"type":"report","abstract":"This paper examines how the eight largest Canadian public pension funds managed liquidity during the market turmoil in March 2020. The funds were generally resilient to large demands for liquidity and relied heavily on Canada's core funding markets.","collection-title":"Staff Analytical Notes","language":"en","note":"container-title: Staff Analytical Notes","number":"2021-11","publisher":"Bank of Canada","source":"ideas.repec.org","title":"COVID-19 crisis: Liquidity management at Canada’s largest public pension funds","title-short":"COVID-19 crisis","URL":"https://ideas.repec.org/p/bca/bocsan/21-11.html","author":[{"family":"Bédard-Pagé","given":"Guillaume"},{"family":"Bolduc","given":"Daniel"},{"family":"Demers","given":"Annick"},{"family":"Dion","given":"Jean-Philippe"},{"family":"Pandey","given":"Manu"},{"family":"Berger-Soucy","given":"Léanne"},{"family":"Walton","given":"Adrian"}],"accessed":{"date-parts":[["2022",7,20]]},"issued":{"date-parts":[["2021",5]]}}}],"schema":"https://github.com/citation-style-language/schema/raw/master/csl-citation.json"} </w:instrText>
      </w:r>
      <w:r w:rsidRPr="004B4934">
        <w:fldChar w:fldCharType="separate"/>
      </w:r>
      <w:r w:rsidRPr="004B4934">
        <w:t xml:space="preserve">(Fache Rousová </w:t>
      </w:r>
      <w:r w:rsidRPr="004B4934">
        <w:rPr>
          <w:i/>
          <w:iCs/>
        </w:rPr>
        <w:t>et al.</w:t>
      </w:r>
      <w:r w:rsidRPr="004B4934">
        <w:t xml:space="preserve"> 2020, Broeders </w:t>
      </w:r>
      <w:r w:rsidRPr="004B4934">
        <w:rPr>
          <w:i/>
          <w:iCs/>
        </w:rPr>
        <w:t>et al.</w:t>
      </w:r>
      <w:r w:rsidRPr="004B4934">
        <w:t xml:space="preserve"> 2021, Bédard-Pagé </w:t>
      </w:r>
      <w:r w:rsidRPr="004B4934">
        <w:rPr>
          <w:i/>
          <w:iCs/>
        </w:rPr>
        <w:t>et al.</w:t>
      </w:r>
      <w:r w:rsidRPr="004B4934">
        <w:t xml:space="preserve"> 2021)</w:t>
      </w:r>
      <w:r w:rsidRPr="004B4934">
        <w:fldChar w:fldCharType="end"/>
      </w:r>
      <w:r w:rsidRPr="004B4934">
        <w:t xml:space="preserve">. The transition towards DC PF, and their greater reliance on </w:t>
      </w:r>
      <w:r w:rsidRPr="004B4934">
        <w:lastRenderedPageBreak/>
        <w:t xml:space="preserve">collective investment funds has also been noted at the European level </w:t>
      </w:r>
      <w:r w:rsidRPr="004B4934">
        <w:fldChar w:fldCharType="begin"/>
      </w:r>
      <w:r w:rsidR="00E461FE">
        <w:instrText xml:space="preserve"> ADDIN ZOTERO_ITEM CSL_CITATION {"citationID":"q0hPKIqZ","properties":{"formattedCitation":"(Fache Rousov\\uc0\\u225{} {\\i{}et al.} 2021)","plainCitation":"(Fache Rousová et al. 2021)","noteIndex":0},"citationItems":[{"id":1448,"uris":["http://zotero.org/users/5165859/items/32VASZLE"],"itemData":{"id":1448,"type":"article-journal","abstract":"The European Central Bank (ECB) is the central bank of the 19 European Union countries which have adopted the euro. Our main task is to maintain price stability in the euro area and so preserve the purchasing power of the single currency.","language":"en","source":"www.ecb.europa.eu","title":"The structural impact of the shift from defined benefits to defined contributions","URL":"https://www.ecb.europa.eu/pub/economic-bulletin/focus/2021/html/ecb.ebbox202105_08~5b846b2f5a.en.html","author":[{"family":"Fache Rousová","given":"Linda"},{"family":"Ghiselli","given":"Angelica"},{"family":"Ghio","given":"Maddalena"},{"family":"Mosk","given":"Benjamin"}],"accessed":{"date-parts":[["2022",7,21]]},"issued":{"date-parts":[["2021",8,5]]}}}],"schema":"https://github.com/citation-style-language/schema/raw/master/csl-citation.json"} </w:instrText>
      </w:r>
      <w:r w:rsidRPr="004B4934">
        <w:fldChar w:fldCharType="separate"/>
      </w:r>
      <w:r w:rsidRPr="004B4934">
        <w:t xml:space="preserve">(Fache Rousová </w:t>
      </w:r>
      <w:r w:rsidRPr="004B4934">
        <w:rPr>
          <w:i/>
          <w:iCs/>
        </w:rPr>
        <w:t>et al.</w:t>
      </w:r>
      <w:r w:rsidRPr="004B4934">
        <w:t xml:space="preserve"> 2021)</w:t>
      </w:r>
      <w:r w:rsidRPr="004B4934">
        <w:fldChar w:fldCharType="end"/>
      </w:r>
      <w:r w:rsidRPr="004B4934">
        <w:t>.</w:t>
      </w:r>
    </w:p>
    <w:p w14:paraId="06285567" w14:textId="597B98A3" w:rsidR="00C727A1" w:rsidRPr="004B4934" w:rsidRDefault="00C727A1" w:rsidP="00C727A1">
      <w:pPr>
        <w:pStyle w:val="Newparagraph"/>
        <w:ind w:firstLine="360"/>
      </w:pPr>
      <w:r w:rsidRPr="004B4934">
        <w:t>It is also important to notice that neither the trend towards DC nor the marketisation of financial systems are apolitical developments, as clearly argued respectively by Berry (2021) in relation to the individualisation of risk entailed by pension reform, and by Sissoko (2019) in relation to the ideology behind the promotion of market finance. Markets manage liquidity well only in utopian models with rational prices. There are serious questions to explore in political economy regarding the winners and losers of choices made to date, and what policy choices remain going forward. It is clear for example that the asset manager industry has both benefitted from growing asset under management from PF and is increasingly central to the market-based financial infrastructure.</w:t>
      </w:r>
    </w:p>
    <w:p w14:paraId="5460F4D5" w14:textId="3EE36E6B" w:rsidR="00C727A1" w:rsidRPr="004B4934" w:rsidRDefault="00C727A1" w:rsidP="00C727A1">
      <w:pPr>
        <w:pStyle w:val="Newparagraph"/>
        <w:ind w:firstLine="360"/>
      </w:pPr>
      <w:r w:rsidRPr="004B4934">
        <w:t xml:space="preserve">Current PF developments force us to acknowledge the contradiction between the quasi-public functions ascribed to PFs, both as welfare providers and investors, and their de-facto private nature, </w:t>
      </w:r>
      <w:proofErr w:type="gramStart"/>
      <w:r w:rsidRPr="004B4934">
        <w:t>i.e.</w:t>
      </w:r>
      <w:proofErr w:type="gramEnd"/>
      <w:r w:rsidRPr="004B4934">
        <w:t xml:space="preserve"> the reality of their survival constraint. With PF being called upon to boost investment across the economy </w:t>
      </w:r>
      <w:r w:rsidRPr="004B4934">
        <w:rPr>
          <w:i/>
          <w:iCs/>
        </w:rPr>
        <w:t>and</w:t>
      </w:r>
      <w:r w:rsidRPr="004B4934">
        <w:t xml:space="preserve"> ensure adequate retirement income, something somewhere will have to give. Without a change in the financial structures in which PF operate, it may be necessary to create mechanisms to reduce their focus on both funding deficits and liquidity, outside the asset allocation mechanisms prescribed by LDI and the short-term incentives of DC PF. This could be achieved partly by a greater degree of risk sharing between workers, retirees and employers, ensuring larger participation into </w:t>
      </w:r>
      <w:r w:rsidRPr="004B4934">
        <w:rPr>
          <w:i/>
        </w:rPr>
        <w:t>collective</w:t>
      </w:r>
      <w:r w:rsidRPr="004B4934">
        <w:rPr>
          <w:iCs/>
        </w:rPr>
        <w:t xml:space="preserve"> pension</w:t>
      </w:r>
      <w:r w:rsidRPr="004B4934">
        <w:t xml:space="preserve"> schemes </w:t>
      </w:r>
      <w:r w:rsidRPr="004B4934">
        <w:fldChar w:fldCharType="begin"/>
      </w:r>
      <w:r w:rsidR="00E461FE">
        <w:instrText xml:space="preserve"> ADDIN ZOTERO_ITEM CSL_CITATION {"citationID":"HaAn6jds","properties":{"formattedCitation":"(Berry 2021)","plainCitation":"(Berry 2021)","noteIndex":0},"citationItems":[{"id":8,"uris":["http://zotero.org/users/5165859/items/TD6XQ6WE"],"itemData":{"id":8,"type":"book","abstract":"Private pensions provision in the UK is in crisis, yet it is not the crisis often depicted in political and popular discourses. While population ageing has affected traditional pensions practice, the imperilment of UK pensions is due in fact to the peculiar way policy-makers have responded to wider social and economic change. Pensions are a mechanism for managing failed futures, yet this function is being impeded by the individualization of provision. This book offers a political economy perspective on the development of private pensions, focusing specifically on how policy elites have sought to respond to perceived crises of demographic change, under-saving, and fund deficits, and in doing so have absorbed imperatives to subject individuals to a market-led regime under the influence of neoliberal ideology. This terrain is explored through chapters on the historical and comparative context of UK pensions provision, the demise of collectivist provision, the rise of pensions individualization and the state's role as facilitator and regulator in this regard, and the financial and economic context in which pensions provision operates. By placing the UK system in a comparative context of pensions reform agendas across the world, this book offers an original understanding of the unique temporality and materiality of pensions provision as a set of mechanisms for coping with generational change and forecast failures in capitalist economies. It also presents a nuanced account of the extent to which the state acts to anchor the process of pensions rematerialization and, crucially, concludes by outlining a coherent and radical programme of progressive pensions reform.","event-place":"Oxford, New York","ISBN":"978-0-19-878283-4","number-of-pages":"352","publisher":"Oxford University Press","publisher-place":"Oxford, New York","source":"Oxford University Press","title":"Pensions Imperilled: The Political Economy of Private Pensions Provision in the UK","title-short":"Pensions Imperilled","author":[{"family":"Berry","given":"Craig"}],"issued":{"date-parts":[["2021"]]}}}],"schema":"https://github.com/citation-style-language/schema/raw/master/csl-citation.json"} </w:instrText>
      </w:r>
      <w:r w:rsidRPr="004B4934">
        <w:fldChar w:fldCharType="separate"/>
      </w:r>
      <w:r w:rsidRPr="004B4934">
        <w:t>(Berry 2021)</w:t>
      </w:r>
      <w:r w:rsidRPr="004B4934">
        <w:fldChar w:fldCharType="end"/>
      </w:r>
      <w:r w:rsidRPr="004B4934">
        <w:t xml:space="preserve">. It would also necessitate government external guarantee to the liquidity of pension liabilities, perhaps by enhancing the role of the Pension Protection Fund. This would not only contribute to </w:t>
      </w:r>
      <w:r w:rsidRPr="004B4934">
        <w:lastRenderedPageBreak/>
        <w:t xml:space="preserve">PF’ patience as </w:t>
      </w:r>
      <w:proofErr w:type="gramStart"/>
      <w:r w:rsidRPr="004B4934">
        <w:t>investors, but</w:t>
      </w:r>
      <w:proofErr w:type="gramEnd"/>
      <w:r w:rsidRPr="004B4934">
        <w:t xml:space="preserve"> would also allow them to better fulfil their essential role in social provision. </w:t>
      </w:r>
    </w:p>
    <w:p w14:paraId="322EDA14" w14:textId="4E5D60BD" w:rsidR="00E21957" w:rsidRPr="004B4934" w:rsidRDefault="00E21957" w:rsidP="00E21957">
      <w:pPr>
        <w:pStyle w:val="Heading1"/>
      </w:pPr>
      <w:r w:rsidRPr="004B4934">
        <w:t>References</w:t>
      </w:r>
    </w:p>
    <w:p w14:paraId="7FB21267" w14:textId="77777777" w:rsidR="005124AF" w:rsidRDefault="00E21957" w:rsidP="005124AF">
      <w:pPr>
        <w:pStyle w:val="Bibliography"/>
      </w:pPr>
      <w:r w:rsidRPr="004B4934">
        <w:fldChar w:fldCharType="begin"/>
      </w:r>
      <w:r w:rsidR="005124AF">
        <w:instrText xml:space="preserve"> ADDIN ZOTERO_BIBL {"uncited":[],"omitted":[],"custom":[]} CSL_BIBLIOGRAPHY </w:instrText>
      </w:r>
      <w:r w:rsidRPr="004B4934">
        <w:fldChar w:fldCharType="separate"/>
      </w:r>
      <w:r w:rsidR="005124AF">
        <w:t xml:space="preserve">Bank of England, 2020a. </w:t>
      </w:r>
      <w:r w:rsidR="005124AF">
        <w:rPr>
          <w:i/>
          <w:iCs/>
        </w:rPr>
        <w:t>UK financial stability and the Covid-19 pandemic</w:t>
      </w:r>
      <w:r w:rsidR="005124AF">
        <w:t>. Bank of England, Interim financial stability report.</w:t>
      </w:r>
    </w:p>
    <w:p w14:paraId="6D78FC77" w14:textId="77777777" w:rsidR="005124AF" w:rsidRDefault="005124AF" w:rsidP="005124AF">
      <w:pPr>
        <w:pStyle w:val="Bibliography"/>
      </w:pPr>
      <w:r>
        <w:t xml:space="preserve">Bank of England, 2020b. </w:t>
      </w:r>
      <w:r>
        <w:rPr>
          <w:i/>
          <w:iCs/>
        </w:rPr>
        <w:t>Financial Stability Report</w:t>
      </w:r>
      <w:r>
        <w:t>. Bank of England, No. August.</w:t>
      </w:r>
    </w:p>
    <w:p w14:paraId="557A5598" w14:textId="77777777" w:rsidR="005124AF" w:rsidRDefault="005124AF" w:rsidP="005124AF">
      <w:pPr>
        <w:pStyle w:val="Bibliography"/>
      </w:pPr>
      <w:r>
        <w:t xml:space="preserve">Bank of England, 2021. </w:t>
      </w:r>
      <w:r>
        <w:rPr>
          <w:i/>
          <w:iCs/>
        </w:rPr>
        <w:t>Assessing the resilience of market-based finance</w:t>
      </w:r>
      <w:r>
        <w:t>. Bank of England, Financial policy committee.</w:t>
      </w:r>
    </w:p>
    <w:p w14:paraId="51328581" w14:textId="77777777" w:rsidR="005124AF" w:rsidRDefault="005124AF" w:rsidP="005124AF">
      <w:pPr>
        <w:pStyle w:val="Bibliography"/>
      </w:pPr>
      <w:r>
        <w:t xml:space="preserve">Bank of England, 2022. </w:t>
      </w:r>
      <w:r>
        <w:rPr>
          <w:i/>
          <w:iCs/>
        </w:rPr>
        <w:t>Financial Stability Report</w:t>
      </w:r>
      <w:r>
        <w:t>. Bank of England, No. December.</w:t>
      </w:r>
    </w:p>
    <w:p w14:paraId="1A38852D" w14:textId="77777777" w:rsidR="005124AF" w:rsidRDefault="005124AF" w:rsidP="005124AF">
      <w:pPr>
        <w:pStyle w:val="Bibliography"/>
      </w:pPr>
      <w:r>
        <w:t xml:space="preserve">Bédard-Pagé, G., Bolduc, D., Demers, A., Dion, J.-P., Pandey, M., Berger-Soucy, L., and Walton, A., 2021. </w:t>
      </w:r>
      <w:r>
        <w:rPr>
          <w:i/>
          <w:iCs/>
        </w:rPr>
        <w:t>COVID-19 crisis: Liquidity management at Canada’s largest public pension funds</w:t>
      </w:r>
      <w:r>
        <w:t>. Staff Analytical Notes. Bank of Canada, No. 2021–11.</w:t>
      </w:r>
    </w:p>
    <w:p w14:paraId="0559C4A0" w14:textId="77777777" w:rsidR="005124AF" w:rsidRDefault="005124AF" w:rsidP="005124AF">
      <w:pPr>
        <w:pStyle w:val="Bibliography"/>
      </w:pPr>
      <w:r>
        <w:t xml:space="preserve">Berry, C., 2015. </w:t>
      </w:r>
      <w:r>
        <w:rPr>
          <w:i/>
          <w:iCs/>
        </w:rPr>
        <w:t>Take the long road? Pension fund investments and economic stagnation</w:t>
      </w:r>
      <w:r>
        <w:t>. International Longevity Centre - UK and Sheffield Political Economy Research Institute.</w:t>
      </w:r>
    </w:p>
    <w:p w14:paraId="5FD8E738" w14:textId="77777777" w:rsidR="005124AF" w:rsidRDefault="005124AF" w:rsidP="005124AF">
      <w:pPr>
        <w:pStyle w:val="Bibliography"/>
      </w:pPr>
      <w:r>
        <w:t xml:space="preserve">Berry, C., 2016. Austerity, ageing and the financialisation of pensions policy in the UK. </w:t>
      </w:r>
      <w:r>
        <w:rPr>
          <w:i/>
          <w:iCs/>
        </w:rPr>
        <w:t>British Politics</w:t>
      </w:r>
      <w:r>
        <w:t>, 11 (1), 2–25.</w:t>
      </w:r>
    </w:p>
    <w:p w14:paraId="1F2B38EC" w14:textId="77777777" w:rsidR="005124AF" w:rsidRDefault="005124AF" w:rsidP="005124AF">
      <w:pPr>
        <w:pStyle w:val="Bibliography"/>
      </w:pPr>
      <w:r>
        <w:t xml:space="preserve">Berry, C., 2021. </w:t>
      </w:r>
      <w:r>
        <w:rPr>
          <w:i/>
          <w:iCs/>
        </w:rPr>
        <w:t>Pensions Imperilled: The Political Economy of Private Pensions Provision in the UK</w:t>
      </w:r>
      <w:r>
        <w:t>. Oxford, New York: Oxford University Press.</w:t>
      </w:r>
    </w:p>
    <w:p w14:paraId="58336696" w14:textId="77777777" w:rsidR="005124AF" w:rsidRDefault="005124AF" w:rsidP="005124AF">
      <w:pPr>
        <w:pStyle w:val="Bibliography"/>
      </w:pPr>
      <w:r>
        <w:t xml:space="preserve">BIS, 2019. </w:t>
      </w:r>
      <w:r>
        <w:rPr>
          <w:i/>
          <w:iCs/>
        </w:rPr>
        <w:t>Triennial Central Bank Survey of Foreign Exchange and Over-the-counter (OTC) Derivatives Markets in 2019</w:t>
      </w:r>
      <w:r>
        <w:t>. Bank for International Settlements.</w:t>
      </w:r>
    </w:p>
    <w:p w14:paraId="46F372D1" w14:textId="77777777" w:rsidR="005124AF" w:rsidRDefault="005124AF" w:rsidP="005124AF">
      <w:pPr>
        <w:pStyle w:val="Bibliography"/>
      </w:pPr>
      <w:r>
        <w:t xml:space="preserve">Blackburn, R., 2004. How to rescue a failing pension regime: the British case. </w:t>
      </w:r>
      <w:r>
        <w:rPr>
          <w:i/>
          <w:iCs/>
        </w:rPr>
        <w:t>New Political Economy</w:t>
      </w:r>
      <w:r>
        <w:t>, 9 (4), 559–579.</w:t>
      </w:r>
    </w:p>
    <w:p w14:paraId="04888C1A" w14:textId="77777777" w:rsidR="005124AF" w:rsidRDefault="005124AF" w:rsidP="005124AF">
      <w:pPr>
        <w:pStyle w:val="Bibliography"/>
      </w:pPr>
      <w:r>
        <w:t xml:space="preserve">Bonizzi, B. and Kaltenbrunner, A., 2020. Critical macro-finance, Post Keynesian monetary theory and emerging economies. </w:t>
      </w:r>
      <w:r>
        <w:rPr>
          <w:i/>
          <w:iCs/>
        </w:rPr>
        <w:t>Finance and Society</w:t>
      </w:r>
      <w:r>
        <w:t>, 6 (1), 76–86.</w:t>
      </w:r>
    </w:p>
    <w:p w14:paraId="05738290" w14:textId="77777777" w:rsidR="005124AF" w:rsidRDefault="005124AF" w:rsidP="005124AF">
      <w:pPr>
        <w:pStyle w:val="Bibliography"/>
      </w:pPr>
      <w:r>
        <w:t xml:space="preserve">Braun, B., 2021. Asset Manager Capitalism as a Corporate Governance Regime. </w:t>
      </w:r>
      <w:r>
        <w:rPr>
          <w:i/>
          <w:iCs/>
        </w:rPr>
        <w:t>American political economy: politics, markets and power</w:t>
      </w:r>
      <w:r>
        <w:t>.</w:t>
      </w:r>
    </w:p>
    <w:p w14:paraId="3B647BDF" w14:textId="77777777" w:rsidR="005124AF" w:rsidRDefault="005124AF" w:rsidP="005124AF">
      <w:pPr>
        <w:pStyle w:val="Bibliography"/>
      </w:pPr>
      <w:r>
        <w:t xml:space="preserve">Braun, B., 2022. Fueling Financialization: The Economic Consequences of Funded Pensions. </w:t>
      </w:r>
      <w:r>
        <w:rPr>
          <w:i/>
          <w:iCs/>
        </w:rPr>
        <w:t>New Labor Forum</w:t>
      </w:r>
      <w:r>
        <w:t>, 31 (1), 70–79.</w:t>
      </w:r>
    </w:p>
    <w:p w14:paraId="18F0DE46" w14:textId="77777777" w:rsidR="005124AF" w:rsidRDefault="005124AF" w:rsidP="005124AF">
      <w:pPr>
        <w:pStyle w:val="Bibliography"/>
      </w:pPr>
      <w:r>
        <w:t xml:space="preserve">Braun, B. and Gabor, D., 2020. Central banking, shadow banking, and infrastructural power. </w:t>
      </w:r>
      <w:r>
        <w:rPr>
          <w:i/>
          <w:iCs/>
        </w:rPr>
        <w:t>In</w:t>
      </w:r>
      <w:r>
        <w:t xml:space="preserve">: P. Mader, D. Mertens, and N. Van der Zwan, eds. </w:t>
      </w:r>
      <w:r>
        <w:rPr>
          <w:i/>
          <w:iCs/>
        </w:rPr>
        <w:t>Routledge International Handbook of Financialization</w:t>
      </w:r>
      <w:r>
        <w:t>. Abingdon, Oxon: Routledge, 241–252.</w:t>
      </w:r>
    </w:p>
    <w:p w14:paraId="6B8BE91C" w14:textId="77777777" w:rsidR="005124AF" w:rsidRDefault="005124AF" w:rsidP="005124AF">
      <w:pPr>
        <w:pStyle w:val="Bibliography"/>
      </w:pPr>
      <w:r>
        <w:t xml:space="preserve">Breeden, S., 2022. </w:t>
      </w:r>
      <w:r>
        <w:rPr>
          <w:i/>
          <w:iCs/>
        </w:rPr>
        <w:t>Risks from leverage: how did a small corner of the pensions industry threaten financial stability?</w:t>
      </w:r>
      <w:r>
        <w:t xml:space="preserve"> Given at ISDA &amp; AIMA: Bank of England.</w:t>
      </w:r>
    </w:p>
    <w:p w14:paraId="717AD486" w14:textId="77777777" w:rsidR="005124AF" w:rsidRDefault="005124AF" w:rsidP="005124AF">
      <w:pPr>
        <w:pStyle w:val="Bibliography"/>
      </w:pPr>
      <w:r>
        <w:t xml:space="preserve">Broeders, D.W.G.A., Jansen, K.A.E., and Werker, B.J.M., 2021. Pension fund’s illiquid assets allocation under liquidity and capital requirements. </w:t>
      </w:r>
      <w:r>
        <w:rPr>
          <w:i/>
          <w:iCs/>
        </w:rPr>
        <w:t>Journal of Pension Economics &amp; Finance</w:t>
      </w:r>
      <w:r>
        <w:t>, 20 (1), 102–124.</w:t>
      </w:r>
    </w:p>
    <w:p w14:paraId="1038148A" w14:textId="77777777" w:rsidR="005124AF" w:rsidRDefault="005124AF" w:rsidP="005124AF">
      <w:pPr>
        <w:pStyle w:val="Bibliography"/>
      </w:pPr>
      <w:r>
        <w:t xml:space="preserve">Bruder, B., Jamet, G., and Lasserre, G., 2012. </w:t>
      </w:r>
      <w:r>
        <w:rPr>
          <w:i/>
          <w:iCs/>
        </w:rPr>
        <w:t>Liability-Driven Investment</w:t>
      </w:r>
      <w:r>
        <w:t>. Lyxor, White Paper.</w:t>
      </w:r>
    </w:p>
    <w:p w14:paraId="5278AF59" w14:textId="77777777" w:rsidR="005124AF" w:rsidRDefault="005124AF" w:rsidP="005124AF">
      <w:pPr>
        <w:pStyle w:val="Bibliography"/>
      </w:pPr>
      <w:r>
        <w:t xml:space="preserve">BTPS, 2020. </w:t>
      </w:r>
      <w:r>
        <w:rPr>
          <w:i/>
          <w:iCs/>
        </w:rPr>
        <w:t>BTPS Annual Report and Accounts 2020</w:t>
      </w:r>
      <w:r>
        <w:t>.</w:t>
      </w:r>
    </w:p>
    <w:p w14:paraId="7AEBD287" w14:textId="77777777" w:rsidR="005124AF" w:rsidRDefault="005124AF" w:rsidP="005124AF">
      <w:pPr>
        <w:pStyle w:val="Bibliography"/>
      </w:pPr>
      <w:r>
        <w:t xml:space="preserve">Chernenko, S. and Sunderam, A., 2016. </w:t>
      </w:r>
      <w:r>
        <w:rPr>
          <w:i/>
          <w:iCs/>
        </w:rPr>
        <w:t>Liquidity Transformation in Asset Management: Evidence from the Cash Holdings of Mutual Funds</w:t>
      </w:r>
      <w:r>
        <w:t>. National Bureau of Economic Research, No. w22391.</w:t>
      </w:r>
    </w:p>
    <w:p w14:paraId="43F88625" w14:textId="77777777" w:rsidR="005124AF" w:rsidRDefault="005124AF" w:rsidP="005124AF">
      <w:pPr>
        <w:pStyle w:val="Bibliography"/>
      </w:pPr>
      <w:r>
        <w:lastRenderedPageBreak/>
        <w:t xml:space="preserve">Choudhry, M., 2009. The Value of Introducing Structural Reform to Improve Bond Market Liquidity: Experience from the U.K. Gilt Market. </w:t>
      </w:r>
      <w:r>
        <w:rPr>
          <w:i/>
          <w:iCs/>
        </w:rPr>
        <w:t>European Journal of Finance and Banking Research</w:t>
      </w:r>
      <w:r>
        <w:t>, 2 (2), 13–35.</w:t>
      </w:r>
    </w:p>
    <w:p w14:paraId="303F1215" w14:textId="77777777" w:rsidR="005124AF" w:rsidRDefault="005124AF" w:rsidP="005124AF">
      <w:pPr>
        <w:pStyle w:val="Bibliography"/>
      </w:pPr>
      <w:r>
        <w:t xml:space="preserve">Czech, R., Gual-Ricart, B., Lillis, J., and Worlidge, J., 2021. </w:t>
      </w:r>
      <w:r>
        <w:rPr>
          <w:i/>
          <w:iCs/>
        </w:rPr>
        <w:t>The role of non-bank financial intermediaries in the ‘dash for cash’ in sterling markets</w:t>
      </w:r>
      <w:r>
        <w:t>. Bank of England, No. 47.</w:t>
      </w:r>
    </w:p>
    <w:p w14:paraId="7EA584E5" w14:textId="77777777" w:rsidR="005124AF" w:rsidRDefault="005124AF" w:rsidP="005124AF">
      <w:pPr>
        <w:pStyle w:val="Bibliography"/>
      </w:pPr>
      <w:r>
        <w:t xml:space="preserve">Czech, R., Huang, S., Lou, D., and Wang, T., 2021. </w:t>
      </w:r>
      <w:r>
        <w:rPr>
          <w:i/>
          <w:iCs/>
        </w:rPr>
        <w:t>An unintended consequence of holding dollar assets</w:t>
      </w:r>
      <w:r>
        <w:t>. Bank of England working papers. Bank of England, No. 953.</w:t>
      </w:r>
    </w:p>
    <w:p w14:paraId="2EE83A28" w14:textId="77777777" w:rsidR="005124AF" w:rsidRDefault="005124AF" w:rsidP="005124AF">
      <w:pPr>
        <w:pStyle w:val="Bibliography"/>
      </w:pPr>
      <w:r>
        <w:t xml:space="preserve">Datz, G., 2014. Varieties of Power in Latin American Pension Finance: Pension Fund Capitalism, Developmentalism and Statism. </w:t>
      </w:r>
      <w:r>
        <w:rPr>
          <w:i/>
          <w:iCs/>
        </w:rPr>
        <w:t>Government and Opposition</w:t>
      </w:r>
      <w:r>
        <w:t>, 49 (3), 483–510.</w:t>
      </w:r>
    </w:p>
    <w:p w14:paraId="1E0BD8D7" w14:textId="77777777" w:rsidR="005124AF" w:rsidRDefault="005124AF" w:rsidP="005124AF">
      <w:pPr>
        <w:pStyle w:val="Bibliography"/>
      </w:pPr>
      <w:r>
        <w:t xml:space="preserve">Deeg, R. and Hardie, I., 2016. ‘What is patient capital and who supplies it?’ </w:t>
      </w:r>
      <w:r>
        <w:rPr>
          <w:i/>
          <w:iCs/>
        </w:rPr>
        <w:t>Socio-Economic Review</w:t>
      </w:r>
      <w:r>
        <w:t>, 14 (4), 627–645.</w:t>
      </w:r>
    </w:p>
    <w:p w14:paraId="478A6E72" w14:textId="77777777" w:rsidR="005124AF" w:rsidRDefault="005124AF" w:rsidP="005124AF">
      <w:pPr>
        <w:pStyle w:val="Bibliography"/>
      </w:pPr>
      <w:r>
        <w:t xml:space="preserve">Dixon, A.D., 2014. </w:t>
      </w:r>
      <w:r>
        <w:rPr>
          <w:i/>
          <w:iCs/>
        </w:rPr>
        <w:t>The New Geography of Capitalism: Firms, Finance, and Society</w:t>
      </w:r>
      <w:r>
        <w:t>. Oxford University Press.</w:t>
      </w:r>
    </w:p>
    <w:p w14:paraId="24BBEA0D" w14:textId="77777777" w:rsidR="005124AF" w:rsidRDefault="005124AF" w:rsidP="005124AF">
      <w:pPr>
        <w:pStyle w:val="Bibliography"/>
      </w:pPr>
      <w:r>
        <w:t xml:space="preserve">Domanski, D., Shin, H.S., and Sushko, V., 2015. </w:t>
      </w:r>
      <w:r>
        <w:rPr>
          <w:i/>
          <w:iCs/>
        </w:rPr>
        <w:t>The hunt for duration: not waving but drowning?</w:t>
      </w:r>
      <w:r>
        <w:t xml:space="preserve"> Bank for International Settlements, BIS Working Paper No. 519.</w:t>
      </w:r>
    </w:p>
    <w:p w14:paraId="580EB802" w14:textId="77777777" w:rsidR="005124AF" w:rsidRDefault="005124AF" w:rsidP="005124AF">
      <w:pPr>
        <w:pStyle w:val="Bibliography"/>
      </w:pPr>
      <w:r>
        <w:t xml:space="preserve">Douglas, G. and Roberts-Sklar, M., 2018. </w:t>
      </w:r>
      <w:r>
        <w:rPr>
          <w:i/>
          <w:iCs/>
        </w:rPr>
        <w:t>What drives UK defined benefit pension funds’ investment behaviour?</w:t>
      </w:r>
      <w:r>
        <w:t xml:space="preserve"> Bank of England, No. 757.</w:t>
      </w:r>
    </w:p>
    <w:p w14:paraId="47B602E9" w14:textId="77777777" w:rsidR="005124AF" w:rsidRDefault="005124AF" w:rsidP="005124AF">
      <w:pPr>
        <w:pStyle w:val="Bibliography"/>
      </w:pPr>
      <w:r>
        <w:t xml:space="preserve">Dutta, S.J., 2018. Sovereign debt management and the globalization of finance: Recasting the City of London’s ‘Big Bang’. </w:t>
      </w:r>
      <w:r>
        <w:rPr>
          <w:i/>
          <w:iCs/>
        </w:rPr>
        <w:t>Competition &amp; Change</w:t>
      </w:r>
      <w:r>
        <w:t>, 22 (1), 3–22.</w:t>
      </w:r>
    </w:p>
    <w:p w14:paraId="2C9A8AD9" w14:textId="77777777" w:rsidR="005124AF" w:rsidRDefault="005124AF" w:rsidP="005124AF">
      <w:pPr>
        <w:pStyle w:val="Bibliography"/>
      </w:pPr>
      <w:r>
        <w:t xml:space="preserve">Dutta, S.J., Kremers, R., Pape, F., and Petry, J., 2020. Critical macro-finance: An introduction. </w:t>
      </w:r>
      <w:r>
        <w:rPr>
          <w:i/>
          <w:iCs/>
        </w:rPr>
        <w:t>Finance and Society</w:t>
      </w:r>
      <w:r>
        <w:t>, 6 (1), 34–44.</w:t>
      </w:r>
    </w:p>
    <w:p w14:paraId="3FCD7761" w14:textId="77777777" w:rsidR="005124AF" w:rsidRDefault="005124AF" w:rsidP="005124AF">
      <w:pPr>
        <w:pStyle w:val="Bibliography"/>
      </w:pPr>
      <w:r>
        <w:t xml:space="preserve">Engelen, E., 2003. The logic of funding European pension restructuring and the dangers of financialisation. </w:t>
      </w:r>
      <w:r>
        <w:rPr>
          <w:i/>
          <w:iCs/>
        </w:rPr>
        <w:t>Environment and Planning A</w:t>
      </w:r>
      <w:r>
        <w:t>, 35 (8), 1357–1372.</w:t>
      </w:r>
    </w:p>
    <w:p w14:paraId="4869A831" w14:textId="77777777" w:rsidR="005124AF" w:rsidRDefault="005124AF" w:rsidP="005124AF">
      <w:pPr>
        <w:pStyle w:val="Bibliography"/>
      </w:pPr>
      <w:r>
        <w:t>Fache Rousová, L., Ghiselli, A., Ghio, M., and Mosk, B., 2021. The structural impact of the shift from defined benefits to defined contributions.</w:t>
      </w:r>
    </w:p>
    <w:p w14:paraId="1866457B" w14:textId="77777777" w:rsidR="005124AF" w:rsidRDefault="005124AF" w:rsidP="005124AF">
      <w:pPr>
        <w:pStyle w:val="Bibliography"/>
      </w:pPr>
      <w:r>
        <w:t xml:space="preserve">Fache Rousová, L., Jukonis, A., Letizia, E., and Gravanis, M., 2020. Derivatives-related liquidity risk facing investment funds. </w:t>
      </w:r>
      <w:r>
        <w:rPr>
          <w:i/>
          <w:iCs/>
        </w:rPr>
        <w:t>Financial stability review</w:t>
      </w:r>
      <w:r>
        <w:t>.</w:t>
      </w:r>
    </w:p>
    <w:p w14:paraId="268445D1" w14:textId="77777777" w:rsidR="005124AF" w:rsidRDefault="005124AF" w:rsidP="005124AF">
      <w:pPr>
        <w:pStyle w:val="Bibliography"/>
      </w:pPr>
      <w:r>
        <w:t xml:space="preserve">Fichtner, J. and Heemskerk, E.M., 2020. The New Permanent Universal Owners: Index funds, patient capital, and the distinction between feeble and forceful stewardship. </w:t>
      </w:r>
      <w:r>
        <w:rPr>
          <w:i/>
          <w:iCs/>
        </w:rPr>
        <w:t>Economy and Society</w:t>
      </w:r>
      <w:r>
        <w:t>, 49 (4), 493–515.</w:t>
      </w:r>
    </w:p>
    <w:p w14:paraId="3B773D5D" w14:textId="77777777" w:rsidR="005124AF" w:rsidRDefault="005124AF" w:rsidP="005124AF">
      <w:pPr>
        <w:pStyle w:val="Bibliography"/>
      </w:pPr>
      <w:r>
        <w:t xml:space="preserve">FSB, 2017. </w:t>
      </w:r>
      <w:r>
        <w:rPr>
          <w:i/>
          <w:iCs/>
        </w:rPr>
        <w:t>Policy Recommendations to Address Structural Vulnerabilities from Asset Management Activities</w:t>
      </w:r>
      <w:r>
        <w:t>. Financial Stability Board.</w:t>
      </w:r>
    </w:p>
    <w:p w14:paraId="6879FBD7" w14:textId="77777777" w:rsidR="005124AF" w:rsidRDefault="005124AF" w:rsidP="005124AF">
      <w:pPr>
        <w:pStyle w:val="Bibliography"/>
      </w:pPr>
      <w:r>
        <w:t xml:space="preserve">Gabor, D., 2016. The (impossible) repo trinity: the political economy of repo markets. </w:t>
      </w:r>
      <w:r>
        <w:rPr>
          <w:i/>
          <w:iCs/>
        </w:rPr>
        <w:t>Review of International Political Economy</w:t>
      </w:r>
      <w:r>
        <w:t>, 23 (6), 967–1000.</w:t>
      </w:r>
    </w:p>
    <w:p w14:paraId="2ABF45E4" w14:textId="77777777" w:rsidR="005124AF" w:rsidRDefault="005124AF" w:rsidP="005124AF">
      <w:pPr>
        <w:pStyle w:val="Bibliography"/>
      </w:pPr>
      <w:r>
        <w:t xml:space="preserve">Gabor, D., 2020. Critical macro-finance: A theoretical lens. </w:t>
      </w:r>
      <w:r>
        <w:rPr>
          <w:i/>
          <w:iCs/>
        </w:rPr>
        <w:t>Finance and Society</w:t>
      </w:r>
      <w:r>
        <w:t>, 6 (1), 45–55.</w:t>
      </w:r>
    </w:p>
    <w:p w14:paraId="06E90D0E" w14:textId="77777777" w:rsidR="005124AF" w:rsidRDefault="005124AF" w:rsidP="005124AF">
      <w:pPr>
        <w:pStyle w:val="Bibliography"/>
      </w:pPr>
      <w:r>
        <w:t xml:space="preserve">Gabor, D. and Vestergaard, J., 2018a. Chasing unicorns: The European single safe asset project. </w:t>
      </w:r>
      <w:r>
        <w:rPr>
          <w:i/>
          <w:iCs/>
        </w:rPr>
        <w:t>Competition &amp; Change</w:t>
      </w:r>
      <w:r>
        <w:t>, 22 (2), 139–164.</w:t>
      </w:r>
    </w:p>
    <w:p w14:paraId="35A681AB" w14:textId="77777777" w:rsidR="005124AF" w:rsidRDefault="005124AF" w:rsidP="005124AF">
      <w:pPr>
        <w:pStyle w:val="Bibliography"/>
      </w:pPr>
      <w:r>
        <w:t xml:space="preserve">Gabor, D. and Vestergaard, J., 2018b. Chasing unicorns: The European single safe asset project: </w:t>
      </w:r>
      <w:r>
        <w:rPr>
          <w:i/>
          <w:iCs/>
        </w:rPr>
        <w:t>Competition &amp; Change</w:t>
      </w:r>
      <w:r>
        <w:t>.</w:t>
      </w:r>
    </w:p>
    <w:p w14:paraId="4FC93DB5" w14:textId="77777777" w:rsidR="005124AF" w:rsidRDefault="005124AF" w:rsidP="005124AF">
      <w:pPr>
        <w:pStyle w:val="Bibliography"/>
      </w:pPr>
      <w:r>
        <w:t xml:space="preserve">Gelepithis, M., 2019. Re-assessing the role of financial professionals in pension fund investment strategies. </w:t>
      </w:r>
      <w:r>
        <w:rPr>
          <w:i/>
          <w:iCs/>
        </w:rPr>
        <w:t>Journal of European Public Policy</w:t>
      </w:r>
      <w:r>
        <w:t>, 26 (4), 540–559.</w:t>
      </w:r>
    </w:p>
    <w:p w14:paraId="7651389E" w14:textId="77777777" w:rsidR="005124AF" w:rsidRDefault="005124AF" w:rsidP="005124AF">
      <w:pPr>
        <w:pStyle w:val="Bibliography"/>
      </w:pPr>
      <w:r>
        <w:t xml:space="preserve">Greenwood, R. and Vayanos, D., 2010. Price Pressure in the Government Bond Market. </w:t>
      </w:r>
      <w:r>
        <w:rPr>
          <w:i/>
          <w:iCs/>
        </w:rPr>
        <w:t>American Economic Review</w:t>
      </w:r>
      <w:r>
        <w:t>, 100 (2), 585–590.</w:t>
      </w:r>
    </w:p>
    <w:p w14:paraId="24F60CDF" w14:textId="77777777" w:rsidR="005124AF" w:rsidRDefault="005124AF" w:rsidP="005124AF">
      <w:pPr>
        <w:pStyle w:val="Bibliography"/>
      </w:pPr>
      <w:r>
        <w:t xml:space="preserve">Hammond, G., Klasa, A., and Oliver, J., 2022. Fire sale begins as property funds face rush of UK redemptions. </w:t>
      </w:r>
      <w:r>
        <w:rPr>
          <w:i/>
          <w:iCs/>
        </w:rPr>
        <w:t>Financial Times</w:t>
      </w:r>
      <w:r>
        <w:t>, 4 Nov.</w:t>
      </w:r>
    </w:p>
    <w:p w14:paraId="0E588A13" w14:textId="77777777" w:rsidR="005124AF" w:rsidRDefault="005124AF" w:rsidP="005124AF">
      <w:pPr>
        <w:pStyle w:val="Bibliography"/>
      </w:pPr>
      <w:r>
        <w:lastRenderedPageBreak/>
        <w:t xml:space="preserve">Insight Investment, 2020. </w:t>
      </w:r>
      <w:r>
        <w:rPr>
          <w:i/>
          <w:iCs/>
        </w:rPr>
        <w:t>An introduction to Liability-Driven Investment</w:t>
      </w:r>
      <w:r>
        <w:t>. Insight Investment.</w:t>
      </w:r>
    </w:p>
    <w:p w14:paraId="75B5C42E" w14:textId="77777777" w:rsidR="005124AF" w:rsidRDefault="005124AF" w:rsidP="005124AF">
      <w:pPr>
        <w:pStyle w:val="Bibliography"/>
      </w:pPr>
      <w:r>
        <w:t xml:space="preserve">Investment Association, 2019. </w:t>
      </w:r>
      <w:r>
        <w:rPr>
          <w:i/>
          <w:iCs/>
        </w:rPr>
        <w:t>Investment management in the UK 2018-2019</w:t>
      </w:r>
      <w:r>
        <w:t>. The Investment Association, Annual Survey.</w:t>
      </w:r>
    </w:p>
    <w:p w14:paraId="59340B46" w14:textId="77777777" w:rsidR="005124AF" w:rsidRDefault="005124AF" w:rsidP="005124AF">
      <w:pPr>
        <w:pStyle w:val="Bibliography"/>
      </w:pPr>
      <w:r>
        <w:t xml:space="preserve">Investment Association, 2020. </w:t>
      </w:r>
      <w:r>
        <w:rPr>
          <w:i/>
          <w:iCs/>
        </w:rPr>
        <w:t>Investment management in the UK 2019-2020</w:t>
      </w:r>
      <w:r>
        <w:t>. The Investment Association, Annual Survey.</w:t>
      </w:r>
    </w:p>
    <w:p w14:paraId="3CA1724B" w14:textId="77777777" w:rsidR="005124AF" w:rsidRDefault="005124AF" w:rsidP="005124AF">
      <w:pPr>
        <w:pStyle w:val="Bibliography"/>
      </w:pPr>
      <w:r>
        <w:t xml:space="preserve">Klingler, S. and Sundaresan, S., 2019. An Explanation of Negative Swap Spreads: Demand for Duration from Underfunded Pension Plans. </w:t>
      </w:r>
      <w:r>
        <w:rPr>
          <w:i/>
          <w:iCs/>
        </w:rPr>
        <w:t>The Journal of Finance</w:t>
      </w:r>
      <w:r>
        <w:t>, 74 (2), 675–710.</w:t>
      </w:r>
    </w:p>
    <w:p w14:paraId="18AA7660" w14:textId="77777777" w:rsidR="005124AF" w:rsidRDefault="005124AF" w:rsidP="005124AF">
      <w:pPr>
        <w:pStyle w:val="Bibliography"/>
      </w:pPr>
      <w:r>
        <w:t xml:space="preserve">Konings, M., 2007. The institutional foundations of US structural power in international finance: From the re-emergence of global finance to the monetarist turn. </w:t>
      </w:r>
      <w:r>
        <w:rPr>
          <w:i/>
          <w:iCs/>
        </w:rPr>
        <w:t>Review of International Political Economy</w:t>
      </w:r>
      <w:r>
        <w:t>, 15 (1), 35–61.</w:t>
      </w:r>
    </w:p>
    <w:p w14:paraId="5E8BED28" w14:textId="77777777" w:rsidR="005124AF" w:rsidRDefault="005124AF" w:rsidP="005124AF">
      <w:pPr>
        <w:pStyle w:val="Bibliography"/>
      </w:pPr>
      <w:r>
        <w:t xml:space="preserve">Lo Duca, M., Nicoletti, G., and Vidal Martínez, A., 2016. Global corporate bond issuance: What role for US quantitative easing? </w:t>
      </w:r>
      <w:r>
        <w:rPr>
          <w:i/>
          <w:iCs/>
        </w:rPr>
        <w:t>Journal of International Money and Finance</w:t>
      </w:r>
      <w:r>
        <w:t>, 60, 114–150.</w:t>
      </w:r>
    </w:p>
    <w:p w14:paraId="3915FEC8" w14:textId="77777777" w:rsidR="005124AF" w:rsidRDefault="005124AF" w:rsidP="005124AF">
      <w:pPr>
        <w:pStyle w:val="Bibliography"/>
      </w:pPr>
      <w:r>
        <w:t xml:space="preserve">Mabbett, D., 2020. Reckless prudence: financialization in UK pension scheme governance after the crisis. </w:t>
      </w:r>
      <w:r>
        <w:rPr>
          <w:i/>
          <w:iCs/>
        </w:rPr>
        <w:t>Review of International Political Economy</w:t>
      </w:r>
      <w:r>
        <w:t>, 0 (0), 1–21.</w:t>
      </w:r>
    </w:p>
    <w:p w14:paraId="1BDC2409" w14:textId="77777777" w:rsidR="005124AF" w:rsidRDefault="005124AF" w:rsidP="005124AF">
      <w:pPr>
        <w:pStyle w:val="Bibliography"/>
      </w:pPr>
      <w:r>
        <w:t xml:space="preserve">Macheda, F., 2012. The role of pension funds in the financialisation of the Icelandic economy. </w:t>
      </w:r>
      <w:r>
        <w:rPr>
          <w:i/>
          <w:iCs/>
        </w:rPr>
        <w:t>Capital &amp; Class</w:t>
      </w:r>
      <w:r>
        <w:t>, 36 (3), 433–473.</w:t>
      </w:r>
    </w:p>
    <w:p w14:paraId="675F3DE4" w14:textId="77777777" w:rsidR="005124AF" w:rsidRDefault="005124AF" w:rsidP="005124AF">
      <w:pPr>
        <w:pStyle w:val="Bibliography"/>
      </w:pPr>
      <w:r>
        <w:t xml:space="preserve">McCarthy, M.A., Sorsa, V.-P., and van der Zwan, N., 2016. Investment preferences and patient capital: financing, governance, and regulation in pension fund capitalism. </w:t>
      </w:r>
      <w:r>
        <w:rPr>
          <w:i/>
          <w:iCs/>
        </w:rPr>
        <w:t>Socio-Economic Review</w:t>
      </w:r>
      <w:r>
        <w:t>, 14 (4), 751–769.</w:t>
      </w:r>
    </w:p>
    <w:p w14:paraId="4BD63EC0" w14:textId="77777777" w:rsidR="005124AF" w:rsidRDefault="005124AF" w:rsidP="005124AF">
      <w:pPr>
        <w:pStyle w:val="Bibliography"/>
      </w:pPr>
      <w:r>
        <w:t xml:space="preserve">Mercer, 2020a. </w:t>
      </w:r>
      <w:r>
        <w:rPr>
          <w:i/>
          <w:iCs/>
        </w:rPr>
        <w:t>European asset allocation survey 2019</w:t>
      </w:r>
      <w:r>
        <w:t>.</w:t>
      </w:r>
    </w:p>
    <w:p w14:paraId="75322D4E" w14:textId="77777777" w:rsidR="005124AF" w:rsidRDefault="005124AF" w:rsidP="005124AF">
      <w:pPr>
        <w:pStyle w:val="Bibliography"/>
      </w:pPr>
      <w:r>
        <w:t xml:space="preserve">Mercer, 2020b. </w:t>
      </w:r>
      <w:r>
        <w:rPr>
          <w:i/>
          <w:iCs/>
        </w:rPr>
        <w:t>European asset allocation insights 2020</w:t>
      </w:r>
      <w:r>
        <w:t>. Mercer.</w:t>
      </w:r>
    </w:p>
    <w:p w14:paraId="2100F635" w14:textId="77777777" w:rsidR="005124AF" w:rsidRDefault="005124AF" w:rsidP="005124AF">
      <w:pPr>
        <w:pStyle w:val="Bibliography"/>
      </w:pPr>
      <w:r>
        <w:t xml:space="preserve">Minsky, H., 1975. </w:t>
      </w:r>
      <w:r>
        <w:rPr>
          <w:i/>
          <w:iCs/>
        </w:rPr>
        <w:t>John Maynard Keynes</w:t>
      </w:r>
      <w:r>
        <w:t>. 1st ed. McGraw-Hill.</w:t>
      </w:r>
    </w:p>
    <w:p w14:paraId="3CF2263F" w14:textId="77777777" w:rsidR="005124AF" w:rsidRDefault="005124AF" w:rsidP="005124AF">
      <w:pPr>
        <w:pStyle w:val="Bibliography"/>
      </w:pPr>
      <w:r>
        <w:t xml:space="preserve">Minsky, H., 1986. </w:t>
      </w:r>
      <w:r>
        <w:rPr>
          <w:i/>
          <w:iCs/>
        </w:rPr>
        <w:t>Stabilizing an Unstable Economy</w:t>
      </w:r>
      <w:r>
        <w:t>. McGraw-Hill.</w:t>
      </w:r>
    </w:p>
    <w:p w14:paraId="30B2144E" w14:textId="77777777" w:rsidR="005124AF" w:rsidRDefault="005124AF" w:rsidP="005124AF">
      <w:pPr>
        <w:pStyle w:val="Bibliography"/>
      </w:pPr>
      <w:r>
        <w:t xml:space="preserve">Minsky, H.P., 1982. </w:t>
      </w:r>
      <w:r>
        <w:rPr>
          <w:i/>
          <w:iCs/>
        </w:rPr>
        <w:t>Can ‘It’ Happen Again?: Essays on Instability and Finance</w:t>
      </w:r>
      <w:r>
        <w:t>. 1 edition. Armonk, NY: Routledge.</w:t>
      </w:r>
    </w:p>
    <w:p w14:paraId="3AC1D0DF" w14:textId="77777777" w:rsidR="005124AF" w:rsidRDefault="005124AF" w:rsidP="005124AF">
      <w:pPr>
        <w:pStyle w:val="Bibliography"/>
      </w:pPr>
      <w:r>
        <w:t xml:space="preserve">Naczyk, M., 2013. Agents of privatization? Business groups and the rise of pension funds in Continental Europe. </w:t>
      </w:r>
      <w:r>
        <w:rPr>
          <w:i/>
          <w:iCs/>
        </w:rPr>
        <w:t>Socio-Economic Review</w:t>
      </w:r>
      <w:r>
        <w:t>, 11 (3), 441–469.</w:t>
      </w:r>
    </w:p>
    <w:p w14:paraId="3876E15D" w14:textId="77777777" w:rsidR="005124AF" w:rsidRDefault="005124AF" w:rsidP="005124AF">
      <w:pPr>
        <w:pStyle w:val="Bibliography"/>
      </w:pPr>
      <w:r>
        <w:t xml:space="preserve">Naczyk, M., 2016. Creating French-style pension funds: Business, labour and the battle over patient capital. </w:t>
      </w:r>
      <w:r>
        <w:rPr>
          <w:i/>
          <w:iCs/>
        </w:rPr>
        <w:t>Journal of European Social Policy</w:t>
      </w:r>
      <w:r>
        <w:t>, 26 (3), 205–218.</w:t>
      </w:r>
    </w:p>
    <w:p w14:paraId="43B08B45" w14:textId="77777777" w:rsidR="005124AF" w:rsidRDefault="005124AF" w:rsidP="005124AF">
      <w:pPr>
        <w:pStyle w:val="Bibliography"/>
      </w:pPr>
      <w:r>
        <w:t xml:space="preserve">Naczyk, M., 2018. When finance captures labor’s capital: Dominant personal pensions, resurgent occupational provision in Central and Eastern Europe. </w:t>
      </w:r>
      <w:r>
        <w:rPr>
          <w:i/>
          <w:iCs/>
        </w:rPr>
        <w:t>Social Policy &amp; Administration</w:t>
      </w:r>
      <w:r>
        <w:t>, 52 (2), 549–562.</w:t>
      </w:r>
    </w:p>
    <w:p w14:paraId="66DBB1C7" w14:textId="77777777" w:rsidR="005124AF" w:rsidRDefault="005124AF" w:rsidP="005124AF">
      <w:pPr>
        <w:pStyle w:val="Bibliography"/>
      </w:pPr>
      <w:r>
        <w:t xml:space="preserve">Neilson, D.H., 2019. </w:t>
      </w:r>
      <w:r>
        <w:rPr>
          <w:i/>
          <w:iCs/>
        </w:rPr>
        <w:t>Minsky</w:t>
      </w:r>
      <w:r>
        <w:t>. Cambridge: Polity Press.</w:t>
      </w:r>
    </w:p>
    <w:p w14:paraId="154005B9" w14:textId="77777777" w:rsidR="005124AF" w:rsidRDefault="005124AF" w:rsidP="005124AF">
      <w:pPr>
        <w:pStyle w:val="Bibliography"/>
      </w:pPr>
      <w:r>
        <w:t xml:space="preserve">OMB Research, 2019. </w:t>
      </w:r>
      <w:r>
        <w:rPr>
          <w:i/>
          <w:iCs/>
        </w:rPr>
        <w:t>DB Pension Scheme Leverage and Liquidity Survey</w:t>
      </w:r>
      <w:r>
        <w:t>. The Pensions Regulator.</w:t>
      </w:r>
    </w:p>
    <w:p w14:paraId="5428494C" w14:textId="77777777" w:rsidR="005124AF" w:rsidRDefault="005124AF" w:rsidP="005124AF">
      <w:pPr>
        <w:pStyle w:val="Bibliography"/>
      </w:pPr>
      <w:r>
        <w:t xml:space="preserve">ONS, 2019. </w:t>
      </w:r>
      <w:r>
        <w:rPr>
          <w:i/>
          <w:iCs/>
        </w:rPr>
        <w:t>MQ5: Investment by insurance companies, pension funds and trusts, October to December 2018</w:t>
      </w:r>
      <w:r>
        <w:t>. Office for National Statistics.</w:t>
      </w:r>
    </w:p>
    <w:p w14:paraId="2890C034" w14:textId="77777777" w:rsidR="005124AF" w:rsidRDefault="005124AF" w:rsidP="005124AF">
      <w:pPr>
        <w:pStyle w:val="Bibliography"/>
      </w:pPr>
      <w:r>
        <w:t xml:space="preserve">Pape, F., 2020. Rethinking liquidity: A critical macro-finance view. </w:t>
      </w:r>
      <w:r>
        <w:rPr>
          <w:i/>
          <w:iCs/>
        </w:rPr>
        <w:t>Finance and Society</w:t>
      </w:r>
      <w:r>
        <w:t>, 6 (1), 67–75.</w:t>
      </w:r>
    </w:p>
    <w:p w14:paraId="542A4B54" w14:textId="77777777" w:rsidR="005124AF" w:rsidRDefault="005124AF" w:rsidP="005124AF">
      <w:pPr>
        <w:pStyle w:val="Bibliography"/>
      </w:pPr>
      <w:r>
        <w:t xml:space="preserve">Pension Policy Institute, 2021. </w:t>
      </w:r>
      <w:r>
        <w:rPr>
          <w:i/>
          <w:iCs/>
        </w:rPr>
        <w:t>How do UK pension schemes approach investment into overseas assets?.</w:t>
      </w:r>
      <w:r>
        <w:t xml:space="preserve"> Pension Policy Institute.</w:t>
      </w:r>
    </w:p>
    <w:p w14:paraId="7598B772" w14:textId="77777777" w:rsidR="005124AF" w:rsidRDefault="005124AF" w:rsidP="005124AF">
      <w:pPr>
        <w:pStyle w:val="Bibliography"/>
      </w:pPr>
      <w:r>
        <w:t xml:space="preserve">Plimmer, G., 2017. UK Infrastructure projects struggle to attract pension funds. </w:t>
      </w:r>
      <w:r>
        <w:rPr>
          <w:i/>
          <w:iCs/>
        </w:rPr>
        <w:t>Financial Times</w:t>
      </w:r>
      <w:r>
        <w:t>, 5 Apr.</w:t>
      </w:r>
    </w:p>
    <w:p w14:paraId="7EC279C2" w14:textId="77777777" w:rsidR="005124AF" w:rsidRDefault="005124AF" w:rsidP="005124AF">
      <w:pPr>
        <w:pStyle w:val="Bibliography"/>
      </w:pPr>
      <w:r>
        <w:t xml:space="preserve">PLSA, 2015. </w:t>
      </w:r>
      <w:r>
        <w:rPr>
          <w:i/>
          <w:iCs/>
        </w:rPr>
        <w:t>Diverisfied growth funds</w:t>
      </w:r>
      <w:r>
        <w:t>. Pension and Lifetime Savings Association.</w:t>
      </w:r>
    </w:p>
    <w:p w14:paraId="05C616AB" w14:textId="77777777" w:rsidR="005124AF" w:rsidRDefault="005124AF" w:rsidP="005124AF">
      <w:pPr>
        <w:pStyle w:val="Bibliography"/>
      </w:pPr>
      <w:r>
        <w:t xml:space="preserve">PLSA, 2017. </w:t>
      </w:r>
      <w:r>
        <w:rPr>
          <w:i/>
          <w:iCs/>
        </w:rPr>
        <w:t>Cashflow Driven Investment</w:t>
      </w:r>
      <w:r>
        <w:t>. Pension and Lifetime Savings Association.</w:t>
      </w:r>
    </w:p>
    <w:p w14:paraId="1B605618" w14:textId="77777777" w:rsidR="005124AF" w:rsidRDefault="005124AF" w:rsidP="005124AF">
      <w:pPr>
        <w:pStyle w:val="Bibliography"/>
      </w:pPr>
      <w:r>
        <w:t xml:space="preserve">Portfolio Institutional, 2019. </w:t>
      </w:r>
      <w:r>
        <w:rPr>
          <w:i/>
          <w:iCs/>
        </w:rPr>
        <w:t>Cashflow-Driven Investment</w:t>
      </w:r>
      <w:r>
        <w:t>.</w:t>
      </w:r>
    </w:p>
    <w:p w14:paraId="59D3A47E" w14:textId="77777777" w:rsidR="005124AF" w:rsidRDefault="005124AF" w:rsidP="005124AF">
      <w:pPr>
        <w:pStyle w:val="Bibliography"/>
      </w:pPr>
      <w:r>
        <w:lastRenderedPageBreak/>
        <w:t xml:space="preserve">Preqin, 2020. </w:t>
      </w:r>
      <w:r>
        <w:rPr>
          <w:i/>
          <w:iCs/>
        </w:rPr>
        <w:t>Global Hedge Fund Report</w:t>
      </w:r>
      <w:r>
        <w:t>. Preqin.</w:t>
      </w:r>
    </w:p>
    <w:p w14:paraId="275A6472" w14:textId="77777777" w:rsidR="005124AF" w:rsidRDefault="005124AF" w:rsidP="005124AF">
      <w:pPr>
        <w:pStyle w:val="Bibliography"/>
      </w:pPr>
      <w:r>
        <w:t xml:space="preserve">Productive Finance Working Group, 2021. </w:t>
      </w:r>
      <w:r>
        <w:rPr>
          <w:i/>
          <w:iCs/>
        </w:rPr>
        <w:t>A Roadmap for Increasing Productive Investment</w:t>
      </w:r>
      <w:r>
        <w:t>. Bank of England and Financial Conduct Authority.</w:t>
      </w:r>
    </w:p>
    <w:p w14:paraId="51CC27C1" w14:textId="77777777" w:rsidR="005124AF" w:rsidRDefault="005124AF" w:rsidP="005124AF">
      <w:pPr>
        <w:pStyle w:val="Bibliography"/>
      </w:pPr>
      <w:r>
        <w:t xml:space="preserve">Sgambati, S., 2019. The art of leverage: a study of bank power, money-making and debt finance. </w:t>
      </w:r>
      <w:r>
        <w:rPr>
          <w:i/>
          <w:iCs/>
        </w:rPr>
        <w:t>Review of International Political Economy</w:t>
      </w:r>
      <w:r>
        <w:t>, 26 (2), 287–312.</w:t>
      </w:r>
    </w:p>
    <w:p w14:paraId="201DF5C0" w14:textId="77777777" w:rsidR="005124AF" w:rsidRDefault="005124AF" w:rsidP="005124AF">
      <w:pPr>
        <w:pStyle w:val="Bibliography"/>
      </w:pPr>
      <w:r>
        <w:t xml:space="preserve">Shin, H.S., 2013. </w:t>
      </w:r>
      <w:r>
        <w:rPr>
          <w:i/>
          <w:iCs/>
        </w:rPr>
        <w:t>The second phase of global liquidity and its impact on emerging economies</w:t>
      </w:r>
      <w:r>
        <w:t>. Federal Reserve Bank of San Francisco, Keynote Address, Asia Economic Policy Conference.</w:t>
      </w:r>
    </w:p>
    <w:p w14:paraId="38698A09" w14:textId="77777777" w:rsidR="005124AF" w:rsidRDefault="005124AF" w:rsidP="005124AF">
      <w:pPr>
        <w:pStyle w:val="Bibliography"/>
      </w:pPr>
      <w:r>
        <w:t xml:space="preserve">Sissoko, C., 2019. Repurchase agreements and the (de)construction of financial markets. </w:t>
      </w:r>
      <w:r>
        <w:rPr>
          <w:i/>
          <w:iCs/>
        </w:rPr>
        <w:t>Economy and Society</w:t>
      </w:r>
      <w:r>
        <w:t>, 48 (3), 315–341.</w:t>
      </w:r>
    </w:p>
    <w:p w14:paraId="43E15974" w14:textId="77777777" w:rsidR="005124AF" w:rsidRDefault="005124AF" w:rsidP="005124AF">
      <w:pPr>
        <w:pStyle w:val="Bibliography"/>
      </w:pPr>
      <w:r>
        <w:rPr>
          <w:i/>
          <w:iCs/>
        </w:rPr>
        <w:t>The Local Government Pension Scheme (Management and Investment of Funds) Regulations 2009</w:t>
      </w:r>
      <w:r>
        <w:t>, 2009. Queen’s Printer of Acts of Parliament.</w:t>
      </w:r>
    </w:p>
    <w:p w14:paraId="37319D58" w14:textId="77777777" w:rsidR="005124AF" w:rsidRDefault="005124AF" w:rsidP="005124AF">
      <w:pPr>
        <w:pStyle w:val="Bibliography"/>
      </w:pPr>
      <w:r>
        <w:t xml:space="preserve">Thomas, T., Cumbo, J., and Parker, G., 2021. UK pension funds urged to back investment ‘big bang’’. </w:t>
      </w:r>
      <w:r>
        <w:rPr>
          <w:i/>
          <w:iCs/>
        </w:rPr>
        <w:t>Financial Times</w:t>
      </w:r>
      <w:r>
        <w:t>, 4 Aug.</w:t>
      </w:r>
    </w:p>
    <w:p w14:paraId="056E0985" w14:textId="77777777" w:rsidR="005124AF" w:rsidRDefault="005124AF" w:rsidP="005124AF">
      <w:pPr>
        <w:pStyle w:val="Bibliography"/>
      </w:pPr>
      <w:r>
        <w:t xml:space="preserve">Toporowski, J., 2000. </w:t>
      </w:r>
      <w:r>
        <w:rPr>
          <w:i/>
          <w:iCs/>
        </w:rPr>
        <w:t>The End of Finance: Capital Market Inflation, Financial Derivatives and Pension Fund Capitalism</w:t>
      </w:r>
      <w:r>
        <w:t>. Routledge.</w:t>
      </w:r>
    </w:p>
    <w:p w14:paraId="696FF0E8" w14:textId="77777777" w:rsidR="005124AF" w:rsidRDefault="005124AF" w:rsidP="005124AF">
      <w:pPr>
        <w:pStyle w:val="Bibliography"/>
      </w:pPr>
      <w:r>
        <w:t xml:space="preserve">Wilson Committee, 1980. </w:t>
      </w:r>
      <w:r>
        <w:rPr>
          <w:i/>
          <w:iCs/>
        </w:rPr>
        <w:t>Report of the Committee to Review the  Functioning of the Financial System,</w:t>
      </w:r>
      <w:r>
        <w:t>. London: HMSO, No. 7937.</w:t>
      </w:r>
    </w:p>
    <w:p w14:paraId="0679D9F6" w14:textId="77777777" w:rsidR="005124AF" w:rsidRDefault="005124AF" w:rsidP="005124AF">
      <w:pPr>
        <w:pStyle w:val="Bibliography"/>
      </w:pPr>
      <w:r>
        <w:t xml:space="preserve">Wiß, T., 2015. Pension fund vulnerability to the financial market crisis: The role of trade unions. </w:t>
      </w:r>
      <w:r>
        <w:rPr>
          <w:i/>
          <w:iCs/>
        </w:rPr>
        <w:t>European Journal of Industrial Relations</w:t>
      </w:r>
      <w:r>
        <w:t>, 21 (2), 131–147.</w:t>
      </w:r>
    </w:p>
    <w:p w14:paraId="0BAB7881" w14:textId="77777777" w:rsidR="005124AF" w:rsidRDefault="005124AF" w:rsidP="005124AF">
      <w:pPr>
        <w:pStyle w:val="Bibliography"/>
      </w:pPr>
      <w:r>
        <w:t xml:space="preserve">Wiß, T., 2019. Reinforcement of pension financialisation as a response to financial crises in Germany, the Netherlands and the United Kingdom. </w:t>
      </w:r>
      <w:r>
        <w:rPr>
          <w:i/>
          <w:iCs/>
        </w:rPr>
        <w:t>Journal of European Public Policy</w:t>
      </w:r>
      <w:r>
        <w:t>, 26 (4), 501–520.</w:t>
      </w:r>
    </w:p>
    <w:p w14:paraId="6F550262" w14:textId="003CFA3F" w:rsidR="00E21957" w:rsidRPr="004B4934" w:rsidRDefault="00E21957" w:rsidP="00E21957">
      <w:pPr>
        <w:pStyle w:val="Paragraph"/>
      </w:pPr>
      <w:r w:rsidRPr="004B4934">
        <w:fldChar w:fldCharType="end"/>
      </w:r>
    </w:p>
    <w:sectPr w:rsidR="00E21957" w:rsidRPr="004B4934" w:rsidSect="00074B81">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1163E" w14:textId="77777777" w:rsidR="00D210C5" w:rsidRDefault="00D210C5" w:rsidP="00AF2C92">
      <w:r>
        <w:separator/>
      </w:r>
    </w:p>
  </w:endnote>
  <w:endnote w:type="continuationSeparator" w:id="0">
    <w:p w14:paraId="6789A78A" w14:textId="77777777" w:rsidR="00D210C5" w:rsidRDefault="00D210C5">
      <w:r>
        <w:continuationSeparator/>
      </w:r>
    </w:p>
  </w:endnote>
  <w:endnote w:type="continuationNotice" w:id="1">
    <w:p w14:paraId="7A74EAD1" w14:textId="77777777" w:rsidR="00D210C5" w:rsidRDefault="00D210C5">
      <w:pPr>
        <w:spacing w:line="240" w:lineRule="auto"/>
      </w:pPr>
    </w:p>
  </w:endnote>
  <w:endnote w:id="2">
    <w:p w14:paraId="61045F41" w14:textId="0413CDD3" w:rsidR="00003453" w:rsidRPr="00BE51AB" w:rsidRDefault="00003453" w:rsidP="00552CAF">
      <w:pPr>
        <w:pStyle w:val="Footnotes"/>
      </w:pPr>
      <w:r>
        <w:rPr>
          <w:rStyle w:val="EndnoteReference"/>
        </w:rPr>
        <w:endnoteRef/>
      </w:r>
      <w:r>
        <w:t xml:space="preserve"> </w:t>
      </w:r>
      <w:r w:rsidRPr="00BE51AB">
        <w:t xml:space="preserve">Recent examples include former chancellor George Osborne’s Pensions Infrastructure Platform (PIP), an attempt to “unlock” £20billion from PF </w:t>
      </w:r>
      <w:r w:rsidRPr="00BE51AB">
        <w:fldChar w:fldCharType="begin"/>
      </w:r>
      <w:r w:rsidR="00E461FE">
        <w:instrText xml:space="preserve"> ADDIN ZOTERO_ITEM CSL_CITATION {"citationID":"VZ5TXqmO","properties":{"formattedCitation":"(Plimmer 2017)","plainCitation":"(Plimmer 2017)","noteIndex":1},"citationItems":[{"id":1,"uris":["http://zotero.org/users/5165859/items/QL6GC44Z"],"itemData":{"id":1,"type":"article-newspaper","container-title":"Financial Times","title":"UK Infrastructure projects struggle to attract pension funds","author":[{"family":"Plimmer","given":"Gill"}],"issued":{"date-parts":[["2017",4,5]]}}}],"schema":"https://github.com/citation-style-language/schema/raw/master/csl-citation.json"} </w:instrText>
      </w:r>
      <w:r w:rsidRPr="00BE51AB">
        <w:fldChar w:fldCharType="separate"/>
      </w:r>
      <w:r w:rsidRPr="00BE51AB">
        <w:t>(Plimmer 2017)</w:t>
      </w:r>
      <w:r w:rsidRPr="00BE51AB">
        <w:fldChar w:fldCharType="end"/>
      </w:r>
      <w:r w:rsidRPr="00BE51AB">
        <w:t xml:space="preserve">, or Post Covid, attempts to get British pension funds to invest in ‘productive’ UK assets such as infrastructure or SME (e.g. through raising fee caps to allow further investment in private equity) </w:t>
      </w:r>
      <w:r w:rsidRPr="00BE51AB">
        <w:fldChar w:fldCharType="begin"/>
      </w:r>
      <w:r w:rsidR="00E461FE">
        <w:instrText xml:space="preserve"> ADDIN ZOTERO_ITEM CSL_CITATION {"citationID":"pu9jHQS3","properties":{"formattedCitation":"(Thomas {\\i{}et al.} 2021)","plainCitation":"(Thomas et al. 2021)","noteIndex":1},"citationItems":[{"id":1495,"uris":["http://zotero.org/users/5165859/items/2EBWIU5I"],"itemData":{"id":1495,"type":"article-newspaper","container-title":"Financial Times","title":"UK pension funds urged to back investment ‘big bang’’","author":[{"family":"Thomas","given":"T"},{"family":"Cumbo","given":"Josephine"},{"family":"Parker","given":"G"}],"issued":{"date-parts":[["2021",8,4]]}}}],"schema":"https://github.com/citation-style-language/schema/raw/master/csl-citation.json"} </w:instrText>
      </w:r>
      <w:r w:rsidRPr="00BE51AB">
        <w:fldChar w:fldCharType="separate"/>
      </w:r>
      <w:r w:rsidRPr="00BE51AB">
        <w:t>(Thomas et al. 2021)</w:t>
      </w:r>
      <w:r w:rsidRPr="00BE51AB">
        <w:fldChar w:fldCharType="end"/>
      </w:r>
      <w:r w:rsidRPr="00BE51AB">
        <w:t>.</w:t>
      </w:r>
    </w:p>
  </w:endnote>
  <w:endnote w:id="3">
    <w:p w14:paraId="25372D52" w14:textId="77777777" w:rsidR="00F35EA2" w:rsidRDefault="00F35EA2" w:rsidP="00552CAF">
      <w:pPr>
        <w:pStyle w:val="Footnotes"/>
      </w:pPr>
      <w:r>
        <w:rPr>
          <w:rStyle w:val="EndnoteReference"/>
        </w:rPr>
        <w:endnoteRef/>
      </w:r>
      <w:r>
        <w:t xml:space="preserve"> For occupational pensions, DB schemes contractually commit to provide members with a specific retirement income – for example 60% of their final salary – once the required number of years have been worked. Contributions are adjusted to ensure the benefit can be paid, with the final responsibility falling on the employer. DC schemes only set the terms relating to the contributions to be paid in by employees and employers, with the end benefit depending on fund outcomes. This equates to a shifting of risk away from the employer and onto the member. </w:t>
      </w:r>
    </w:p>
  </w:endnote>
  <w:endnote w:id="4">
    <w:p w14:paraId="07471F3B" w14:textId="3FF656E7" w:rsidR="00003453" w:rsidRDefault="00003453" w:rsidP="00552CAF">
      <w:pPr>
        <w:pStyle w:val="Footnotes"/>
      </w:pPr>
      <w:r w:rsidRPr="0076549B">
        <w:rPr>
          <w:rStyle w:val="EndnoteReference"/>
        </w:rPr>
        <w:endnoteRef/>
      </w:r>
      <w:r>
        <w:t xml:space="preserve"> </w:t>
      </w:r>
      <w:r w:rsidRPr="000F325B">
        <w:t>PF liabilities increase when interest rates fall, because the lower interest rate increases the present value</w:t>
      </w:r>
    </w:p>
  </w:endnote>
  <w:endnote w:id="5">
    <w:p w14:paraId="0B8983C2" w14:textId="53D98C9F" w:rsidR="00003453" w:rsidRDefault="00003453" w:rsidP="00552CAF">
      <w:pPr>
        <w:pStyle w:val="Footnotes"/>
      </w:pPr>
      <w:r>
        <w:rPr>
          <w:rStyle w:val="EndnoteReference"/>
        </w:rPr>
        <w:endnoteRef/>
      </w:r>
      <w:r>
        <w:t xml:space="preserve"> T</w:t>
      </w:r>
      <w:r w:rsidRPr="00C91CE7">
        <w:t>he rise of LDI was also accompanied by both accounting and regulatory developments, which enshrined the mark-to-market nature of PF balance sheets and the centrality of “funding deficits” (Gelepithis 2019, Mabbett 2020). The accounting standards established in 2005 forced companies to report their pension assets and liabilities at fair values, with a specified discount rate for liabilities as high-grade corporate bonds. Furthermore, since the 2004 Pensions Act PF must undergo periodic actuarial valuations (every three years at a minimum) of their asset and liabilities, and in case of funding deficits, need to present a recovery plan to full funding over a period of ten years to a newly established Pension Regulator. Additionally, the government established the Pension Protection Fund (PPF), financed by PF themselves, which takes over the liabilities of PF whose sponsors have gone bankrupt. In general, larger “funding deficits” can generate a higher levy from the PPF, as they are seen as implying a higher insolvency risk.</w:t>
      </w:r>
    </w:p>
  </w:endnote>
  <w:endnote w:id="6">
    <w:p w14:paraId="31FC6F5C" w14:textId="7F8BC1F7" w:rsidR="00003453" w:rsidRPr="00BE51AB" w:rsidRDefault="00003453" w:rsidP="00552CAF">
      <w:pPr>
        <w:pStyle w:val="Footnotes"/>
      </w:pPr>
      <w:r w:rsidRPr="00BE51AB">
        <w:rPr>
          <w:rStyle w:val="EndnoteReference"/>
          <w:vertAlign w:val="baseline"/>
        </w:rPr>
        <w:endnoteRef/>
      </w:r>
      <w:r w:rsidRPr="00BE51AB">
        <w:t xml:space="preserve"> For bankrupt private-sector sponsors, the Pension Protection Fund represents an additional safety net, but its resources are limited by the levy it raises on UK PF themselves and the assets it seizes from bankrupt schemes.  </w:t>
      </w:r>
    </w:p>
  </w:endnote>
  <w:endnote w:id="7">
    <w:p w14:paraId="4A83DA40" w14:textId="6A4D54DD" w:rsidR="00A64284" w:rsidRPr="00EB2796" w:rsidRDefault="00A64284">
      <w:pPr>
        <w:pStyle w:val="EndnoteText"/>
        <w:rPr>
          <w:color w:val="FF0000"/>
        </w:rPr>
      </w:pPr>
      <w:r>
        <w:rPr>
          <w:rStyle w:val="EndnoteReference"/>
        </w:rPr>
        <w:endnoteRef/>
      </w:r>
      <w:r>
        <w:t xml:space="preserve"> </w:t>
      </w:r>
      <w:r w:rsidRPr="00EB2796">
        <w:rPr>
          <w:color w:val="FF0000"/>
        </w:rPr>
        <w:t xml:space="preserve">The </w:t>
      </w:r>
      <w:r w:rsidR="0098270A" w:rsidRPr="00EB2796">
        <w:rPr>
          <w:color w:val="FF0000"/>
        </w:rPr>
        <w:t xml:space="preserve">creation </w:t>
      </w:r>
      <w:r w:rsidRPr="00EB2796">
        <w:rPr>
          <w:color w:val="FF0000"/>
        </w:rPr>
        <w:t>Sterling Repo</w:t>
      </w:r>
      <w:r w:rsidR="0098270A" w:rsidRPr="00EB2796">
        <w:rPr>
          <w:color w:val="FF0000"/>
        </w:rPr>
        <w:t xml:space="preserve"> market was</w:t>
      </w:r>
      <w:r w:rsidR="005A28DD" w:rsidRPr="00EB2796">
        <w:rPr>
          <w:color w:val="FF0000"/>
        </w:rPr>
        <w:t xml:space="preserve"> created </w:t>
      </w:r>
      <w:r w:rsidR="00FF4323" w:rsidRPr="00EB2796">
        <w:rPr>
          <w:color w:val="FF0000"/>
        </w:rPr>
        <w:t xml:space="preserve">in 1997 as a way to enhance the liquidity of the Gilt market </w:t>
      </w:r>
      <w:r w:rsidR="00FF4323" w:rsidRPr="00EB2796">
        <w:rPr>
          <w:color w:val="FF0000"/>
        </w:rPr>
        <w:fldChar w:fldCharType="begin"/>
      </w:r>
      <w:r w:rsidR="00FF4323" w:rsidRPr="00EB2796">
        <w:rPr>
          <w:color w:val="FF0000"/>
        </w:rPr>
        <w:instrText xml:space="preserve"> ADDIN ZOTERO_ITEM CSL_CITATION {"citationID":"msSMh6vl","properties":{"formattedCitation":"(Choudhry 2009, Dutta 2018)","plainCitation":"(Choudhry 2009, Dutta 2018)","noteIndex":6},"citationItems":[{"id":90,"uris":["http://zotero.org/users/5165859/items/D9NFMVQ9"],"itemData":{"id":90,"type":"article-journal","abstract":"The importance of maintaining sufficient liquidity in financial markets is emphasised strongly in the academic literature. During the 1990s the United Kingdom monetary authorities introduced a number of structural reforms in the government bond market, aimed at improving secondary market liquidity. In this paper we examine the impact of the reforms by attempting to ascertain if liquidity levels improved in the post-reform period. We estimate the change in liquidity levels through the use of a proxy measure of liquidity, namely the benchmark bond theoretical versus market yield error. We examine the determinants of the proxy measure of market liquidity, and estimate which of the explanatory variables carries the greatest weight in influencing liquidity levels. We identify those factors that contributed most to maintaining secondary market liquidity and thereby draw conclusions of potential value to sovereign bond market monetary authorities.","container-title":"European Journal of Finance and Banking Research","issue":"2","language":"en","page":"13-35","source":"papers.ssrn.com","title":"The Value of Introducing Structural Reform to Improve Bond Market Liquidity: Experience from the U.K. Gilt Market","title-short":"The Value of Introducing Structural Reform to Improve Bond Market Liquidity","volume":"2","author":[{"family":"Choudhry","given":"Moorad"}],"issued":{"date-parts":[["2009",7,15]]}}},{"id":1651,"uris":["http://zotero.org/users/5165859/items/Z2MAITRQ"],"itemData":{"id":1651,"type":"article-journal","abstract":"This article focuses on the central position of sovereign debt securities in the financial system to challenge existing accounts about the 1986 ‘Big Bang’ deregulation of the City of London’s securities market. The reforms are often cast as an iconic moment of neoliberal deregulation and a key episode in the globalization of financial markets. Such accounts stress that the state played an active role in constructing the reforms and upholding the global market relations they produced, yet they remain unclear about the state’s direct interest in pursuing financial market liberalization. The article contends that domestic concerns over sovereign debt management were central to the state’s pursuit of regulatory change. The Big Bang reforms greatly expanded the size and liquidity of the market for British sovereign debt. This empowered the state, improving its capacity to conduct monetary policy and to raise finance on better terms. In doing so, the article demonstrates the necessity of examining sovereign debt management in order to specify the state’s role in the construction of financial globalization.","container-title":"Competition &amp; Change","DOI":"10.1177/1024529417734524","ISSN":"1024-5294","issue":"1","journalAbbreviation":"Competition &amp; Change","language":"en","note":"publisher: SAGE Publications Ltd","page":"3-22","source":"SAGE Journals","title":"Sovereign debt management and the globalization of finance: Recasting the City of London’s ‘Big Bang’","title-short":"Sovereign debt management and the globalization of finance","volume":"22","author":[{"family":"Dutta","given":"Sahil Jai"}],"issued":{"date-parts":[["2018",2,1]]}}}],"schema":"https://github.com/citation-style-language/schema/raw/master/csl-citation.json"} </w:instrText>
      </w:r>
      <w:r w:rsidR="00FF4323" w:rsidRPr="00EB2796">
        <w:rPr>
          <w:color w:val="FF0000"/>
        </w:rPr>
        <w:fldChar w:fldCharType="separate"/>
      </w:r>
      <w:r w:rsidR="00FF4323" w:rsidRPr="00EB2796">
        <w:rPr>
          <w:color w:val="FF0000"/>
        </w:rPr>
        <w:t>(Choudhry 2009, Dutta 2018)</w:t>
      </w:r>
      <w:r w:rsidR="00FF4323" w:rsidRPr="00EB2796">
        <w:rPr>
          <w:color w:val="FF0000"/>
        </w:rPr>
        <w:fldChar w:fldCharType="end"/>
      </w:r>
      <w:r w:rsidR="00750276" w:rsidRPr="00EB2796">
        <w:rPr>
          <w:color w:val="FF0000"/>
        </w:rPr>
        <w:t xml:space="preserve">. Repo </w:t>
      </w:r>
      <w:r w:rsidR="00235684" w:rsidRPr="00EB2796">
        <w:rPr>
          <w:color w:val="FF0000"/>
        </w:rPr>
        <w:t xml:space="preserve">transactions consist in the sale and </w:t>
      </w:r>
      <w:r w:rsidR="007E749C" w:rsidRPr="00EB2796">
        <w:rPr>
          <w:color w:val="FF0000"/>
        </w:rPr>
        <w:t>repurchase of securities. It effectively works as a short-term debt secured against a collateral.</w:t>
      </w:r>
      <w:r w:rsidR="00750276" w:rsidRPr="00EB2796">
        <w:rPr>
          <w:color w:val="FF0000"/>
        </w:rPr>
        <w:t xml:space="preserve"> </w:t>
      </w:r>
    </w:p>
  </w:endnote>
  <w:endnote w:id="8">
    <w:p w14:paraId="60CFD264" w14:textId="44A69A67" w:rsidR="00863CA7" w:rsidRDefault="00863CA7" w:rsidP="0011457F">
      <w:pPr>
        <w:pStyle w:val="Footnotes"/>
      </w:pPr>
      <w:r>
        <w:rPr>
          <w:rStyle w:val="EndnoteReference"/>
        </w:rPr>
        <w:endnoteRef/>
      </w:r>
      <w:r>
        <w:t xml:space="preserve"> </w:t>
      </w:r>
      <w:r w:rsidRPr="00471671">
        <w:t>Disaggregate</w:t>
      </w:r>
      <w:r>
        <w:t>d</w:t>
      </w:r>
      <w:r w:rsidRPr="00471671">
        <w:t xml:space="preserve"> data point to a high incidence of this issue, with 73% of UK PF reportedly cashflow negative as of 2019 </w:t>
      </w:r>
      <w:r w:rsidRPr="00471671">
        <w:fldChar w:fldCharType="begin"/>
      </w:r>
      <w:r w:rsidR="005124AF">
        <w:instrText xml:space="preserve"> ADDIN ZOTERO_ITEM CSL_CITATION {"citationID":"mO3GIUrM","properties":{"formattedCitation":"(Mercer 2020a)","plainCitation":"(Mercer 2020a)","noteIndex":7},"citationItems":[{"id":1506,"uris":["http://zotero.org/users/5165859/items/GDIZGNM9"],"itemData":{"id":1506,"type":"report","title":"European asset allocation survey 2019","author":[{"family":"Mercer","given":""}],"issued":{"date-parts":[["2020"]]}}}],"schema":"https://github.com/citation-style-language/schema/raw/master/csl-citation.json"} </w:instrText>
      </w:r>
      <w:r w:rsidRPr="00471671">
        <w:fldChar w:fldCharType="separate"/>
      </w:r>
      <w:r w:rsidRPr="00471671">
        <w:t>(Mercer 2020a)</w:t>
      </w:r>
      <w:r w:rsidRPr="00471671">
        <w:fldChar w:fldCharType="end"/>
      </w:r>
      <w:r w:rsidRPr="00471671">
        <w:t>.</w:t>
      </w:r>
    </w:p>
  </w:endnote>
  <w:endnote w:id="9">
    <w:p w14:paraId="1E4F27CF" w14:textId="4A166973" w:rsidR="00003453" w:rsidRPr="00BE51AB" w:rsidRDefault="00003453" w:rsidP="00552CAF">
      <w:pPr>
        <w:pStyle w:val="Footnotes"/>
      </w:pPr>
      <w:r w:rsidRPr="00BE51AB">
        <w:rPr>
          <w:rStyle w:val="EndnoteReference"/>
          <w:vertAlign w:val="baseline"/>
        </w:rPr>
        <w:endnoteRef/>
      </w:r>
      <w:r w:rsidRPr="00BE51AB">
        <w:t xml:space="preserve"> The next two sections primarily rely on ONS figures to explore PF asset allocation. It is important to note that DB PF remain dominant, funds still representing over 95% of total assets in the ONS surveys; a proportion that has been largely unchanged over the past two decades. This is despite the fact that the proportion of employees actively enrolled in a DB scheme had declined to 35% in 2019 (from 80% in 2000). While the ONS only captures part of DC PF world - </w:t>
      </w:r>
      <w:r>
        <w:t>s</w:t>
      </w:r>
      <w:r w:rsidRPr="00BE51AB">
        <w:t>pecifically, it covers only so-called “trust-based” DC PF, thus excluding “contract-based” ones, estimates suggest that the latter are about half of total DC pension assets .-, this suggests that asset allocation trends remain mainly driven by decisions by DB PF</w:t>
      </w:r>
    </w:p>
  </w:endnote>
  <w:endnote w:id="10">
    <w:p w14:paraId="3CCA6E85" w14:textId="77777777" w:rsidR="00B70D76" w:rsidRPr="00BE51AB" w:rsidRDefault="00B70D76" w:rsidP="00B70D76">
      <w:pPr>
        <w:pStyle w:val="Footnotes"/>
      </w:pPr>
      <w:r w:rsidRPr="00BE51AB">
        <w:rPr>
          <w:rStyle w:val="EndnoteReference"/>
          <w:vertAlign w:val="baseline"/>
        </w:rPr>
        <w:endnoteRef/>
      </w:r>
      <w:r w:rsidRPr="00BE51AB">
        <w:t xml:space="preserve"> The data here appear discontinuous because the ONS collects data about PF through a new survey. Beside the change in sample, which is</w:t>
      </w:r>
      <w:r>
        <w:t xml:space="preserve"> now</w:t>
      </w:r>
      <w:r w:rsidRPr="00BE51AB">
        <w:t xml:space="preserve"> more representative of the PF landscape, the older dataset includes </w:t>
      </w:r>
      <w:r>
        <w:t xml:space="preserve">allocations to </w:t>
      </w:r>
      <w:r w:rsidRPr="00BE51AB">
        <w:t>funds managed by insurance companies as part of insurance contracts, while the new dataset includes them with other pooled vehicles. These funds are particularly relevant for DC schemes.</w:t>
      </w:r>
    </w:p>
  </w:endnote>
  <w:endnote w:id="11">
    <w:p w14:paraId="7C092D9D" w14:textId="7D38EF71" w:rsidR="00003453" w:rsidRPr="00BE51AB" w:rsidRDefault="00003453" w:rsidP="00552CAF">
      <w:pPr>
        <w:pStyle w:val="Footnotes"/>
      </w:pPr>
      <w:r w:rsidRPr="00BE51AB">
        <w:rPr>
          <w:rStyle w:val="EndnoteReference"/>
          <w:vertAlign w:val="baseline"/>
        </w:rPr>
        <w:endnoteRef/>
      </w:r>
      <w:r w:rsidRPr="00BE51AB">
        <w:t xml:space="preserve"> These numbers are a little different than the ones shown in the Purple Book  Except from variation in survey design and sampling, this difference can be explained by the fact that the latter does not distinguish between direct and pooled investments, exclusively focuses on a subset of private-sector PF, and that total assets (the denominator of asset allocation) does not include derivatives.</w:t>
      </w:r>
    </w:p>
  </w:endnote>
  <w:endnote w:id="12">
    <w:p w14:paraId="476E89C6" w14:textId="77777777" w:rsidR="005D7802" w:rsidRPr="00BE51AB" w:rsidRDefault="005D7802" w:rsidP="005D7802">
      <w:pPr>
        <w:pStyle w:val="Footnotes"/>
      </w:pPr>
      <w:r w:rsidRPr="00BE51AB">
        <w:rPr>
          <w:rStyle w:val="EndnoteReference"/>
          <w:vertAlign w:val="baseline"/>
        </w:rPr>
        <w:endnoteRef/>
      </w:r>
      <w:r w:rsidRPr="00BE51AB">
        <w:t xml:space="preserve"> We use ONS figures as a primary source as it is a larger-scale survey and includes public-sector PF. However, a significant allocation within pooled funds was allocated to “others”, so we complemented this with data from the survey published by the Pensions Regulator</w:t>
      </w:r>
    </w:p>
  </w:endnote>
  <w:endnote w:id="13">
    <w:p w14:paraId="76A8393C" w14:textId="77777777" w:rsidR="005D7802" w:rsidRPr="00BE51AB" w:rsidRDefault="005D7802" w:rsidP="005D7802">
      <w:pPr>
        <w:pStyle w:val="Footnotes"/>
      </w:pPr>
      <w:r w:rsidRPr="00BE51AB">
        <w:rPr>
          <w:rStyle w:val="EndnoteReference"/>
          <w:vertAlign w:val="baseline"/>
        </w:rPr>
        <w:endnoteRef/>
      </w:r>
      <w:r w:rsidRPr="00BE51AB">
        <w:t xml:space="preserve"> This probably underestimates the full extent of alternatives as a large “other” assets accounted for 22% and included assets such as real estate debt that would count as alternatives.</w:t>
      </w:r>
    </w:p>
  </w:endnote>
  <w:endnote w:id="14">
    <w:p w14:paraId="0AD7F29E" w14:textId="77777777" w:rsidR="00285CC5" w:rsidRPr="00BE51AB" w:rsidRDefault="00285CC5" w:rsidP="00285CC5">
      <w:pPr>
        <w:pStyle w:val="Footnotes"/>
      </w:pPr>
      <w:r w:rsidRPr="00BE51AB">
        <w:rPr>
          <w:rStyle w:val="EndnoteReference"/>
          <w:vertAlign w:val="baseline"/>
        </w:rPr>
        <w:endnoteRef/>
      </w:r>
      <w:r w:rsidRPr="00BE51AB">
        <w:t xml:space="preserve"> Unfortunately, this breakdown can only be seen for direct investments, i.e. not through pooled funds, but is still indicative. </w:t>
      </w:r>
    </w:p>
  </w:endnote>
  <w:endnote w:id="15">
    <w:p w14:paraId="2F1B100C" w14:textId="0C46C481" w:rsidR="00003453" w:rsidRPr="00BE51AB" w:rsidRDefault="00003453" w:rsidP="00552CAF">
      <w:pPr>
        <w:pStyle w:val="Footnotes"/>
      </w:pPr>
      <w:r w:rsidRPr="00BE51AB">
        <w:rPr>
          <w:rStyle w:val="EndnoteReference"/>
          <w:vertAlign w:val="baseline"/>
        </w:rPr>
        <w:endnoteRef/>
      </w:r>
      <w:r w:rsidRPr="00BE51AB">
        <w:t xml:space="preserve"> The position of UK PF is similar to that of Asian pension and insurance, which has significant long positions in US bond markets, hedged through short-term derivatives </w:t>
      </w:r>
      <w:r w:rsidR="006E689F">
        <w:t>.</w:t>
      </w:r>
      <w:r w:rsidR="006E689F" w:rsidRPr="00BE51AB">
        <w:t xml:space="preserve"> </w:t>
      </w:r>
    </w:p>
  </w:endnote>
  <w:endnote w:id="16">
    <w:p w14:paraId="1A34FEB1" w14:textId="0B62510F" w:rsidR="00003453" w:rsidRPr="00BE51AB" w:rsidRDefault="00003453" w:rsidP="00552CAF">
      <w:pPr>
        <w:pStyle w:val="Footnotes"/>
      </w:pPr>
      <w:r w:rsidRPr="00BE51AB">
        <w:rPr>
          <w:rStyle w:val="EndnoteReference"/>
          <w:vertAlign w:val="baseline"/>
        </w:rPr>
        <w:endnoteRef/>
      </w:r>
      <w:r w:rsidRPr="00BE51AB">
        <w:t xml:space="preserve"> Except for the local government pension schemes, which are explicitly prevented from using it </w:t>
      </w:r>
      <w:r w:rsidRPr="00BE51AB">
        <w:fldChar w:fldCharType="begin"/>
      </w:r>
      <w:r w:rsidR="005124AF">
        <w:instrText xml:space="preserve"> ADDIN ZOTERO_ITEM CSL_CITATION {"citationID":"VlzuACka","properties":{"formattedCitation":"({\\i{}The Local Government Pension Scheme (Management and Investment of Funds) Regulations 2009} 2009)","plainCitation":"(The Local Government Pension Scheme (Management and Investment of Funds) Regulations 2009 2009)","noteIndex":15},"citationItems":[{"id":69,"uris":["http://zotero.org/users/5165859/items/NBNA3H5P"],"itemData":{"id":69,"type":"legislation","abstract":"These Regulations consolidate the Local Government Pension Scheme (Management and Investment of Funds) Regulations 1998 (S.I. 1998/1831) with subsequent amending instruments. In addition to minor and drafting amendments, the following changes of substance have been made.","language":"eng","note":"publisher: Queen's Printer of Acts of Parliament","number":"3093","title":"The Local Government Pension Scheme (Management and Investment of Funds) Regulations 2009","URL":"https://www.legislation.gov.uk/uksi/2009/3093/contents/made","accessed":{"date-parts":[["2020",10,26]]},"issued":{"date-parts":[["2009"]]}}}],"schema":"https://github.com/citation-style-language/schema/raw/master/csl-citation.json"} </w:instrText>
      </w:r>
      <w:r w:rsidRPr="00BE51AB">
        <w:fldChar w:fldCharType="separate"/>
      </w:r>
      <w:r w:rsidR="00A6735E" w:rsidRPr="00A6735E">
        <w:t>(</w:t>
      </w:r>
      <w:r w:rsidR="00A6735E" w:rsidRPr="00A6735E">
        <w:rPr>
          <w:i/>
          <w:iCs/>
        </w:rPr>
        <w:t>The Local Government Pension Scheme (Management and Investment of Funds) Regulations 2009</w:t>
      </w:r>
      <w:r w:rsidR="00A6735E" w:rsidRPr="00A6735E">
        <w:t xml:space="preserve"> 2009)</w:t>
      </w:r>
      <w:r w:rsidRPr="00BE51AB">
        <w:fldChar w:fldCharType="end"/>
      </w:r>
    </w:p>
  </w:endnote>
  <w:endnote w:id="17">
    <w:p w14:paraId="5B1E79DF" w14:textId="086E259E" w:rsidR="00003453" w:rsidRPr="00BE51AB" w:rsidRDefault="00003453" w:rsidP="00552CAF">
      <w:pPr>
        <w:pStyle w:val="Footnotes"/>
      </w:pPr>
      <w:r w:rsidRPr="00BE51AB">
        <w:rPr>
          <w:rStyle w:val="EndnoteReference"/>
          <w:vertAlign w:val="baseline"/>
        </w:rPr>
        <w:endnoteRef/>
      </w:r>
      <w:r w:rsidRPr="00BE51AB">
        <w:t xml:space="preserve"> This continuing exposure is crucial for the purpose of LDI and is the key difference from the more traditional PF activity of securities lending, which while similar would imply a loss of exposure to the gilt.</w:t>
      </w:r>
    </w:p>
  </w:endnote>
  <w:endnote w:id="18">
    <w:p w14:paraId="17B8C6AC" w14:textId="3A3ABBF2" w:rsidR="00003453" w:rsidRPr="00BE51AB" w:rsidRDefault="00003453" w:rsidP="00552CAF">
      <w:pPr>
        <w:pStyle w:val="Footnotes"/>
      </w:pPr>
      <w:r w:rsidRPr="00BE51AB">
        <w:rPr>
          <w:rStyle w:val="EndnoteReference"/>
          <w:vertAlign w:val="baseline"/>
        </w:rPr>
        <w:endnoteRef/>
      </w:r>
      <w:r w:rsidRPr="00BE51AB">
        <w:t xml:space="preserve"> The initial value of the swap is zero as the fixed rate is chosen to equal the expected variable rate. If the variable rate increases, the value of the swap for the PF falls, as it will now have to pay more than it receives.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393AB" w14:textId="77777777" w:rsidR="00D210C5" w:rsidRDefault="00D210C5" w:rsidP="00AF2C92">
      <w:r>
        <w:separator/>
      </w:r>
    </w:p>
  </w:footnote>
  <w:footnote w:type="continuationSeparator" w:id="0">
    <w:p w14:paraId="280BECBB" w14:textId="77777777" w:rsidR="00D210C5" w:rsidRDefault="00D210C5" w:rsidP="00AF2C92">
      <w:r>
        <w:continuationSeparator/>
      </w:r>
    </w:p>
  </w:footnote>
  <w:footnote w:type="continuationNotice" w:id="1">
    <w:p w14:paraId="58465FAF" w14:textId="77777777" w:rsidR="00D210C5" w:rsidRDefault="00D210C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B42AF1"/>
    <w:multiLevelType w:val="hybridMultilevel"/>
    <w:tmpl w:val="24FAEF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3826375"/>
    <w:multiLevelType w:val="hybridMultilevel"/>
    <w:tmpl w:val="5694D0BA"/>
    <w:lvl w:ilvl="0" w:tplc="12E8B4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9A12DC8"/>
    <w:multiLevelType w:val="hybridMultilevel"/>
    <w:tmpl w:val="23A4AC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597C4C"/>
    <w:multiLevelType w:val="hybridMultilevel"/>
    <w:tmpl w:val="01625B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989702B"/>
    <w:multiLevelType w:val="hybridMultilevel"/>
    <w:tmpl w:val="743CB47C"/>
    <w:lvl w:ilvl="0" w:tplc="E5381BA8">
      <w:start w:val="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6591A5A"/>
    <w:multiLevelType w:val="hybridMultilevel"/>
    <w:tmpl w:val="69660846"/>
    <w:lvl w:ilvl="0" w:tplc="AA30A85A">
      <w:start w:val="1"/>
      <w:numFmt w:val="bullet"/>
      <w:lvlText w:val="o"/>
      <w:lvlJc w:val="left"/>
      <w:pPr>
        <w:tabs>
          <w:tab w:val="num" w:pos="720"/>
        </w:tabs>
        <w:ind w:left="720" w:hanging="360"/>
      </w:pPr>
      <w:rPr>
        <w:rFonts w:ascii="Courier New" w:hAnsi="Courier New" w:hint="default"/>
      </w:rPr>
    </w:lvl>
    <w:lvl w:ilvl="1" w:tplc="27926D18">
      <w:start w:val="1"/>
      <w:numFmt w:val="bullet"/>
      <w:lvlText w:val="o"/>
      <w:lvlJc w:val="left"/>
      <w:pPr>
        <w:tabs>
          <w:tab w:val="num" w:pos="1440"/>
        </w:tabs>
        <w:ind w:left="1440" w:hanging="360"/>
      </w:pPr>
      <w:rPr>
        <w:rFonts w:ascii="Courier New" w:hAnsi="Courier New" w:hint="default"/>
      </w:rPr>
    </w:lvl>
    <w:lvl w:ilvl="2" w:tplc="B3AC476C" w:tentative="1">
      <w:start w:val="1"/>
      <w:numFmt w:val="bullet"/>
      <w:lvlText w:val="o"/>
      <w:lvlJc w:val="left"/>
      <w:pPr>
        <w:tabs>
          <w:tab w:val="num" w:pos="2160"/>
        </w:tabs>
        <w:ind w:left="2160" w:hanging="360"/>
      </w:pPr>
      <w:rPr>
        <w:rFonts w:ascii="Courier New" w:hAnsi="Courier New" w:hint="default"/>
      </w:rPr>
    </w:lvl>
    <w:lvl w:ilvl="3" w:tplc="587ACE10" w:tentative="1">
      <w:start w:val="1"/>
      <w:numFmt w:val="bullet"/>
      <w:lvlText w:val="o"/>
      <w:lvlJc w:val="left"/>
      <w:pPr>
        <w:tabs>
          <w:tab w:val="num" w:pos="2880"/>
        </w:tabs>
        <w:ind w:left="2880" w:hanging="360"/>
      </w:pPr>
      <w:rPr>
        <w:rFonts w:ascii="Courier New" w:hAnsi="Courier New" w:hint="default"/>
      </w:rPr>
    </w:lvl>
    <w:lvl w:ilvl="4" w:tplc="D9A889BA" w:tentative="1">
      <w:start w:val="1"/>
      <w:numFmt w:val="bullet"/>
      <w:lvlText w:val="o"/>
      <w:lvlJc w:val="left"/>
      <w:pPr>
        <w:tabs>
          <w:tab w:val="num" w:pos="3600"/>
        </w:tabs>
        <w:ind w:left="3600" w:hanging="360"/>
      </w:pPr>
      <w:rPr>
        <w:rFonts w:ascii="Courier New" w:hAnsi="Courier New" w:hint="default"/>
      </w:rPr>
    </w:lvl>
    <w:lvl w:ilvl="5" w:tplc="208610E2" w:tentative="1">
      <w:start w:val="1"/>
      <w:numFmt w:val="bullet"/>
      <w:lvlText w:val="o"/>
      <w:lvlJc w:val="left"/>
      <w:pPr>
        <w:tabs>
          <w:tab w:val="num" w:pos="4320"/>
        </w:tabs>
        <w:ind w:left="4320" w:hanging="360"/>
      </w:pPr>
      <w:rPr>
        <w:rFonts w:ascii="Courier New" w:hAnsi="Courier New" w:hint="default"/>
      </w:rPr>
    </w:lvl>
    <w:lvl w:ilvl="6" w:tplc="27D688E0" w:tentative="1">
      <w:start w:val="1"/>
      <w:numFmt w:val="bullet"/>
      <w:lvlText w:val="o"/>
      <w:lvlJc w:val="left"/>
      <w:pPr>
        <w:tabs>
          <w:tab w:val="num" w:pos="5040"/>
        </w:tabs>
        <w:ind w:left="5040" w:hanging="360"/>
      </w:pPr>
      <w:rPr>
        <w:rFonts w:ascii="Courier New" w:hAnsi="Courier New" w:hint="default"/>
      </w:rPr>
    </w:lvl>
    <w:lvl w:ilvl="7" w:tplc="89AC06CA" w:tentative="1">
      <w:start w:val="1"/>
      <w:numFmt w:val="bullet"/>
      <w:lvlText w:val="o"/>
      <w:lvlJc w:val="left"/>
      <w:pPr>
        <w:tabs>
          <w:tab w:val="num" w:pos="5760"/>
        </w:tabs>
        <w:ind w:left="5760" w:hanging="360"/>
      </w:pPr>
      <w:rPr>
        <w:rFonts w:ascii="Courier New" w:hAnsi="Courier New" w:hint="default"/>
      </w:rPr>
    </w:lvl>
    <w:lvl w:ilvl="8" w:tplc="B812FD7C" w:tentative="1">
      <w:start w:val="1"/>
      <w:numFmt w:val="bullet"/>
      <w:lvlText w:val="o"/>
      <w:lvlJc w:val="left"/>
      <w:pPr>
        <w:tabs>
          <w:tab w:val="num" w:pos="6480"/>
        </w:tabs>
        <w:ind w:left="6480" w:hanging="360"/>
      </w:pPr>
      <w:rPr>
        <w:rFonts w:ascii="Courier New" w:hAnsi="Courier New" w:hint="default"/>
      </w:rPr>
    </w:lvl>
  </w:abstractNum>
  <w:abstractNum w:abstractNumId="25"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82182B"/>
    <w:multiLevelType w:val="hybridMultilevel"/>
    <w:tmpl w:val="A83A2B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D04CB3"/>
    <w:multiLevelType w:val="hybridMultilevel"/>
    <w:tmpl w:val="F6C21B6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20B5E6D"/>
    <w:multiLevelType w:val="hybridMultilevel"/>
    <w:tmpl w:val="C6983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6C3AF0"/>
    <w:multiLevelType w:val="hybridMultilevel"/>
    <w:tmpl w:val="40E84DF4"/>
    <w:lvl w:ilvl="0" w:tplc="48D4627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D241EA1"/>
    <w:multiLevelType w:val="hybridMultilevel"/>
    <w:tmpl w:val="0FA6A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0979F9"/>
    <w:multiLevelType w:val="hybridMultilevel"/>
    <w:tmpl w:val="BC580A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1224909">
    <w:abstractNumId w:val="17"/>
  </w:num>
  <w:num w:numId="2" w16cid:durableId="2066368424">
    <w:abstractNumId w:val="25"/>
  </w:num>
  <w:num w:numId="3" w16cid:durableId="15158628">
    <w:abstractNumId w:val="1"/>
  </w:num>
  <w:num w:numId="4" w16cid:durableId="1302155985">
    <w:abstractNumId w:val="2"/>
  </w:num>
  <w:num w:numId="5" w16cid:durableId="411007544">
    <w:abstractNumId w:val="3"/>
  </w:num>
  <w:num w:numId="6" w16cid:durableId="1107769837">
    <w:abstractNumId w:val="4"/>
  </w:num>
  <w:num w:numId="7" w16cid:durableId="1370716657">
    <w:abstractNumId w:val="9"/>
  </w:num>
  <w:num w:numId="8" w16cid:durableId="1669015977">
    <w:abstractNumId w:val="5"/>
  </w:num>
  <w:num w:numId="9" w16cid:durableId="1149446427">
    <w:abstractNumId w:val="7"/>
  </w:num>
  <w:num w:numId="10" w16cid:durableId="322660772">
    <w:abstractNumId w:val="6"/>
  </w:num>
  <w:num w:numId="11" w16cid:durableId="1026635551">
    <w:abstractNumId w:val="10"/>
  </w:num>
  <w:num w:numId="12" w16cid:durableId="1414622007">
    <w:abstractNumId w:val="8"/>
  </w:num>
  <w:num w:numId="13" w16cid:durableId="204559569">
    <w:abstractNumId w:val="22"/>
  </w:num>
  <w:num w:numId="14" w16cid:durableId="81797832">
    <w:abstractNumId w:val="27"/>
  </w:num>
  <w:num w:numId="15" w16cid:durableId="1026638161">
    <w:abstractNumId w:val="15"/>
  </w:num>
  <w:num w:numId="16" w16cid:durableId="231164154">
    <w:abstractNumId w:val="20"/>
  </w:num>
  <w:num w:numId="17" w16cid:durableId="139421365">
    <w:abstractNumId w:val="11"/>
  </w:num>
  <w:num w:numId="18" w16cid:durableId="56710559">
    <w:abstractNumId w:val="0"/>
  </w:num>
  <w:num w:numId="19" w16cid:durableId="1773935496">
    <w:abstractNumId w:val="12"/>
  </w:num>
  <w:num w:numId="20" w16cid:durableId="1026101631">
    <w:abstractNumId w:val="27"/>
  </w:num>
  <w:num w:numId="21" w16cid:durableId="540048602">
    <w:abstractNumId w:val="27"/>
  </w:num>
  <w:num w:numId="22" w16cid:durableId="2051802836">
    <w:abstractNumId w:val="27"/>
  </w:num>
  <w:num w:numId="23" w16cid:durableId="1361472332">
    <w:abstractNumId w:val="27"/>
  </w:num>
  <w:num w:numId="24" w16cid:durableId="704990406">
    <w:abstractNumId w:val="22"/>
  </w:num>
  <w:num w:numId="25" w16cid:durableId="1496412455">
    <w:abstractNumId w:val="23"/>
  </w:num>
  <w:num w:numId="26" w16cid:durableId="1572621294">
    <w:abstractNumId w:val="28"/>
  </w:num>
  <w:num w:numId="27" w16cid:durableId="787964637">
    <w:abstractNumId w:val="29"/>
  </w:num>
  <w:num w:numId="28" w16cid:durableId="714501946">
    <w:abstractNumId w:val="27"/>
  </w:num>
  <w:num w:numId="29" w16cid:durableId="419445358">
    <w:abstractNumId w:val="14"/>
  </w:num>
  <w:num w:numId="30" w16cid:durableId="1867718404">
    <w:abstractNumId w:val="31"/>
  </w:num>
  <w:num w:numId="31" w16cid:durableId="1996377488">
    <w:abstractNumId w:val="34"/>
  </w:num>
  <w:num w:numId="32" w16cid:durableId="920287640">
    <w:abstractNumId w:val="32"/>
  </w:num>
  <w:num w:numId="33" w16cid:durableId="743724508">
    <w:abstractNumId w:val="30"/>
  </w:num>
  <w:num w:numId="34" w16cid:durableId="425345841">
    <w:abstractNumId w:val="21"/>
  </w:num>
  <w:num w:numId="35" w16cid:durableId="149756945">
    <w:abstractNumId w:val="13"/>
  </w:num>
  <w:num w:numId="36" w16cid:durableId="1313175701">
    <w:abstractNumId w:val="33"/>
  </w:num>
  <w:num w:numId="37" w16cid:durableId="1470904566">
    <w:abstractNumId w:val="24"/>
  </w:num>
  <w:num w:numId="38" w16cid:durableId="1481456012">
    <w:abstractNumId w:val="26"/>
  </w:num>
  <w:num w:numId="39" w16cid:durableId="1978490363">
    <w:abstractNumId w:val="19"/>
  </w:num>
  <w:num w:numId="40" w16cid:durableId="180633546">
    <w:abstractNumId w:val="16"/>
  </w:num>
  <w:num w:numId="41" w16cid:durableId="1717705149">
    <w:abstractNumId w:val="35"/>
  </w:num>
  <w:num w:numId="42" w16cid:durableId="20516117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6E8"/>
    <w:rsid w:val="0000048A"/>
    <w:rsid w:val="0000052E"/>
    <w:rsid w:val="00000630"/>
    <w:rsid w:val="0000086C"/>
    <w:rsid w:val="000013FC"/>
    <w:rsid w:val="00001760"/>
    <w:rsid w:val="00001899"/>
    <w:rsid w:val="00001AA5"/>
    <w:rsid w:val="00001C35"/>
    <w:rsid w:val="0000204C"/>
    <w:rsid w:val="00002B52"/>
    <w:rsid w:val="00002BE7"/>
    <w:rsid w:val="00002F8B"/>
    <w:rsid w:val="0000343C"/>
    <w:rsid w:val="00003453"/>
    <w:rsid w:val="00003921"/>
    <w:rsid w:val="00003E15"/>
    <w:rsid w:val="000042AF"/>
    <w:rsid w:val="000049AD"/>
    <w:rsid w:val="00004DFC"/>
    <w:rsid w:val="00004EEB"/>
    <w:rsid w:val="000056F2"/>
    <w:rsid w:val="00005843"/>
    <w:rsid w:val="00005938"/>
    <w:rsid w:val="00005ACD"/>
    <w:rsid w:val="00005B18"/>
    <w:rsid w:val="00006165"/>
    <w:rsid w:val="0000635F"/>
    <w:rsid w:val="000065FB"/>
    <w:rsid w:val="000066A8"/>
    <w:rsid w:val="0000681B"/>
    <w:rsid w:val="000068BA"/>
    <w:rsid w:val="00006B0D"/>
    <w:rsid w:val="00006F6C"/>
    <w:rsid w:val="00007004"/>
    <w:rsid w:val="0000713E"/>
    <w:rsid w:val="000073C0"/>
    <w:rsid w:val="00007649"/>
    <w:rsid w:val="0001058D"/>
    <w:rsid w:val="0001079F"/>
    <w:rsid w:val="00010C96"/>
    <w:rsid w:val="00010D51"/>
    <w:rsid w:val="0001135A"/>
    <w:rsid w:val="000118EB"/>
    <w:rsid w:val="00011A94"/>
    <w:rsid w:val="00011D5F"/>
    <w:rsid w:val="0001271A"/>
    <w:rsid w:val="000130A6"/>
    <w:rsid w:val="000131D8"/>
    <w:rsid w:val="000133C0"/>
    <w:rsid w:val="00013477"/>
    <w:rsid w:val="000135D0"/>
    <w:rsid w:val="00013C51"/>
    <w:rsid w:val="000143D6"/>
    <w:rsid w:val="0001450F"/>
    <w:rsid w:val="0001479A"/>
    <w:rsid w:val="0001498C"/>
    <w:rsid w:val="00014A24"/>
    <w:rsid w:val="00014B7E"/>
    <w:rsid w:val="00014C4E"/>
    <w:rsid w:val="00015585"/>
    <w:rsid w:val="00015856"/>
    <w:rsid w:val="00015D71"/>
    <w:rsid w:val="0001636B"/>
    <w:rsid w:val="00016A79"/>
    <w:rsid w:val="00016B26"/>
    <w:rsid w:val="00016FAE"/>
    <w:rsid w:val="00017099"/>
    <w:rsid w:val="00017107"/>
    <w:rsid w:val="0001757C"/>
    <w:rsid w:val="00017E9C"/>
    <w:rsid w:val="00020023"/>
    <w:rsid w:val="000202E2"/>
    <w:rsid w:val="000206E5"/>
    <w:rsid w:val="000207E7"/>
    <w:rsid w:val="00020801"/>
    <w:rsid w:val="00020E1B"/>
    <w:rsid w:val="00021330"/>
    <w:rsid w:val="000214C6"/>
    <w:rsid w:val="0002150B"/>
    <w:rsid w:val="0002160E"/>
    <w:rsid w:val="0002180B"/>
    <w:rsid w:val="00021D3C"/>
    <w:rsid w:val="00021F04"/>
    <w:rsid w:val="00022441"/>
    <w:rsid w:val="0002261E"/>
    <w:rsid w:val="00022734"/>
    <w:rsid w:val="00022820"/>
    <w:rsid w:val="00022C94"/>
    <w:rsid w:val="00022D30"/>
    <w:rsid w:val="00023308"/>
    <w:rsid w:val="0002362B"/>
    <w:rsid w:val="00023778"/>
    <w:rsid w:val="0002377D"/>
    <w:rsid w:val="000237B9"/>
    <w:rsid w:val="00023919"/>
    <w:rsid w:val="00023940"/>
    <w:rsid w:val="00023D6D"/>
    <w:rsid w:val="000243D4"/>
    <w:rsid w:val="00024827"/>
    <w:rsid w:val="00024839"/>
    <w:rsid w:val="000248B9"/>
    <w:rsid w:val="000249F0"/>
    <w:rsid w:val="0002547D"/>
    <w:rsid w:val="00025568"/>
    <w:rsid w:val="00025B6B"/>
    <w:rsid w:val="00025BC3"/>
    <w:rsid w:val="000267FA"/>
    <w:rsid w:val="00026871"/>
    <w:rsid w:val="00026D1E"/>
    <w:rsid w:val="0002744B"/>
    <w:rsid w:val="00027558"/>
    <w:rsid w:val="0002776C"/>
    <w:rsid w:val="00027B37"/>
    <w:rsid w:val="00027B6D"/>
    <w:rsid w:val="00027BBE"/>
    <w:rsid w:val="00027EF5"/>
    <w:rsid w:val="000301E6"/>
    <w:rsid w:val="0003027A"/>
    <w:rsid w:val="000302D5"/>
    <w:rsid w:val="0003075C"/>
    <w:rsid w:val="00031400"/>
    <w:rsid w:val="00031D2C"/>
    <w:rsid w:val="00031D6E"/>
    <w:rsid w:val="00031D89"/>
    <w:rsid w:val="00031F1E"/>
    <w:rsid w:val="00032359"/>
    <w:rsid w:val="00032C9D"/>
    <w:rsid w:val="00033663"/>
    <w:rsid w:val="0003371C"/>
    <w:rsid w:val="00033C00"/>
    <w:rsid w:val="000340EE"/>
    <w:rsid w:val="000341E2"/>
    <w:rsid w:val="00034CE7"/>
    <w:rsid w:val="00034D25"/>
    <w:rsid w:val="000354DB"/>
    <w:rsid w:val="000357FD"/>
    <w:rsid w:val="000359C8"/>
    <w:rsid w:val="000359EE"/>
    <w:rsid w:val="00035B4B"/>
    <w:rsid w:val="00035E19"/>
    <w:rsid w:val="00036240"/>
    <w:rsid w:val="00036558"/>
    <w:rsid w:val="00036753"/>
    <w:rsid w:val="00036777"/>
    <w:rsid w:val="0003681A"/>
    <w:rsid w:val="00036975"/>
    <w:rsid w:val="00036A64"/>
    <w:rsid w:val="000371FA"/>
    <w:rsid w:val="000379DD"/>
    <w:rsid w:val="00037A98"/>
    <w:rsid w:val="00037AE5"/>
    <w:rsid w:val="00037BA0"/>
    <w:rsid w:val="00037C36"/>
    <w:rsid w:val="00040392"/>
    <w:rsid w:val="00040E3B"/>
    <w:rsid w:val="00041216"/>
    <w:rsid w:val="00041A57"/>
    <w:rsid w:val="00041A86"/>
    <w:rsid w:val="00041B06"/>
    <w:rsid w:val="00041CFA"/>
    <w:rsid w:val="00041DC3"/>
    <w:rsid w:val="00041DF7"/>
    <w:rsid w:val="00041F17"/>
    <w:rsid w:val="00042635"/>
    <w:rsid w:val="000427FB"/>
    <w:rsid w:val="00042C2E"/>
    <w:rsid w:val="000430A3"/>
    <w:rsid w:val="00043F41"/>
    <w:rsid w:val="000443AC"/>
    <w:rsid w:val="0004455E"/>
    <w:rsid w:val="00044B61"/>
    <w:rsid w:val="00045167"/>
    <w:rsid w:val="00045B23"/>
    <w:rsid w:val="00046105"/>
    <w:rsid w:val="00046231"/>
    <w:rsid w:val="00046AC3"/>
    <w:rsid w:val="00046D65"/>
    <w:rsid w:val="00046FD2"/>
    <w:rsid w:val="000470E7"/>
    <w:rsid w:val="0004721C"/>
    <w:rsid w:val="00047437"/>
    <w:rsid w:val="0004758D"/>
    <w:rsid w:val="00047851"/>
    <w:rsid w:val="00047A0C"/>
    <w:rsid w:val="00047B8D"/>
    <w:rsid w:val="00047CB5"/>
    <w:rsid w:val="00047D03"/>
    <w:rsid w:val="00047F31"/>
    <w:rsid w:val="00050093"/>
    <w:rsid w:val="000500A3"/>
    <w:rsid w:val="000501DC"/>
    <w:rsid w:val="00050449"/>
    <w:rsid w:val="000509F5"/>
    <w:rsid w:val="00050CB3"/>
    <w:rsid w:val="00050D67"/>
    <w:rsid w:val="00051025"/>
    <w:rsid w:val="00051037"/>
    <w:rsid w:val="00051196"/>
    <w:rsid w:val="000511E5"/>
    <w:rsid w:val="000512A5"/>
    <w:rsid w:val="000515DF"/>
    <w:rsid w:val="000515ED"/>
    <w:rsid w:val="000516E5"/>
    <w:rsid w:val="000517E8"/>
    <w:rsid w:val="00051F8F"/>
    <w:rsid w:val="00051FAA"/>
    <w:rsid w:val="00052598"/>
    <w:rsid w:val="0005307B"/>
    <w:rsid w:val="0005359E"/>
    <w:rsid w:val="00053CD9"/>
    <w:rsid w:val="00053E31"/>
    <w:rsid w:val="00053EDD"/>
    <w:rsid w:val="000541BF"/>
    <w:rsid w:val="000543B4"/>
    <w:rsid w:val="0005528C"/>
    <w:rsid w:val="00055B24"/>
    <w:rsid w:val="00055E38"/>
    <w:rsid w:val="00055ECE"/>
    <w:rsid w:val="00056106"/>
    <w:rsid w:val="00056661"/>
    <w:rsid w:val="00056852"/>
    <w:rsid w:val="00056A55"/>
    <w:rsid w:val="000572A9"/>
    <w:rsid w:val="000578BC"/>
    <w:rsid w:val="00057971"/>
    <w:rsid w:val="00057ACC"/>
    <w:rsid w:val="000602AB"/>
    <w:rsid w:val="000606FA"/>
    <w:rsid w:val="00060F9D"/>
    <w:rsid w:val="00061325"/>
    <w:rsid w:val="000613BB"/>
    <w:rsid w:val="0006143E"/>
    <w:rsid w:val="000615C3"/>
    <w:rsid w:val="00061ECA"/>
    <w:rsid w:val="00062329"/>
    <w:rsid w:val="000624A0"/>
    <w:rsid w:val="00062738"/>
    <w:rsid w:val="00062CB1"/>
    <w:rsid w:val="00062D8C"/>
    <w:rsid w:val="000631A7"/>
    <w:rsid w:val="00063212"/>
    <w:rsid w:val="000632D4"/>
    <w:rsid w:val="0006334F"/>
    <w:rsid w:val="0006345A"/>
    <w:rsid w:val="00063550"/>
    <w:rsid w:val="00063641"/>
    <w:rsid w:val="00063E0B"/>
    <w:rsid w:val="00063EEB"/>
    <w:rsid w:val="00063F00"/>
    <w:rsid w:val="00063FDE"/>
    <w:rsid w:val="0006443A"/>
    <w:rsid w:val="0006487B"/>
    <w:rsid w:val="0006543D"/>
    <w:rsid w:val="000654CB"/>
    <w:rsid w:val="00065912"/>
    <w:rsid w:val="00065E57"/>
    <w:rsid w:val="0006606A"/>
    <w:rsid w:val="0006610A"/>
    <w:rsid w:val="000661EC"/>
    <w:rsid w:val="0006666B"/>
    <w:rsid w:val="00066981"/>
    <w:rsid w:val="00066A40"/>
    <w:rsid w:val="00066A4C"/>
    <w:rsid w:val="00066D9D"/>
    <w:rsid w:val="00066DA8"/>
    <w:rsid w:val="0006700A"/>
    <w:rsid w:val="00067103"/>
    <w:rsid w:val="000675A2"/>
    <w:rsid w:val="000679BC"/>
    <w:rsid w:val="00067DE4"/>
    <w:rsid w:val="000702D7"/>
    <w:rsid w:val="00070ED6"/>
    <w:rsid w:val="000712BA"/>
    <w:rsid w:val="0007168D"/>
    <w:rsid w:val="000719C4"/>
    <w:rsid w:val="00071D5D"/>
    <w:rsid w:val="00071DD7"/>
    <w:rsid w:val="000720C1"/>
    <w:rsid w:val="000723A1"/>
    <w:rsid w:val="000728FB"/>
    <w:rsid w:val="0007336A"/>
    <w:rsid w:val="000733AC"/>
    <w:rsid w:val="00073583"/>
    <w:rsid w:val="00073667"/>
    <w:rsid w:val="000737FF"/>
    <w:rsid w:val="00073869"/>
    <w:rsid w:val="00074199"/>
    <w:rsid w:val="00074477"/>
    <w:rsid w:val="00074B81"/>
    <w:rsid w:val="00074D22"/>
    <w:rsid w:val="00075081"/>
    <w:rsid w:val="0007528A"/>
    <w:rsid w:val="00075465"/>
    <w:rsid w:val="00075728"/>
    <w:rsid w:val="00075816"/>
    <w:rsid w:val="00075A88"/>
    <w:rsid w:val="00075A9C"/>
    <w:rsid w:val="00075D17"/>
    <w:rsid w:val="00075DE0"/>
    <w:rsid w:val="00075E7F"/>
    <w:rsid w:val="000761EE"/>
    <w:rsid w:val="000768FD"/>
    <w:rsid w:val="00076C9A"/>
    <w:rsid w:val="00076EBC"/>
    <w:rsid w:val="00077D06"/>
    <w:rsid w:val="00077D94"/>
    <w:rsid w:val="00080785"/>
    <w:rsid w:val="00080CAF"/>
    <w:rsid w:val="00080D7D"/>
    <w:rsid w:val="00080FA8"/>
    <w:rsid w:val="00081032"/>
    <w:rsid w:val="000811A3"/>
    <w:rsid w:val="000811AB"/>
    <w:rsid w:val="00081933"/>
    <w:rsid w:val="00081AE1"/>
    <w:rsid w:val="00081BE9"/>
    <w:rsid w:val="00082825"/>
    <w:rsid w:val="0008286F"/>
    <w:rsid w:val="00082D05"/>
    <w:rsid w:val="000836C9"/>
    <w:rsid w:val="0008381E"/>
    <w:rsid w:val="000838AF"/>
    <w:rsid w:val="00083C47"/>
    <w:rsid w:val="00083C5F"/>
    <w:rsid w:val="000842C8"/>
    <w:rsid w:val="000845CB"/>
    <w:rsid w:val="00084888"/>
    <w:rsid w:val="000849D3"/>
    <w:rsid w:val="00084BDD"/>
    <w:rsid w:val="00084E3F"/>
    <w:rsid w:val="00084F96"/>
    <w:rsid w:val="000850CF"/>
    <w:rsid w:val="000851D4"/>
    <w:rsid w:val="0008570D"/>
    <w:rsid w:val="00085861"/>
    <w:rsid w:val="00085897"/>
    <w:rsid w:val="00085BD4"/>
    <w:rsid w:val="00085DAE"/>
    <w:rsid w:val="0008603F"/>
    <w:rsid w:val="000864A7"/>
    <w:rsid w:val="00086AD8"/>
    <w:rsid w:val="00086CBE"/>
    <w:rsid w:val="00086D43"/>
    <w:rsid w:val="0008716B"/>
    <w:rsid w:val="00087401"/>
    <w:rsid w:val="00087660"/>
    <w:rsid w:val="00087F7E"/>
    <w:rsid w:val="000902FB"/>
    <w:rsid w:val="000905F9"/>
    <w:rsid w:val="00090739"/>
    <w:rsid w:val="00090754"/>
    <w:rsid w:val="00090877"/>
    <w:rsid w:val="00090E68"/>
    <w:rsid w:val="0009172C"/>
    <w:rsid w:val="00091E18"/>
    <w:rsid w:val="00092045"/>
    <w:rsid w:val="0009264B"/>
    <w:rsid w:val="00092A4B"/>
    <w:rsid w:val="00092D41"/>
    <w:rsid w:val="00092F2A"/>
    <w:rsid w:val="00093079"/>
    <w:rsid w:val="000930EC"/>
    <w:rsid w:val="00093B55"/>
    <w:rsid w:val="00093B68"/>
    <w:rsid w:val="00093CB8"/>
    <w:rsid w:val="00093D50"/>
    <w:rsid w:val="00093E30"/>
    <w:rsid w:val="00093F4B"/>
    <w:rsid w:val="00094016"/>
    <w:rsid w:val="00094032"/>
    <w:rsid w:val="000943F0"/>
    <w:rsid w:val="0009441C"/>
    <w:rsid w:val="00094911"/>
    <w:rsid w:val="00094B0E"/>
    <w:rsid w:val="00094CBA"/>
    <w:rsid w:val="00095C65"/>
    <w:rsid w:val="00095E61"/>
    <w:rsid w:val="00095F33"/>
    <w:rsid w:val="0009646E"/>
    <w:rsid w:val="000966C1"/>
    <w:rsid w:val="0009683F"/>
    <w:rsid w:val="000968FD"/>
    <w:rsid w:val="00096A29"/>
    <w:rsid w:val="00096E7A"/>
    <w:rsid w:val="000970A5"/>
    <w:rsid w:val="000970AC"/>
    <w:rsid w:val="00097218"/>
    <w:rsid w:val="00097359"/>
    <w:rsid w:val="000977EA"/>
    <w:rsid w:val="000979CC"/>
    <w:rsid w:val="00097CF3"/>
    <w:rsid w:val="000A0447"/>
    <w:rsid w:val="000A0D07"/>
    <w:rsid w:val="000A0DA8"/>
    <w:rsid w:val="000A1167"/>
    <w:rsid w:val="000A12CC"/>
    <w:rsid w:val="000A13EF"/>
    <w:rsid w:val="000A1655"/>
    <w:rsid w:val="000A19C2"/>
    <w:rsid w:val="000A28F1"/>
    <w:rsid w:val="000A28F8"/>
    <w:rsid w:val="000A2C65"/>
    <w:rsid w:val="000A2EFB"/>
    <w:rsid w:val="000A38B9"/>
    <w:rsid w:val="000A3BB7"/>
    <w:rsid w:val="000A3C06"/>
    <w:rsid w:val="000A3C31"/>
    <w:rsid w:val="000A413D"/>
    <w:rsid w:val="000A41D0"/>
    <w:rsid w:val="000A438C"/>
    <w:rsid w:val="000A4428"/>
    <w:rsid w:val="000A4442"/>
    <w:rsid w:val="000A4576"/>
    <w:rsid w:val="000A4AF4"/>
    <w:rsid w:val="000A4AFB"/>
    <w:rsid w:val="000A4CA9"/>
    <w:rsid w:val="000A4D2B"/>
    <w:rsid w:val="000A4FA0"/>
    <w:rsid w:val="000A52D0"/>
    <w:rsid w:val="000A536F"/>
    <w:rsid w:val="000A5A26"/>
    <w:rsid w:val="000A5B2D"/>
    <w:rsid w:val="000A5CD4"/>
    <w:rsid w:val="000A5E84"/>
    <w:rsid w:val="000A688B"/>
    <w:rsid w:val="000A6C61"/>
    <w:rsid w:val="000A6D40"/>
    <w:rsid w:val="000A72DF"/>
    <w:rsid w:val="000A73AD"/>
    <w:rsid w:val="000A75B7"/>
    <w:rsid w:val="000A7A83"/>
    <w:rsid w:val="000A7BC3"/>
    <w:rsid w:val="000B0323"/>
    <w:rsid w:val="000B043D"/>
    <w:rsid w:val="000B058B"/>
    <w:rsid w:val="000B0906"/>
    <w:rsid w:val="000B0D02"/>
    <w:rsid w:val="000B1373"/>
    <w:rsid w:val="000B13E0"/>
    <w:rsid w:val="000B1661"/>
    <w:rsid w:val="000B16D1"/>
    <w:rsid w:val="000B1950"/>
    <w:rsid w:val="000B1BC1"/>
    <w:rsid w:val="000B1DEE"/>
    <w:rsid w:val="000B1F0B"/>
    <w:rsid w:val="000B1FCC"/>
    <w:rsid w:val="000B2202"/>
    <w:rsid w:val="000B2241"/>
    <w:rsid w:val="000B23F4"/>
    <w:rsid w:val="000B24DD"/>
    <w:rsid w:val="000B24DE"/>
    <w:rsid w:val="000B2670"/>
    <w:rsid w:val="000B2925"/>
    <w:rsid w:val="000B2C01"/>
    <w:rsid w:val="000B2CDC"/>
    <w:rsid w:val="000B2E88"/>
    <w:rsid w:val="000B3101"/>
    <w:rsid w:val="000B3880"/>
    <w:rsid w:val="000B38FE"/>
    <w:rsid w:val="000B3E45"/>
    <w:rsid w:val="000B3EC8"/>
    <w:rsid w:val="000B3F84"/>
    <w:rsid w:val="000B4226"/>
    <w:rsid w:val="000B4603"/>
    <w:rsid w:val="000B4907"/>
    <w:rsid w:val="000B49EC"/>
    <w:rsid w:val="000B5162"/>
    <w:rsid w:val="000B5DB8"/>
    <w:rsid w:val="000B6474"/>
    <w:rsid w:val="000B6980"/>
    <w:rsid w:val="000B6B5E"/>
    <w:rsid w:val="000B7422"/>
    <w:rsid w:val="000B74C7"/>
    <w:rsid w:val="000B7CB7"/>
    <w:rsid w:val="000C029E"/>
    <w:rsid w:val="000C09BE"/>
    <w:rsid w:val="000C0ABE"/>
    <w:rsid w:val="000C0AEB"/>
    <w:rsid w:val="000C0B50"/>
    <w:rsid w:val="000C117F"/>
    <w:rsid w:val="000C12EC"/>
    <w:rsid w:val="000C1380"/>
    <w:rsid w:val="000C1463"/>
    <w:rsid w:val="000C1E48"/>
    <w:rsid w:val="000C1EF9"/>
    <w:rsid w:val="000C22A8"/>
    <w:rsid w:val="000C277B"/>
    <w:rsid w:val="000C27D1"/>
    <w:rsid w:val="000C2F1E"/>
    <w:rsid w:val="000C2F56"/>
    <w:rsid w:val="000C30EE"/>
    <w:rsid w:val="000C3188"/>
    <w:rsid w:val="000C31D7"/>
    <w:rsid w:val="000C32BA"/>
    <w:rsid w:val="000C35EA"/>
    <w:rsid w:val="000C3C75"/>
    <w:rsid w:val="000C3D64"/>
    <w:rsid w:val="000C3F88"/>
    <w:rsid w:val="000C4067"/>
    <w:rsid w:val="000C46AF"/>
    <w:rsid w:val="000C4869"/>
    <w:rsid w:val="000C4A69"/>
    <w:rsid w:val="000C4D02"/>
    <w:rsid w:val="000C512D"/>
    <w:rsid w:val="000C53D4"/>
    <w:rsid w:val="000C554F"/>
    <w:rsid w:val="000C6123"/>
    <w:rsid w:val="000C6197"/>
    <w:rsid w:val="000C61C6"/>
    <w:rsid w:val="000C621B"/>
    <w:rsid w:val="000C640B"/>
    <w:rsid w:val="000C6488"/>
    <w:rsid w:val="000C64B0"/>
    <w:rsid w:val="000C665E"/>
    <w:rsid w:val="000C6A41"/>
    <w:rsid w:val="000C6C25"/>
    <w:rsid w:val="000C6C31"/>
    <w:rsid w:val="000C6CDA"/>
    <w:rsid w:val="000C6F1A"/>
    <w:rsid w:val="000C6FAB"/>
    <w:rsid w:val="000C70D6"/>
    <w:rsid w:val="000C7249"/>
    <w:rsid w:val="000C7651"/>
    <w:rsid w:val="000C7F19"/>
    <w:rsid w:val="000D04E3"/>
    <w:rsid w:val="000D0AC3"/>
    <w:rsid w:val="000D0DC5"/>
    <w:rsid w:val="000D0DD1"/>
    <w:rsid w:val="000D15FF"/>
    <w:rsid w:val="000D18C4"/>
    <w:rsid w:val="000D19D2"/>
    <w:rsid w:val="000D28DF"/>
    <w:rsid w:val="000D2CF1"/>
    <w:rsid w:val="000D2E39"/>
    <w:rsid w:val="000D2FFF"/>
    <w:rsid w:val="000D319B"/>
    <w:rsid w:val="000D31C9"/>
    <w:rsid w:val="000D3A13"/>
    <w:rsid w:val="000D3B26"/>
    <w:rsid w:val="000D3C22"/>
    <w:rsid w:val="000D3C24"/>
    <w:rsid w:val="000D3DED"/>
    <w:rsid w:val="000D40A7"/>
    <w:rsid w:val="000D4228"/>
    <w:rsid w:val="000D488B"/>
    <w:rsid w:val="000D4A91"/>
    <w:rsid w:val="000D4E99"/>
    <w:rsid w:val="000D5181"/>
    <w:rsid w:val="000D53F7"/>
    <w:rsid w:val="000D573D"/>
    <w:rsid w:val="000D5880"/>
    <w:rsid w:val="000D5A5A"/>
    <w:rsid w:val="000D5DB9"/>
    <w:rsid w:val="000D68DF"/>
    <w:rsid w:val="000D6A2D"/>
    <w:rsid w:val="000D6B3D"/>
    <w:rsid w:val="000D6C31"/>
    <w:rsid w:val="000D6EE2"/>
    <w:rsid w:val="000D6F96"/>
    <w:rsid w:val="000D72F0"/>
    <w:rsid w:val="000E0029"/>
    <w:rsid w:val="000E023F"/>
    <w:rsid w:val="000E0946"/>
    <w:rsid w:val="000E0B1A"/>
    <w:rsid w:val="000E0B36"/>
    <w:rsid w:val="000E0C42"/>
    <w:rsid w:val="000E0C68"/>
    <w:rsid w:val="000E0D5C"/>
    <w:rsid w:val="000E10B5"/>
    <w:rsid w:val="000E138D"/>
    <w:rsid w:val="000E13C2"/>
    <w:rsid w:val="000E1713"/>
    <w:rsid w:val="000E187A"/>
    <w:rsid w:val="000E197C"/>
    <w:rsid w:val="000E1AE2"/>
    <w:rsid w:val="000E20E4"/>
    <w:rsid w:val="000E2415"/>
    <w:rsid w:val="000E27D2"/>
    <w:rsid w:val="000E2C27"/>
    <w:rsid w:val="000E2D61"/>
    <w:rsid w:val="000E3B75"/>
    <w:rsid w:val="000E3D0A"/>
    <w:rsid w:val="000E450E"/>
    <w:rsid w:val="000E56BA"/>
    <w:rsid w:val="000E5E7A"/>
    <w:rsid w:val="000E6259"/>
    <w:rsid w:val="000E65B3"/>
    <w:rsid w:val="000E6A75"/>
    <w:rsid w:val="000E6D3E"/>
    <w:rsid w:val="000E75A6"/>
    <w:rsid w:val="000E781E"/>
    <w:rsid w:val="000E7B28"/>
    <w:rsid w:val="000E7E21"/>
    <w:rsid w:val="000F0011"/>
    <w:rsid w:val="000F0135"/>
    <w:rsid w:val="000F0173"/>
    <w:rsid w:val="000F01BC"/>
    <w:rsid w:val="000F020C"/>
    <w:rsid w:val="000F0889"/>
    <w:rsid w:val="000F08D6"/>
    <w:rsid w:val="000F0A9F"/>
    <w:rsid w:val="000F1346"/>
    <w:rsid w:val="000F1488"/>
    <w:rsid w:val="000F18FE"/>
    <w:rsid w:val="000F193E"/>
    <w:rsid w:val="000F194D"/>
    <w:rsid w:val="000F19D9"/>
    <w:rsid w:val="000F1CE3"/>
    <w:rsid w:val="000F1FC2"/>
    <w:rsid w:val="000F2514"/>
    <w:rsid w:val="000F325B"/>
    <w:rsid w:val="000F3471"/>
    <w:rsid w:val="000F3EF6"/>
    <w:rsid w:val="000F414B"/>
    <w:rsid w:val="000F4677"/>
    <w:rsid w:val="000F46F7"/>
    <w:rsid w:val="000F4A67"/>
    <w:rsid w:val="000F4AA9"/>
    <w:rsid w:val="000F4EE3"/>
    <w:rsid w:val="000F5314"/>
    <w:rsid w:val="000F532C"/>
    <w:rsid w:val="000F5AD4"/>
    <w:rsid w:val="000F5BE0"/>
    <w:rsid w:val="000F64D7"/>
    <w:rsid w:val="000F67CB"/>
    <w:rsid w:val="000F6958"/>
    <w:rsid w:val="000F6BE9"/>
    <w:rsid w:val="000F7164"/>
    <w:rsid w:val="000F746C"/>
    <w:rsid w:val="000F7574"/>
    <w:rsid w:val="000F7DE9"/>
    <w:rsid w:val="0010022B"/>
    <w:rsid w:val="00100587"/>
    <w:rsid w:val="00100B0C"/>
    <w:rsid w:val="00100E3C"/>
    <w:rsid w:val="00100EA3"/>
    <w:rsid w:val="00100F21"/>
    <w:rsid w:val="001010AB"/>
    <w:rsid w:val="0010185C"/>
    <w:rsid w:val="00101CE3"/>
    <w:rsid w:val="00101F87"/>
    <w:rsid w:val="001020E6"/>
    <w:rsid w:val="001022D0"/>
    <w:rsid w:val="0010284E"/>
    <w:rsid w:val="00102C5F"/>
    <w:rsid w:val="001030F6"/>
    <w:rsid w:val="00103122"/>
    <w:rsid w:val="0010336A"/>
    <w:rsid w:val="00103575"/>
    <w:rsid w:val="001035EF"/>
    <w:rsid w:val="00103B19"/>
    <w:rsid w:val="00103C0D"/>
    <w:rsid w:val="001040E7"/>
    <w:rsid w:val="001041FC"/>
    <w:rsid w:val="00104414"/>
    <w:rsid w:val="0010456D"/>
    <w:rsid w:val="00104664"/>
    <w:rsid w:val="00104B91"/>
    <w:rsid w:val="00104FC4"/>
    <w:rsid w:val="001050F1"/>
    <w:rsid w:val="00105102"/>
    <w:rsid w:val="001055A4"/>
    <w:rsid w:val="00105699"/>
    <w:rsid w:val="00105AEA"/>
    <w:rsid w:val="00105C60"/>
    <w:rsid w:val="00105EFF"/>
    <w:rsid w:val="00106210"/>
    <w:rsid w:val="00106394"/>
    <w:rsid w:val="0010677C"/>
    <w:rsid w:val="00106DAF"/>
    <w:rsid w:val="001070FA"/>
    <w:rsid w:val="0010782E"/>
    <w:rsid w:val="00107877"/>
    <w:rsid w:val="00107A24"/>
    <w:rsid w:val="00107D8C"/>
    <w:rsid w:val="001100B1"/>
    <w:rsid w:val="0011026E"/>
    <w:rsid w:val="001105D6"/>
    <w:rsid w:val="00110671"/>
    <w:rsid w:val="00110F47"/>
    <w:rsid w:val="0011106A"/>
    <w:rsid w:val="001113B6"/>
    <w:rsid w:val="001117A0"/>
    <w:rsid w:val="00111848"/>
    <w:rsid w:val="00111E52"/>
    <w:rsid w:val="001125FC"/>
    <w:rsid w:val="00112758"/>
    <w:rsid w:val="00112851"/>
    <w:rsid w:val="00112EFD"/>
    <w:rsid w:val="00113290"/>
    <w:rsid w:val="0011344A"/>
    <w:rsid w:val="00113788"/>
    <w:rsid w:val="001138B2"/>
    <w:rsid w:val="00114113"/>
    <w:rsid w:val="0011457F"/>
    <w:rsid w:val="00114ABE"/>
    <w:rsid w:val="00114B61"/>
    <w:rsid w:val="00114D26"/>
    <w:rsid w:val="00115877"/>
    <w:rsid w:val="001158E9"/>
    <w:rsid w:val="00115B81"/>
    <w:rsid w:val="00115D0F"/>
    <w:rsid w:val="00115E98"/>
    <w:rsid w:val="00116023"/>
    <w:rsid w:val="001161A1"/>
    <w:rsid w:val="00116E5D"/>
    <w:rsid w:val="00116FFF"/>
    <w:rsid w:val="00117054"/>
    <w:rsid w:val="001175DC"/>
    <w:rsid w:val="001177E2"/>
    <w:rsid w:val="0011784F"/>
    <w:rsid w:val="001178AB"/>
    <w:rsid w:val="00117FB0"/>
    <w:rsid w:val="001203B1"/>
    <w:rsid w:val="001203B7"/>
    <w:rsid w:val="0012043B"/>
    <w:rsid w:val="0012061A"/>
    <w:rsid w:val="001206C4"/>
    <w:rsid w:val="001207F8"/>
    <w:rsid w:val="00120A0E"/>
    <w:rsid w:val="00120AD8"/>
    <w:rsid w:val="00120C72"/>
    <w:rsid w:val="00120F3E"/>
    <w:rsid w:val="00121577"/>
    <w:rsid w:val="001219C1"/>
    <w:rsid w:val="00121E8F"/>
    <w:rsid w:val="00121FB4"/>
    <w:rsid w:val="001220CD"/>
    <w:rsid w:val="001226A9"/>
    <w:rsid w:val="001227AC"/>
    <w:rsid w:val="001229E0"/>
    <w:rsid w:val="00122D4B"/>
    <w:rsid w:val="00122F2E"/>
    <w:rsid w:val="001234A3"/>
    <w:rsid w:val="00123DBB"/>
    <w:rsid w:val="00123F16"/>
    <w:rsid w:val="0012432B"/>
    <w:rsid w:val="00124371"/>
    <w:rsid w:val="0012456F"/>
    <w:rsid w:val="0012460F"/>
    <w:rsid w:val="0012486F"/>
    <w:rsid w:val="00124F70"/>
    <w:rsid w:val="00124FE7"/>
    <w:rsid w:val="00125056"/>
    <w:rsid w:val="001251FE"/>
    <w:rsid w:val="00125451"/>
    <w:rsid w:val="00125A6B"/>
    <w:rsid w:val="00125FA9"/>
    <w:rsid w:val="001260E2"/>
    <w:rsid w:val="001261F5"/>
    <w:rsid w:val="001265E4"/>
    <w:rsid w:val="00126A5F"/>
    <w:rsid w:val="00126CD2"/>
    <w:rsid w:val="0012712F"/>
    <w:rsid w:val="00127254"/>
    <w:rsid w:val="001272F2"/>
    <w:rsid w:val="00127581"/>
    <w:rsid w:val="00127EE4"/>
    <w:rsid w:val="00127F4B"/>
    <w:rsid w:val="00130454"/>
    <w:rsid w:val="001306D7"/>
    <w:rsid w:val="001307AE"/>
    <w:rsid w:val="00131370"/>
    <w:rsid w:val="001313F1"/>
    <w:rsid w:val="00131744"/>
    <w:rsid w:val="001317BA"/>
    <w:rsid w:val="0013187C"/>
    <w:rsid w:val="00131A69"/>
    <w:rsid w:val="00131B16"/>
    <w:rsid w:val="0013217B"/>
    <w:rsid w:val="00132C91"/>
    <w:rsid w:val="00132C93"/>
    <w:rsid w:val="001334A2"/>
    <w:rsid w:val="001335F9"/>
    <w:rsid w:val="00133687"/>
    <w:rsid w:val="0013375B"/>
    <w:rsid w:val="0013379F"/>
    <w:rsid w:val="00133AE3"/>
    <w:rsid w:val="00134942"/>
    <w:rsid w:val="00134A51"/>
    <w:rsid w:val="00134DC5"/>
    <w:rsid w:val="0013517D"/>
    <w:rsid w:val="0013529D"/>
    <w:rsid w:val="001355F5"/>
    <w:rsid w:val="00135A26"/>
    <w:rsid w:val="00135CD0"/>
    <w:rsid w:val="00136E3A"/>
    <w:rsid w:val="00137028"/>
    <w:rsid w:val="001371E3"/>
    <w:rsid w:val="0013754C"/>
    <w:rsid w:val="00137684"/>
    <w:rsid w:val="001376E9"/>
    <w:rsid w:val="00137C8B"/>
    <w:rsid w:val="00137C8E"/>
    <w:rsid w:val="00137CEC"/>
    <w:rsid w:val="001403CA"/>
    <w:rsid w:val="00140586"/>
    <w:rsid w:val="00140727"/>
    <w:rsid w:val="00140B8D"/>
    <w:rsid w:val="00140C06"/>
    <w:rsid w:val="00140C15"/>
    <w:rsid w:val="001411DD"/>
    <w:rsid w:val="00141203"/>
    <w:rsid w:val="00141396"/>
    <w:rsid w:val="00141F04"/>
    <w:rsid w:val="0014230E"/>
    <w:rsid w:val="001429B5"/>
    <w:rsid w:val="00142BC4"/>
    <w:rsid w:val="00142D54"/>
    <w:rsid w:val="00142E9E"/>
    <w:rsid w:val="001433AB"/>
    <w:rsid w:val="00143443"/>
    <w:rsid w:val="001436ED"/>
    <w:rsid w:val="0014384E"/>
    <w:rsid w:val="00143AF7"/>
    <w:rsid w:val="00143BFD"/>
    <w:rsid w:val="00143E18"/>
    <w:rsid w:val="00144388"/>
    <w:rsid w:val="001443FD"/>
    <w:rsid w:val="00144461"/>
    <w:rsid w:val="0014453F"/>
    <w:rsid w:val="001448A4"/>
    <w:rsid w:val="00144AC5"/>
    <w:rsid w:val="001450FA"/>
    <w:rsid w:val="0014560E"/>
    <w:rsid w:val="00145F39"/>
    <w:rsid w:val="00145FB2"/>
    <w:rsid w:val="00145FFC"/>
    <w:rsid w:val="00146713"/>
    <w:rsid w:val="0014688D"/>
    <w:rsid w:val="00146BEA"/>
    <w:rsid w:val="00147452"/>
    <w:rsid w:val="00147B65"/>
    <w:rsid w:val="00147D87"/>
    <w:rsid w:val="001508E3"/>
    <w:rsid w:val="001511C6"/>
    <w:rsid w:val="00151469"/>
    <w:rsid w:val="0015237A"/>
    <w:rsid w:val="00152772"/>
    <w:rsid w:val="00152D64"/>
    <w:rsid w:val="00152F7B"/>
    <w:rsid w:val="001530CD"/>
    <w:rsid w:val="0015319A"/>
    <w:rsid w:val="00153471"/>
    <w:rsid w:val="00153A60"/>
    <w:rsid w:val="00153AD7"/>
    <w:rsid w:val="00153B98"/>
    <w:rsid w:val="00153C10"/>
    <w:rsid w:val="00153C86"/>
    <w:rsid w:val="00153D18"/>
    <w:rsid w:val="001541F9"/>
    <w:rsid w:val="00154540"/>
    <w:rsid w:val="001547B6"/>
    <w:rsid w:val="00154AD5"/>
    <w:rsid w:val="00154BAE"/>
    <w:rsid w:val="00154D46"/>
    <w:rsid w:val="001552B4"/>
    <w:rsid w:val="0015546B"/>
    <w:rsid w:val="00155A04"/>
    <w:rsid w:val="00155A59"/>
    <w:rsid w:val="00155FF8"/>
    <w:rsid w:val="001560C0"/>
    <w:rsid w:val="001578B8"/>
    <w:rsid w:val="00160206"/>
    <w:rsid w:val="00160628"/>
    <w:rsid w:val="00160674"/>
    <w:rsid w:val="00161211"/>
    <w:rsid w:val="00161344"/>
    <w:rsid w:val="001617A3"/>
    <w:rsid w:val="00161934"/>
    <w:rsid w:val="001619A0"/>
    <w:rsid w:val="00161AA5"/>
    <w:rsid w:val="00161B4F"/>
    <w:rsid w:val="00161DAE"/>
    <w:rsid w:val="00162195"/>
    <w:rsid w:val="0016322A"/>
    <w:rsid w:val="001632F1"/>
    <w:rsid w:val="001646A5"/>
    <w:rsid w:val="00164985"/>
    <w:rsid w:val="00164CF0"/>
    <w:rsid w:val="0016509F"/>
    <w:rsid w:val="001651D4"/>
    <w:rsid w:val="0016563A"/>
    <w:rsid w:val="001657B7"/>
    <w:rsid w:val="00165A21"/>
    <w:rsid w:val="00166944"/>
    <w:rsid w:val="00166CB3"/>
    <w:rsid w:val="00166F22"/>
    <w:rsid w:val="0016722F"/>
    <w:rsid w:val="001673F6"/>
    <w:rsid w:val="001675BD"/>
    <w:rsid w:val="00167633"/>
    <w:rsid w:val="001679EC"/>
    <w:rsid w:val="00167DFB"/>
    <w:rsid w:val="00170216"/>
    <w:rsid w:val="001705CE"/>
    <w:rsid w:val="001714A7"/>
    <w:rsid w:val="00171609"/>
    <w:rsid w:val="00171FC0"/>
    <w:rsid w:val="00172F14"/>
    <w:rsid w:val="00173463"/>
    <w:rsid w:val="00173DF1"/>
    <w:rsid w:val="00173E1A"/>
    <w:rsid w:val="0017428A"/>
    <w:rsid w:val="0017498F"/>
    <w:rsid w:val="00175225"/>
    <w:rsid w:val="00175703"/>
    <w:rsid w:val="00175836"/>
    <w:rsid w:val="00175B61"/>
    <w:rsid w:val="00175C3F"/>
    <w:rsid w:val="00175E9A"/>
    <w:rsid w:val="00175EB1"/>
    <w:rsid w:val="00175F61"/>
    <w:rsid w:val="00175F9A"/>
    <w:rsid w:val="00175FE4"/>
    <w:rsid w:val="001764EB"/>
    <w:rsid w:val="001766DF"/>
    <w:rsid w:val="00176703"/>
    <w:rsid w:val="00176713"/>
    <w:rsid w:val="001768F3"/>
    <w:rsid w:val="00176B04"/>
    <w:rsid w:val="00176E45"/>
    <w:rsid w:val="0017714B"/>
    <w:rsid w:val="0017747A"/>
    <w:rsid w:val="0017766C"/>
    <w:rsid w:val="00177B92"/>
    <w:rsid w:val="00177FE3"/>
    <w:rsid w:val="001804DF"/>
    <w:rsid w:val="00180E1A"/>
    <w:rsid w:val="0018122C"/>
    <w:rsid w:val="0018168D"/>
    <w:rsid w:val="00181BDC"/>
    <w:rsid w:val="00181D81"/>
    <w:rsid w:val="00181DB0"/>
    <w:rsid w:val="00181E01"/>
    <w:rsid w:val="00182257"/>
    <w:rsid w:val="001829E3"/>
    <w:rsid w:val="00182E86"/>
    <w:rsid w:val="00183033"/>
    <w:rsid w:val="001830E5"/>
    <w:rsid w:val="001836D0"/>
    <w:rsid w:val="0018393D"/>
    <w:rsid w:val="00183A29"/>
    <w:rsid w:val="00183A3A"/>
    <w:rsid w:val="00183B7F"/>
    <w:rsid w:val="00183E27"/>
    <w:rsid w:val="001844C7"/>
    <w:rsid w:val="0018477E"/>
    <w:rsid w:val="00184A24"/>
    <w:rsid w:val="00184CC4"/>
    <w:rsid w:val="00184E76"/>
    <w:rsid w:val="00184F00"/>
    <w:rsid w:val="00184F9D"/>
    <w:rsid w:val="00184FEC"/>
    <w:rsid w:val="0018524F"/>
    <w:rsid w:val="00185B02"/>
    <w:rsid w:val="00185E22"/>
    <w:rsid w:val="001862DC"/>
    <w:rsid w:val="001869EE"/>
    <w:rsid w:val="00187462"/>
    <w:rsid w:val="001875B2"/>
    <w:rsid w:val="001876D2"/>
    <w:rsid w:val="00187C46"/>
    <w:rsid w:val="00190410"/>
    <w:rsid w:val="0019079E"/>
    <w:rsid w:val="001907F6"/>
    <w:rsid w:val="00190800"/>
    <w:rsid w:val="00190924"/>
    <w:rsid w:val="0019126A"/>
    <w:rsid w:val="001924C0"/>
    <w:rsid w:val="001933EF"/>
    <w:rsid w:val="00193A85"/>
    <w:rsid w:val="00193BDB"/>
    <w:rsid w:val="00193E03"/>
    <w:rsid w:val="001941E2"/>
    <w:rsid w:val="00194454"/>
    <w:rsid w:val="001946B4"/>
    <w:rsid w:val="001946FD"/>
    <w:rsid w:val="00194F3C"/>
    <w:rsid w:val="00194F6F"/>
    <w:rsid w:val="0019501F"/>
    <w:rsid w:val="001951C0"/>
    <w:rsid w:val="00195338"/>
    <w:rsid w:val="00195526"/>
    <w:rsid w:val="00195939"/>
    <w:rsid w:val="00195D19"/>
    <w:rsid w:val="001962D7"/>
    <w:rsid w:val="00196A62"/>
    <w:rsid w:val="00196BC0"/>
    <w:rsid w:val="00196CD7"/>
    <w:rsid w:val="00196D41"/>
    <w:rsid w:val="00196EA0"/>
    <w:rsid w:val="001970F5"/>
    <w:rsid w:val="0019717B"/>
    <w:rsid w:val="0019731E"/>
    <w:rsid w:val="001979AC"/>
    <w:rsid w:val="00197AAA"/>
    <w:rsid w:val="00197B9E"/>
    <w:rsid w:val="001A02D5"/>
    <w:rsid w:val="001A04BB"/>
    <w:rsid w:val="001A09FE"/>
    <w:rsid w:val="001A0AA9"/>
    <w:rsid w:val="001A0DF7"/>
    <w:rsid w:val="001A0E78"/>
    <w:rsid w:val="001A104E"/>
    <w:rsid w:val="001A140D"/>
    <w:rsid w:val="001A1709"/>
    <w:rsid w:val="001A1878"/>
    <w:rsid w:val="001A1917"/>
    <w:rsid w:val="001A1E4F"/>
    <w:rsid w:val="001A216E"/>
    <w:rsid w:val="001A2278"/>
    <w:rsid w:val="001A26C8"/>
    <w:rsid w:val="001A2976"/>
    <w:rsid w:val="001A2B1C"/>
    <w:rsid w:val="001A2B7C"/>
    <w:rsid w:val="001A2E50"/>
    <w:rsid w:val="001A30E3"/>
    <w:rsid w:val="001A3509"/>
    <w:rsid w:val="001A35DC"/>
    <w:rsid w:val="001A3E6A"/>
    <w:rsid w:val="001A46A8"/>
    <w:rsid w:val="001A4ABE"/>
    <w:rsid w:val="001A4DC0"/>
    <w:rsid w:val="001A5122"/>
    <w:rsid w:val="001A516B"/>
    <w:rsid w:val="001A6474"/>
    <w:rsid w:val="001A679E"/>
    <w:rsid w:val="001A67C9"/>
    <w:rsid w:val="001A69DE"/>
    <w:rsid w:val="001A6E3F"/>
    <w:rsid w:val="001A713C"/>
    <w:rsid w:val="001A760C"/>
    <w:rsid w:val="001A7693"/>
    <w:rsid w:val="001A7A41"/>
    <w:rsid w:val="001A7B01"/>
    <w:rsid w:val="001A7C2E"/>
    <w:rsid w:val="001A7D07"/>
    <w:rsid w:val="001B00D6"/>
    <w:rsid w:val="001B0192"/>
    <w:rsid w:val="001B0671"/>
    <w:rsid w:val="001B0BDD"/>
    <w:rsid w:val="001B0D48"/>
    <w:rsid w:val="001B0E67"/>
    <w:rsid w:val="001B11C7"/>
    <w:rsid w:val="001B1245"/>
    <w:rsid w:val="001B12B5"/>
    <w:rsid w:val="001B12ED"/>
    <w:rsid w:val="001B15E8"/>
    <w:rsid w:val="001B1B81"/>
    <w:rsid w:val="001B1C7C"/>
    <w:rsid w:val="001B21D0"/>
    <w:rsid w:val="001B2707"/>
    <w:rsid w:val="001B2D00"/>
    <w:rsid w:val="001B319A"/>
    <w:rsid w:val="001B3414"/>
    <w:rsid w:val="001B34F0"/>
    <w:rsid w:val="001B398F"/>
    <w:rsid w:val="001B436A"/>
    <w:rsid w:val="001B44E6"/>
    <w:rsid w:val="001B4593"/>
    <w:rsid w:val="001B46C6"/>
    <w:rsid w:val="001B47EC"/>
    <w:rsid w:val="001B49D0"/>
    <w:rsid w:val="001B4A76"/>
    <w:rsid w:val="001B4ACD"/>
    <w:rsid w:val="001B4B48"/>
    <w:rsid w:val="001B4D1F"/>
    <w:rsid w:val="001B4E64"/>
    <w:rsid w:val="001B54CB"/>
    <w:rsid w:val="001B571C"/>
    <w:rsid w:val="001B5CDE"/>
    <w:rsid w:val="001B5D91"/>
    <w:rsid w:val="001B6601"/>
    <w:rsid w:val="001B67BB"/>
    <w:rsid w:val="001B6896"/>
    <w:rsid w:val="001B68E2"/>
    <w:rsid w:val="001B6C5E"/>
    <w:rsid w:val="001B70C9"/>
    <w:rsid w:val="001B7681"/>
    <w:rsid w:val="001B7988"/>
    <w:rsid w:val="001B7A0A"/>
    <w:rsid w:val="001B7CAE"/>
    <w:rsid w:val="001B7E00"/>
    <w:rsid w:val="001C0401"/>
    <w:rsid w:val="001C0665"/>
    <w:rsid w:val="001C0772"/>
    <w:rsid w:val="001C0899"/>
    <w:rsid w:val="001C08F1"/>
    <w:rsid w:val="001C0928"/>
    <w:rsid w:val="001C0C2C"/>
    <w:rsid w:val="001C0D4F"/>
    <w:rsid w:val="001C0DB6"/>
    <w:rsid w:val="001C19E0"/>
    <w:rsid w:val="001C1AC3"/>
    <w:rsid w:val="001C1BA3"/>
    <w:rsid w:val="001C1BB5"/>
    <w:rsid w:val="001C1DEC"/>
    <w:rsid w:val="001C246F"/>
    <w:rsid w:val="001C247E"/>
    <w:rsid w:val="001C3825"/>
    <w:rsid w:val="001C4014"/>
    <w:rsid w:val="001C4060"/>
    <w:rsid w:val="001C4189"/>
    <w:rsid w:val="001C4221"/>
    <w:rsid w:val="001C4670"/>
    <w:rsid w:val="001C48C5"/>
    <w:rsid w:val="001C4AC7"/>
    <w:rsid w:val="001C4BB1"/>
    <w:rsid w:val="001C4E5C"/>
    <w:rsid w:val="001C55A4"/>
    <w:rsid w:val="001C5734"/>
    <w:rsid w:val="001C5736"/>
    <w:rsid w:val="001C58B0"/>
    <w:rsid w:val="001C5EB5"/>
    <w:rsid w:val="001C5FF5"/>
    <w:rsid w:val="001C6279"/>
    <w:rsid w:val="001C627C"/>
    <w:rsid w:val="001C63E0"/>
    <w:rsid w:val="001C66B1"/>
    <w:rsid w:val="001C685B"/>
    <w:rsid w:val="001C6A86"/>
    <w:rsid w:val="001C7513"/>
    <w:rsid w:val="001C76EB"/>
    <w:rsid w:val="001C7D8D"/>
    <w:rsid w:val="001D0235"/>
    <w:rsid w:val="001D08A6"/>
    <w:rsid w:val="001D154E"/>
    <w:rsid w:val="001D1A20"/>
    <w:rsid w:val="001D1E20"/>
    <w:rsid w:val="001D1F8F"/>
    <w:rsid w:val="001D20FE"/>
    <w:rsid w:val="001D26A0"/>
    <w:rsid w:val="001D26F6"/>
    <w:rsid w:val="001D2880"/>
    <w:rsid w:val="001D2979"/>
    <w:rsid w:val="001D2CEB"/>
    <w:rsid w:val="001D329F"/>
    <w:rsid w:val="001D345A"/>
    <w:rsid w:val="001D34EE"/>
    <w:rsid w:val="001D3801"/>
    <w:rsid w:val="001D3B26"/>
    <w:rsid w:val="001D3D9E"/>
    <w:rsid w:val="001D4129"/>
    <w:rsid w:val="001D424C"/>
    <w:rsid w:val="001D4295"/>
    <w:rsid w:val="001D42C6"/>
    <w:rsid w:val="001D45A9"/>
    <w:rsid w:val="001D4628"/>
    <w:rsid w:val="001D4AE1"/>
    <w:rsid w:val="001D5084"/>
    <w:rsid w:val="001D50A9"/>
    <w:rsid w:val="001D50C1"/>
    <w:rsid w:val="001D5129"/>
    <w:rsid w:val="001D5374"/>
    <w:rsid w:val="001D5673"/>
    <w:rsid w:val="001D6143"/>
    <w:rsid w:val="001D623A"/>
    <w:rsid w:val="001D647F"/>
    <w:rsid w:val="001D6857"/>
    <w:rsid w:val="001D70AC"/>
    <w:rsid w:val="001D7465"/>
    <w:rsid w:val="001D7EC0"/>
    <w:rsid w:val="001E0572"/>
    <w:rsid w:val="001E06A3"/>
    <w:rsid w:val="001E0711"/>
    <w:rsid w:val="001E0A67"/>
    <w:rsid w:val="001E0DF6"/>
    <w:rsid w:val="001E1028"/>
    <w:rsid w:val="001E14E2"/>
    <w:rsid w:val="001E1C21"/>
    <w:rsid w:val="001E20F6"/>
    <w:rsid w:val="001E2879"/>
    <w:rsid w:val="001E2930"/>
    <w:rsid w:val="001E3ACB"/>
    <w:rsid w:val="001E44CB"/>
    <w:rsid w:val="001E4684"/>
    <w:rsid w:val="001E4C30"/>
    <w:rsid w:val="001E4C4E"/>
    <w:rsid w:val="001E4CCA"/>
    <w:rsid w:val="001E4CDE"/>
    <w:rsid w:val="001E5263"/>
    <w:rsid w:val="001E52A2"/>
    <w:rsid w:val="001E57D1"/>
    <w:rsid w:val="001E589B"/>
    <w:rsid w:val="001E5AEB"/>
    <w:rsid w:val="001E5F6F"/>
    <w:rsid w:val="001E5FE4"/>
    <w:rsid w:val="001E6159"/>
    <w:rsid w:val="001E6187"/>
    <w:rsid w:val="001E62BB"/>
    <w:rsid w:val="001E6302"/>
    <w:rsid w:val="001E66BB"/>
    <w:rsid w:val="001E68B7"/>
    <w:rsid w:val="001E7074"/>
    <w:rsid w:val="001E7198"/>
    <w:rsid w:val="001E71BB"/>
    <w:rsid w:val="001E73C9"/>
    <w:rsid w:val="001E77E2"/>
    <w:rsid w:val="001E77ED"/>
    <w:rsid w:val="001E77F7"/>
    <w:rsid w:val="001E7A2F"/>
    <w:rsid w:val="001E7C79"/>
    <w:rsid w:val="001E7DCB"/>
    <w:rsid w:val="001E7F5F"/>
    <w:rsid w:val="001E7FAF"/>
    <w:rsid w:val="001F0B07"/>
    <w:rsid w:val="001F0EAA"/>
    <w:rsid w:val="001F11CE"/>
    <w:rsid w:val="001F14AC"/>
    <w:rsid w:val="001F15EF"/>
    <w:rsid w:val="001F1DF1"/>
    <w:rsid w:val="001F1F13"/>
    <w:rsid w:val="001F1FBD"/>
    <w:rsid w:val="001F2027"/>
    <w:rsid w:val="001F2614"/>
    <w:rsid w:val="001F265E"/>
    <w:rsid w:val="001F2A32"/>
    <w:rsid w:val="001F2D76"/>
    <w:rsid w:val="001F2E84"/>
    <w:rsid w:val="001F30C1"/>
    <w:rsid w:val="001F3411"/>
    <w:rsid w:val="001F3493"/>
    <w:rsid w:val="001F34E1"/>
    <w:rsid w:val="001F35E0"/>
    <w:rsid w:val="001F3CA6"/>
    <w:rsid w:val="001F3FD7"/>
    <w:rsid w:val="001F408F"/>
    <w:rsid w:val="001F4287"/>
    <w:rsid w:val="001F475A"/>
    <w:rsid w:val="001F4950"/>
    <w:rsid w:val="001F4C73"/>
    <w:rsid w:val="001F4DBA"/>
    <w:rsid w:val="001F4EB7"/>
    <w:rsid w:val="001F4F9F"/>
    <w:rsid w:val="001F53DC"/>
    <w:rsid w:val="001F5407"/>
    <w:rsid w:val="001F56CE"/>
    <w:rsid w:val="001F56FE"/>
    <w:rsid w:val="001F5716"/>
    <w:rsid w:val="001F5CDE"/>
    <w:rsid w:val="001F7750"/>
    <w:rsid w:val="001F7775"/>
    <w:rsid w:val="001F7EEA"/>
    <w:rsid w:val="00200430"/>
    <w:rsid w:val="0020058F"/>
    <w:rsid w:val="002005B8"/>
    <w:rsid w:val="00200907"/>
    <w:rsid w:val="00200DAD"/>
    <w:rsid w:val="002010E3"/>
    <w:rsid w:val="00201B13"/>
    <w:rsid w:val="0020206E"/>
    <w:rsid w:val="00202273"/>
    <w:rsid w:val="00202531"/>
    <w:rsid w:val="00202C4A"/>
    <w:rsid w:val="00203121"/>
    <w:rsid w:val="00203961"/>
    <w:rsid w:val="00203AEC"/>
    <w:rsid w:val="00203CF3"/>
    <w:rsid w:val="0020412B"/>
    <w:rsid w:val="0020415E"/>
    <w:rsid w:val="00204295"/>
    <w:rsid w:val="002043C1"/>
    <w:rsid w:val="00204450"/>
    <w:rsid w:val="00204C0F"/>
    <w:rsid w:val="00204C8C"/>
    <w:rsid w:val="00204FF4"/>
    <w:rsid w:val="002052AC"/>
    <w:rsid w:val="00205A74"/>
    <w:rsid w:val="00205F64"/>
    <w:rsid w:val="0020623F"/>
    <w:rsid w:val="00206491"/>
    <w:rsid w:val="002069E2"/>
    <w:rsid w:val="00207048"/>
    <w:rsid w:val="00207163"/>
    <w:rsid w:val="002103C0"/>
    <w:rsid w:val="0021056E"/>
    <w:rsid w:val="0021075D"/>
    <w:rsid w:val="002109DC"/>
    <w:rsid w:val="00210D43"/>
    <w:rsid w:val="0021165A"/>
    <w:rsid w:val="00211775"/>
    <w:rsid w:val="002117B1"/>
    <w:rsid w:val="00211829"/>
    <w:rsid w:val="00211BC9"/>
    <w:rsid w:val="00211F12"/>
    <w:rsid w:val="00212CBA"/>
    <w:rsid w:val="00212F3F"/>
    <w:rsid w:val="00212F74"/>
    <w:rsid w:val="002130FF"/>
    <w:rsid w:val="002132E9"/>
    <w:rsid w:val="0021392C"/>
    <w:rsid w:val="002139A2"/>
    <w:rsid w:val="00213A68"/>
    <w:rsid w:val="00214008"/>
    <w:rsid w:val="0021413B"/>
    <w:rsid w:val="002142AC"/>
    <w:rsid w:val="002149F4"/>
    <w:rsid w:val="00214E48"/>
    <w:rsid w:val="00215114"/>
    <w:rsid w:val="00215607"/>
    <w:rsid w:val="00215D9E"/>
    <w:rsid w:val="00215DF2"/>
    <w:rsid w:val="0021620C"/>
    <w:rsid w:val="00216227"/>
    <w:rsid w:val="002163F4"/>
    <w:rsid w:val="0021642F"/>
    <w:rsid w:val="00216A30"/>
    <w:rsid w:val="00216B00"/>
    <w:rsid w:val="00216DA4"/>
    <w:rsid w:val="00216E78"/>
    <w:rsid w:val="00217275"/>
    <w:rsid w:val="00217603"/>
    <w:rsid w:val="0021797C"/>
    <w:rsid w:val="002179A7"/>
    <w:rsid w:val="00217AEE"/>
    <w:rsid w:val="00220258"/>
    <w:rsid w:val="002202EF"/>
    <w:rsid w:val="002204F8"/>
    <w:rsid w:val="00220702"/>
    <w:rsid w:val="0022078F"/>
    <w:rsid w:val="00220AA0"/>
    <w:rsid w:val="00220DC4"/>
    <w:rsid w:val="002211DD"/>
    <w:rsid w:val="0022151B"/>
    <w:rsid w:val="00221630"/>
    <w:rsid w:val="00221BE3"/>
    <w:rsid w:val="00222011"/>
    <w:rsid w:val="00222409"/>
    <w:rsid w:val="00222760"/>
    <w:rsid w:val="00222902"/>
    <w:rsid w:val="00222BD2"/>
    <w:rsid w:val="00223797"/>
    <w:rsid w:val="00223C29"/>
    <w:rsid w:val="002242D1"/>
    <w:rsid w:val="0022465A"/>
    <w:rsid w:val="00224FD8"/>
    <w:rsid w:val="002252A3"/>
    <w:rsid w:val="002257F3"/>
    <w:rsid w:val="00225A4B"/>
    <w:rsid w:val="00225AFB"/>
    <w:rsid w:val="00225B7A"/>
    <w:rsid w:val="002265D9"/>
    <w:rsid w:val="00226642"/>
    <w:rsid w:val="00226A4F"/>
    <w:rsid w:val="00226B93"/>
    <w:rsid w:val="00226B94"/>
    <w:rsid w:val="00226BA1"/>
    <w:rsid w:val="002275D5"/>
    <w:rsid w:val="0022763E"/>
    <w:rsid w:val="0022784F"/>
    <w:rsid w:val="00227BCD"/>
    <w:rsid w:val="00227DFA"/>
    <w:rsid w:val="0023061C"/>
    <w:rsid w:val="00230CAC"/>
    <w:rsid w:val="00230DF9"/>
    <w:rsid w:val="002315EA"/>
    <w:rsid w:val="00231AEE"/>
    <w:rsid w:val="00232109"/>
    <w:rsid w:val="0023269F"/>
    <w:rsid w:val="00233955"/>
    <w:rsid w:val="00233972"/>
    <w:rsid w:val="002340D3"/>
    <w:rsid w:val="00234506"/>
    <w:rsid w:val="002345DA"/>
    <w:rsid w:val="00234F7C"/>
    <w:rsid w:val="00234F9A"/>
    <w:rsid w:val="0023510F"/>
    <w:rsid w:val="00235684"/>
    <w:rsid w:val="0023578C"/>
    <w:rsid w:val="00235C22"/>
    <w:rsid w:val="00236281"/>
    <w:rsid w:val="0023699A"/>
    <w:rsid w:val="00236DDA"/>
    <w:rsid w:val="00236F4B"/>
    <w:rsid w:val="002370FA"/>
    <w:rsid w:val="002374F1"/>
    <w:rsid w:val="002374FD"/>
    <w:rsid w:val="002375BD"/>
    <w:rsid w:val="002375D0"/>
    <w:rsid w:val="00237B47"/>
    <w:rsid w:val="00237DF4"/>
    <w:rsid w:val="0024049C"/>
    <w:rsid w:val="0024083F"/>
    <w:rsid w:val="00240A24"/>
    <w:rsid w:val="00240D04"/>
    <w:rsid w:val="00241480"/>
    <w:rsid w:val="002415BF"/>
    <w:rsid w:val="002415C3"/>
    <w:rsid w:val="00242149"/>
    <w:rsid w:val="00242615"/>
    <w:rsid w:val="00242B0D"/>
    <w:rsid w:val="00243195"/>
    <w:rsid w:val="002435F8"/>
    <w:rsid w:val="00243A40"/>
    <w:rsid w:val="00244015"/>
    <w:rsid w:val="00244230"/>
    <w:rsid w:val="00244B5E"/>
    <w:rsid w:val="00244B94"/>
    <w:rsid w:val="002451D6"/>
    <w:rsid w:val="002459B5"/>
    <w:rsid w:val="00245AA8"/>
    <w:rsid w:val="00245B23"/>
    <w:rsid w:val="00245F36"/>
    <w:rsid w:val="0024608E"/>
    <w:rsid w:val="00246336"/>
    <w:rsid w:val="002467C6"/>
    <w:rsid w:val="0024692A"/>
    <w:rsid w:val="00247367"/>
    <w:rsid w:val="00247669"/>
    <w:rsid w:val="002500FB"/>
    <w:rsid w:val="00250335"/>
    <w:rsid w:val="002503F3"/>
    <w:rsid w:val="00251362"/>
    <w:rsid w:val="0025181D"/>
    <w:rsid w:val="00251D8F"/>
    <w:rsid w:val="00251FF4"/>
    <w:rsid w:val="002521B8"/>
    <w:rsid w:val="00252255"/>
    <w:rsid w:val="002524F4"/>
    <w:rsid w:val="002525D4"/>
    <w:rsid w:val="0025275B"/>
    <w:rsid w:val="00252A8F"/>
    <w:rsid w:val="00252BBA"/>
    <w:rsid w:val="00252E1F"/>
    <w:rsid w:val="00253123"/>
    <w:rsid w:val="002536DF"/>
    <w:rsid w:val="00253BC6"/>
    <w:rsid w:val="00254203"/>
    <w:rsid w:val="00254337"/>
    <w:rsid w:val="00254396"/>
    <w:rsid w:val="002547C3"/>
    <w:rsid w:val="00255675"/>
    <w:rsid w:val="00255695"/>
    <w:rsid w:val="00255E4E"/>
    <w:rsid w:val="00256162"/>
    <w:rsid w:val="002565E6"/>
    <w:rsid w:val="00256A7B"/>
    <w:rsid w:val="00256CB0"/>
    <w:rsid w:val="00256D07"/>
    <w:rsid w:val="00257162"/>
    <w:rsid w:val="0025752B"/>
    <w:rsid w:val="00257635"/>
    <w:rsid w:val="002576DA"/>
    <w:rsid w:val="0025791F"/>
    <w:rsid w:val="00257BB3"/>
    <w:rsid w:val="00257E3C"/>
    <w:rsid w:val="00257F78"/>
    <w:rsid w:val="002602B3"/>
    <w:rsid w:val="0026039E"/>
    <w:rsid w:val="0026086B"/>
    <w:rsid w:val="002609EC"/>
    <w:rsid w:val="00260EE1"/>
    <w:rsid w:val="00260F65"/>
    <w:rsid w:val="0026148D"/>
    <w:rsid w:val="002617DC"/>
    <w:rsid w:val="00261B5A"/>
    <w:rsid w:val="00262062"/>
    <w:rsid w:val="00262B8F"/>
    <w:rsid w:val="002637DB"/>
    <w:rsid w:val="00263F12"/>
    <w:rsid w:val="00263F6B"/>
    <w:rsid w:val="00263FED"/>
    <w:rsid w:val="00264001"/>
    <w:rsid w:val="0026454D"/>
    <w:rsid w:val="0026471D"/>
    <w:rsid w:val="002647A0"/>
    <w:rsid w:val="00264E03"/>
    <w:rsid w:val="002652FB"/>
    <w:rsid w:val="00265479"/>
    <w:rsid w:val="00265C9E"/>
    <w:rsid w:val="00265CE9"/>
    <w:rsid w:val="00266021"/>
    <w:rsid w:val="00266354"/>
    <w:rsid w:val="00266448"/>
    <w:rsid w:val="002666B0"/>
    <w:rsid w:val="00266780"/>
    <w:rsid w:val="002668D8"/>
    <w:rsid w:val="00266B54"/>
    <w:rsid w:val="00266FAC"/>
    <w:rsid w:val="00267A18"/>
    <w:rsid w:val="00267CEA"/>
    <w:rsid w:val="00270325"/>
    <w:rsid w:val="0027036B"/>
    <w:rsid w:val="00270B80"/>
    <w:rsid w:val="002717BF"/>
    <w:rsid w:val="0027188A"/>
    <w:rsid w:val="00271C2F"/>
    <w:rsid w:val="00271E2F"/>
    <w:rsid w:val="002731CD"/>
    <w:rsid w:val="00273462"/>
    <w:rsid w:val="002734BA"/>
    <w:rsid w:val="0027372A"/>
    <w:rsid w:val="0027373E"/>
    <w:rsid w:val="00273900"/>
    <w:rsid w:val="0027395B"/>
    <w:rsid w:val="00273C0F"/>
    <w:rsid w:val="00273C6B"/>
    <w:rsid w:val="002741AB"/>
    <w:rsid w:val="00274ABF"/>
    <w:rsid w:val="00274B40"/>
    <w:rsid w:val="00274FBC"/>
    <w:rsid w:val="002752F0"/>
    <w:rsid w:val="002755D4"/>
    <w:rsid w:val="0027567C"/>
    <w:rsid w:val="00275854"/>
    <w:rsid w:val="00275C8A"/>
    <w:rsid w:val="00276151"/>
    <w:rsid w:val="002762AA"/>
    <w:rsid w:val="002767D1"/>
    <w:rsid w:val="002768BE"/>
    <w:rsid w:val="00276A98"/>
    <w:rsid w:val="00276AF1"/>
    <w:rsid w:val="00276F1C"/>
    <w:rsid w:val="002770A0"/>
    <w:rsid w:val="002771E7"/>
    <w:rsid w:val="002777C6"/>
    <w:rsid w:val="00277AA7"/>
    <w:rsid w:val="00277B2C"/>
    <w:rsid w:val="00277B2D"/>
    <w:rsid w:val="00277C02"/>
    <w:rsid w:val="0028009B"/>
    <w:rsid w:val="00280347"/>
    <w:rsid w:val="002806F2"/>
    <w:rsid w:val="00280C00"/>
    <w:rsid w:val="00280CF5"/>
    <w:rsid w:val="00281075"/>
    <w:rsid w:val="00281527"/>
    <w:rsid w:val="00281897"/>
    <w:rsid w:val="002819CE"/>
    <w:rsid w:val="00282193"/>
    <w:rsid w:val="0028288F"/>
    <w:rsid w:val="0028289F"/>
    <w:rsid w:val="00282A56"/>
    <w:rsid w:val="00282A8F"/>
    <w:rsid w:val="00282ECA"/>
    <w:rsid w:val="00283269"/>
    <w:rsid w:val="00283B41"/>
    <w:rsid w:val="00283C4A"/>
    <w:rsid w:val="00283DB4"/>
    <w:rsid w:val="00283F70"/>
    <w:rsid w:val="00284482"/>
    <w:rsid w:val="00284B1A"/>
    <w:rsid w:val="00284B50"/>
    <w:rsid w:val="00284D15"/>
    <w:rsid w:val="00284FD0"/>
    <w:rsid w:val="00285033"/>
    <w:rsid w:val="00285673"/>
    <w:rsid w:val="00285CC5"/>
    <w:rsid w:val="00285E3F"/>
    <w:rsid w:val="00285F28"/>
    <w:rsid w:val="00286398"/>
    <w:rsid w:val="002871EA"/>
    <w:rsid w:val="002875D5"/>
    <w:rsid w:val="00287878"/>
    <w:rsid w:val="002879E3"/>
    <w:rsid w:val="00287ACA"/>
    <w:rsid w:val="002900B7"/>
    <w:rsid w:val="002903FB"/>
    <w:rsid w:val="00290591"/>
    <w:rsid w:val="0029094C"/>
    <w:rsid w:val="00290A0B"/>
    <w:rsid w:val="00290A3B"/>
    <w:rsid w:val="00290D99"/>
    <w:rsid w:val="00291007"/>
    <w:rsid w:val="00291493"/>
    <w:rsid w:val="002915D6"/>
    <w:rsid w:val="00291600"/>
    <w:rsid w:val="0029179D"/>
    <w:rsid w:val="00291B40"/>
    <w:rsid w:val="00291EB1"/>
    <w:rsid w:val="00291EEA"/>
    <w:rsid w:val="00291F99"/>
    <w:rsid w:val="0029257D"/>
    <w:rsid w:val="00292B45"/>
    <w:rsid w:val="00293997"/>
    <w:rsid w:val="002939C2"/>
    <w:rsid w:val="0029436A"/>
    <w:rsid w:val="0029447C"/>
    <w:rsid w:val="002944B7"/>
    <w:rsid w:val="002946A5"/>
    <w:rsid w:val="00294E45"/>
    <w:rsid w:val="002950B8"/>
    <w:rsid w:val="0029516B"/>
    <w:rsid w:val="002953B9"/>
    <w:rsid w:val="002954C6"/>
    <w:rsid w:val="00295671"/>
    <w:rsid w:val="00295C0A"/>
    <w:rsid w:val="00295C7A"/>
    <w:rsid w:val="00295F02"/>
    <w:rsid w:val="00295F93"/>
    <w:rsid w:val="002961B5"/>
    <w:rsid w:val="002962DC"/>
    <w:rsid w:val="0029631D"/>
    <w:rsid w:val="00296483"/>
    <w:rsid w:val="002966DE"/>
    <w:rsid w:val="0029676A"/>
    <w:rsid w:val="00296785"/>
    <w:rsid w:val="00297592"/>
    <w:rsid w:val="002979EA"/>
    <w:rsid w:val="00297A26"/>
    <w:rsid w:val="00297BF4"/>
    <w:rsid w:val="002A05A5"/>
    <w:rsid w:val="002A060B"/>
    <w:rsid w:val="002A0613"/>
    <w:rsid w:val="002A07DF"/>
    <w:rsid w:val="002A099C"/>
    <w:rsid w:val="002A0A5A"/>
    <w:rsid w:val="002A0E4D"/>
    <w:rsid w:val="002A104B"/>
    <w:rsid w:val="002A1240"/>
    <w:rsid w:val="002A1335"/>
    <w:rsid w:val="002A14CB"/>
    <w:rsid w:val="002A1509"/>
    <w:rsid w:val="002A2274"/>
    <w:rsid w:val="002A2451"/>
    <w:rsid w:val="002A25AE"/>
    <w:rsid w:val="002A2822"/>
    <w:rsid w:val="002A284C"/>
    <w:rsid w:val="002A288A"/>
    <w:rsid w:val="002A294B"/>
    <w:rsid w:val="002A2E41"/>
    <w:rsid w:val="002A3023"/>
    <w:rsid w:val="002A3184"/>
    <w:rsid w:val="002A3599"/>
    <w:rsid w:val="002A37A4"/>
    <w:rsid w:val="002A3979"/>
    <w:rsid w:val="002A3C42"/>
    <w:rsid w:val="002A3D33"/>
    <w:rsid w:val="002A4341"/>
    <w:rsid w:val="002A44F7"/>
    <w:rsid w:val="002A4788"/>
    <w:rsid w:val="002A494D"/>
    <w:rsid w:val="002A4BCD"/>
    <w:rsid w:val="002A4F76"/>
    <w:rsid w:val="002A5071"/>
    <w:rsid w:val="002A5114"/>
    <w:rsid w:val="002A5242"/>
    <w:rsid w:val="002A57C2"/>
    <w:rsid w:val="002A5CEF"/>
    <w:rsid w:val="002A5D75"/>
    <w:rsid w:val="002A5DBB"/>
    <w:rsid w:val="002A668E"/>
    <w:rsid w:val="002A6AE7"/>
    <w:rsid w:val="002A6EA6"/>
    <w:rsid w:val="002A6FF0"/>
    <w:rsid w:val="002A71E0"/>
    <w:rsid w:val="002A7E45"/>
    <w:rsid w:val="002A7F5B"/>
    <w:rsid w:val="002B0704"/>
    <w:rsid w:val="002B10FE"/>
    <w:rsid w:val="002B111F"/>
    <w:rsid w:val="002B1348"/>
    <w:rsid w:val="002B1975"/>
    <w:rsid w:val="002B19B9"/>
    <w:rsid w:val="002B1B1A"/>
    <w:rsid w:val="002B2327"/>
    <w:rsid w:val="002B24D3"/>
    <w:rsid w:val="002B2728"/>
    <w:rsid w:val="002B2998"/>
    <w:rsid w:val="002B2F84"/>
    <w:rsid w:val="002B310F"/>
    <w:rsid w:val="002B3398"/>
    <w:rsid w:val="002B4099"/>
    <w:rsid w:val="002B424D"/>
    <w:rsid w:val="002B4943"/>
    <w:rsid w:val="002B49AD"/>
    <w:rsid w:val="002B4A3F"/>
    <w:rsid w:val="002B50CF"/>
    <w:rsid w:val="002B603F"/>
    <w:rsid w:val="002B69BD"/>
    <w:rsid w:val="002B7212"/>
    <w:rsid w:val="002B7228"/>
    <w:rsid w:val="002B769F"/>
    <w:rsid w:val="002B7977"/>
    <w:rsid w:val="002B7A3E"/>
    <w:rsid w:val="002B7B7A"/>
    <w:rsid w:val="002B7EF7"/>
    <w:rsid w:val="002B7F99"/>
    <w:rsid w:val="002C0C34"/>
    <w:rsid w:val="002C0C88"/>
    <w:rsid w:val="002C0FAA"/>
    <w:rsid w:val="002C177C"/>
    <w:rsid w:val="002C18B6"/>
    <w:rsid w:val="002C1FA2"/>
    <w:rsid w:val="002C2135"/>
    <w:rsid w:val="002C218E"/>
    <w:rsid w:val="002C2846"/>
    <w:rsid w:val="002C2A48"/>
    <w:rsid w:val="002C3ADC"/>
    <w:rsid w:val="002C40AD"/>
    <w:rsid w:val="002C4503"/>
    <w:rsid w:val="002C4D5C"/>
    <w:rsid w:val="002C53C3"/>
    <w:rsid w:val="002C53EE"/>
    <w:rsid w:val="002C554F"/>
    <w:rsid w:val="002C598F"/>
    <w:rsid w:val="002C5EF2"/>
    <w:rsid w:val="002C5FEB"/>
    <w:rsid w:val="002C6DC4"/>
    <w:rsid w:val="002C773A"/>
    <w:rsid w:val="002C79CA"/>
    <w:rsid w:val="002C7EBA"/>
    <w:rsid w:val="002D05E5"/>
    <w:rsid w:val="002D0672"/>
    <w:rsid w:val="002D0A98"/>
    <w:rsid w:val="002D0AA9"/>
    <w:rsid w:val="002D0CEB"/>
    <w:rsid w:val="002D0D4C"/>
    <w:rsid w:val="002D1466"/>
    <w:rsid w:val="002D1578"/>
    <w:rsid w:val="002D204C"/>
    <w:rsid w:val="002D21BC"/>
    <w:rsid w:val="002D232B"/>
    <w:rsid w:val="002D2430"/>
    <w:rsid w:val="002D24F7"/>
    <w:rsid w:val="002D2799"/>
    <w:rsid w:val="002D295D"/>
    <w:rsid w:val="002D2CD7"/>
    <w:rsid w:val="002D2D70"/>
    <w:rsid w:val="002D336E"/>
    <w:rsid w:val="002D365E"/>
    <w:rsid w:val="002D3666"/>
    <w:rsid w:val="002D3F06"/>
    <w:rsid w:val="002D4881"/>
    <w:rsid w:val="002D4AB1"/>
    <w:rsid w:val="002D4C35"/>
    <w:rsid w:val="002D4DDC"/>
    <w:rsid w:val="002D4F75"/>
    <w:rsid w:val="002D5CE7"/>
    <w:rsid w:val="002D5FB0"/>
    <w:rsid w:val="002D6493"/>
    <w:rsid w:val="002D6902"/>
    <w:rsid w:val="002D6BCF"/>
    <w:rsid w:val="002D6FBC"/>
    <w:rsid w:val="002D705B"/>
    <w:rsid w:val="002D724E"/>
    <w:rsid w:val="002D7752"/>
    <w:rsid w:val="002D7AB6"/>
    <w:rsid w:val="002D7E57"/>
    <w:rsid w:val="002E0246"/>
    <w:rsid w:val="002E06D0"/>
    <w:rsid w:val="002E06FE"/>
    <w:rsid w:val="002E08FD"/>
    <w:rsid w:val="002E11C9"/>
    <w:rsid w:val="002E18A8"/>
    <w:rsid w:val="002E1B7B"/>
    <w:rsid w:val="002E23CA"/>
    <w:rsid w:val="002E274E"/>
    <w:rsid w:val="002E2751"/>
    <w:rsid w:val="002E29A6"/>
    <w:rsid w:val="002E2C86"/>
    <w:rsid w:val="002E35F2"/>
    <w:rsid w:val="002E36D1"/>
    <w:rsid w:val="002E39ED"/>
    <w:rsid w:val="002E3AF5"/>
    <w:rsid w:val="002E3C27"/>
    <w:rsid w:val="002E403A"/>
    <w:rsid w:val="002E4195"/>
    <w:rsid w:val="002E47E0"/>
    <w:rsid w:val="002E4997"/>
    <w:rsid w:val="002E49F1"/>
    <w:rsid w:val="002E4D50"/>
    <w:rsid w:val="002E5C63"/>
    <w:rsid w:val="002E5F93"/>
    <w:rsid w:val="002E6067"/>
    <w:rsid w:val="002E6442"/>
    <w:rsid w:val="002E6CEB"/>
    <w:rsid w:val="002E6ECC"/>
    <w:rsid w:val="002E6ED7"/>
    <w:rsid w:val="002E6EF4"/>
    <w:rsid w:val="002E717E"/>
    <w:rsid w:val="002E7760"/>
    <w:rsid w:val="002E788B"/>
    <w:rsid w:val="002E7C4B"/>
    <w:rsid w:val="002E7DF0"/>
    <w:rsid w:val="002E7F3A"/>
    <w:rsid w:val="002F0022"/>
    <w:rsid w:val="002F0177"/>
    <w:rsid w:val="002F05EF"/>
    <w:rsid w:val="002F068C"/>
    <w:rsid w:val="002F08F2"/>
    <w:rsid w:val="002F0EF1"/>
    <w:rsid w:val="002F11D6"/>
    <w:rsid w:val="002F1206"/>
    <w:rsid w:val="002F128A"/>
    <w:rsid w:val="002F1763"/>
    <w:rsid w:val="002F1855"/>
    <w:rsid w:val="002F1C69"/>
    <w:rsid w:val="002F1EC4"/>
    <w:rsid w:val="002F2B0B"/>
    <w:rsid w:val="002F396B"/>
    <w:rsid w:val="002F3C93"/>
    <w:rsid w:val="002F3E48"/>
    <w:rsid w:val="002F41FE"/>
    <w:rsid w:val="002F426A"/>
    <w:rsid w:val="002F48FC"/>
    <w:rsid w:val="002F4EDB"/>
    <w:rsid w:val="002F5361"/>
    <w:rsid w:val="002F6054"/>
    <w:rsid w:val="002F6096"/>
    <w:rsid w:val="002F65F4"/>
    <w:rsid w:val="002F6644"/>
    <w:rsid w:val="002F6879"/>
    <w:rsid w:val="002F6EA9"/>
    <w:rsid w:val="002F703D"/>
    <w:rsid w:val="002F779D"/>
    <w:rsid w:val="002F7845"/>
    <w:rsid w:val="002F78B7"/>
    <w:rsid w:val="002F7DCD"/>
    <w:rsid w:val="003003C8"/>
    <w:rsid w:val="0030041F"/>
    <w:rsid w:val="00300475"/>
    <w:rsid w:val="003010DA"/>
    <w:rsid w:val="0030139C"/>
    <w:rsid w:val="00301D0E"/>
    <w:rsid w:val="003027A4"/>
    <w:rsid w:val="0030285B"/>
    <w:rsid w:val="00302FCF"/>
    <w:rsid w:val="00303170"/>
    <w:rsid w:val="003033BA"/>
    <w:rsid w:val="00303442"/>
    <w:rsid w:val="0030365E"/>
    <w:rsid w:val="00303953"/>
    <w:rsid w:val="00303EB2"/>
    <w:rsid w:val="00304A0D"/>
    <w:rsid w:val="00304AC7"/>
    <w:rsid w:val="00304C45"/>
    <w:rsid w:val="003055C4"/>
    <w:rsid w:val="0030567B"/>
    <w:rsid w:val="003058C3"/>
    <w:rsid w:val="0030593E"/>
    <w:rsid w:val="00305B2F"/>
    <w:rsid w:val="00305E4F"/>
    <w:rsid w:val="00305E81"/>
    <w:rsid w:val="00305F24"/>
    <w:rsid w:val="00306185"/>
    <w:rsid w:val="00306D83"/>
    <w:rsid w:val="0030745E"/>
    <w:rsid w:val="00307517"/>
    <w:rsid w:val="0030790D"/>
    <w:rsid w:val="00307948"/>
    <w:rsid w:val="00307DA2"/>
    <w:rsid w:val="00310331"/>
    <w:rsid w:val="0031034B"/>
    <w:rsid w:val="00310827"/>
    <w:rsid w:val="00310E13"/>
    <w:rsid w:val="0031191C"/>
    <w:rsid w:val="00311D96"/>
    <w:rsid w:val="003124D7"/>
    <w:rsid w:val="003126F6"/>
    <w:rsid w:val="00312C79"/>
    <w:rsid w:val="00312DFB"/>
    <w:rsid w:val="003130A5"/>
    <w:rsid w:val="00313271"/>
    <w:rsid w:val="00313FCA"/>
    <w:rsid w:val="00314295"/>
    <w:rsid w:val="00314731"/>
    <w:rsid w:val="00314FFD"/>
    <w:rsid w:val="003153F4"/>
    <w:rsid w:val="00315713"/>
    <w:rsid w:val="00316720"/>
    <w:rsid w:val="00316838"/>
    <w:rsid w:val="0031686C"/>
    <w:rsid w:val="00316C49"/>
    <w:rsid w:val="00316CBC"/>
    <w:rsid w:val="00316F83"/>
    <w:rsid w:val="00316FE0"/>
    <w:rsid w:val="00317AF2"/>
    <w:rsid w:val="00317F6A"/>
    <w:rsid w:val="00317F86"/>
    <w:rsid w:val="003203F6"/>
    <w:rsid w:val="003204D2"/>
    <w:rsid w:val="00320C5A"/>
    <w:rsid w:val="0032138E"/>
    <w:rsid w:val="0032157E"/>
    <w:rsid w:val="003215D6"/>
    <w:rsid w:val="00321D79"/>
    <w:rsid w:val="00322128"/>
    <w:rsid w:val="003223BA"/>
    <w:rsid w:val="0032273C"/>
    <w:rsid w:val="0032320A"/>
    <w:rsid w:val="00323D7D"/>
    <w:rsid w:val="00324CF0"/>
    <w:rsid w:val="00324F27"/>
    <w:rsid w:val="0032531E"/>
    <w:rsid w:val="00325B99"/>
    <w:rsid w:val="00325DCB"/>
    <w:rsid w:val="00325EB9"/>
    <w:rsid w:val="0032605E"/>
    <w:rsid w:val="003262D1"/>
    <w:rsid w:val="00326307"/>
    <w:rsid w:val="003263CC"/>
    <w:rsid w:val="00326AC5"/>
    <w:rsid w:val="00326CE3"/>
    <w:rsid w:val="00326D39"/>
    <w:rsid w:val="00326FE1"/>
    <w:rsid w:val="0032719C"/>
    <w:rsid w:val="003275D1"/>
    <w:rsid w:val="00327661"/>
    <w:rsid w:val="003277F9"/>
    <w:rsid w:val="003279C7"/>
    <w:rsid w:val="00327B86"/>
    <w:rsid w:val="00330178"/>
    <w:rsid w:val="003302CB"/>
    <w:rsid w:val="0033030B"/>
    <w:rsid w:val="00330381"/>
    <w:rsid w:val="003303E4"/>
    <w:rsid w:val="00330419"/>
    <w:rsid w:val="003306E3"/>
    <w:rsid w:val="003308E8"/>
    <w:rsid w:val="0033095F"/>
    <w:rsid w:val="00330A14"/>
    <w:rsid w:val="00330B16"/>
    <w:rsid w:val="00330B2A"/>
    <w:rsid w:val="00330D6E"/>
    <w:rsid w:val="00331155"/>
    <w:rsid w:val="00331415"/>
    <w:rsid w:val="00331843"/>
    <w:rsid w:val="00331AE4"/>
    <w:rsid w:val="00331E17"/>
    <w:rsid w:val="0033235A"/>
    <w:rsid w:val="003324EE"/>
    <w:rsid w:val="00332D09"/>
    <w:rsid w:val="00332EA1"/>
    <w:rsid w:val="00333063"/>
    <w:rsid w:val="0033308B"/>
    <w:rsid w:val="003336DF"/>
    <w:rsid w:val="0033376B"/>
    <w:rsid w:val="0033379C"/>
    <w:rsid w:val="00333B3C"/>
    <w:rsid w:val="00333C55"/>
    <w:rsid w:val="00334223"/>
    <w:rsid w:val="00334258"/>
    <w:rsid w:val="003343F6"/>
    <w:rsid w:val="00334481"/>
    <w:rsid w:val="00334613"/>
    <w:rsid w:val="003346E5"/>
    <w:rsid w:val="00334891"/>
    <w:rsid w:val="00334FEC"/>
    <w:rsid w:val="00335405"/>
    <w:rsid w:val="003355EB"/>
    <w:rsid w:val="00335749"/>
    <w:rsid w:val="00335ED8"/>
    <w:rsid w:val="003362C1"/>
    <w:rsid w:val="003371A1"/>
    <w:rsid w:val="00337894"/>
    <w:rsid w:val="00337ACE"/>
    <w:rsid w:val="00340125"/>
    <w:rsid w:val="003407E1"/>
    <w:rsid w:val="003408E3"/>
    <w:rsid w:val="00340A65"/>
    <w:rsid w:val="00341090"/>
    <w:rsid w:val="003414EF"/>
    <w:rsid w:val="00341519"/>
    <w:rsid w:val="00341E79"/>
    <w:rsid w:val="00341F98"/>
    <w:rsid w:val="003421E9"/>
    <w:rsid w:val="003422EA"/>
    <w:rsid w:val="003426AE"/>
    <w:rsid w:val="00342923"/>
    <w:rsid w:val="0034294B"/>
    <w:rsid w:val="00342F7E"/>
    <w:rsid w:val="00343480"/>
    <w:rsid w:val="003435B4"/>
    <w:rsid w:val="00343B2F"/>
    <w:rsid w:val="003449F4"/>
    <w:rsid w:val="00344A33"/>
    <w:rsid w:val="00345E4C"/>
    <w:rsid w:val="00345E89"/>
    <w:rsid w:val="0034696B"/>
    <w:rsid w:val="00346CBF"/>
    <w:rsid w:val="00346D4D"/>
    <w:rsid w:val="00346DCE"/>
    <w:rsid w:val="003470DA"/>
    <w:rsid w:val="00347760"/>
    <w:rsid w:val="0034781A"/>
    <w:rsid w:val="00347B73"/>
    <w:rsid w:val="00347D5B"/>
    <w:rsid w:val="00347D96"/>
    <w:rsid w:val="00347E62"/>
    <w:rsid w:val="0035092D"/>
    <w:rsid w:val="00350B99"/>
    <w:rsid w:val="00350CF2"/>
    <w:rsid w:val="00350E1F"/>
    <w:rsid w:val="00350FFC"/>
    <w:rsid w:val="003510B1"/>
    <w:rsid w:val="003510DC"/>
    <w:rsid w:val="0035153A"/>
    <w:rsid w:val="00351688"/>
    <w:rsid w:val="00352046"/>
    <w:rsid w:val="00352086"/>
    <w:rsid w:val="0035212B"/>
    <w:rsid w:val="003522A1"/>
    <w:rsid w:val="0035254B"/>
    <w:rsid w:val="00352573"/>
    <w:rsid w:val="003528C6"/>
    <w:rsid w:val="00352941"/>
    <w:rsid w:val="00352B4D"/>
    <w:rsid w:val="00352BA0"/>
    <w:rsid w:val="00352D08"/>
    <w:rsid w:val="00352D4A"/>
    <w:rsid w:val="00352E17"/>
    <w:rsid w:val="00352F5F"/>
    <w:rsid w:val="00353555"/>
    <w:rsid w:val="00353DD0"/>
    <w:rsid w:val="00353EF7"/>
    <w:rsid w:val="00353FAB"/>
    <w:rsid w:val="00354057"/>
    <w:rsid w:val="00354110"/>
    <w:rsid w:val="003541F6"/>
    <w:rsid w:val="0035427B"/>
    <w:rsid w:val="0035438A"/>
    <w:rsid w:val="003548CF"/>
    <w:rsid w:val="00354B3F"/>
    <w:rsid w:val="00355E78"/>
    <w:rsid w:val="003565D4"/>
    <w:rsid w:val="00357267"/>
    <w:rsid w:val="00357382"/>
    <w:rsid w:val="0035759F"/>
    <w:rsid w:val="0035786A"/>
    <w:rsid w:val="00357908"/>
    <w:rsid w:val="003579E3"/>
    <w:rsid w:val="00357A3A"/>
    <w:rsid w:val="00357FF9"/>
    <w:rsid w:val="00360206"/>
    <w:rsid w:val="003607FB"/>
    <w:rsid w:val="003608E4"/>
    <w:rsid w:val="00360EE1"/>
    <w:rsid w:val="00360FD5"/>
    <w:rsid w:val="003610B0"/>
    <w:rsid w:val="003612AD"/>
    <w:rsid w:val="00361DDF"/>
    <w:rsid w:val="003624D1"/>
    <w:rsid w:val="003630BC"/>
    <w:rsid w:val="00363155"/>
    <w:rsid w:val="00363181"/>
    <w:rsid w:val="0036340D"/>
    <w:rsid w:val="003634A5"/>
    <w:rsid w:val="003635C4"/>
    <w:rsid w:val="00363B48"/>
    <w:rsid w:val="00363CC6"/>
    <w:rsid w:val="0036409A"/>
    <w:rsid w:val="003644C9"/>
    <w:rsid w:val="00364940"/>
    <w:rsid w:val="00365624"/>
    <w:rsid w:val="0036576D"/>
    <w:rsid w:val="0036638E"/>
    <w:rsid w:val="00366868"/>
    <w:rsid w:val="00366E9E"/>
    <w:rsid w:val="00367506"/>
    <w:rsid w:val="00367CE6"/>
    <w:rsid w:val="00370016"/>
    <w:rsid w:val="00370085"/>
    <w:rsid w:val="0037012B"/>
    <w:rsid w:val="003701D7"/>
    <w:rsid w:val="003705FA"/>
    <w:rsid w:val="00370791"/>
    <w:rsid w:val="00370A29"/>
    <w:rsid w:val="00370C98"/>
    <w:rsid w:val="00370E76"/>
    <w:rsid w:val="00370EE1"/>
    <w:rsid w:val="00370FA8"/>
    <w:rsid w:val="0037183F"/>
    <w:rsid w:val="00371890"/>
    <w:rsid w:val="00371906"/>
    <w:rsid w:val="00371C88"/>
    <w:rsid w:val="00371DF5"/>
    <w:rsid w:val="00371E84"/>
    <w:rsid w:val="0037239F"/>
    <w:rsid w:val="00372B2B"/>
    <w:rsid w:val="00372DD3"/>
    <w:rsid w:val="00373225"/>
    <w:rsid w:val="00373C90"/>
    <w:rsid w:val="00373E28"/>
    <w:rsid w:val="00373E30"/>
    <w:rsid w:val="00373F26"/>
    <w:rsid w:val="003740DF"/>
    <w:rsid w:val="003744A7"/>
    <w:rsid w:val="003745EC"/>
    <w:rsid w:val="00374817"/>
    <w:rsid w:val="00374A71"/>
    <w:rsid w:val="00374CC5"/>
    <w:rsid w:val="00374DF5"/>
    <w:rsid w:val="003750D6"/>
    <w:rsid w:val="00375114"/>
    <w:rsid w:val="003751EF"/>
    <w:rsid w:val="003752C5"/>
    <w:rsid w:val="00376235"/>
    <w:rsid w:val="003763D0"/>
    <w:rsid w:val="003764D7"/>
    <w:rsid w:val="0037663C"/>
    <w:rsid w:val="00376834"/>
    <w:rsid w:val="003773A3"/>
    <w:rsid w:val="003774A0"/>
    <w:rsid w:val="0037794D"/>
    <w:rsid w:val="00377DEC"/>
    <w:rsid w:val="00380576"/>
    <w:rsid w:val="00380A6A"/>
    <w:rsid w:val="003812DA"/>
    <w:rsid w:val="003813A8"/>
    <w:rsid w:val="00381446"/>
    <w:rsid w:val="003817DC"/>
    <w:rsid w:val="00381A1C"/>
    <w:rsid w:val="00381DA0"/>
    <w:rsid w:val="00381F06"/>
    <w:rsid w:val="00381FB6"/>
    <w:rsid w:val="00382828"/>
    <w:rsid w:val="003836D3"/>
    <w:rsid w:val="00383998"/>
    <w:rsid w:val="00383A52"/>
    <w:rsid w:val="0038412B"/>
    <w:rsid w:val="003844FE"/>
    <w:rsid w:val="003845D1"/>
    <w:rsid w:val="00384C56"/>
    <w:rsid w:val="00384D8A"/>
    <w:rsid w:val="00384E06"/>
    <w:rsid w:val="00385127"/>
    <w:rsid w:val="00385B15"/>
    <w:rsid w:val="00385BF8"/>
    <w:rsid w:val="00385BFE"/>
    <w:rsid w:val="00386466"/>
    <w:rsid w:val="003865DE"/>
    <w:rsid w:val="003866BB"/>
    <w:rsid w:val="003867E7"/>
    <w:rsid w:val="00386937"/>
    <w:rsid w:val="00386AA2"/>
    <w:rsid w:val="00386E67"/>
    <w:rsid w:val="0038726B"/>
    <w:rsid w:val="00387518"/>
    <w:rsid w:val="00387621"/>
    <w:rsid w:val="003878F0"/>
    <w:rsid w:val="00387D0D"/>
    <w:rsid w:val="00387D16"/>
    <w:rsid w:val="00387D61"/>
    <w:rsid w:val="00387F07"/>
    <w:rsid w:val="00387F27"/>
    <w:rsid w:val="0039028B"/>
    <w:rsid w:val="003907A1"/>
    <w:rsid w:val="003909E2"/>
    <w:rsid w:val="00390A94"/>
    <w:rsid w:val="00390B6E"/>
    <w:rsid w:val="00390F03"/>
    <w:rsid w:val="0039123C"/>
    <w:rsid w:val="00391652"/>
    <w:rsid w:val="00391D22"/>
    <w:rsid w:val="003922A8"/>
    <w:rsid w:val="00392568"/>
    <w:rsid w:val="00392869"/>
    <w:rsid w:val="00392FBC"/>
    <w:rsid w:val="0039349F"/>
    <w:rsid w:val="00393E89"/>
    <w:rsid w:val="00393EBF"/>
    <w:rsid w:val="003943CA"/>
    <w:rsid w:val="0039475F"/>
    <w:rsid w:val="003947B9"/>
    <w:rsid w:val="00394CAB"/>
    <w:rsid w:val="0039507F"/>
    <w:rsid w:val="0039533E"/>
    <w:rsid w:val="0039573C"/>
    <w:rsid w:val="00395DF5"/>
    <w:rsid w:val="003961B2"/>
    <w:rsid w:val="0039638D"/>
    <w:rsid w:val="00396548"/>
    <w:rsid w:val="003967B1"/>
    <w:rsid w:val="003968D2"/>
    <w:rsid w:val="00396C91"/>
    <w:rsid w:val="003974EC"/>
    <w:rsid w:val="003979A0"/>
    <w:rsid w:val="00397CE6"/>
    <w:rsid w:val="00397F07"/>
    <w:rsid w:val="003A06EA"/>
    <w:rsid w:val="003A0940"/>
    <w:rsid w:val="003A0EF4"/>
    <w:rsid w:val="003A1001"/>
    <w:rsid w:val="003A1260"/>
    <w:rsid w:val="003A1527"/>
    <w:rsid w:val="003A1629"/>
    <w:rsid w:val="003A173F"/>
    <w:rsid w:val="003A1E6F"/>
    <w:rsid w:val="003A220E"/>
    <w:rsid w:val="003A2610"/>
    <w:rsid w:val="003A261D"/>
    <w:rsid w:val="003A2739"/>
    <w:rsid w:val="003A27C1"/>
    <w:rsid w:val="003A27DD"/>
    <w:rsid w:val="003A295F"/>
    <w:rsid w:val="003A2B4D"/>
    <w:rsid w:val="003A2F79"/>
    <w:rsid w:val="003A34D9"/>
    <w:rsid w:val="003A388F"/>
    <w:rsid w:val="003A41DD"/>
    <w:rsid w:val="003A496E"/>
    <w:rsid w:val="003A500F"/>
    <w:rsid w:val="003A50B2"/>
    <w:rsid w:val="003A51BE"/>
    <w:rsid w:val="003A5298"/>
    <w:rsid w:val="003A5A1C"/>
    <w:rsid w:val="003A5B33"/>
    <w:rsid w:val="003A6B59"/>
    <w:rsid w:val="003A6C94"/>
    <w:rsid w:val="003A6CDC"/>
    <w:rsid w:val="003A6EAB"/>
    <w:rsid w:val="003A7033"/>
    <w:rsid w:val="003A78A8"/>
    <w:rsid w:val="003A7A0C"/>
    <w:rsid w:val="003A7C74"/>
    <w:rsid w:val="003A7C7D"/>
    <w:rsid w:val="003A7F1B"/>
    <w:rsid w:val="003B0B14"/>
    <w:rsid w:val="003B0ED0"/>
    <w:rsid w:val="003B18A7"/>
    <w:rsid w:val="003B18AE"/>
    <w:rsid w:val="003B233E"/>
    <w:rsid w:val="003B23BB"/>
    <w:rsid w:val="003B2EFB"/>
    <w:rsid w:val="003B31B4"/>
    <w:rsid w:val="003B353B"/>
    <w:rsid w:val="003B381E"/>
    <w:rsid w:val="003B3949"/>
    <w:rsid w:val="003B3C16"/>
    <w:rsid w:val="003B3CA7"/>
    <w:rsid w:val="003B415C"/>
    <w:rsid w:val="003B47FE"/>
    <w:rsid w:val="003B4B91"/>
    <w:rsid w:val="003B4C35"/>
    <w:rsid w:val="003B521B"/>
    <w:rsid w:val="003B5316"/>
    <w:rsid w:val="003B538F"/>
    <w:rsid w:val="003B5673"/>
    <w:rsid w:val="003B5B1A"/>
    <w:rsid w:val="003B5CED"/>
    <w:rsid w:val="003B5DB6"/>
    <w:rsid w:val="003B6287"/>
    <w:rsid w:val="003B62C9"/>
    <w:rsid w:val="003B6801"/>
    <w:rsid w:val="003B6C0B"/>
    <w:rsid w:val="003B6C78"/>
    <w:rsid w:val="003B6CC8"/>
    <w:rsid w:val="003B6D98"/>
    <w:rsid w:val="003B6E57"/>
    <w:rsid w:val="003B6F61"/>
    <w:rsid w:val="003B700D"/>
    <w:rsid w:val="003B70F9"/>
    <w:rsid w:val="003B7504"/>
    <w:rsid w:val="003B774C"/>
    <w:rsid w:val="003C0C7E"/>
    <w:rsid w:val="003C0EF2"/>
    <w:rsid w:val="003C1422"/>
    <w:rsid w:val="003C15EF"/>
    <w:rsid w:val="003C169B"/>
    <w:rsid w:val="003C16D4"/>
    <w:rsid w:val="003C1CC9"/>
    <w:rsid w:val="003C28A0"/>
    <w:rsid w:val="003C2ABA"/>
    <w:rsid w:val="003C2C03"/>
    <w:rsid w:val="003C2F9B"/>
    <w:rsid w:val="003C2FE5"/>
    <w:rsid w:val="003C3539"/>
    <w:rsid w:val="003C3624"/>
    <w:rsid w:val="003C370D"/>
    <w:rsid w:val="003C3779"/>
    <w:rsid w:val="003C382F"/>
    <w:rsid w:val="003C3940"/>
    <w:rsid w:val="003C42B8"/>
    <w:rsid w:val="003C42E9"/>
    <w:rsid w:val="003C43A0"/>
    <w:rsid w:val="003C4747"/>
    <w:rsid w:val="003C4B20"/>
    <w:rsid w:val="003C4B24"/>
    <w:rsid w:val="003C4F5B"/>
    <w:rsid w:val="003C5187"/>
    <w:rsid w:val="003C576C"/>
    <w:rsid w:val="003C5FDE"/>
    <w:rsid w:val="003C601A"/>
    <w:rsid w:val="003C60D5"/>
    <w:rsid w:val="003C616B"/>
    <w:rsid w:val="003C6476"/>
    <w:rsid w:val="003C69C6"/>
    <w:rsid w:val="003C6B4F"/>
    <w:rsid w:val="003C7176"/>
    <w:rsid w:val="003C749B"/>
    <w:rsid w:val="003C7559"/>
    <w:rsid w:val="003C76ED"/>
    <w:rsid w:val="003C7B06"/>
    <w:rsid w:val="003C7C4E"/>
    <w:rsid w:val="003C7DDA"/>
    <w:rsid w:val="003C7E70"/>
    <w:rsid w:val="003D013B"/>
    <w:rsid w:val="003D01D6"/>
    <w:rsid w:val="003D0400"/>
    <w:rsid w:val="003D0500"/>
    <w:rsid w:val="003D05D7"/>
    <w:rsid w:val="003D0929"/>
    <w:rsid w:val="003D09DF"/>
    <w:rsid w:val="003D0A02"/>
    <w:rsid w:val="003D0C11"/>
    <w:rsid w:val="003D0FA7"/>
    <w:rsid w:val="003D12E8"/>
    <w:rsid w:val="003D17A1"/>
    <w:rsid w:val="003D1CD6"/>
    <w:rsid w:val="003D1EDE"/>
    <w:rsid w:val="003D1FA1"/>
    <w:rsid w:val="003D225F"/>
    <w:rsid w:val="003D26E6"/>
    <w:rsid w:val="003D2EC1"/>
    <w:rsid w:val="003D30ED"/>
    <w:rsid w:val="003D3196"/>
    <w:rsid w:val="003D327E"/>
    <w:rsid w:val="003D3567"/>
    <w:rsid w:val="003D3DFD"/>
    <w:rsid w:val="003D4038"/>
    <w:rsid w:val="003D4254"/>
    <w:rsid w:val="003D451E"/>
    <w:rsid w:val="003D4729"/>
    <w:rsid w:val="003D4E92"/>
    <w:rsid w:val="003D62B1"/>
    <w:rsid w:val="003D6C44"/>
    <w:rsid w:val="003D6FAE"/>
    <w:rsid w:val="003D70CC"/>
    <w:rsid w:val="003D729C"/>
    <w:rsid w:val="003D7604"/>
    <w:rsid w:val="003D798F"/>
    <w:rsid w:val="003D7C31"/>
    <w:rsid w:val="003D7DD6"/>
    <w:rsid w:val="003D7FDF"/>
    <w:rsid w:val="003E0229"/>
    <w:rsid w:val="003E0328"/>
    <w:rsid w:val="003E041A"/>
    <w:rsid w:val="003E056B"/>
    <w:rsid w:val="003E0C42"/>
    <w:rsid w:val="003E0E14"/>
    <w:rsid w:val="003E138C"/>
    <w:rsid w:val="003E17B9"/>
    <w:rsid w:val="003E1B58"/>
    <w:rsid w:val="003E1BDC"/>
    <w:rsid w:val="003E20B9"/>
    <w:rsid w:val="003E23B1"/>
    <w:rsid w:val="003E242C"/>
    <w:rsid w:val="003E2942"/>
    <w:rsid w:val="003E2D0F"/>
    <w:rsid w:val="003E312A"/>
    <w:rsid w:val="003E326E"/>
    <w:rsid w:val="003E3507"/>
    <w:rsid w:val="003E37CF"/>
    <w:rsid w:val="003E37F8"/>
    <w:rsid w:val="003E3898"/>
    <w:rsid w:val="003E3978"/>
    <w:rsid w:val="003E3AFB"/>
    <w:rsid w:val="003E4061"/>
    <w:rsid w:val="003E444F"/>
    <w:rsid w:val="003E4491"/>
    <w:rsid w:val="003E46F2"/>
    <w:rsid w:val="003E4884"/>
    <w:rsid w:val="003E50D2"/>
    <w:rsid w:val="003E5417"/>
    <w:rsid w:val="003E5515"/>
    <w:rsid w:val="003E5A38"/>
    <w:rsid w:val="003E5AAF"/>
    <w:rsid w:val="003E600D"/>
    <w:rsid w:val="003E60AA"/>
    <w:rsid w:val="003E636F"/>
    <w:rsid w:val="003E63D9"/>
    <w:rsid w:val="003E64DF"/>
    <w:rsid w:val="003E6A5D"/>
    <w:rsid w:val="003E6C2B"/>
    <w:rsid w:val="003E71E1"/>
    <w:rsid w:val="003E71E2"/>
    <w:rsid w:val="003E737E"/>
    <w:rsid w:val="003E7CDC"/>
    <w:rsid w:val="003F0301"/>
    <w:rsid w:val="003F0459"/>
    <w:rsid w:val="003F0915"/>
    <w:rsid w:val="003F0AE5"/>
    <w:rsid w:val="003F0CB7"/>
    <w:rsid w:val="003F0F7F"/>
    <w:rsid w:val="003F1148"/>
    <w:rsid w:val="003F171C"/>
    <w:rsid w:val="003F193A"/>
    <w:rsid w:val="003F19AA"/>
    <w:rsid w:val="003F19B0"/>
    <w:rsid w:val="003F1FA1"/>
    <w:rsid w:val="003F205F"/>
    <w:rsid w:val="003F26A4"/>
    <w:rsid w:val="003F287D"/>
    <w:rsid w:val="003F2968"/>
    <w:rsid w:val="003F2C78"/>
    <w:rsid w:val="003F3B0A"/>
    <w:rsid w:val="003F4207"/>
    <w:rsid w:val="003F45B5"/>
    <w:rsid w:val="003F479A"/>
    <w:rsid w:val="003F4841"/>
    <w:rsid w:val="003F4DA0"/>
    <w:rsid w:val="003F50F7"/>
    <w:rsid w:val="003F51FE"/>
    <w:rsid w:val="003F55ED"/>
    <w:rsid w:val="003F560F"/>
    <w:rsid w:val="003F582B"/>
    <w:rsid w:val="003F58D9"/>
    <w:rsid w:val="003F5C46"/>
    <w:rsid w:val="003F60BF"/>
    <w:rsid w:val="003F614C"/>
    <w:rsid w:val="003F61AA"/>
    <w:rsid w:val="003F61B6"/>
    <w:rsid w:val="003F677C"/>
    <w:rsid w:val="003F67F4"/>
    <w:rsid w:val="003F6AC0"/>
    <w:rsid w:val="003F6CCF"/>
    <w:rsid w:val="003F6EA0"/>
    <w:rsid w:val="003F6F84"/>
    <w:rsid w:val="003F6FCA"/>
    <w:rsid w:val="003F73B5"/>
    <w:rsid w:val="003F746A"/>
    <w:rsid w:val="003F7594"/>
    <w:rsid w:val="003F7B73"/>
    <w:rsid w:val="003F7CBB"/>
    <w:rsid w:val="003F7CEF"/>
    <w:rsid w:val="003F7D34"/>
    <w:rsid w:val="003F7E4B"/>
    <w:rsid w:val="00400D1E"/>
    <w:rsid w:val="004014E6"/>
    <w:rsid w:val="00401635"/>
    <w:rsid w:val="00401686"/>
    <w:rsid w:val="00401A10"/>
    <w:rsid w:val="0040264C"/>
    <w:rsid w:val="004027B7"/>
    <w:rsid w:val="00402A44"/>
    <w:rsid w:val="004037A8"/>
    <w:rsid w:val="004055DC"/>
    <w:rsid w:val="00406680"/>
    <w:rsid w:val="004067A6"/>
    <w:rsid w:val="004068A3"/>
    <w:rsid w:val="00406C50"/>
    <w:rsid w:val="0040741A"/>
    <w:rsid w:val="0040752A"/>
    <w:rsid w:val="00407886"/>
    <w:rsid w:val="004078A8"/>
    <w:rsid w:val="0040795D"/>
    <w:rsid w:val="004079B3"/>
    <w:rsid w:val="00407AB4"/>
    <w:rsid w:val="00407AD3"/>
    <w:rsid w:val="00407B62"/>
    <w:rsid w:val="00407C6D"/>
    <w:rsid w:val="00407C80"/>
    <w:rsid w:val="00407DF2"/>
    <w:rsid w:val="00410106"/>
    <w:rsid w:val="00410A14"/>
    <w:rsid w:val="004114BC"/>
    <w:rsid w:val="00411888"/>
    <w:rsid w:val="00411CAE"/>
    <w:rsid w:val="00411ECB"/>
    <w:rsid w:val="00412241"/>
    <w:rsid w:val="00412854"/>
    <w:rsid w:val="00412969"/>
    <w:rsid w:val="00412BAF"/>
    <w:rsid w:val="00412C8E"/>
    <w:rsid w:val="00413203"/>
    <w:rsid w:val="00413258"/>
    <w:rsid w:val="00413477"/>
    <w:rsid w:val="004138AC"/>
    <w:rsid w:val="00413A77"/>
    <w:rsid w:val="00413F42"/>
    <w:rsid w:val="004141E1"/>
    <w:rsid w:val="004142AC"/>
    <w:rsid w:val="0041463B"/>
    <w:rsid w:val="004148EA"/>
    <w:rsid w:val="00414903"/>
    <w:rsid w:val="00414E83"/>
    <w:rsid w:val="00414F18"/>
    <w:rsid w:val="0041518D"/>
    <w:rsid w:val="004151A8"/>
    <w:rsid w:val="004153AE"/>
    <w:rsid w:val="004154D7"/>
    <w:rsid w:val="00415B6D"/>
    <w:rsid w:val="00415E56"/>
    <w:rsid w:val="004161DE"/>
    <w:rsid w:val="0041635C"/>
    <w:rsid w:val="004166D9"/>
    <w:rsid w:val="00416885"/>
    <w:rsid w:val="004175CF"/>
    <w:rsid w:val="00417996"/>
    <w:rsid w:val="00417B95"/>
    <w:rsid w:val="00417EFF"/>
    <w:rsid w:val="00417FB1"/>
    <w:rsid w:val="004203FC"/>
    <w:rsid w:val="00420653"/>
    <w:rsid w:val="00420D64"/>
    <w:rsid w:val="00420E6F"/>
    <w:rsid w:val="004213F1"/>
    <w:rsid w:val="00421775"/>
    <w:rsid w:val="004217BA"/>
    <w:rsid w:val="004219DB"/>
    <w:rsid w:val="00421E2D"/>
    <w:rsid w:val="0042221D"/>
    <w:rsid w:val="0042228F"/>
    <w:rsid w:val="0042235C"/>
    <w:rsid w:val="004223EE"/>
    <w:rsid w:val="00422860"/>
    <w:rsid w:val="00422D16"/>
    <w:rsid w:val="00422D6D"/>
    <w:rsid w:val="00422F64"/>
    <w:rsid w:val="00423623"/>
    <w:rsid w:val="00424128"/>
    <w:rsid w:val="004241FD"/>
    <w:rsid w:val="0042423B"/>
    <w:rsid w:val="0042483D"/>
    <w:rsid w:val="00424DD3"/>
    <w:rsid w:val="00424E6B"/>
    <w:rsid w:val="00425016"/>
    <w:rsid w:val="00425017"/>
    <w:rsid w:val="00425189"/>
    <w:rsid w:val="0042567D"/>
    <w:rsid w:val="004256C1"/>
    <w:rsid w:val="0042589C"/>
    <w:rsid w:val="00425DB0"/>
    <w:rsid w:val="00426135"/>
    <w:rsid w:val="00426350"/>
    <w:rsid w:val="0042668B"/>
    <w:rsid w:val="004266A6"/>
    <w:rsid w:val="004267D7"/>
    <w:rsid w:val="004269C5"/>
    <w:rsid w:val="00426ADB"/>
    <w:rsid w:val="00427C3A"/>
    <w:rsid w:val="00427ECA"/>
    <w:rsid w:val="004303D5"/>
    <w:rsid w:val="00430742"/>
    <w:rsid w:val="004307FD"/>
    <w:rsid w:val="00430835"/>
    <w:rsid w:val="00430837"/>
    <w:rsid w:val="004312D1"/>
    <w:rsid w:val="004317B3"/>
    <w:rsid w:val="004319B9"/>
    <w:rsid w:val="00431F74"/>
    <w:rsid w:val="00432267"/>
    <w:rsid w:val="004323E2"/>
    <w:rsid w:val="00432593"/>
    <w:rsid w:val="00432A51"/>
    <w:rsid w:val="00432E69"/>
    <w:rsid w:val="00432FFC"/>
    <w:rsid w:val="0043345B"/>
    <w:rsid w:val="004336AE"/>
    <w:rsid w:val="00433B2F"/>
    <w:rsid w:val="00433DFB"/>
    <w:rsid w:val="004340F2"/>
    <w:rsid w:val="004344AE"/>
    <w:rsid w:val="00434B3C"/>
    <w:rsid w:val="004354C3"/>
    <w:rsid w:val="00435939"/>
    <w:rsid w:val="00435E6F"/>
    <w:rsid w:val="00435FA2"/>
    <w:rsid w:val="0043620A"/>
    <w:rsid w:val="004363B3"/>
    <w:rsid w:val="004367C2"/>
    <w:rsid w:val="00436843"/>
    <w:rsid w:val="00437422"/>
    <w:rsid w:val="004374ED"/>
    <w:rsid w:val="0043770A"/>
    <w:rsid w:val="00437CC7"/>
    <w:rsid w:val="00440319"/>
    <w:rsid w:val="00440340"/>
    <w:rsid w:val="004403FF"/>
    <w:rsid w:val="00440561"/>
    <w:rsid w:val="004406FD"/>
    <w:rsid w:val="0044078F"/>
    <w:rsid w:val="004416E9"/>
    <w:rsid w:val="00441818"/>
    <w:rsid w:val="00441FC0"/>
    <w:rsid w:val="00442B9C"/>
    <w:rsid w:val="00442E91"/>
    <w:rsid w:val="004439FC"/>
    <w:rsid w:val="00443BF2"/>
    <w:rsid w:val="0044407D"/>
    <w:rsid w:val="00444668"/>
    <w:rsid w:val="004446DC"/>
    <w:rsid w:val="004447FD"/>
    <w:rsid w:val="00444EF5"/>
    <w:rsid w:val="00445244"/>
    <w:rsid w:val="00445358"/>
    <w:rsid w:val="004458D0"/>
    <w:rsid w:val="00445B0C"/>
    <w:rsid w:val="00445EFA"/>
    <w:rsid w:val="00445F9E"/>
    <w:rsid w:val="004460EE"/>
    <w:rsid w:val="0044671C"/>
    <w:rsid w:val="00446842"/>
    <w:rsid w:val="004468BE"/>
    <w:rsid w:val="00446913"/>
    <w:rsid w:val="0044702C"/>
    <w:rsid w:val="00447138"/>
    <w:rsid w:val="0044738A"/>
    <w:rsid w:val="004473D3"/>
    <w:rsid w:val="004474A3"/>
    <w:rsid w:val="00447998"/>
    <w:rsid w:val="004479BF"/>
    <w:rsid w:val="00447DF9"/>
    <w:rsid w:val="004500E4"/>
    <w:rsid w:val="004501A1"/>
    <w:rsid w:val="004503D7"/>
    <w:rsid w:val="004506EC"/>
    <w:rsid w:val="00450826"/>
    <w:rsid w:val="004509CC"/>
    <w:rsid w:val="004514F6"/>
    <w:rsid w:val="00451D0D"/>
    <w:rsid w:val="00451F89"/>
    <w:rsid w:val="00452176"/>
    <w:rsid w:val="00452231"/>
    <w:rsid w:val="0045239F"/>
    <w:rsid w:val="004527BD"/>
    <w:rsid w:val="00452973"/>
    <w:rsid w:val="004529E4"/>
    <w:rsid w:val="00452A5D"/>
    <w:rsid w:val="00452A96"/>
    <w:rsid w:val="00453458"/>
    <w:rsid w:val="00454234"/>
    <w:rsid w:val="004543A9"/>
    <w:rsid w:val="004547B5"/>
    <w:rsid w:val="004551D5"/>
    <w:rsid w:val="004559DD"/>
    <w:rsid w:val="00455A3B"/>
    <w:rsid w:val="00455CA0"/>
    <w:rsid w:val="00455D0C"/>
    <w:rsid w:val="00456359"/>
    <w:rsid w:val="0045703B"/>
    <w:rsid w:val="0045746A"/>
    <w:rsid w:val="004576E8"/>
    <w:rsid w:val="00457FDE"/>
    <w:rsid w:val="004603DB"/>
    <w:rsid w:val="00460AA7"/>
    <w:rsid w:val="00460C13"/>
    <w:rsid w:val="00460E29"/>
    <w:rsid w:val="004626E8"/>
    <w:rsid w:val="00462865"/>
    <w:rsid w:val="0046292A"/>
    <w:rsid w:val="00462A2E"/>
    <w:rsid w:val="00462CBE"/>
    <w:rsid w:val="00462E32"/>
    <w:rsid w:val="00462EA3"/>
    <w:rsid w:val="00463228"/>
    <w:rsid w:val="00463782"/>
    <w:rsid w:val="004639C1"/>
    <w:rsid w:val="00463E75"/>
    <w:rsid w:val="00463E7B"/>
    <w:rsid w:val="0046408F"/>
    <w:rsid w:val="00464653"/>
    <w:rsid w:val="00464727"/>
    <w:rsid w:val="00464AA6"/>
    <w:rsid w:val="00464B40"/>
    <w:rsid w:val="00465266"/>
    <w:rsid w:val="00465784"/>
    <w:rsid w:val="004658BF"/>
    <w:rsid w:val="00466218"/>
    <w:rsid w:val="00466654"/>
    <w:rsid w:val="00466700"/>
    <w:rsid w:val="004667E0"/>
    <w:rsid w:val="004671CB"/>
    <w:rsid w:val="0046760E"/>
    <w:rsid w:val="0046764D"/>
    <w:rsid w:val="004677CB"/>
    <w:rsid w:val="00467AFC"/>
    <w:rsid w:val="00467C6E"/>
    <w:rsid w:val="00470184"/>
    <w:rsid w:val="004703B2"/>
    <w:rsid w:val="004706CB"/>
    <w:rsid w:val="00470A65"/>
    <w:rsid w:val="00470E10"/>
    <w:rsid w:val="00471671"/>
    <w:rsid w:val="00471C45"/>
    <w:rsid w:val="00471F29"/>
    <w:rsid w:val="00472B9F"/>
    <w:rsid w:val="00472C47"/>
    <w:rsid w:val="00472D2E"/>
    <w:rsid w:val="004734F5"/>
    <w:rsid w:val="00473604"/>
    <w:rsid w:val="00473FCE"/>
    <w:rsid w:val="004745A6"/>
    <w:rsid w:val="004745A7"/>
    <w:rsid w:val="00475190"/>
    <w:rsid w:val="00475197"/>
    <w:rsid w:val="0047585B"/>
    <w:rsid w:val="004758C8"/>
    <w:rsid w:val="00475925"/>
    <w:rsid w:val="004762E3"/>
    <w:rsid w:val="0047697B"/>
    <w:rsid w:val="00476FF8"/>
    <w:rsid w:val="0047733F"/>
    <w:rsid w:val="00477A97"/>
    <w:rsid w:val="00477C5D"/>
    <w:rsid w:val="00477DB1"/>
    <w:rsid w:val="00477EB5"/>
    <w:rsid w:val="00480F36"/>
    <w:rsid w:val="00481343"/>
    <w:rsid w:val="004813E4"/>
    <w:rsid w:val="004816F5"/>
    <w:rsid w:val="00481824"/>
    <w:rsid w:val="0048187F"/>
    <w:rsid w:val="00481B73"/>
    <w:rsid w:val="00481BF1"/>
    <w:rsid w:val="00482595"/>
    <w:rsid w:val="00482900"/>
    <w:rsid w:val="00482AF2"/>
    <w:rsid w:val="00482DA8"/>
    <w:rsid w:val="004830D8"/>
    <w:rsid w:val="0048314C"/>
    <w:rsid w:val="00483EC2"/>
    <w:rsid w:val="00483EE1"/>
    <w:rsid w:val="00484006"/>
    <w:rsid w:val="00484244"/>
    <w:rsid w:val="00484553"/>
    <w:rsid w:val="00484B5D"/>
    <w:rsid w:val="00484B81"/>
    <w:rsid w:val="00484E63"/>
    <w:rsid w:val="00484EE8"/>
    <w:rsid w:val="004853FF"/>
    <w:rsid w:val="0048549E"/>
    <w:rsid w:val="00485943"/>
    <w:rsid w:val="00485996"/>
    <w:rsid w:val="00485F72"/>
    <w:rsid w:val="0048618E"/>
    <w:rsid w:val="004861D7"/>
    <w:rsid w:val="00486222"/>
    <w:rsid w:val="0048634C"/>
    <w:rsid w:val="004866DA"/>
    <w:rsid w:val="00486A92"/>
    <w:rsid w:val="00486CD0"/>
    <w:rsid w:val="0048782C"/>
    <w:rsid w:val="00487D24"/>
    <w:rsid w:val="00487D45"/>
    <w:rsid w:val="00487DEC"/>
    <w:rsid w:val="00490411"/>
    <w:rsid w:val="00490627"/>
    <w:rsid w:val="00490661"/>
    <w:rsid w:val="004909C3"/>
    <w:rsid w:val="00490ED4"/>
    <w:rsid w:val="004911B3"/>
    <w:rsid w:val="004911D3"/>
    <w:rsid w:val="00491405"/>
    <w:rsid w:val="00491438"/>
    <w:rsid w:val="004917BF"/>
    <w:rsid w:val="00491A1E"/>
    <w:rsid w:val="00491AC2"/>
    <w:rsid w:val="00491C42"/>
    <w:rsid w:val="00491EE7"/>
    <w:rsid w:val="0049242B"/>
    <w:rsid w:val="004924FC"/>
    <w:rsid w:val="004930C6"/>
    <w:rsid w:val="0049312E"/>
    <w:rsid w:val="00493230"/>
    <w:rsid w:val="00493347"/>
    <w:rsid w:val="004934AB"/>
    <w:rsid w:val="0049394E"/>
    <w:rsid w:val="00493D09"/>
    <w:rsid w:val="00493DFC"/>
    <w:rsid w:val="0049450D"/>
    <w:rsid w:val="004945DD"/>
    <w:rsid w:val="004945FC"/>
    <w:rsid w:val="00494E3B"/>
    <w:rsid w:val="004952CB"/>
    <w:rsid w:val="004954E9"/>
    <w:rsid w:val="004956E8"/>
    <w:rsid w:val="004957D1"/>
    <w:rsid w:val="00495ABE"/>
    <w:rsid w:val="00495BE9"/>
    <w:rsid w:val="00495E8C"/>
    <w:rsid w:val="00496092"/>
    <w:rsid w:val="00496153"/>
    <w:rsid w:val="00496178"/>
    <w:rsid w:val="004964B1"/>
    <w:rsid w:val="00496BBE"/>
    <w:rsid w:val="00496D17"/>
    <w:rsid w:val="00497620"/>
    <w:rsid w:val="004977A5"/>
    <w:rsid w:val="00497921"/>
    <w:rsid w:val="00497D58"/>
    <w:rsid w:val="00497D7B"/>
    <w:rsid w:val="004A033B"/>
    <w:rsid w:val="004A08DB"/>
    <w:rsid w:val="004A0905"/>
    <w:rsid w:val="004A0922"/>
    <w:rsid w:val="004A196E"/>
    <w:rsid w:val="004A1C3D"/>
    <w:rsid w:val="004A25D0"/>
    <w:rsid w:val="004A2936"/>
    <w:rsid w:val="004A2B4E"/>
    <w:rsid w:val="004A37E8"/>
    <w:rsid w:val="004A38D6"/>
    <w:rsid w:val="004A3B7D"/>
    <w:rsid w:val="004A41A2"/>
    <w:rsid w:val="004A42A5"/>
    <w:rsid w:val="004A47E3"/>
    <w:rsid w:val="004A4A84"/>
    <w:rsid w:val="004A5417"/>
    <w:rsid w:val="004A5C6D"/>
    <w:rsid w:val="004A60EA"/>
    <w:rsid w:val="004A61DD"/>
    <w:rsid w:val="004A6217"/>
    <w:rsid w:val="004A64D8"/>
    <w:rsid w:val="004A67D6"/>
    <w:rsid w:val="004A6B2B"/>
    <w:rsid w:val="004A6BE5"/>
    <w:rsid w:val="004A6CC0"/>
    <w:rsid w:val="004A7549"/>
    <w:rsid w:val="004A7B21"/>
    <w:rsid w:val="004B09D4"/>
    <w:rsid w:val="004B0B57"/>
    <w:rsid w:val="004B0BD3"/>
    <w:rsid w:val="004B0C08"/>
    <w:rsid w:val="004B0F1A"/>
    <w:rsid w:val="004B0F23"/>
    <w:rsid w:val="004B0FCD"/>
    <w:rsid w:val="004B1005"/>
    <w:rsid w:val="004B1139"/>
    <w:rsid w:val="004B12EB"/>
    <w:rsid w:val="004B173E"/>
    <w:rsid w:val="004B19C3"/>
    <w:rsid w:val="004B1F24"/>
    <w:rsid w:val="004B20E7"/>
    <w:rsid w:val="004B2243"/>
    <w:rsid w:val="004B2826"/>
    <w:rsid w:val="004B2AC6"/>
    <w:rsid w:val="004B2E09"/>
    <w:rsid w:val="004B309D"/>
    <w:rsid w:val="004B3239"/>
    <w:rsid w:val="004B330A"/>
    <w:rsid w:val="004B3873"/>
    <w:rsid w:val="004B4934"/>
    <w:rsid w:val="004B52B2"/>
    <w:rsid w:val="004B56A1"/>
    <w:rsid w:val="004B5A24"/>
    <w:rsid w:val="004B5DE5"/>
    <w:rsid w:val="004B6043"/>
    <w:rsid w:val="004B684C"/>
    <w:rsid w:val="004B6D74"/>
    <w:rsid w:val="004B6D7D"/>
    <w:rsid w:val="004B6F16"/>
    <w:rsid w:val="004B7107"/>
    <w:rsid w:val="004B7170"/>
    <w:rsid w:val="004B71A9"/>
    <w:rsid w:val="004B71FC"/>
    <w:rsid w:val="004B76A1"/>
    <w:rsid w:val="004B7C8E"/>
    <w:rsid w:val="004C0049"/>
    <w:rsid w:val="004C0B4E"/>
    <w:rsid w:val="004C0EAF"/>
    <w:rsid w:val="004C204E"/>
    <w:rsid w:val="004C2215"/>
    <w:rsid w:val="004C237A"/>
    <w:rsid w:val="004C24D0"/>
    <w:rsid w:val="004C24F1"/>
    <w:rsid w:val="004C263F"/>
    <w:rsid w:val="004C26AC"/>
    <w:rsid w:val="004C2AA3"/>
    <w:rsid w:val="004C3196"/>
    <w:rsid w:val="004C3480"/>
    <w:rsid w:val="004C393B"/>
    <w:rsid w:val="004C3A0C"/>
    <w:rsid w:val="004C3C96"/>
    <w:rsid w:val="004C3D3C"/>
    <w:rsid w:val="004C3E81"/>
    <w:rsid w:val="004C4207"/>
    <w:rsid w:val="004C4681"/>
    <w:rsid w:val="004C4743"/>
    <w:rsid w:val="004C5189"/>
    <w:rsid w:val="004C5303"/>
    <w:rsid w:val="004C5425"/>
    <w:rsid w:val="004C582E"/>
    <w:rsid w:val="004C5DA3"/>
    <w:rsid w:val="004C6318"/>
    <w:rsid w:val="004C683E"/>
    <w:rsid w:val="004C6B06"/>
    <w:rsid w:val="004C6F17"/>
    <w:rsid w:val="004C7932"/>
    <w:rsid w:val="004C7C16"/>
    <w:rsid w:val="004C7CBA"/>
    <w:rsid w:val="004D0EDC"/>
    <w:rsid w:val="004D1220"/>
    <w:rsid w:val="004D14B3"/>
    <w:rsid w:val="004D1529"/>
    <w:rsid w:val="004D15AB"/>
    <w:rsid w:val="004D16FD"/>
    <w:rsid w:val="004D1CB9"/>
    <w:rsid w:val="004D2253"/>
    <w:rsid w:val="004D247B"/>
    <w:rsid w:val="004D2594"/>
    <w:rsid w:val="004D2EC9"/>
    <w:rsid w:val="004D3422"/>
    <w:rsid w:val="004D3587"/>
    <w:rsid w:val="004D3592"/>
    <w:rsid w:val="004D3B36"/>
    <w:rsid w:val="004D3B9F"/>
    <w:rsid w:val="004D40B2"/>
    <w:rsid w:val="004D4263"/>
    <w:rsid w:val="004D4722"/>
    <w:rsid w:val="004D4D55"/>
    <w:rsid w:val="004D5314"/>
    <w:rsid w:val="004D5514"/>
    <w:rsid w:val="004D5568"/>
    <w:rsid w:val="004D56C3"/>
    <w:rsid w:val="004D598B"/>
    <w:rsid w:val="004D5EF0"/>
    <w:rsid w:val="004D5FE7"/>
    <w:rsid w:val="004D60A2"/>
    <w:rsid w:val="004D6145"/>
    <w:rsid w:val="004D6286"/>
    <w:rsid w:val="004D6A57"/>
    <w:rsid w:val="004D71D2"/>
    <w:rsid w:val="004E0287"/>
    <w:rsid w:val="004E0338"/>
    <w:rsid w:val="004E0922"/>
    <w:rsid w:val="004E0E87"/>
    <w:rsid w:val="004E1518"/>
    <w:rsid w:val="004E19A4"/>
    <w:rsid w:val="004E1D6A"/>
    <w:rsid w:val="004E2034"/>
    <w:rsid w:val="004E2049"/>
    <w:rsid w:val="004E20F9"/>
    <w:rsid w:val="004E22A8"/>
    <w:rsid w:val="004E2C5F"/>
    <w:rsid w:val="004E3388"/>
    <w:rsid w:val="004E37E0"/>
    <w:rsid w:val="004E3808"/>
    <w:rsid w:val="004E3870"/>
    <w:rsid w:val="004E39DD"/>
    <w:rsid w:val="004E3E09"/>
    <w:rsid w:val="004E407E"/>
    <w:rsid w:val="004E407F"/>
    <w:rsid w:val="004E471E"/>
    <w:rsid w:val="004E4FF3"/>
    <w:rsid w:val="004E505B"/>
    <w:rsid w:val="004E528E"/>
    <w:rsid w:val="004E5687"/>
    <w:rsid w:val="004E56A8"/>
    <w:rsid w:val="004E571D"/>
    <w:rsid w:val="004E5E69"/>
    <w:rsid w:val="004E654E"/>
    <w:rsid w:val="004E65A5"/>
    <w:rsid w:val="004E6974"/>
    <w:rsid w:val="004E6A7B"/>
    <w:rsid w:val="004E70A8"/>
    <w:rsid w:val="004E71FD"/>
    <w:rsid w:val="004E77C1"/>
    <w:rsid w:val="004E7C2F"/>
    <w:rsid w:val="004E7F9D"/>
    <w:rsid w:val="004F0174"/>
    <w:rsid w:val="004F0489"/>
    <w:rsid w:val="004F04A6"/>
    <w:rsid w:val="004F090C"/>
    <w:rsid w:val="004F0B27"/>
    <w:rsid w:val="004F0FC3"/>
    <w:rsid w:val="004F1077"/>
    <w:rsid w:val="004F148B"/>
    <w:rsid w:val="004F16D5"/>
    <w:rsid w:val="004F1926"/>
    <w:rsid w:val="004F1D2E"/>
    <w:rsid w:val="004F298C"/>
    <w:rsid w:val="004F2CEC"/>
    <w:rsid w:val="004F2FBE"/>
    <w:rsid w:val="004F30AE"/>
    <w:rsid w:val="004F30AF"/>
    <w:rsid w:val="004F354A"/>
    <w:rsid w:val="004F3B55"/>
    <w:rsid w:val="004F428E"/>
    <w:rsid w:val="004F42CF"/>
    <w:rsid w:val="004F454F"/>
    <w:rsid w:val="004F458E"/>
    <w:rsid w:val="004F4E46"/>
    <w:rsid w:val="004F4E95"/>
    <w:rsid w:val="004F5260"/>
    <w:rsid w:val="004F5E52"/>
    <w:rsid w:val="004F67D7"/>
    <w:rsid w:val="004F68B1"/>
    <w:rsid w:val="004F6B7D"/>
    <w:rsid w:val="004F6C06"/>
    <w:rsid w:val="004F6F7D"/>
    <w:rsid w:val="004F7092"/>
    <w:rsid w:val="004F7C6D"/>
    <w:rsid w:val="004F7F2F"/>
    <w:rsid w:val="005002C4"/>
    <w:rsid w:val="005006D9"/>
    <w:rsid w:val="00500A87"/>
    <w:rsid w:val="00500C8D"/>
    <w:rsid w:val="00500CDC"/>
    <w:rsid w:val="00501012"/>
    <w:rsid w:val="0050120C"/>
    <w:rsid w:val="00501279"/>
    <w:rsid w:val="005015F6"/>
    <w:rsid w:val="00501D9C"/>
    <w:rsid w:val="005029BB"/>
    <w:rsid w:val="005029E6"/>
    <w:rsid w:val="00502E0F"/>
    <w:rsid w:val="00502E26"/>
    <w:rsid w:val="005030C4"/>
    <w:rsid w:val="005031C5"/>
    <w:rsid w:val="005034AB"/>
    <w:rsid w:val="0050375B"/>
    <w:rsid w:val="0050385F"/>
    <w:rsid w:val="0050392B"/>
    <w:rsid w:val="00503D87"/>
    <w:rsid w:val="00503F2B"/>
    <w:rsid w:val="00503F5B"/>
    <w:rsid w:val="005041CD"/>
    <w:rsid w:val="00504385"/>
    <w:rsid w:val="0050497A"/>
    <w:rsid w:val="00504ACA"/>
    <w:rsid w:val="00504DE3"/>
    <w:rsid w:val="00504FDC"/>
    <w:rsid w:val="005052F5"/>
    <w:rsid w:val="00505798"/>
    <w:rsid w:val="00505CAB"/>
    <w:rsid w:val="00505D82"/>
    <w:rsid w:val="00505DB5"/>
    <w:rsid w:val="005072CF"/>
    <w:rsid w:val="00507C80"/>
    <w:rsid w:val="00507E24"/>
    <w:rsid w:val="0051008F"/>
    <w:rsid w:val="005100E1"/>
    <w:rsid w:val="00510368"/>
    <w:rsid w:val="00510393"/>
    <w:rsid w:val="00510BB1"/>
    <w:rsid w:val="0051167B"/>
    <w:rsid w:val="00511699"/>
    <w:rsid w:val="00511910"/>
    <w:rsid w:val="00511920"/>
    <w:rsid w:val="00511B3F"/>
    <w:rsid w:val="00511BB6"/>
    <w:rsid w:val="00511C6E"/>
    <w:rsid w:val="00511F12"/>
    <w:rsid w:val="005120CC"/>
    <w:rsid w:val="005124AF"/>
    <w:rsid w:val="0051285B"/>
    <w:rsid w:val="00512B7B"/>
    <w:rsid w:val="005131D2"/>
    <w:rsid w:val="00513676"/>
    <w:rsid w:val="00513796"/>
    <w:rsid w:val="0051386D"/>
    <w:rsid w:val="00513A7D"/>
    <w:rsid w:val="00513B4D"/>
    <w:rsid w:val="0051433C"/>
    <w:rsid w:val="0051440F"/>
    <w:rsid w:val="00514519"/>
    <w:rsid w:val="00514E38"/>
    <w:rsid w:val="00514E4F"/>
    <w:rsid w:val="00514EA1"/>
    <w:rsid w:val="005153B2"/>
    <w:rsid w:val="0051590A"/>
    <w:rsid w:val="00515B92"/>
    <w:rsid w:val="0051600D"/>
    <w:rsid w:val="005160F2"/>
    <w:rsid w:val="00516351"/>
    <w:rsid w:val="00516691"/>
    <w:rsid w:val="0051686C"/>
    <w:rsid w:val="005169D3"/>
    <w:rsid w:val="00516CF5"/>
    <w:rsid w:val="00516D2C"/>
    <w:rsid w:val="00516D7A"/>
    <w:rsid w:val="005175AE"/>
    <w:rsid w:val="005175CF"/>
    <w:rsid w:val="0051798B"/>
    <w:rsid w:val="005179B7"/>
    <w:rsid w:val="00517B12"/>
    <w:rsid w:val="00517B62"/>
    <w:rsid w:val="00517D36"/>
    <w:rsid w:val="00520229"/>
    <w:rsid w:val="00520E01"/>
    <w:rsid w:val="00521F5A"/>
    <w:rsid w:val="0052202B"/>
    <w:rsid w:val="005222A5"/>
    <w:rsid w:val="005223DD"/>
    <w:rsid w:val="00522E42"/>
    <w:rsid w:val="00522E7F"/>
    <w:rsid w:val="00523AAC"/>
    <w:rsid w:val="00523C56"/>
    <w:rsid w:val="00523F76"/>
    <w:rsid w:val="0052409A"/>
    <w:rsid w:val="005242AD"/>
    <w:rsid w:val="00524860"/>
    <w:rsid w:val="005248BF"/>
    <w:rsid w:val="00524A1D"/>
    <w:rsid w:val="0052526C"/>
    <w:rsid w:val="005252DD"/>
    <w:rsid w:val="005253FE"/>
    <w:rsid w:val="00525606"/>
    <w:rsid w:val="00525821"/>
    <w:rsid w:val="0052593D"/>
    <w:rsid w:val="00525E06"/>
    <w:rsid w:val="00525E37"/>
    <w:rsid w:val="00525F71"/>
    <w:rsid w:val="0052616E"/>
    <w:rsid w:val="005262E7"/>
    <w:rsid w:val="00526454"/>
    <w:rsid w:val="00526731"/>
    <w:rsid w:val="005270B1"/>
    <w:rsid w:val="005270EE"/>
    <w:rsid w:val="00527338"/>
    <w:rsid w:val="0052734E"/>
    <w:rsid w:val="0052784A"/>
    <w:rsid w:val="0052796F"/>
    <w:rsid w:val="00527C7E"/>
    <w:rsid w:val="005301B0"/>
    <w:rsid w:val="0053048E"/>
    <w:rsid w:val="00530A66"/>
    <w:rsid w:val="00530B04"/>
    <w:rsid w:val="0053117C"/>
    <w:rsid w:val="00531458"/>
    <w:rsid w:val="00531823"/>
    <w:rsid w:val="00531853"/>
    <w:rsid w:val="005319FB"/>
    <w:rsid w:val="00531A0A"/>
    <w:rsid w:val="00531B27"/>
    <w:rsid w:val="00531D53"/>
    <w:rsid w:val="00531D7C"/>
    <w:rsid w:val="0053209F"/>
    <w:rsid w:val="00532316"/>
    <w:rsid w:val="00532846"/>
    <w:rsid w:val="00532D25"/>
    <w:rsid w:val="00532DDD"/>
    <w:rsid w:val="00533520"/>
    <w:rsid w:val="00533745"/>
    <w:rsid w:val="00533FAE"/>
    <w:rsid w:val="005343B5"/>
    <w:rsid w:val="005344BF"/>
    <w:rsid w:val="005346DA"/>
    <w:rsid w:val="00534B63"/>
    <w:rsid w:val="00534DEF"/>
    <w:rsid w:val="00534ECC"/>
    <w:rsid w:val="00535322"/>
    <w:rsid w:val="00535517"/>
    <w:rsid w:val="005355C8"/>
    <w:rsid w:val="00535687"/>
    <w:rsid w:val="0053569E"/>
    <w:rsid w:val="005360A5"/>
    <w:rsid w:val="00536382"/>
    <w:rsid w:val="0053655C"/>
    <w:rsid w:val="00536A11"/>
    <w:rsid w:val="00536B5D"/>
    <w:rsid w:val="00536BB1"/>
    <w:rsid w:val="00536CC6"/>
    <w:rsid w:val="0053720D"/>
    <w:rsid w:val="00537864"/>
    <w:rsid w:val="005379C6"/>
    <w:rsid w:val="00537D32"/>
    <w:rsid w:val="0054003E"/>
    <w:rsid w:val="0054017F"/>
    <w:rsid w:val="0054024D"/>
    <w:rsid w:val="0054046B"/>
    <w:rsid w:val="00540555"/>
    <w:rsid w:val="0054097B"/>
    <w:rsid w:val="00540EF5"/>
    <w:rsid w:val="00541440"/>
    <w:rsid w:val="005415B9"/>
    <w:rsid w:val="005415DE"/>
    <w:rsid w:val="005417D5"/>
    <w:rsid w:val="00541BF3"/>
    <w:rsid w:val="00541C88"/>
    <w:rsid w:val="00541CD3"/>
    <w:rsid w:val="00541F7E"/>
    <w:rsid w:val="00541F9F"/>
    <w:rsid w:val="0054271E"/>
    <w:rsid w:val="00542EA8"/>
    <w:rsid w:val="005433AF"/>
    <w:rsid w:val="00543576"/>
    <w:rsid w:val="00543843"/>
    <w:rsid w:val="0054388C"/>
    <w:rsid w:val="0054420B"/>
    <w:rsid w:val="005466A0"/>
    <w:rsid w:val="005466AF"/>
    <w:rsid w:val="00546BC8"/>
    <w:rsid w:val="005476FA"/>
    <w:rsid w:val="0054780E"/>
    <w:rsid w:val="00547B4B"/>
    <w:rsid w:val="00547E20"/>
    <w:rsid w:val="00550F0D"/>
    <w:rsid w:val="00551258"/>
    <w:rsid w:val="005512A5"/>
    <w:rsid w:val="005516FA"/>
    <w:rsid w:val="005518CD"/>
    <w:rsid w:val="00551A44"/>
    <w:rsid w:val="00551C58"/>
    <w:rsid w:val="00551CE0"/>
    <w:rsid w:val="00551DD7"/>
    <w:rsid w:val="00551DDB"/>
    <w:rsid w:val="00551E78"/>
    <w:rsid w:val="00551F25"/>
    <w:rsid w:val="00552138"/>
    <w:rsid w:val="00552A09"/>
    <w:rsid w:val="00552CAF"/>
    <w:rsid w:val="00552D52"/>
    <w:rsid w:val="00552DCF"/>
    <w:rsid w:val="00552EF6"/>
    <w:rsid w:val="00553362"/>
    <w:rsid w:val="0055376C"/>
    <w:rsid w:val="00553BF8"/>
    <w:rsid w:val="00553CC6"/>
    <w:rsid w:val="00553DDF"/>
    <w:rsid w:val="00554045"/>
    <w:rsid w:val="00554113"/>
    <w:rsid w:val="0055412C"/>
    <w:rsid w:val="00554279"/>
    <w:rsid w:val="00554872"/>
    <w:rsid w:val="00554932"/>
    <w:rsid w:val="0055567C"/>
    <w:rsid w:val="0055595E"/>
    <w:rsid w:val="0055598C"/>
    <w:rsid w:val="00555BB2"/>
    <w:rsid w:val="00555EB9"/>
    <w:rsid w:val="0055668C"/>
    <w:rsid w:val="0055699F"/>
    <w:rsid w:val="00556A39"/>
    <w:rsid w:val="00557077"/>
    <w:rsid w:val="005570C3"/>
    <w:rsid w:val="005571E2"/>
    <w:rsid w:val="005578A7"/>
    <w:rsid w:val="00557988"/>
    <w:rsid w:val="00560486"/>
    <w:rsid w:val="00560756"/>
    <w:rsid w:val="00560D1D"/>
    <w:rsid w:val="00561383"/>
    <w:rsid w:val="005613F0"/>
    <w:rsid w:val="0056152D"/>
    <w:rsid w:val="0056177C"/>
    <w:rsid w:val="00561AC9"/>
    <w:rsid w:val="00561E82"/>
    <w:rsid w:val="005620A7"/>
    <w:rsid w:val="005620CE"/>
    <w:rsid w:val="00562C49"/>
    <w:rsid w:val="00562DEF"/>
    <w:rsid w:val="00562FE3"/>
    <w:rsid w:val="00563143"/>
    <w:rsid w:val="0056317C"/>
    <w:rsid w:val="0056321A"/>
    <w:rsid w:val="00563922"/>
    <w:rsid w:val="00563A35"/>
    <w:rsid w:val="00563A85"/>
    <w:rsid w:val="00563FE1"/>
    <w:rsid w:val="00564235"/>
    <w:rsid w:val="00564673"/>
    <w:rsid w:val="00564C19"/>
    <w:rsid w:val="00564DD8"/>
    <w:rsid w:val="00564E60"/>
    <w:rsid w:val="00564FBC"/>
    <w:rsid w:val="0056526A"/>
    <w:rsid w:val="005654A4"/>
    <w:rsid w:val="00565B8D"/>
    <w:rsid w:val="005663CA"/>
    <w:rsid w:val="00566596"/>
    <w:rsid w:val="00566D39"/>
    <w:rsid w:val="00566E5B"/>
    <w:rsid w:val="005676BA"/>
    <w:rsid w:val="005679BF"/>
    <w:rsid w:val="00567B87"/>
    <w:rsid w:val="00570345"/>
    <w:rsid w:val="005704EF"/>
    <w:rsid w:val="00570679"/>
    <w:rsid w:val="00570D5A"/>
    <w:rsid w:val="005710AA"/>
    <w:rsid w:val="0057123B"/>
    <w:rsid w:val="00571B8A"/>
    <w:rsid w:val="00572305"/>
    <w:rsid w:val="00572350"/>
    <w:rsid w:val="00572702"/>
    <w:rsid w:val="00572740"/>
    <w:rsid w:val="00572D68"/>
    <w:rsid w:val="005731F5"/>
    <w:rsid w:val="005732D7"/>
    <w:rsid w:val="0057338D"/>
    <w:rsid w:val="00573823"/>
    <w:rsid w:val="00573F6F"/>
    <w:rsid w:val="005741E9"/>
    <w:rsid w:val="0057436B"/>
    <w:rsid w:val="0057465B"/>
    <w:rsid w:val="005748CF"/>
    <w:rsid w:val="00575578"/>
    <w:rsid w:val="0057562C"/>
    <w:rsid w:val="00575750"/>
    <w:rsid w:val="005758F6"/>
    <w:rsid w:val="00575C5C"/>
    <w:rsid w:val="00575C85"/>
    <w:rsid w:val="00576181"/>
    <w:rsid w:val="00576AB0"/>
    <w:rsid w:val="00576FF9"/>
    <w:rsid w:val="00577509"/>
    <w:rsid w:val="00577DFC"/>
    <w:rsid w:val="00577E96"/>
    <w:rsid w:val="0058006A"/>
    <w:rsid w:val="005803A6"/>
    <w:rsid w:val="00580496"/>
    <w:rsid w:val="00580AC6"/>
    <w:rsid w:val="00580F19"/>
    <w:rsid w:val="00580FE4"/>
    <w:rsid w:val="00581581"/>
    <w:rsid w:val="005819EB"/>
    <w:rsid w:val="00581D00"/>
    <w:rsid w:val="00581F5E"/>
    <w:rsid w:val="00581FDC"/>
    <w:rsid w:val="00582733"/>
    <w:rsid w:val="00582865"/>
    <w:rsid w:val="00582A7B"/>
    <w:rsid w:val="00583773"/>
    <w:rsid w:val="0058377F"/>
    <w:rsid w:val="00583B67"/>
    <w:rsid w:val="00584267"/>
    <w:rsid w:val="00584270"/>
    <w:rsid w:val="005843FA"/>
    <w:rsid w:val="00584738"/>
    <w:rsid w:val="005849C8"/>
    <w:rsid w:val="00585298"/>
    <w:rsid w:val="00585C15"/>
    <w:rsid w:val="00585FFD"/>
    <w:rsid w:val="005860FE"/>
    <w:rsid w:val="00586690"/>
    <w:rsid w:val="00586973"/>
    <w:rsid w:val="005869BF"/>
    <w:rsid w:val="00586A84"/>
    <w:rsid w:val="00586DD3"/>
    <w:rsid w:val="005870F6"/>
    <w:rsid w:val="0058710B"/>
    <w:rsid w:val="0059060B"/>
    <w:rsid w:val="00590A03"/>
    <w:rsid w:val="00590C7F"/>
    <w:rsid w:val="00591036"/>
    <w:rsid w:val="0059155E"/>
    <w:rsid w:val="0059174D"/>
    <w:rsid w:val="00591AEF"/>
    <w:rsid w:val="00591B46"/>
    <w:rsid w:val="00591C88"/>
    <w:rsid w:val="00591C8F"/>
    <w:rsid w:val="005920B0"/>
    <w:rsid w:val="005923B4"/>
    <w:rsid w:val="00593127"/>
    <w:rsid w:val="005932DF"/>
    <w:rsid w:val="005933EC"/>
    <w:rsid w:val="005935A7"/>
    <w:rsid w:val="0059380D"/>
    <w:rsid w:val="00593B49"/>
    <w:rsid w:val="00593E3B"/>
    <w:rsid w:val="005948C2"/>
    <w:rsid w:val="00594960"/>
    <w:rsid w:val="005951BB"/>
    <w:rsid w:val="0059533C"/>
    <w:rsid w:val="005953E0"/>
    <w:rsid w:val="0059542C"/>
    <w:rsid w:val="005956C9"/>
    <w:rsid w:val="00595A8F"/>
    <w:rsid w:val="00595C69"/>
    <w:rsid w:val="00595D0F"/>
    <w:rsid w:val="00595E94"/>
    <w:rsid w:val="0059647A"/>
    <w:rsid w:val="00596700"/>
    <w:rsid w:val="00596827"/>
    <w:rsid w:val="00596FE5"/>
    <w:rsid w:val="005977C2"/>
    <w:rsid w:val="0059791D"/>
    <w:rsid w:val="00597BF2"/>
    <w:rsid w:val="00597C78"/>
    <w:rsid w:val="005A0785"/>
    <w:rsid w:val="005A08B3"/>
    <w:rsid w:val="005A0B00"/>
    <w:rsid w:val="005A14C1"/>
    <w:rsid w:val="005A1873"/>
    <w:rsid w:val="005A1F54"/>
    <w:rsid w:val="005A2300"/>
    <w:rsid w:val="005A2547"/>
    <w:rsid w:val="005A28DD"/>
    <w:rsid w:val="005A2A3D"/>
    <w:rsid w:val="005A2AEC"/>
    <w:rsid w:val="005A2DBA"/>
    <w:rsid w:val="005A2F37"/>
    <w:rsid w:val="005A3020"/>
    <w:rsid w:val="005A33B4"/>
    <w:rsid w:val="005A346E"/>
    <w:rsid w:val="005A37E3"/>
    <w:rsid w:val="005A390A"/>
    <w:rsid w:val="005A3CB2"/>
    <w:rsid w:val="005A4074"/>
    <w:rsid w:val="005A4617"/>
    <w:rsid w:val="005A4672"/>
    <w:rsid w:val="005A512B"/>
    <w:rsid w:val="005A664C"/>
    <w:rsid w:val="005A6B5F"/>
    <w:rsid w:val="005A6FE2"/>
    <w:rsid w:val="005A76A0"/>
    <w:rsid w:val="005A788D"/>
    <w:rsid w:val="005A7C33"/>
    <w:rsid w:val="005A7C53"/>
    <w:rsid w:val="005B0189"/>
    <w:rsid w:val="005B056D"/>
    <w:rsid w:val="005B076A"/>
    <w:rsid w:val="005B089A"/>
    <w:rsid w:val="005B08F2"/>
    <w:rsid w:val="005B09F8"/>
    <w:rsid w:val="005B0F01"/>
    <w:rsid w:val="005B10EA"/>
    <w:rsid w:val="005B127B"/>
    <w:rsid w:val="005B134E"/>
    <w:rsid w:val="005B14A1"/>
    <w:rsid w:val="005B15B4"/>
    <w:rsid w:val="005B15F9"/>
    <w:rsid w:val="005B1681"/>
    <w:rsid w:val="005B1994"/>
    <w:rsid w:val="005B1B36"/>
    <w:rsid w:val="005B1D40"/>
    <w:rsid w:val="005B2039"/>
    <w:rsid w:val="005B2564"/>
    <w:rsid w:val="005B2865"/>
    <w:rsid w:val="005B2A9B"/>
    <w:rsid w:val="005B344F"/>
    <w:rsid w:val="005B3537"/>
    <w:rsid w:val="005B3755"/>
    <w:rsid w:val="005B386D"/>
    <w:rsid w:val="005B38BC"/>
    <w:rsid w:val="005B3B99"/>
    <w:rsid w:val="005B3E01"/>
    <w:rsid w:val="005B3FBA"/>
    <w:rsid w:val="005B47A1"/>
    <w:rsid w:val="005B4A0F"/>
    <w:rsid w:val="005B4A1D"/>
    <w:rsid w:val="005B4FA6"/>
    <w:rsid w:val="005B5135"/>
    <w:rsid w:val="005B561A"/>
    <w:rsid w:val="005B5D67"/>
    <w:rsid w:val="005B5F64"/>
    <w:rsid w:val="005B5FBC"/>
    <w:rsid w:val="005B65EB"/>
    <w:rsid w:val="005B674D"/>
    <w:rsid w:val="005B6A9E"/>
    <w:rsid w:val="005B6B7F"/>
    <w:rsid w:val="005B6C59"/>
    <w:rsid w:val="005B6CD0"/>
    <w:rsid w:val="005B6DD0"/>
    <w:rsid w:val="005B6EEA"/>
    <w:rsid w:val="005B7C37"/>
    <w:rsid w:val="005B7CB5"/>
    <w:rsid w:val="005C027F"/>
    <w:rsid w:val="005C02BA"/>
    <w:rsid w:val="005C056D"/>
    <w:rsid w:val="005C0C42"/>
    <w:rsid w:val="005C0CBE"/>
    <w:rsid w:val="005C0E50"/>
    <w:rsid w:val="005C112D"/>
    <w:rsid w:val="005C1666"/>
    <w:rsid w:val="005C1806"/>
    <w:rsid w:val="005C1855"/>
    <w:rsid w:val="005C1866"/>
    <w:rsid w:val="005C1DA8"/>
    <w:rsid w:val="005C1F12"/>
    <w:rsid w:val="005C1FCF"/>
    <w:rsid w:val="005C20BF"/>
    <w:rsid w:val="005C21AC"/>
    <w:rsid w:val="005C29FF"/>
    <w:rsid w:val="005C2DA9"/>
    <w:rsid w:val="005C3131"/>
    <w:rsid w:val="005C31A1"/>
    <w:rsid w:val="005C3732"/>
    <w:rsid w:val="005C3BDD"/>
    <w:rsid w:val="005C3C7E"/>
    <w:rsid w:val="005C3F41"/>
    <w:rsid w:val="005C486E"/>
    <w:rsid w:val="005C4D75"/>
    <w:rsid w:val="005C4DC8"/>
    <w:rsid w:val="005C4E95"/>
    <w:rsid w:val="005C5481"/>
    <w:rsid w:val="005C5730"/>
    <w:rsid w:val="005C57B9"/>
    <w:rsid w:val="005C59A7"/>
    <w:rsid w:val="005C5B41"/>
    <w:rsid w:val="005C625C"/>
    <w:rsid w:val="005C64E3"/>
    <w:rsid w:val="005C6DA7"/>
    <w:rsid w:val="005C6F3F"/>
    <w:rsid w:val="005C7443"/>
    <w:rsid w:val="005C77C4"/>
    <w:rsid w:val="005C77C7"/>
    <w:rsid w:val="005C7BC8"/>
    <w:rsid w:val="005C7C42"/>
    <w:rsid w:val="005D02B1"/>
    <w:rsid w:val="005D02D2"/>
    <w:rsid w:val="005D058A"/>
    <w:rsid w:val="005D0B24"/>
    <w:rsid w:val="005D0FEA"/>
    <w:rsid w:val="005D12AE"/>
    <w:rsid w:val="005D137A"/>
    <w:rsid w:val="005D155C"/>
    <w:rsid w:val="005D1820"/>
    <w:rsid w:val="005D1885"/>
    <w:rsid w:val="005D1C31"/>
    <w:rsid w:val="005D1C82"/>
    <w:rsid w:val="005D2D8D"/>
    <w:rsid w:val="005D2EC9"/>
    <w:rsid w:val="005D2F14"/>
    <w:rsid w:val="005D3BDF"/>
    <w:rsid w:val="005D439B"/>
    <w:rsid w:val="005D43D7"/>
    <w:rsid w:val="005D440B"/>
    <w:rsid w:val="005D443E"/>
    <w:rsid w:val="005D4969"/>
    <w:rsid w:val="005D4A38"/>
    <w:rsid w:val="005D4AC4"/>
    <w:rsid w:val="005D4BB8"/>
    <w:rsid w:val="005D4D43"/>
    <w:rsid w:val="005D4E71"/>
    <w:rsid w:val="005D4F22"/>
    <w:rsid w:val="005D5114"/>
    <w:rsid w:val="005D5182"/>
    <w:rsid w:val="005D557B"/>
    <w:rsid w:val="005D58DF"/>
    <w:rsid w:val="005D6422"/>
    <w:rsid w:val="005D69FE"/>
    <w:rsid w:val="005D718E"/>
    <w:rsid w:val="005D72AE"/>
    <w:rsid w:val="005D747B"/>
    <w:rsid w:val="005D7802"/>
    <w:rsid w:val="005D7864"/>
    <w:rsid w:val="005D7932"/>
    <w:rsid w:val="005D7CB2"/>
    <w:rsid w:val="005E0140"/>
    <w:rsid w:val="005E087E"/>
    <w:rsid w:val="005E0EF0"/>
    <w:rsid w:val="005E1197"/>
    <w:rsid w:val="005E1327"/>
    <w:rsid w:val="005E13DB"/>
    <w:rsid w:val="005E1634"/>
    <w:rsid w:val="005E1947"/>
    <w:rsid w:val="005E1AE5"/>
    <w:rsid w:val="005E24D4"/>
    <w:rsid w:val="005E2865"/>
    <w:rsid w:val="005E2D01"/>
    <w:rsid w:val="005E2EEA"/>
    <w:rsid w:val="005E30F7"/>
    <w:rsid w:val="005E312C"/>
    <w:rsid w:val="005E331F"/>
    <w:rsid w:val="005E3561"/>
    <w:rsid w:val="005E3708"/>
    <w:rsid w:val="005E388A"/>
    <w:rsid w:val="005E3CCD"/>
    <w:rsid w:val="005E3D49"/>
    <w:rsid w:val="005E3D6B"/>
    <w:rsid w:val="005E4D93"/>
    <w:rsid w:val="005E4DF9"/>
    <w:rsid w:val="005E518F"/>
    <w:rsid w:val="005E529A"/>
    <w:rsid w:val="005E52A5"/>
    <w:rsid w:val="005E5306"/>
    <w:rsid w:val="005E54F5"/>
    <w:rsid w:val="005E5B55"/>
    <w:rsid w:val="005E5C4F"/>
    <w:rsid w:val="005E5D65"/>
    <w:rsid w:val="005E5E4A"/>
    <w:rsid w:val="005E5F3C"/>
    <w:rsid w:val="005E6258"/>
    <w:rsid w:val="005E627C"/>
    <w:rsid w:val="005E6378"/>
    <w:rsid w:val="005E66EC"/>
    <w:rsid w:val="005E68A9"/>
    <w:rsid w:val="005E693D"/>
    <w:rsid w:val="005E6CF3"/>
    <w:rsid w:val="005E6F2D"/>
    <w:rsid w:val="005E6F31"/>
    <w:rsid w:val="005E75BF"/>
    <w:rsid w:val="005E7AF8"/>
    <w:rsid w:val="005E7DCF"/>
    <w:rsid w:val="005F0089"/>
    <w:rsid w:val="005F070D"/>
    <w:rsid w:val="005F078A"/>
    <w:rsid w:val="005F0E71"/>
    <w:rsid w:val="005F10A7"/>
    <w:rsid w:val="005F113D"/>
    <w:rsid w:val="005F1251"/>
    <w:rsid w:val="005F16A9"/>
    <w:rsid w:val="005F18F7"/>
    <w:rsid w:val="005F239C"/>
    <w:rsid w:val="005F253E"/>
    <w:rsid w:val="005F2B0C"/>
    <w:rsid w:val="005F2B5D"/>
    <w:rsid w:val="005F2D38"/>
    <w:rsid w:val="005F2E94"/>
    <w:rsid w:val="005F2FE8"/>
    <w:rsid w:val="005F341B"/>
    <w:rsid w:val="005F3554"/>
    <w:rsid w:val="005F375C"/>
    <w:rsid w:val="005F400A"/>
    <w:rsid w:val="005F48EF"/>
    <w:rsid w:val="005F499E"/>
    <w:rsid w:val="005F4D5D"/>
    <w:rsid w:val="005F57BA"/>
    <w:rsid w:val="005F5E37"/>
    <w:rsid w:val="005F5FC6"/>
    <w:rsid w:val="005F60D2"/>
    <w:rsid w:val="005F61E6"/>
    <w:rsid w:val="005F6375"/>
    <w:rsid w:val="005F6694"/>
    <w:rsid w:val="005F6965"/>
    <w:rsid w:val="005F6BB0"/>
    <w:rsid w:val="005F6C45"/>
    <w:rsid w:val="005F7B89"/>
    <w:rsid w:val="005F7EB4"/>
    <w:rsid w:val="006016A7"/>
    <w:rsid w:val="006017F2"/>
    <w:rsid w:val="00601949"/>
    <w:rsid w:val="00601D88"/>
    <w:rsid w:val="00602148"/>
    <w:rsid w:val="006024DD"/>
    <w:rsid w:val="00603090"/>
    <w:rsid w:val="00603299"/>
    <w:rsid w:val="006035E3"/>
    <w:rsid w:val="0060365B"/>
    <w:rsid w:val="006037AB"/>
    <w:rsid w:val="0060386D"/>
    <w:rsid w:val="00603A99"/>
    <w:rsid w:val="00603F58"/>
    <w:rsid w:val="00603F95"/>
    <w:rsid w:val="0060404F"/>
    <w:rsid w:val="006040BB"/>
    <w:rsid w:val="00604163"/>
    <w:rsid w:val="00604872"/>
    <w:rsid w:val="0060498C"/>
    <w:rsid w:val="00604F77"/>
    <w:rsid w:val="0060589A"/>
    <w:rsid w:val="00605A69"/>
    <w:rsid w:val="00605C80"/>
    <w:rsid w:val="006061CC"/>
    <w:rsid w:val="00606B52"/>
    <w:rsid w:val="00606C54"/>
    <w:rsid w:val="006072CC"/>
    <w:rsid w:val="0060730C"/>
    <w:rsid w:val="006074B0"/>
    <w:rsid w:val="00607BEA"/>
    <w:rsid w:val="00610944"/>
    <w:rsid w:val="00610C04"/>
    <w:rsid w:val="00610EA5"/>
    <w:rsid w:val="006112E6"/>
    <w:rsid w:val="006113D0"/>
    <w:rsid w:val="00611A8A"/>
    <w:rsid w:val="00611AD8"/>
    <w:rsid w:val="0061223D"/>
    <w:rsid w:val="006128A4"/>
    <w:rsid w:val="006129AD"/>
    <w:rsid w:val="00612BCE"/>
    <w:rsid w:val="00612DC6"/>
    <w:rsid w:val="0061348A"/>
    <w:rsid w:val="00613E96"/>
    <w:rsid w:val="00614375"/>
    <w:rsid w:val="00614EBD"/>
    <w:rsid w:val="0061537E"/>
    <w:rsid w:val="0061593C"/>
    <w:rsid w:val="00615B0A"/>
    <w:rsid w:val="006168CF"/>
    <w:rsid w:val="0061693E"/>
    <w:rsid w:val="006169FA"/>
    <w:rsid w:val="00616BDD"/>
    <w:rsid w:val="00616E54"/>
    <w:rsid w:val="00617060"/>
    <w:rsid w:val="006171BF"/>
    <w:rsid w:val="00617586"/>
    <w:rsid w:val="006176D9"/>
    <w:rsid w:val="00617961"/>
    <w:rsid w:val="006179E3"/>
    <w:rsid w:val="00617A8B"/>
    <w:rsid w:val="0062011B"/>
    <w:rsid w:val="006201EC"/>
    <w:rsid w:val="00620390"/>
    <w:rsid w:val="00620394"/>
    <w:rsid w:val="00620B83"/>
    <w:rsid w:val="00620B85"/>
    <w:rsid w:val="00620DFC"/>
    <w:rsid w:val="00620F42"/>
    <w:rsid w:val="00621714"/>
    <w:rsid w:val="00621E22"/>
    <w:rsid w:val="00622014"/>
    <w:rsid w:val="00622E71"/>
    <w:rsid w:val="00623966"/>
    <w:rsid w:val="00623C19"/>
    <w:rsid w:val="00623D7F"/>
    <w:rsid w:val="0062406C"/>
    <w:rsid w:val="00624164"/>
    <w:rsid w:val="006247C2"/>
    <w:rsid w:val="00624921"/>
    <w:rsid w:val="006249ED"/>
    <w:rsid w:val="0062533E"/>
    <w:rsid w:val="006258B4"/>
    <w:rsid w:val="00625FAB"/>
    <w:rsid w:val="00626311"/>
    <w:rsid w:val="00626553"/>
    <w:rsid w:val="00626802"/>
    <w:rsid w:val="00626834"/>
    <w:rsid w:val="00626B3E"/>
    <w:rsid w:val="00626DE0"/>
    <w:rsid w:val="00626E2D"/>
    <w:rsid w:val="00627930"/>
    <w:rsid w:val="00627D03"/>
    <w:rsid w:val="00627D61"/>
    <w:rsid w:val="00627E39"/>
    <w:rsid w:val="00627ED7"/>
    <w:rsid w:val="00630901"/>
    <w:rsid w:val="006309C3"/>
    <w:rsid w:val="00630CB0"/>
    <w:rsid w:val="0063119F"/>
    <w:rsid w:val="006319B3"/>
    <w:rsid w:val="00631D73"/>
    <w:rsid w:val="00631F8E"/>
    <w:rsid w:val="00632119"/>
    <w:rsid w:val="0063216F"/>
    <w:rsid w:val="006325D4"/>
    <w:rsid w:val="00632935"/>
    <w:rsid w:val="00632954"/>
    <w:rsid w:val="00632D77"/>
    <w:rsid w:val="006330B5"/>
    <w:rsid w:val="006335F8"/>
    <w:rsid w:val="006336C0"/>
    <w:rsid w:val="00633857"/>
    <w:rsid w:val="00633A2F"/>
    <w:rsid w:val="00633B90"/>
    <w:rsid w:val="00633F01"/>
    <w:rsid w:val="00634053"/>
    <w:rsid w:val="00634159"/>
    <w:rsid w:val="00634624"/>
    <w:rsid w:val="00634E81"/>
    <w:rsid w:val="00634F1E"/>
    <w:rsid w:val="00634F5F"/>
    <w:rsid w:val="00635078"/>
    <w:rsid w:val="0063576A"/>
    <w:rsid w:val="00635F22"/>
    <w:rsid w:val="00636169"/>
    <w:rsid w:val="0063635D"/>
    <w:rsid w:val="006366D6"/>
    <w:rsid w:val="00636EE9"/>
    <w:rsid w:val="006372F8"/>
    <w:rsid w:val="00637315"/>
    <w:rsid w:val="0063747A"/>
    <w:rsid w:val="00637A65"/>
    <w:rsid w:val="00637A6A"/>
    <w:rsid w:val="00637BDB"/>
    <w:rsid w:val="00637E73"/>
    <w:rsid w:val="00637EDA"/>
    <w:rsid w:val="00637F49"/>
    <w:rsid w:val="006402BB"/>
    <w:rsid w:val="00640950"/>
    <w:rsid w:val="00640CE0"/>
    <w:rsid w:val="00640D2C"/>
    <w:rsid w:val="006413F7"/>
    <w:rsid w:val="006413FB"/>
    <w:rsid w:val="00641AE7"/>
    <w:rsid w:val="00641BD7"/>
    <w:rsid w:val="006420AB"/>
    <w:rsid w:val="00642629"/>
    <w:rsid w:val="00642B83"/>
    <w:rsid w:val="00642CD7"/>
    <w:rsid w:val="00642E40"/>
    <w:rsid w:val="00642E71"/>
    <w:rsid w:val="00643290"/>
    <w:rsid w:val="0064336B"/>
    <w:rsid w:val="00643429"/>
    <w:rsid w:val="00643580"/>
    <w:rsid w:val="006438B0"/>
    <w:rsid w:val="00643970"/>
    <w:rsid w:val="006439C3"/>
    <w:rsid w:val="00643A2F"/>
    <w:rsid w:val="00644324"/>
    <w:rsid w:val="00644808"/>
    <w:rsid w:val="0064489F"/>
    <w:rsid w:val="006449A1"/>
    <w:rsid w:val="006451BC"/>
    <w:rsid w:val="0064526F"/>
    <w:rsid w:val="00645B29"/>
    <w:rsid w:val="00645BD6"/>
    <w:rsid w:val="00646EE9"/>
    <w:rsid w:val="0064782B"/>
    <w:rsid w:val="00647AB1"/>
    <w:rsid w:val="0065023D"/>
    <w:rsid w:val="006506C0"/>
    <w:rsid w:val="00650C1B"/>
    <w:rsid w:val="00650E66"/>
    <w:rsid w:val="006516D7"/>
    <w:rsid w:val="00651B6E"/>
    <w:rsid w:val="00651C2E"/>
    <w:rsid w:val="00652283"/>
    <w:rsid w:val="0065250D"/>
    <w:rsid w:val="00652832"/>
    <w:rsid w:val="0065293D"/>
    <w:rsid w:val="00653B6F"/>
    <w:rsid w:val="00653EFC"/>
    <w:rsid w:val="00653F28"/>
    <w:rsid w:val="00654021"/>
    <w:rsid w:val="006542CB"/>
    <w:rsid w:val="0065470A"/>
    <w:rsid w:val="006547D7"/>
    <w:rsid w:val="006548A8"/>
    <w:rsid w:val="006548F0"/>
    <w:rsid w:val="00654DE9"/>
    <w:rsid w:val="00654E5D"/>
    <w:rsid w:val="00655480"/>
    <w:rsid w:val="006556B9"/>
    <w:rsid w:val="00655735"/>
    <w:rsid w:val="006557C1"/>
    <w:rsid w:val="006557C8"/>
    <w:rsid w:val="00655869"/>
    <w:rsid w:val="00655A69"/>
    <w:rsid w:val="00655C77"/>
    <w:rsid w:val="006565E4"/>
    <w:rsid w:val="00656D70"/>
    <w:rsid w:val="006570C6"/>
    <w:rsid w:val="00657345"/>
    <w:rsid w:val="00657D2A"/>
    <w:rsid w:val="00660391"/>
    <w:rsid w:val="00660AC0"/>
    <w:rsid w:val="00660B09"/>
    <w:rsid w:val="00661045"/>
    <w:rsid w:val="00661BDE"/>
    <w:rsid w:val="00661FF5"/>
    <w:rsid w:val="006622A5"/>
    <w:rsid w:val="00662594"/>
    <w:rsid w:val="0066283A"/>
    <w:rsid w:val="00662879"/>
    <w:rsid w:val="00662F63"/>
    <w:rsid w:val="00663054"/>
    <w:rsid w:val="00663386"/>
    <w:rsid w:val="006633EA"/>
    <w:rsid w:val="006634FB"/>
    <w:rsid w:val="00663564"/>
    <w:rsid w:val="00663950"/>
    <w:rsid w:val="00663A91"/>
    <w:rsid w:val="0066431E"/>
    <w:rsid w:val="00664366"/>
    <w:rsid w:val="00664B8E"/>
    <w:rsid w:val="00664CCD"/>
    <w:rsid w:val="00664E6A"/>
    <w:rsid w:val="00665765"/>
    <w:rsid w:val="00666107"/>
    <w:rsid w:val="006661A8"/>
    <w:rsid w:val="00666CEB"/>
    <w:rsid w:val="00666DA8"/>
    <w:rsid w:val="006672B5"/>
    <w:rsid w:val="0066772A"/>
    <w:rsid w:val="006678D5"/>
    <w:rsid w:val="00667B3C"/>
    <w:rsid w:val="00667BBF"/>
    <w:rsid w:val="00667C97"/>
    <w:rsid w:val="00667CFA"/>
    <w:rsid w:val="00670600"/>
    <w:rsid w:val="006708D1"/>
    <w:rsid w:val="00670A49"/>
    <w:rsid w:val="00670B47"/>
    <w:rsid w:val="00670E3B"/>
    <w:rsid w:val="00671057"/>
    <w:rsid w:val="00671069"/>
    <w:rsid w:val="006711B5"/>
    <w:rsid w:val="00671377"/>
    <w:rsid w:val="00671798"/>
    <w:rsid w:val="00671F48"/>
    <w:rsid w:val="00672533"/>
    <w:rsid w:val="00672B12"/>
    <w:rsid w:val="00672B91"/>
    <w:rsid w:val="00672D1E"/>
    <w:rsid w:val="00673BA8"/>
    <w:rsid w:val="00673BB3"/>
    <w:rsid w:val="00673D00"/>
    <w:rsid w:val="006743BC"/>
    <w:rsid w:val="00674C50"/>
    <w:rsid w:val="00674E77"/>
    <w:rsid w:val="00674EAF"/>
    <w:rsid w:val="00674FB9"/>
    <w:rsid w:val="00675281"/>
    <w:rsid w:val="0067557A"/>
    <w:rsid w:val="0067574D"/>
    <w:rsid w:val="00675AAF"/>
    <w:rsid w:val="00675D85"/>
    <w:rsid w:val="00675E62"/>
    <w:rsid w:val="00675E7F"/>
    <w:rsid w:val="00677AAA"/>
    <w:rsid w:val="00677CB5"/>
    <w:rsid w:val="00677EB7"/>
    <w:rsid w:val="0068031A"/>
    <w:rsid w:val="006803B3"/>
    <w:rsid w:val="00680809"/>
    <w:rsid w:val="0068138D"/>
    <w:rsid w:val="0068147C"/>
    <w:rsid w:val="00681968"/>
    <w:rsid w:val="00681B2F"/>
    <w:rsid w:val="00681FD8"/>
    <w:rsid w:val="006823EA"/>
    <w:rsid w:val="00682968"/>
    <w:rsid w:val="006830BD"/>
    <w:rsid w:val="0068335F"/>
    <w:rsid w:val="00683BB1"/>
    <w:rsid w:val="00683DB7"/>
    <w:rsid w:val="00683E6B"/>
    <w:rsid w:val="00684010"/>
    <w:rsid w:val="0068405A"/>
    <w:rsid w:val="0068422B"/>
    <w:rsid w:val="00684361"/>
    <w:rsid w:val="00684395"/>
    <w:rsid w:val="00684AF4"/>
    <w:rsid w:val="00684ED3"/>
    <w:rsid w:val="00684F10"/>
    <w:rsid w:val="00684FE2"/>
    <w:rsid w:val="00685028"/>
    <w:rsid w:val="00685388"/>
    <w:rsid w:val="006856BD"/>
    <w:rsid w:val="006857BC"/>
    <w:rsid w:val="006859F7"/>
    <w:rsid w:val="0068673D"/>
    <w:rsid w:val="00686FAD"/>
    <w:rsid w:val="00687217"/>
    <w:rsid w:val="006872D6"/>
    <w:rsid w:val="00690377"/>
    <w:rsid w:val="00690560"/>
    <w:rsid w:val="006906E8"/>
    <w:rsid w:val="006907FA"/>
    <w:rsid w:val="0069092B"/>
    <w:rsid w:val="006909F0"/>
    <w:rsid w:val="00690AF3"/>
    <w:rsid w:val="00690C03"/>
    <w:rsid w:val="00690FEC"/>
    <w:rsid w:val="006916B7"/>
    <w:rsid w:val="006920CE"/>
    <w:rsid w:val="006922A0"/>
    <w:rsid w:val="0069272D"/>
    <w:rsid w:val="00692766"/>
    <w:rsid w:val="006929E3"/>
    <w:rsid w:val="00692BB0"/>
    <w:rsid w:val="00692C36"/>
    <w:rsid w:val="00693192"/>
    <w:rsid w:val="00693302"/>
    <w:rsid w:val="00693E08"/>
    <w:rsid w:val="00694533"/>
    <w:rsid w:val="006947A3"/>
    <w:rsid w:val="006947EA"/>
    <w:rsid w:val="00696314"/>
    <w:rsid w:val="0069640B"/>
    <w:rsid w:val="00696868"/>
    <w:rsid w:val="00696BE9"/>
    <w:rsid w:val="006970DD"/>
    <w:rsid w:val="006977C8"/>
    <w:rsid w:val="00697B8C"/>
    <w:rsid w:val="00697F74"/>
    <w:rsid w:val="006A01E7"/>
    <w:rsid w:val="006A0A6A"/>
    <w:rsid w:val="006A1309"/>
    <w:rsid w:val="006A1419"/>
    <w:rsid w:val="006A1768"/>
    <w:rsid w:val="006A1B83"/>
    <w:rsid w:val="006A1C12"/>
    <w:rsid w:val="006A21CD"/>
    <w:rsid w:val="006A2A93"/>
    <w:rsid w:val="006A2C2E"/>
    <w:rsid w:val="006A3145"/>
    <w:rsid w:val="006A319B"/>
    <w:rsid w:val="006A36AC"/>
    <w:rsid w:val="006A3CD7"/>
    <w:rsid w:val="006A4050"/>
    <w:rsid w:val="006A4340"/>
    <w:rsid w:val="006A43D5"/>
    <w:rsid w:val="006A4522"/>
    <w:rsid w:val="006A48AA"/>
    <w:rsid w:val="006A4955"/>
    <w:rsid w:val="006A4B5B"/>
    <w:rsid w:val="006A4B6F"/>
    <w:rsid w:val="006A5910"/>
    <w:rsid w:val="006A5918"/>
    <w:rsid w:val="006A5C5D"/>
    <w:rsid w:val="006A5CDD"/>
    <w:rsid w:val="006A5F1F"/>
    <w:rsid w:val="006A61B8"/>
    <w:rsid w:val="006A63EB"/>
    <w:rsid w:val="006A64C1"/>
    <w:rsid w:val="006A6DDC"/>
    <w:rsid w:val="006A6F49"/>
    <w:rsid w:val="006A6FEB"/>
    <w:rsid w:val="006A70D9"/>
    <w:rsid w:val="006A731B"/>
    <w:rsid w:val="006A770D"/>
    <w:rsid w:val="006A79CC"/>
    <w:rsid w:val="006B00ED"/>
    <w:rsid w:val="006B09AA"/>
    <w:rsid w:val="006B132F"/>
    <w:rsid w:val="006B1583"/>
    <w:rsid w:val="006B1AB4"/>
    <w:rsid w:val="006B1AFE"/>
    <w:rsid w:val="006B1C1F"/>
    <w:rsid w:val="006B1D04"/>
    <w:rsid w:val="006B1FA5"/>
    <w:rsid w:val="006B21B2"/>
    <w:rsid w:val="006B2926"/>
    <w:rsid w:val="006B3053"/>
    <w:rsid w:val="006B337A"/>
    <w:rsid w:val="006B362B"/>
    <w:rsid w:val="006B3A96"/>
    <w:rsid w:val="006B3E97"/>
    <w:rsid w:val="006B4229"/>
    <w:rsid w:val="006B4495"/>
    <w:rsid w:val="006B46D2"/>
    <w:rsid w:val="006B47F8"/>
    <w:rsid w:val="006B482B"/>
    <w:rsid w:val="006B4A4A"/>
    <w:rsid w:val="006B5141"/>
    <w:rsid w:val="006B51D5"/>
    <w:rsid w:val="006B5499"/>
    <w:rsid w:val="006B588E"/>
    <w:rsid w:val="006B59C4"/>
    <w:rsid w:val="006B606A"/>
    <w:rsid w:val="006B6218"/>
    <w:rsid w:val="006B62AF"/>
    <w:rsid w:val="006B65E4"/>
    <w:rsid w:val="006B6730"/>
    <w:rsid w:val="006B6882"/>
    <w:rsid w:val="006B69C2"/>
    <w:rsid w:val="006B782B"/>
    <w:rsid w:val="006B7A64"/>
    <w:rsid w:val="006B7E98"/>
    <w:rsid w:val="006C0148"/>
    <w:rsid w:val="006C03C1"/>
    <w:rsid w:val="006C098E"/>
    <w:rsid w:val="006C0DAC"/>
    <w:rsid w:val="006C1144"/>
    <w:rsid w:val="006C124B"/>
    <w:rsid w:val="006C1521"/>
    <w:rsid w:val="006C158B"/>
    <w:rsid w:val="006C17E6"/>
    <w:rsid w:val="006C1804"/>
    <w:rsid w:val="006C19B2"/>
    <w:rsid w:val="006C1A21"/>
    <w:rsid w:val="006C1BD1"/>
    <w:rsid w:val="006C1C68"/>
    <w:rsid w:val="006C1E8A"/>
    <w:rsid w:val="006C2219"/>
    <w:rsid w:val="006C2796"/>
    <w:rsid w:val="006C27E8"/>
    <w:rsid w:val="006C2908"/>
    <w:rsid w:val="006C2AFE"/>
    <w:rsid w:val="006C31B7"/>
    <w:rsid w:val="006C31D6"/>
    <w:rsid w:val="006C335A"/>
    <w:rsid w:val="006C378B"/>
    <w:rsid w:val="006C3DDC"/>
    <w:rsid w:val="006C4024"/>
    <w:rsid w:val="006C414C"/>
    <w:rsid w:val="006C4255"/>
    <w:rsid w:val="006C4409"/>
    <w:rsid w:val="006C461C"/>
    <w:rsid w:val="006C4767"/>
    <w:rsid w:val="006C49B5"/>
    <w:rsid w:val="006C4AE8"/>
    <w:rsid w:val="006C4EC7"/>
    <w:rsid w:val="006C57E9"/>
    <w:rsid w:val="006C59D5"/>
    <w:rsid w:val="006C5BB8"/>
    <w:rsid w:val="006C5D89"/>
    <w:rsid w:val="006C6936"/>
    <w:rsid w:val="006C6B61"/>
    <w:rsid w:val="006C706B"/>
    <w:rsid w:val="006C7B01"/>
    <w:rsid w:val="006D0268"/>
    <w:rsid w:val="006D04F8"/>
    <w:rsid w:val="006D05FA"/>
    <w:rsid w:val="006D0630"/>
    <w:rsid w:val="006D0F9E"/>
    <w:rsid w:val="006D0FE8"/>
    <w:rsid w:val="006D1380"/>
    <w:rsid w:val="006D19C1"/>
    <w:rsid w:val="006D19E5"/>
    <w:rsid w:val="006D1AD5"/>
    <w:rsid w:val="006D1D06"/>
    <w:rsid w:val="006D207D"/>
    <w:rsid w:val="006D22B2"/>
    <w:rsid w:val="006D249B"/>
    <w:rsid w:val="006D2B6A"/>
    <w:rsid w:val="006D2CB2"/>
    <w:rsid w:val="006D30A7"/>
    <w:rsid w:val="006D3252"/>
    <w:rsid w:val="006D3FF3"/>
    <w:rsid w:val="006D4404"/>
    <w:rsid w:val="006D45E3"/>
    <w:rsid w:val="006D4B2B"/>
    <w:rsid w:val="006D4B6A"/>
    <w:rsid w:val="006D4C74"/>
    <w:rsid w:val="006D4F3C"/>
    <w:rsid w:val="006D5A66"/>
    <w:rsid w:val="006D5C66"/>
    <w:rsid w:val="006D5E54"/>
    <w:rsid w:val="006D7002"/>
    <w:rsid w:val="006D7363"/>
    <w:rsid w:val="006D75FD"/>
    <w:rsid w:val="006D7AE2"/>
    <w:rsid w:val="006D7DB1"/>
    <w:rsid w:val="006D7F72"/>
    <w:rsid w:val="006E0EAC"/>
    <w:rsid w:val="006E12F9"/>
    <w:rsid w:val="006E180B"/>
    <w:rsid w:val="006E18AD"/>
    <w:rsid w:val="006E18B6"/>
    <w:rsid w:val="006E1B3C"/>
    <w:rsid w:val="006E1C6E"/>
    <w:rsid w:val="006E23FB"/>
    <w:rsid w:val="006E266B"/>
    <w:rsid w:val="006E2CE0"/>
    <w:rsid w:val="006E325A"/>
    <w:rsid w:val="006E33EC"/>
    <w:rsid w:val="006E3802"/>
    <w:rsid w:val="006E3A60"/>
    <w:rsid w:val="006E3AF0"/>
    <w:rsid w:val="006E3DBA"/>
    <w:rsid w:val="006E3FB5"/>
    <w:rsid w:val="006E4165"/>
    <w:rsid w:val="006E4658"/>
    <w:rsid w:val="006E4CEC"/>
    <w:rsid w:val="006E50F7"/>
    <w:rsid w:val="006E5190"/>
    <w:rsid w:val="006E5ADB"/>
    <w:rsid w:val="006E5B3A"/>
    <w:rsid w:val="006E5DF0"/>
    <w:rsid w:val="006E5F3B"/>
    <w:rsid w:val="006E6144"/>
    <w:rsid w:val="006E689F"/>
    <w:rsid w:val="006E6C02"/>
    <w:rsid w:val="006E6D11"/>
    <w:rsid w:val="006E6D9F"/>
    <w:rsid w:val="006E6F8D"/>
    <w:rsid w:val="006E7D1C"/>
    <w:rsid w:val="006E7EBB"/>
    <w:rsid w:val="006F04C2"/>
    <w:rsid w:val="006F0A73"/>
    <w:rsid w:val="006F0D09"/>
    <w:rsid w:val="006F0E69"/>
    <w:rsid w:val="006F0FD7"/>
    <w:rsid w:val="006F128A"/>
    <w:rsid w:val="006F136D"/>
    <w:rsid w:val="006F13BB"/>
    <w:rsid w:val="006F151E"/>
    <w:rsid w:val="006F1561"/>
    <w:rsid w:val="006F1654"/>
    <w:rsid w:val="006F1933"/>
    <w:rsid w:val="006F2082"/>
    <w:rsid w:val="006F231A"/>
    <w:rsid w:val="006F24A4"/>
    <w:rsid w:val="006F2B8F"/>
    <w:rsid w:val="006F32A6"/>
    <w:rsid w:val="006F3337"/>
    <w:rsid w:val="006F36E6"/>
    <w:rsid w:val="006F38A1"/>
    <w:rsid w:val="006F3C1B"/>
    <w:rsid w:val="006F4025"/>
    <w:rsid w:val="006F42E8"/>
    <w:rsid w:val="006F4426"/>
    <w:rsid w:val="006F5439"/>
    <w:rsid w:val="006F5A2B"/>
    <w:rsid w:val="006F5D44"/>
    <w:rsid w:val="006F5FA5"/>
    <w:rsid w:val="006F6171"/>
    <w:rsid w:val="006F6240"/>
    <w:rsid w:val="006F6B38"/>
    <w:rsid w:val="006F6B3F"/>
    <w:rsid w:val="006F6B55"/>
    <w:rsid w:val="006F6E21"/>
    <w:rsid w:val="006F6FC0"/>
    <w:rsid w:val="006F705A"/>
    <w:rsid w:val="006F708C"/>
    <w:rsid w:val="006F7119"/>
    <w:rsid w:val="006F788D"/>
    <w:rsid w:val="006F78E1"/>
    <w:rsid w:val="006F798A"/>
    <w:rsid w:val="006F7990"/>
    <w:rsid w:val="006F7B10"/>
    <w:rsid w:val="006F7BA2"/>
    <w:rsid w:val="006F7EF8"/>
    <w:rsid w:val="007001A0"/>
    <w:rsid w:val="0070025B"/>
    <w:rsid w:val="0070036A"/>
    <w:rsid w:val="00700C8D"/>
    <w:rsid w:val="00701072"/>
    <w:rsid w:val="00701380"/>
    <w:rsid w:val="00701A64"/>
    <w:rsid w:val="00702054"/>
    <w:rsid w:val="0070262E"/>
    <w:rsid w:val="007028F6"/>
    <w:rsid w:val="007029A6"/>
    <w:rsid w:val="007029B9"/>
    <w:rsid w:val="007029DE"/>
    <w:rsid w:val="00702BD7"/>
    <w:rsid w:val="00702C26"/>
    <w:rsid w:val="00702D37"/>
    <w:rsid w:val="007033A2"/>
    <w:rsid w:val="007035A4"/>
    <w:rsid w:val="00703754"/>
    <w:rsid w:val="00703942"/>
    <w:rsid w:val="00703EE3"/>
    <w:rsid w:val="00704591"/>
    <w:rsid w:val="00704D49"/>
    <w:rsid w:val="00705CB0"/>
    <w:rsid w:val="0070664E"/>
    <w:rsid w:val="00706749"/>
    <w:rsid w:val="007068F2"/>
    <w:rsid w:val="00706A26"/>
    <w:rsid w:val="00706CEC"/>
    <w:rsid w:val="00706D99"/>
    <w:rsid w:val="00706DA1"/>
    <w:rsid w:val="007071DD"/>
    <w:rsid w:val="007073CA"/>
    <w:rsid w:val="007102B9"/>
    <w:rsid w:val="007103B7"/>
    <w:rsid w:val="007107E4"/>
    <w:rsid w:val="0071093C"/>
    <w:rsid w:val="007111BA"/>
    <w:rsid w:val="00711799"/>
    <w:rsid w:val="0071180F"/>
    <w:rsid w:val="00711C74"/>
    <w:rsid w:val="00712315"/>
    <w:rsid w:val="0071258C"/>
    <w:rsid w:val="00712B78"/>
    <w:rsid w:val="00712BCE"/>
    <w:rsid w:val="00712E9A"/>
    <w:rsid w:val="00713171"/>
    <w:rsid w:val="00713265"/>
    <w:rsid w:val="00713497"/>
    <w:rsid w:val="0071393B"/>
    <w:rsid w:val="00713CBC"/>
    <w:rsid w:val="00713EBA"/>
    <w:rsid w:val="00713EE2"/>
    <w:rsid w:val="0071465A"/>
    <w:rsid w:val="0071478B"/>
    <w:rsid w:val="00714A4B"/>
    <w:rsid w:val="00714B43"/>
    <w:rsid w:val="00714EE5"/>
    <w:rsid w:val="00715186"/>
    <w:rsid w:val="0071563A"/>
    <w:rsid w:val="0071584E"/>
    <w:rsid w:val="00715CAD"/>
    <w:rsid w:val="007163D5"/>
    <w:rsid w:val="0071652A"/>
    <w:rsid w:val="0071695D"/>
    <w:rsid w:val="00716A62"/>
    <w:rsid w:val="00716B5C"/>
    <w:rsid w:val="00716E0D"/>
    <w:rsid w:val="00717228"/>
    <w:rsid w:val="0071723E"/>
    <w:rsid w:val="00717437"/>
    <w:rsid w:val="0071747B"/>
    <w:rsid w:val="007177FC"/>
    <w:rsid w:val="00720055"/>
    <w:rsid w:val="007205EC"/>
    <w:rsid w:val="00720696"/>
    <w:rsid w:val="00720C5E"/>
    <w:rsid w:val="00721701"/>
    <w:rsid w:val="0072204F"/>
    <w:rsid w:val="0072229F"/>
    <w:rsid w:val="00722471"/>
    <w:rsid w:val="007225F0"/>
    <w:rsid w:val="00722869"/>
    <w:rsid w:val="007228BD"/>
    <w:rsid w:val="00722FE1"/>
    <w:rsid w:val="0072312C"/>
    <w:rsid w:val="00723424"/>
    <w:rsid w:val="0072363C"/>
    <w:rsid w:val="00723A0C"/>
    <w:rsid w:val="00723A50"/>
    <w:rsid w:val="00723E2C"/>
    <w:rsid w:val="0072418E"/>
    <w:rsid w:val="007247B2"/>
    <w:rsid w:val="00724A42"/>
    <w:rsid w:val="00724F6A"/>
    <w:rsid w:val="007252C7"/>
    <w:rsid w:val="00725B64"/>
    <w:rsid w:val="00725D49"/>
    <w:rsid w:val="00725F11"/>
    <w:rsid w:val="00726064"/>
    <w:rsid w:val="007261FA"/>
    <w:rsid w:val="00726DED"/>
    <w:rsid w:val="00726DEE"/>
    <w:rsid w:val="007278C5"/>
    <w:rsid w:val="00727E62"/>
    <w:rsid w:val="007303EB"/>
    <w:rsid w:val="007309FE"/>
    <w:rsid w:val="00730AC3"/>
    <w:rsid w:val="00730C39"/>
    <w:rsid w:val="00730C7E"/>
    <w:rsid w:val="00731242"/>
    <w:rsid w:val="00731495"/>
    <w:rsid w:val="00731835"/>
    <w:rsid w:val="00731A6B"/>
    <w:rsid w:val="00731B08"/>
    <w:rsid w:val="00731BED"/>
    <w:rsid w:val="00732072"/>
    <w:rsid w:val="007322A7"/>
    <w:rsid w:val="00732541"/>
    <w:rsid w:val="00732D23"/>
    <w:rsid w:val="00732FF4"/>
    <w:rsid w:val="0073306E"/>
    <w:rsid w:val="00733249"/>
    <w:rsid w:val="007336DF"/>
    <w:rsid w:val="00733737"/>
    <w:rsid w:val="00733B84"/>
    <w:rsid w:val="00733F3D"/>
    <w:rsid w:val="007340DA"/>
    <w:rsid w:val="007341F8"/>
    <w:rsid w:val="00734372"/>
    <w:rsid w:val="00734784"/>
    <w:rsid w:val="007348F4"/>
    <w:rsid w:val="00734C9D"/>
    <w:rsid w:val="00734E55"/>
    <w:rsid w:val="00734EB8"/>
    <w:rsid w:val="00735731"/>
    <w:rsid w:val="007357BB"/>
    <w:rsid w:val="00735F18"/>
    <w:rsid w:val="00735F8B"/>
    <w:rsid w:val="00736391"/>
    <w:rsid w:val="0073665E"/>
    <w:rsid w:val="007366EB"/>
    <w:rsid w:val="00736CF3"/>
    <w:rsid w:val="00736D9B"/>
    <w:rsid w:val="00737064"/>
    <w:rsid w:val="0073752F"/>
    <w:rsid w:val="00740528"/>
    <w:rsid w:val="0074090B"/>
    <w:rsid w:val="00740F47"/>
    <w:rsid w:val="007410E1"/>
    <w:rsid w:val="0074135E"/>
    <w:rsid w:val="00741366"/>
    <w:rsid w:val="007414B0"/>
    <w:rsid w:val="00741917"/>
    <w:rsid w:val="00741D46"/>
    <w:rsid w:val="00741FDB"/>
    <w:rsid w:val="007424DE"/>
    <w:rsid w:val="0074270B"/>
    <w:rsid w:val="007429B1"/>
    <w:rsid w:val="00742A94"/>
    <w:rsid w:val="00742D1F"/>
    <w:rsid w:val="0074315F"/>
    <w:rsid w:val="00743652"/>
    <w:rsid w:val="00743AF8"/>
    <w:rsid w:val="00743CBC"/>
    <w:rsid w:val="00743EBA"/>
    <w:rsid w:val="00743F8E"/>
    <w:rsid w:val="0074408D"/>
    <w:rsid w:val="00744898"/>
    <w:rsid w:val="00744B18"/>
    <w:rsid w:val="00744C61"/>
    <w:rsid w:val="00744C8E"/>
    <w:rsid w:val="007450C5"/>
    <w:rsid w:val="0074607C"/>
    <w:rsid w:val="007466F3"/>
    <w:rsid w:val="007467F5"/>
    <w:rsid w:val="007468DD"/>
    <w:rsid w:val="0074707E"/>
    <w:rsid w:val="007471FF"/>
    <w:rsid w:val="0074745E"/>
    <w:rsid w:val="007476D4"/>
    <w:rsid w:val="00750276"/>
    <w:rsid w:val="0075031A"/>
    <w:rsid w:val="00750654"/>
    <w:rsid w:val="00750769"/>
    <w:rsid w:val="007507F3"/>
    <w:rsid w:val="00750C1C"/>
    <w:rsid w:val="007513ED"/>
    <w:rsid w:val="0075153E"/>
    <w:rsid w:val="007516DC"/>
    <w:rsid w:val="00751DC3"/>
    <w:rsid w:val="00752166"/>
    <w:rsid w:val="00752275"/>
    <w:rsid w:val="00752343"/>
    <w:rsid w:val="00752364"/>
    <w:rsid w:val="00752644"/>
    <w:rsid w:val="00752A7E"/>
    <w:rsid w:val="00752AB9"/>
    <w:rsid w:val="00752E58"/>
    <w:rsid w:val="0075304D"/>
    <w:rsid w:val="00753C85"/>
    <w:rsid w:val="00753C88"/>
    <w:rsid w:val="007546BA"/>
    <w:rsid w:val="00754AD3"/>
    <w:rsid w:val="00754B80"/>
    <w:rsid w:val="00755022"/>
    <w:rsid w:val="007559DB"/>
    <w:rsid w:val="00755A9C"/>
    <w:rsid w:val="00755BC2"/>
    <w:rsid w:val="00755BF7"/>
    <w:rsid w:val="00755DEF"/>
    <w:rsid w:val="00755E9D"/>
    <w:rsid w:val="00756BF5"/>
    <w:rsid w:val="00756C68"/>
    <w:rsid w:val="00760641"/>
    <w:rsid w:val="00760ADD"/>
    <w:rsid w:val="00761170"/>
    <w:rsid w:val="0076156F"/>
    <w:rsid w:val="00761918"/>
    <w:rsid w:val="00762039"/>
    <w:rsid w:val="00762EBF"/>
    <w:rsid w:val="00762F03"/>
    <w:rsid w:val="007635F0"/>
    <w:rsid w:val="00763607"/>
    <w:rsid w:val="007636B2"/>
    <w:rsid w:val="0076398A"/>
    <w:rsid w:val="00763A93"/>
    <w:rsid w:val="00763CAA"/>
    <w:rsid w:val="00763D38"/>
    <w:rsid w:val="0076413B"/>
    <w:rsid w:val="007645E6"/>
    <w:rsid w:val="007648AE"/>
    <w:rsid w:val="00764BF8"/>
    <w:rsid w:val="00764CA0"/>
    <w:rsid w:val="00764FCB"/>
    <w:rsid w:val="0076514D"/>
    <w:rsid w:val="0076547B"/>
    <w:rsid w:val="0076549B"/>
    <w:rsid w:val="0076569C"/>
    <w:rsid w:val="0076581C"/>
    <w:rsid w:val="0076589F"/>
    <w:rsid w:val="00765DDE"/>
    <w:rsid w:val="007668E5"/>
    <w:rsid w:val="00766A42"/>
    <w:rsid w:val="00766DC3"/>
    <w:rsid w:val="00767263"/>
    <w:rsid w:val="007673BF"/>
    <w:rsid w:val="007673DF"/>
    <w:rsid w:val="0076771A"/>
    <w:rsid w:val="007678E3"/>
    <w:rsid w:val="00767AD1"/>
    <w:rsid w:val="00767E3F"/>
    <w:rsid w:val="0077029D"/>
    <w:rsid w:val="007709CA"/>
    <w:rsid w:val="00770BF0"/>
    <w:rsid w:val="00770E36"/>
    <w:rsid w:val="007711D9"/>
    <w:rsid w:val="0077159A"/>
    <w:rsid w:val="0077160E"/>
    <w:rsid w:val="00771767"/>
    <w:rsid w:val="00771869"/>
    <w:rsid w:val="00771879"/>
    <w:rsid w:val="0077188E"/>
    <w:rsid w:val="007718BE"/>
    <w:rsid w:val="00771A08"/>
    <w:rsid w:val="0077259D"/>
    <w:rsid w:val="00773187"/>
    <w:rsid w:val="007733F5"/>
    <w:rsid w:val="00773A26"/>
    <w:rsid w:val="00773D59"/>
    <w:rsid w:val="00773F21"/>
    <w:rsid w:val="00773FC1"/>
    <w:rsid w:val="00774F4F"/>
    <w:rsid w:val="007758B4"/>
    <w:rsid w:val="00775A10"/>
    <w:rsid w:val="00775A11"/>
    <w:rsid w:val="007761E2"/>
    <w:rsid w:val="00776254"/>
    <w:rsid w:val="007762A0"/>
    <w:rsid w:val="00776657"/>
    <w:rsid w:val="00776898"/>
    <w:rsid w:val="00776BAE"/>
    <w:rsid w:val="00776D5F"/>
    <w:rsid w:val="0077726B"/>
    <w:rsid w:val="00777358"/>
    <w:rsid w:val="00777523"/>
    <w:rsid w:val="00777668"/>
    <w:rsid w:val="007777C9"/>
    <w:rsid w:val="0077796C"/>
    <w:rsid w:val="00777AFC"/>
    <w:rsid w:val="00777D54"/>
    <w:rsid w:val="00777E1F"/>
    <w:rsid w:val="00780074"/>
    <w:rsid w:val="0078037A"/>
    <w:rsid w:val="007803DB"/>
    <w:rsid w:val="00780593"/>
    <w:rsid w:val="007807BF"/>
    <w:rsid w:val="00780AC3"/>
    <w:rsid w:val="00780AE6"/>
    <w:rsid w:val="00781003"/>
    <w:rsid w:val="00781269"/>
    <w:rsid w:val="00781ADB"/>
    <w:rsid w:val="00781FB3"/>
    <w:rsid w:val="0078253C"/>
    <w:rsid w:val="0078272F"/>
    <w:rsid w:val="007827D3"/>
    <w:rsid w:val="007837F2"/>
    <w:rsid w:val="00783F98"/>
    <w:rsid w:val="007843C7"/>
    <w:rsid w:val="007845CA"/>
    <w:rsid w:val="00784DF1"/>
    <w:rsid w:val="00785121"/>
    <w:rsid w:val="00785239"/>
    <w:rsid w:val="007855D7"/>
    <w:rsid w:val="00785A89"/>
    <w:rsid w:val="00785E48"/>
    <w:rsid w:val="007862CE"/>
    <w:rsid w:val="0078630B"/>
    <w:rsid w:val="00786DCE"/>
    <w:rsid w:val="0078708C"/>
    <w:rsid w:val="007871F8"/>
    <w:rsid w:val="00787463"/>
    <w:rsid w:val="007874CE"/>
    <w:rsid w:val="00787537"/>
    <w:rsid w:val="00787905"/>
    <w:rsid w:val="00787C6C"/>
    <w:rsid w:val="00787FE6"/>
    <w:rsid w:val="007901F6"/>
    <w:rsid w:val="00790280"/>
    <w:rsid w:val="00790296"/>
    <w:rsid w:val="00790404"/>
    <w:rsid w:val="00790A8D"/>
    <w:rsid w:val="00790F10"/>
    <w:rsid w:val="007911FD"/>
    <w:rsid w:val="0079133A"/>
    <w:rsid w:val="00791471"/>
    <w:rsid w:val="0079178A"/>
    <w:rsid w:val="007919F8"/>
    <w:rsid w:val="00792421"/>
    <w:rsid w:val="00792C6C"/>
    <w:rsid w:val="00792E72"/>
    <w:rsid w:val="007930DC"/>
    <w:rsid w:val="0079327F"/>
    <w:rsid w:val="00793560"/>
    <w:rsid w:val="00793930"/>
    <w:rsid w:val="00793DD1"/>
    <w:rsid w:val="00794BA6"/>
    <w:rsid w:val="00794C4A"/>
    <w:rsid w:val="00794FEC"/>
    <w:rsid w:val="0079543B"/>
    <w:rsid w:val="00795A2B"/>
    <w:rsid w:val="00795A7E"/>
    <w:rsid w:val="0079612D"/>
    <w:rsid w:val="00797088"/>
    <w:rsid w:val="007A003E"/>
    <w:rsid w:val="007A04CD"/>
    <w:rsid w:val="007A04E7"/>
    <w:rsid w:val="007A0A54"/>
    <w:rsid w:val="007A0A5C"/>
    <w:rsid w:val="007A0EFF"/>
    <w:rsid w:val="007A1965"/>
    <w:rsid w:val="007A1BE0"/>
    <w:rsid w:val="007A1F50"/>
    <w:rsid w:val="007A22A6"/>
    <w:rsid w:val="007A22CD"/>
    <w:rsid w:val="007A22DC"/>
    <w:rsid w:val="007A28E2"/>
    <w:rsid w:val="007A2D2D"/>
    <w:rsid w:val="007A2ED1"/>
    <w:rsid w:val="007A312E"/>
    <w:rsid w:val="007A353A"/>
    <w:rsid w:val="007A3681"/>
    <w:rsid w:val="007A3792"/>
    <w:rsid w:val="007A37EC"/>
    <w:rsid w:val="007A3AF4"/>
    <w:rsid w:val="007A3CC3"/>
    <w:rsid w:val="007A3D9C"/>
    <w:rsid w:val="007A4889"/>
    <w:rsid w:val="007A49A6"/>
    <w:rsid w:val="007A4A12"/>
    <w:rsid w:val="007A4BE6"/>
    <w:rsid w:val="007A4D59"/>
    <w:rsid w:val="007A4ED6"/>
    <w:rsid w:val="007A59B3"/>
    <w:rsid w:val="007A5BA1"/>
    <w:rsid w:val="007A5F7A"/>
    <w:rsid w:val="007A61B9"/>
    <w:rsid w:val="007A6224"/>
    <w:rsid w:val="007A63C1"/>
    <w:rsid w:val="007A69C2"/>
    <w:rsid w:val="007A6CF1"/>
    <w:rsid w:val="007A7088"/>
    <w:rsid w:val="007A70CB"/>
    <w:rsid w:val="007A74F8"/>
    <w:rsid w:val="007A7CA3"/>
    <w:rsid w:val="007A7F06"/>
    <w:rsid w:val="007B0065"/>
    <w:rsid w:val="007B0B34"/>
    <w:rsid w:val="007B0B48"/>
    <w:rsid w:val="007B0DC6"/>
    <w:rsid w:val="007B0ED0"/>
    <w:rsid w:val="007B1094"/>
    <w:rsid w:val="007B126A"/>
    <w:rsid w:val="007B14F9"/>
    <w:rsid w:val="007B1762"/>
    <w:rsid w:val="007B26D8"/>
    <w:rsid w:val="007B3320"/>
    <w:rsid w:val="007B356E"/>
    <w:rsid w:val="007B39DF"/>
    <w:rsid w:val="007B4060"/>
    <w:rsid w:val="007B48B0"/>
    <w:rsid w:val="007B5126"/>
    <w:rsid w:val="007B5595"/>
    <w:rsid w:val="007B5A7D"/>
    <w:rsid w:val="007B5C7D"/>
    <w:rsid w:val="007B5DF5"/>
    <w:rsid w:val="007B5E67"/>
    <w:rsid w:val="007B6205"/>
    <w:rsid w:val="007B6464"/>
    <w:rsid w:val="007B6AD6"/>
    <w:rsid w:val="007B6B63"/>
    <w:rsid w:val="007B76EA"/>
    <w:rsid w:val="007B7E90"/>
    <w:rsid w:val="007B7F4F"/>
    <w:rsid w:val="007C0187"/>
    <w:rsid w:val="007C027B"/>
    <w:rsid w:val="007C037D"/>
    <w:rsid w:val="007C0B63"/>
    <w:rsid w:val="007C1269"/>
    <w:rsid w:val="007C12E4"/>
    <w:rsid w:val="007C1316"/>
    <w:rsid w:val="007C165C"/>
    <w:rsid w:val="007C1729"/>
    <w:rsid w:val="007C17C8"/>
    <w:rsid w:val="007C1AE9"/>
    <w:rsid w:val="007C1BBB"/>
    <w:rsid w:val="007C21DF"/>
    <w:rsid w:val="007C2827"/>
    <w:rsid w:val="007C2ECF"/>
    <w:rsid w:val="007C301F"/>
    <w:rsid w:val="007C3432"/>
    <w:rsid w:val="007C35AD"/>
    <w:rsid w:val="007C35D0"/>
    <w:rsid w:val="007C36DD"/>
    <w:rsid w:val="007C37DE"/>
    <w:rsid w:val="007C39DB"/>
    <w:rsid w:val="007C43DA"/>
    <w:rsid w:val="007C4540"/>
    <w:rsid w:val="007C4557"/>
    <w:rsid w:val="007C4EBB"/>
    <w:rsid w:val="007C4EC1"/>
    <w:rsid w:val="007C50B6"/>
    <w:rsid w:val="007C5292"/>
    <w:rsid w:val="007C5362"/>
    <w:rsid w:val="007C5834"/>
    <w:rsid w:val="007C5AC3"/>
    <w:rsid w:val="007C5E21"/>
    <w:rsid w:val="007C60E3"/>
    <w:rsid w:val="007C65AF"/>
    <w:rsid w:val="007C673C"/>
    <w:rsid w:val="007C716F"/>
    <w:rsid w:val="007C7A5D"/>
    <w:rsid w:val="007C7D17"/>
    <w:rsid w:val="007C7DEF"/>
    <w:rsid w:val="007C7E4A"/>
    <w:rsid w:val="007C7FC1"/>
    <w:rsid w:val="007D018F"/>
    <w:rsid w:val="007D0234"/>
    <w:rsid w:val="007D035B"/>
    <w:rsid w:val="007D115E"/>
    <w:rsid w:val="007D135D"/>
    <w:rsid w:val="007D16ED"/>
    <w:rsid w:val="007D192E"/>
    <w:rsid w:val="007D1D47"/>
    <w:rsid w:val="007D20AC"/>
    <w:rsid w:val="007D2BAC"/>
    <w:rsid w:val="007D2E5E"/>
    <w:rsid w:val="007D2F23"/>
    <w:rsid w:val="007D387C"/>
    <w:rsid w:val="007D3966"/>
    <w:rsid w:val="007D4195"/>
    <w:rsid w:val="007D4477"/>
    <w:rsid w:val="007D4486"/>
    <w:rsid w:val="007D4594"/>
    <w:rsid w:val="007D4638"/>
    <w:rsid w:val="007D46C4"/>
    <w:rsid w:val="007D4827"/>
    <w:rsid w:val="007D4A96"/>
    <w:rsid w:val="007D4BF7"/>
    <w:rsid w:val="007D4DE8"/>
    <w:rsid w:val="007D533C"/>
    <w:rsid w:val="007D582D"/>
    <w:rsid w:val="007D58A0"/>
    <w:rsid w:val="007D5BD5"/>
    <w:rsid w:val="007D63B6"/>
    <w:rsid w:val="007D6AC9"/>
    <w:rsid w:val="007D6B67"/>
    <w:rsid w:val="007D6B68"/>
    <w:rsid w:val="007D6C5C"/>
    <w:rsid w:val="007D6DFE"/>
    <w:rsid w:val="007D730F"/>
    <w:rsid w:val="007D775E"/>
    <w:rsid w:val="007D7B87"/>
    <w:rsid w:val="007D7CD8"/>
    <w:rsid w:val="007E0590"/>
    <w:rsid w:val="007E0A49"/>
    <w:rsid w:val="007E0D67"/>
    <w:rsid w:val="007E0EE9"/>
    <w:rsid w:val="007E0F04"/>
    <w:rsid w:val="007E144D"/>
    <w:rsid w:val="007E168A"/>
    <w:rsid w:val="007E1CD0"/>
    <w:rsid w:val="007E1ED2"/>
    <w:rsid w:val="007E1F4E"/>
    <w:rsid w:val="007E2FE1"/>
    <w:rsid w:val="007E3004"/>
    <w:rsid w:val="007E30AE"/>
    <w:rsid w:val="007E30C9"/>
    <w:rsid w:val="007E312E"/>
    <w:rsid w:val="007E3478"/>
    <w:rsid w:val="007E3A75"/>
    <w:rsid w:val="007E3AA7"/>
    <w:rsid w:val="007E3D2F"/>
    <w:rsid w:val="007E40BC"/>
    <w:rsid w:val="007E42AE"/>
    <w:rsid w:val="007E4A49"/>
    <w:rsid w:val="007E505F"/>
    <w:rsid w:val="007E524A"/>
    <w:rsid w:val="007E5D08"/>
    <w:rsid w:val="007E5E2F"/>
    <w:rsid w:val="007E6E71"/>
    <w:rsid w:val="007E71E5"/>
    <w:rsid w:val="007E73A6"/>
    <w:rsid w:val="007E749C"/>
    <w:rsid w:val="007E78EF"/>
    <w:rsid w:val="007F094D"/>
    <w:rsid w:val="007F0D95"/>
    <w:rsid w:val="007F0DEE"/>
    <w:rsid w:val="007F0E81"/>
    <w:rsid w:val="007F0EF9"/>
    <w:rsid w:val="007F0FDC"/>
    <w:rsid w:val="007F115B"/>
    <w:rsid w:val="007F13EB"/>
    <w:rsid w:val="007F144A"/>
    <w:rsid w:val="007F160B"/>
    <w:rsid w:val="007F1643"/>
    <w:rsid w:val="007F1915"/>
    <w:rsid w:val="007F1B12"/>
    <w:rsid w:val="007F1E78"/>
    <w:rsid w:val="007F1EF4"/>
    <w:rsid w:val="007F2424"/>
    <w:rsid w:val="007F2B63"/>
    <w:rsid w:val="007F2DB4"/>
    <w:rsid w:val="007F2DD4"/>
    <w:rsid w:val="007F338D"/>
    <w:rsid w:val="007F351C"/>
    <w:rsid w:val="007F4016"/>
    <w:rsid w:val="007F4636"/>
    <w:rsid w:val="007F57BB"/>
    <w:rsid w:val="007F5C63"/>
    <w:rsid w:val="007F5E2A"/>
    <w:rsid w:val="007F5EB8"/>
    <w:rsid w:val="007F6105"/>
    <w:rsid w:val="007F6261"/>
    <w:rsid w:val="007F63E4"/>
    <w:rsid w:val="007F665A"/>
    <w:rsid w:val="007F6674"/>
    <w:rsid w:val="007F669B"/>
    <w:rsid w:val="007F6B57"/>
    <w:rsid w:val="007F6F0E"/>
    <w:rsid w:val="007F6FC5"/>
    <w:rsid w:val="007F71D5"/>
    <w:rsid w:val="007F720E"/>
    <w:rsid w:val="007F737D"/>
    <w:rsid w:val="007F756E"/>
    <w:rsid w:val="007F75C7"/>
    <w:rsid w:val="007F78AF"/>
    <w:rsid w:val="007F7A54"/>
    <w:rsid w:val="007F7C42"/>
    <w:rsid w:val="007F7D81"/>
    <w:rsid w:val="007F7EC0"/>
    <w:rsid w:val="008000AC"/>
    <w:rsid w:val="00800601"/>
    <w:rsid w:val="00800635"/>
    <w:rsid w:val="00800CAC"/>
    <w:rsid w:val="00800D3A"/>
    <w:rsid w:val="008010DE"/>
    <w:rsid w:val="00801434"/>
    <w:rsid w:val="008014CE"/>
    <w:rsid w:val="00801986"/>
    <w:rsid w:val="00801CEA"/>
    <w:rsid w:val="00801F19"/>
    <w:rsid w:val="008021C1"/>
    <w:rsid w:val="0080245D"/>
    <w:rsid w:val="00802674"/>
    <w:rsid w:val="0080279B"/>
    <w:rsid w:val="008029BB"/>
    <w:rsid w:val="00802DB2"/>
    <w:rsid w:val="0080308E"/>
    <w:rsid w:val="00803472"/>
    <w:rsid w:val="00803931"/>
    <w:rsid w:val="00803BB9"/>
    <w:rsid w:val="00803F18"/>
    <w:rsid w:val="0080409C"/>
    <w:rsid w:val="0080435A"/>
    <w:rsid w:val="00804369"/>
    <w:rsid w:val="008044F5"/>
    <w:rsid w:val="00804887"/>
    <w:rsid w:val="00804FBC"/>
    <w:rsid w:val="00805303"/>
    <w:rsid w:val="008053B1"/>
    <w:rsid w:val="00805ADD"/>
    <w:rsid w:val="00805CF4"/>
    <w:rsid w:val="00805FF0"/>
    <w:rsid w:val="00806705"/>
    <w:rsid w:val="00806738"/>
    <w:rsid w:val="008068DF"/>
    <w:rsid w:val="00806DD9"/>
    <w:rsid w:val="00806E22"/>
    <w:rsid w:val="00807052"/>
    <w:rsid w:val="0080710C"/>
    <w:rsid w:val="00807366"/>
    <w:rsid w:val="00807585"/>
    <w:rsid w:val="008075D8"/>
    <w:rsid w:val="00807785"/>
    <w:rsid w:val="00807A72"/>
    <w:rsid w:val="00807BA7"/>
    <w:rsid w:val="00807F57"/>
    <w:rsid w:val="00807FA6"/>
    <w:rsid w:val="008103C4"/>
    <w:rsid w:val="0081042B"/>
    <w:rsid w:val="0081054E"/>
    <w:rsid w:val="0081068D"/>
    <w:rsid w:val="008109CF"/>
    <w:rsid w:val="00810E9F"/>
    <w:rsid w:val="00811890"/>
    <w:rsid w:val="00811D95"/>
    <w:rsid w:val="008121E9"/>
    <w:rsid w:val="00812A13"/>
    <w:rsid w:val="00812B6A"/>
    <w:rsid w:val="00813130"/>
    <w:rsid w:val="008131BE"/>
    <w:rsid w:val="0081346F"/>
    <w:rsid w:val="0081376B"/>
    <w:rsid w:val="008137FE"/>
    <w:rsid w:val="00813B57"/>
    <w:rsid w:val="008140EF"/>
    <w:rsid w:val="00814263"/>
    <w:rsid w:val="0081441B"/>
    <w:rsid w:val="00814451"/>
    <w:rsid w:val="00814725"/>
    <w:rsid w:val="008148E2"/>
    <w:rsid w:val="00814908"/>
    <w:rsid w:val="00814CFD"/>
    <w:rsid w:val="00815372"/>
    <w:rsid w:val="00815981"/>
    <w:rsid w:val="00815EAD"/>
    <w:rsid w:val="00816006"/>
    <w:rsid w:val="00816323"/>
    <w:rsid w:val="008166D8"/>
    <w:rsid w:val="00816B86"/>
    <w:rsid w:val="00816D64"/>
    <w:rsid w:val="00816E67"/>
    <w:rsid w:val="00817344"/>
    <w:rsid w:val="008178E3"/>
    <w:rsid w:val="00820024"/>
    <w:rsid w:val="0082083C"/>
    <w:rsid w:val="00820E8B"/>
    <w:rsid w:val="00820F3E"/>
    <w:rsid w:val="00820F6B"/>
    <w:rsid w:val="00820FF8"/>
    <w:rsid w:val="00821085"/>
    <w:rsid w:val="00821215"/>
    <w:rsid w:val="00821414"/>
    <w:rsid w:val="0082150E"/>
    <w:rsid w:val="008216D5"/>
    <w:rsid w:val="00821979"/>
    <w:rsid w:val="00822274"/>
    <w:rsid w:val="008225DB"/>
    <w:rsid w:val="00822B9F"/>
    <w:rsid w:val="00822F02"/>
    <w:rsid w:val="008230F0"/>
    <w:rsid w:val="008238DC"/>
    <w:rsid w:val="00823B60"/>
    <w:rsid w:val="00824108"/>
    <w:rsid w:val="0082422C"/>
    <w:rsid w:val="0082422F"/>
    <w:rsid w:val="0082443E"/>
    <w:rsid w:val="008245B5"/>
    <w:rsid w:val="008249CE"/>
    <w:rsid w:val="00824A5E"/>
    <w:rsid w:val="00824ADE"/>
    <w:rsid w:val="00824CE0"/>
    <w:rsid w:val="008254BC"/>
    <w:rsid w:val="00825CFC"/>
    <w:rsid w:val="00825DA7"/>
    <w:rsid w:val="00825FC6"/>
    <w:rsid w:val="00826E3C"/>
    <w:rsid w:val="0082738A"/>
    <w:rsid w:val="008273F8"/>
    <w:rsid w:val="008279AA"/>
    <w:rsid w:val="00827F8E"/>
    <w:rsid w:val="00830199"/>
    <w:rsid w:val="00830434"/>
    <w:rsid w:val="00830465"/>
    <w:rsid w:val="008306D8"/>
    <w:rsid w:val="00830B69"/>
    <w:rsid w:val="00830F71"/>
    <w:rsid w:val="00830F97"/>
    <w:rsid w:val="008310CC"/>
    <w:rsid w:val="00831261"/>
    <w:rsid w:val="0083170B"/>
    <w:rsid w:val="00831A50"/>
    <w:rsid w:val="00831AF2"/>
    <w:rsid w:val="00831B3C"/>
    <w:rsid w:val="00831C89"/>
    <w:rsid w:val="00831EDB"/>
    <w:rsid w:val="00832114"/>
    <w:rsid w:val="008325A7"/>
    <w:rsid w:val="00832653"/>
    <w:rsid w:val="00832D73"/>
    <w:rsid w:val="00832F1D"/>
    <w:rsid w:val="00832F6F"/>
    <w:rsid w:val="008330D9"/>
    <w:rsid w:val="008330EE"/>
    <w:rsid w:val="00833742"/>
    <w:rsid w:val="00833CEE"/>
    <w:rsid w:val="00834368"/>
    <w:rsid w:val="00834655"/>
    <w:rsid w:val="008346BE"/>
    <w:rsid w:val="00834752"/>
    <w:rsid w:val="00834C46"/>
    <w:rsid w:val="00834C86"/>
    <w:rsid w:val="0083564D"/>
    <w:rsid w:val="00835798"/>
    <w:rsid w:val="00835F14"/>
    <w:rsid w:val="008361AB"/>
    <w:rsid w:val="0083621D"/>
    <w:rsid w:val="008362DC"/>
    <w:rsid w:val="008370C8"/>
    <w:rsid w:val="00837398"/>
    <w:rsid w:val="00837BFC"/>
    <w:rsid w:val="00837FF1"/>
    <w:rsid w:val="0084042D"/>
    <w:rsid w:val="00840810"/>
    <w:rsid w:val="0084093E"/>
    <w:rsid w:val="00840A9C"/>
    <w:rsid w:val="00840D08"/>
    <w:rsid w:val="00840EB4"/>
    <w:rsid w:val="0084135A"/>
    <w:rsid w:val="00841749"/>
    <w:rsid w:val="00841A52"/>
    <w:rsid w:val="00841CE1"/>
    <w:rsid w:val="00842201"/>
    <w:rsid w:val="0084289A"/>
    <w:rsid w:val="008431FD"/>
    <w:rsid w:val="00843328"/>
    <w:rsid w:val="0084338F"/>
    <w:rsid w:val="00843715"/>
    <w:rsid w:val="00843D25"/>
    <w:rsid w:val="00843F60"/>
    <w:rsid w:val="00843F89"/>
    <w:rsid w:val="00844150"/>
    <w:rsid w:val="0084462A"/>
    <w:rsid w:val="00845090"/>
    <w:rsid w:val="008453FD"/>
    <w:rsid w:val="00845D9D"/>
    <w:rsid w:val="008465C2"/>
    <w:rsid w:val="008466F2"/>
    <w:rsid w:val="008473D8"/>
    <w:rsid w:val="00847733"/>
    <w:rsid w:val="0085108E"/>
    <w:rsid w:val="00851473"/>
    <w:rsid w:val="0085148D"/>
    <w:rsid w:val="008519C3"/>
    <w:rsid w:val="00851F55"/>
    <w:rsid w:val="0085225B"/>
    <w:rsid w:val="008522F0"/>
    <w:rsid w:val="00852687"/>
    <w:rsid w:val="008528DC"/>
    <w:rsid w:val="0085292D"/>
    <w:rsid w:val="00852B8C"/>
    <w:rsid w:val="00852CA0"/>
    <w:rsid w:val="008530FE"/>
    <w:rsid w:val="00853205"/>
    <w:rsid w:val="008532FA"/>
    <w:rsid w:val="0085343B"/>
    <w:rsid w:val="00853A73"/>
    <w:rsid w:val="00853E79"/>
    <w:rsid w:val="00854497"/>
    <w:rsid w:val="0085470A"/>
    <w:rsid w:val="00854981"/>
    <w:rsid w:val="008555F2"/>
    <w:rsid w:val="008556E0"/>
    <w:rsid w:val="00855ABF"/>
    <w:rsid w:val="00855B1B"/>
    <w:rsid w:val="008561FF"/>
    <w:rsid w:val="00856588"/>
    <w:rsid w:val="00856BC8"/>
    <w:rsid w:val="00856FF0"/>
    <w:rsid w:val="00857709"/>
    <w:rsid w:val="00857C06"/>
    <w:rsid w:val="00857DA7"/>
    <w:rsid w:val="00860420"/>
    <w:rsid w:val="008605DB"/>
    <w:rsid w:val="00860C01"/>
    <w:rsid w:val="008610B9"/>
    <w:rsid w:val="00861544"/>
    <w:rsid w:val="00861699"/>
    <w:rsid w:val="008618EE"/>
    <w:rsid w:val="00861A00"/>
    <w:rsid w:val="00861AA3"/>
    <w:rsid w:val="00861BA4"/>
    <w:rsid w:val="00862096"/>
    <w:rsid w:val="00862105"/>
    <w:rsid w:val="008623BE"/>
    <w:rsid w:val="00862453"/>
    <w:rsid w:val="00862A48"/>
    <w:rsid w:val="00862E05"/>
    <w:rsid w:val="00862E96"/>
    <w:rsid w:val="00862F4C"/>
    <w:rsid w:val="008630D8"/>
    <w:rsid w:val="00863524"/>
    <w:rsid w:val="00863CA7"/>
    <w:rsid w:val="00863D0C"/>
    <w:rsid w:val="0086404D"/>
    <w:rsid w:val="008642EA"/>
    <w:rsid w:val="00864366"/>
    <w:rsid w:val="0086445C"/>
    <w:rsid w:val="00864651"/>
    <w:rsid w:val="00864B2E"/>
    <w:rsid w:val="00865218"/>
    <w:rsid w:val="00865356"/>
    <w:rsid w:val="00865725"/>
    <w:rsid w:val="00865963"/>
    <w:rsid w:val="00865CA8"/>
    <w:rsid w:val="00865DEF"/>
    <w:rsid w:val="00866387"/>
    <w:rsid w:val="008667C1"/>
    <w:rsid w:val="00866DAC"/>
    <w:rsid w:val="00867185"/>
    <w:rsid w:val="008678C9"/>
    <w:rsid w:val="00867A7D"/>
    <w:rsid w:val="00867E95"/>
    <w:rsid w:val="00867EF5"/>
    <w:rsid w:val="00870261"/>
    <w:rsid w:val="008705D6"/>
    <w:rsid w:val="0087086A"/>
    <w:rsid w:val="008708C8"/>
    <w:rsid w:val="00871022"/>
    <w:rsid w:val="008710AA"/>
    <w:rsid w:val="00871AB1"/>
    <w:rsid w:val="00871C07"/>
    <w:rsid w:val="00871C1D"/>
    <w:rsid w:val="00871FEA"/>
    <w:rsid w:val="0087284F"/>
    <w:rsid w:val="00872B46"/>
    <w:rsid w:val="00873BC7"/>
    <w:rsid w:val="008741BE"/>
    <w:rsid w:val="00874329"/>
    <w:rsid w:val="008743C3"/>
    <w:rsid w:val="0087446E"/>
    <w:rsid w:val="00874472"/>
    <w:rsid w:val="0087450E"/>
    <w:rsid w:val="00874E77"/>
    <w:rsid w:val="00874F25"/>
    <w:rsid w:val="008752AB"/>
    <w:rsid w:val="00875576"/>
    <w:rsid w:val="00875A82"/>
    <w:rsid w:val="0087615E"/>
    <w:rsid w:val="008762C3"/>
    <w:rsid w:val="00876314"/>
    <w:rsid w:val="0087673C"/>
    <w:rsid w:val="00876CA3"/>
    <w:rsid w:val="00876EF9"/>
    <w:rsid w:val="008772FE"/>
    <w:rsid w:val="008774BA"/>
    <w:rsid w:val="008775F1"/>
    <w:rsid w:val="008777C1"/>
    <w:rsid w:val="00877C7C"/>
    <w:rsid w:val="00877D06"/>
    <w:rsid w:val="00877DFC"/>
    <w:rsid w:val="008800E9"/>
    <w:rsid w:val="008806F6"/>
    <w:rsid w:val="00880BEA"/>
    <w:rsid w:val="00880C57"/>
    <w:rsid w:val="008818FD"/>
    <w:rsid w:val="00881CDB"/>
    <w:rsid w:val="008820AE"/>
    <w:rsid w:val="008821AE"/>
    <w:rsid w:val="0088221A"/>
    <w:rsid w:val="0088234E"/>
    <w:rsid w:val="0088287D"/>
    <w:rsid w:val="0088358C"/>
    <w:rsid w:val="008839F9"/>
    <w:rsid w:val="00883CD9"/>
    <w:rsid w:val="00883D3A"/>
    <w:rsid w:val="008841F9"/>
    <w:rsid w:val="00884244"/>
    <w:rsid w:val="0088457D"/>
    <w:rsid w:val="008849BA"/>
    <w:rsid w:val="00884A77"/>
    <w:rsid w:val="00884D88"/>
    <w:rsid w:val="00884F1F"/>
    <w:rsid w:val="00885306"/>
    <w:rsid w:val="008854F7"/>
    <w:rsid w:val="0088584C"/>
    <w:rsid w:val="008858B5"/>
    <w:rsid w:val="00885937"/>
    <w:rsid w:val="00885A9D"/>
    <w:rsid w:val="0088673B"/>
    <w:rsid w:val="008867D1"/>
    <w:rsid w:val="00886C06"/>
    <w:rsid w:val="00886C7C"/>
    <w:rsid w:val="00886D27"/>
    <w:rsid w:val="00886DA6"/>
    <w:rsid w:val="00886F65"/>
    <w:rsid w:val="00886F98"/>
    <w:rsid w:val="008874D2"/>
    <w:rsid w:val="00887820"/>
    <w:rsid w:val="008878DA"/>
    <w:rsid w:val="00887C91"/>
    <w:rsid w:val="00887D58"/>
    <w:rsid w:val="0089090D"/>
    <w:rsid w:val="00890A59"/>
    <w:rsid w:val="008919F3"/>
    <w:rsid w:val="00891A95"/>
    <w:rsid w:val="00891C75"/>
    <w:rsid w:val="008921CF"/>
    <w:rsid w:val="00892521"/>
    <w:rsid w:val="008928B3"/>
    <w:rsid w:val="00892981"/>
    <w:rsid w:val="008929D2"/>
    <w:rsid w:val="00892C22"/>
    <w:rsid w:val="00892D07"/>
    <w:rsid w:val="00893636"/>
    <w:rsid w:val="008937F1"/>
    <w:rsid w:val="00893B94"/>
    <w:rsid w:val="008940B5"/>
    <w:rsid w:val="008940CB"/>
    <w:rsid w:val="00894585"/>
    <w:rsid w:val="0089496B"/>
    <w:rsid w:val="00894E95"/>
    <w:rsid w:val="00895414"/>
    <w:rsid w:val="00895514"/>
    <w:rsid w:val="00895A9C"/>
    <w:rsid w:val="00895D35"/>
    <w:rsid w:val="00896146"/>
    <w:rsid w:val="00896191"/>
    <w:rsid w:val="00896842"/>
    <w:rsid w:val="008969FA"/>
    <w:rsid w:val="00896D4A"/>
    <w:rsid w:val="00896E9D"/>
    <w:rsid w:val="00896F11"/>
    <w:rsid w:val="008973F2"/>
    <w:rsid w:val="00897FB1"/>
    <w:rsid w:val="008A005B"/>
    <w:rsid w:val="008A04A0"/>
    <w:rsid w:val="008A06F0"/>
    <w:rsid w:val="008A0E25"/>
    <w:rsid w:val="008A0FA6"/>
    <w:rsid w:val="008A1044"/>
    <w:rsid w:val="008A1049"/>
    <w:rsid w:val="008A13C8"/>
    <w:rsid w:val="008A14F9"/>
    <w:rsid w:val="008A172B"/>
    <w:rsid w:val="008A1936"/>
    <w:rsid w:val="008A1C98"/>
    <w:rsid w:val="008A1FAE"/>
    <w:rsid w:val="008A2063"/>
    <w:rsid w:val="008A241A"/>
    <w:rsid w:val="008A2479"/>
    <w:rsid w:val="008A270A"/>
    <w:rsid w:val="008A29DB"/>
    <w:rsid w:val="008A322D"/>
    <w:rsid w:val="008A35C1"/>
    <w:rsid w:val="008A3966"/>
    <w:rsid w:val="008A3F00"/>
    <w:rsid w:val="008A461E"/>
    <w:rsid w:val="008A471B"/>
    <w:rsid w:val="008A489D"/>
    <w:rsid w:val="008A4913"/>
    <w:rsid w:val="008A4B41"/>
    <w:rsid w:val="008A4D72"/>
    <w:rsid w:val="008A52FC"/>
    <w:rsid w:val="008A55F0"/>
    <w:rsid w:val="008A56E2"/>
    <w:rsid w:val="008A58F7"/>
    <w:rsid w:val="008A595D"/>
    <w:rsid w:val="008A5EAC"/>
    <w:rsid w:val="008A6285"/>
    <w:rsid w:val="008A63B2"/>
    <w:rsid w:val="008A6FF4"/>
    <w:rsid w:val="008B0130"/>
    <w:rsid w:val="008B087C"/>
    <w:rsid w:val="008B09F2"/>
    <w:rsid w:val="008B0E15"/>
    <w:rsid w:val="008B11B1"/>
    <w:rsid w:val="008B24C2"/>
    <w:rsid w:val="008B263C"/>
    <w:rsid w:val="008B2666"/>
    <w:rsid w:val="008B2FF9"/>
    <w:rsid w:val="008B345D"/>
    <w:rsid w:val="008B358C"/>
    <w:rsid w:val="008B3680"/>
    <w:rsid w:val="008B3749"/>
    <w:rsid w:val="008B3839"/>
    <w:rsid w:val="008B39E7"/>
    <w:rsid w:val="008B3A49"/>
    <w:rsid w:val="008B3D2E"/>
    <w:rsid w:val="008B3F87"/>
    <w:rsid w:val="008B430B"/>
    <w:rsid w:val="008B4D00"/>
    <w:rsid w:val="008B4D23"/>
    <w:rsid w:val="008B4FAD"/>
    <w:rsid w:val="008B511D"/>
    <w:rsid w:val="008B5185"/>
    <w:rsid w:val="008B5A6A"/>
    <w:rsid w:val="008B60F5"/>
    <w:rsid w:val="008B6957"/>
    <w:rsid w:val="008B7168"/>
    <w:rsid w:val="008B7242"/>
    <w:rsid w:val="008B7364"/>
    <w:rsid w:val="008B741B"/>
    <w:rsid w:val="008B7701"/>
    <w:rsid w:val="008B7B72"/>
    <w:rsid w:val="008C1112"/>
    <w:rsid w:val="008C1538"/>
    <w:rsid w:val="008C158F"/>
    <w:rsid w:val="008C17F3"/>
    <w:rsid w:val="008C193F"/>
    <w:rsid w:val="008C1D43"/>
    <w:rsid w:val="008C1FC2"/>
    <w:rsid w:val="008C247C"/>
    <w:rsid w:val="008C2980"/>
    <w:rsid w:val="008C2A5A"/>
    <w:rsid w:val="008C2B2E"/>
    <w:rsid w:val="008C2B99"/>
    <w:rsid w:val="008C2C85"/>
    <w:rsid w:val="008C347D"/>
    <w:rsid w:val="008C37A1"/>
    <w:rsid w:val="008C3927"/>
    <w:rsid w:val="008C3D84"/>
    <w:rsid w:val="008C438E"/>
    <w:rsid w:val="008C4569"/>
    <w:rsid w:val="008C4B11"/>
    <w:rsid w:val="008C4DD6"/>
    <w:rsid w:val="008C4ECE"/>
    <w:rsid w:val="008C5028"/>
    <w:rsid w:val="008C5AFB"/>
    <w:rsid w:val="008C6581"/>
    <w:rsid w:val="008C6658"/>
    <w:rsid w:val="008C6845"/>
    <w:rsid w:val="008C6B07"/>
    <w:rsid w:val="008C6ED6"/>
    <w:rsid w:val="008C6FD1"/>
    <w:rsid w:val="008C723B"/>
    <w:rsid w:val="008C7580"/>
    <w:rsid w:val="008C7894"/>
    <w:rsid w:val="008C79AA"/>
    <w:rsid w:val="008C7A8D"/>
    <w:rsid w:val="008C7FC2"/>
    <w:rsid w:val="008D0199"/>
    <w:rsid w:val="008D0457"/>
    <w:rsid w:val="008D04B0"/>
    <w:rsid w:val="008D07FB"/>
    <w:rsid w:val="008D0ADF"/>
    <w:rsid w:val="008D0B4C"/>
    <w:rsid w:val="008D0C02"/>
    <w:rsid w:val="008D0C7E"/>
    <w:rsid w:val="008D11E5"/>
    <w:rsid w:val="008D1546"/>
    <w:rsid w:val="008D16E4"/>
    <w:rsid w:val="008D1F3A"/>
    <w:rsid w:val="008D231C"/>
    <w:rsid w:val="008D266A"/>
    <w:rsid w:val="008D28B6"/>
    <w:rsid w:val="008D2D42"/>
    <w:rsid w:val="008D2F5C"/>
    <w:rsid w:val="008D3360"/>
    <w:rsid w:val="008D357D"/>
    <w:rsid w:val="008D3874"/>
    <w:rsid w:val="008D3ABB"/>
    <w:rsid w:val="008D3B03"/>
    <w:rsid w:val="008D3B1C"/>
    <w:rsid w:val="008D435A"/>
    <w:rsid w:val="008D463E"/>
    <w:rsid w:val="008D4849"/>
    <w:rsid w:val="008D4A3D"/>
    <w:rsid w:val="008D4C4B"/>
    <w:rsid w:val="008D53E7"/>
    <w:rsid w:val="008D5485"/>
    <w:rsid w:val="008D56E5"/>
    <w:rsid w:val="008D6085"/>
    <w:rsid w:val="008D6337"/>
    <w:rsid w:val="008D7049"/>
    <w:rsid w:val="008D7066"/>
    <w:rsid w:val="008D77CC"/>
    <w:rsid w:val="008D7C22"/>
    <w:rsid w:val="008E0447"/>
    <w:rsid w:val="008E0476"/>
    <w:rsid w:val="008E04AC"/>
    <w:rsid w:val="008E04E6"/>
    <w:rsid w:val="008E063A"/>
    <w:rsid w:val="008E06DC"/>
    <w:rsid w:val="008E0938"/>
    <w:rsid w:val="008E0953"/>
    <w:rsid w:val="008E0B08"/>
    <w:rsid w:val="008E0F53"/>
    <w:rsid w:val="008E1293"/>
    <w:rsid w:val="008E140E"/>
    <w:rsid w:val="008E14C0"/>
    <w:rsid w:val="008E14CF"/>
    <w:rsid w:val="008E15BE"/>
    <w:rsid w:val="008E172E"/>
    <w:rsid w:val="008E1812"/>
    <w:rsid w:val="008E2582"/>
    <w:rsid w:val="008E2586"/>
    <w:rsid w:val="008E2614"/>
    <w:rsid w:val="008E2CA1"/>
    <w:rsid w:val="008E3057"/>
    <w:rsid w:val="008E3844"/>
    <w:rsid w:val="008E387B"/>
    <w:rsid w:val="008E38B4"/>
    <w:rsid w:val="008E4200"/>
    <w:rsid w:val="008E4368"/>
    <w:rsid w:val="008E4C1F"/>
    <w:rsid w:val="008E4FB6"/>
    <w:rsid w:val="008E5429"/>
    <w:rsid w:val="008E54E9"/>
    <w:rsid w:val="008E565D"/>
    <w:rsid w:val="008E5D25"/>
    <w:rsid w:val="008E5E20"/>
    <w:rsid w:val="008E6087"/>
    <w:rsid w:val="008E61F8"/>
    <w:rsid w:val="008E6506"/>
    <w:rsid w:val="008E6569"/>
    <w:rsid w:val="008E6A9C"/>
    <w:rsid w:val="008E758D"/>
    <w:rsid w:val="008E785A"/>
    <w:rsid w:val="008E7B2D"/>
    <w:rsid w:val="008E7B57"/>
    <w:rsid w:val="008F01DA"/>
    <w:rsid w:val="008F041A"/>
    <w:rsid w:val="008F10A7"/>
    <w:rsid w:val="008F110B"/>
    <w:rsid w:val="008F1180"/>
    <w:rsid w:val="008F12AC"/>
    <w:rsid w:val="008F1602"/>
    <w:rsid w:val="008F16CA"/>
    <w:rsid w:val="008F1999"/>
    <w:rsid w:val="008F20A6"/>
    <w:rsid w:val="008F2133"/>
    <w:rsid w:val="008F2184"/>
    <w:rsid w:val="008F24A9"/>
    <w:rsid w:val="008F2A09"/>
    <w:rsid w:val="008F2A47"/>
    <w:rsid w:val="008F2CE4"/>
    <w:rsid w:val="008F2D23"/>
    <w:rsid w:val="008F2E00"/>
    <w:rsid w:val="008F30A4"/>
    <w:rsid w:val="008F32F4"/>
    <w:rsid w:val="008F3411"/>
    <w:rsid w:val="008F3572"/>
    <w:rsid w:val="008F3A99"/>
    <w:rsid w:val="008F3BE0"/>
    <w:rsid w:val="008F4669"/>
    <w:rsid w:val="008F4A45"/>
    <w:rsid w:val="008F4FAD"/>
    <w:rsid w:val="008F5BAA"/>
    <w:rsid w:val="008F5E23"/>
    <w:rsid w:val="008F5EF4"/>
    <w:rsid w:val="008F61E7"/>
    <w:rsid w:val="008F6215"/>
    <w:rsid w:val="008F65DE"/>
    <w:rsid w:val="008F7043"/>
    <w:rsid w:val="008F70EC"/>
    <w:rsid w:val="008F755D"/>
    <w:rsid w:val="008F7576"/>
    <w:rsid w:val="008F7646"/>
    <w:rsid w:val="008F7A39"/>
    <w:rsid w:val="008F7DCB"/>
    <w:rsid w:val="009002EC"/>
    <w:rsid w:val="00900388"/>
    <w:rsid w:val="00900405"/>
    <w:rsid w:val="00900A8E"/>
    <w:rsid w:val="00900EDE"/>
    <w:rsid w:val="00900EE2"/>
    <w:rsid w:val="00901006"/>
    <w:rsid w:val="00901367"/>
    <w:rsid w:val="00901EE1"/>
    <w:rsid w:val="009020BD"/>
    <w:rsid w:val="009021E8"/>
    <w:rsid w:val="00902464"/>
    <w:rsid w:val="00902B1F"/>
    <w:rsid w:val="00903212"/>
    <w:rsid w:val="009032DB"/>
    <w:rsid w:val="009032EF"/>
    <w:rsid w:val="009035E4"/>
    <w:rsid w:val="009037ED"/>
    <w:rsid w:val="00903821"/>
    <w:rsid w:val="0090391D"/>
    <w:rsid w:val="009039AC"/>
    <w:rsid w:val="00903A41"/>
    <w:rsid w:val="00903D44"/>
    <w:rsid w:val="00904677"/>
    <w:rsid w:val="00904A6A"/>
    <w:rsid w:val="00904B12"/>
    <w:rsid w:val="00904D75"/>
    <w:rsid w:val="00905AF1"/>
    <w:rsid w:val="00905D2A"/>
    <w:rsid w:val="00905EE2"/>
    <w:rsid w:val="00905F6D"/>
    <w:rsid w:val="009069D5"/>
    <w:rsid w:val="00906CFF"/>
    <w:rsid w:val="0090749E"/>
    <w:rsid w:val="00907621"/>
    <w:rsid w:val="009077E1"/>
    <w:rsid w:val="00907BB6"/>
    <w:rsid w:val="009101C6"/>
    <w:rsid w:val="0091077D"/>
    <w:rsid w:val="00910F55"/>
    <w:rsid w:val="0091116F"/>
    <w:rsid w:val="00911440"/>
    <w:rsid w:val="00911712"/>
    <w:rsid w:val="00911AB6"/>
    <w:rsid w:val="00911AFA"/>
    <w:rsid w:val="00911B27"/>
    <w:rsid w:val="00911EAA"/>
    <w:rsid w:val="00912036"/>
    <w:rsid w:val="009125D3"/>
    <w:rsid w:val="009127F3"/>
    <w:rsid w:val="00912B2E"/>
    <w:rsid w:val="00912B4C"/>
    <w:rsid w:val="00912E81"/>
    <w:rsid w:val="0091357D"/>
    <w:rsid w:val="00913B04"/>
    <w:rsid w:val="009140E3"/>
    <w:rsid w:val="00914243"/>
    <w:rsid w:val="00914724"/>
    <w:rsid w:val="00914D4F"/>
    <w:rsid w:val="00915171"/>
    <w:rsid w:val="00915AC6"/>
    <w:rsid w:val="00915AD2"/>
    <w:rsid w:val="00915F20"/>
    <w:rsid w:val="00915FB3"/>
    <w:rsid w:val="00916695"/>
    <w:rsid w:val="00916722"/>
    <w:rsid w:val="009167BC"/>
    <w:rsid w:val="009170BE"/>
    <w:rsid w:val="00917ACA"/>
    <w:rsid w:val="00917D7B"/>
    <w:rsid w:val="00917E1E"/>
    <w:rsid w:val="00917FD1"/>
    <w:rsid w:val="00920307"/>
    <w:rsid w:val="0092063F"/>
    <w:rsid w:val="0092076A"/>
    <w:rsid w:val="009208F5"/>
    <w:rsid w:val="00920A50"/>
    <w:rsid w:val="00920B55"/>
    <w:rsid w:val="0092115D"/>
    <w:rsid w:val="0092132A"/>
    <w:rsid w:val="0092151F"/>
    <w:rsid w:val="00921561"/>
    <w:rsid w:val="009215AE"/>
    <w:rsid w:val="009219FE"/>
    <w:rsid w:val="00921DD2"/>
    <w:rsid w:val="00921FE2"/>
    <w:rsid w:val="009220DB"/>
    <w:rsid w:val="009221D5"/>
    <w:rsid w:val="0092224F"/>
    <w:rsid w:val="009222B3"/>
    <w:rsid w:val="009224E9"/>
    <w:rsid w:val="00922734"/>
    <w:rsid w:val="0092277B"/>
    <w:rsid w:val="00922808"/>
    <w:rsid w:val="00922C41"/>
    <w:rsid w:val="00922F25"/>
    <w:rsid w:val="009230A1"/>
    <w:rsid w:val="0092312D"/>
    <w:rsid w:val="009234C5"/>
    <w:rsid w:val="00923D93"/>
    <w:rsid w:val="00923FF0"/>
    <w:rsid w:val="00924010"/>
    <w:rsid w:val="00924A59"/>
    <w:rsid w:val="00924BCA"/>
    <w:rsid w:val="00924FF8"/>
    <w:rsid w:val="009250D6"/>
    <w:rsid w:val="0092511A"/>
    <w:rsid w:val="009258D6"/>
    <w:rsid w:val="00925E93"/>
    <w:rsid w:val="009262C9"/>
    <w:rsid w:val="00926CB7"/>
    <w:rsid w:val="00927731"/>
    <w:rsid w:val="00927788"/>
    <w:rsid w:val="00927974"/>
    <w:rsid w:val="00927D0C"/>
    <w:rsid w:val="00930115"/>
    <w:rsid w:val="009301EC"/>
    <w:rsid w:val="009303D2"/>
    <w:rsid w:val="009306C9"/>
    <w:rsid w:val="00930EB9"/>
    <w:rsid w:val="00931263"/>
    <w:rsid w:val="009314F1"/>
    <w:rsid w:val="009317D2"/>
    <w:rsid w:val="009319F3"/>
    <w:rsid w:val="00931DE1"/>
    <w:rsid w:val="009321BD"/>
    <w:rsid w:val="00932630"/>
    <w:rsid w:val="009328D4"/>
    <w:rsid w:val="0093305D"/>
    <w:rsid w:val="00933459"/>
    <w:rsid w:val="00933DC7"/>
    <w:rsid w:val="00933F90"/>
    <w:rsid w:val="0093426F"/>
    <w:rsid w:val="009344F0"/>
    <w:rsid w:val="00934A32"/>
    <w:rsid w:val="00935477"/>
    <w:rsid w:val="00935B32"/>
    <w:rsid w:val="00935DA0"/>
    <w:rsid w:val="00936611"/>
    <w:rsid w:val="009366C8"/>
    <w:rsid w:val="00936CA9"/>
    <w:rsid w:val="00936EEB"/>
    <w:rsid w:val="0093720B"/>
    <w:rsid w:val="00937407"/>
    <w:rsid w:val="00937C03"/>
    <w:rsid w:val="00941697"/>
    <w:rsid w:val="009418F4"/>
    <w:rsid w:val="00941AE5"/>
    <w:rsid w:val="00941AED"/>
    <w:rsid w:val="00942181"/>
    <w:rsid w:val="00942593"/>
    <w:rsid w:val="00942BBC"/>
    <w:rsid w:val="00943101"/>
    <w:rsid w:val="009433DE"/>
    <w:rsid w:val="0094361E"/>
    <w:rsid w:val="009436E3"/>
    <w:rsid w:val="009439CE"/>
    <w:rsid w:val="00943C41"/>
    <w:rsid w:val="00943D35"/>
    <w:rsid w:val="00943E9A"/>
    <w:rsid w:val="00944110"/>
    <w:rsid w:val="00944180"/>
    <w:rsid w:val="009442AE"/>
    <w:rsid w:val="009442FD"/>
    <w:rsid w:val="00944A47"/>
    <w:rsid w:val="00944AA0"/>
    <w:rsid w:val="00944CF5"/>
    <w:rsid w:val="00944D2A"/>
    <w:rsid w:val="009450EE"/>
    <w:rsid w:val="00945AF7"/>
    <w:rsid w:val="00945B0A"/>
    <w:rsid w:val="00945CB4"/>
    <w:rsid w:val="00946004"/>
    <w:rsid w:val="00946093"/>
    <w:rsid w:val="0094629D"/>
    <w:rsid w:val="00946580"/>
    <w:rsid w:val="009472F3"/>
    <w:rsid w:val="009473AE"/>
    <w:rsid w:val="009475B2"/>
    <w:rsid w:val="00947B11"/>
    <w:rsid w:val="00947DA2"/>
    <w:rsid w:val="00947EB2"/>
    <w:rsid w:val="0095036D"/>
    <w:rsid w:val="00950449"/>
    <w:rsid w:val="00950A48"/>
    <w:rsid w:val="00950B50"/>
    <w:rsid w:val="00951177"/>
    <w:rsid w:val="00951BDB"/>
    <w:rsid w:val="00951DEA"/>
    <w:rsid w:val="00952465"/>
    <w:rsid w:val="00952A13"/>
    <w:rsid w:val="00952B5F"/>
    <w:rsid w:val="00952E22"/>
    <w:rsid w:val="00952E87"/>
    <w:rsid w:val="009534CE"/>
    <w:rsid w:val="009537EC"/>
    <w:rsid w:val="0095385F"/>
    <w:rsid w:val="00953CDB"/>
    <w:rsid w:val="00953EEE"/>
    <w:rsid w:val="009542E9"/>
    <w:rsid w:val="00954B59"/>
    <w:rsid w:val="00954DE2"/>
    <w:rsid w:val="00955158"/>
    <w:rsid w:val="009552B0"/>
    <w:rsid w:val="00955998"/>
    <w:rsid w:val="009563EB"/>
    <w:rsid w:val="0095641C"/>
    <w:rsid w:val="00956482"/>
    <w:rsid w:val="009569FB"/>
    <w:rsid w:val="00956DB9"/>
    <w:rsid w:val="009576D7"/>
    <w:rsid w:val="0096003D"/>
    <w:rsid w:val="009601BB"/>
    <w:rsid w:val="00960A3B"/>
    <w:rsid w:val="009610BE"/>
    <w:rsid w:val="0096119C"/>
    <w:rsid w:val="009618B9"/>
    <w:rsid w:val="009618E8"/>
    <w:rsid w:val="00961CFD"/>
    <w:rsid w:val="00961D51"/>
    <w:rsid w:val="00961DDB"/>
    <w:rsid w:val="009622AD"/>
    <w:rsid w:val="009622CB"/>
    <w:rsid w:val="009623DD"/>
    <w:rsid w:val="00962511"/>
    <w:rsid w:val="00962CC9"/>
    <w:rsid w:val="0096305D"/>
    <w:rsid w:val="009635DB"/>
    <w:rsid w:val="00963635"/>
    <w:rsid w:val="0096394D"/>
    <w:rsid w:val="00963E1D"/>
    <w:rsid w:val="00964BBE"/>
    <w:rsid w:val="00964DCE"/>
    <w:rsid w:val="00964FF2"/>
    <w:rsid w:val="009658C0"/>
    <w:rsid w:val="00965EDA"/>
    <w:rsid w:val="00966584"/>
    <w:rsid w:val="00966629"/>
    <w:rsid w:val="0096668D"/>
    <w:rsid w:val="00966802"/>
    <w:rsid w:val="009669BC"/>
    <w:rsid w:val="00966ADB"/>
    <w:rsid w:val="0096716D"/>
    <w:rsid w:val="009672DC"/>
    <w:rsid w:val="009673E8"/>
    <w:rsid w:val="00967524"/>
    <w:rsid w:val="009675D2"/>
    <w:rsid w:val="00967690"/>
    <w:rsid w:val="00967BFD"/>
    <w:rsid w:val="00970133"/>
    <w:rsid w:val="00970394"/>
    <w:rsid w:val="0097050D"/>
    <w:rsid w:val="00970549"/>
    <w:rsid w:val="0097066D"/>
    <w:rsid w:val="00970A3C"/>
    <w:rsid w:val="00970E49"/>
    <w:rsid w:val="00971232"/>
    <w:rsid w:val="0097166C"/>
    <w:rsid w:val="0097219C"/>
    <w:rsid w:val="00972405"/>
    <w:rsid w:val="00972706"/>
    <w:rsid w:val="00972902"/>
    <w:rsid w:val="009734DE"/>
    <w:rsid w:val="00973614"/>
    <w:rsid w:val="0097365E"/>
    <w:rsid w:val="00973756"/>
    <w:rsid w:val="0097398E"/>
    <w:rsid w:val="00973B27"/>
    <w:rsid w:val="00973E8A"/>
    <w:rsid w:val="009744D5"/>
    <w:rsid w:val="00974DB8"/>
    <w:rsid w:val="009755BE"/>
    <w:rsid w:val="009757AB"/>
    <w:rsid w:val="009759B4"/>
    <w:rsid w:val="00975D12"/>
    <w:rsid w:val="00976106"/>
    <w:rsid w:val="009764AC"/>
    <w:rsid w:val="0097682F"/>
    <w:rsid w:val="00976A3B"/>
    <w:rsid w:val="00976A8B"/>
    <w:rsid w:val="00976CF5"/>
    <w:rsid w:val="00976E22"/>
    <w:rsid w:val="0097734D"/>
    <w:rsid w:val="009776CB"/>
    <w:rsid w:val="009778A1"/>
    <w:rsid w:val="00977FF9"/>
    <w:rsid w:val="009801CB"/>
    <w:rsid w:val="0098035C"/>
    <w:rsid w:val="00980372"/>
    <w:rsid w:val="009803F4"/>
    <w:rsid w:val="009805AF"/>
    <w:rsid w:val="009805FA"/>
    <w:rsid w:val="00980661"/>
    <w:rsid w:val="00980883"/>
    <w:rsid w:val="0098093B"/>
    <w:rsid w:val="00980AED"/>
    <w:rsid w:val="00980CCC"/>
    <w:rsid w:val="00980D42"/>
    <w:rsid w:val="009815DE"/>
    <w:rsid w:val="00981D7B"/>
    <w:rsid w:val="0098270A"/>
    <w:rsid w:val="00982B06"/>
    <w:rsid w:val="00983B15"/>
    <w:rsid w:val="00984191"/>
    <w:rsid w:val="009844E9"/>
    <w:rsid w:val="00984BF6"/>
    <w:rsid w:val="00984D7E"/>
    <w:rsid w:val="00985042"/>
    <w:rsid w:val="009855B2"/>
    <w:rsid w:val="009859CA"/>
    <w:rsid w:val="00985C46"/>
    <w:rsid w:val="00985C4D"/>
    <w:rsid w:val="00985CA9"/>
    <w:rsid w:val="00986230"/>
    <w:rsid w:val="00986B7F"/>
    <w:rsid w:val="00986B8D"/>
    <w:rsid w:val="00986DC9"/>
    <w:rsid w:val="00986E60"/>
    <w:rsid w:val="009875C4"/>
    <w:rsid w:val="009876D4"/>
    <w:rsid w:val="00987796"/>
    <w:rsid w:val="009905B5"/>
    <w:rsid w:val="00990B77"/>
    <w:rsid w:val="00990EB9"/>
    <w:rsid w:val="00991119"/>
    <w:rsid w:val="00991176"/>
    <w:rsid w:val="009914A5"/>
    <w:rsid w:val="00991A4E"/>
    <w:rsid w:val="00991B84"/>
    <w:rsid w:val="00991D77"/>
    <w:rsid w:val="00991DC1"/>
    <w:rsid w:val="00991E78"/>
    <w:rsid w:val="00991F1D"/>
    <w:rsid w:val="00991FF4"/>
    <w:rsid w:val="009920E9"/>
    <w:rsid w:val="009925F3"/>
    <w:rsid w:val="00992A5C"/>
    <w:rsid w:val="00992AE8"/>
    <w:rsid w:val="00992CFB"/>
    <w:rsid w:val="00992D4E"/>
    <w:rsid w:val="00992E23"/>
    <w:rsid w:val="00992FED"/>
    <w:rsid w:val="009930E9"/>
    <w:rsid w:val="009938A9"/>
    <w:rsid w:val="0099414D"/>
    <w:rsid w:val="0099473E"/>
    <w:rsid w:val="0099479B"/>
    <w:rsid w:val="0099548E"/>
    <w:rsid w:val="00995518"/>
    <w:rsid w:val="00995755"/>
    <w:rsid w:val="00996456"/>
    <w:rsid w:val="00996483"/>
    <w:rsid w:val="0099664B"/>
    <w:rsid w:val="00996745"/>
    <w:rsid w:val="00996965"/>
    <w:rsid w:val="009969A3"/>
    <w:rsid w:val="00996A12"/>
    <w:rsid w:val="00996C78"/>
    <w:rsid w:val="00996D16"/>
    <w:rsid w:val="00996FEA"/>
    <w:rsid w:val="00997581"/>
    <w:rsid w:val="00997582"/>
    <w:rsid w:val="009975F7"/>
    <w:rsid w:val="00997878"/>
    <w:rsid w:val="00997B0F"/>
    <w:rsid w:val="009A0154"/>
    <w:rsid w:val="009A030D"/>
    <w:rsid w:val="009A0583"/>
    <w:rsid w:val="009A07D4"/>
    <w:rsid w:val="009A0B23"/>
    <w:rsid w:val="009A0BC2"/>
    <w:rsid w:val="009A0CC3"/>
    <w:rsid w:val="009A0F32"/>
    <w:rsid w:val="009A11CD"/>
    <w:rsid w:val="009A17CD"/>
    <w:rsid w:val="009A19D8"/>
    <w:rsid w:val="009A1CAD"/>
    <w:rsid w:val="009A2213"/>
    <w:rsid w:val="009A2235"/>
    <w:rsid w:val="009A32D8"/>
    <w:rsid w:val="009A3440"/>
    <w:rsid w:val="009A35C4"/>
    <w:rsid w:val="009A36DB"/>
    <w:rsid w:val="009A386D"/>
    <w:rsid w:val="009A38DA"/>
    <w:rsid w:val="009A3FC1"/>
    <w:rsid w:val="009A4381"/>
    <w:rsid w:val="009A461E"/>
    <w:rsid w:val="009A47FD"/>
    <w:rsid w:val="009A4890"/>
    <w:rsid w:val="009A4A74"/>
    <w:rsid w:val="009A5195"/>
    <w:rsid w:val="009A5475"/>
    <w:rsid w:val="009A56DE"/>
    <w:rsid w:val="009A5832"/>
    <w:rsid w:val="009A5C1C"/>
    <w:rsid w:val="009A5E7B"/>
    <w:rsid w:val="009A6838"/>
    <w:rsid w:val="009A69CE"/>
    <w:rsid w:val="009A6A3C"/>
    <w:rsid w:val="009A6F17"/>
    <w:rsid w:val="009A7926"/>
    <w:rsid w:val="009A7B9C"/>
    <w:rsid w:val="009B0557"/>
    <w:rsid w:val="009B07F5"/>
    <w:rsid w:val="009B0B08"/>
    <w:rsid w:val="009B10B8"/>
    <w:rsid w:val="009B11C1"/>
    <w:rsid w:val="009B1287"/>
    <w:rsid w:val="009B13A3"/>
    <w:rsid w:val="009B189D"/>
    <w:rsid w:val="009B1A4B"/>
    <w:rsid w:val="009B1CB0"/>
    <w:rsid w:val="009B1CFD"/>
    <w:rsid w:val="009B205C"/>
    <w:rsid w:val="009B22C5"/>
    <w:rsid w:val="009B231A"/>
    <w:rsid w:val="009B2386"/>
    <w:rsid w:val="009B24B5"/>
    <w:rsid w:val="009B24B8"/>
    <w:rsid w:val="009B26A2"/>
    <w:rsid w:val="009B2D6C"/>
    <w:rsid w:val="009B2E51"/>
    <w:rsid w:val="009B2EFD"/>
    <w:rsid w:val="009B3236"/>
    <w:rsid w:val="009B36E3"/>
    <w:rsid w:val="009B37D9"/>
    <w:rsid w:val="009B3DCB"/>
    <w:rsid w:val="009B3DCE"/>
    <w:rsid w:val="009B3E97"/>
    <w:rsid w:val="009B47A7"/>
    <w:rsid w:val="009B4893"/>
    <w:rsid w:val="009B4C27"/>
    <w:rsid w:val="009B4D45"/>
    <w:rsid w:val="009B4DC4"/>
    <w:rsid w:val="009B4E22"/>
    <w:rsid w:val="009B4EBC"/>
    <w:rsid w:val="009B4FBC"/>
    <w:rsid w:val="009B5A70"/>
    <w:rsid w:val="009B5ABB"/>
    <w:rsid w:val="009B5F2B"/>
    <w:rsid w:val="009B70B5"/>
    <w:rsid w:val="009B73CE"/>
    <w:rsid w:val="009B740F"/>
    <w:rsid w:val="009B79AF"/>
    <w:rsid w:val="009B7A11"/>
    <w:rsid w:val="009B7A5E"/>
    <w:rsid w:val="009B7EB6"/>
    <w:rsid w:val="009C00E7"/>
    <w:rsid w:val="009C0144"/>
    <w:rsid w:val="009C05B0"/>
    <w:rsid w:val="009C06C9"/>
    <w:rsid w:val="009C1423"/>
    <w:rsid w:val="009C15E4"/>
    <w:rsid w:val="009C16D1"/>
    <w:rsid w:val="009C1A52"/>
    <w:rsid w:val="009C1B6F"/>
    <w:rsid w:val="009C1D17"/>
    <w:rsid w:val="009C1E5A"/>
    <w:rsid w:val="009C203E"/>
    <w:rsid w:val="009C2163"/>
    <w:rsid w:val="009C22DB"/>
    <w:rsid w:val="009C238F"/>
    <w:rsid w:val="009C2461"/>
    <w:rsid w:val="009C2529"/>
    <w:rsid w:val="009C27F0"/>
    <w:rsid w:val="009C2B54"/>
    <w:rsid w:val="009C2BB0"/>
    <w:rsid w:val="009C33A7"/>
    <w:rsid w:val="009C33F3"/>
    <w:rsid w:val="009C380A"/>
    <w:rsid w:val="009C40FD"/>
    <w:rsid w:val="009C42CA"/>
    <w:rsid w:val="009C43B1"/>
    <w:rsid w:val="009C44E1"/>
    <w:rsid w:val="009C469E"/>
    <w:rsid w:val="009C4973"/>
    <w:rsid w:val="009C5384"/>
    <w:rsid w:val="009C53B0"/>
    <w:rsid w:val="009C547D"/>
    <w:rsid w:val="009C5490"/>
    <w:rsid w:val="009C5714"/>
    <w:rsid w:val="009C5A15"/>
    <w:rsid w:val="009C5CD9"/>
    <w:rsid w:val="009C6308"/>
    <w:rsid w:val="009C67F3"/>
    <w:rsid w:val="009C67FC"/>
    <w:rsid w:val="009C6822"/>
    <w:rsid w:val="009C6FE2"/>
    <w:rsid w:val="009C70E9"/>
    <w:rsid w:val="009C7126"/>
    <w:rsid w:val="009C723F"/>
    <w:rsid w:val="009C763E"/>
    <w:rsid w:val="009C7674"/>
    <w:rsid w:val="009C76E5"/>
    <w:rsid w:val="009C7AB1"/>
    <w:rsid w:val="009C7B1F"/>
    <w:rsid w:val="009D004A"/>
    <w:rsid w:val="009D0068"/>
    <w:rsid w:val="009D0078"/>
    <w:rsid w:val="009D00A7"/>
    <w:rsid w:val="009D0C2B"/>
    <w:rsid w:val="009D0E40"/>
    <w:rsid w:val="009D0E72"/>
    <w:rsid w:val="009D1650"/>
    <w:rsid w:val="009D1B18"/>
    <w:rsid w:val="009D22EC"/>
    <w:rsid w:val="009D2730"/>
    <w:rsid w:val="009D29C0"/>
    <w:rsid w:val="009D36CB"/>
    <w:rsid w:val="009D462F"/>
    <w:rsid w:val="009D4AD0"/>
    <w:rsid w:val="009D4C49"/>
    <w:rsid w:val="009D52E3"/>
    <w:rsid w:val="009D54A4"/>
    <w:rsid w:val="009D5535"/>
    <w:rsid w:val="009D55F8"/>
    <w:rsid w:val="009D57CB"/>
    <w:rsid w:val="009D5880"/>
    <w:rsid w:val="009D5A6B"/>
    <w:rsid w:val="009D6083"/>
    <w:rsid w:val="009D60B5"/>
    <w:rsid w:val="009D60F2"/>
    <w:rsid w:val="009D650F"/>
    <w:rsid w:val="009D65FA"/>
    <w:rsid w:val="009D68B1"/>
    <w:rsid w:val="009D69C6"/>
    <w:rsid w:val="009D6B61"/>
    <w:rsid w:val="009D6D85"/>
    <w:rsid w:val="009D6EAB"/>
    <w:rsid w:val="009D7605"/>
    <w:rsid w:val="009D761E"/>
    <w:rsid w:val="009D764B"/>
    <w:rsid w:val="009D76E8"/>
    <w:rsid w:val="009D78D5"/>
    <w:rsid w:val="009D7A40"/>
    <w:rsid w:val="009D7E46"/>
    <w:rsid w:val="009E0085"/>
    <w:rsid w:val="009E02B9"/>
    <w:rsid w:val="009E042C"/>
    <w:rsid w:val="009E0E36"/>
    <w:rsid w:val="009E12FD"/>
    <w:rsid w:val="009E1612"/>
    <w:rsid w:val="009E1C1C"/>
    <w:rsid w:val="009E1F11"/>
    <w:rsid w:val="009E1FD4"/>
    <w:rsid w:val="009E2055"/>
    <w:rsid w:val="009E2715"/>
    <w:rsid w:val="009E2995"/>
    <w:rsid w:val="009E29BA"/>
    <w:rsid w:val="009E2A35"/>
    <w:rsid w:val="009E2FD5"/>
    <w:rsid w:val="009E35C5"/>
    <w:rsid w:val="009E383B"/>
    <w:rsid w:val="009E3992"/>
    <w:rsid w:val="009E3B07"/>
    <w:rsid w:val="009E4268"/>
    <w:rsid w:val="009E44EF"/>
    <w:rsid w:val="009E48AE"/>
    <w:rsid w:val="009E4AA5"/>
    <w:rsid w:val="009E51D1"/>
    <w:rsid w:val="009E5477"/>
    <w:rsid w:val="009E5531"/>
    <w:rsid w:val="009E6FBC"/>
    <w:rsid w:val="009E7004"/>
    <w:rsid w:val="009E70EB"/>
    <w:rsid w:val="009E7E28"/>
    <w:rsid w:val="009F0008"/>
    <w:rsid w:val="009F001E"/>
    <w:rsid w:val="009F029A"/>
    <w:rsid w:val="009F08BB"/>
    <w:rsid w:val="009F0980"/>
    <w:rsid w:val="009F0EA4"/>
    <w:rsid w:val="009F16AF"/>
    <w:rsid w:val="009F171E"/>
    <w:rsid w:val="009F1786"/>
    <w:rsid w:val="009F1A24"/>
    <w:rsid w:val="009F1DDE"/>
    <w:rsid w:val="009F1F81"/>
    <w:rsid w:val="009F204F"/>
    <w:rsid w:val="009F3456"/>
    <w:rsid w:val="009F3A6F"/>
    <w:rsid w:val="009F3C27"/>
    <w:rsid w:val="009F3C6F"/>
    <w:rsid w:val="009F3D2F"/>
    <w:rsid w:val="009F411D"/>
    <w:rsid w:val="009F45CA"/>
    <w:rsid w:val="009F461A"/>
    <w:rsid w:val="009F4BBD"/>
    <w:rsid w:val="009F4C98"/>
    <w:rsid w:val="009F615A"/>
    <w:rsid w:val="009F64E8"/>
    <w:rsid w:val="009F6946"/>
    <w:rsid w:val="009F6B8C"/>
    <w:rsid w:val="009F6FD3"/>
    <w:rsid w:val="009F7052"/>
    <w:rsid w:val="009F7776"/>
    <w:rsid w:val="00A008B3"/>
    <w:rsid w:val="00A00C59"/>
    <w:rsid w:val="00A0129E"/>
    <w:rsid w:val="00A01545"/>
    <w:rsid w:val="00A02038"/>
    <w:rsid w:val="00A02668"/>
    <w:rsid w:val="00A02801"/>
    <w:rsid w:val="00A0295D"/>
    <w:rsid w:val="00A02AEA"/>
    <w:rsid w:val="00A03010"/>
    <w:rsid w:val="00A033C3"/>
    <w:rsid w:val="00A035A9"/>
    <w:rsid w:val="00A03E59"/>
    <w:rsid w:val="00A03E86"/>
    <w:rsid w:val="00A0412A"/>
    <w:rsid w:val="00A04215"/>
    <w:rsid w:val="00A0460B"/>
    <w:rsid w:val="00A0466A"/>
    <w:rsid w:val="00A0473E"/>
    <w:rsid w:val="00A04AFF"/>
    <w:rsid w:val="00A0521E"/>
    <w:rsid w:val="00A059DC"/>
    <w:rsid w:val="00A05C4D"/>
    <w:rsid w:val="00A05C6F"/>
    <w:rsid w:val="00A06A39"/>
    <w:rsid w:val="00A06C74"/>
    <w:rsid w:val="00A071ED"/>
    <w:rsid w:val="00A076D8"/>
    <w:rsid w:val="00A07F58"/>
    <w:rsid w:val="00A10268"/>
    <w:rsid w:val="00A10471"/>
    <w:rsid w:val="00A109CB"/>
    <w:rsid w:val="00A109FC"/>
    <w:rsid w:val="00A10F51"/>
    <w:rsid w:val="00A111EA"/>
    <w:rsid w:val="00A115B2"/>
    <w:rsid w:val="00A1174C"/>
    <w:rsid w:val="00A11926"/>
    <w:rsid w:val="00A11A40"/>
    <w:rsid w:val="00A11CD3"/>
    <w:rsid w:val="00A11E55"/>
    <w:rsid w:val="00A122EE"/>
    <w:rsid w:val="00A12838"/>
    <w:rsid w:val="00A12BC8"/>
    <w:rsid w:val="00A12E99"/>
    <w:rsid w:val="00A131CB"/>
    <w:rsid w:val="00A13374"/>
    <w:rsid w:val="00A147A5"/>
    <w:rsid w:val="00A14847"/>
    <w:rsid w:val="00A14FB9"/>
    <w:rsid w:val="00A153FA"/>
    <w:rsid w:val="00A155CC"/>
    <w:rsid w:val="00A157CB"/>
    <w:rsid w:val="00A15827"/>
    <w:rsid w:val="00A15D2F"/>
    <w:rsid w:val="00A15DF4"/>
    <w:rsid w:val="00A15E82"/>
    <w:rsid w:val="00A16265"/>
    <w:rsid w:val="00A16494"/>
    <w:rsid w:val="00A1673C"/>
    <w:rsid w:val="00A16836"/>
    <w:rsid w:val="00A16A7E"/>
    <w:rsid w:val="00A16CBB"/>
    <w:rsid w:val="00A16D6D"/>
    <w:rsid w:val="00A16E81"/>
    <w:rsid w:val="00A17467"/>
    <w:rsid w:val="00A178DB"/>
    <w:rsid w:val="00A202DF"/>
    <w:rsid w:val="00A206B9"/>
    <w:rsid w:val="00A21383"/>
    <w:rsid w:val="00A21462"/>
    <w:rsid w:val="00A2199F"/>
    <w:rsid w:val="00A21A8A"/>
    <w:rsid w:val="00A21AE1"/>
    <w:rsid w:val="00A21B31"/>
    <w:rsid w:val="00A221BF"/>
    <w:rsid w:val="00A22698"/>
    <w:rsid w:val="00A22D5C"/>
    <w:rsid w:val="00A23253"/>
    <w:rsid w:val="00A23418"/>
    <w:rsid w:val="00A2360E"/>
    <w:rsid w:val="00A23B1C"/>
    <w:rsid w:val="00A23BFF"/>
    <w:rsid w:val="00A23D4C"/>
    <w:rsid w:val="00A23EDE"/>
    <w:rsid w:val="00A24120"/>
    <w:rsid w:val="00A24292"/>
    <w:rsid w:val="00A24E95"/>
    <w:rsid w:val="00A2531A"/>
    <w:rsid w:val="00A253BB"/>
    <w:rsid w:val="00A25774"/>
    <w:rsid w:val="00A25EC2"/>
    <w:rsid w:val="00A260D4"/>
    <w:rsid w:val="00A260E5"/>
    <w:rsid w:val="00A26169"/>
    <w:rsid w:val="00A265F3"/>
    <w:rsid w:val="00A269E8"/>
    <w:rsid w:val="00A26E0C"/>
    <w:rsid w:val="00A275FD"/>
    <w:rsid w:val="00A2780E"/>
    <w:rsid w:val="00A27897"/>
    <w:rsid w:val="00A27C68"/>
    <w:rsid w:val="00A30096"/>
    <w:rsid w:val="00A3011E"/>
    <w:rsid w:val="00A30692"/>
    <w:rsid w:val="00A30A6E"/>
    <w:rsid w:val="00A3178F"/>
    <w:rsid w:val="00A31B95"/>
    <w:rsid w:val="00A31EFD"/>
    <w:rsid w:val="00A3225B"/>
    <w:rsid w:val="00A324C0"/>
    <w:rsid w:val="00A3283D"/>
    <w:rsid w:val="00A32ABA"/>
    <w:rsid w:val="00A32BEC"/>
    <w:rsid w:val="00A32FCB"/>
    <w:rsid w:val="00A33151"/>
    <w:rsid w:val="00A33166"/>
    <w:rsid w:val="00A33487"/>
    <w:rsid w:val="00A334F6"/>
    <w:rsid w:val="00A338C0"/>
    <w:rsid w:val="00A34314"/>
    <w:rsid w:val="00A34C25"/>
    <w:rsid w:val="00A34EF4"/>
    <w:rsid w:val="00A3507D"/>
    <w:rsid w:val="00A358D7"/>
    <w:rsid w:val="00A35F50"/>
    <w:rsid w:val="00A36C17"/>
    <w:rsid w:val="00A3717A"/>
    <w:rsid w:val="00A40284"/>
    <w:rsid w:val="00A4032C"/>
    <w:rsid w:val="00A4050E"/>
    <w:rsid w:val="00A406EA"/>
    <w:rsid w:val="00A40881"/>
    <w:rsid w:val="00A4088C"/>
    <w:rsid w:val="00A40902"/>
    <w:rsid w:val="00A40997"/>
    <w:rsid w:val="00A40B29"/>
    <w:rsid w:val="00A40C89"/>
    <w:rsid w:val="00A41121"/>
    <w:rsid w:val="00A4124F"/>
    <w:rsid w:val="00A41301"/>
    <w:rsid w:val="00A4149B"/>
    <w:rsid w:val="00A417CE"/>
    <w:rsid w:val="00A41856"/>
    <w:rsid w:val="00A4194F"/>
    <w:rsid w:val="00A41A7A"/>
    <w:rsid w:val="00A41C68"/>
    <w:rsid w:val="00A428E1"/>
    <w:rsid w:val="00A42A03"/>
    <w:rsid w:val="00A430DF"/>
    <w:rsid w:val="00A43242"/>
    <w:rsid w:val="00A435CE"/>
    <w:rsid w:val="00A4361B"/>
    <w:rsid w:val="00A43998"/>
    <w:rsid w:val="00A43AFB"/>
    <w:rsid w:val="00A440F5"/>
    <w:rsid w:val="00A44442"/>
    <w:rsid w:val="00A44454"/>
    <w:rsid w:val="00A4456B"/>
    <w:rsid w:val="00A44583"/>
    <w:rsid w:val="00A448D4"/>
    <w:rsid w:val="00A44AD5"/>
    <w:rsid w:val="00A44B0A"/>
    <w:rsid w:val="00A44ECD"/>
    <w:rsid w:val="00A44F37"/>
    <w:rsid w:val="00A452E0"/>
    <w:rsid w:val="00A45520"/>
    <w:rsid w:val="00A45837"/>
    <w:rsid w:val="00A45949"/>
    <w:rsid w:val="00A4594A"/>
    <w:rsid w:val="00A45DC6"/>
    <w:rsid w:val="00A45FF0"/>
    <w:rsid w:val="00A46B46"/>
    <w:rsid w:val="00A46F92"/>
    <w:rsid w:val="00A46FE5"/>
    <w:rsid w:val="00A4716B"/>
    <w:rsid w:val="00A474C3"/>
    <w:rsid w:val="00A47C5F"/>
    <w:rsid w:val="00A47CD4"/>
    <w:rsid w:val="00A502B6"/>
    <w:rsid w:val="00A506DF"/>
    <w:rsid w:val="00A50813"/>
    <w:rsid w:val="00A50A9A"/>
    <w:rsid w:val="00A50D61"/>
    <w:rsid w:val="00A5111D"/>
    <w:rsid w:val="00A5152D"/>
    <w:rsid w:val="00A51B66"/>
    <w:rsid w:val="00A51EA5"/>
    <w:rsid w:val="00A51ECD"/>
    <w:rsid w:val="00A51F18"/>
    <w:rsid w:val="00A5223E"/>
    <w:rsid w:val="00A522A9"/>
    <w:rsid w:val="00A52476"/>
    <w:rsid w:val="00A52802"/>
    <w:rsid w:val="00A5286F"/>
    <w:rsid w:val="00A528BA"/>
    <w:rsid w:val="00A52DD4"/>
    <w:rsid w:val="00A531B4"/>
    <w:rsid w:val="00A5336E"/>
    <w:rsid w:val="00A53371"/>
    <w:rsid w:val="00A5343C"/>
    <w:rsid w:val="00A534B1"/>
    <w:rsid w:val="00A53590"/>
    <w:rsid w:val="00A53742"/>
    <w:rsid w:val="00A5379A"/>
    <w:rsid w:val="00A53AA7"/>
    <w:rsid w:val="00A53CCA"/>
    <w:rsid w:val="00A53E61"/>
    <w:rsid w:val="00A53EE8"/>
    <w:rsid w:val="00A54558"/>
    <w:rsid w:val="00A54A74"/>
    <w:rsid w:val="00A54D48"/>
    <w:rsid w:val="00A557A1"/>
    <w:rsid w:val="00A55DE4"/>
    <w:rsid w:val="00A55EDA"/>
    <w:rsid w:val="00A564A5"/>
    <w:rsid w:val="00A57361"/>
    <w:rsid w:val="00A57966"/>
    <w:rsid w:val="00A57D10"/>
    <w:rsid w:val="00A60A1E"/>
    <w:rsid w:val="00A61138"/>
    <w:rsid w:val="00A61168"/>
    <w:rsid w:val="00A6118D"/>
    <w:rsid w:val="00A6125E"/>
    <w:rsid w:val="00A612EF"/>
    <w:rsid w:val="00A617C7"/>
    <w:rsid w:val="00A6182E"/>
    <w:rsid w:val="00A62168"/>
    <w:rsid w:val="00A6225A"/>
    <w:rsid w:val="00A6248C"/>
    <w:rsid w:val="00A62B01"/>
    <w:rsid w:val="00A62EDB"/>
    <w:rsid w:val="00A63035"/>
    <w:rsid w:val="00A63059"/>
    <w:rsid w:val="00A63191"/>
    <w:rsid w:val="00A6359C"/>
    <w:rsid w:val="00A635B1"/>
    <w:rsid w:val="00A638D6"/>
    <w:rsid w:val="00A6393D"/>
    <w:rsid w:val="00A63AE3"/>
    <w:rsid w:val="00A63E55"/>
    <w:rsid w:val="00A64284"/>
    <w:rsid w:val="00A642C5"/>
    <w:rsid w:val="00A6448D"/>
    <w:rsid w:val="00A645FC"/>
    <w:rsid w:val="00A648CD"/>
    <w:rsid w:val="00A648D0"/>
    <w:rsid w:val="00A64F8D"/>
    <w:rsid w:val="00A65033"/>
    <w:rsid w:val="00A651A4"/>
    <w:rsid w:val="00A6579C"/>
    <w:rsid w:val="00A65962"/>
    <w:rsid w:val="00A65FD4"/>
    <w:rsid w:val="00A6625F"/>
    <w:rsid w:val="00A663D1"/>
    <w:rsid w:val="00A66436"/>
    <w:rsid w:val="00A6650D"/>
    <w:rsid w:val="00A66556"/>
    <w:rsid w:val="00A6686E"/>
    <w:rsid w:val="00A671C5"/>
    <w:rsid w:val="00A6735E"/>
    <w:rsid w:val="00A675BC"/>
    <w:rsid w:val="00A67795"/>
    <w:rsid w:val="00A67AA7"/>
    <w:rsid w:val="00A7047F"/>
    <w:rsid w:val="00A70704"/>
    <w:rsid w:val="00A70CAA"/>
    <w:rsid w:val="00A71361"/>
    <w:rsid w:val="00A71437"/>
    <w:rsid w:val="00A71942"/>
    <w:rsid w:val="00A72105"/>
    <w:rsid w:val="00A7214B"/>
    <w:rsid w:val="00A72283"/>
    <w:rsid w:val="00A72BA3"/>
    <w:rsid w:val="00A72FCF"/>
    <w:rsid w:val="00A7332D"/>
    <w:rsid w:val="00A7350B"/>
    <w:rsid w:val="00A73707"/>
    <w:rsid w:val="00A741A7"/>
    <w:rsid w:val="00A7444C"/>
    <w:rsid w:val="00A746E2"/>
    <w:rsid w:val="00A74F9D"/>
    <w:rsid w:val="00A750EB"/>
    <w:rsid w:val="00A7517F"/>
    <w:rsid w:val="00A75461"/>
    <w:rsid w:val="00A754DA"/>
    <w:rsid w:val="00A75C08"/>
    <w:rsid w:val="00A75F2D"/>
    <w:rsid w:val="00A76225"/>
    <w:rsid w:val="00A76274"/>
    <w:rsid w:val="00A76494"/>
    <w:rsid w:val="00A7668F"/>
    <w:rsid w:val="00A769F7"/>
    <w:rsid w:val="00A76CFD"/>
    <w:rsid w:val="00A80454"/>
    <w:rsid w:val="00A80A29"/>
    <w:rsid w:val="00A80D0C"/>
    <w:rsid w:val="00A81145"/>
    <w:rsid w:val="00A81543"/>
    <w:rsid w:val="00A8156C"/>
    <w:rsid w:val="00A81B08"/>
    <w:rsid w:val="00A81C10"/>
    <w:rsid w:val="00A81EE5"/>
    <w:rsid w:val="00A81FF2"/>
    <w:rsid w:val="00A82386"/>
    <w:rsid w:val="00A823CF"/>
    <w:rsid w:val="00A82A5B"/>
    <w:rsid w:val="00A83904"/>
    <w:rsid w:val="00A83BE2"/>
    <w:rsid w:val="00A842D1"/>
    <w:rsid w:val="00A842E7"/>
    <w:rsid w:val="00A848F6"/>
    <w:rsid w:val="00A84D3E"/>
    <w:rsid w:val="00A84EE5"/>
    <w:rsid w:val="00A8538C"/>
    <w:rsid w:val="00A85513"/>
    <w:rsid w:val="00A85B16"/>
    <w:rsid w:val="00A85E27"/>
    <w:rsid w:val="00A85E2E"/>
    <w:rsid w:val="00A85E66"/>
    <w:rsid w:val="00A8625B"/>
    <w:rsid w:val="00A8638F"/>
    <w:rsid w:val="00A8640D"/>
    <w:rsid w:val="00A8688A"/>
    <w:rsid w:val="00A86C2E"/>
    <w:rsid w:val="00A87096"/>
    <w:rsid w:val="00A87A39"/>
    <w:rsid w:val="00A903F4"/>
    <w:rsid w:val="00A9099B"/>
    <w:rsid w:val="00A90A79"/>
    <w:rsid w:val="00A914CB"/>
    <w:rsid w:val="00A915D5"/>
    <w:rsid w:val="00A91728"/>
    <w:rsid w:val="00A91B49"/>
    <w:rsid w:val="00A91DDF"/>
    <w:rsid w:val="00A9280D"/>
    <w:rsid w:val="00A92C30"/>
    <w:rsid w:val="00A931C7"/>
    <w:rsid w:val="00A93428"/>
    <w:rsid w:val="00A936D7"/>
    <w:rsid w:val="00A93769"/>
    <w:rsid w:val="00A93C15"/>
    <w:rsid w:val="00A942D0"/>
    <w:rsid w:val="00A94674"/>
    <w:rsid w:val="00A94E75"/>
    <w:rsid w:val="00A95042"/>
    <w:rsid w:val="00A953DB"/>
    <w:rsid w:val="00A95526"/>
    <w:rsid w:val="00A9592D"/>
    <w:rsid w:val="00A95C66"/>
    <w:rsid w:val="00A95EDF"/>
    <w:rsid w:val="00A96435"/>
    <w:rsid w:val="00A96612"/>
    <w:rsid w:val="00A9689C"/>
    <w:rsid w:val="00A968D5"/>
    <w:rsid w:val="00A96943"/>
    <w:rsid w:val="00A96B30"/>
    <w:rsid w:val="00A96F1F"/>
    <w:rsid w:val="00A9776D"/>
    <w:rsid w:val="00A97797"/>
    <w:rsid w:val="00A97864"/>
    <w:rsid w:val="00A97A3B"/>
    <w:rsid w:val="00A97C91"/>
    <w:rsid w:val="00A97E3E"/>
    <w:rsid w:val="00AA02D1"/>
    <w:rsid w:val="00AA0427"/>
    <w:rsid w:val="00AA0A7B"/>
    <w:rsid w:val="00AA0EF6"/>
    <w:rsid w:val="00AA1194"/>
    <w:rsid w:val="00AA1776"/>
    <w:rsid w:val="00AA17D2"/>
    <w:rsid w:val="00AA1BA1"/>
    <w:rsid w:val="00AA2730"/>
    <w:rsid w:val="00AA2D1A"/>
    <w:rsid w:val="00AA2FDB"/>
    <w:rsid w:val="00AA2FE6"/>
    <w:rsid w:val="00AA3801"/>
    <w:rsid w:val="00AA3A5F"/>
    <w:rsid w:val="00AA3F07"/>
    <w:rsid w:val="00AA442D"/>
    <w:rsid w:val="00AA4860"/>
    <w:rsid w:val="00AA4C4C"/>
    <w:rsid w:val="00AA4E7B"/>
    <w:rsid w:val="00AA4F8C"/>
    <w:rsid w:val="00AA57CB"/>
    <w:rsid w:val="00AA59B5"/>
    <w:rsid w:val="00AA5AC3"/>
    <w:rsid w:val="00AA603E"/>
    <w:rsid w:val="00AA60A5"/>
    <w:rsid w:val="00AA661D"/>
    <w:rsid w:val="00AA732B"/>
    <w:rsid w:val="00AA75D7"/>
    <w:rsid w:val="00AA7678"/>
    <w:rsid w:val="00AA7777"/>
    <w:rsid w:val="00AA7A50"/>
    <w:rsid w:val="00AA7B84"/>
    <w:rsid w:val="00AA7E40"/>
    <w:rsid w:val="00AB03F2"/>
    <w:rsid w:val="00AB06EF"/>
    <w:rsid w:val="00AB0892"/>
    <w:rsid w:val="00AB15E3"/>
    <w:rsid w:val="00AB2073"/>
    <w:rsid w:val="00AB20D0"/>
    <w:rsid w:val="00AB2842"/>
    <w:rsid w:val="00AB2A4B"/>
    <w:rsid w:val="00AB2C6E"/>
    <w:rsid w:val="00AB2FAD"/>
    <w:rsid w:val="00AB3034"/>
    <w:rsid w:val="00AB49DD"/>
    <w:rsid w:val="00AB4A43"/>
    <w:rsid w:val="00AB4B2E"/>
    <w:rsid w:val="00AB4B71"/>
    <w:rsid w:val="00AB4B85"/>
    <w:rsid w:val="00AB5127"/>
    <w:rsid w:val="00AB51D2"/>
    <w:rsid w:val="00AB5529"/>
    <w:rsid w:val="00AB5963"/>
    <w:rsid w:val="00AB59F8"/>
    <w:rsid w:val="00AB5DBA"/>
    <w:rsid w:val="00AB650D"/>
    <w:rsid w:val="00AB6B74"/>
    <w:rsid w:val="00AB6E75"/>
    <w:rsid w:val="00AB763F"/>
    <w:rsid w:val="00AB796A"/>
    <w:rsid w:val="00AB7AC4"/>
    <w:rsid w:val="00AB7DA1"/>
    <w:rsid w:val="00AC0187"/>
    <w:rsid w:val="00AC01C2"/>
    <w:rsid w:val="00AC02B2"/>
    <w:rsid w:val="00AC0B4C"/>
    <w:rsid w:val="00AC0DDC"/>
    <w:rsid w:val="00AC1049"/>
    <w:rsid w:val="00AC1164"/>
    <w:rsid w:val="00AC11A0"/>
    <w:rsid w:val="00AC1933"/>
    <w:rsid w:val="00AC1A6B"/>
    <w:rsid w:val="00AC1B4D"/>
    <w:rsid w:val="00AC1C0D"/>
    <w:rsid w:val="00AC1C95"/>
    <w:rsid w:val="00AC2193"/>
    <w:rsid w:val="00AC2296"/>
    <w:rsid w:val="00AC23AB"/>
    <w:rsid w:val="00AC2754"/>
    <w:rsid w:val="00AC2AD4"/>
    <w:rsid w:val="00AC2E50"/>
    <w:rsid w:val="00AC30E2"/>
    <w:rsid w:val="00AC340A"/>
    <w:rsid w:val="00AC3C8D"/>
    <w:rsid w:val="00AC4398"/>
    <w:rsid w:val="00AC48B0"/>
    <w:rsid w:val="00AC4ACD"/>
    <w:rsid w:val="00AC4DCC"/>
    <w:rsid w:val="00AC51B7"/>
    <w:rsid w:val="00AC526F"/>
    <w:rsid w:val="00AC55AB"/>
    <w:rsid w:val="00AC5874"/>
    <w:rsid w:val="00AC59C9"/>
    <w:rsid w:val="00AC5BCA"/>
    <w:rsid w:val="00AC5C34"/>
    <w:rsid w:val="00AC5DFB"/>
    <w:rsid w:val="00AC5E2B"/>
    <w:rsid w:val="00AC6180"/>
    <w:rsid w:val="00AC6194"/>
    <w:rsid w:val="00AC61B8"/>
    <w:rsid w:val="00AC6B21"/>
    <w:rsid w:val="00AC6B60"/>
    <w:rsid w:val="00AC6C6D"/>
    <w:rsid w:val="00AC6DE3"/>
    <w:rsid w:val="00AC72FC"/>
    <w:rsid w:val="00AC78B3"/>
    <w:rsid w:val="00AC7CAA"/>
    <w:rsid w:val="00AD02AE"/>
    <w:rsid w:val="00AD0614"/>
    <w:rsid w:val="00AD06AC"/>
    <w:rsid w:val="00AD109E"/>
    <w:rsid w:val="00AD11B1"/>
    <w:rsid w:val="00AD13DC"/>
    <w:rsid w:val="00AD1ED4"/>
    <w:rsid w:val="00AD21CB"/>
    <w:rsid w:val="00AD228F"/>
    <w:rsid w:val="00AD2E18"/>
    <w:rsid w:val="00AD3115"/>
    <w:rsid w:val="00AD3C5B"/>
    <w:rsid w:val="00AD3DF4"/>
    <w:rsid w:val="00AD3F80"/>
    <w:rsid w:val="00AD3FF6"/>
    <w:rsid w:val="00AD4139"/>
    <w:rsid w:val="00AD4AF3"/>
    <w:rsid w:val="00AD4B80"/>
    <w:rsid w:val="00AD528C"/>
    <w:rsid w:val="00AD5377"/>
    <w:rsid w:val="00AD545A"/>
    <w:rsid w:val="00AD5471"/>
    <w:rsid w:val="00AD6870"/>
    <w:rsid w:val="00AD6A00"/>
    <w:rsid w:val="00AD6CA2"/>
    <w:rsid w:val="00AD6DE2"/>
    <w:rsid w:val="00AD72B3"/>
    <w:rsid w:val="00AD7583"/>
    <w:rsid w:val="00AD75EF"/>
    <w:rsid w:val="00AD7B08"/>
    <w:rsid w:val="00AD7C0B"/>
    <w:rsid w:val="00AD7F93"/>
    <w:rsid w:val="00AE0111"/>
    <w:rsid w:val="00AE0A40"/>
    <w:rsid w:val="00AE0A41"/>
    <w:rsid w:val="00AE117A"/>
    <w:rsid w:val="00AE1865"/>
    <w:rsid w:val="00AE1E8A"/>
    <w:rsid w:val="00AE1ED4"/>
    <w:rsid w:val="00AE1EE9"/>
    <w:rsid w:val="00AE1F8F"/>
    <w:rsid w:val="00AE214E"/>
    <w:rsid w:val="00AE21E1"/>
    <w:rsid w:val="00AE2676"/>
    <w:rsid w:val="00AE27E2"/>
    <w:rsid w:val="00AE29C1"/>
    <w:rsid w:val="00AE2F8D"/>
    <w:rsid w:val="00AE3187"/>
    <w:rsid w:val="00AE3B88"/>
    <w:rsid w:val="00AE3BAE"/>
    <w:rsid w:val="00AE3D1B"/>
    <w:rsid w:val="00AE444A"/>
    <w:rsid w:val="00AE4A3B"/>
    <w:rsid w:val="00AE4E64"/>
    <w:rsid w:val="00AE4F59"/>
    <w:rsid w:val="00AE53C9"/>
    <w:rsid w:val="00AE5BF1"/>
    <w:rsid w:val="00AE5C7D"/>
    <w:rsid w:val="00AE5D07"/>
    <w:rsid w:val="00AE606D"/>
    <w:rsid w:val="00AE609F"/>
    <w:rsid w:val="00AE6167"/>
    <w:rsid w:val="00AE6242"/>
    <w:rsid w:val="00AE65DE"/>
    <w:rsid w:val="00AE68FF"/>
    <w:rsid w:val="00AE6989"/>
    <w:rsid w:val="00AE6A21"/>
    <w:rsid w:val="00AE6CD1"/>
    <w:rsid w:val="00AE7492"/>
    <w:rsid w:val="00AF0443"/>
    <w:rsid w:val="00AF083D"/>
    <w:rsid w:val="00AF094D"/>
    <w:rsid w:val="00AF0A0F"/>
    <w:rsid w:val="00AF0A76"/>
    <w:rsid w:val="00AF0DD2"/>
    <w:rsid w:val="00AF10B3"/>
    <w:rsid w:val="00AF140D"/>
    <w:rsid w:val="00AF1965"/>
    <w:rsid w:val="00AF19AA"/>
    <w:rsid w:val="00AF1C8F"/>
    <w:rsid w:val="00AF211E"/>
    <w:rsid w:val="00AF2A21"/>
    <w:rsid w:val="00AF2B68"/>
    <w:rsid w:val="00AF2C92"/>
    <w:rsid w:val="00AF2DCF"/>
    <w:rsid w:val="00AF356F"/>
    <w:rsid w:val="00AF3655"/>
    <w:rsid w:val="00AF39B7"/>
    <w:rsid w:val="00AF3E9C"/>
    <w:rsid w:val="00AF3EA1"/>
    <w:rsid w:val="00AF3EC1"/>
    <w:rsid w:val="00AF404C"/>
    <w:rsid w:val="00AF4BA8"/>
    <w:rsid w:val="00AF4BD2"/>
    <w:rsid w:val="00AF4CB4"/>
    <w:rsid w:val="00AF4FAB"/>
    <w:rsid w:val="00AF5025"/>
    <w:rsid w:val="00AF5111"/>
    <w:rsid w:val="00AF519F"/>
    <w:rsid w:val="00AF5387"/>
    <w:rsid w:val="00AF5471"/>
    <w:rsid w:val="00AF5535"/>
    <w:rsid w:val="00AF55F5"/>
    <w:rsid w:val="00AF5660"/>
    <w:rsid w:val="00AF56B8"/>
    <w:rsid w:val="00AF5A80"/>
    <w:rsid w:val="00AF60CE"/>
    <w:rsid w:val="00AF636D"/>
    <w:rsid w:val="00AF66D1"/>
    <w:rsid w:val="00AF674A"/>
    <w:rsid w:val="00AF6FA9"/>
    <w:rsid w:val="00AF74FD"/>
    <w:rsid w:val="00AF78F0"/>
    <w:rsid w:val="00AF79D5"/>
    <w:rsid w:val="00AF7D9F"/>
    <w:rsid w:val="00AF7DD8"/>
    <w:rsid w:val="00AF7E86"/>
    <w:rsid w:val="00B0023C"/>
    <w:rsid w:val="00B00518"/>
    <w:rsid w:val="00B005A1"/>
    <w:rsid w:val="00B00A5E"/>
    <w:rsid w:val="00B01388"/>
    <w:rsid w:val="00B01493"/>
    <w:rsid w:val="00B0159B"/>
    <w:rsid w:val="00B015EC"/>
    <w:rsid w:val="00B02002"/>
    <w:rsid w:val="00B024A0"/>
    <w:rsid w:val="00B024B9"/>
    <w:rsid w:val="00B025C4"/>
    <w:rsid w:val="00B025DD"/>
    <w:rsid w:val="00B026E4"/>
    <w:rsid w:val="00B02CAC"/>
    <w:rsid w:val="00B02D2D"/>
    <w:rsid w:val="00B030A0"/>
    <w:rsid w:val="00B0322E"/>
    <w:rsid w:val="00B03259"/>
    <w:rsid w:val="00B032EF"/>
    <w:rsid w:val="00B03833"/>
    <w:rsid w:val="00B03A1B"/>
    <w:rsid w:val="00B03C18"/>
    <w:rsid w:val="00B03FCB"/>
    <w:rsid w:val="00B0420F"/>
    <w:rsid w:val="00B04BF9"/>
    <w:rsid w:val="00B04CA9"/>
    <w:rsid w:val="00B04F62"/>
    <w:rsid w:val="00B05200"/>
    <w:rsid w:val="00B05464"/>
    <w:rsid w:val="00B054FB"/>
    <w:rsid w:val="00B055E1"/>
    <w:rsid w:val="00B058C3"/>
    <w:rsid w:val="00B059AE"/>
    <w:rsid w:val="00B05AC8"/>
    <w:rsid w:val="00B05B42"/>
    <w:rsid w:val="00B05F18"/>
    <w:rsid w:val="00B063D7"/>
    <w:rsid w:val="00B06510"/>
    <w:rsid w:val="00B065D6"/>
    <w:rsid w:val="00B06691"/>
    <w:rsid w:val="00B067DB"/>
    <w:rsid w:val="00B06D2B"/>
    <w:rsid w:val="00B06E53"/>
    <w:rsid w:val="00B06F5E"/>
    <w:rsid w:val="00B070EF"/>
    <w:rsid w:val="00B074B3"/>
    <w:rsid w:val="00B074F8"/>
    <w:rsid w:val="00B0772E"/>
    <w:rsid w:val="00B077FA"/>
    <w:rsid w:val="00B07F74"/>
    <w:rsid w:val="00B07FE7"/>
    <w:rsid w:val="00B10036"/>
    <w:rsid w:val="00B10092"/>
    <w:rsid w:val="00B1041D"/>
    <w:rsid w:val="00B10576"/>
    <w:rsid w:val="00B1063B"/>
    <w:rsid w:val="00B10AF3"/>
    <w:rsid w:val="00B10EAE"/>
    <w:rsid w:val="00B110B1"/>
    <w:rsid w:val="00B11172"/>
    <w:rsid w:val="00B111B3"/>
    <w:rsid w:val="00B111E5"/>
    <w:rsid w:val="00B1127E"/>
    <w:rsid w:val="00B116C2"/>
    <w:rsid w:val="00B11915"/>
    <w:rsid w:val="00B122C9"/>
    <w:rsid w:val="00B12627"/>
    <w:rsid w:val="00B127D7"/>
    <w:rsid w:val="00B127E6"/>
    <w:rsid w:val="00B13057"/>
    <w:rsid w:val="00B13107"/>
    <w:rsid w:val="00B13542"/>
    <w:rsid w:val="00B13B0C"/>
    <w:rsid w:val="00B13BE4"/>
    <w:rsid w:val="00B13C04"/>
    <w:rsid w:val="00B13C70"/>
    <w:rsid w:val="00B1409D"/>
    <w:rsid w:val="00B1411B"/>
    <w:rsid w:val="00B14408"/>
    <w:rsid w:val="00B1453A"/>
    <w:rsid w:val="00B157BB"/>
    <w:rsid w:val="00B15D73"/>
    <w:rsid w:val="00B16349"/>
    <w:rsid w:val="00B169A1"/>
    <w:rsid w:val="00B16B1A"/>
    <w:rsid w:val="00B170C5"/>
    <w:rsid w:val="00B17AAE"/>
    <w:rsid w:val="00B17E06"/>
    <w:rsid w:val="00B200A5"/>
    <w:rsid w:val="00B20303"/>
    <w:rsid w:val="00B20AE5"/>
    <w:rsid w:val="00B20B05"/>
    <w:rsid w:val="00B20F82"/>
    <w:rsid w:val="00B2102B"/>
    <w:rsid w:val="00B21109"/>
    <w:rsid w:val="00B214CB"/>
    <w:rsid w:val="00B214D8"/>
    <w:rsid w:val="00B21A2E"/>
    <w:rsid w:val="00B21D30"/>
    <w:rsid w:val="00B21E45"/>
    <w:rsid w:val="00B2297D"/>
    <w:rsid w:val="00B22CBC"/>
    <w:rsid w:val="00B22CEE"/>
    <w:rsid w:val="00B23017"/>
    <w:rsid w:val="00B23264"/>
    <w:rsid w:val="00B232E4"/>
    <w:rsid w:val="00B233AF"/>
    <w:rsid w:val="00B236AA"/>
    <w:rsid w:val="00B237E0"/>
    <w:rsid w:val="00B23D13"/>
    <w:rsid w:val="00B23E8A"/>
    <w:rsid w:val="00B23F24"/>
    <w:rsid w:val="00B23FEF"/>
    <w:rsid w:val="00B242A3"/>
    <w:rsid w:val="00B24477"/>
    <w:rsid w:val="00B2471A"/>
    <w:rsid w:val="00B247D8"/>
    <w:rsid w:val="00B24AC3"/>
    <w:rsid w:val="00B24B01"/>
    <w:rsid w:val="00B24FC6"/>
    <w:rsid w:val="00B2508F"/>
    <w:rsid w:val="00B25372"/>
    <w:rsid w:val="00B25AEB"/>
    <w:rsid w:val="00B25BD5"/>
    <w:rsid w:val="00B26130"/>
    <w:rsid w:val="00B26C95"/>
    <w:rsid w:val="00B27192"/>
    <w:rsid w:val="00B27FC8"/>
    <w:rsid w:val="00B30392"/>
    <w:rsid w:val="00B30952"/>
    <w:rsid w:val="00B30B1F"/>
    <w:rsid w:val="00B30C93"/>
    <w:rsid w:val="00B30FAE"/>
    <w:rsid w:val="00B31143"/>
    <w:rsid w:val="00B3119C"/>
    <w:rsid w:val="00B317A1"/>
    <w:rsid w:val="00B31823"/>
    <w:rsid w:val="00B319CC"/>
    <w:rsid w:val="00B31AA9"/>
    <w:rsid w:val="00B322B1"/>
    <w:rsid w:val="00B323D8"/>
    <w:rsid w:val="00B32651"/>
    <w:rsid w:val="00B32995"/>
    <w:rsid w:val="00B32A23"/>
    <w:rsid w:val="00B32BF1"/>
    <w:rsid w:val="00B32FCC"/>
    <w:rsid w:val="00B335F3"/>
    <w:rsid w:val="00B33912"/>
    <w:rsid w:val="00B33C01"/>
    <w:rsid w:val="00B33E90"/>
    <w:rsid w:val="00B34079"/>
    <w:rsid w:val="00B340CD"/>
    <w:rsid w:val="00B346EE"/>
    <w:rsid w:val="00B34C84"/>
    <w:rsid w:val="00B35543"/>
    <w:rsid w:val="00B368C4"/>
    <w:rsid w:val="00B368FD"/>
    <w:rsid w:val="00B369C6"/>
    <w:rsid w:val="00B3707B"/>
    <w:rsid w:val="00B37174"/>
    <w:rsid w:val="00B3793A"/>
    <w:rsid w:val="00B37C8D"/>
    <w:rsid w:val="00B401BA"/>
    <w:rsid w:val="00B407E4"/>
    <w:rsid w:val="00B407ED"/>
    <w:rsid w:val="00B40C01"/>
    <w:rsid w:val="00B40FB0"/>
    <w:rsid w:val="00B4166F"/>
    <w:rsid w:val="00B416B8"/>
    <w:rsid w:val="00B41A2A"/>
    <w:rsid w:val="00B41B5C"/>
    <w:rsid w:val="00B4219A"/>
    <w:rsid w:val="00B42412"/>
    <w:rsid w:val="00B425B6"/>
    <w:rsid w:val="00B42A72"/>
    <w:rsid w:val="00B42FBE"/>
    <w:rsid w:val="00B430C3"/>
    <w:rsid w:val="00B43188"/>
    <w:rsid w:val="00B4342A"/>
    <w:rsid w:val="00B43CB4"/>
    <w:rsid w:val="00B43D45"/>
    <w:rsid w:val="00B43DDE"/>
    <w:rsid w:val="00B43E2A"/>
    <w:rsid w:val="00B44073"/>
    <w:rsid w:val="00B44075"/>
    <w:rsid w:val="00B44101"/>
    <w:rsid w:val="00B441AE"/>
    <w:rsid w:val="00B4457F"/>
    <w:rsid w:val="00B44A95"/>
    <w:rsid w:val="00B44F1A"/>
    <w:rsid w:val="00B4503C"/>
    <w:rsid w:val="00B45A65"/>
    <w:rsid w:val="00B45E44"/>
    <w:rsid w:val="00B45F33"/>
    <w:rsid w:val="00B46480"/>
    <w:rsid w:val="00B46D50"/>
    <w:rsid w:val="00B46D55"/>
    <w:rsid w:val="00B46F7A"/>
    <w:rsid w:val="00B47B4C"/>
    <w:rsid w:val="00B47B50"/>
    <w:rsid w:val="00B47C18"/>
    <w:rsid w:val="00B47D64"/>
    <w:rsid w:val="00B47DAE"/>
    <w:rsid w:val="00B50860"/>
    <w:rsid w:val="00B50E5F"/>
    <w:rsid w:val="00B513B7"/>
    <w:rsid w:val="00B516BF"/>
    <w:rsid w:val="00B516FD"/>
    <w:rsid w:val="00B51929"/>
    <w:rsid w:val="00B519A0"/>
    <w:rsid w:val="00B51AD8"/>
    <w:rsid w:val="00B51DF8"/>
    <w:rsid w:val="00B51F75"/>
    <w:rsid w:val="00B52B82"/>
    <w:rsid w:val="00B530A5"/>
    <w:rsid w:val="00B530DD"/>
    <w:rsid w:val="00B53170"/>
    <w:rsid w:val="00B53710"/>
    <w:rsid w:val="00B5386C"/>
    <w:rsid w:val="00B5397C"/>
    <w:rsid w:val="00B53CD0"/>
    <w:rsid w:val="00B540FF"/>
    <w:rsid w:val="00B5421A"/>
    <w:rsid w:val="00B54323"/>
    <w:rsid w:val="00B548B9"/>
    <w:rsid w:val="00B54A27"/>
    <w:rsid w:val="00B54B50"/>
    <w:rsid w:val="00B550A9"/>
    <w:rsid w:val="00B5538D"/>
    <w:rsid w:val="00B55799"/>
    <w:rsid w:val="00B55AA4"/>
    <w:rsid w:val="00B5610C"/>
    <w:rsid w:val="00B56DBE"/>
    <w:rsid w:val="00B56DCE"/>
    <w:rsid w:val="00B5737B"/>
    <w:rsid w:val="00B574E3"/>
    <w:rsid w:val="00B57A13"/>
    <w:rsid w:val="00B57B4F"/>
    <w:rsid w:val="00B60163"/>
    <w:rsid w:val="00B603D7"/>
    <w:rsid w:val="00B604C2"/>
    <w:rsid w:val="00B606EF"/>
    <w:rsid w:val="00B60AF3"/>
    <w:rsid w:val="00B60C7F"/>
    <w:rsid w:val="00B60F28"/>
    <w:rsid w:val="00B610D9"/>
    <w:rsid w:val="00B61A46"/>
    <w:rsid w:val="00B61DBE"/>
    <w:rsid w:val="00B61FB8"/>
    <w:rsid w:val="00B620A9"/>
    <w:rsid w:val="00B6235D"/>
    <w:rsid w:val="00B6273F"/>
    <w:rsid w:val="00B628C2"/>
    <w:rsid w:val="00B62999"/>
    <w:rsid w:val="00B62A0F"/>
    <w:rsid w:val="00B62C9C"/>
    <w:rsid w:val="00B62FC2"/>
    <w:rsid w:val="00B63100"/>
    <w:rsid w:val="00B637A6"/>
    <w:rsid w:val="00B63BE3"/>
    <w:rsid w:val="00B63DD3"/>
    <w:rsid w:val="00B63EF0"/>
    <w:rsid w:val="00B63FFA"/>
    <w:rsid w:val="00B6428C"/>
    <w:rsid w:val="00B64509"/>
    <w:rsid w:val="00B64633"/>
    <w:rsid w:val="00B64885"/>
    <w:rsid w:val="00B64FA3"/>
    <w:rsid w:val="00B65080"/>
    <w:rsid w:val="00B65504"/>
    <w:rsid w:val="00B65508"/>
    <w:rsid w:val="00B65ACE"/>
    <w:rsid w:val="00B65D22"/>
    <w:rsid w:val="00B66190"/>
    <w:rsid w:val="00B663F3"/>
    <w:rsid w:val="00B66810"/>
    <w:rsid w:val="00B6717F"/>
    <w:rsid w:val="00B6734B"/>
    <w:rsid w:val="00B67816"/>
    <w:rsid w:val="00B67887"/>
    <w:rsid w:val="00B67A05"/>
    <w:rsid w:val="00B67E04"/>
    <w:rsid w:val="00B67EAB"/>
    <w:rsid w:val="00B67F81"/>
    <w:rsid w:val="00B70C71"/>
    <w:rsid w:val="00B70D76"/>
    <w:rsid w:val="00B70F36"/>
    <w:rsid w:val="00B713E3"/>
    <w:rsid w:val="00B7156E"/>
    <w:rsid w:val="00B71615"/>
    <w:rsid w:val="00B71800"/>
    <w:rsid w:val="00B718A0"/>
    <w:rsid w:val="00B71A6E"/>
    <w:rsid w:val="00B71D1B"/>
    <w:rsid w:val="00B71FED"/>
    <w:rsid w:val="00B72187"/>
    <w:rsid w:val="00B72799"/>
    <w:rsid w:val="00B72B1A"/>
    <w:rsid w:val="00B72BE3"/>
    <w:rsid w:val="00B72DD1"/>
    <w:rsid w:val="00B7357D"/>
    <w:rsid w:val="00B73B80"/>
    <w:rsid w:val="00B73F35"/>
    <w:rsid w:val="00B74179"/>
    <w:rsid w:val="00B743BA"/>
    <w:rsid w:val="00B74719"/>
    <w:rsid w:val="00B74DAB"/>
    <w:rsid w:val="00B74E53"/>
    <w:rsid w:val="00B7516D"/>
    <w:rsid w:val="00B756FB"/>
    <w:rsid w:val="00B7576B"/>
    <w:rsid w:val="00B75BBD"/>
    <w:rsid w:val="00B75ED6"/>
    <w:rsid w:val="00B76730"/>
    <w:rsid w:val="00B7676D"/>
    <w:rsid w:val="00B76BEA"/>
    <w:rsid w:val="00B76C92"/>
    <w:rsid w:val="00B76CAE"/>
    <w:rsid w:val="00B770C7"/>
    <w:rsid w:val="00B77237"/>
    <w:rsid w:val="00B778B5"/>
    <w:rsid w:val="00B77F1F"/>
    <w:rsid w:val="00B800F7"/>
    <w:rsid w:val="00B802E0"/>
    <w:rsid w:val="00B802FB"/>
    <w:rsid w:val="00B80347"/>
    <w:rsid w:val="00B80E89"/>
    <w:rsid w:val="00B80F26"/>
    <w:rsid w:val="00B8146E"/>
    <w:rsid w:val="00B81732"/>
    <w:rsid w:val="00B81892"/>
    <w:rsid w:val="00B81A4B"/>
    <w:rsid w:val="00B81C80"/>
    <w:rsid w:val="00B822BD"/>
    <w:rsid w:val="00B82D58"/>
    <w:rsid w:val="00B8382C"/>
    <w:rsid w:val="00B838B5"/>
    <w:rsid w:val="00B8394E"/>
    <w:rsid w:val="00B83BB8"/>
    <w:rsid w:val="00B83FD4"/>
    <w:rsid w:val="00B840D8"/>
    <w:rsid w:val="00B842F4"/>
    <w:rsid w:val="00B848CF"/>
    <w:rsid w:val="00B84E49"/>
    <w:rsid w:val="00B84FE0"/>
    <w:rsid w:val="00B85323"/>
    <w:rsid w:val="00B85454"/>
    <w:rsid w:val="00B85876"/>
    <w:rsid w:val="00B85931"/>
    <w:rsid w:val="00B866C6"/>
    <w:rsid w:val="00B8757E"/>
    <w:rsid w:val="00B87688"/>
    <w:rsid w:val="00B87840"/>
    <w:rsid w:val="00B87875"/>
    <w:rsid w:val="00B8798C"/>
    <w:rsid w:val="00B903E6"/>
    <w:rsid w:val="00B90BB5"/>
    <w:rsid w:val="00B91A7B"/>
    <w:rsid w:val="00B9249E"/>
    <w:rsid w:val="00B92933"/>
    <w:rsid w:val="00B929DD"/>
    <w:rsid w:val="00B9340B"/>
    <w:rsid w:val="00B9380D"/>
    <w:rsid w:val="00B93AF6"/>
    <w:rsid w:val="00B93FAE"/>
    <w:rsid w:val="00B9468B"/>
    <w:rsid w:val="00B946BA"/>
    <w:rsid w:val="00B94738"/>
    <w:rsid w:val="00B94789"/>
    <w:rsid w:val="00B948F8"/>
    <w:rsid w:val="00B94A3E"/>
    <w:rsid w:val="00B94A5D"/>
    <w:rsid w:val="00B952EB"/>
    <w:rsid w:val="00B9539E"/>
    <w:rsid w:val="00B95405"/>
    <w:rsid w:val="00B95C58"/>
    <w:rsid w:val="00B96071"/>
    <w:rsid w:val="00B96085"/>
    <w:rsid w:val="00B96115"/>
    <w:rsid w:val="00B963F1"/>
    <w:rsid w:val="00B96403"/>
    <w:rsid w:val="00B9640E"/>
    <w:rsid w:val="00B966A1"/>
    <w:rsid w:val="00B969BD"/>
    <w:rsid w:val="00B97261"/>
    <w:rsid w:val="00B9791C"/>
    <w:rsid w:val="00B97B24"/>
    <w:rsid w:val="00B97BBC"/>
    <w:rsid w:val="00B97E1F"/>
    <w:rsid w:val="00B97F31"/>
    <w:rsid w:val="00BA006A"/>
    <w:rsid w:val="00BA0174"/>
    <w:rsid w:val="00BA020A"/>
    <w:rsid w:val="00BA027C"/>
    <w:rsid w:val="00BA028A"/>
    <w:rsid w:val="00BA091A"/>
    <w:rsid w:val="00BA0985"/>
    <w:rsid w:val="00BA0B6A"/>
    <w:rsid w:val="00BA1D9E"/>
    <w:rsid w:val="00BA1E36"/>
    <w:rsid w:val="00BA1F11"/>
    <w:rsid w:val="00BA2BDE"/>
    <w:rsid w:val="00BA323F"/>
    <w:rsid w:val="00BA3260"/>
    <w:rsid w:val="00BA33C0"/>
    <w:rsid w:val="00BA3468"/>
    <w:rsid w:val="00BA36D4"/>
    <w:rsid w:val="00BA39AF"/>
    <w:rsid w:val="00BA4018"/>
    <w:rsid w:val="00BA4507"/>
    <w:rsid w:val="00BA4978"/>
    <w:rsid w:val="00BA4A2C"/>
    <w:rsid w:val="00BA4A89"/>
    <w:rsid w:val="00BA4A90"/>
    <w:rsid w:val="00BA4F6F"/>
    <w:rsid w:val="00BA5587"/>
    <w:rsid w:val="00BA5D5A"/>
    <w:rsid w:val="00BA5D88"/>
    <w:rsid w:val="00BA62B7"/>
    <w:rsid w:val="00BA64D5"/>
    <w:rsid w:val="00BA6A1D"/>
    <w:rsid w:val="00BA7209"/>
    <w:rsid w:val="00BA768A"/>
    <w:rsid w:val="00BA7805"/>
    <w:rsid w:val="00BA781C"/>
    <w:rsid w:val="00BA7ADF"/>
    <w:rsid w:val="00BA7E43"/>
    <w:rsid w:val="00BB025A"/>
    <w:rsid w:val="00BB02A4"/>
    <w:rsid w:val="00BB078A"/>
    <w:rsid w:val="00BB0928"/>
    <w:rsid w:val="00BB0C20"/>
    <w:rsid w:val="00BB1270"/>
    <w:rsid w:val="00BB1614"/>
    <w:rsid w:val="00BB1782"/>
    <w:rsid w:val="00BB1A8A"/>
    <w:rsid w:val="00BB1E44"/>
    <w:rsid w:val="00BB2558"/>
    <w:rsid w:val="00BB262B"/>
    <w:rsid w:val="00BB3162"/>
    <w:rsid w:val="00BB464F"/>
    <w:rsid w:val="00BB471D"/>
    <w:rsid w:val="00BB47ED"/>
    <w:rsid w:val="00BB4C95"/>
    <w:rsid w:val="00BB51C7"/>
    <w:rsid w:val="00BB5267"/>
    <w:rsid w:val="00BB52B8"/>
    <w:rsid w:val="00BB52BB"/>
    <w:rsid w:val="00BB5510"/>
    <w:rsid w:val="00BB5526"/>
    <w:rsid w:val="00BB59D8"/>
    <w:rsid w:val="00BB5ADD"/>
    <w:rsid w:val="00BB5D3D"/>
    <w:rsid w:val="00BB5E15"/>
    <w:rsid w:val="00BB5EF8"/>
    <w:rsid w:val="00BB5F06"/>
    <w:rsid w:val="00BB5F4D"/>
    <w:rsid w:val="00BB5FD8"/>
    <w:rsid w:val="00BB6639"/>
    <w:rsid w:val="00BB681C"/>
    <w:rsid w:val="00BB7B19"/>
    <w:rsid w:val="00BB7E69"/>
    <w:rsid w:val="00BC01C8"/>
    <w:rsid w:val="00BC03FE"/>
    <w:rsid w:val="00BC07ED"/>
    <w:rsid w:val="00BC0B2C"/>
    <w:rsid w:val="00BC0E51"/>
    <w:rsid w:val="00BC1095"/>
    <w:rsid w:val="00BC15BE"/>
    <w:rsid w:val="00BC16AC"/>
    <w:rsid w:val="00BC1C96"/>
    <w:rsid w:val="00BC1DB1"/>
    <w:rsid w:val="00BC209D"/>
    <w:rsid w:val="00BC2316"/>
    <w:rsid w:val="00BC27F4"/>
    <w:rsid w:val="00BC2A8A"/>
    <w:rsid w:val="00BC2A9E"/>
    <w:rsid w:val="00BC2DF6"/>
    <w:rsid w:val="00BC3173"/>
    <w:rsid w:val="00BC3C1F"/>
    <w:rsid w:val="00BC48AC"/>
    <w:rsid w:val="00BC4E51"/>
    <w:rsid w:val="00BC5492"/>
    <w:rsid w:val="00BC5C02"/>
    <w:rsid w:val="00BC62C4"/>
    <w:rsid w:val="00BC632B"/>
    <w:rsid w:val="00BC69D5"/>
    <w:rsid w:val="00BC72DF"/>
    <w:rsid w:val="00BC77D3"/>
    <w:rsid w:val="00BC7CE7"/>
    <w:rsid w:val="00BD032D"/>
    <w:rsid w:val="00BD0C08"/>
    <w:rsid w:val="00BD0E65"/>
    <w:rsid w:val="00BD12FF"/>
    <w:rsid w:val="00BD14B0"/>
    <w:rsid w:val="00BD1584"/>
    <w:rsid w:val="00BD1829"/>
    <w:rsid w:val="00BD226C"/>
    <w:rsid w:val="00BD28B9"/>
    <w:rsid w:val="00BD295E"/>
    <w:rsid w:val="00BD29D8"/>
    <w:rsid w:val="00BD2B26"/>
    <w:rsid w:val="00BD2BAE"/>
    <w:rsid w:val="00BD31FB"/>
    <w:rsid w:val="00BD33A6"/>
    <w:rsid w:val="00BD34C2"/>
    <w:rsid w:val="00BD3525"/>
    <w:rsid w:val="00BD35D2"/>
    <w:rsid w:val="00BD3A94"/>
    <w:rsid w:val="00BD3D8A"/>
    <w:rsid w:val="00BD420D"/>
    <w:rsid w:val="00BD4350"/>
    <w:rsid w:val="00BD4664"/>
    <w:rsid w:val="00BD4A53"/>
    <w:rsid w:val="00BD4ABF"/>
    <w:rsid w:val="00BD5505"/>
    <w:rsid w:val="00BD5D18"/>
    <w:rsid w:val="00BD5F2D"/>
    <w:rsid w:val="00BD6457"/>
    <w:rsid w:val="00BD647E"/>
    <w:rsid w:val="00BD66A1"/>
    <w:rsid w:val="00BD6AB8"/>
    <w:rsid w:val="00BD6B56"/>
    <w:rsid w:val="00BD7020"/>
    <w:rsid w:val="00BD735C"/>
    <w:rsid w:val="00BD74FF"/>
    <w:rsid w:val="00BD7569"/>
    <w:rsid w:val="00BD781F"/>
    <w:rsid w:val="00BE0372"/>
    <w:rsid w:val="00BE0981"/>
    <w:rsid w:val="00BE0D79"/>
    <w:rsid w:val="00BE1193"/>
    <w:rsid w:val="00BE13C9"/>
    <w:rsid w:val="00BE153D"/>
    <w:rsid w:val="00BE21AA"/>
    <w:rsid w:val="00BE239F"/>
    <w:rsid w:val="00BE2767"/>
    <w:rsid w:val="00BE2E61"/>
    <w:rsid w:val="00BE32E2"/>
    <w:rsid w:val="00BE37FA"/>
    <w:rsid w:val="00BE3988"/>
    <w:rsid w:val="00BE3BD5"/>
    <w:rsid w:val="00BE3E7E"/>
    <w:rsid w:val="00BE43D0"/>
    <w:rsid w:val="00BE4471"/>
    <w:rsid w:val="00BE46A9"/>
    <w:rsid w:val="00BE47DB"/>
    <w:rsid w:val="00BE49ED"/>
    <w:rsid w:val="00BE4DA4"/>
    <w:rsid w:val="00BE51AB"/>
    <w:rsid w:val="00BE5737"/>
    <w:rsid w:val="00BE6166"/>
    <w:rsid w:val="00BE64C2"/>
    <w:rsid w:val="00BE6736"/>
    <w:rsid w:val="00BE6E4A"/>
    <w:rsid w:val="00BE6EC9"/>
    <w:rsid w:val="00BE7247"/>
    <w:rsid w:val="00BE73E3"/>
    <w:rsid w:val="00BE7532"/>
    <w:rsid w:val="00BE7F9E"/>
    <w:rsid w:val="00BF0300"/>
    <w:rsid w:val="00BF039A"/>
    <w:rsid w:val="00BF04FC"/>
    <w:rsid w:val="00BF0846"/>
    <w:rsid w:val="00BF08F6"/>
    <w:rsid w:val="00BF0AB1"/>
    <w:rsid w:val="00BF0B2C"/>
    <w:rsid w:val="00BF0C6B"/>
    <w:rsid w:val="00BF199A"/>
    <w:rsid w:val="00BF1D70"/>
    <w:rsid w:val="00BF1E93"/>
    <w:rsid w:val="00BF218F"/>
    <w:rsid w:val="00BF23A3"/>
    <w:rsid w:val="00BF23FD"/>
    <w:rsid w:val="00BF2FE6"/>
    <w:rsid w:val="00BF364C"/>
    <w:rsid w:val="00BF4342"/>
    <w:rsid w:val="00BF4606"/>
    <w:rsid w:val="00BF47AC"/>
    <w:rsid w:val="00BF47E8"/>
    <w:rsid w:val="00BF4849"/>
    <w:rsid w:val="00BF4EA7"/>
    <w:rsid w:val="00BF4F92"/>
    <w:rsid w:val="00BF5551"/>
    <w:rsid w:val="00BF559F"/>
    <w:rsid w:val="00BF5A2E"/>
    <w:rsid w:val="00BF6094"/>
    <w:rsid w:val="00BF6525"/>
    <w:rsid w:val="00BF6681"/>
    <w:rsid w:val="00BF6F12"/>
    <w:rsid w:val="00BF724B"/>
    <w:rsid w:val="00BF742E"/>
    <w:rsid w:val="00BF743B"/>
    <w:rsid w:val="00BF752D"/>
    <w:rsid w:val="00BF782F"/>
    <w:rsid w:val="00BF786F"/>
    <w:rsid w:val="00C00122"/>
    <w:rsid w:val="00C00A83"/>
    <w:rsid w:val="00C00EDB"/>
    <w:rsid w:val="00C01077"/>
    <w:rsid w:val="00C01491"/>
    <w:rsid w:val="00C01596"/>
    <w:rsid w:val="00C01C82"/>
    <w:rsid w:val="00C01E96"/>
    <w:rsid w:val="00C021BA"/>
    <w:rsid w:val="00C02863"/>
    <w:rsid w:val="00C028CC"/>
    <w:rsid w:val="00C02A73"/>
    <w:rsid w:val="00C02BC6"/>
    <w:rsid w:val="00C0309A"/>
    <w:rsid w:val="00C03114"/>
    <w:rsid w:val="00C032D2"/>
    <w:rsid w:val="00C0383A"/>
    <w:rsid w:val="00C0406E"/>
    <w:rsid w:val="00C043F5"/>
    <w:rsid w:val="00C045AD"/>
    <w:rsid w:val="00C0497E"/>
    <w:rsid w:val="00C04AD7"/>
    <w:rsid w:val="00C050B9"/>
    <w:rsid w:val="00C0527B"/>
    <w:rsid w:val="00C05344"/>
    <w:rsid w:val="00C05348"/>
    <w:rsid w:val="00C05957"/>
    <w:rsid w:val="00C067A2"/>
    <w:rsid w:val="00C067FF"/>
    <w:rsid w:val="00C068DE"/>
    <w:rsid w:val="00C06AC6"/>
    <w:rsid w:val="00C076EF"/>
    <w:rsid w:val="00C0792E"/>
    <w:rsid w:val="00C07A5A"/>
    <w:rsid w:val="00C10242"/>
    <w:rsid w:val="00C10243"/>
    <w:rsid w:val="00C1028E"/>
    <w:rsid w:val="00C105F3"/>
    <w:rsid w:val="00C10F9F"/>
    <w:rsid w:val="00C11107"/>
    <w:rsid w:val="00C111F2"/>
    <w:rsid w:val="00C1130F"/>
    <w:rsid w:val="00C11369"/>
    <w:rsid w:val="00C117DC"/>
    <w:rsid w:val="00C11F5C"/>
    <w:rsid w:val="00C12583"/>
    <w:rsid w:val="00C12862"/>
    <w:rsid w:val="00C12D17"/>
    <w:rsid w:val="00C12E19"/>
    <w:rsid w:val="00C12F3B"/>
    <w:rsid w:val="00C13148"/>
    <w:rsid w:val="00C136DE"/>
    <w:rsid w:val="00C13CA0"/>
    <w:rsid w:val="00C13D28"/>
    <w:rsid w:val="00C13D4C"/>
    <w:rsid w:val="00C13DFB"/>
    <w:rsid w:val="00C13F35"/>
    <w:rsid w:val="00C14317"/>
    <w:rsid w:val="00C1439C"/>
    <w:rsid w:val="00C14416"/>
    <w:rsid w:val="00C14488"/>
    <w:rsid w:val="00C14585"/>
    <w:rsid w:val="00C1569C"/>
    <w:rsid w:val="00C15F0C"/>
    <w:rsid w:val="00C16337"/>
    <w:rsid w:val="00C165A0"/>
    <w:rsid w:val="00C168B7"/>
    <w:rsid w:val="00C169F9"/>
    <w:rsid w:val="00C16B98"/>
    <w:rsid w:val="00C16C7A"/>
    <w:rsid w:val="00C16E7C"/>
    <w:rsid w:val="00C16F7C"/>
    <w:rsid w:val="00C17309"/>
    <w:rsid w:val="00C17503"/>
    <w:rsid w:val="00C17738"/>
    <w:rsid w:val="00C17781"/>
    <w:rsid w:val="00C178A2"/>
    <w:rsid w:val="00C17A26"/>
    <w:rsid w:val="00C17C3E"/>
    <w:rsid w:val="00C17D4C"/>
    <w:rsid w:val="00C2077B"/>
    <w:rsid w:val="00C20B92"/>
    <w:rsid w:val="00C20C99"/>
    <w:rsid w:val="00C20D6C"/>
    <w:rsid w:val="00C20D70"/>
    <w:rsid w:val="00C21189"/>
    <w:rsid w:val="00C2144F"/>
    <w:rsid w:val="00C216CE"/>
    <w:rsid w:val="00C217F2"/>
    <w:rsid w:val="00C2184F"/>
    <w:rsid w:val="00C22A78"/>
    <w:rsid w:val="00C231F1"/>
    <w:rsid w:val="00C235FB"/>
    <w:rsid w:val="00C2390B"/>
    <w:rsid w:val="00C23BE1"/>
    <w:rsid w:val="00C23C7E"/>
    <w:rsid w:val="00C23E02"/>
    <w:rsid w:val="00C24165"/>
    <w:rsid w:val="00C246C5"/>
    <w:rsid w:val="00C246D7"/>
    <w:rsid w:val="00C24825"/>
    <w:rsid w:val="00C24AD5"/>
    <w:rsid w:val="00C256BF"/>
    <w:rsid w:val="00C257A1"/>
    <w:rsid w:val="00C25840"/>
    <w:rsid w:val="00C25A82"/>
    <w:rsid w:val="00C25C31"/>
    <w:rsid w:val="00C25E12"/>
    <w:rsid w:val="00C25FCC"/>
    <w:rsid w:val="00C2625C"/>
    <w:rsid w:val="00C26397"/>
    <w:rsid w:val="00C26654"/>
    <w:rsid w:val="00C26764"/>
    <w:rsid w:val="00C276C3"/>
    <w:rsid w:val="00C2797F"/>
    <w:rsid w:val="00C27B3A"/>
    <w:rsid w:val="00C300E1"/>
    <w:rsid w:val="00C308D4"/>
    <w:rsid w:val="00C30951"/>
    <w:rsid w:val="00C3097B"/>
    <w:rsid w:val="00C30A2A"/>
    <w:rsid w:val="00C30EF8"/>
    <w:rsid w:val="00C310E2"/>
    <w:rsid w:val="00C313A2"/>
    <w:rsid w:val="00C31883"/>
    <w:rsid w:val="00C3189F"/>
    <w:rsid w:val="00C318BB"/>
    <w:rsid w:val="00C322BD"/>
    <w:rsid w:val="00C3301E"/>
    <w:rsid w:val="00C33426"/>
    <w:rsid w:val="00C33637"/>
    <w:rsid w:val="00C33993"/>
    <w:rsid w:val="00C33B4F"/>
    <w:rsid w:val="00C33EF2"/>
    <w:rsid w:val="00C34278"/>
    <w:rsid w:val="00C34658"/>
    <w:rsid w:val="00C3488A"/>
    <w:rsid w:val="00C34896"/>
    <w:rsid w:val="00C3501B"/>
    <w:rsid w:val="00C35536"/>
    <w:rsid w:val="00C355AD"/>
    <w:rsid w:val="00C35DAD"/>
    <w:rsid w:val="00C3689E"/>
    <w:rsid w:val="00C36A35"/>
    <w:rsid w:val="00C36C0B"/>
    <w:rsid w:val="00C36E14"/>
    <w:rsid w:val="00C36F25"/>
    <w:rsid w:val="00C37138"/>
    <w:rsid w:val="00C37650"/>
    <w:rsid w:val="00C3783F"/>
    <w:rsid w:val="00C37ABB"/>
    <w:rsid w:val="00C37B2F"/>
    <w:rsid w:val="00C40104"/>
    <w:rsid w:val="00C40299"/>
    <w:rsid w:val="00C40399"/>
    <w:rsid w:val="00C4069E"/>
    <w:rsid w:val="00C40B33"/>
    <w:rsid w:val="00C413AC"/>
    <w:rsid w:val="00C413F7"/>
    <w:rsid w:val="00C41ADC"/>
    <w:rsid w:val="00C41F68"/>
    <w:rsid w:val="00C427D9"/>
    <w:rsid w:val="00C4294A"/>
    <w:rsid w:val="00C42A69"/>
    <w:rsid w:val="00C42DC0"/>
    <w:rsid w:val="00C43051"/>
    <w:rsid w:val="00C4333C"/>
    <w:rsid w:val="00C43403"/>
    <w:rsid w:val="00C434C7"/>
    <w:rsid w:val="00C440BC"/>
    <w:rsid w:val="00C440DB"/>
    <w:rsid w:val="00C44149"/>
    <w:rsid w:val="00C44173"/>
    <w:rsid w:val="00C443D3"/>
    <w:rsid w:val="00C443ED"/>
    <w:rsid w:val="00C44410"/>
    <w:rsid w:val="00C44757"/>
    <w:rsid w:val="00C44A15"/>
    <w:rsid w:val="00C453C9"/>
    <w:rsid w:val="00C45590"/>
    <w:rsid w:val="00C45B1A"/>
    <w:rsid w:val="00C45F8A"/>
    <w:rsid w:val="00C46218"/>
    <w:rsid w:val="00C46270"/>
    <w:rsid w:val="00C4630A"/>
    <w:rsid w:val="00C46B35"/>
    <w:rsid w:val="00C46EC4"/>
    <w:rsid w:val="00C4798C"/>
    <w:rsid w:val="00C47A7F"/>
    <w:rsid w:val="00C50465"/>
    <w:rsid w:val="00C507F0"/>
    <w:rsid w:val="00C50B07"/>
    <w:rsid w:val="00C50BE5"/>
    <w:rsid w:val="00C510F7"/>
    <w:rsid w:val="00C51B02"/>
    <w:rsid w:val="00C52054"/>
    <w:rsid w:val="00C52249"/>
    <w:rsid w:val="00C52273"/>
    <w:rsid w:val="00C52338"/>
    <w:rsid w:val="00C523F0"/>
    <w:rsid w:val="00C5262D"/>
    <w:rsid w:val="00C526D2"/>
    <w:rsid w:val="00C52BD8"/>
    <w:rsid w:val="00C530B2"/>
    <w:rsid w:val="00C53906"/>
    <w:rsid w:val="00C53A91"/>
    <w:rsid w:val="00C54281"/>
    <w:rsid w:val="00C54A5E"/>
    <w:rsid w:val="00C54CE7"/>
    <w:rsid w:val="00C55314"/>
    <w:rsid w:val="00C5552F"/>
    <w:rsid w:val="00C5579A"/>
    <w:rsid w:val="00C5588E"/>
    <w:rsid w:val="00C55A98"/>
    <w:rsid w:val="00C5603C"/>
    <w:rsid w:val="00C561A9"/>
    <w:rsid w:val="00C5666D"/>
    <w:rsid w:val="00C56DAB"/>
    <w:rsid w:val="00C57108"/>
    <w:rsid w:val="00C57464"/>
    <w:rsid w:val="00C5775E"/>
    <w:rsid w:val="00C5794E"/>
    <w:rsid w:val="00C57C04"/>
    <w:rsid w:val="00C60953"/>
    <w:rsid w:val="00C60968"/>
    <w:rsid w:val="00C60D8B"/>
    <w:rsid w:val="00C60EE1"/>
    <w:rsid w:val="00C611B7"/>
    <w:rsid w:val="00C612ED"/>
    <w:rsid w:val="00C61AEB"/>
    <w:rsid w:val="00C62A6D"/>
    <w:rsid w:val="00C62F4B"/>
    <w:rsid w:val="00C635BB"/>
    <w:rsid w:val="00C6360F"/>
    <w:rsid w:val="00C63CD2"/>
    <w:rsid w:val="00C63D39"/>
    <w:rsid w:val="00C63EDD"/>
    <w:rsid w:val="00C640C0"/>
    <w:rsid w:val="00C6461F"/>
    <w:rsid w:val="00C64AC5"/>
    <w:rsid w:val="00C64DD0"/>
    <w:rsid w:val="00C64F78"/>
    <w:rsid w:val="00C652C9"/>
    <w:rsid w:val="00C6542B"/>
    <w:rsid w:val="00C65688"/>
    <w:rsid w:val="00C656CB"/>
    <w:rsid w:val="00C65A4B"/>
    <w:rsid w:val="00C65B08"/>
    <w:rsid w:val="00C65B36"/>
    <w:rsid w:val="00C65EBC"/>
    <w:rsid w:val="00C66625"/>
    <w:rsid w:val="00C6671A"/>
    <w:rsid w:val="00C66776"/>
    <w:rsid w:val="00C66953"/>
    <w:rsid w:val="00C671B2"/>
    <w:rsid w:val="00C67816"/>
    <w:rsid w:val="00C67D1B"/>
    <w:rsid w:val="00C67F90"/>
    <w:rsid w:val="00C70070"/>
    <w:rsid w:val="00C70254"/>
    <w:rsid w:val="00C70387"/>
    <w:rsid w:val="00C70CF4"/>
    <w:rsid w:val="00C70DD1"/>
    <w:rsid w:val="00C70DFE"/>
    <w:rsid w:val="00C7131C"/>
    <w:rsid w:val="00C7183B"/>
    <w:rsid w:val="00C71843"/>
    <w:rsid w:val="00C718F8"/>
    <w:rsid w:val="00C71B46"/>
    <w:rsid w:val="00C727A1"/>
    <w:rsid w:val="00C7292E"/>
    <w:rsid w:val="00C72BDD"/>
    <w:rsid w:val="00C72EAE"/>
    <w:rsid w:val="00C730AF"/>
    <w:rsid w:val="00C7311E"/>
    <w:rsid w:val="00C73470"/>
    <w:rsid w:val="00C735E1"/>
    <w:rsid w:val="00C73A5B"/>
    <w:rsid w:val="00C73CB8"/>
    <w:rsid w:val="00C74AA2"/>
    <w:rsid w:val="00C74BD2"/>
    <w:rsid w:val="00C74D2B"/>
    <w:rsid w:val="00C74E88"/>
    <w:rsid w:val="00C75152"/>
    <w:rsid w:val="00C75231"/>
    <w:rsid w:val="00C755F3"/>
    <w:rsid w:val="00C75785"/>
    <w:rsid w:val="00C759C5"/>
    <w:rsid w:val="00C75C0C"/>
    <w:rsid w:val="00C75D3F"/>
    <w:rsid w:val="00C75FCB"/>
    <w:rsid w:val="00C760E7"/>
    <w:rsid w:val="00C763C6"/>
    <w:rsid w:val="00C76779"/>
    <w:rsid w:val="00C767DE"/>
    <w:rsid w:val="00C76964"/>
    <w:rsid w:val="00C76BAF"/>
    <w:rsid w:val="00C7779E"/>
    <w:rsid w:val="00C77959"/>
    <w:rsid w:val="00C77F0A"/>
    <w:rsid w:val="00C801D4"/>
    <w:rsid w:val="00C807A2"/>
    <w:rsid w:val="00C80924"/>
    <w:rsid w:val="00C80CAE"/>
    <w:rsid w:val="00C81037"/>
    <w:rsid w:val="00C81A8B"/>
    <w:rsid w:val="00C820E8"/>
    <w:rsid w:val="00C82125"/>
    <w:rsid w:val="00C822F5"/>
    <w:rsid w:val="00C8234B"/>
    <w:rsid w:val="00C824C6"/>
    <w:rsid w:val="00C82697"/>
    <w:rsid w:val="00C8286B"/>
    <w:rsid w:val="00C82A4E"/>
    <w:rsid w:val="00C82D3C"/>
    <w:rsid w:val="00C836B3"/>
    <w:rsid w:val="00C838E2"/>
    <w:rsid w:val="00C83F61"/>
    <w:rsid w:val="00C848CE"/>
    <w:rsid w:val="00C84A4F"/>
    <w:rsid w:val="00C84DA7"/>
    <w:rsid w:val="00C84EBE"/>
    <w:rsid w:val="00C84F81"/>
    <w:rsid w:val="00C85231"/>
    <w:rsid w:val="00C864E6"/>
    <w:rsid w:val="00C8664D"/>
    <w:rsid w:val="00C8677B"/>
    <w:rsid w:val="00C86AF1"/>
    <w:rsid w:val="00C86E55"/>
    <w:rsid w:val="00C87596"/>
    <w:rsid w:val="00C876BF"/>
    <w:rsid w:val="00C8799D"/>
    <w:rsid w:val="00C87E28"/>
    <w:rsid w:val="00C90142"/>
    <w:rsid w:val="00C90635"/>
    <w:rsid w:val="00C90D62"/>
    <w:rsid w:val="00C910DF"/>
    <w:rsid w:val="00C91384"/>
    <w:rsid w:val="00C9183E"/>
    <w:rsid w:val="00C91A87"/>
    <w:rsid w:val="00C91CE7"/>
    <w:rsid w:val="00C924F3"/>
    <w:rsid w:val="00C92BAD"/>
    <w:rsid w:val="00C92BE1"/>
    <w:rsid w:val="00C92FCA"/>
    <w:rsid w:val="00C930AF"/>
    <w:rsid w:val="00C93257"/>
    <w:rsid w:val="00C9352C"/>
    <w:rsid w:val="00C93989"/>
    <w:rsid w:val="00C93C95"/>
    <w:rsid w:val="00C93F19"/>
    <w:rsid w:val="00C94151"/>
    <w:rsid w:val="00C94202"/>
    <w:rsid w:val="00C94377"/>
    <w:rsid w:val="00C94434"/>
    <w:rsid w:val="00C947F8"/>
    <w:rsid w:val="00C948D4"/>
    <w:rsid w:val="00C9515F"/>
    <w:rsid w:val="00C95390"/>
    <w:rsid w:val="00C95416"/>
    <w:rsid w:val="00C95452"/>
    <w:rsid w:val="00C9563B"/>
    <w:rsid w:val="00C95A27"/>
    <w:rsid w:val="00C95B13"/>
    <w:rsid w:val="00C95B81"/>
    <w:rsid w:val="00C95BD4"/>
    <w:rsid w:val="00C95C83"/>
    <w:rsid w:val="00C9603F"/>
    <w:rsid w:val="00C963C5"/>
    <w:rsid w:val="00C96ECF"/>
    <w:rsid w:val="00C978E2"/>
    <w:rsid w:val="00C9790F"/>
    <w:rsid w:val="00C97A41"/>
    <w:rsid w:val="00C97DF9"/>
    <w:rsid w:val="00C97F60"/>
    <w:rsid w:val="00CA0264"/>
    <w:rsid w:val="00CA030C"/>
    <w:rsid w:val="00CA041C"/>
    <w:rsid w:val="00CA06B2"/>
    <w:rsid w:val="00CA0790"/>
    <w:rsid w:val="00CA0A0B"/>
    <w:rsid w:val="00CA0A83"/>
    <w:rsid w:val="00CA0ADF"/>
    <w:rsid w:val="00CA0F3A"/>
    <w:rsid w:val="00CA1289"/>
    <w:rsid w:val="00CA1F41"/>
    <w:rsid w:val="00CA20EB"/>
    <w:rsid w:val="00CA2B89"/>
    <w:rsid w:val="00CA307E"/>
    <w:rsid w:val="00CA32B1"/>
    <w:rsid w:val="00CA32EE"/>
    <w:rsid w:val="00CA3859"/>
    <w:rsid w:val="00CA3BCB"/>
    <w:rsid w:val="00CA42CB"/>
    <w:rsid w:val="00CA4605"/>
    <w:rsid w:val="00CA4B67"/>
    <w:rsid w:val="00CA55E3"/>
    <w:rsid w:val="00CA5771"/>
    <w:rsid w:val="00CA5A75"/>
    <w:rsid w:val="00CA5E88"/>
    <w:rsid w:val="00CA614B"/>
    <w:rsid w:val="00CA6235"/>
    <w:rsid w:val="00CA6A1A"/>
    <w:rsid w:val="00CA6AD0"/>
    <w:rsid w:val="00CA7350"/>
    <w:rsid w:val="00CA748E"/>
    <w:rsid w:val="00CA74A3"/>
    <w:rsid w:val="00CA74D2"/>
    <w:rsid w:val="00CA763B"/>
    <w:rsid w:val="00CA7A62"/>
    <w:rsid w:val="00CA7D9F"/>
    <w:rsid w:val="00CA7F55"/>
    <w:rsid w:val="00CB0003"/>
    <w:rsid w:val="00CB01EC"/>
    <w:rsid w:val="00CB02DE"/>
    <w:rsid w:val="00CB09C5"/>
    <w:rsid w:val="00CB0D7B"/>
    <w:rsid w:val="00CB10CE"/>
    <w:rsid w:val="00CB1181"/>
    <w:rsid w:val="00CB11CE"/>
    <w:rsid w:val="00CB14C6"/>
    <w:rsid w:val="00CB16F0"/>
    <w:rsid w:val="00CB1932"/>
    <w:rsid w:val="00CB2555"/>
    <w:rsid w:val="00CB26D4"/>
    <w:rsid w:val="00CB2786"/>
    <w:rsid w:val="00CB2CD9"/>
    <w:rsid w:val="00CB2E33"/>
    <w:rsid w:val="00CB2F8B"/>
    <w:rsid w:val="00CB3117"/>
    <w:rsid w:val="00CB3D64"/>
    <w:rsid w:val="00CB41B3"/>
    <w:rsid w:val="00CB41D7"/>
    <w:rsid w:val="00CB42D5"/>
    <w:rsid w:val="00CB43D4"/>
    <w:rsid w:val="00CB43F0"/>
    <w:rsid w:val="00CB451F"/>
    <w:rsid w:val="00CB49D5"/>
    <w:rsid w:val="00CB4E98"/>
    <w:rsid w:val="00CB5982"/>
    <w:rsid w:val="00CB5BDD"/>
    <w:rsid w:val="00CB5C4F"/>
    <w:rsid w:val="00CB6204"/>
    <w:rsid w:val="00CB69D6"/>
    <w:rsid w:val="00CB7732"/>
    <w:rsid w:val="00CB7872"/>
    <w:rsid w:val="00CB7B02"/>
    <w:rsid w:val="00CC0214"/>
    <w:rsid w:val="00CC099E"/>
    <w:rsid w:val="00CC0A50"/>
    <w:rsid w:val="00CC0C9A"/>
    <w:rsid w:val="00CC0E61"/>
    <w:rsid w:val="00CC1001"/>
    <w:rsid w:val="00CC13F7"/>
    <w:rsid w:val="00CC184F"/>
    <w:rsid w:val="00CC1A32"/>
    <w:rsid w:val="00CC1B51"/>
    <w:rsid w:val="00CC1C25"/>
    <w:rsid w:val="00CC1E75"/>
    <w:rsid w:val="00CC21AE"/>
    <w:rsid w:val="00CC234F"/>
    <w:rsid w:val="00CC23C6"/>
    <w:rsid w:val="00CC27EF"/>
    <w:rsid w:val="00CC2A8D"/>
    <w:rsid w:val="00CC2E0E"/>
    <w:rsid w:val="00CC2E22"/>
    <w:rsid w:val="00CC2E9D"/>
    <w:rsid w:val="00CC361C"/>
    <w:rsid w:val="00CC36D5"/>
    <w:rsid w:val="00CC3F26"/>
    <w:rsid w:val="00CC422B"/>
    <w:rsid w:val="00CC42AF"/>
    <w:rsid w:val="00CC474B"/>
    <w:rsid w:val="00CC48C7"/>
    <w:rsid w:val="00CC4F51"/>
    <w:rsid w:val="00CC4FF8"/>
    <w:rsid w:val="00CC52FB"/>
    <w:rsid w:val="00CC55F7"/>
    <w:rsid w:val="00CC56CC"/>
    <w:rsid w:val="00CC5996"/>
    <w:rsid w:val="00CC5C4E"/>
    <w:rsid w:val="00CC6239"/>
    <w:rsid w:val="00CC658C"/>
    <w:rsid w:val="00CC66B4"/>
    <w:rsid w:val="00CC67BF"/>
    <w:rsid w:val="00CC6AEB"/>
    <w:rsid w:val="00CC6BD1"/>
    <w:rsid w:val="00CC6E67"/>
    <w:rsid w:val="00CC6FE3"/>
    <w:rsid w:val="00CC7BB3"/>
    <w:rsid w:val="00CC7D20"/>
    <w:rsid w:val="00CD0712"/>
    <w:rsid w:val="00CD0713"/>
    <w:rsid w:val="00CD0843"/>
    <w:rsid w:val="00CD08B4"/>
    <w:rsid w:val="00CD09C2"/>
    <w:rsid w:val="00CD18C1"/>
    <w:rsid w:val="00CD1E8B"/>
    <w:rsid w:val="00CD2AEE"/>
    <w:rsid w:val="00CD2F35"/>
    <w:rsid w:val="00CD3018"/>
    <w:rsid w:val="00CD34DA"/>
    <w:rsid w:val="00CD3938"/>
    <w:rsid w:val="00CD3CE1"/>
    <w:rsid w:val="00CD44D8"/>
    <w:rsid w:val="00CD45B2"/>
    <w:rsid w:val="00CD4855"/>
    <w:rsid w:val="00CD4C66"/>
    <w:rsid w:val="00CD4E31"/>
    <w:rsid w:val="00CD4F6C"/>
    <w:rsid w:val="00CD518E"/>
    <w:rsid w:val="00CD580A"/>
    <w:rsid w:val="00CD5A78"/>
    <w:rsid w:val="00CD5D65"/>
    <w:rsid w:val="00CD5DF0"/>
    <w:rsid w:val="00CD5E54"/>
    <w:rsid w:val="00CD5F3C"/>
    <w:rsid w:val="00CD5FA4"/>
    <w:rsid w:val="00CD665F"/>
    <w:rsid w:val="00CD66F8"/>
    <w:rsid w:val="00CD6826"/>
    <w:rsid w:val="00CD6F24"/>
    <w:rsid w:val="00CD7345"/>
    <w:rsid w:val="00CE0028"/>
    <w:rsid w:val="00CE06D2"/>
    <w:rsid w:val="00CE0E45"/>
    <w:rsid w:val="00CE0E53"/>
    <w:rsid w:val="00CE1272"/>
    <w:rsid w:val="00CE138C"/>
    <w:rsid w:val="00CE152A"/>
    <w:rsid w:val="00CE1C3A"/>
    <w:rsid w:val="00CE21FD"/>
    <w:rsid w:val="00CE2597"/>
    <w:rsid w:val="00CE26E4"/>
    <w:rsid w:val="00CE372E"/>
    <w:rsid w:val="00CE3EE7"/>
    <w:rsid w:val="00CE3EFF"/>
    <w:rsid w:val="00CE40DB"/>
    <w:rsid w:val="00CE4106"/>
    <w:rsid w:val="00CE418C"/>
    <w:rsid w:val="00CE4346"/>
    <w:rsid w:val="00CE43CA"/>
    <w:rsid w:val="00CE4C59"/>
    <w:rsid w:val="00CE5124"/>
    <w:rsid w:val="00CE521C"/>
    <w:rsid w:val="00CE61D1"/>
    <w:rsid w:val="00CE6238"/>
    <w:rsid w:val="00CE679F"/>
    <w:rsid w:val="00CE691D"/>
    <w:rsid w:val="00CE6CB5"/>
    <w:rsid w:val="00CE7281"/>
    <w:rsid w:val="00CE72F2"/>
    <w:rsid w:val="00CE7724"/>
    <w:rsid w:val="00CE7950"/>
    <w:rsid w:val="00CE796A"/>
    <w:rsid w:val="00CE7DFD"/>
    <w:rsid w:val="00CE7FA4"/>
    <w:rsid w:val="00CE7FDF"/>
    <w:rsid w:val="00CF02EF"/>
    <w:rsid w:val="00CF066B"/>
    <w:rsid w:val="00CF070D"/>
    <w:rsid w:val="00CF0796"/>
    <w:rsid w:val="00CF0A1B"/>
    <w:rsid w:val="00CF19F6"/>
    <w:rsid w:val="00CF1B13"/>
    <w:rsid w:val="00CF2030"/>
    <w:rsid w:val="00CF2B5B"/>
    <w:rsid w:val="00CF2BF9"/>
    <w:rsid w:val="00CF2F0B"/>
    <w:rsid w:val="00CF2F4F"/>
    <w:rsid w:val="00CF2FF7"/>
    <w:rsid w:val="00CF32D9"/>
    <w:rsid w:val="00CF3A2B"/>
    <w:rsid w:val="00CF3A49"/>
    <w:rsid w:val="00CF3E2C"/>
    <w:rsid w:val="00CF4398"/>
    <w:rsid w:val="00CF485C"/>
    <w:rsid w:val="00CF4BB6"/>
    <w:rsid w:val="00CF5220"/>
    <w:rsid w:val="00CF536D"/>
    <w:rsid w:val="00CF5376"/>
    <w:rsid w:val="00CF5487"/>
    <w:rsid w:val="00CF562B"/>
    <w:rsid w:val="00CF5C3F"/>
    <w:rsid w:val="00CF5F40"/>
    <w:rsid w:val="00CF6CDA"/>
    <w:rsid w:val="00CF7549"/>
    <w:rsid w:val="00CF7A0A"/>
    <w:rsid w:val="00D001ED"/>
    <w:rsid w:val="00D00432"/>
    <w:rsid w:val="00D00502"/>
    <w:rsid w:val="00D00532"/>
    <w:rsid w:val="00D0056F"/>
    <w:rsid w:val="00D00D85"/>
    <w:rsid w:val="00D01966"/>
    <w:rsid w:val="00D01A3A"/>
    <w:rsid w:val="00D01A72"/>
    <w:rsid w:val="00D01C06"/>
    <w:rsid w:val="00D01D17"/>
    <w:rsid w:val="00D0214A"/>
    <w:rsid w:val="00D0216C"/>
    <w:rsid w:val="00D024E3"/>
    <w:rsid w:val="00D02AD9"/>
    <w:rsid w:val="00D02AEA"/>
    <w:rsid w:val="00D02E9D"/>
    <w:rsid w:val="00D0317F"/>
    <w:rsid w:val="00D0374E"/>
    <w:rsid w:val="00D03A34"/>
    <w:rsid w:val="00D03A98"/>
    <w:rsid w:val="00D03AA3"/>
    <w:rsid w:val="00D0422E"/>
    <w:rsid w:val="00D045A0"/>
    <w:rsid w:val="00D04734"/>
    <w:rsid w:val="00D0480F"/>
    <w:rsid w:val="00D049F0"/>
    <w:rsid w:val="00D05212"/>
    <w:rsid w:val="00D05293"/>
    <w:rsid w:val="00D05540"/>
    <w:rsid w:val="00D061AD"/>
    <w:rsid w:val="00D0654E"/>
    <w:rsid w:val="00D06938"/>
    <w:rsid w:val="00D06AA1"/>
    <w:rsid w:val="00D06B43"/>
    <w:rsid w:val="00D06D2E"/>
    <w:rsid w:val="00D06D89"/>
    <w:rsid w:val="00D06DCD"/>
    <w:rsid w:val="00D070B5"/>
    <w:rsid w:val="00D074A9"/>
    <w:rsid w:val="00D07767"/>
    <w:rsid w:val="00D107B3"/>
    <w:rsid w:val="00D10B35"/>
    <w:rsid w:val="00D10CB8"/>
    <w:rsid w:val="00D10F3F"/>
    <w:rsid w:val="00D114AB"/>
    <w:rsid w:val="00D11A16"/>
    <w:rsid w:val="00D11AE2"/>
    <w:rsid w:val="00D12009"/>
    <w:rsid w:val="00D1250C"/>
    <w:rsid w:val="00D1276F"/>
    <w:rsid w:val="00D12806"/>
    <w:rsid w:val="00D12808"/>
    <w:rsid w:val="00D12A3F"/>
    <w:rsid w:val="00D12A74"/>
    <w:rsid w:val="00D12D44"/>
    <w:rsid w:val="00D13130"/>
    <w:rsid w:val="00D13441"/>
    <w:rsid w:val="00D13776"/>
    <w:rsid w:val="00D13A5B"/>
    <w:rsid w:val="00D13D40"/>
    <w:rsid w:val="00D13F06"/>
    <w:rsid w:val="00D14146"/>
    <w:rsid w:val="00D14636"/>
    <w:rsid w:val="00D15018"/>
    <w:rsid w:val="00D15294"/>
    <w:rsid w:val="00D154A5"/>
    <w:rsid w:val="00D156D8"/>
    <w:rsid w:val="00D158AC"/>
    <w:rsid w:val="00D15990"/>
    <w:rsid w:val="00D15A44"/>
    <w:rsid w:val="00D163E3"/>
    <w:rsid w:val="00D168C8"/>
    <w:rsid w:val="00D1694C"/>
    <w:rsid w:val="00D177B5"/>
    <w:rsid w:val="00D17AE5"/>
    <w:rsid w:val="00D17BF9"/>
    <w:rsid w:val="00D17C40"/>
    <w:rsid w:val="00D17ECC"/>
    <w:rsid w:val="00D17ECE"/>
    <w:rsid w:val="00D2068B"/>
    <w:rsid w:val="00D20809"/>
    <w:rsid w:val="00D20B1E"/>
    <w:rsid w:val="00D20D87"/>
    <w:rsid w:val="00D20F5E"/>
    <w:rsid w:val="00D210AE"/>
    <w:rsid w:val="00D210C5"/>
    <w:rsid w:val="00D2113B"/>
    <w:rsid w:val="00D21464"/>
    <w:rsid w:val="00D21720"/>
    <w:rsid w:val="00D21AEB"/>
    <w:rsid w:val="00D21BED"/>
    <w:rsid w:val="00D222C1"/>
    <w:rsid w:val="00D227DF"/>
    <w:rsid w:val="00D22D29"/>
    <w:rsid w:val="00D22E1E"/>
    <w:rsid w:val="00D23739"/>
    <w:rsid w:val="00D23B76"/>
    <w:rsid w:val="00D23E4D"/>
    <w:rsid w:val="00D247AA"/>
    <w:rsid w:val="00D247B2"/>
    <w:rsid w:val="00D24B4A"/>
    <w:rsid w:val="00D24D73"/>
    <w:rsid w:val="00D24D8F"/>
    <w:rsid w:val="00D24DA0"/>
    <w:rsid w:val="00D24EC5"/>
    <w:rsid w:val="00D24F4A"/>
    <w:rsid w:val="00D2539C"/>
    <w:rsid w:val="00D266AF"/>
    <w:rsid w:val="00D26F76"/>
    <w:rsid w:val="00D272DF"/>
    <w:rsid w:val="00D27B32"/>
    <w:rsid w:val="00D27D66"/>
    <w:rsid w:val="00D27F28"/>
    <w:rsid w:val="00D30934"/>
    <w:rsid w:val="00D30AF5"/>
    <w:rsid w:val="00D30D40"/>
    <w:rsid w:val="00D3161D"/>
    <w:rsid w:val="00D31A00"/>
    <w:rsid w:val="00D32C13"/>
    <w:rsid w:val="00D33B7C"/>
    <w:rsid w:val="00D33CDF"/>
    <w:rsid w:val="00D33D9C"/>
    <w:rsid w:val="00D34569"/>
    <w:rsid w:val="00D349A7"/>
    <w:rsid w:val="00D34D61"/>
    <w:rsid w:val="00D34DCD"/>
    <w:rsid w:val="00D34F58"/>
    <w:rsid w:val="00D3576E"/>
    <w:rsid w:val="00D359FC"/>
    <w:rsid w:val="00D36549"/>
    <w:rsid w:val="00D36D09"/>
    <w:rsid w:val="00D370BB"/>
    <w:rsid w:val="00D371FF"/>
    <w:rsid w:val="00D37270"/>
    <w:rsid w:val="00D379A3"/>
    <w:rsid w:val="00D37BBA"/>
    <w:rsid w:val="00D37C45"/>
    <w:rsid w:val="00D37C86"/>
    <w:rsid w:val="00D37CE5"/>
    <w:rsid w:val="00D37E64"/>
    <w:rsid w:val="00D40641"/>
    <w:rsid w:val="00D40ABE"/>
    <w:rsid w:val="00D40D1F"/>
    <w:rsid w:val="00D40DDD"/>
    <w:rsid w:val="00D41506"/>
    <w:rsid w:val="00D41765"/>
    <w:rsid w:val="00D418EC"/>
    <w:rsid w:val="00D41D9F"/>
    <w:rsid w:val="00D42011"/>
    <w:rsid w:val="00D42189"/>
    <w:rsid w:val="00D422DA"/>
    <w:rsid w:val="00D427E4"/>
    <w:rsid w:val="00D42968"/>
    <w:rsid w:val="00D42E60"/>
    <w:rsid w:val="00D42FC0"/>
    <w:rsid w:val="00D4304F"/>
    <w:rsid w:val="00D433FE"/>
    <w:rsid w:val="00D43446"/>
    <w:rsid w:val="00D43516"/>
    <w:rsid w:val="00D4361E"/>
    <w:rsid w:val="00D4392C"/>
    <w:rsid w:val="00D43C1D"/>
    <w:rsid w:val="00D44254"/>
    <w:rsid w:val="00D44567"/>
    <w:rsid w:val="00D452BC"/>
    <w:rsid w:val="00D45404"/>
    <w:rsid w:val="00D45736"/>
    <w:rsid w:val="00D4581B"/>
    <w:rsid w:val="00D45B87"/>
    <w:rsid w:val="00D45C39"/>
    <w:rsid w:val="00D45C9B"/>
    <w:rsid w:val="00D45FF3"/>
    <w:rsid w:val="00D46120"/>
    <w:rsid w:val="00D46145"/>
    <w:rsid w:val="00D462A1"/>
    <w:rsid w:val="00D464C2"/>
    <w:rsid w:val="00D46675"/>
    <w:rsid w:val="00D46CE1"/>
    <w:rsid w:val="00D46E43"/>
    <w:rsid w:val="00D472AA"/>
    <w:rsid w:val="00D47309"/>
    <w:rsid w:val="00D4733A"/>
    <w:rsid w:val="00D4782E"/>
    <w:rsid w:val="00D478E4"/>
    <w:rsid w:val="00D47D0D"/>
    <w:rsid w:val="00D47E2A"/>
    <w:rsid w:val="00D50761"/>
    <w:rsid w:val="00D5094D"/>
    <w:rsid w:val="00D50C7A"/>
    <w:rsid w:val="00D5108C"/>
    <w:rsid w:val="00D512C6"/>
    <w:rsid w:val="00D512CF"/>
    <w:rsid w:val="00D51BBA"/>
    <w:rsid w:val="00D51CF8"/>
    <w:rsid w:val="00D52468"/>
    <w:rsid w:val="00D528B9"/>
    <w:rsid w:val="00D52FE1"/>
    <w:rsid w:val="00D530B4"/>
    <w:rsid w:val="00D53186"/>
    <w:rsid w:val="00D53EEB"/>
    <w:rsid w:val="00D54373"/>
    <w:rsid w:val="00D543CF"/>
    <w:rsid w:val="00D54791"/>
    <w:rsid w:val="00D54835"/>
    <w:rsid w:val="00D5487D"/>
    <w:rsid w:val="00D55805"/>
    <w:rsid w:val="00D5588E"/>
    <w:rsid w:val="00D55A2F"/>
    <w:rsid w:val="00D55A63"/>
    <w:rsid w:val="00D55F91"/>
    <w:rsid w:val="00D55FD3"/>
    <w:rsid w:val="00D5602F"/>
    <w:rsid w:val="00D5652B"/>
    <w:rsid w:val="00D5671E"/>
    <w:rsid w:val="00D56915"/>
    <w:rsid w:val="00D569D1"/>
    <w:rsid w:val="00D56A12"/>
    <w:rsid w:val="00D56BF8"/>
    <w:rsid w:val="00D5780F"/>
    <w:rsid w:val="00D57854"/>
    <w:rsid w:val="00D57913"/>
    <w:rsid w:val="00D60140"/>
    <w:rsid w:val="00D6018F"/>
    <w:rsid w:val="00D6024A"/>
    <w:rsid w:val="00D608B5"/>
    <w:rsid w:val="00D6139F"/>
    <w:rsid w:val="00D613BC"/>
    <w:rsid w:val="00D61A47"/>
    <w:rsid w:val="00D61AC6"/>
    <w:rsid w:val="00D61DE9"/>
    <w:rsid w:val="00D6221E"/>
    <w:rsid w:val="00D62232"/>
    <w:rsid w:val="00D62659"/>
    <w:rsid w:val="00D6293D"/>
    <w:rsid w:val="00D62B96"/>
    <w:rsid w:val="00D63235"/>
    <w:rsid w:val="00D632C9"/>
    <w:rsid w:val="00D636AF"/>
    <w:rsid w:val="00D63AFD"/>
    <w:rsid w:val="00D63B7B"/>
    <w:rsid w:val="00D63C79"/>
    <w:rsid w:val="00D64161"/>
    <w:rsid w:val="00D645F3"/>
    <w:rsid w:val="00D64725"/>
    <w:rsid w:val="00D64739"/>
    <w:rsid w:val="00D649EB"/>
    <w:rsid w:val="00D64BF7"/>
    <w:rsid w:val="00D6506E"/>
    <w:rsid w:val="00D653A8"/>
    <w:rsid w:val="00D656DB"/>
    <w:rsid w:val="00D6573C"/>
    <w:rsid w:val="00D65A0C"/>
    <w:rsid w:val="00D664C3"/>
    <w:rsid w:val="00D66731"/>
    <w:rsid w:val="00D66A0D"/>
    <w:rsid w:val="00D66D88"/>
    <w:rsid w:val="00D66FFB"/>
    <w:rsid w:val="00D674BC"/>
    <w:rsid w:val="00D6757F"/>
    <w:rsid w:val="00D67774"/>
    <w:rsid w:val="00D67973"/>
    <w:rsid w:val="00D67A1F"/>
    <w:rsid w:val="00D67C81"/>
    <w:rsid w:val="00D702FF"/>
    <w:rsid w:val="00D70389"/>
    <w:rsid w:val="00D705CF"/>
    <w:rsid w:val="00D71090"/>
    <w:rsid w:val="00D71141"/>
    <w:rsid w:val="00D71503"/>
    <w:rsid w:val="00D71676"/>
    <w:rsid w:val="00D7170A"/>
    <w:rsid w:val="00D7189D"/>
    <w:rsid w:val="00D718EE"/>
    <w:rsid w:val="00D71C46"/>
    <w:rsid w:val="00D71F99"/>
    <w:rsid w:val="00D721E9"/>
    <w:rsid w:val="00D72F06"/>
    <w:rsid w:val="00D73486"/>
    <w:rsid w:val="00D7368A"/>
    <w:rsid w:val="00D736CE"/>
    <w:rsid w:val="00D73ABB"/>
    <w:rsid w:val="00D73CA4"/>
    <w:rsid w:val="00D73D71"/>
    <w:rsid w:val="00D74188"/>
    <w:rsid w:val="00D74396"/>
    <w:rsid w:val="00D744CC"/>
    <w:rsid w:val="00D74B10"/>
    <w:rsid w:val="00D74C8A"/>
    <w:rsid w:val="00D74CC4"/>
    <w:rsid w:val="00D74E65"/>
    <w:rsid w:val="00D753B5"/>
    <w:rsid w:val="00D75741"/>
    <w:rsid w:val="00D7577A"/>
    <w:rsid w:val="00D75FE7"/>
    <w:rsid w:val="00D7608D"/>
    <w:rsid w:val="00D76195"/>
    <w:rsid w:val="00D76475"/>
    <w:rsid w:val="00D76CFC"/>
    <w:rsid w:val="00D76E02"/>
    <w:rsid w:val="00D76F94"/>
    <w:rsid w:val="00D77316"/>
    <w:rsid w:val="00D77C9F"/>
    <w:rsid w:val="00D77E66"/>
    <w:rsid w:val="00D80284"/>
    <w:rsid w:val="00D802E4"/>
    <w:rsid w:val="00D80707"/>
    <w:rsid w:val="00D80A3C"/>
    <w:rsid w:val="00D81275"/>
    <w:rsid w:val="00D81606"/>
    <w:rsid w:val="00D81640"/>
    <w:rsid w:val="00D81F71"/>
    <w:rsid w:val="00D8267B"/>
    <w:rsid w:val="00D82F91"/>
    <w:rsid w:val="00D82FA0"/>
    <w:rsid w:val="00D83956"/>
    <w:rsid w:val="00D842F5"/>
    <w:rsid w:val="00D84372"/>
    <w:rsid w:val="00D844B2"/>
    <w:rsid w:val="00D847A5"/>
    <w:rsid w:val="00D84B4C"/>
    <w:rsid w:val="00D851CC"/>
    <w:rsid w:val="00D853F6"/>
    <w:rsid w:val="00D85506"/>
    <w:rsid w:val="00D85509"/>
    <w:rsid w:val="00D8570C"/>
    <w:rsid w:val="00D85965"/>
    <w:rsid w:val="00D859A1"/>
    <w:rsid w:val="00D85E72"/>
    <w:rsid w:val="00D85ECA"/>
    <w:rsid w:val="00D85F32"/>
    <w:rsid w:val="00D861EF"/>
    <w:rsid w:val="00D8642D"/>
    <w:rsid w:val="00D865B5"/>
    <w:rsid w:val="00D868C1"/>
    <w:rsid w:val="00D86BCB"/>
    <w:rsid w:val="00D86CAE"/>
    <w:rsid w:val="00D86D22"/>
    <w:rsid w:val="00D875CB"/>
    <w:rsid w:val="00D87F97"/>
    <w:rsid w:val="00D9041A"/>
    <w:rsid w:val="00D9062F"/>
    <w:rsid w:val="00D90A5E"/>
    <w:rsid w:val="00D90B1F"/>
    <w:rsid w:val="00D9131F"/>
    <w:rsid w:val="00D91A68"/>
    <w:rsid w:val="00D91AE0"/>
    <w:rsid w:val="00D925C9"/>
    <w:rsid w:val="00D926FD"/>
    <w:rsid w:val="00D92D03"/>
    <w:rsid w:val="00D9319B"/>
    <w:rsid w:val="00D9350B"/>
    <w:rsid w:val="00D9387D"/>
    <w:rsid w:val="00D93B23"/>
    <w:rsid w:val="00D93D41"/>
    <w:rsid w:val="00D9459F"/>
    <w:rsid w:val="00D94ACD"/>
    <w:rsid w:val="00D95034"/>
    <w:rsid w:val="00D9509F"/>
    <w:rsid w:val="00D9513C"/>
    <w:rsid w:val="00D958CB"/>
    <w:rsid w:val="00D95998"/>
    <w:rsid w:val="00D959C2"/>
    <w:rsid w:val="00D95A68"/>
    <w:rsid w:val="00D964CB"/>
    <w:rsid w:val="00D964D9"/>
    <w:rsid w:val="00D969F7"/>
    <w:rsid w:val="00D96C9F"/>
    <w:rsid w:val="00D96EB2"/>
    <w:rsid w:val="00D9718D"/>
    <w:rsid w:val="00DA0427"/>
    <w:rsid w:val="00DA0430"/>
    <w:rsid w:val="00DA063D"/>
    <w:rsid w:val="00DA0934"/>
    <w:rsid w:val="00DA17C7"/>
    <w:rsid w:val="00DA18A4"/>
    <w:rsid w:val="00DA1A7B"/>
    <w:rsid w:val="00DA2155"/>
    <w:rsid w:val="00DA2320"/>
    <w:rsid w:val="00DA2BC3"/>
    <w:rsid w:val="00DA32AA"/>
    <w:rsid w:val="00DA3B91"/>
    <w:rsid w:val="00DA3CFC"/>
    <w:rsid w:val="00DA3E9B"/>
    <w:rsid w:val="00DA43EB"/>
    <w:rsid w:val="00DA4440"/>
    <w:rsid w:val="00DA48B0"/>
    <w:rsid w:val="00DA4D17"/>
    <w:rsid w:val="00DA51D0"/>
    <w:rsid w:val="00DA565F"/>
    <w:rsid w:val="00DA596B"/>
    <w:rsid w:val="00DA5C76"/>
    <w:rsid w:val="00DA5CB5"/>
    <w:rsid w:val="00DA5D8A"/>
    <w:rsid w:val="00DA6243"/>
    <w:rsid w:val="00DA63DD"/>
    <w:rsid w:val="00DA6686"/>
    <w:rsid w:val="00DA6716"/>
    <w:rsid w:val="00DA6A9A"/>
    <w:rsid w:val="00DA6ED6"/>
    <w:rsid w:val="00DA6FA1"/>
    <w:rsid w:val="00DA7232"/>
    <w:rsid w:val="00DA7450"/>
    <w:rsid w:val="00DA77B3"/>
    <w:rsid w:val="00DA7937"/>
    <w:rsid w:val="00DA7CF8"/>
    <w:rsid w:val="00DB044C"/>
    <w:rsid w:val="00DB0493"/>
    <w:rsid w:val="00DB04E2"/>
    <w:rsid w:val="00DB0C19"/>
    <w:rsid w:val="00DB0CF6"/>
    <w:rsid w:val="00DB0D3D"/>
    <w:rsid w:val="00DB0F2C"/>
    <w:rsid w:val="00DB122A"/>
    <w:rsid w:val="00DB1479"/>
    <w:rsid w:val="00DB1EFD"/>
    <w:rsid w:val="00DB25E6"/>
    <w:rsid w:val="00DB268E"/>
    <w:rsid w:val="00DB2865"/>
    <w:rsid w:val="00DB29B0"/>
    <w:rsid w:val="00DB2B77"/>
    <w:rsid w:val="00DB3461"/>
    <w:rsid w:val="00DB35FA"/>
    <w:rsid w:val="00DB3BA8"/>
    <w:rsid w:val="00DB3E85"/>
    <w:rsid w:val="00DB3EAF"/>
    <w:rsid w:val="00DB4371"/>
    <w:rsid w:val="00DB46C6"/>
    <w:rsid w:val="00DB4C0B"/>
    <w:rsid w:val="00DB51B1"/>
    <w:rsid w:val="00DB53BF"/>
    <w:rsid w:val="00DB5540"/>
    <w:rsid w:val="00DB600B"/>
    <w:rsid w:val="00DB61E9"/>
    <w:rsid w:val="00DB6292"/>
    <w:rsid w:val="00DB6398"/>
    <w:rsid w:val="00DB6574"/>
    <w:rsid w:val="00DB65C9"/>
    <w:rsid w:val="00DB6632"/>
    <w:rsid w:val="00DB6B0B"/>
    <w:rsid w:val="00DB75F4"/>
    <w:rsid w:val="00DB7827"/>
    <w:rsid w:val="00DB792F"/>
    <w:rsid w:val="00DB7A90"/>
    <w:rsid w:val="00DB7B19"/>
    <w:rsid w:val="00DB7BA2"/>
    <w:rsid w:val="00DB7EE1"/>
    <w:rsid w:val="00DC0433"/>
    <w:rsid w:val="00DC0862"/>
    <w:rsid w:val="00DC08CD"/>
    <w:rsid w:val="00DC0BEE"/>
    <w:rsid w:val="00DC0E49"/>
    <w:rsid w:val="00DC114D"/>
    <w:rsid w:val="00DC12A5"/>
    <w:rsid w:val="00DC1479"/>
    <w:rsid w:val="00DC1C39"/>
    <w:rsid w:val="00DC1D07"/>
    <w:rsid w:val="00DC1D7F"/>
    <w:rsid w:val="00DC23DF"/>
    <w:rsid w:val="00DC2992"/>
    <w:rsid w:val="00DC2B04"/>
    <w:rsid w:val="00DC2C3A"/>
    <w:rsid w:val="00DC2D05"/>
    <w:rsid w:val="00DC2FC6"/>
    <w:rsid w:val="00DC3203"/>
    <w:rsid w:val="00DC339E"/>
    <w:rsid w:val="00DC33B3"/>
    <w:rsid w:val="00DC35A3"/>
    <w:rsid w:val="00DC35D7"/>
    <w:rsid w:val="00DC3784"/>
    <w:rsid w:val="00DC3790"/>
    <w:rsid w:val="00DC3871"/>
    <w:rsid w:val="00DC3B05"/>
    <w:rsid w:val="00DC3C76"/>
    <w:rsid w:val="00DC3C99"/>
    <w:rsid w:val="00DC3CBB"/>
    <w:rsid w:val="00DC3EB5"/>
    <w:rsid w:val="00DC3F01"/>
    <w:rsid w:val="00DC44D8"/>
    <w:rsid w:val="00DC45E9"/>
    <w:rsid w:val="00DC4620"/>
    <w:rsid w:val="00DC48FF"/>
    <w:rsid w:val="00DC49D6"/>
    <w:rsid w:val="00DC4C54"/>
    <w:rsid w:val="00DC4DD8"/>
    <w:rsid w:val="00DC4E6A"/>
    <w:rsid w:val="00DC51A8"/>
    <w:rsid w:val="00DC5209"/>
    <w:rsid w:val="00DC52F5"/>
    <w:rsid w:val="00DC554A"/>
    <w:rsid w:val="00DC571B"/>
    <w:rsid w:val="00DC5768"/>
    <w:rsid w:val="00DC5945"/>
    <w:rsid w:val="00DC5F06"/>
    <w:rsid w:val="00DC5FD0"/>
    <w:rsid w:val="00DC608A"/>
    <w:rsid w:val="00DC6193"/>
    <w:rsid w:val="00DC62F2"/>
    <w:rsid w:val="00DC68A6"/>
    <w:rsid w:val="00DC6AC3"/>
    <w:rsid w:val="00DC6C14"/>
    <w:rsid w:val="00DC719F"/>
    <w:rsid w:val="00DC7213"/>
    <w:rsid w:val="00DC76EC"/>
    <w:rsid w:val="00DC7976"/>
    <w:rsid w:val="00DC7F5D"/>
    <w:rsid w:val="00DD0354"/>
    <w:rsid w:val="00DD0947"/>
    <w:rsid w:val="00DD0AB7"/>
    <w:rsid w:val="00DD0F88"/>
    <w:rsid w:val="00DD12AF"/>
    <w:rsid w:val="00DD17E7"/>
    <w:rsid w:val="00DD17EA"/>
    <w:rsid w:val="00DD185A"/>
    <w:rsid w:val="00DD1917"/>
    <w:rsid w:val="00DD27D7"/>
    <w:rsid w:val="00DD28B2"/>
    <w:rsid w:val="00DD301E"/>
    <w:rsid w:val="00DD341E"/>
    <w:rsid w:val="00DD34DC"/>
    <w:rsid w:val="00DD3673"/>
    <w:rsid w:val="00DD3CCD"/>
    <w:rsid w:val="00DD3EBE"/>
    <w:rsid w:val="00DD3F06"/>
    <w:rsid w:val="00DD458C"/>
    <w:rsid w:val="00DD50AB"/>
    <w:rsid w:val="00DD5613"/>
    <w:rsid w:val="00DD5BD6"/>
    <w:rsid w:val="00DD64AD"/>
    <w:rsid w:val="00DD6809"/>
    <w:rsid w:val="00DD6BF4"/>
    <w:rsid w:val="00DD6D0D"/>
    <w:rsid w:val="00DD702B"/>
    <w:rsid w:val="00DD729F"/>
    <w:rsid w:val="00DD72C2"/>
    <w:rsid w:val="00DD72E9"/>
    <w:rsid w:val="00DD754C"/>
    <w:rsid w:val="00DD7605"/>
    <w:rsid w:val="00DD7B25"/>
    <w:rsid w:val="00DD7C52"/>
    <w:rsid w:val="00DE0103"/>
    <w:rsid w:val="00DE02CE"/>
    <w:rsid w:val="00DE06F2"/>
    <w:rsid w:val="00DE138C"/>
    <w:rsid w:val="00DE1419"/>
    <w:rsid w:val="00DE1524"/>
    <w:rsid w:val="00DE1644"/>
    <w:rsid w:val="00DE1CB9"/>
    <w:rsid w:val="00DE2010"/>
    <w:rsid w:val="00DE2020"/>
    <w:rsid w:val="00DE221E"/>
    <w:rsid w:val="00DE22ED"/>
    <w:rsid w:val="00DE26FA"/>
    <w:rsid w:val="00DE278C"/>
    <w:rsid w:val="00DE2802"/>
    <w:rsid w:val="00DE2943"/>
    <w:rsid w:val="00DE2C11"/>
    <w:rsid w:val="00DE2E83"/>
    <w:rsid w:val="00DE3067"/>
    <w:rsid w:val="00DE30DA"/>
    <w:rsid w:val="00DE324F"/>
    <w:rsid w:val="00DE3476"/>
    <w:rsid w:val="00DE39BC"/>
    <w:rsid w:val="00DE3E4B"/>
    <w:rsid w:val="00DE4699"/>
    <w:rsid w:val="00DE4A1A"/>
    <w:rsid w:val="00DE4F5F"/>
    <w:rsid w:val="00DE5480"/>
    <w:rsid w:val="00DE562B"/>
    <w:rsid w:val="00DE576A"/>
    <w:rsid w:val="00DE5A2A"/>
    <w:rsid w:val="00DE5CF1"/>
    <w:rsid w:val="00DE5D30"/>
    <w:rsid w:val="00DE5EAC"/>
    <w:rsid w:val="00DE6040"/>
    <w:rsid w:val="00DE612B"/>
    <w:rsid w:val="00DE61BF"/>
    <w:rsid w:val="00DE64B5"/>
    <w:rsid w:val="00DE6B65"/>
    <w:rsid w:val="00DE71D9"/>
    <w:rsid w:val="00DE72CA"/>
    <w:rsid w:val="00DE7565"/>
    <w:rsid w:val="00DE7BEA"/>
    <w:rsid w:val="00DE7CAE"/>
    <w:rsid w:val="00DE7DC0"/>
    <w:rsid w:val="00DF0005"/>
    <w:rsid w:val="00DF0292"/>
    <w:rsid w:val="00DF054E"/>
    <w:rsid w:val="00DF0A02"/>
    <w:rsid w:val="00DF1284"/>
    <w:rsid w:val="00DF17BC"/>
    <w:rsid w:val="00DF1A81"/>
    <w:rsid w:val="00DF1C7D"/>
    <w:rsid w:val="00DF2020"/>
    <w:rsid w:val="00DF2783"/>
    <w:rsid w:val="00DF2BD2"/>
    <w:rsid w:val="00DF2CFC"/>
    <w:rsid w:val="00DF3579"/>
    <w:rsid w:val="00DF385D"/>
    <w:rsid w:val="00DF38A4"/>
    <w:rsid w:val="00DF3EFB"/>
    <w:rsid w:val="00DF40C6"/>
    <w:rsid w:val="00DF4BFD"/>
    <w:rsid w:val="00DF4F98"/>
    <w:rsid w:val="00DF5B84"/>
    <w:rsid w:val="00DF5C42"/>
    <w:rsid w:val="00DF5CC5"/>
    <w:rsid w:val="00DF5DFC"/>
    <w:rsid w:val="00DF5F5D"/>
    <w:rsid w:val="00DF61AF"/>
    <w:rsid w:val="00DF67C7"/>
    <w:rsid w:val="00DF6908"/>
    <w:rsid w:val="00DF6D5B"/>
    <w:rsid w:val="00DF711D"/>
    <w:rsid w:val="00DF741B"/>
    <w:rsid w:val="00DF771B"/>
    <w:rsid w:val="00DF7EE2"/>
    <w:rsid w:val="00E00A6F"/>
    <w:rsid w:val="00E00CEA"/>
    <w:rsid w:val="00E01119"/>
    <w:rsid w:val="00E01BAA"/>
    <w:rsid w:val="00E01FFB"/>
    <w:rsid w:val="00E021C5"/>
    <w:rsid w:val="00E021C9"/>
    <w:rsid w:val="00E023BB"/>
    <w:rsid w:val="00E0282A"/>
    <w:rsid w:val="00E02945"/>
    <w:rsid w:val="00E029E1"/>
    <w:rsid w:val="00E02C35"/>
    <w:rsid w:val="00E02F9B"/>
    <w:rsid w:val="00E03149"/>
    <w:rsid w:val="00E0334F"/>
    <w:rsid w:val="00E03355"/>
    <w:rsid w:val="00E03622"/>
    <w:rsid w:val="00E03E84"/>
    <w:rsid w:val="00E03F14"/>
    <w:rsid w:val="00E041B0"/>
    <w:rsid w:val="00E04276"/>
    <w:rsid w:val="00E04B25"/>
    <w:rsid w:val="00E04E83"/>
    <w:rsid w:val="00E04F86"/>
    <w:rsid w:val="00E05135"/>
    <w:rsid w:val="00E05230"/>
    <w:rsid w:val="00E055DD"/>
    <w:rsid w:val="00E05C18"/>
    <w:rsid w:val="00E05FB1"/>
    <w:rsid w:val="00E06051"/>
    <w:rsid w:val="00E060E7"/>
    <w:rsid w:val="00E06327"/>
    <w:rsid w:val="00E065BB"/>
    <w:rsid w:val="00E06BDB"/>
    <w:rsid w:val="00E06C1C"/>
    <w:rsid w:val="00E07399"/>
    <w:rsid w:val="00E073A3"/>
    <w:rsid w:val="00E07BF7"/>
    <w:rsid w:val="00E07BF9"/>
    <w:rsid w:val="00E07D89"/>
    <w:rsid w:val="00E07E14"/>
    <w:rsid w:val="00E07E1A"/>
    <w:rsid w:val="00E1031D"/>
    <w:rsid w:val="00E10A99"/>
    <w:rsid w:val="00E10C91"/>
    <w:rsid w:val="00E114CA"/>
    <w:rsid w:val="00E1156B"/>
    <w:rsid w:val="00E11A62"/>
    <w:rsid w:val="00E11FD7"/>
    <w:rsid w:val="00E1204B"/>
    <w:rsid w:val="00E1245E"/>
    <w:rsid w:val="00E12F90"/>
    <w:rsid w:val="00E13305"/>
    <w:rsid w:val="00E137BF"/>
    <w:rsid w:val="00E138EF"/>
    <w:rsid w:val="00E13ACA"/>
    <w:rsid w:val="00E13C9B"/>
    <w:rsid w:val="00E13CBC"/>
    <w:rsid w:val="00E13FC0"/>
    <w:rsid w:val="00E14318"/>
    <w:rsid w:val="00E14B7A"/>
    <w:rsid w:val="00E14DC9"/>
    <w:rsid w:val="00E14F94"/>
    <w:rsid w:val="00E153D0"/>
    <w:rsid w:val="00E15488"/>
    <w:rsid w:val="00E157DE"/>
    <w:rsid w:val="00E16206"/>
    <w:rsid w:val="00E167DF"/>
    <w:rsid w:val="00E16B0B"/>
    <w:rsid w:val="00E16D6F"/>
    <w:rsid w:val="00E17336"/>
    <w:rsid w:val="00E177A5"/>
    <w:rsid w:val="00E17A68"/>
    <w:rsid w:val="00E17BB4"/>
    <w:rsid w:val="00E17C36"/>
    <w:rsid w:val="00E17D15"/>
    <w:rsid w:val="00E17D6D"/>
    <w:rsid w:val="00E202FE"/>
    <w:rsid w:val="00E209B2"/>
    <w:rsid w:val="00E20E02"/>
    <w:rsid w:val="00E2186E"/>
    <w:rsid w:val="00E21957"/>
    <w:rsid w:val="00E21D78"/>
    <w:rsid w:val="00E21E7F"/>
    <w:rsid w:val="00E228DD"/>
    <w:rsid w:val="00E22B95"/>
    <w:rsid w:val="00E22C4D"/>
    <w:rsid w:val="00E23296"/>
    <w:rsid w:val="00E23607"/>
    <w:rsid w:val="00E238A6"/>
    <w:rsid w:val="00E239DD"/>
    <w:rsid w:val="00E24193"/>
    <w:rsid w:val="00E24692"/>
    <w:rsid w:val="00E247B3"/>
    <w:rsid w:val="00E24944"/>
    <w:rsid w:val="00E24FBE"/>
    <w:rsid w:val="00E2555B"/>
    <w:rsid w:val="00E257CF"/>
    <w:rsid w:val="00E26389"/>
    <w:rsid w:val="00E2638B"/>
    <w:rsid w:val="00E2654A"/>
    <w:rsid w:val="00E26C24"/>
    <w:rsid w:val="00E26C3D"/>
    <w:rsid w:val="00E26D73"/>
    <w:rsid w:val="00E26DF6"/>
    <w:rsid w:val="00E272A0"/>
    <w:rsid w:val="00E2730E"/>
    <w:rsid w:val="00E27513"/>
    <w:rsid w:val="00E2770F"/>
    <w:rsid w:val="00E3005D"/>
    <w:rsid w:val="00E30331"/>
    <w:rsid w:val="00E307C4"/>
    <w:rsid w:val="00E307EA"/>
    <w:rsid w:val="00E30BB8"/>
    <w:rsid w:val="00E311A0"/>
    <w:rsid w:val="00E31D6E"/>
    <w:rsid w:val="00E31EC1"/>
    <w:rsid w:val="00E31F9C"/>
    <w:rsid w:val="00E325A2"/>
    <w:rsid w:val="00E32C78"/>
    <w:rsid w:val="00E32C8F"/>
    <w:rsid w:val="00E32E27"/>
    <w:rsid w:val="00E33957"/>
    <w:rsid w:val="00E33AE8"/>
    <w:rsid w:val="00E33BB6"/>
    <w:rsid w:val="00E3403E"/>
    <w:rsid w:val="00E34D3B"/>
    <w:rsid w:val="00E34D4D"/>
    <w:rsid w:val="00E35233"/>
    <w:rsid w:val="00E354D0"/>
    <w:rsid w:val="00E355DB"/>
    <w:rsid w:val="00E358D9"/>
    <w:rsid w:val="00E35A50"/>
    <w:rsid w:val="00E35D2C"/>
    <w:rsid w:val="00E3623D"/>
    <w:rsid w:val="00E36E58"/>
    <w:rsid w:val="00E37007"/>
    <w:rsid w:val="00E372A5"/>
    <w:rsid w:val="00E37470"/>
    <w:rsid w:val="00E37785"/>
    <w:rsid w:val="00E37B6C"/>
    <w:rsid w:val="00E40488"/>
    <w:rsid w:val="00E4053F"/>
    <w:rsid w:val="00E40812"/>
    <w:rsid w:val="00E40876"/>
    <w:rsid w:val="00E4089D"/>
    <w:rsid w:val="00E4110F"/>
    <w:rsid w:val="00E4129D"/>
    <w:rsid w:val="00E413D7"/>
    <w:rsid w:val="00E41C3D"/>
    <w:rsid w:val="00E41CB2"/>
    <w:rsid w:val="00E42EBC"/>
    <w:rsid w:val="00E434D9"/>
    <w:rsid w:val="00E436F9"/>
    <w:rsid w:val="00E4377A"/>
    <w:rsid w:val="00E43A5B"/>
    <w:rsid w:val="00E44344"/>
    <w:rsid w:val="00E449CD"/>
    <w:rsid w:val="00E44B09"/>
    <w:rsid w:val="00E44DEC"/>
    <w:rsid w:val="00E45B5B"/>
    <w:rsid w:val="00E46169"/>
    <w:rsid w:val="00E461FE"/>
    <w:rsid w:val="00E4645F"/>
    <w:rsid w:val="00E46572"/>
    <w:rsid w:val="00E46766"/>
    <w:rsid w:val="00E46F89"/>
    <w:rsid w:val="00E472AC"/>
    <w:rsid w:val="00E47458"/>
    <w:rsid w:val="00E47766"/>
    <w:rsid w:val="00E477C1"/>
    <w:rsid w:val="00E47F44"/>
    <w:rsid w:val="00E50367"/>
    <w:rsid w:val="00E50444"/>
    <w:rsid w:val="00E50522"/>
    <w:rsid w:val="00E50944"/>
    <w:rsid w:val="00E50984"/>
    <w:rsid w:val="00E509F5"/>
    <w:rsid w:val="00E50ECA"/>
    <w:rsid w:val="00E5185D"/>
    <w:rsid w:val="00E51ABA"/>
    <w:rsid w:val="00E51E7F"/>
    <w:rsid w:val="00E524CB"/>
    <w:rsid w:val="00E52747"/>
    <w:rsid w:val="00E533DB"/>
    <w:rsid w:val="00E534E4"/>
    <w:rsid w:val="00E53510"/>
    <w:rsid w:val="00E537F5"/>
    <w:rsid w:val="00E5387F"/>
    <w:rsid w:val="00E53E9D"/>
    <w:rsid w:val="00E540EF"/>
    <w:rsid w:val="00E54A14"/>
    <w:rsid w:val="00E54CE7"/>
    <w:rsid w:val="00E55C9E"/>
    <w:rsid w:val="00E55D7A"/>
    <w:rsid w:val="00E55F71"/>
    <w:rsid w:val="00E55FCC"/>
    <w:rsid w:val="00E55FF5"/>
    <w:rsid w:val="00E56397"/>
    <w:rsid w:val="00E56A00"/>
    <w:rsid w:val="00E56A9E"/>
    <w:rsid w:val="00E56BF9"/>
    <w:rsid w:val="00E56BFD"/>
    <w:rsid w:val="00E572FD"/>
    <w:rsid w:val="00E57616"/>
    <w:rsid w:val="00E57775"/>
    <w:rsid w:val="00E57ADF"/>
    <w:rsid w:val="00E57EE9"/>
    <w:rsid w:val="00E601A4"/>
    <w:rsid w:val="00E6059A"/>
    <w:rsid w:val="00E6061C"/>
    <w:rsid w:val="00E60750"/>
    <w:rsid w:val="00E60A46"/>
    <w:rsid w:val="00E60AEC"/>
    <w:rsid w:val="00E61334"/>
    <w:rsid w:val="00E617AA"/>
    <w:rsid w:val="00E61876"/>
    <w:rsid w:val="00E61937"/>
    <w:rsid w:val="00E61BE6"/>
    <w:rsid w:val="00E62463"/>
    <w:rsid w:val="00E627CE"/>
    <w:rsid w:val="00E629ED"/>
    <w:rsid w:val="00E62AB9"/>
    <w:rsid w:val="00E636F6"/>
    <w:rsid w:val="00E63FB4"/>
    <w:rsid w:val="00E6435D"/>
    <w:rsid w:val="00E64DB0"/>
    <w:rsid w:val="00E65456"/>
    <w:rsid w:val="00E656F3"/>
    <w:rsid w:val="00E65920"/>
    <w:rsid w:val="00E65A91"/>
    <w:rsid w:val="00E65C98"/>
    <w:rsid w:val="00E66057"/>
    <w:rsid w:val="00E66188"/>
    <w:rsid w:val="00E664FB"/>
    <w:rsid w:val="00E665C1"/>
    <w:rsid w:val="00E66620"/>
    <w:rsid w:val="00E66E13"/>
    <w:rsid w:val="00E671A2"/>
    <w:rsid w:val="00E6721F"/>
    <w:rsid w:val="00E672F0"/>
    <w:rsid w:val="00E67372"/>
    <w:rsid w:val="00E6740C"/>
    <w:rsid w:val="00E67700"/>
    <w:rsid w:val="00E679BA"/>
    <w:rsid w:val="00E67A48"/>
    <w:rsid w:val="00E70373"/>
    <w:rsid w:val="00E70761"/>
    <w:rsid w:val="00E708AF"/>
    <w:rsid w:val="00E70916"/>
    <w:rsid w:val="00E709D8"/>
    <w:rsid w:val="00E70EEB"/>
    <w:rsid w:val="00E7109C"/>
    <w:rsid w:val="00E715A3"/>
    <w:rsid w:val="00E72478"/>
    <w:rsid w:val="00E72588"/>
    <w:rsid w:val="00E72877"/>
    <w:rsid w:val="00E728F6"/>
    <w:rsid w:val="00E72B3E"/>
    <w:rsid w:val="00E72E40"/>
    <w:rsid w:val="00E731DE"/>
    <w:rsid w:val="00E7326D"/>
    <w:rsid w:val="00E7344B"/>
    <w:rsid w:val="00E73665"/>
    <w:rsid w:val="00E73920"/>
    <w:rsid w:val="00E7394F"/>
    <w:rsid w:val="00E73999"/>
    <w:rsid w:val="00E73A4A"/>
    <w:rsid w:val="00E73BDC"/>
    <w:rsid w:val="00E73D0A"/>
    <w:rsid w:val="00E73E9E"/>
    <w:rsid w:val="00E7418E"/>
    <w:rsid w:val="00E745BC"/>
    <w:rsid w:val="00E74C14"/>
    <w:rsid w:val="00E74D48"/>
    <w:rsid w:val="00E750B6"/>
    <w:rsid w:val="00E7528C"/>
    <w:rsid w:val="00E752B4"/>
    <w:rsid w:val="00E75402"/>
    <w:rsid w:val="00E7575E"/>
    <w:rsid w:val="00E7578A"/>
    <w:rsid w:val="00E7595C"/>
    <w:rsid w:val="00E7602B"/>
    <w:rsid w:val="00E761B7"/>
    <w:rsid w:val="00E76273"/>
    <w:rsid w:val="00E763A4"/>
    <w:rsid w:val="00E76CE4"/>
    <w:rsid w:val="00E77084"/>
    <w:rsid w:val="00E77271"/>
    <w:rsid w:val="00E775C1"/>
    <w:rsid w:val="00E776B6"/>
    <w:rsid w:val="00E77793"/>
    <w:rsid w:val="00E7780C"/>
    <w:rsid w:val="00E805DD"/>
    <w:rsid w:val="00E80868"/>
    <w:rsid w:val="00E80D12"/>
    <w:rsid w:val="00E80D55"/>
    <w:rsid w:val="00E8125E"/>
    <w:rsid w:val="00E8146C"/>
    <w:rsid w:val="00E81660"/>
    <w:rsid w:val="00E81AB4"/>
    <w:rsid w:val="00E820FE"/>
    <w:rsid w:val="00E82151"/>
    <w:rsid w:val="00E825BC"/>
    <w:rsid w:val="00E82742"/>
    <w:rsid w:val="00E82795"/>
    <w:rsid w:val="00E827A6"/>
    <w:rsid w:val="00E827AC"/>
    <w:rsid w:val="00E82CA9"/>
    <w:rsid w:val="00E8322A"/>
    <w:rsid w:val="00E83274"/>
    <w:rsid w:val="00E83488"/>
    <w:rsid w:val="00E83546"/>
    <w:rsid w:val="00E83605"/>
    <w:rsid w:val="00E837C1"/>
    <w:rsid w:val="00E83FAC"/>
    <w:rsid w:val="00E849AE"/>
    <w:rsid w:val="00E84AFB"/>
    <w:rsid w:val="00E84CE6"/>
    <w:rsid w:val="00E84D6A"/>
    <w:rsid w:val="00E8529B"/>
    <w:rsid w:val="00E8534B"/>
    <w:rsid w:val="00E854C5"/>
    <w:rsid w:val="00E854FE"/>
    <w:rsid w:val="00E86313"/>
    <w:rsid w:val="00E867BA"/>
    <w:rsid w:val="00E86E84"/>
    <w:rsid w:val="00E86F34"/>
    <w:rsid w:val="00E870B8"/>
    <w:rsid w:val="00E87437"/>
    <w:rsid w:val="00E877FF"/>
    <w:rsid w:val="00E87A7D"/>
    <w:rsid w:val="00E87D3E"/>
    <w:rsid w:val="00E87FC2"/>
    <w:rsid w:val="00E9006C"/>
    <w:rsid w:val="00E906CC"/>
    <w:rsid w:val="00E90822"/>
    <w:rsid w:val="00E90B43"/>
    <w:rsid w:val="00E90CC6"/>
    <w:rsid w:val="00E90EA1"/>
    <w:rsid w:val="00E913AB"/>
    <w:rsid w:val="00E913E6"/>
    <w:rsid w:val="00E914B3"/>
    <w:rsid w:val="00E917C2"/>
    <w:rsid w:val="00E92049"/>
    <w:rsid w:val="00E92488"/>
    <w:rsid w:val="00E93403"/>
    <w:rsid w:val="00E9348C"/>
    <w:rsid w:val="00E939A0"/>
    <w:rsid w:val="00E93BBE"/>
    <w:rsid w:val="00E93ED1"/>
    <w:rsid w:val="00E948B5"/>
    <w:rsid w:val="00E94D7B"/>
    <w:rsid w:val="00E959A4"/>
    <w:rsid w:val="00E967D8"/>
    <w:rsid w:val="00E969A0"/>
    <w:rsid w:val="00E969AC"/>
    <w:rsid w:val="00E96BDA"/>
    <w:rsid w:val="00E96D47"/>
    <w:rsid w:val="00E9748E"/>
    <w:rsid w:val="00E97994"/>
    <w:rsid w:val="00E97A45"/>
    <w:rsid w:val="00E97D31"/>
    <w:rsid w:val="00E97E4E"/>
    <w:rsid w:val="00EA0430"/>
    <w:rsid w:val="00EA08A5"/>
    <w:rsid w:val="00EA0C16"/>
    <w:rsid w:val="00EA19F5"/>
    <w:rsid w:val="00EA1C7F"/>
    <w:rsid w:val="00EA1C83"/>
    <w:rsid w:val="00EA1CC2"/>
    <w:rsid w:val="00EA1E6B"/>
    <w:rsid w:val="00EA20E8"/>
    <w:rsid w:val="00EA2AA1"/>
    <w:rsid w:val="00EA2D76"/>
    <w:rsid w:val="00EA3447"/>
    <w:rsid w:val="00EA35C1"/>
    <w:rsid w:val="00EA3AE0"/>
    <w:rsid w:val="00EA3D94"/>
    <w:rsid w:val="00EA4644"/>
    <w:rsid w:val="00EA46F8"/>
    <w:rsid w:val="00EA47A2"/>
    <w:rsid w:val="00EA47AA"/>
    <w:rsid w:val="00EA48EE"/>
    <w:rsid w:val="00EA496E"/>
    <w:rsid w:val="00EA5FFD"/>
    <w:rsid w:val="00EA6023"/>
    <w:rsid w:val="00EA6593"/>
    <w:rsid w:val="00EA6682"/>
    <w:rsid w:val="00EA6773"/>
    <w:rsid w:val="00EA6C65"/>
    <w:rsid w:val="00EA70BA"/>
    <w:rsid w:val="00EA72F8"/>
    <w:rsid w:val="00EA733D"/>
    <w:rsid w:val="00EA758A"/>
    <w:rsid w:val="00EA79FC"/>
    <w:rsid w:val="00EA7A72"/>
    <w:rsid w:val="00EB02A1"/>
    <w:rsid w:val="00EB0720"/>
    <w:rsid w:val="00EB0722"/>
    <w:rsid w:val="00EB096F"/>
    <w:rsid w:val="00EB0977"/>
    <w:rsid w:val="00EB0C5C"/>
    <w:rsid w:val="00EB11B4"/>
    <w:rsid w:val="00EB1551"/>
    <w:rsid w:val="00EB199F"/>
    <w:rsid w:val="00EB1B55"/>
    <w:rsid w:val="00EB2176"/>
    <w:rsid w:val="00EB21A4"/>
    <w:rsid w:val="00EB2796"/>
    <w:rsid w:val="00EB27C4"/>
    <w:rsid w:val="00EB3C69"/>
    <w:rsid w:val="00EB3F54"/>
    <w:rsid w:val="00EB401A"/>
    <w:rsid w:val="00EB4398"/>
    <w:rsid w:val="00EB50CF"/>
    <w:rsid w:val="00EB5234"/>
    <w:rsid w:val="00EB5387"/>
    <w:rsid w:val="00EB544E"/>
    <w:rsid w:val="00EB56B6"/>
    <w:rsid w:val="00EB5C10"/>
    <w:rsid w:val="00EB612A"/>
    <w:rsid w:val="00EB612D"/>
    <w:rsid w:val="00EB6705"/>
    <w:rsid w:val="00EB67C6"/>
    <w:rsid w:val="00EB68A9"/>
    <w:rsid w:val="00EB69E3"/>
    <w:rsid w:val="00EB6AF4"/>
    <w:rsid w:val="00EB6BB2"/>
    <w:rsid w:val="00EB6C64"/>
    <w:rsid w:val="00EB6D3B"/>
    <w:rsid w:val="00EB6DEA"/>
    <w:rsid w:val="00EB6E4B"/>
    <w:rsid w:val="00EB7322"/>
    <w:rsid w:val="00EB758A"/>
    <w:rsid w:val="00EB7731"/>
    <w:rsid w:val="00EB7743"/>
    <w:rsid w:val="00EB7C36"/>
    <w:rsid w:val="00EB7FAF"/>
    <w:rsid w:val="00EC00E1"/>
    <w:rsid w:val="00EC01BB"/>
    <w:rsid w:val="00EC0AEC"/>
    <w:rsid w:val="00EC0C5B"/>
    <w:rsid w:val="00EC0E52"/>
    <w:rsid w:val="00EC0FE9"/>
    <w:rsid w:val="00EC198B"/>
    <w:rsid w:val="00EC1ABF"/>
    <w:rsid w:val="00EC1BFF"/>
    <w:rsid w:val="00EC1FD3"/>
    <w:rsid w:val="00EC2290"/>
    <w:rsid w:val="00EC3328"/>
    <w:rsid w:val="00EC4048"/>
    <w:rsid w:val="00EC4059"/>
    <w:rsid w:val="00EC426D"/>
    <w:rsid w:val="00EC434A"/>
    <w:rsid w:val="00EC49F0"/>
    <w:rsid w:val="00EC4ED4"/>
    <w:rsid w:val="00EC571B"/>
    <w:rsid w:val="00EC57D7"/>
    <w:rsid w:val="00EC5ACB"/>
    <w:rsid w:val="00EC5DFA"/>
    <w:rsid w:val="00EC6385"/>
    <w:rsid w:val="00EC6440"/>
    <w:rsid w:val="00EC685A"/>
    <w:rsid w:val="00EC6B9E"/>
    <w:rsid w:val="00EC6D9E"/>
    <w:rsid w:val="00EC71D4"/>
    <w:rsid w:val="00EC71E1"/>
    <w:rsid w:val="00EC74AD"/>
    <w:rsid w:val="00EC78B5"/>
    <w:rsid w:val="00EC792B"/>
    <w:rsid w:val="00EC7AC6"/>
    <w:rsid w:val="00EC7CE0"/>
    <w:rsid w:val="00EC7E8A"/>
    <w:rsid w:val="00EC7FC0"/>
    <w:rsid w:val="00ED0254"/>
    <w:rsid w:val="00ED03D0"/>
    <w:rsid w:val="00ED0B9A"/>
    <w:rsid w:val="00ED1387"/>
    <w:rsid w:val="00ED1473"/>
    <w:rsid w:val="00ED1AB4"/>
    <w:rsid w:val="00ED1DE9"/>
    <w:rsid w:val="00ED23D4"/>
    <w:rsid w:val="00ED2606"/>
    <w:rsid w:val="00ED264C"/>
    <w:rsid w:val="00ED2F7B"/>
    <w:rsid w:val="00ED30C6"/>
    <w:rsid w:val="00ED3160"/>
    <w:rsid w:val="00ED31C3"/>
    <w:rsid w:val="00ED357F"/>
    <w:rsid w:val="00ED3D4C"/>
    <w:rsid w:val="00ED3E2D"/>
    <w:rsid w:val="00ED3EBF"/>
    <w:rsid w:val="00ED42D0"/>
    <w:rsid w:val="00ED457B"/>
    <w:rsid w:val="00ED45EA"/>
    <w:rsid w:val="00ED4914"/>
    <w:rsid w:val="00ED5237"/>
    <w:rsid w:val="00ED5604"/>
    <w:rsid w:val="00ED5759"/>
    <w:rsid w:val="00ED594F"/>
    <w:rsid w:val="00ED5E0B"/>
    <w:rsid w:val="00ED5FD4"/>
    <w:rsid w:val="00ED602F"/>
    <w:rsid w:val="00ED612B"/>
    <w:rsid w:val="00ED661A"/>
    <w:rsid w:val="00ED6915"/>
    <w:rsid w:val="00ED6A53"/>
    <w:rsid w:val="00ED6A94"/>
    <w:rsid w:val="00ED6DB5"/>
    <w:rsid w:val="00ED7124"/>
    <w:rsid w:val="00ED751E"/>
    <w:rsid w:val="00ED7B05"/>
    <w:rsid w:val="00ED7C97"/>
    <w:rsid w:val="00EE00E7"/>
    <w:rsid w:val="00EE024A"/>
    <w:rsid w:val="00EE0392"/>
    <w:rsid w:val="00EE07A3"/>
    <w:rsid w:val="00EE09E2"/>
    <w:rsid w:val="00EE0D10"/>
    <w:rsid w:val="00EE0DF9"/>
    <w:rsid w:val="00EE1165"/>
    <w:rsid w:val="00EE1580"/>
    <w:rsid w:val="00EE2199"/>
    <w:rsid w:val="00EE24AA"/>
    <w:rsid w:val="00EE25DD"/>
    <w:rsid w:val="00EE299B"/>
    <w:rsid w:val="00EE2F4C"/>
    <w:rsid w:val="00EE31C0"/>
    <w:rsid w:val="00EE37B6"/>
    <w:rsid w:val="00EE393A"/>
    <w:rsid w:val="00EE3C03"/>
    <w:rsid w:val="00EE41B4"/>
    <w:rsid w:val="00EE464C"/>
    <w:rsid w:val="00EE467A"/>
    <w:rsid w:val="00EE4750"/>
    <w:rsid w:val="00EE48F9"/>
    <w:rsid w:val="00EE5125"/>
    <w:rsid w:val="00EE65BE"/>
    <w:rsid w:val="00EE680D"/>
    <w:rsid w:val="00EE6831"/>
    <w:rsid w:val="00EE6A9E"/>
    <w:rsid w:val="00EE714D"/>
    <w:rsid w:val="00EE71C2"/>
    <w:rsid w:val="00EE721C"/>
    <w:rsid w:val="00EE7395"/>
    <w:rsid w:val="00EE772B"/>
    <w:rsid w:val="00EE7B98"/>
    <w:rsid w:val="00EE7CE4"/>
    <w:rsid w:val="00EF0088"/>
    <w:rsid w:val="00EF038E"/>
    <w:rsid w:val="00EF0665"/>
    <w:rsid w:val="00EF06A5"/>
    <w:rsid w:val="00EF0A48"/>
    <w:rsid w:val="00EF0F45"/>
    <w:rsid w:val="00EF1993"/>
    <w:rsid w:val="00EF20AA"/>
    <w:rsid w:val="00EF2AA8"/>
    <w:rsid w:val="00EF2DE4"/>
    <w:rsid w:val="00EF2F19"/>
    <w:rsid w:val="00EF33B1"/>
    <w:rsid w:val="00EF372D"/>
    <w:rsid w:val="00EF385B"/>
    <w:rsid w:val="00EF39E7"/>
    <w:rsid w:val="00EF424F"/>
    <w:rsid w:val="00EF49E0"/>
    <w:rsid w:val="00EF4EB4"/>
    <w:rsid w:val="00EF4EE2"/>
    <w:rsid w:val="00EF4F8F"/>
    <w:rsid w:val="00EF5149"/>
    <w:rsid w:val="00EF56E4"/>
    <w:rsid w:val="00EF5741"/>
    <w:rsid w:val="00EF5CE9"/>
    <w:rsid w:val="00EF64B1"/>
    <w:rsid w:val="00EF6671"/>
    <w:rsid w:val="00EF69F9"/>
    <w:rsid w:val="00EF6AFD"/>
    <w:rsid w:val="00EF6B5D"/>
    <w:rsid w:val="00EF6C15"/>
    <w:rsid w:val="00EF6EBE"/>
    <w:rsid w:val="00EF7463"/>
    <w:rsid w:val="00EF74CF"/>
    <w:rsid w:val="00EF7971"/>
    <w:rsid w:val="00EF7CF1"/>
    <w:rsid w:val="00EF7EA9"/>
    <w:rsid w:val="00F002EF"/>
    <w:rsid w:val="00F0073B"/>
    <w:rsid w:val="00F00852"/>
    <w:rsid w:val="00F00AA0"/>
    <w:rsid w:val="00F0103B"/>
    <w:rsid w:val="00F014C8"/>
    <w:rsid w:val="00F01BB4"/>
    <w:rsid w:val="00F01EE9"/>
    <w:rsid w:val="00F02178"/>
    <w:rsid w:val="00F0245F"/>
    <w:rsid w:val="00F029CF"/>
    <w:rsid w:val="00F02B6B"/>
    <w:rsid w:val="00F03B22"/>
    <w:rsid w:val="00F03BF1"/>
    <w:rsid w:val="00F03C1E"/>
    <w:rsid w:val="00F0408C"/>
    <w:rsid w:val="00F04117"/>
    <w:rsid w:val="00F045F3"/>
    <w:rsid w:val="00F048A3"/>
    <w:rsid w:val="00F04900"/>
    <w:rsid w:val="00F0498E"/>
    <w:rsid w:val="00F0499E"/>
    <w:rsid w:val="00F052C2"/>
    <w:rsid w:val="00F05386"/>
    <w:rsid w:val="00F05B41"/>
    <w:rsid w:val="00F05C30"/>
    <w:rsid w:val="00F05CA6"/>
    <w:rsid w:val="00F05DCC"/>
    <w:rsid w:val="00F06298"/>
    <w:rsid w:val="00F065A4"/>
    <w:rsid w:val="00F06881"/>
    <w:rsid w:val="00F06EAA"/>
    <w:rsid w:val="00F06ECD"/>
    <w:rsid w:val="00F070FA"/>
    <w:rsid w:val="00F073D6"/>
    <w:rsid w:val="00F0766C"/>
    <w:rsid w:val="00F07731"/>
    <w:rsid w:val="00F07A1F"/>
    <w:rsid w:val="00F07B59"/>
    <w:rsid w:val="00F07B73"/>
    <w:rsid w:val="00F07B9A"/>
    <w:rsid w:val="00F07C2B"/>
    <w:rsid w:val="00F07F10"/>
    <w:rsid w:val="00F10027"/>
    <w:rsid w:val="00F10052"/>
    <w:rsid w:val="00F103E4"/>
    <w:rsid w:val="00F10668"/>
    <w:rsid w:val="00F10B11"/>
    <w:rsid w:val="00F10C4F"/>
    <w:rsid w:val="00F10EEB"/>
    <w:rsid w:val="00F10F65"/>
    <w:rsid w:val="00F111F3"/>
    <w:rsid w:val="00F1125E"/>
    <w:rsid w:val="00F11A3B"/>
    <w:rsid w:val="00F1244F"/>
    <w:rsid w:val="00F12462"/>
    <w:rsid w:val="00F126B9"/>
    <w:rsid w:val="00F12715"/>
    <w:rsid w:val="00F12A01"/>
    <w:rsid w:val="00F12BD5"/>
    <w:rsid w:val="00F12E0A"/>
    <w:rsid w:val="00F12EEE"/>
    <w:rsid w:val="00F1305A"/>
    <w:rsid w:val="00F130AA"/>
    <w:rsid w:val="00F1328D"/>
    <w:rsid w:val="00F13794"/>
    <w:rsid w:val="00F137BC"/>
    <w:rsid w:val="00F13C3E"/>
    <w:rsid w:val="00F14008"/>
    <w:rsid w:val="00F1447E"/>
    <w:rsid w:val="00F144D5"/>
    <w:rsid w:val="00F145F6"/>
    <w:rsid w:val="00F146F0"/>
    <w:rsid w:val="00F15039"/>
    <w:rsid w:val="00F15541"/>
    <w:rsid w:val="00F15947"/>
    <w:rsid w:val="00F15AA7"/>
    <w:rsid w:val="00F16475"/>
    <w:rsid w:val="00F16C22"/>
    <w:rsid w:val="00F17540"/>
    <w:rsid w:val="00F175CD"/>
    <w:rsid w:val="00F175E5"/>
    <w:rsid w:val="00F1761F"/>
    <w:rsid w:val="00F1770B"/>
    <w:rsid w:val="00F17B82"/>
    <w:rsid w:val="00F200A0"/>
    <w:rsid w:val="00F20266"/>
    <w:rsid w:val="00F209BB"/>
    <w:rsid w:val="00F209BC"/>
    <w:rsid w:val="00F20B53"/>
    <w:rsid w:val="00F20BD9"/>
    <w:rsid w:val="00F20D76"/>
    <w:rsid w:val="00F20E1E"/>
    <w:rsid w:val="00F20EA1"/>
    <w:rsid w:val="00F20EE5"/>
    <w:rsid w:val="00F20FF3"/>
    <w:rsid w:val="00F215BE"/>
    <w:rsid w:val="00F21634"/>
    <w:rsid w:val="00F2177B"/>
    <w:rsid w:val="00F218C4"/>
    <w:rsid w:val="00F2190B"/>
    <w:rsid w:val="00F21DE9"/>
    <w:rsid w:val="00F22498"/>
    <w:rsid w:val="00F228B5"/>
    <w:rsid w:val="00F23042"/>
    <w:rsid w:val="00F2304F"/>
    <w:rsid w:val="00F230B2"/>
    <w:rsid w:val="00F23666"/>
    <w:rsid w:val="00F236CB"/>
    <w:rsid w:val="00F2389C"/>
    <w:rsid w:val="00F23DBD"/>
    <w:rsid w:val="00F23F18"/>
    <w:rsid w:val="00F24442"/>
    <w:rsid w:val="00F24780"/>
    <w:rsid w:val="00F24F33"/>
    <w:rsid w:val="00F252BD"/>
    <w:rsid w:val="00F25503"/>
    <w:rsid w:val="00F25593"/>
    <w:rsid w:val="00F25C67"/>
    <w:rsid w:val="00F26031"/>
    <w:rsid w:val="00F266E4"/>
    <w:rsid w:val="00F267D1"/>
    <w:rsid w:val="00F2685D"/>
    <w:rsid w:val="00F269DC"/>
    <w:rsid w:val="00F26BFD"/>
    <w:rsid w:val="00F26E84"/>
    <w:rsid w:val="00F27115"/>
    <w:rsid w:val="00F27CB3"/>
    <w:rsid w:val="00F30551"/>
    <w:rsid w:val="00F305F6"/>
    <w:rsid w:val="00F308DB"/>
    <w:rsid w:val="00F30DFF"/>
    <w:rsid w:val="00F310E6"/>
    <w:rsid w:val="00F31481"/>
    <w:rsid w:val="00F314DC"/>
    <w:rsid w:val="00F31DD9"/>
    <w:rsid w:val="00F32162"/>
    <w:rsid w:val="00F326CE"/>
    <w:rsid w:val="00F32767"/>
    <w:rsid w:val="00F32B80"/>
    <w:rsid w:val="00F32BFB"/>
    <w:rsid w:val="00F3391D"/>
    <w:rsid w:val="00F33A0F"/>
    <w:rsid w:val="00F33E31"/>
    <w:rsid w:val="00F340EB"/>
    <w:rsid w:val="00F345DD"/>
    <w:rsid w:val="00F348F5"/>
    <w:rsid w:val="00F34B57"/>
    <w:rsid w:val="00F34BD0"/>
    <w:rsid w:val="00F34C26"/>
    <w:rsid w:val="00F34C3E"/>
    <w:rsid w:val="00F35285"/>
    <w:rsid w:val="00F357A5"/>
    <w:rsid w:val="00F35978"/>
    <w:rsid w:val="00F35E05"/>
    <w:rsid w:val="00F35EA2"/>
    <w:rsid w:val="00F36497"/>
    <w:rsid w:val="00F36896"/>
    <w:rsid w:val="00F36FCE"/>
    <w:rsid w:val="00F37282"/>
    <w:rsid w:val="00F37630"/>
    <w:rsid w:val="00F37823"/>
    <w:rsid w:val="00F37D47"/>
    <w:rsid w:val="00F40046"/>
    <w:rsid w:val="00F400D3"/>
    <w:rsid w:val="00F4072C"/>
    <w:rsid w:val="00F40774"/>
    <w:rsid w:val="00F407AE"/>
    <w:rsid w:val="00F40AE2"/>
    <w:rsid w:val="00F40F98"/>
    <w:rsid w:val="00F41796"/>
    <w:rsid w:val="00F423D4"/>
    <w:rsid w:val="00F42C50"/>
    <w:rsid w:val="00F42F27"/>
    <w:rsid w:val="00F42FC0"/>
    <w:rsid w:val="00F4311C"/>
    <w:rsid w:val="00F43172"/>
    <w:rsid w:val="00F4336E"/>
    <w:rsid w:val="00F434E6"/>
    <w:rsid w:val="00F43817"/>
    <w:rsid w:val="00F43ADA"/>
    <w:rsid w:val="00F43B9D"/>
    <w:rsid w:val="00F4468D"/>
    <w:rsid w:val="00F44891"/>
    <w:rsid w:val="00F449AE"/>
    <w:rsid w:val="00F44B6B"/>
    <w:rsid w:val="00F44D5E"/>
    <w:rsid w:val="00F452C0"/>
    <w:rsid w:val="00F45A52"/>
    <w:rsid w:val="00F45E86"/>
    <w:rsid w:val="00F46389"/>
    <w:rsid w:val="00F463E6"/>
    <w:rsid w:val="00F4676F"/>
    <w:rsid w:val="00F46B1F"/>
    <w:rsid w:val="00F46C78"/>
    <w:rsid w:val="00F46EFF"/>
    <w:rsid w:val="00F47226"/>
    <w:rsid w:val="00F47342"/>
    <w:rsid w:val="00F50005"/>
    <w:rsid w:val="00F503ED"/>
    <w:rsid w:val="00F504E9"/>
    <w:rsid w:val="00F515C7"/>
    <w:rsid w:val="00F51C63"/>
    <w:rsid w:val="00F521E4"/>
    <w:rsid w:val="00F52366"/>
    <w:rsid w:val="00F52952"/>
    <w:rsid w:val="00F52B72"/>
    <w:rsid w:val="00F531B6"/>
    <w:rsid w:val="00F5326F"/>
    <w:rsid w:val="00F536E5"/>
    <w:rsid w:val="00F53A35"/>
    <w:rsid w:val="00F53BEE"/>
    <w:rsid w:val="00F54021"/>
    <w:rsid w:val="00F5403E"/>
    <w:rsid w:val="00F54190"/>
    <w:rsid w:val="00F54478"/>
    <w:rsid w:val="00F54775"/>
    <w:rsid w:val="00F5479C"/>
    <w:rsid w:val="00F54986"/>
    <w:rsid w:val="00F54CE2"/>
    <w:rsid w:val="00F54EFA"/>
    <w:rsid w:val="00F54F80"/>
    <w:rsid w:val="00F5504B"/>
    <w:rsid w:val="00F55259"/>
    <w:rsid w:val="00F554EB"/>
    <w:rsid w:val="00F557FB"/>
    <w:rsid w:val="00F5581A"/>
    <w:rsid w:val="00F55A3D"/>
    <w:rsid w:val="00F55ED1"/>
    <w:rsid w:val="00F56221"/>
    <w:rsid w:val="00F56309"/>
    <w:rsid w:val="00F563E9"/>
    <w:rsid w:val="00F56ADB"/>
    <w:rsid w:val="00F56C09"/>
    <w:rsid w:val="00F5720C"/>
    <w:rsid w:val="00F5744B"/>
    <w:rsid w:val="00F57AD7"/>
    <w:rsid w:val="00F602F8"/>
    <w:rsid w:val="00F6071C"/>
    <w:rsid w:val="00F60DD8"/>
    <w:rsid w:val="00F611AB"/>
    <w:rsid w:val="00F61209"/>
    <w:rsid w:val="00F6123C"/>
    <w:rsid w:val="00F61608"/>
    <w:rsid w:val="00F61779"/>
    <w:rsid w:val="00F61B70"/>
    <w:rsid w:val="00F62107"/>
    <w:rsid w:val="00F6259E"/>
    <w:rsid w:val="00F62917"/>
    <w:rsid w:val="00F62BCA"/>
    <w:rsid w:val="00F62DA4"/>
    <w:rsid w:val="00F62DFB"/>
    <w:rsid w:val="00F632BA"/>
    <w:rsid w:val="00F632F5"/>
    <w:rsid w:val="00F6339F"/>
    <w:rsid w:val="00F63B51"/>
    <w:rsid w:val="00F63C92"/>
    <w:rsid w:val="00F63F2C"/>
    <w:rsid w:val="00F64379"/>
    <w:rsid w:val="00F64B81"/>
    <w:rsid w:val="00F651ED"/>
    <w:rsid w:val="00F65621"/>
    <w:rsid w:val="00F65B3B"/>
    <w:rsid w:val="00F65D0B"/>
    <w:rsid w:val="00F65DD4"/>
    <w:rsid w:val="00F66AD2"/>
    <w:rsid w:val="00F66C4A"/>
    <w:rsid w:val="00F672B2"/>
    <w:rsid w:val="00F6797A"/>
    <w:rsid w:val="00F67E44"/>
    <w:rsid w:val="00F70638"/>
    <w:rsid w:val="00F706B2"/>
    <w:rsid w:val="00F707DB"/>
    <w:rsid w:val="00F70CF0"/>
    <w:rsid w:val="00F710A7"/>
    <w:rsid w:val="00F715D0"/>
    <w:rsid w:val="00F71802"/>
    <w:rsid w:val="00F71839"/>
    <w:rsid w:val="00F71E55"/>
    <w:rsid w:val="00F71F05"/>
    <w:rsid w:val="00F71F32"/>
    <w:rsid w:val="00F7227B"/>
    <w:rsid w:val="00F72963"/>
    <w:rsid w:val="00F73C4C"/>
    <w:rsid w:val="00F73DD9"/>
    <w:rsid w:val="00F73FB2"/>
    <w:rsid w:val="00F74259"/>
    <w:rsid w:val="00F7465C"/>
    <w:rsid w:val="00F749FA"/>
    <w:rsid w:val="00F74B95"/>
    <w:rsid w:val="00F751AF"/>
    <w:rsid w:val="00F7528B"/>
    <w:rsid w:val="00F753BA"/>
    <w:rsid w:val="00F75653"/>
    <w:rsid w:val="00F757AB"/>
    <w:rsid w:val="00F7590B"/>
    <w:rsid w:val="00F7594F"/>
    <w:rsid w:val="00F75AA4"/>
    <w:rsid w:val="00F76750"/>
    <w:rsid w:val="00F76823"/>
    <w:rsid w:val="00F76C13"/>
    <w:rsid w:val="00F76C7B"/>
    <w:rsid w:val="00F76CAD"/>
    <w:rsid w:val="00F76CE1"/>
    <w:rsid w:val="00F76E2E"/>
    <w:rsid w:val="00F770E9"/>
    <w:rsid w:val="00F772A6"/>
    <w:rsid w:val="00F77742"/>
    <w:rsid w:val="00F779FD"/>
    <w:rsid w:val="00F77F28"/>
    <w:rsid w:val="00F805FA"/>
    <w:rsid w:val="00F8081B"/>
    <w:rsid w:val="00F80B76"/>
    <w:rsid w:val="00F80E1D"/>
    <w:rsid w:val="00F81444"/>
    <w:rsid w:val="00F81654"/>
    <w:rsid w:val="00F81C01"/>
    <w:rsid w:val="00F821B0"/>
    <w:rsid w:val="00F82827"/>
    <w:rsid w:val="00F829CA"/>
    <w:rsid w:val="00F82AD9"/>
    <w:rsid w:val="00F82B2F"/>
    <w:rsid w:val="00F832A7"/>
    <w:rsid w:val="00F8332D"/>
    <w:rsid w:val="00F8334A"/>
    <w:rsid w:val="00F834E5"/>
    <w:rsid w:val="00F83973"/>
    <w:rsid w:val="00F839A4"/>
    <w:rsid w:val="00F83A7A"/>
    <w:rsid w:val="00F83CFE"/>
    <w:rsid w:val="00F83FDF"/>
    <w:rsid w:val="00F842E9"/>
    <w:rsid w:val="00F843FB"/>
    <w:rsid w:val="00F84401"/>
    <w:rsid w:val="00F84851"/>
    <w:rsid w:val="00F84A14"/>
    <w:rsid w:val="00F84FE6"/>
    <w:rsid w:val="00F85D82"/>
    <w:rsid w:val="00F8688D"/>
    <w:rsid w:val="00F86A05"/>
    <w:rsid w:val="00F86DA8"/>
    <w:rsid w:val="00F8732C"/>
    <w:rsid w:val="00F876A0"/>
    <w:rsid w:val="00F877AE"/>
    <w:rsid w:val="00F87EF7"/>
    <w:rsid w:val="00F87FA3"/>
    <w:rsid w:val="00F90455"/>
    <w:rsid w:val="00F90681"/>
    <w:rsid w:val="00F908D7"/>
    <w:rsid w:val="00F909E4"/>
    <w:rsid w:val="00F90BB2"/>
    <w:rsid w:val="00F90E07"/>
    <w:rsid w:val="00F913B6"/>
    <w:rsid w:val="00F9153E"/>
    <w:rsid w:val="00F91BAC"/>
    <w:rsid w:val="00F91C74"/>
    <w:rsid w:val="00F91F86"/>
    <w:rsid w:val="00F91FCE"/>
    <w:rsid w:val="00F9200D"/>
    <w:rsid w:val="00F923A0"/>
    <w:rsid w:val="00F9255C"/>
    <w:rsid w:val="00F92697"/>
    <w:rsid w:val="00F92B4A"/>
    <w:rsid w:val="00F92FAF"/>
    <w:rsid w:val="00F9355E"/>
    <w:rsid w:val="00F93D8C"/>
    <w:rsid w:val="00F93E54"/>
    <w:rsid w:val="00F9403F"/>
    <w:rsid w:val="00F94D12"/>
    <w:rsid w:val="00F94D7A"/>
    <w:rsid w:val="00F94FA2"/>
    <w:rsid w:val="00F9514D"/>
    <w:rsid w:val="00F957DA"/>
    <w:rsid w:val="00F95AF6"/>
    <w:rsid w:val="00F960E0"/>
    <w:rsid w:val="00F965C0"/>
    <w:rsid w:val="00F96CFA"/>
    <w:rsid w:val="00F96EE4"/>
    <w:rsid w:val="00F96F9E"/>
    <w:rsid w:val="00F97251"/>
    <w:rsid w:val="00F97803"/>
    <w:rsid w:val="00F979D6"/>
    <w:rsid w:val="00F97E49"/>
    <w:rsid w:val="00FA05B9"/>
    <w:rsid w:val="00FA0EF0"/>
    <w:rsid w:val="00FA1327"/>
    <w:rsid w:val="00FA171D"/>
    <w:rsid w:val="00FA2385"/>
    <w:rsid w:val="00FA2678"/>
    <w:rsid w:val="00FA3102"/>
    <w:rsid w:val="00FA3CCC"/>
    <w:rsid w:val="00FA3EF1"/>
    <w:rsid w:val="00FA48D4"/>
    <w:rsid w:val="00FA4A76"/>
    <w:rsid w:val="00FA4AD9"/>
    <w:rsid w:val="00FA4C9F"/>
    <w:rsid w:val="00FA54FA"/>
    <w:rsid w:val="00FA5915"/>
    <w:rsid w:val="00FA5D63"/>
    <w:rsid w:val="00FA613E"/>
    <w:rsid w:val="00FA6BBB"/>
    <w:rsid w:val="00FA6D08"/>
    <w:rsid w:val="00FA6D39"/>
    <w:rsid w:val="00FA7021"/>
    <w:rsid w:val="00FA7070"/>
    <w:rsid w:val="00FA71E7"/>
    <w:rsid w:val="00FA720C"/>
    <w:rsid w:val="00FA72EB"/>
    <w:rsid w:val="00FA759B"/>
    <w:rsid w:val="00FA7B16"/>
    <w:rsid w:val="00FA7EF3"/>
    <w:rsid w:val="00FB044D"/>
    <w:rsid w:val="00FB0977"/>
    <w:rsid w:val="00FB0A8D"/>
    <w:rsid w:val="00FB0C8E"/>
    <w:rsid w:val="00FB215C"/>
    <w:rsid w:val="00FB227E"/>
    <w:rsid w:val="00FB24E6"/>
    <w:rsid w:val="00FB2DA4"/>
    <w:rsid w:val="00FB2E8C"/>
    <w:rsid w:val="00FB3184"/>
    <w:rsid w:val="00FB34FE"/>
    <w:rsid w:val="00FB3A36"/>
    <w:rsid w:val="00FB3D61"/>
    <w:rsid w:val="00FB44CE"/>
    <w:rsid w:val="00FB4C34"/>
    <w:rsid w:val="00FB4FF3"/>
    <w:rsid w:val="00FB5009"/>
    <w:rsid w:val="00FB504E"/>
    <w:rsid w:val="00FB51AE"/>
    <w:rsid w:val="00FB54DF"/>
    <w:rsid w:val="00FB5F68"/>
    <w:rsid w:val="00FB630C"/>
    <w:rsid w:val="00FB68EE"/>
    <w:rsid w:val="00FB722D"/>
    <w:rsid w:val="00FB761F"/>
    <w:rsid w:val="00FB76AB"/>
    <w:rsid w:val="00FB7B9C"/>
    <w:rsid w:val="00FC0981"/>
    <w:rsid w:val="00FC0A31"/>
    <w:rsid w:val="00FC14CD"/>
    <w:rsid w:val="00FC18CF"/>
    <w:rsid w:val="00FC1BB1"/>
    <w:rsid w:val="00FC2020"/>
    <w:rsid w:val="00FC2130"/>
    <w:rsid w:val="00FC21DA"/>
    <w:rsid w:val="00FC3266"/>
    <w:rsid w:val="00FC334E"/>
    <w:rsid w:val="00FC3424"/>
    <w:rsid w:val="00FC3702"/>
    <w:rsid w:val="00FC3A05"/>
    <w:rsid w:val="00FC3FB3"/>
    <w:rsid w:val="00FC3FB9"/>
    <w:rsid w:val="00FC3FE2"/>
    <w:rsid w:val="00FC4343"/>
    <w:rsid w:val="00FC447E"/>
    <w:rsid w:val="00FC48BA"/>
    <w:rsid w:val="00FC4BE1"/>
    <w:rsid w:val="00FC51CE"/>
    <w:rsid w:val="00FC5868"/>
    <w:rsid w:val="00FC5C9E"/>
    <w:rsid w:val="00FC5EEF"/>
    <w:rsid w:val="00FC5FF6"/>
    <w:rsid w:val="00FC6167"/>
    <w:rsid w:val="00FC61CD"/>
    <w:rsid w:val="00FC6676"/>
    <w:rsid w:val="00FC729B"/>
    <w:rsid w:val="00FC7AE3"/>
    <w:rsid w:val="00FC7B68"/>
    <w:rsid w:val="00FD00E1"/>
    <w:rsid w:val="00FD03FE"/>
    <w:rsid w:val="00FD06C9"/>
    <w:rsid w:val="00FD0C0B"/>
    <w:rsid w:val="00FD111C"/>
    <w:rsid w:val="00FD11FD"/>
    <w:rsid w:val="00FD126E"/>
    <w:rsid w:val="00FD1C1E"/>
    <w:rsid w:val="00FD1D14"/>
    <w:rsid w:val="00FD1E9A"/>
    <w:rsid w:val="00FD2097"/>
    <w:rsid w:val="00FD22B7"/>
    <w:rsid w:val="00FD24D8"/>
    <w:rsid w:val="00FD2597"/>
    <w:rsid w:val="00FD288B"/>
    <w:rsid w:val="00FD2ABF"/>
    <w:rsid w:val="00FD2BF0"/>
    <w:rsid w:val="00FD3545"/>
    <w:rsid w:val="00FD37A7"/>
    <w:rsid w:val="00FD39FF"/>
    <w:rsid w:val="00FD3C36"/>
    <w:rsid w:val="00FD42A4"/>
    <w:rsid w:val="00FD42BA"/>
    <w:rsid w:val="00FD438C"/>
    <w:rsid w:val="00FD48F2"/>
    <w:rsid w:val="00FD4D81"/>
    <w:rsid w:val="00FD4DAF"/>
    <w:rsid w:val="00FD518F"/>
    <w:rsid w:val="00FD5473"/>
    <w:rsid w:val="00FD552C"/>
    <w:rsid w:val="00FD5618"/>
    <w:rsid w:val="00FD5AA5"/>
    <w:rsid w:val="00FD60DA"/>
    <w:rsid w:val="00FD6358"/>
    <w:rsid w:val="00FD6559"/>
    <w:rsid w:val="00FD6810"/>
    <w:rsid w:val="00FD6A00"/>
    <w:rsid w:val="00FD6A22"/>
    <w:rsid w:val="00FD6BAE"/>
    <w:rsid w:val="00FD6C47"/>
    <w:rsid w:val="00FD6DAB"/>
    <w:rsid w:val="00FD7498"/>
    <w:rsid w:val="00FD754F"/>
    <w:rsid w:val="00FD7557"/>
    <w:rsid w:val="00FD7FB3"/>
    <w:rsid w:val="00FE0A24"/>
    <w:rsid w:val="00FE0B2F"/>
    <w:rsid w:val="00FE0FAD"/>
    <w:rsid w:val="00FE0FDE"/>
    <w:rsid w:val="00FE11CE"/>
    <w:rsid w:val="00FE12C3"/>
    <w:rsid w:val="00FE1389"/>
    <w:rsid w:val="00FE14A3"/>
    <w:rsid w:val="00FE1A24"/>
    <w:rsid w:val="00FE1CDD"/>
    <w:rsid w:val="00FE1D35"/>
    <w:rsid w:val="00FE267D"/>
    <w:rsid w:val="00FE29B3"/>
    <w:rsid w:val="00FE30C9"/>
    <w:rsid w:val="00FE30F1"/>
    <w:rsid w:val="00FE3595"/>
    <w:rsid w:val="00FE3821"/>
    <w:rsid w:val="00FE382E"/>
    <w:rsid w:val="00FE3858"/>
    <w:rsid w:val="00FE3B5B"/>
    <w:rsid w:val="00FE4428"/>
    <w:rsid w:val="00FE4713"/>
    <w:rsid w:val="00FE4724"/>
    <w:rsid w:val="00FE4ACE"/>
    <w:rsid w:val="00FE54FF"/>
    <w:rsid w:val="00FE5742"/>
    <w:rsid w:val="00FE596A"/>
    <w:rsid w:val="00FE5B4D"/>
    <w:rsid w:val="00FE5DC8"/>
    <w:rsid w:val="00FE6D6C"/>
    <w:rsid w:val="00FE70A9"/>
    <w:rsid w:val="00FE798F"/>
    <w:rsid w:val="00FE7E89"/>
    <w:rsid w:val="00FF02E4"/>
    <w:rsid w:val="00FF0630"/>
    <w:rsid w:val="00FF0A46"/>
    <w:rsid w:val="00FF15DC"/>
    <w:rsid w:val="00FF1CD6"/>
    <w:rsid w:val="00FF1F44"/>
    <w:rsid w:val="00FF200E"/>
    <w:rsid w:val="00FF216B"/>
    <w:rsid w:val="00FF2238"/>
    <w:rsid w:val="00FF225E"/>
    <w:rsid w:val="00FF22BB"/>
    <w:rsid w:val="00FF2608"/>
    <w:rsid w:val="00FF2C36"/>
    <w:rsid w:val="00FF2C7E"/>
    <w:rsid w:val="00FF2D4B"/>
    <w:rsid w:val="00FF2E7B"/>
    <w:rsid w:val="00FF3476"/>
    <w:rsid w:val="00FF3633"/>
    <w:rsid w:val="00FF3D32"/>
    <w:rsid w:val="00FF4271"/>
    <w:rsid w:val="00FF4323"/>
    <w:rsid w:val="00FF44C3"/>
    <w:rsid w:val="00FF51FE"/>
    <w:rsid w:val="00FF5321"/>
    <w:rsid w:val="00FF549C"/>
    <w:rsid w:val="00FF5A38"/>
    <w:rsid w:val="00FF5A3E"/>
    <w:rsid w:val="00FF5CAE"/>
    <w:rsid w:val="00FF5EB5"/>
    <w:rsid w:val="00FF5EF8"/>
    <w:rsid w:val="00FF5F51"/>
    <w:rsid w:val="00FF6115"/>
    <w:rsid w:val="00FF6266"/>
    <w:rsid w:val="00FF672C"/>
    <w:rsid w:val="00FF6895"/>
    <w:rsid w:val="00FF6A2F"/>
    <w:rsid w:val="00FF6CE8"/>
    <w:rsid w:val="00FF6E7C"/>
    <w:rsid w:val="00FF79F3"/>
    <w:rsid w:val="00FF7A36"/>
    <w:rsid w:val="00FF7D19"/>
    <w:rsid w:val="00FF7EFC"/>
    <w:rsid w:val="00FF7FD8"/>
    <w:rsid w:val="0101B6BE"/>
    <w:rsid w:val="01358871"/>
    <w:rsid w:val="015C16DA"/>
    <w:rsid w:val="016C2014"/>
    <w:rsid w:val="022FB39B"/>
    <w:rsid w:val="0334B189"/>
    <w:rsid w:val="03AF5344"/>
    <w:rsid w:val="041DC36B"/>
    <w:rsid w:val="04895FEC"/>
    <w:rsid w:val="05D87411"/>
    <w:rsid w:val="060C07F0"/>
    <w:rsid w:val="069A8955"/>
    <w:rsid w:val="07C100AE"/>
    <w:rsid w:val="07CAB7C1"/>
    <w:rsid w:val="080822AC"/>
    <w:rsid w:val="091014D3"/>
    <w:rsid w:val="095CD10F"/>
    <w:rsid w:val="09A3F30D"/>
    <w:rsid w:val="09E9D45B"/>
    <w:rsid w:val="0A511CBB"/>
    <w:rsid w:val="0AF17D56"/>
    <w:rsid w:val="0B1E0B7B"/>
    <w:rsid w:val="0B37EA42"/>
    <w:rsid w:val="0BEFB35D"/>
    <w:rsid w:val="0CB9DBDC"/>
    <w:rsid w:val="0CD47092"/>
    <w:rsid w:val="0DDC3405"/>
    <w:rsid w:val="0E02B539"/>
    <w:rsid w:val="0E2FEFF2"/>
    <w:rsid w:val="0EA59B3A"/>
    <w:rsid w:val="0FE64FDC"/>
    <w:rsid w:val="10A17792"/>
    <w:rsid w:val="10E522EB"/>
    <w:rsid w:val="11E0150A"/>
    <w:rsid w:val="11EDC2D7"/>
    <w:rsid w:val="12899F88"/>
    <w:rsid w:val="1294D35E"/>
    <w:rsid w:val="135FE400"/>
    <w:rsid w:val="13F2473A"/>
    <w:rsid w:val="141CC3AD"/>
    <w:rsid w:val="14FBB461"/>
    <w:rsid w:val="15B8940E"/>
    <w:rsid w:val="15EE618F"/>
    <w:rsid w:val="15F285C5"/>
    <w:rsid w:val="166FB300"/>
    <w:rsid w:val="169B4F18"/>
    <w:rsid w:val="1754646F"/>
    <w:rsid w:val="17AB8242"/>
    <w:rsid w:val="195E24A6"/>
    <w:rsid w:val="196EBD13"/>
    <w:rsid w:val="19C07501"/>
    <w:rsid w:val="19CE34A0"/>
    <w:rsid w:val="19E84DE1"/>
    <w:rsid w:val="1A61B7DF"/>
    <w:rsid w:val="1A7B8910"/>
    <w:rsid w:val="1AC2D24C"/>
    <w:rsid w:val="1B0A8ED8"/>
    <w:rsid w:val="1B841E42"/>
    <w:rsid w:val="1B8C6F74"/>
    <w:rsid w:val="1C76D1C2"/>
    <w:rsid w:val="1CB42DE3"/>
    <w:rsid w:val="1DE59656"/>
    <w:rsid w:val="1E682471"/>
    <w:rsid w:val="1F5667A3"/>
    <w:rsid w:val="1F682290"/>
    <w:rsid w:val="1FB62967"/>
    <w:rsid w:val="2039EFBD"/>
    <w:rsid w:val="20ACADB5"/>
    <w:rsid w:val="22165756"/>
    <w:rsid w:val="229571E3"/>
    <w:rsid w:val="22A7D3C2"/>
    <w:rsid w:val="22EC5FF3"/>
    <w:rsid w:val="2332BE97"/>
    <w:rsid w:val="23472EB0"/>
    <w:rsid w:val="237DF550"/>
    <w:rsid w:val="23EEC569"/>
    <w:rsid w:val="23FAB579"/>
    <w:rsid w:val="24226B56"/>
    <w:rsid w:val="24347076"/>
    <w:rsid w:val="24C08963"/>
    <w:rsid w:val="24E2FF11"/>
    <w:rsid w:val="254385DA"/>
    <w:rsid w:val="267ECF72"/>
    <w:rsid w:val="277275BF"/>
    <w:rsid w:val="27A942DA"/>
    <w:rsid w:val="27BE9882"/>
    <w:rsid w:val="27CCAA78"/>
    <w:rsid w:val="28476DB6"/>
    <w:rsid w:val="2907E199"/>
    <w:rsid w:val="29088B35"/>
    <w:rsid w:val="2945133B"/>
    <w:rsid w:val="2B45EF1C"/>
    <w:rsid w:val="2B95A297"/>
    <w:rsid w:val="2B9A1BFB"/>
    <w:rsid w:val="2BEE48C3"/>
    <w:rsid w:val="2C27174A"/>
    <w:rsid w:val="2C70060B"/>
    <w:rsid w:val="2E5E7D0C"/>
    <w:rsid w:val="2E8B4DB0"/>
    <w:rsid w:val="2F08B2B6"/>
    <w:rsid w:val="2F4AB329"/>
    <w:rsid w:val="2F906B27"/>
    <w:rsid w:val="2FBD8623"/>
    <w:rsid w:val="3018809D"/>
    <w:rsid w:val="305C7858"/>
    <w:rsid w:val="3100EE5E"/>
    <w:rsid w:val="31195805"/>
    <w:rsid w:val="3161E561"/>
    <w:rsid w:val="3200116A"/>
    <w:rsid w:val="3211FCFB"/>
    <w:rsid w:val="325D8A47"/>
    <w:rsid w:val="3263B894"/>
    <w:rsid w:val="33B10936"/>
    <w:rsid w:val="341DC57A"/>
    <w:rsid w:val="35BA0CC5"/>
    <w:rsid w:val="3741D3C3"/>
    <w:rsid w:val="38AF3820"/>
    <w:rsid w:val="3964C43E"/>
    <w:rsid w:val="39EA6E93"/>
    <w:rsid w:val="3A6E0268"/>
    <w:rsid w:val="3ADDF534"/>
    <w:rsid w:val="3AE39EEC"/>
    <w:rsid w:val="3B953BAA"/>
    <w:rsid w:val="3BDAA23C"/>
    <w:rsid w:val="3CAE3EFD"/>
    <w:rsid w:val="3D288668"/>
    <w:rsid w:val="3F1509FB"/>
    <w:rsid w:val="415A8D5C"/>
    <w:rsid w:val="424138A0"/>
    <w:rsid w:val="432A9C16"/>
    <w:rsid w:val="43522AAD"/>
    <w:rsid w:val="439F823F"/>
    <w:rsid w:val="43C2C236"/>
    <w:rsid w:val="43DCB3E1"/>
    <w:rsid w:val="4400C771"/>
    <w:rsid w:val="4449AD62"/>
    <w:rsid w:val="4456A070"/>
    <w:rsid w:val="448D6B0C"/>
    <w:rsid w:val="44F76E3D"/>
    <w:rsid w:val="45922676"/>
    <w:rsid w:val="45F789AE"/>
    <w:rsid w:val="46045DB2"/>
    <w:rsid w:val="46DD8788"/>
    <w:rsid w:val="46FFE2FF"/>
    <w:rsid w:val="470DD6FF"/>
    <w:rsid w:val="471454A3"/>
    <w:rsid w:val="472BDF58"/>
    <w:rsid w:val="4787348C"/>
    <w:rsid w:val="48602F8C"/>
    <w:rsid w:val="4862BCFE"/>
    <w:rsid w:val="487957E9"/>
    <w:rsid w:val="48A7CF04"/>
    <w:rsid w:val="48A8E01B"/>
    <w:rsid w:val="48DDD0B5"/>
    <w:rsid w:val="4A0EC3C3"/>
    <w:rsid w:val="4BA413F2"/>
    <w:rsid w:val="4BB0F8AB"/>
    <w:rsid w:val="4BB4ABBE"/>
    <w:rsid w:val="4BF37C83"/>
    <w:rsid w:val="4C07ABBE"/>
    <w:rsid w:val="4C8FE95F"/>
    <w:rsid w:val="4D4ACE2B"/>
    <w:rsid w:val="4DB99F23"/>
    <w:rsid w:val="4E01F167"/>
    <w:rsid w:val="5085F2CD"/>
    <w:rsid w:val="50EF140F"/>
    <w:rsid w:val="511D3E2B"/>
    <w:rsid w:val="516B3C51"/>
    <w:rsid w:val="51C89C10"/>
    <w:rsid w:val="522A0DA4"/>
    <w:rsid w:val="523DF518"/>
    <w:rsid w:val="528D9703"/>
    <w:rsid w:val="52BF6112"/>
    <w:rsid w:val="52F06A88"/>
    <w:rsid w:val="54A83B9D"/>
    <w:rsid w:val="55798942"/>
    <w:rsid w:val="5586418C"/>
    <w:rsid w:val="56679A2C"/>
    <w:rsid w:val="56834564"/>
    <w:rsid w:val="570F9624"/>
    <w:rsid w:val="571BC469"/>
    <w:rsid w:val="572E3FDF"/>
    <w:rsid w:val="57F62C77"/>
    <w:rsid w:val="5890A408"/>
    <w:rsid w:val="5952484B"/>
    <w:rsid w:val="59AF7409"/>
    <w:rsid w:val="5B07EF4C"/>
    <w:rsid w:val="5B69D20A"/>
    <w:rsid w:val="5BC8A574"/>
    <w:rsid w:val="5BECD7F0"/>
    <w:rsid w:val="5C882FA3"/>
    <w:rsid w:val="5D133C3D"/>
    <w:rsid w:val="5D487A35"/>
    <w:rsid w:val="5DD1C56C"/>
    <w:rsid w:val="5EAF0C9E"/>
    <w:rsid w:val="5EE295E5"/>
    <w:rsid w:val="5F0BC7ED"/>
    <w:rsid w:val="5F6D3374"/>
    <w:rsid w:val="608A1177"/>
    <w:rsid w:val="60BCC28C"/>
    <w:rsid w:val="60C2162A"/>
    <w:rsid w:val="61CB6CBD"/>
    <w:rsid w:val="62236911"/>
    <w:rsid w:val="63007C6E"/>
    <w:rsid w:val="63EFE943"/>
    <w:rsid w:val="64659689"/>
    <w:rsid w:val="6584FAC7"/>
    <w:rsid w:val="663582E2"/>
    <w:rsid w:val="66381D30"/>
    <w:rsid w:val="6647A406"/>
    <w:rsid w:val="66A0F626"/>
    <w:rsid w:val="675CBC28"/>
    <w:rsid w:val="67818B3E"/>
    <w:rsid w:val="67D3ED91"/>
    <w:rsid w:val="68227E8C"/>
    <w:rsid w:val="69F1BF45"/>
    <w:rsid w:val="6A5F2AC7"/>
    <w:rsid w:val="6A624E25"/>
    <w:rsid w:val="6C02E8AE"/>
    <w:rsid w:val="6C42A90B"/>
    <w:rsid w:val="6CA75EB4"/>
    <w:rsid w:val="6D296007"/>
    <w:rsid w:val="6D5527D1"/>
    <w:rsid w:val="6D67D5C9"/>
    <w:rsid w:val="6D6B2FD1"/>
    <w:rsid w:val="6D82628A"/>
    <w:rsid w:val="6DB06325"/>
    <w:rsid w:val="6DF85B92"/>
    <w:rsid w:val="6EAC080B"/>
    <w:rsid w:val="6F4B213C"/>
    <w:rsid w:val="6F9A17B0"/>
    <w:rsid w:val="6FDEFF76"/>
    <w:rsid w:val="7181B76E"/>
    <w:rsid w:val="72EE363D"/>
    <w:rsid w:val="7315E182"/>
    <w:rsid w:val="7328A558"/>
    <w:rsid w:val="73E8F8EE"/>
    <w:rsid w:val="740DFA93"/>
    <w:rsid w:val="74B1B1E3"/>
    <w:rsid w:val="74BA5E1F"/>
    <w:rsid w:val="7634A2D8"/>
    <w:rsid w:val="7660461A"/>
    <w:rsid w:val="76CFA4B4"/>
    <w:rsid w:val="77152793"/>
    <w:rsid w:val="776AFAC8"/>
    <w:rsid w:val="7781D8AB"/>
    <w:rsid w:val="77F394EB"/>
    <w:rsid w:val="78092B7C"/>
    <w:rsid w:val="786F070B"/>
    <w:rsid w:val="78D60F01"/>
    <w:rsid w:val="78F20382"/>
    <w:rsid w:val="79125AB2"/>
    <w:rsid w:val="7954FE56"/>
    <w:rsid w:val="7997E6DC"/>
    <w:rsid w:val="79C45474"/>
    <w:rsid w:val="79E6D8BF"/>
    <w:rsid w:val="7A8DD3E3"/>
    <w:rsid w:val="7BF05337"/>
    <w:rsid w:val="7C190C78"/>
    <w:rsid w:val="7D13370D"/>
    <w:rsid w:val="7D254DE6"/>
    <w:rsid w:val="7DB4DCD9"/>
    <w:rsid w:val="7DF78E13"/>
    <w:rsid w:val="7E614065"/>
    <w:rsid w:val="7E8F6144"/>
    <w:rsid w:val="7EA8DA3B"/>
    <w:rsid w:val="7F3F5C3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18DCE"/>
  <w14:defaultImageDpi w14:val="330"/>
  <w15:docId w15:val="{83466C14-BF29-4CDA-95D3-159F72D7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uiPriority w:val="99"/>
    <w:rsid w:val="0039475F"/>
    <w:pPr>
      <w:ind w:left="284" w:hanging="284"/>
    </w:pPr>
    <w:rPr>
      <w:sz w:val="22"/>
      <w:szCs w:val="20"/>
    </w:rPr>
  </w:style>
  <w:style w:type="character" w:customStyle="1" w:styleId="FootnoteTextChar">
    <w:name w:val="Footnote Text Char"/>
    <w:basedOn w:val="DefaultParagraphFont"/>
    <w:link w:val="FootnoteText"/>
    <w:uiPriority w:val="99"/>
    <w:rsid w:val="0039475F"/>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79327F"/>
    <w:pPr>
      <w:spacing w:line="360" w:lineRule="auto"/>
      <w:ind w:left="284" w:hanging="284"/>
    </w:pPr>
    <w:rPr>
      <w:sz w:val="22"/>
      <w:szCs w:val="20"/>
    </w:rPr>
  </w:style>
  <w:style w:type="character" w:customStyle="1" w:styleId="EndnoteTextChar">
    <w:name w:val="Endnote Text Char"/>
    <w:basedOn w:val="DefaultParagraphFont"/>
    <w:link w:val="EndnoteText"/>
    <w:rsid w:val="0079327F"/>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nhideWhenUsed/>
    <w:rsid w:val="00330A14"/>
    <w:rPr>
      <w:color w:val="0000FF" w:themeColor="hyperlink"/>
      <w:u w:val="single"/>
    </w:rPr>
  </w:style>
  <w:style w:type="character" w:customStyle="1" w:styleId="UnresolvedMention1">
    <w:name w:val="Unresolved Mention1"/>
    <w:basedOn w:val="DefaultParagraphFont"/>
    <w:uiPriority w:val="99"/>
    <w:semiHidden/>
    <w:unhideWhenUsed/>
    <w:rsid w:val="00330A14"/>
    <w:rPr>
      <w:color w:val="605E5C"/>
      <w:shd w:val="clear" w:color="auto" w:fill="E1DFDD"/>
    </w:rPr>
  </w:style>
  <w:style w:type="paragraph" w:styleId="BalloonText">
    <w:name w:val="Balloon Text"/>
    <w:basedOn w:val="Normal"/>
    <w:link w:val="BalloonTextChar"/>
    <w:semiHidden/>
    <w:unhideWhenUsed/>
    <w:rsid w:val="0028289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8289F"/>
    <w:rPr>
      <w:rFonts w:ascii="Segoe UI" w:hAnsi="Segoe UI" w:cs="Segoe UI"/>
      <w:sz w:val="18"/>
      <w:szCs w:val="18"/>
    </w:rPr>
  </w:style>
  <w:style w:type="character" w:styleId="FollowedHyperlink">
    <w:name w:val="FollowedHyperlink"/>
    <w:basedOn w:val="DefaultParagraphFont"/>
    <w:semiHidden/>
    <w:unhideWhenUsed/>
    <w:rsid w:val="00076C9A"/>
    <w:rPr>
      <w:color w:val="800080" w:themeColor="followedHyperlink"/>
      <w:u w:val="single"/>
    </w:rPr>
  </w:style>
  <w:style w:type="character" w:styleId="Emphasis">
    <w:name w:val="Emphasis"/>
    <w:basedOn w:val="DefaultParagraphFont"/>
    <w:uiPriority w:val="20"/>
    <w:qFormat/>
    <w:rsid w:val="009778A1"/>
    <w:rPr>
      <w:i/>
      <w:iCs/>
    </w:rPr>
  </w:style>
  <w:style w:type="character" w:styleId="CommentReference">
    <w:name w:val="annotation reference"/>
    <w:basedOn w:val="DefaultParagraphFont"/>
    <w:uiPriority w:val="99"/>
    <w:semiHidden/>
    <w:unhideWhenUsed/>
    <w:rsid w:val="003E056B"/>
    <w:rPr>
      <w:sz w:val="16"/>
      <w:szCs w:val="16"/>
    </w:rPr>
  </w:style>
  <w:style w:type="paragraph" w:styleId="CommentText">
    <w:name w:val="annotation text"/>
    <w:basedOn w:val="Normal"/>
    <w:link w:val="CommentTextChar"/>
    <w:uiPriority w:val="99"/>
    <w:unhideWhenUsed/>
    <w:rsid w:val="003E056B"/>
    <w:pPr>
      <w:spacing w:line="240" w:lineRule="auto"/>
    </w:pPr>
    <w:rPr>
      <w:sz w:val="20"/>
      <w:szCs w:val="20"/>
    </w:rPr>
  </w:style>
  <w:style w:type="character" w:customStyle="1" w:styleId="CommentTextChar">
    <w:name w:val="Comment Text Char"/>
    <w:basedOn w:val="DefaultParagraphFont"/>
    <w:link w:val="CommentText"/>
    <w:uiPriority w:val="99"/>
    <w:rsid w:val="003E056B"/>
  </w:style>
  <w:style w:type="paragraph" w:styleId="CommentSubject">
    <w:name w:val="annotation subject"/>
    <w:basedOn w:val="CommentText"/>
    <w:next w:val="CommentText"/>
    <w:link w:val="CommentSubjectChar"/>
    <w:semiHidden/>
    <w:unhideWhenUsed/>
    <w:rsid w:val="003E056B"/>
    <w:rPr>
      <w:b/>
      <w:bCs/>
    </w:rPr>
  </w:style>
  <w:style w:type="character" w:customStyle="1" w:styleId="CommentSubjectChar">
    <w:name w:val="Comment Subject Char"/>
    <w:basedOn w:val="CommentTextChar"/>
    <w:link w:val="CommentSubject"/>
    <w:semiHidden/>
    <w:rsid w:val="003E056B"/>
    <w:rPr>
      <w:b/>
      <w:bCs/>
    </w:rPr>
  </w:style>
  <w:style w:type="paragraph" w:styleId="ListParagraph">
    <w:name w:val="List Paragraph"/>
    <w:basedOn w:val="Normal"/>
    <w:uiPriority w:val="34"/>
    <w:qFormat/>
    <w:rsid w:val="001450FA"/>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UnresolvedMention2">
    <w:name w:val="Unresolved Mention2"/>
    <w:basedOn w:val="DefaultParagraphFont"/>
    <w:uiPriority w:val="99"/>
    <w:semiHidden/>
    <w:unhideWhenUsed/>
    <w:rsid w:val="00B52B82"/>
    <w:rPr>
      <w:color w:val="605E5C"/>
      <w:shd w:val="clear" w:color="auto" w:fill="E1DFDD"/>
    </w:rPr>
  </w:style>
  <w:style w:type="paragraph" w:styleId="Bibliography">
    <w:name w:val="Bibliography"/>
    <w:basedOn w:val="Normal"/>
    <w:next w:val="Normal"/>
    <w:unhideWhenUsed/>
    <w:rsid w:val="00E21957"/>
    <w:pPr>
      <w:spacing w:line="240" w:lineRule="auto"/>
      <w:ind w:left="720" w:hanging="720"/>
    </w:pPr>
  </w:style>
  <w:style w:type="paragraph" w:customStyle="1" w:styleId="c-bibliographic-informationcitation">
    <w:name w:val="c-bibliographic-information__citation"/>
    <w:basedOn w:val="Normal"/>
    <w:rsid w:val="00050449"/>
    <w:pPr>
      <w:spacing w:before="100" w:beforeAutospacing="1" w:after="100" w:afterAutospacing="1" w:line="240" w:lineRule="auto"/>
    </w:pPr>
  </w:style>
  <w:style w:type="paragraph" w:customStyle="1" w:styleId="c-bibliographic-informationdownload-citation">
    <w:name w:val="c-bibliographic-information__download-citation"/>
    <w:basedOn w:val="Normal"/>
    <w:rsid w:val="00050449"/>
    <w:pPr>
      <w:spacing w:before="100" w:beforeAutospacing="1" w:after="100" w:afterAutospacing="1" w:line="240" w:lineRule="auto"/>
    </w:pPr>
  </w:style>
  <w:style w:type="character" w:customStyle="1" w:styleId="UnresolvedMention3">
    <w:name w:val="Unresolved Mention3"/>
    <w:basedOn w:val="DefaultParagraphFont"/>
    <w:uiPriority w:val="99"/>
    <w:semiHidden/>
    <w:unhideWhenUsed/>
    <w:rsid w:val="00A05C6F"/>
    <w:rPr>
      <w:color w:val="605E5C"/>
      <w:shd w:val="clear" w:color="auto" w:fill="E1DFDD"/>
    </w:rPr>
  </w:style>
  <w:style w:type="character" w:customStyle="1" w:styleId="UnresolvedMention4">
    <w:name w:val="Unresolved Mention4"/>
    <w:basedOn w:val="DefaultParagraphFont"/>
    <w:uiPriority w:val="99"/>
    <w:semiHidden/>
    <w:unhideWhenUsed/>
    <w:rsid w:val="006B62AF"/>
    <w:rPr>
      <w:color w:val="605E5C"/>
      <w:shd w:val="clear" w:color="auto" w:fill="E1DFDD"/>
    </w:rPr>
  </w:style>
  <w:style w:type="paragraph" w:styleId="Revision">
    <w:name w:val="Revision"/>
    <w:hidden/>
    <w:semiHidden/>
    <w:rsid w:val="000F1FC2"/>
    <w:rPr>
      <w:sz w:val="24"/>
      <w:szCs w:val="24"/>
    </w:rPr>
  </w:style>
  <w:style w:type="character" w:customStyle="1" w:styleId="UnresolvedMention5">
    <w:name w:val="Unresolved Mention5"/>
    <w:basedOn w:val="DefaultParagraphFont"/>
    <w:uiPriority w:val="99"/>
    <w:semiHidden/>
    <w:unhideWhenUsed/>
    <w:rsid w:val="00BD3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164734900">
      <w:bodyDiv w:val="1"/>
      <w:marLeft w:val="0"/>
      <w:marRight w:val="0"/>
      <w:marTop w:val="0"/>
      <w:marBottom w:val="0"/>
      <w:divBdr>
        <w:top w:val="none" w:sz="0" w:space="0" w:color="auto"/>
        <w:left w:val="none" w:sz="0" w:space="0" w:color="auto"/>
        <w:bottom w:val="none" w:sz="0" w:space="0" w:color="auto"/>
        <w:right w:val="none" w:sz="0" w:space="0" w:color="auto"/>
      </w:divBdr>
    </w:div>
    <w:div w:id="1251964674">
      <w:bodyDiv w:val="1"/>
      <w:marLeft w:val="0"/>
      <w:marRight w:val="0"/>
      <w:marTop w:val="0"/>
      <w:marBottom w:val="0"/>
      <w:divBdr>
        <w:top w:val="none" w:sz="0" w:space="0" w:color="auto"/>
        <w:left w:val="none" w:sz="0" w:space="0" w:color="auto"/>
        <w:bottom w:val="none" w:sz="0" w:space="0" w:color="auto"/>
        <w:right w:val="none" w:sz="0" w:space="0" w:color="auto"/>
      </w:divBdr>
    </w:div>
    <w:div w:id="1481918848">
      <w:bodyDiv w:val="1"/>
      <w:marLeft w:val="0"/>
      <w:marRight w:val="0"/>
      <w:marTop w:val="0"/>
      <w:marBottom w:val="0"/>
      <w:divBdr>
        <w:top w:val="none" w:sz="0" w:space="0" w:color="auto"/>
        <w:left w:val="none" w:sz="0" w:space="0" w:color="auto"/>
        <w:bottom w:val="none" w:sz="0" w:space="0" w:color="auto"/>
        <w:right w:val="none" w:sz="0" w:space="0" w:color="auto"/>
      </w:divBdr>
      <w:divsChild>
        <w:div w:id="383796835">
          <w:marLeft w:val="734"/>
          <w:marRight w:val="0"/>
          <w:marTop w:val="63"/>
          <w:marBottom w:val="0"/>
          <w:divBdr>
            <w:top w:val="none" w:sz="0" w:space="0" w:color="auto"/>
            <w:left w:val="none" w:sz="0" w:space="0" w:color="auto"/>
            <w:bottom w:val="none" w:sz="0" w:space="0" w:color="auto"/>
            <w:right w:val="none" w:sz="0" w:space="0" w:color="auto"/>
          </w:divBdr>
        </w:div>
        <w:div w:id="648556871">
          <w:marLeft w:val="734"/>
          <w:marRight w:val="0"/>
          <w:marTop w:val="63"/>
          <w:marBottom w:val="0"/>
          <w:divBdr>
            <w:top w:val="none" w:sz="0" w:space="0" w:color="auto"/>
            <w:left w:val="none" w:sz="0" w:space="0" w:color="auto"/>
            <w:bottom w:val="none" w:sz="0" w:space="0" w:color="auto"/>
            <w:right w:val="none" w:sz="0" w:space="0" w:color="auto"/>
          </w:divBdr>
        </w:div>
        <w:div w:id="1016925616">
          <w:marLeft w:val="734"/>
          <w:marRight w:val="0"/>
          <w:marTop w:val="63"/>
          <w:marBottom w:val="0"/>
          <w:divBdr>
            <w:top w:val="none" w:sz="0" w:space="0" w:color="auto"/>
            <w:left w:val="none" w:sz="0" w:space="0" w:color="auto"/>
            <w:bottom w:val="none" w:sz="0" w:space="0" w:color="auto"/>
            <w:right w:val="none" w:sz="0" w:space="0" w:color="auto"/>
          </w:divBdr>
        </w:div>
        <w:div w:id="1491169744">
          <w:marLeft w:val="734"/>
          <w:marRight w:val="0"/>
          <w:marTop w:val="63"/>
          <w:marBottom w:val="0"/>
          <w:divBdr>
            <w:top w:val="none" w:sz="0" w:space="0" w:color="auto"/>
            <w:left w:val="none" w:sz="0" w:space="0" w:color="auto"/>
            <w:bottom w:val="none" w:sz="0" w:space="0" w:color="auto"/>
            <w:right w:val="none" w:sz="0" w:space="0" w:color="auto"/>
          </w:divBdr>
        </w:div>
        <w:div w:id="1732189407">
          <w:marLeft w:val="734"/>
          <w:marRight w:val="0"/>
          <w:marTop w:val="63"/>
          <w:marBottom w:val="0"/>
          <w:divBdr>
            <w:top w:val="none" w:sz="0" w:space="0" w:color="auto"/>
            <w:left w:val="none" w:sz="0" w:space="0" w:color="auto"/>
            <w:bottom w:val="none" w:sz="0" w:space="0" w:color="auto"/>
            <w:right w:val="none" w:sz="0" w:space="0" w:color="auto"/>
          </w:divBdr>
        </w:div>
      </w:divsChild>
    </w:div>
    <w:div w:id="1596212416">
      <w:bodyDiv w:val="1"/>
      <w:marLeft w:val="0"/>
      <w:marRight w:val="0"/>
      <w:marTop w:val="0"/>
      <w:marBottom w:val="0"/>
      <w:divBdr>
        <w:top w:val="none" w:sz="0" w:space="0" w:color="auto"/>
        <w:left w:val="none" w:sz="0" w:space="0" w:color="auto"/>
        <w:bottom w:val="none" w:sz="0" w:space="0" w:color="auto"/>
        <w:right w:val="none" w:sz="0" w:space="0" w:color="auto"/>
      </w:divBdr>
    </w:div>
    <w:div w:id="1723092541">
      <w:bodyDiv w:val="1"/>
      <w:marLeft w:val="0"/>
      <w:marRight w:val="0"/>
      <w:marTop w:val="0"/>
      <w:marBottom w:val="0"/>
      <w:divBdr>
        <w:top w:val="none" w:sz="0" w:space="0" w:color="auto"/>
        <w:left w:val="none" w:sz="0" w:space="0" w:color="auto"/>
        <w:bottom w:val="none" w:sz="0" w:space="0" w:color="auto"/>
        <w:right w:val="none" w:sz="0" w:space="0" w:color="auto"/>
      </w:divBdr>
    </w:div>
    <w:div w:id="198426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5.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bonizzi@herts.ac.uk" TargetMode="External"/><Relationship Id="rId5" Type="http://schemas.openxmlformats.org/officeDocument/2006/relationships/numbering" Target="numbering.xml"/><Relationship Id="rId15" Type="http://schemas.openxmlformats.org/officeDocument/2006/relationships/chart" Target="charts/chart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18abc\OneDrive%20-%20University%20of%20Hertfordshire\Office%20templates\TaylorAndFrancis.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herts365-my.sharepoint.com/personal/bb18abc_herts_ac_uk/Documents/Articoli/TUC-Pension/Paper%20version/Master%20figure%20spreadshe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herts365-my.sharepoint.com/personal/bb18abc_herts_ac_uk/Documents/Articoli/TUC-Pension/Paper%20version/Master%20figure%20spreadshee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herts365-my.sharepoint.com/personal/bb18abc_herts_ac_uk/Documents/Articoli/TUC-Pension/Paper%20version/Master%20figure%20spreadshee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herts365-my.sharepoint.com/personal/bb18abc_herts_ac_uk/Documents/Articoli/TUC-Pension/Paper%20version/Master%20figure%20spreadshee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herts365-my.sharepoint.com/personal/bb18abc_herts_ac_uk/Documents/Articoli/TUC-Pension/Paper%20version/Master%20figure%20spreadsheet.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5"/>
          <c:order val="2"/>
          <c:tx>
            <c:strRef>
              <c:f>'Total assets'!$I$5</c:f>
              <c:strCache>
                <c:ptCount val="1"/>
                <c:pt idx="0">
                  <c:v>Funding deficit</c:v>
                </c:pt>
              </c:strCache>
            </c:strRef>
          </c:tx>
          <c:spPr>
            <a:solidFill>
              <a:schemeClr val="accent6"/>
            </a:solidFill>
            <a:ln>
              <a:noFill/>
            </a:ln>
            <a:effectLst/>
          </c:spPr>
          <c:invertIfNegative val="0"/>
          <c:cat>
            <c:numRef>
              <c:f>'Total assets'!$A$9:$A$40</c:f>
              <c:numCache>
                <c:formatCode>General</c:formatCode>
                <c:ptCount val="32"/>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numCache>
              <c:extLst/>
            </c:numRef>
          </c:cat>
          <c:val>
            <c:numRef>
              <c:f>'Total assets'!$J$9:$J$40</c:f>
              <c:numCache>
                <c:formatCode>_-* #,##0_-;\-* #,##0_-;_-* "-"??_-;_-@_-</c:formatCode>
                <c:ptCount val="32"/>
                <c:pt idx="0">
                  <c:v>166494</c:v>
                </c:pt>
                <c:pt idx="1">
                  <c:v>212484</c:v>
                </c:pt>
                <c:pt idx="2">
                  <c:v>282408</c:v>
                </c:pt>
                <c:pt idx="3">
                  <c:v>348545</c:v>
                </c:pt>
                <c:pt idx="4">
                  <c:v>270265</c:v>
                </c:pt>
                <c:pt idx="5">
                  <c:v>333184</c:v>
                </c:pt>
                <c:pt idx="6">
                  <c:v>346527</c:v>
                </c:pt>
                <c:pt idx="7">
                  <c:v>266161</c:v>
                </c:pt>
                <c:pt idx="8">
                  <c:v>429648</c:v>
                </c:pt>
                <c:pt idx="9">
                  <c:v>273240</c:v>
                </c:pt>
                <c:pt idx="10">
                  <c:v>424518</c:v>
                </c:pt>
                <c:pt idx="11">
                  <c:v>508635</c:v>
                </c:pt>
                <c:pt idx="12">
                  <c:v>729662</c:v>
                </c:pt>
                <c:pt idx="13">
                  <c:v>662077</c:v>
                </c:pt>
                <c:pt idx="14">
                  <c:v>682162</c:v>
                </c:pt>
                <c:pt idx="15">
                  <c:v>658727</c:v>
                </c:pt>
                <c:pt idx="16">
                  <c:v>543843</c:v>
                </c:pt>
                <c:pt idx="17">
                  <c:v>626640</c:v>
                </c:pt>
                <c:pt idx="18">
                  <c:v>768451</c:v>
                </c:pt>
                <c:pt idx="19">
                  <c:v>802406</c:v>
                </c:pt>
                <c:pt idx="20">
                  <c:v>745494</c:v>
                </c:pt>
                <c:pt idx="21">
                  <c:v>993238</c:v>
                </c:pt>
                <c:pt idx="22">
                  <c:v>904478</c:v>
                </c:pt>
                <c:pt idx="23">
                  <c:v>692830</c:v>
                </c:pt>
                <c:pt idx="24">
                  <c:v>1066338</c:v>
                </c:pt>
                <c:pt idx="25">
                  <c:v>959376</c:v>
                </c:pt>
                <c:pt idx="26">
                  <c:v>1042423</c:v>
                </c:pt>
                <c:pt idx="27">
                  <c:v>1031729</c:v>
                </c:pt>
                <c:pt idx="28">
                  <c:v>736891</c:v>
                </c:pt>
                <c:pt idx="29">
                  <c:v>611314</c:v>
                </c:pt>
                <c:pt idx="30">
                  <c:v>657740</c:v>
                </c:pt>
                <c:pt idx="31">
                  <c:v>584429</c:v>
                </c:pt>
              </c:numCache>
              <c:extLst/>
            </c:numRef>
          </c:val>
          <c:extLst>
            <c:ext xmlns:c16="http://schemas.microsoft.com/office/drawing/2014/chart" uri="{C3380CC4-5D6E-409C-BE32-E72D297353CC}">
              <c16:uniqueId val="{00000000-41F2-445D-8557-1BF04BD85697}"/>
            </c:ext>
          </c:extLst>
        </c:ser>
        <c:dLbls>
          <c:showLegendKey val="0"/>
          <c:showVal val="0"/>
          <c:showCatName val="0"/>
          <c:showSerName val="0"/>
          <c:showPercent val="0"/>
          <c:showBubbleSize val="0"/>
        </c:dLbls>
        <c:gapWidth val="150"/>
        <c:overlap val="100"/>
        <c:axId val="687561279"/>
        <c:axId val="292011423"/>
      </c:barChart>
      <c:lineChart>
        <c:grouping val="standard"/>
        <c:varyColors val="0"/>
        <c:ser>
          <c:idx val="1"/>
          <c:order val="0"/>
          <c:tx>
            <c:strRef>
              <c:f>'Total assets'!$F$5</c:f>
              <c:strCache>
                <c:ptCount val="1"/>
                <c:pt idx="0">
                  <c:v>Gross assets</c:v>
                </c:pt>
              </c:strCache>
            </c:strRef>
          </c:tx>
          <c:spPr>
            <a:ln w="28575" cap="rnd">
              <a:solidFill>
                <a:schemeClr val="accent2"/>
              </a:solidFill>
              <a:round/>
            </a:ln>
            <a:effectLst/>
          </c:spPr>
          <c:marker>
            <c:symbol val="none"/>
          </c:marker>
          <c:cat>
            <c:numRef>
              <c:f>'Total assets'!$A$9:$A$40</c:f>
              <c:numCache>
                <c:formatCode>General</c:formatCode>
                <c:ptCount val="32"/>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numCache>
              <c:extLst/>
            </c:numRef>
          </c:cat>
          <c:val>
            <c:numRef>
              <c:f>'Total assets'!$F$9:$F$40</c:f>
              <c:numCache>
                <c:formatCode>_-* #,##0_-;\-* #,##0_-;_-* "-"??_-;_-@_-</c:formatCode>
                <c:ptCount val="32"/>
                <c:pt idx="0">
                  <c:v>306522</c:v>
                </c:pt>
                <c:pt idx="1">
                  <c:v>346765</c:v>
                </c:pt>
                <c:pt idx="2">
                  <c:v>386778</c:v>
                </c:pt>
                <c:pt idx="3">
                  <c:v>484808</c:v>
                </c:pt>
                <c:pt idx="4">
                  <c:v>448319</c:v>
                </c:pt>
                <c:pt idx="5">
                  <c:v>513012</c:v>
                </c:pt>
                <c:pt idx="6">
                  <c:v>549230</c:v>
                </c:pt>
                <c:pt idx="7">
                  <c:v>664991</c:v>
                </c:pt>
                <c:pt idx="8">
                  <c:v>706627</c:v>
                </c:pt>
                <c:pt idx="9">
                  <c:v>820947</c:v>
                </c:pt>
                <c:pt idx="10">
                  <c:v>779692</c:v>
                </c:pt>
                <c:pt idx="11">
                  <c:v>726212</c:v>
                </c:pt>
                <c:pt idx="12">
                  <c:v>622917</c:v>
                </c:pt>
                <c:pt idx="13">
                  <c:v>723288</c:v>
                </c:pt>
                <c:pt idx="14">
                  <c:v>813889</c:v>
                </c:pt>
                <c:pt idx="15">
                  <c:v>995100</c:v>
                </c:pt>
                <c:pt idx="16">
                  <c:v>1118254</c:v>
                </c:pt>
                <c:pt idx="17">
                  <c:v>1131112</c:v>
                </c:pt>
                <c:pt idx="18">
                  <c:v>968752</c:v>
                </c:pt>
                <c:pt idx="19">
                  <c:v>1124262</c:v>
                </c:pt>
                <c:pt idx="20">
                  <c:v>1289071</c:v>
                </c:pt>
                <c:pt idx="21">
                  <c:v>1444019</c:v>
                </c:pt>
                <c:pt idx="22">
                  <c:v>1603292</c:v>
                </c:pt>
                <c:pt idx="23">
                  <c:v>1706682</c:v>
                </c:pt>
                <c:pt idx="24">
                  <c:v>1784104</c:v>
                </c:pt>
                <c:pt idx="25">
                  <c:v>1850276</c:v>
                </c:pt>
                <c:pt idx="26">
                  <c:v>2119834</c:v>
                </c:pt>
                <c:pt idx="27">
                  <c:v>2218985</c:v>
                </c:pt>
                <c:pt idx="28">
                  <c:v>2352124</c:v>
                </c:pt>
                <c:pt idx="29">
                  <c:v>2713000</c:v>
                </c:pt>
                <c:pt idx="30">
                  <c:v>2914000</c:v>
                </c:pt>
                <c:pt idx="31">
                  <c:v>3061000</c:v>
                </c:pt>
              </c:numCache>
              <c:extLst/>
            </c:numRef>
          </c:val>
          <c:smooth val="0"/>
          <c:extLst>
            <c:ext xmlns:c16="http://schemas.microsoft.com/office/drawing/2014/chart" uri="{C3380CC4-5D6E-409C-BE32-E72D297353CC}">
              <c16:uniqueId val="{00000001-41F2-445D-8557-1BF04BD85697}"/>
            </c:ext>
          </c:extLst>
        </c:ser>
        <c:ser>
          <c:idx val="2"/>
          <c:order val="1"/>
          <c:tx>
            <c:strRef>
              <c:f>'Total assets'!$G$5</c:f>
              <c:strCache>
                <c:ptCount val="1"/>
                <c:pt idx="0">
                  <c:v>Pension liabilities</c:v>
                </c:pt>
              </c:strCache>
            </c:strRef>
          </c:tx>
          <c:spPr>
            <a:ln w="28575" cap="rnd">
              <a:solidFill>
                <a:schemeClr val="accent3"/>
              </a:solidFill>
              <a:round/>
            </a:ln>
            <a:effectLst/>
          </c:spPr>
          <c:marker>
            <c:symbol val="none"/>
          </c:marker>
          <c:cat>
            <c:numRef>
              <c:f>'Total assets'!$A$9:$A$40</c:f>
              <c:numCache>
                <c:formatCode>General</c:formatCode>
                <c:ptCount val="32"/>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numCache>
              <c:extLst/>
            </c:numRef>
          </c:cat>
          <c:val>
            <c:numRef>
              <c:f>'Total assets'!$G$9:$G$40</c:f>
              <c:numCache>
                <c:formatCode>_-* #,##0_-;\-* #,##0_-;_-* "-"??_-;_-@_-</c:formatCode>
                <c:ptCount val="32"/>
                <c:pt idx="0">
                  <c:v>473016</c:v>
                </c:pt>
                <c:pt idx="1">
                  <c:v>559249</c:v>
                </c:pt>
                <c:pt idx="2">
                  <c:v>669186</c:v>
                </c:pt>
                <c:pt idx="3">
                  <c:v>833353</c:v>
                </c:pt>
                <c:pt idx="4">
                  <c:v>718584</c:v>
                </c:pt>
                <c:pt idx="5">
                  <c:v>846196</c:v>
                </c:pt>
                <c:pt idx="6">
                  <c:v>895757</c:v>
                </c:pt>
                <c:pt idx="7">
                  <c:v>931152</c:v>
                </c:pt>
                <c:pt idx="8">
                  <c:v>1136275</c:v>
                </c:pt>
                <c:pt idx="9">
                  <c:v>1094187</c:v>
                </c:pt>
                <c:pt idx="10">
                  <c:v>1204210</c:v>
                </c:pt>
                <c:pt idx="11">
                  <c:v>1234847</c:v>
                </c:pt>
                <c:pt idx="12">
                  <c:v>1352579</c:v>
                </c:pt>
                <c:pt idx="13">
                  <c:v>1385365</c:v>
                </c:pt>
                <c:pt idx="14">
                  <c:v>1496051</c:v>
                </c:pt>
                <c:pt idx="15">
                  <c:v>1653827</c:v>
                </c:pt>
                <c:pt idx="16">
                  <c:v>1662097</c:v>
                </c:pt>
                <c:pt idx="17">
                  <c:v>1757752</c:v>
                </c:pt>
                <c:pt idx="18">
                  <c:v>1737203</c:v>
                </c:pt>
                <c:pt idx="19">
                  <c:v>1926668</c:v>
                </c:pt>
                <c:pt idx="20">
                  <c:v>2034565</c:v>
                </c:pt>
                <c:pt idx="21">
                  <c:v>2437257</c:v>
                </c:pt>
                <c:pt idx="22">
                  <c:v>2507770</c:v>
                </c:pt>
                <c:pt idx="23">
                  <c:v>2399512</c:v>
                </c:pt>
                <c:pt idx="24">
                  <c:v>2850442</c:v>
                </c:pt>
                <c:pt idx="25">
                  <c:v>2809652</c:v>
                </c:pt>
                <c:pt idx="26">
                  <c:v>3162257</c:v>
                </c:pt>
                <c:pt idx="27">
                  <c:v>3250714</c:v>
                </c:pt>
                <c:pt idx="28">
                  <c:v>3089015</c:v>
                </c:pt>
                <c:pt idx="29">
                  <c:v>3324314</c:v>
                </c:pt>
                <c:pt idx="30">
                  <c:v>3571740</c:v>
                </c:pt>
                <c:pt idx="31">
                  <c:v>3645429</c:v>
                </c:pt>
              </c:numCache>
              <c:extLst/>
            </c:numRef>
          </c:val>
          <c:smooth val="0"/>
          <c:extLst>
            <c:ext xmlns:c16="http://schemas.microsoft.com/office/drawing/2014/chart" uri="{C3380CC4-5D6E-409C-BE32-E72D297353CC}">
              <c16:uniqueId val="{00000002-41F2-445D-8557-1BF04BD85697}"/>
            </c:ext>
          </c:extLst>
        </c:ser>
        <c:dLbls>
          <c:showLegendKey val="0"/>
          <c:showVal val="0"/>
          <c:showCatName val="0"/>
          <c:showSerName val="0"/>
          <c:showPercent val="0"/>
          <c:showBubbleSize val="0"/>
        </c:dLbls>
        <c:marker val="1"/>
        <c:smooth val="0"/>
        <c:axId val="687561279"/>
        <c:axId val="292011423"/>
      </c:lineChart>
      <c:catAx>
        <c:axId val="6875612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2011423"/>
        <c:crosses val="autoZero"/>
        <c:auto val="1"/>
        <c:lblAlgn val="ctr"/>
        <c:lblOffset val="100"/>
        <c:tickLblSkip val="5"/>
        <c:noMultiLvlLbl val="0"/>
      </c:catAx>
      <c:valAx>
        <c:axId val="292011423"/>
        <c:scaling>
          <c:orientation val="minMax"/>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75612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CF!$B$2</c:f>
              <c:strCache>
                <c:ptCount val="1"/>
                <c:pt idx="0">
                  <c:v>Employee contribution</c:v>
                </c:pt>
              </c:strCache>
            </c:strRef>
          </c:tx>
          <c:spPr>
            <a:solidFill>
              <a:schemeClr val="accent1"/>
            </a:solidFill>
            <a:ln>
              <a:noFill/>
            </a:ln>
            <a:effectLst/>
          </c:spPr>
          <c:cat>
            <c:numRef>
              <c:f>CF!$A$33:$A$51</c:f>
              <c:numCache>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Cache>
            </c:numRef>
          </c:cat>
          <c:val>
            <c:numRef>
              <c:f>CF!$D$33:$D$51</c:f>
              <c:numCache>
                <c:formatCode>General</c:formatCode>
                <c:ptCount val="19"/>
                <c:pt idx="0">
                  <c:v>5070</c:v>
                </c:pt>
                <c:pt idx="1">
                  <c:v>4928</c:v>
                </c:pt>
                <c:pt idx="2">
                  <c:v>5188</c:v>
                </c:pt>
                <c:pt idx="3">
                  <c:v>5258</c:v>
                </c:pt>
                <c:pt idx="4">
                  <c:v>5380</c:v>
                </c:pt>
                <c:pt idx="5">
                  <c:v>5801</c:v>
                </c:pt>
                <c:pt idx="6">
                  <c:v>5981</c:v>
                </c:pt>
                <c:pt idx="7">
                  <c:v>5746</c:v>
                </c:pt>
                <c:pt idx="8">
                  <c:v>5888</c:v>
                </c:pt>
                <c:pt idx="9">
                  <c:v>4982</c:v>
                </c:pt>
                <c:pt idx="10">
                  <c:v>4966</c:v>
                </c:pt>
                <c:pt idx="11">
                  <c:v>4291</c:v>
                </c:pt>
                <c:pt idx="12">
                  <c:v>4105</c:v>
                </c:pt>
                <c:pt idx="13">
                  <c:v>3993</c:v>
                </c:pt>
                <c:pt idx="14">
                  <c:v>3994</c:v>
                </c:pt>
                <c:pt idx="15">
                  <c:v>4086</c:v>
                </c:pt>
                <c:pt idx="16">
                  <c:v>4031</c:v>
                </c:pt>
                <c:pt idx="17">
                  <c:v>3892</c:v>
                </c:pt>
                <c:pt idx="18">
                  <c:v>3842</c:v>
                </c:pt>
              </c:numCache>
            </c:numRef>
          </c:val>
          <c:extLst>
            <c:ext xmlns:c16="http://schemas.microsoft.com/office/drawing/2014/chart" uri="{C3380CC4-5D6E-409C-BE32-E72D297353CC}">
              <c16:uniqueId val="{00000000-619A-4AB8-9C6E-2FB2C57362EF}"/>
            </c:ext>
          </c:extLst>
        </c:ser>
        <c:ser>
          <c:idx val="1"/>
          <c:order val="1"/>
          <c:tx>
            <c:strRef>
              <c:f>CF!$C$2</c:f>
              <c:strCache>
                <c:ptCount val="1"/>
                <c:pt idx="0">
                  <c:v>Employer contribution</c:v>
                </c:pt>
              </c:strCache>
            </c:strRef>
          </c:tx>
          <c:spPr>
            <a:solidFill>
              <a:schemeClr val="accent2"/>
            </a:solidFill>
            <a:ln>
              <a:noFill/>
            </a:ln>
            <a:effectLst/>
          </c:spPr>
          <c:cat>
            <c:numRef>
              <c:f>CF!$A$33:$A$51</c:f>
              <c:numCache>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Cache>
            </c:numRef>
          </c:cat>
          <c:val>
            <c:numRef>
              <c:f>CF!$E$33:$E$51</c:f>
              <c:numCache>
                <c:formatCode>General</c:formatCode>
                <c:ptCount val="19"/>
                <c:pt idx="0">
                  <c:v>10708</c:v>
                </c:pt>
                <c:pt idx="1">
                  <c:v>11386</c:v>
                </c:pt>
                <c:pt idx="2">
                  <c:v>14335</c:v>
                </c:pt>
                <c:pt idx="3">
                  <c:v>20870</c:v>
                </c:pt>
                <c:pt idx="4">
                  <c:v>25369</c:v>
                </c:pt>
                <c:pt idx="5">
                  <c:v>31206</c:v>
                </c:pt>
                <c:pt idx="6">
                  <c:v>34626</c:v>
                </c:pt>
                <c:pt idx="7">
                  <c:v>33037</c:v>
                </c:pt>
                <c:pt idx="8">
                  <c:v>28558</c:v>
                </c:pt>
                <c:pt idx="9">
                  <c:v>30964</c:v>
                </c:pt>
                <c:pt idx="10">
                  <c:v>37944</c:v>
                </c:pt>
                <c:pt idx="11">
                  <c:v>36703</c:v>
                </c:pt>
                <c:pt idx="12">
                  <c:v>40184</c:v>
                </c:pt>
                <c:pt idx="13">
                  <c:v>38684</c:v>
                </c:pt>
                <c:pt idx="14">
                  <c:v>33362</c:v>
                </c:pt>
                <c:pt idx="15">
                  <c:v>32294</c:v>
                </c:pt>
                <c:pt idx="16">
                  <c:v>37104</c:v>
                </c:pt>
                <c:pt idx="17">
                  <c:v>39723</c:v>
                </c:pt>
                <c:pt idx="18">
                  <c:v>29593</c:v>
                </c:pt>
              </c:numCache>
            </c:numRef>
          </c:val>
          <c:extLst>
            <c:ext xmlns:c16="http://schemas.microsoft.com/office/drawing/2014/chart" uri="{C3380CC4-5D6E-409C-BE32-E72D297353CC}">
              <c16:uniqueId val="{00000001-619A-4AB8-9C6E-2FB2C57362EF}"/>
            </c:ext>
          </c:extLst>
        </c:ser>
        <c:ser>
          <c:idx val="5"/>
          <c:order val="3"/>
          <c:tx>
            <c:strRef>
              <c:f>CF!$J$2</c:f>
              <c:strCache>
                <c:ptCount val="1"/>
                <c:pt idx="0">
                  <c:v>Other income</c:v>
                </c:pt>
              </c:strCache>
            </c:strRef>
          </c:tx>
          <c:spPr>
            <a:solidFill>
              <a:schemeClr val="accent6"/>
            </a:solidFill>
            <a:ln>
              <a:noFill/>
            </a:ln>
            <a:effectLst/>
          </c:spPr>
          <c:cat>
            <c:numRef>
              <c:f>CF!$A$33:$A$51</c:f>
              <c:numCache>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Cache>
            </c:numRef>
          </c:cat>
          <c:val>
            <c:numRef>
              <c:f>CF!$J$33:$J$51</c:f>
              <c:numCache>
                <c:formatCode>General</c:formatCode>
                <c:ptCount val="19"/>
                <c:pt idx="0">
                  <c:v>19917</c:v>
                </c:pt>
                <c:pt idx="1">
                  <c:v>18905</c:v>
                </c:pt>
                <c:pt idx="2">
                  <c:v>18589</c:v>
                </c:pt>
                <c:pt idx="3">
                  <c:v>17442</c:v>
                </c:pt>
                <c:pt idx="4">
                  <c:v>17713</c:v>
                </c:pt>
                <c:pt idx="5">
                  <c:v>19419</c:v>
                </c:pt>
                <c:pt idx="6">
                  <c:v>21445</c:v>
                </c:pt>
                <c:pt idx="7">
                  <c:v>21278</c:v>
                </c:pt>
                <c:pt idx="8">
                  <c:v>22742</c:v>
                </c:pt>
                <c:pt idx="9">
                  <c:v>21039</c:v>
                </c:pt>
                <c:pt idx="10">
                  <c:v>22327</c:v>
                </c:pt>
                <c:pt idx="11">
                  <c:v>25079</c:v>
                </c:pt>
                <c:pt idx="12">
                  <c:v>23436</c:v>
                </c:pt>
                <c:pt idx="13">
                  <c:v>24344</c:v>
                </c:pt>
                <c:pt idx="14">
                  <c:v>24762</c:v>
                </c:pt>
                <c:pt idx="15">
                  <c:v>26709</c:v>
                </c:pt>
                <c:pt idx="16">
                  <c:v>26412</c:v>
                </c:pt>
                <c:pt idx="17">
                  <c:v>30043</c:v>
                </c:pt>
                <c:pt idx="18">
                  <c:v>32079</c:v>
                </c:pt>
              </c:numCache>
            </c:numRef>
          </c:val>
          <c:extLst>
            <c:ext xmlns:c16="http://schemas.microsoft.com/office/drawing/2014/chart" uri="{C3380CC4-5D6E-409C-BE32-E72D297353CC}">
              <c16:uniqueId val="{00000002-619A-4AB8-9C6E-2FB2C57362EF}"/>
            </c:ext>
          </c:extLst>
        </c:ser>
        <c:dLbls>
          <c:showLegendKey val="0"/>
          <c:showVal val="0"/>
          <c:showCatName val="0"/>
          <c:showSerName val="0"/>
          <c:showPercent val="0"/>
          <c:showBubbleSize val="0"/>
        </c:dLbls>
        <c:axId val="1090352527"/>
        <c:axId val="753389071"/>
      </c:areaChart>
      <c:lineChart>
        <c:grouping val="standard"/>
        <c:varyColors val="0"/>
        <c:ser>
          <c:idx val="3"/>
          <c:order val="2"/>
          <c:tx>
            <c:strRef>
              <c:f>CF!$G$2</c:f>
              <c:strCache>
                <c:ptCount val="1"/>
                <c:pt idx="0">
                  <c:v>Payments</c:v>
                </c:pt>
              </c:strCache>
            </c:strRef>
          </c:tx>
          <c:spPr>
            <a:ln w="28575" cap="rnd">
              <a:solidFill>
                <a:schemeClr val="accent4"/>
              </a:solidFill>
              <a:round/>
            </a:ln>
            <a:effectLst/>
          </c:spPr>
          <c:marker>
            <c:symbol val="none"/>
          </c:marker>
          <c:cat>
            <c:numRef>
              <c:f>CF!$A$33:$A$51</c:f>
              <c:numCache>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Cache>
            </c:numRef>
          </c:cat>
          <c:val>
            <c:numRef>
              <c:f>CF!$F$33:$F$51</c:f>
              <c:numCache>
                <c:formatCode>General</c:formatCode>
                <c:ptCount val="19"/>
                <c:pt idx="0">
                  <c:v>37099</c:v>
                </c:pt>
                <c:pt idx="1">
                  <c:v>40807</c:v>
                </c:pt>
                <c:pt idx="2">
                  <c:v>37577</c:v>
                </c:pt>
                <c:pt idx="3">
                  <c:v>38865</c:v>
                </c:pt>
                <c:pt idx="4">
                  <c:v>39016</c:v>
                </c:pt>
                <c:pt idx="5">
                  <c:v>42394</c:v>
                </c:pt>
                <c:pt idx="6">
                  <c:v>52094</c:v>
                </c:pt>
                <c:pt idx="7">
                  <c:v>45207</c:v>
                </c:pt>
                <c:pt idx="8">
                  <c:v>48910</c:v>
                </c:pt>
                <c:pt idx="9">
                  <c:v>51100</c:v>
                </c:pt>
                <c:pt idx="10">
                  <c:v>56006</c:v>
                </c:pt>
                <c:pt idx="11">
                  <c:v>58138</c:v>
                </c:pt>
                <c:pt idx="12">
                  <c:v>63654</c:v>
                </c:pt>
                <c:pt idx="13">
                  <c:v>64745</c:v>
                </c:pt>
                <c:pt idx="14">
                  <c:v>62013</c:v>
                </c:pt>
                <c:pt idx="15">
                  <c:v>72984</c:v>
                </c:pt>
                <c:pt idx="16">
                  <c:v>72657</c:v>
                </c:pt>
                <c:pt idx="17">
                  <c:v>98200</c:v>
                </c:pt>
                <c:pt idx="18">
                  <c:v>98701</c:v>
                </c:pt>
              </c:numCache>
            </c:numRef>
          </c:val>
          <c:smooth val="0"/>
          <c:extLst>
            <c:ext xmlns:c16="http://schemas.microsoft.com/office/drawing/2014/chart" uri="{C3380CC4-5D6E-409C-BE32-E72D297353CC}">
              <c16:uniqueId val="{00000003-619A-4AB8-9C6E-2FB2C57362EF}"/>
            </c:ext>
          </c:extLst>
        </c:ser>
        <c:ser>
          <c:idx val="6"/>
          <c:order val="4"/>
          <c:tx>
            <c:strRef>
              <c:f>CF!$M$2</c:f>
              <c:strCache>
                <c:ptCount val="1"/>
                <c:pt idx="0">
                  <c:v>Net cash flow</c:v>
                </c:pt>
              </c:strCache>
            </c:strRef>
          </c:tx>
          <c:spPr>
            <a:ln w="28575" cap="rnd">
              <a:solidFill>
                <a:schemeClr val="accent1">
                  <a:lumMod val="60000"/>
                </a:schemeClr>
              </a:solidFill>
              <a:round/>
            </a:ln>
            <a:effectLst/>
          </c:spPr>
          <c:marker>
            <c:symbol val="none"/>
          </c:marker>
          <c:cat>
            <c:numRef>
              <c:f>CF!$A$33:$A$51</c:f>
              <c:numCache>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Cache>
            </c:numRef>
          </c:cat>
          <c:val>
            <c:numRef>
              <c:f>CF!$N$33:$N$51</c:f>
              <c:numCache>
                <c:formatCode>General</c:formatCode>
                <c:ptCount val="19"/>
                <c:pt idx="0">
                  <c:v>5324</c:v>
                </c:pt>
                <c:pt idx="1">
                  <c:v>-755</c:v>
                </c:pt>
                <c:pt idx="2">
                  <c:v>6589</c:v>
                </c:pt>
                <c:pt idx="3">
                  <c:v>9394</c:v>
                </c:pt>
                <c:pt idx="4">
                  <c:v>11744</c:v>
                </c:pt>
                <c:pt idx="5">
                  <c:v>16141</c:v>
                </c:pt>
                <c:pt idx="6">
                  <c:v>19694</c:v>
                </c:pt>
                <c:pt idx="7">
                  <c:v>17607</c:v>
                </c:pt>
                <c:pt idx="8">
                  <c:v>9737</c:v>
                </c:pt>
                <c:pt idx="9">
                  <c:v>10595</c:v>
                </c:pt>
                <c:pt idx="10">
                  <c:v>14699</c:v>
                </c:pt>
                <c:pt idx="11">
                  <c:v>11860</c:v>
                </c:pt>
                <c:pt idx="12">
                  <c:v>10629</c:v>
                </c:pt>
                <c:pt idx="13">
                  <c:v>7950</c:v>
                </c:pt>
                <c:pt idx="14">
                  <c:v>6238</c:v>
                </c:pt>
                <c:pt idx="15">
                  <c:v>-3463</c:v>
                </c:pt>
                <c:pt idx="16">
                  <c:v>2046</c:v>
                </c:pt>
                <c:pt idx="17">
                  <c:v>-15597</c:v>
                </c:pt>
                <c:pt idx="18">
                  <c:v>-10573</c:v>
                </c:pt>
              </c:numCache>
            </c:numRef>
          </c:val>
          <c:smooth val="0"/>
          <c:extLst>
            <c:ext xmlns:c16="http://schemas.microsoft.com/office/drawing/2014/chart" uri="{C3380CC4-5D6E-409C-BE32-E72D297353CC}">
              <c16:uniqueId val="{00000004-619A-4AB8-9C6E-2FB2C57362EF}"/>
            </c:ext>
          </c:extLst>
        </c:ser>
        <c:dLbls>
          <c:showLegendKey val="0"/>
          <c:showVal val="0"/>
          <c:showCatName val="0"/>
          <c:showSerName val="0"/>
          <c:showPercent val="0"/>
          <c:showBubbleSize val="0"/>
        </c:dLbls>
        <c:marker val="1"/>
        <c:smooth val="0"/>
        <c:axId val="1090352527"/>
        <c:axId val="753389071"/>
      </c:lineChart>
      <c:catAx>
        <c:axId val="10903525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3389071"/>
        <c:crosses val="autoZero"/>
        <c:auto val="1"/>
        <c:lblAlgn val="ctr"/>
        <c:lblOffset val="100"/>
        <c:tickLblSkip val="3"/>
        <c:tickMarkSkip val="1"/>
        <c:noMultiLvlLbl val="0"/>
      </c:catAx>
      <c:valAx>
        <c:axId val="7533890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03525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'Asset allocation'!$D$32</c:f>
              <c:strCache>
                <c:ptCount val="1"/>
                <c:pt idx="0">
                  <c:v>Gilts</c:v>
                </c:pt>
              </c:strCache>
            </c:strRef>
          </c:tx>
          <c:spPr>
            <a:ln w="28575" cap="rnd">
              <a:solidFill>
                <a:schemeClr val="accent1"/>
              </a:solidFill>
              <a:round/>
            </a:ln>
            <a:effectLst/>
          </c:spPr>
          <c:marker>
            <c:symbol val="none"/>
          </c:marker>
          <c:cat>
            <c:numRef>
              <c:f>'Asset allocation'!$E$31:$Z$31</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'Asset allocation'!$E$32:$Z$32</c:f>
              <c:numCache>
                <c:formatCode>General</c:formatCode>
                <c:ptCount val="22"/>
                <c:pt idx="0">
                  <c:v>0.1203454046317612</c:v>
                </c:pt>
                <c:pt idx="1">
                  <c:v>0.11676487972879629</c:v>
                </c:pt>
                <c:pt idx="2">
                  <c:v>0.13743500643085779</c:v>
                </c:pt>
                <c:pt idx="3">
                  <c:v>0.12429860568785973</c:v>
                </c:pt>
                <c:pt idx="4">
                  <c:v>0.11025837650432375</c:v>
                </c:pt>
                <c:pt idx="5">
                  <c:v>9.8137126072505215E-2</c:v>
                </c:pt>
                <c:pt idx="6">
                  <c:v>9.7487641350048074E-2</c:v>
                </c:pt>
                <c:pt idx="7">
                  <c:v>0.10526041232905421</c:v>
                </c:pt>
                <c:pt idx="8">
                  <c:v>0.10761833004032453</c:v>
                </c:pt>
                <c:pt idx="9">
                  <c:v>0.10687170902976006</c:v>
                </c:pt>
                <c:pt idx="10">
                  <c:v>0.1070916905444126</c:v>
                </c:pt>
                <c:pt idx="11">
                  <c:v>0.13699329156769025</c:v>
                </c:pt>
                <c:pt idx="12">
                  <c:v>0.15010980690231393</c:v>
                </c:pt>
                <c:pt idx="13">
                  <c:v>0.15830353773150313</c:v>
                </c:pt>
                <c:pt idx="14">
                  <c:v>0.17661755488219985</c:v>
                </c:pt>
                <c:pt idx="15">
                  <c:v>0.18838812632170365</c:v>
                </c:pt>
                <c:pt idx="16">
                  <c:v>0.21147149110086871</c:v>
                </c:pt>
                <c:pt idx="17">
                  <c:v>0.22858979780148611</c:v>
                </c:pt>
                <c:pt idx="19">
                  <c:v>0.23029045643153526</c:v>
                </c:pt>
                <c:pt idx="20">
                  <c:v>0.23115193264446995</c:v>
                </c:pt>
                <c:pt idx="21">
                  <c:v>0.22621184919210055</c:v>
                </c:pt>
              </c:numCache>
            </c:numRef>
          </c:val>
          <c:smooth val="0"/>
          <c:extLst>
            <c:ext xmlns:c16="http://schemas.microsoft.com/office/drawing/2014/chart" uri="{C3380CC4-5D6E-409C-BE32-E72D297353CC}">
              <c16:uniqueId val="{00000000-5ED4-493F-9D6D-3392A7D56152}"/>
            </c:ext>
          </c:extLst>
        </c:ser>
        <c:ser>
          <c:idx val="1"/>
          <c:order val="1"/>
          <c:tx>
            <c:strRef>
              <c:f>'Asset allocation'!$D$33</c:f>
              <c:strCache>
                <c:ptCount val="1"/>
                <c:pt idx="0">
                  <c:v>Other fixed-income</c:v>
                </c:pt>
              </c:strCache>
            </c:strRef>
          </c:tx>
          <c:spPr>
            <a:ln w="28575" cap="rnd">
              <a:solidFill>
                <a:schemeClr val="accent2"/>
              </a:solidFill>
              <a:round/>
            </a:ln>
            <a:effectLst/>
          </c:spPr>
          <c:marker>
            <c:symbol val="none"/>
          </c:marker>
          <c:cat>
            <c:numRef>
              <c:f>'Asset allocation'!$E$31:$Z$31</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'Asset allocation'!$E$33:$Z$33</c:f>
              <c:numCache>
                <c:formatCode>General</c:formatCode>
                <c:ptCount val="22"/>
                <c:pt idx="0">
                  <c:v>6.1846134423361579E-2</c:v>
                </c:pt>
                <c:pt idx="1">
                  <c:v>7.5040593348089518E-2</c:v>
                </c:pt>
                <c:pt idx="2">
                  <c:v>9.2676880824439201E-2</c:v>
                </c:pt>
                <c:pt idx="3">
                  <c:v>9.1099969706991565E-2</c:v>
                </c:pt>
                <c:pt idx="4">
                  <c:v>9.2095337533033922E-2</c:v>
                </c:pt>
                <c:pt idx="5">
                  <c:v>8.9500399371312253E-2</c:v>
                </c:pt>
                <c:pt idx="6">
                  <c:v>9.8601712286584639E-2</c:v>
                </c:pt>
                <c:pt idx="7">
                  <c:v>0.11359961049574849</c:v>
                </c:pt>
                <c:pt idx="8">
                  <c:v>0.13460914518665593</c:v>
                </c:pt>
                <c:pt idx="9">
                  <c:v>0.13357859839941028</c:v>
                </c:pt>
                <c:pt idx="10">
                  <c:v>0.11764776278627651</c:v>
                </c:pt>
                <c:pt idx="11">
                  <c:v>0.11582974660962196</c:v>
                </c:pt>
                <c:pt idx="12">
                  <c:v>0.10784865504676584</c:v>
                </c:pt>
                <c:pt idx="13">
                  <c:v>0.10216473379145422</c:v>
                </c:pt>
                <c:pt idx="14">
                  <c:v>0.11510941355307129</c:v>
                </c:pt>
                <c:pt idx="15">
                  <c:v>0.11215655213852625</c:v>
                </c:pt>
                <c:pt idx="16">
                  <c:v>0.10198027422442141</c:v>
                </c:pt>
                <c:pt idx="17">
                  <c:v>9.7067233403075021E-2</c:v>
                </c:pt>
                <c:pt idx="19">
                  <c:v>7.9253112033195017E-2</c:v>
                </c:pt>
                <c:pt idx="20">
                  <c:v>8.6490623804056643E-2</c:v>
                </c:pt>
                <c:pt idx="21">
                  <c:v>8.1867145421903056E-2</c:v>
                </c:pt>
              </c:numCache>
            </c:numRef>
          </c:val>
          <c:smooth val="0"/>
          <c:extLst>
            <c:ext xmlns:c16="http://schemas.microsoft.com/office/drawing/2014/chart" uri="{C3380CC4-5D6E-409C-BE32-E72D297353CC}">
              <c16:uniqueId val="{00000001-5ED4-493F-9D6D-3392A7D56152}"/>
            </c:ext>
          </c:extLst>
        </c:ser>
        <c:ser>
          <c:idx val="2"/>
          <c:order val="2"/>
          <c:tx>
            <c:strRef>
              <c:f>'Asset allocation'!$D$34</c:f>
              <c:strCache>
                <c:ptCount val="1"/>
                <c:pt idx="0">
                  <c:v>Equities</c:v>
                </c:pt>
              </c:strCache>
            </c:strRef>
          </c:tx>
          <c:spPr>
            <a:ln w="28575" cap="rnd">
              <a:solidFill>
                <a:schemeClr val="accent3"/>
              </a:solidFill>
              <a:round/>
            </a:ln>
            <a:effectLst/>
          </c:spPr>
          <c:marker>
            <c:symbol val="none"/>
          </c:marker>
          <c:cat>
            <c:numRef>
              <c:f>'Asset allocation'!$E$31:$Z$31</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'Asset allocation'!$E$34:$Z$34</c:f>
              <c:numCache>
                <c:formatCode>General</c:formatCode>
                <c:ptCount val="22"/>
                <c:pt idx="0">
                  <c:v>0.56134565068682862</c:v>
                </c:pt>
                <c:pt idx="1">
                  <c:v>0.53826018225132855</c:v>
                </c:pt>
                <c:pt idx="2">
                  <c:v>0.46933173878145723</c:v>
                </c:pt>
                <c:pt idx="3">
                  <c:v>0.43425166542066984</c:v>
                </c:pt>
                <c:pt idx="4">
                  <c:v>0.40115425157238987</c:v>
                </c:pt>
                <c:pt idx="5">
                  <c:v>0.39475715647625675</c:v>
                </c:pt>
                <c:pt idx="6">
                  <c:v>0.36988258133545115</c:v>
                </c:pt>
                <c:pt idx="7">
                  <c:v>0.29557295837447867</c:v>
                </c:pt>
                <c:pt idx="8">
                  <c:v>0.25813847452310656</c:v>
                </c:pt>
                <c:pt idx="9">
                  <c:v>0.26284858129548327</c:v>
                </c:pt>
                <c:pt idx="10">
                  <c:v>0.24261527993380336</c:v>
                </c:pt>
                <c:pt idx="11">
                  <c:v>0.20819203409825104</c:v>
                </c:pt>
                <c:pt idx="12">
                  <c:v>0.20147608327337713</c:v>
                </c:pt>
                <c:pt idx="13">
                  <c:v>0.19139934796599378</c:v>
                </c:pt>
                <c:pt idx="14">
                  <c:v>0.19210541052769362</c:v>
                </c:pt>
                <c:pt idx="15">
                  <c:v>0.16528416140586349</c:v>
                </c:pt>
                <c:pt idx="16">
                  <c:v>0.15328915372362498</c:v>
                </c:pt>
                <c:pt idx="17">
                  <c:v>0.13591718186967472</c:v>
                </c:pt>
                <c:pt idx="19">
                  <c:v>7.3858921161825727E-2</c:v>
                </c:pt>
                <c:pt idx="20">
                  <c:v>6.965174129353234E-2</c:v>
                </c:pt>
                <c:pt idx="21">
                  <c:v>7.3608617594254938E-2</c:v>
                </c:pt>
              </c:numCache>
            </c:numRef>
          </c:val>
          <c:smooth val="0"/>
          <c:extLst>
            <c:ext xmlns:c16="http://schemas.microsoft.com/office/drawing/2014/chart" uri="{C3380CC4-5D6E-409C-BE32-E72D297353CC}">
              <c16:uniqueId val="{00000002-5ED4-493F-9D6D-3392A7D56152}"/>
            </c:ext>
          </c:extLst>
        </c:ser>
        <c:ser>
          <c:idx val="3"/>
          <c:order val="3"/>
          <c:tx>
            <c:strRef>
              <c:f>'Asset allocation'!$D$35</c:f>
              <c:strCache>
                <c:ptCount val="1"/>
                <c:pt idx="0">
                  <c:v>Funds</c:v>
                </c:pt>
              </c:strCache>
            </c:strRef>
          </c:tx>
          <c:spPr>
            <a:ln w="28575" cap="rnd">
              <a:solidFill>
                <a:schemeClr val="accent4"/>
              </a:solidFill>
              <a:round/>
            </a:ln>
            <a:effectLst/>
          </c:spPr>
          <c:marker>
            <c:symbol val="none"/>
          </c:marker>
          <c:cat>
            <c:numRef>
              <c:f>'Asset allocation'!$E$31:$Z$31</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'Asset allocation'!$E$35:$Z$35</c:f>
              <c:numCache>
                <c:formatCode>General</c:formatCode>
                <c:ptCount val="22"/>
                <c:pt idx="0">
                  <c:v>9.8182413117440415E-2</c:v>
                </c:pt>
                <c:pt idx="1">
                  <c:v>0.11352156465381799</c:v>
                </c:pt>
                <c:pt idx="2">
                  <c:v>0.12470384207489452</c:v>
                </c:pt>
                <c:pt idx="3">
                  <c:v>0.16374065849774469</c:v>
                </c:pt>
                <c:pt idx="4">
                  <c:v>0.18017539828048737</c:v>
                </c:pt>
                <c:pt idx="5">
                  <c:v>0.19791605472675272</c:v>
                </c:pt>
                <c:pt idx="6">
                  <c:v>0.19782848087419638</c:v>
                </c:pt>
                <c:pt idx="7">
                  <c:v>0.23331451095526468</c:v>
                </c:pt>
                <c:pt idx="8">
                  <c:v>0.22821898346812572</c:v>
                </c:pt>
                <c:pt idx="9">
                  <c:v>0.27498065970095964</c:v>
                </c:pt>
                <c:pt idx="10">
                  <c:v>0.31624193912371523</c:v>
                </c:pt>
                <c:pt idx="11">
                  <c:v>0.30965586738711864</c:v>
                </c:pt>
                <c:pt idx="12">
                  <c:v>0.32534682734931653</c:v>
                </c:pt>
                <c:pt idx="13">
                  <c:v>0.32528198047992812</c:v>
                </c:pt>
                <c:pt idx="14">
                  <c:v>0.30339059555544762</c:v>
                </c:pt>
                <c:pt idx="15">
                  <c:v>0.32452262600566528</c:v>
                </c:pt>
                <c:pt idx="16">
                  <c:v>0.32837660570311838</c:v>
                </c:pt>
                <c:pt idx="17">
                  <c:v>0.32599237819175664</c:v>
                </c:pt>
                <c:pt idx="19">
                  <c:v>0.49585062240663902</c:v>
                </c:pt>
                <c:pt idx="20">
                  <c:v>0.49521622655951014</c:v>
                </c:pt>
                <c:pt idx="21">
                  <c:v>0.50161579892280073</c:v>
                </c:pt>
              </c:numCache>
            </c:numRef>
          </c:val>
          <c:smooth val="0"/>
          <c:extLst>
            <c:ext xmlns:c16="http://schemas.microsoft.com/office/drawing/2014/chart" uri="{C3380CC4-5D6E-409C-BE32-E72D297353CC}">
              <c16:uniqueId val="{00000003-5ED4-493F-9D6D-3392A7D56152}"/>
            </c:ext>
          </c:extLst>
        </c:ser>
        <c:ser>
          <c:idx val="4"/>
          <c:order val="4"/>
          <c:tx>
            <c:strRef>
              <c:f>'Asset allocation'!$D$36</c:f>
              <c:strCache>
                <c:ptCount val="1"/>
                <c:pt idx="0">
                  <c:v>Short term</c:v>
                </c:pt>
              </c:strCache>
            </c:strRef>
          </c:tx>
          <c:spPr>
            <a:ln w="28575" cap="rnd">
              <a:solidFill>
                <a:schemeClr val="accent5"/>
              </a:solidFill>
              <a:round/>
            </a:ln>
            <a:effectLst/>
          </c:spPr>
          <c:marker>
            <c:symbol val="none"/>
          </c:marker>
          <c:cat>
            <c:numRef>
              <c:f>'Asset allocation'!$E$31:$Z$31</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'Asset allocation'!$E$36:$Z$36</c:f>
              <c:numCache>
                <c:formatCode>General</c:formatCode>
                <c:ptCount val="22"/>
                <c:pt idx="0">
                  <c:v>4.7198772558805231E-2</c:v>
                </c:pt>
                <c:pt idx="1">
                  <c:v>4.3378473966963316E-2</c:v>
                </c:pt>
                <c:pt idx="2">
                  <c:v>4.9480534970005451E-2</c:v>
                </c:pt>
                <c:pt idx="3">
                  <c:v>6.4047479427156426E-2</c:v>
                </c:pt>
                <c:pt idx="4">
                  <c:v>7.1782907784766176E-2</c:v>
                </c:pt>
                <c:pt idx="5">
                  <c:v>7.5905284584267346E-2</c:v>
                </c:pt>
                <c:pt idx="6">
                  <c:v>9.0716810889216126E-2</c:v>
                </c:pt>
                <c:pt idx="7">
                  <c:v>9.1226910936594824E-2</c:v>
                </c:pt>
                <c:pt idx="8">
                  <c:v>0.10406770124272008</c:v>
                </c:pt>
                <c:pt idx="9">
                  <c:v>7.953038106627916E-2</c:v>
                </c:pt>
                <c:pt idx="10">
                  <c:v>6.0371090945148427E-2</c:v>
                </c:pt>
                <c:pt idx="11">
                  <c:v>6.0547860662614389E-2</c:v>
                </c:pt>
                <c:pt idx="12">
                  <c:v>5.3621887112121985E-2</c:v>
                </c:pt>
                <c:pt idx="13">
                  <c:v>4.9427371642321742E-2</c:v>
                </c:pt>
                <c:pt idx="14">
                  <c:v>4.7543769806811687E-2</c:v>
                </c:pt>
                <c:pt idx="15">
                  <c:v>4.1732670563172557E-2</c:v>
                </c:pt>
                <c:pt idx="16">
                  <c:v>4.0607724329943827E-2</c:v>
                </c:pt>
                <c:pt idx="17">
                  <c:v>4.4568138577950618E-2</c:v>
                </c:pt>
                <c:pt idx="19">
                  <c:v>4.1908713692946055E-2</c:v>
                </c:pt>
                <c:pt idx="20">
                  <c:v>3.8652889399158057E-2</c:v>
                </c:pt>
                <c:pt idx="21">
                  <c:v>3.734290843806104E-2</c:v>
                </c:pt>
              </c:numCache>
            </c:numRef>
          </c:val>
          <c:smooth val="0"/>
          <c:extLst>
            <c:ext xmlns:c16="http://schemas.microsoft.com/office/drawing/2014/chart" uri="{C3380CC4-5D6E-409C-BE32-E72D297353CC}">
              <c16:uniqueId val="{00000004-5ED4-493F-9D6D-3392A7D56152}"/>
            </c:ext>
          </c:extLst>
        </c:ser>
        <c:ser>
          <c:idx val="5"/>
          <c:order val="5"/>
          <c:tx>
            <c:strRef>
              <c:f>'Asset allocation'!$D$37</c:f>
              <c:strCache>
                <c:ptCount val="1"/>
                <c:pt idx="0">
                  <c:v>Other</c:v>
                </c:pt>
              </c:strCache>
            </c:strRef>
          </c:tx>
          <c:spPr>
            <a:ln w="28575" cap="rnd">
              <a:solidFill>
                <a:schemeClr val="accent6"/>
              </a:solidFill>
              <a:round/>
            </a:ln>
            <a:effectLst/>
          </c:spPr>
          <c:marker>
            <c:symbol val="none"/>
          </c:marker>
          <c:cat>
            <c:numRef>
              <c:f>'Asset allocation'!$E$31:$Z$31</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'Asset allocation'!$E$37:$Z$37</c:f>
              <c:numCache>
                <c:formatCode>General</c:formatCode>
                <c:ptCount val="22"/>
                <c:pt idx="0">
                  <c:v>0.111081624581803</c:v>
                </c:pt>
                <c:pt idx="1">
                  <c:v>0.11303430605100435</c:v>
                </c:pt>
                <c:pt idx="2">
                  <c:v>0.12637199691834583</c:v>
                </c:pt>
                <c:pt idx="3">
                  <c:v>0.12256162125957773</c:v>
                </c:pt>
                <c:pt idx="4">
                  <c:v>0.14453372832499889</c:v>
                </c:pt>
                <c:pt idx="5">
                  <c:v>0.14378397876890572</c:v>
                </c:pt>
                <c:pt idx="6">
                  <c:v>0.1454827732645036</c:v>
                </c:pt>
                <c:pt idx="7">
                  <c:v>0.16102559690885912</c:v>
                </c:pt>
                <c:pt idx="8">
                  <c:v>0.16734736553906715</c:v>
                </c:pt>
                <c:pt idx="9">
                  <c:v>0.14219007050810756</c:v>
                </c:pt>
                <c:pt idx="10">
                  <c:v>0.15603223666664387</c:v>
                </c:pt>
                <c:pt idx="11">
                  <c:v>0.1687811996747037</c:v>
                </c:pt>
                <c:pt idx="12">
                  <c:v>0.16159674031610463</c:v>
                </c:pt>
                <c:pt idx="13">
                  <c:v>0.173423028388799</c:v>
                </c:pt>
                <c:pt idx="14">
                  <c:v>0.16523325567477595</c:v>
                </c:pt>
                <c:pt idx="15">
                  <c:v>0.1679158635650688</c:v>
                </c:pt>
                <c:pt idx="16">
                  <c:v>0.16427475091802268</c:v>
                </c:pt>
                <c:pt idx="17">
                  <c:v>0.16786527015605687</c:v>
                </c:pt>
                <c:pt idx="19">
                  <c:v>7.8838174273858919E-2</c:v>
                </c:pt>
                <c:pt idx="20">
                  <c:v>7.8836586299272871E-2</c:v>
                </c:pt>
                <c:pt idx="21">
                  <c:v>7.9353680430879717E-2</c:v>
                </c:pt>
              </c:numCache>
            </c:numRef>
          </c:val>
          <c:smooth val="0"/>
          <c:extLst>
            <c:ext xmlns:c16="http://schemas.microsoft.com/office/drawing/2014/chart" uri="{C3380CC4-5D6E-409C-BE32-E72D297353CC}">
              <c16:uniqueId val="{00000005-5ED4-493F-9D6D-3392A7D56152}"/>
            </c:ext>
          </c:extLst>
        </c:ser>
        <c:dLbls>
          <c:showLegendKey val="0"/>
          <c:showVal val="0"/>
          <c:showCatName val="0"/>
          <c:showSerName val="0"/>
          <c:showPercent val="0"/>
          <c:showBubbleSize val="0"/>
        </c:dLbls>
        <c:smooth val="0"/>
        <c:axId val="853788895"/>
        <c:axId val="521037791"/>
      </c:lineChart>
      <c:catAx>
        <c:axId val="853788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1037791"/>
        <c:crosses val="autoZero"/>
        <c:auto val="1"/>
        <c:lblAlgn val="ctr"/>
        <c:lblOffset val="100"/>
        <c:tickLblSkip val="2"/>
        <c:noMultiLvlLbl val="0"/>
      </c:catAx>
      <c:valAx>
        <c:axId val="52103779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37888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3"/>
          <c:order val="0"/>
          <c:tx>
            <c:strRef>
              <c:f>Borrowing!$B$8</c:f>
              <c:strCache>
                <c:ptCount val="1"/>
                <c:pt idx="0">
                  <c:v>Borrowing/Total Assets</c:v>
                </c:pt>
              </c:strCache>
            </c:strRef>
          </c:tx>
          <c:spPr>
            <a:solidFill>
              <a:schemeClr val="accent4"/>
            </a:solidFill>
            <a:ln>
              <a:noFill/>
            </a:ln>
            <a:effectLst/>
          </c:spPr>
          <c:invertIfNegative val="0"/>
          <c:cat>
            <c:numRef>
              <c:f>Borrowing!$C$4:$AH$4</c:f>
              <c:numCache>
                <c:formatCode>General</c:formatCode>
                <c:ptCount val="32"/>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numCache>
            </c:numRef>
          </c:cat>
          <c:val>
            <c:numRef>
              <c:f>Borrowing!$C$8:$AH$8</c:f>
              <c:numCache>
                <c:formatCode>0.00%</c:formatCode>
                <c:ptCount val="32"/>
                <c:pt idx="0">
                  <c:v>1.2419989429796229E-2</c:v>
                </c:pt>
                <c:pt idx="1">
                  <c:v>9.029169610543163E-3</c:v>
                </c:pt>
                <c:pt idx="2">
                  <c:v>1.2361096029246751E-2</c:v>
                </c:pt>
                <c:pt idx="3">
                  <c:v>8.7890463853731778E-3</c:v>
                </c:pt>
                <c:pt idx="4">
                  <c:v>1.0822650835677275E-2</c:v>
                </c:pt>
                <c:pt idx="5">
                  <c:v>8.6001886895433251E-3</c:v>
                </c:pt>
                <c:pt idx="6">
                  <c:v>9.7354478087504324E-3</c:v>
                </c:pt>
                <c:pt idx="7">
                  <c:v>1.2207684013768608E-2</c:v>
                </c:pt>
                <c:pt idx="8">
                  <c:v>1.0523232200298036E-2</c:v>
                </c:pt>
                <c:pt idx="9">
                  <c:v>1.0620661260714761E-2</c:v>
                </c:pt>
                <c:pt idx="10">
                  <c:v>1.416071987400153E-2</c:v>
                </c:pt>
                <c:pt idx="11">
                  <c:v>1.4897853519357983E-2</c:v>
                </c:pt>
                <c:pt idx="12">
                  <c:v>1.6061529866739872E-2</c:v>
                </c:pt>
                <c:pt idx="13">
                  <c:v>3.725210427934654E-2</c:v>
                </c:pt>
                <c:pt idx="14">
                  <c:v>4.8687228848159882E-2</c:v>
                </c:pt>
                <c:pt idx="15">
                  <c:v>5.5592402773590593E-2</c:v>
                </c:pt>
                <c:pt idx="16">
                  <c:v>6.895392281181198E-2</c:v>
                </c:pt>
                <c:pt idx="17">
                  <c:v>6.0729618287136904E-2</c:v>
                </c:pt>
                <c:pt idx="18">
                  <c:v>6.5152897748856256E-2</c:v>
                </c:pt>
                <c:pt idx="19">
                  <c:v>3.508879602797213E-2</c:v>
                </c:pt>
                <c:pt idx="20">
                  <c:v>2.2731098597361978E-2</c:v>
                </c:pt>
                <c:pt idx="21">
                  <c:v>1.610366622599841E-2</c:v>
                </c:pt>
                <c:pt idx="22">
                  <c:v>2.032193761336051E-2</c:v>
                </c:pt>
                <c:pt idx="23">
                  <c:v>2.3569124183649912E-2</c:v>
                </c:pt>
                <c:pt idx="24">
                  <c:v>2.4495769304928413E-2</c:v>
                </c:pt>
                <c:pt idx="25">
                  <c:v>3.358201695314645E-2</c:v>
                </c:pt>
                <c:pt idx="26">
                  <c:v>4.1091896818335777E-2</c:v>
                </c:pt>
                <c:pt idx="27">
                  <c:v>4.5281063188800284E-2</c:v>
                </c:pt>
                <c:pt idx="28">
                  <c:v>0</c:v>
                </c:pt>
                <c:pt idx="29">
                  <c:v>7.298193881312201E-2</c:v>
                </c:pt>
                <c:pt idx="30">
                  <c:v>7.343857240905971E-2</c:v>
                </c:pt>
                <c:pt idx="31">
                  <c:v>7.1871937275400199E-2</c:v>
                </c:pt>
              </c:numCache>
            </c:numRef>
          </c:val>
          <c:extLst>
            <c:ext xmlns:c16="http://schemas.microsoft.com/office/drawing/2014/chart" uri="{C3380CC4-5D6E-409C-BE32-E72D297353CC}">
              <c16:uniqueId val="{00000000-207F-48C8-BA92-54738198FE5B}"/>
            </c:ext>
          </c:extLst>
        </c:ser>
        <c:dLbls>
          <c:showLegendKey val="0"/>
          <c:showVal val="0"/>
          <c:showCatName val="0"/>
          <c:showSerName val="0"/>
          <c:showPercent val="0"/>
          <c:showBubbleSize val="0"/>
        </c:dLbls>
        <c:gapWidth val="90"/>
        <c:axId val="267023455"/>
        <c:axId val="140426911"/>
      </c:barChart>
      <c:catAx>
        <c:axId val="2670234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426911"/>
        <c:crosses val="autoZero"/>
        <c:auto val="1"/>
        <c:lblAlgn val="ctr"/>
        <c:lblOffset val="100"/>
        <c:tickLblSkip val="5"/>
        <c:noMultiLvlLbl val="1"/>
      </c:catAx>
      <c:valAx>
        <c:axId val="14042691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70234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Derivatives!$B$14</c:f>
              <c:strCache>
                <c:ptCount val="1"/>
                <c:pt idx="0">
                  <c:v>Derivative assets</c:v>
                </c:pt>
              </c:strCache>
            </c:strRef>
          </c:tx>
          <c:spPr>
            <a:solidFill>
              <a:schemeClr val="accent1"/>
            </a:solidFill>
            <a:ln>
              <a:noFill/>
            </a:ln>
            <a:effectLst/>
          </c:spPr>
          <c:invertIfNegative val="0"/>
          <c:cat>
            <c:numRef>
              <c:f>Derivatives!$C$13:$X$13</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Derivatives!$C$14:$X$14</c:f>
              <c:numCache>
                <c:formatCode>0.00%</c:formatCode>
                <c:ptCount val="22"/>
                <c:pt idx="0">
                  <c:v>4.4315560772684214E-3</c:v>
                </c:pt>
                <c:pt idx="1">
                  <c:v>5.2473121840298474E-3</c:v>
                </c:pt>
                <c:pt idx="2">
                  <c:v>3.9775096057420361E-3</c:v>
                </c:pt>
                <c:pt idx="3">
                  <c:v>5.0621745992560684E-3</c:v>
                </c:pt>
                <c:pt idx="4">
                  <c:v>1.6435971076078481E-2</c:v>
                </c:pt>
                <c:pt idx="5">
                  <c:v>2.544856621804065E-2</c:v>
                </c:pt>
                <c:pt idx="6">
                  <c:v>2.7744388187428186E-2</c:v>
                </c:pt>
                <c:pt idx="7">
                  <c:v>3.5149270790472274E-2</c:v>
                </c:pt>
                <c:pt idx="8">
                  <c:v>4.3886728193016457E-2</c:v>
                </c:pt>
                <c:pt idx="9">
                  <c:v>7.8812927860670345E-2</c:v>
                </c:pt>
                <c:pt idx="10">
                  <c:v>0.1016043920082086</c:v>
                </c:pt>
                <c:pt idx="11">
                  <c:v>0.15917119186023332</c:v>
                </c:pt>
                <c:pt idx="12">
                  <c:v>0.16116013937522342</c:v>
                </c:pt>
                <c:pt idx="13">
                  <c:v>0.16413460858592727</c:v>
                </c:pt>
                <c:pt idx="14">
                  <c:v>0.20226854242732967</c:v>
                </c:pt>
                <c:pt idx="15">
                  <c:v>0.2030652660582056</c:v>
                </c:pt>
                <c:pt idx="16">
                  <c:v>0.1814383842241587</c:v>
                </c:pt>
                <c:pt idx="17">
                  <c:v>0.16269918617396972</c:v>
                </c:pt>
                <c:pt idx="19">
                  <c:v>0.12577833125778332</c:v>
                </c:pt>
                <c:pt idx="20">
                  <c:v>0.11494252873563218</c:v>
                </c:pt>
                <c:pt idx="21">
                  <c:v>9.9892202659001075E-2</c:v>
                </c:pt>
              </c:numCache>
            </c:numRef>
          </c:val>
          <c:extLst>
            <c:ext xmlns:c16="http://schemas.microsoft.com/office/drawing/2014/chart" uri="{C3380CC4-5D6E-409C-BE32-E72D297353CC}">
              <c16:uniqueId val="{00000000-7EF8-4C46-8A0A-8792A9CB96BE}"/>
            </c:ext>
          </c:extLst>
        </c:ser>
        <c:ser>
          <c:idx val="1"/>
          <c:order val="1"/>
          <c:tx>
            <c:strRef>
              <c:f>Derivatives!$B$15</c:f>
              <c:strCache>
                <c:ptCount val="1"/>
                <c:pt idx="0">
                  <c:v>Derivative liabilities</c:v>
                </c:pt>
              </c:strCache>
            </c:strRef>
          </c:tx>
          <c:spPr>
            <a:solidFill>
              <a:schemeClr val="accent2"/>
            </a:solidFill>
            <a:ln>
              <a:noFill/>
            </a:ln>
            <a:effectLst/>
          </c:spPr>
          <c:invertIfNegative val="0"/>
          <c:cat>
            <c:numRef>
              <c:f>Derivatives!$C$13:$X$13</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Derivatives!$C$15:$X$15</c:f>
              <c:numCache>
                <c:formatCode>0.00%</c:formatCode>
                <c:ptCount val="22"/>
                <c:pt idx="0">
                  <c:v>3.5576012191605917E-3</c:v>
                </c:pt>
                <c:pt idx="1">
                  <c:v>2.0144821952888712E-3</c:v>
                </c:pt>
                <c:pt idx="2">
                  <c:v>2.6945977660915296E-3</c:v>
                </c:pt>
                <c:pt idx="3">
                  <c:v>3.1260661771844323E-3</c:v>
                </c:pt>
                <c:pt idx="4">
                  <c:v>1.364371168738651E-2</c:v>
                </c:pt>
                <c:pt idx="5">
                  <c:v>2.0095397525569016E-2</c:v>
                </c:pt>
                <c:pt idx="6">
                  <c:v>2.2182164870332099E-2</c:v>
                </c:pt>
                <c:pt idx="7">
                  <c:v>3.4254103232295524E-2</c:v>
                </c:pt>
                <c:pt idx="8">
                  <c:v>3.6226954360113126E-2</c:v>
                </c:pt>
                <c:pt idx="9">
                  <c:v>7.5372346988846095E-2</c:v>
                </c:pt>
                <c:pt idx="10">
                  <c:v>9.8573892708734581E-2</c:v>
                </c:pt>
                <c:pt idx="11">
                  <c:v>0.15144766324585954</c:v>
                </c:pt>
                <c:pt idx="12">
                  <c:v>0.15090224927031873</c:v>
                </c:pt>
                <c:pt idx="13">
                  <c:v>0.16031986467891154</c:v>
                </c:pt>
                <c:pt idx="14">
                  <c:v>0.19502646119304112</c:v>
                </c:pt>
                <c:pt idx="15">
                  <c:v>0.20237189338826594</c:v>
                </c:pt>
                <c:pt idx="16">
                  <c:v>0.17674546667717678</c:v>
                </c:pt>
                <c:pt idx="17">
                  <c:v>0.16267560764489269</c:v>
                </c:pt>
                <c:pt idx="19">
                  <c:v>0.12079701120797011</c:v>
                </c:pt>
                <c:pt idx="20">
                  <c:v>0.10919540229885058</c:v>
                </c:pt>
                <c:pt idx="21">
                  <c:v>9.593963348904061E-2</c:v>
                </c:pt>
              </c:numCache>
            </c:numRef>
          </c:val>
          <c:extLst>
            <c:ext xmlns:c16="http://schemas.microsoft.com/office/drawing/2014/chart" uri="{C3380CC4-5D6E-409C-BE32-E72D297353CC}">
              <c16:uniqueId val="{00000001-7EF8-4C46-8A0A-8792A9CB96BE}"/>
            </c:ext>
          </c:extLst>
        </c:ser>
        <c:dLbls>
          <c:showLegendKey val="0"/>
          <c:showVal val="0"/>
          <c:showCatName val="0"/>
          <c:showSerName val="0"/>
          <c:showPercent val="0"/>
          <c:showBubbleSize val="0"/>
        </c:dLbls>
        <c:gapWidth val="219"/>
        <c:overlap val="-27"/>
        <c:axId val="1485580447"/>
        <c:axId val="1485591263"/>
      </c:barChart>
      <c:catAx>
        <c:axId val="14855804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5591263"/>
        <c:crosses val="autoZero"/>
        <c:auto val="1"/>
        <c:lblAlgn val="ctr"/>
        <c:lblOffset val="100"/>
        <c:noMultiLvlLbl val="0"/>
      </c:catAx>
      <c:valAx>
        <c:axId val="148559126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55804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82F596DCED5F46B6EA85690F6C95FF" ma:contentTypeVersion="14" ma:contentTypeDescription="Create a new document." ma:contentTypeScope="" ma:versionID="6bca22b538142f8e9f6bb9a106fe4f5c">
  <xsd:schema xmlns:xsd="http://www.w3.org/2001/XMLSchema" xmlns:xs="http://www.w3.org/2001/XMLSchema" xmlns:p="http://schemas.microsoft.com/office/2006/metadata/properties" xmlns:ns3="eae82cf0-e959-40c1-a86d-9de1541f13b9" xmlns:ns4="70c94415-ce79-49cb-be9e-55305b742718" targetNamespace="http://schemas.microsoft.com/office/2006/metadata/properties" ma:root="true" ma:fieldsID="28a65df8f04f9a262a4c1d06def4544b" ns3:_="" ns4:_="">
    <xsd:import namespace="eae82cf0-e959-40c1-a86d-9de1541f13b9"/>
    <xsd:import namespace="70c94415-ce79-49cb-be9e-55305b74271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82cf0-e959-40c1-a86d-9de1541f1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c94415-ce79-49cb-be9e-55305b7427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4E1DAF-4535-4141-AFBA-D5E817A4C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e82cf0-e959-40c1-a86d-9de1541f13b9"/>
    <ds:schemaRef ds:uri="70c94415-ce79-49cb-be9e-55305b742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619524-ED73-43DA-AB15-3166A0B55A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797A90-DE5D-4ADA-A87C-76C4A51BE689}">
  <ds:schemaRefs>
    <ds:schemaRef ds:uri="http://schemas.openxmlformats.org/officeDocument/2006/bibliography"/>
  </ds:schemaRefs>
</ds:datastoreItem>
</file>

<file path=customXml/itemProps4.xml><?xml version="1.0" encoding="utf-8"?>
<ds:datastoreItem xmlns:ds="http://schemas.openxmlformats.org/officeDocument/2006/customXml" ds:itemID="{D7AD501B-510C-449A-B18F-BBACEB2412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TaylorAndFrancis</Template>
  <TotalTime>1</TotalTime>
  <Pages>38</Pages>
  <Words>33417</Words>
  <Characters>190482</Characters>
  <Application>Microsoft Office Word</Application>
  <DocSecurity>4</DocSecurity>
  <Lines>1587</Lines>
  <Paragraphs>446</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223453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subject/>
  <dc:creator>Bruno Bonizzi</dc:creator>
  <cp:keywords/>
  <dc:description/>
  <cp:lastModifiedBy>Jennifer Churchill</cp:lastModifiedBy>
  <cp:revision>2</cp:revision>
  <cp:lastPrinted>2022-07-25T09:30:00Z</cp:lastPrinted>
  <dcterms:created xsi:type="dcterms:W3CDTF">2023-03-06T17:21:00Z</dcterms:created>
  <dcterms:modified xsi:type="dcterms:W3CDTF">2023-03-06T17:21:00Z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0x0101004F82F596DCED5F46B6EA85690F6C95FF</vt:lpwstr>
  </property>
  <property fmtid="{D5CDD505-2E9C-101B-9397-08002B2CF9AE}" pid="3" name="ZOTERO_PREF_1">
    <vt:lpwstr>&lt;data data-version="3" zotero-version="6.0.18"&gt;&lt;session id="F02KzQUJ"/&gt;&lt;style id="http://www.zotero.org/styles/taylor-and-francis-harvard-v" hasBibliography="1" bibliographyStyleHasBeenSet="1"/&gt;&lt;prefs&gt;&lt;pref name="fieldType" value="Field"/&gt;&lt;/prefs&gt;&lt;/data&gt;</vt:lpwstr>
  </property>
</Properties>
</file>