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F5" w:rsidRPr="00D43EF5" w:rsidRDefault="00D43EF5" w:rsidP="00D43EF5">
      <w:pPr>
        <w:tabs>
          <w:tab w:val="num" w:pos="720"/>
        </w:tabs>
        <w:spacing w:line="240" w:lineRule="auto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D43E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Table 1 : The National Statistics Socio-Economic Classification (NS-SEC) system</w:t>
      </w:r>
    </w:p>
    <w:tbl>
      <w:tblPr>
        <w:tblStyle w:val="TableGrid"/>
        <w:tblW w:w="0" w:type="auto"/>
        <w:tblInd w:w="108" w:type="dxa"/>
        <w:tblLook w:val="04A0"/>
      </w:tblPr>
      <w:tblGrid>
        <w:gridCol w:w="1496"/>
        <w:gridCol w:w="4892"/>
      </w:tblGrid>
      <w:tr w:rsidR="00D43EF5" w:rsidRPr="00D43EF5" w:rsidTr="00D43EF5">
        <w:trPr>
          <w:trHeight w:val="244"/>
        </w:trPr>
        <w:tc>
          <w:tcPr>
            <w:tcW w:w="14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NS-SEC group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Occupational categories</w:t>
            </w:r>
          </w:p>
        </w:tc>
      </w:tr>
      <w:tr w:rsidR="00D43EF5" w:rsidRPr="00D43EF5" w:rsidTr="00D43EF5">
        <w:trPr>
          <w:trHeight w:val="1954"/>
        </w:trPr>
        <w:tc>
          <w:tcPr>
            <w:tcW w:w="14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D43EF5" w:rsidRPr="00D43EF5" w:rsidRDefault="00D43EF5" w:rsidP="00D43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D43EF5" w:rsidRPr="00D43EF5" w:rsidRDefault="00D43EF5" w:rsidP="00D43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:rsidR="00D43EF5" w:rsidRPr="00D43EF5" w:rsidRDefault="00D43EF5" w:rsidP="00D43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:rsidR="00D43EF5" w:rsidRPr="00D43EF5" w:rsidRDefault="00D43EF5" w:rsidP="00D43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:rsidR="00D43EF5" w:rsidRPr="00D43EF5" w:rsidRDefault="00D43EF5" w:rsidP="00D43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Higher managerial and professional occupations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Lower managerial and professional occupations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Intermediate occupations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Small employers and own account workers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Lower supervisory and technical occupations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Semi-routine occupations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Routine occupations</w:t>
            </w:r>
          </w:p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sz w:val="20"/>
                <w:szCs w:val="20"/>
              </w:rPr>
              <w:t>Never worked and long-term unemployed</w:t>
            </w:r>
          </w:p>
        </w:tc>
      </w:tr>
    </w:tbl>
    <w:p w:rsidR="00E03DF1" w:rsidRDefault="00E03DF1" w:rsidP="00D43EF5">
      <w:pPr>
        <w:spacing w:line="240" w:lineRule="auto"/>
      </w:pPr>
    </w:p>
    <w:p w:rsidR="00D43EF5" w:rsidRDefault="00D43EF5" w:rsidP="00D43EF5">
      <w:pPr>
        <w:spacing w:line="240" w:lineRule="auto"/>
      </w:pPr>
    </w:p>
    <w:p w:rsidR="00D43EF5" w:rsidRDefault="00D43EF5" w:rsidP="00D43EF5">
      <w:pPr>
        <w:spacing w:line="240" w:lineRule="auto"/>
      </w:pPr>
    </w:p>
    <w:p w:rsidR="00D43EF5" w:rsidRPr="00D43EF5" w:rsidRDefault="00D43EF5" w:rsidP="00D43EF5">
      <w:pPr>
        <w:tabs>
          <w:tab w:val="num" w:pos="720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43E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Table 2: FYPSEC statistics for 2002 to 2008 entry cohorts</w:t>
      </w:r>
    </w:p>
    <w:tbl>
      <w:tblPr>
        <w:tblStyle w:val="TableGrid"/>
        <w:tblW w:w="0" w:type="auto"/>
        <w:tblInd w:w="108" w:type="dxa"/>
        <w:tblLook w:val="04A0"/>
      </w:tblPr>
      <w:tblGrid>
        <w:gridCol w:w="1134"/>
        <w:gridCol w:w="1606"/>
        <w:gridCol w:w="1607"/>
        <w:gridCol w:w="1607"/>
      </w:tblGrid>
      <w:tr w:rsidR="00D43EF5" w:rsidRPr="00D43EF5" w:rsidTr="00D43EF5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Lower socio-economic groups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Higher socio-economic groups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Difference – ‘social class gap’</w:t>
            </w:r>
          </w:p>
        </w:tc>
      </w:tr>
      <w:tr w:rsidR="00D43EF5" w:rsidRPr="00D43EF5" w:rsidTr="00D43EF5"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28.4%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17.9%</w:t>
            </w:r>
          </w:p>
        </w:tc>
      </w:tr>
      <w:tr w:rsidR="00D43EF5" w:rsidRPr="00D43EF5" w:rsidTr="00D43EF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14.9%</w:t>
            </w:r>
          </w:p>
        </w:tc>
      </w:tr>
      <w:tr w:rsidR="00D43EF5" w:rsidRPr="00D43EF5" w:rsidTr="00D43EF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15.8%</w:t>
            </w:r>
          </w:p>
        </w:tc>
      </w:tr>
      <w:tr w:rsidR="00D43EF5" w:rsidRPr="00D43EF5" w:rsidTr="00D43EF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12.7%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28.3%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15.6%</w:t>
            </w:r>
          </w:p>
        </w:tc>
      </w:tr>
      <w:tr w:rsidR="00D43EF5" w:rsidRPr="00D43EF5" w:rsidTr="00D43EF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1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26.9%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14.6%</w:t>
            </w:r>
          </w:p>
        </w:tc>
      </w:tr>
      <w:tr w:rsidR="00D43EF5" w:rsidRPr="00D43EF5" w:rsidTr="00D43EF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1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12.9%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26.7%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13.8%</w:t>
            </w:r>
          </w:p>
        </w:tc>
      </w:tr>
      <w:tr w:rsidR="00D43EF5" w:rsidRPr="00D43EF5" w:rsidTr="00D43EF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13.7%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27.8%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14.1%</w:t>
            </w:r>
          </w:p>
        </w:tc>
      </w:tr>
    </w:tbl>
    <w:p w:rsidR="00D43EF5" w:rsidRPr="00D43EF5" w:rsidRDefault="00D43EF5" w:rsidP="00D43EF5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3EF5">
        <w:rPr>
          <w:rFonts w:ascii="Times New Roman" w:hAnsi="Times New Roman" w:cs="Times New Roman"/>
          <w:color w:val="000000" w:themeColor="text1"/>
          <w:sz w:val="20"/>
          <w:szCs w:val="20"/>
        </w:rPr>
        <w:t>Source: DBIS (2010)</w:t>
      </w:r>
    </w:p>
    <w:p w:rsidR="00D43EF5" w:rsidRDefault="00D43EF5" w:rsidP="00D43EF5">
      <w:pPr>
        <w:spacing w:line="240" w:lineRule="auto"/>
      </w:pPr>
    </w:p>
    <w:p w:rsidR="00D43EF5" w:rsidRDefault="00D43EF5" w:rsidP="00D43EF5">
      <w:pPr>
        <w:spacing w:line="240" w:lineRule="auto"/>
      </w:pPr>
    </w:p>
    <w:p w:rsidR="00D43EF5" w:rsidRDefault="00D43EF5" w:rsidP="00D43EF5">
      <w:pPr>
        <w:spacing w:line="240" w:lineRule="auto"/>
      </w:pPr>
    </w:p>
    <w:p w:rsidR="00D43EF5" w:rsidRPr="00D43EF5" w:rsidRDefault="00D43EF5" w:rsidP="00D43EF5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3E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Table 3: Participation rate for POLAR=1 areas</w:t>
      </w:r>
    </w:p>
    <w:tbl>
      <w:tblPr>
        <w:tblStyle w:val="TableGrid"/>
        <w:tblW w:w="0" w:type="auto"/>
        <w:tblInd w:w="0" w:type="dxa"/>
        <w:tblLook w:val="04A0"/>
      </w:tblPr>
      <w:tblGrid>
        <w:gridCol w:w="1317"/>
        <w:gridCol w:w="1318"/>
        <w:gridCol w:w="1317"/>
        <w:gridCol w:w="1318"/>
        <w:gridCol w:w="1317"/>
        <w:gridCol w:w="1318"/>
      </w:tblGrid>
      <w:tr w:rsidR="00D43EF5" w:rsidRPr="00D43EF5" w:rsidTr="00D43EF5">
        <w:trPr>
          <w:trHeight w:val="253"/>
        </w:trPr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Rate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Rate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Rate</w:t>
            </w:r>
          </w:p>
        </w:tc>
      </w:tr>
      <w:tr w:rsidR="00D43EF5" w:rsidRPr="00D43EF5" w:rsidTr="00D43EF5">
        <w:trPr>
          <w:trHeight w:val="244"/>
        </w:trPr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13.6%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13.5%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15.1%</w:t>
            </w:r>
          </w:p>
        </w:tc>
      </w:tr>
      <w:tr w:rsidR="00D43EF5" w:rsidRPr="00D43EF5" w:rsidTr="00D43EF5">
        <w:trPr>
          <w:trHeight w:val="244"/>
        </w:trPr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13.7%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15.7%</w:t>
            </w:r>
          </w:p>
        </w:tc>
      </w:tr>
      <w:tr w:rsidR="00D43EF5" w:rsidRPr="00D43EF5" w:rsidTr="00D43EF5">
        <w:trPr>
          <w:trHeight w:val="244"/>
        </w:trPr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16.8%</w:t>
            </w:r>
          </w:p>
        </w:tc>
      </w:tr>
      <w:tr w:rsidR="00D43EF5" w:rsidRPr="00D43EF5" w:rsidTr="00D43EF5">
        <w:trPr>
          <w:trHeight w:val="244"/>
        </w:trPr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18.0%</w:t>
            </w:r>
          </w:p>
        </w:tc>
      </w:tr>
      <w:tr w:rsidR="00D43EF5" w:rsidRPr="00D43EF5" w:rsidTr="00D43EF5">
        <w:trPr>
          <w:trHeight w:val="244"/>
        </w:trPr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14.5%</w:t>
            </w:r>
          </w:p>
        </w:tc>
        <w:tc>
          <w:tcPr>
            <w:tcW w:w="1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2009 (</w:t>
            </w:r>
            <w:proofErr w:type="spellStart"/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est</w:t>
            </w:r>
            <w:proofErr w:type="spellEnd"/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D43EF5" w:rsidRPr="00D43EF5" w:rsidRDefault="00D43EF5" w:rsidP="00D43EF5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19.2%</w:t>
            </w:r>
          </w:p>
        </w:tc>
      </w:tr>
    </w:tbl>
    <w:p w:rsidR="00D43EF5" w:rsidRPr="00D43EF5" w:rsidRDefault="00D43EF5" w:rsidP="00D43EF5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3EF5">
        <w:rPr>
          <w:rFonts w:ascii="Times New Roman" w:hAnsi="Times New Roman" w:cs="Times New Roman"/>
          <w:color w:val="000000" w:themeColor="text1"/>
          <w:sz w:val="20"/>
          <w:szCs w:val="20"/>
        </w:rPr>
        <w:t>Source : HEFCE (2011)</w:t>
      </w:r>
    </w:p>
    <w:p w:rsidR="00D43EF5" w:rsidRDefault="00D43EF5" w:rsidP="00D43EF5">
      <w:pPr>
        <w:spacing w:line="240" w:lineRule="auto"/>
      </w:pPr>
    </w:p>
    <w:p w:rsidR="00D43EF5" w:rsidRDefault="00D43EF5" w:rsidP="00D43EF5">
      <w:pPr>
        <w:spacing w:line="240" w:lineRule="auto"/>
      </w:pPr>
    </w:p>
    <w:p w:rsidR="00D43EF5" w:rsidRDefault="00D43EF5" w:rsidP="00D43EF5">
      <w:pPr>
        <w:spacing w:line="240" w:lineRule="auto"/>
      </w:pPr>
    </w:p>
    <w:p w:rsidR="00D43EF5" w:rsidRPr="00D43EF5" w:rsidRDefault="00D43EF5" w:rsidP="00D43EF5">
      <w:pPr>
        <w:tabs>
          <w:tab w:val="num" w:pos="720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43E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Table 4: application rates for 18 year old cohorts between 2004 and 2009 in the 20% most and least deprived neighbourhoods</w:t>
      </w:r>
    </w:p>
    <w:tbl>
      <w:tblPr>
        <w:tblStyle w:val="TableGrid"/>
        <w:tblW w:w="0" w:type="auto"/>
        <w:tblInd w:w="108" w:type="dxa"/>
        <w:tblLook w:val="04A0"/>
      </w:tblPr>
      <w:tblGrid>
        <w:gridCol w:w="1134"/>
        <w:gridCol w:w="2126"/>
        <w:gridCol w:w="2127"/>
      </w:tblGrid>
      <w:tr w:rsidR="00D43EF5" w:rsidRPr="00D43EF5" w:rsidTr="002934CA">
        <w:trPr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20% most deprived neighbourhoods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20% least deprived neighbourhoods</w:t>
            </w:r>
          </w:p>
        </w:tc>
      </w:tr>
      <w:tr w:rsidR="00D43EF5" w:rsidRPr="00D43EF5" w:rsidTr="002934CA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54.5%</w:t>
            </w:r>
          </w:p>
        </w:tc>
      </w:tr>
      <w:tr w:rsidR="00D43EF5" w:rsidRPr="00D43EF5" w:rsidTr="002934CA">
        <w:trPr>
          <w:trHeight w:val="272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21.5%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57.1%</w:t>
            </w:r>
          </w:p>
        </w:tc>
      </w:tr>
      <w:tr w:rsidR="00D43EF5" w:rsidRPr="00D43EF5" w:rsidTr="002934CA">
        <w:trPr>
          <w:trHeight w:val="272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21.8%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51.4%</w:t>
            </w:r>
          </w:p>
        </w:tc>
      </w:tr>
      <w:tr w:rsidR="00D43EF5" w:rsidRPr="00D43EF5" w:rsidTr="002934CA">
        <w:trPr>
          <w:trHeight w:val="272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23.8%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54.7%</w:t>
            </w:r>
          </w:p>
        </w:tc>
      </w:tr>
      <w:tr w:rsidR="00D43EF5" w:rsidRPr="00D43EF5" w:rsidTr="002934CA">
        <w:trPr>
          <w:trHeight w:val="272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26.0%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55.9%</w:t>
            </w:r>
          </w:p>
        </w:tc>
      </w:tr>
      <w:tr w:rsidR="00D43EF5" w:rsidRPr="00D43EF5" w:rsidTr="002934CA">
        <w:trPr>
          <w:trHeight w:val="272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28.3%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58.3%</w:t>
            </w:r>
          </w:p>
        </w:tc>
      </w:tr>
      <w:tr w:rsidR="00D43EF5" w:rsidRPr="00D43EF5" w:rsidTr="002934CA">
        <w:trPr>
          <w:trHeight w:val="272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31.7%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D43EF5" w:rsidRPr="00D43EF5" w:rsidRDefault="00D43EF5" w:rsidP="0029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62.0%</w:t>
            </w:r>
          </w:p>
        </w:tc>
      </w:tr>
    </w:tbl>
    <w:p w:rsidR="00D43EF5" w:rsidRPr="00D43EF5" w:rsidRDefault="00D43EF5" w:rsidP="00D43EF5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3EF5">
        <w:rPr>
          <w:rFonts w:ascii="Times New Roman" w:hAnsi="Times New Roman" w:cs="Times New Roman"/>
          <w:color w:val="000000" w:themeColor="text1"/>
          <w:sz w:val="20"/>
          <w:szCs w:val="20"/>
        </w:rPr>
        <w:t>Source: Derived from UCAS (2011) and ONS (2011)</w:t>
      </w:r>
    </w:p>
    <w:p w:rsidR="00D43EF5" w:rsidRDefault="00D43EF5" w:rsidP="00D43EF5">
      <w:pPr>
        <w:spacing w:line="240" w:lineRule="auto"/>
      </w:pPr>
    </w:p>
    <w:p w:rsidR="002934CA" w:rsidRDefault="002934CA" w:rsidP="00D43EF5">
      <w:pPr>
        <w:spacing w:line="240" w:lineRule="auto"/>
      </w:pPr>
    </w:p>
    <w:p w:rsidR="002934CA" w:rsidRDefault="002934CA" w:rsidP="00D43EF5">
      <w:pPr>
        <w:spacing w:line="240" w:lineRule="auto"/>
      </w:pPr>
    </w:p>
    <w:p w:rsidR="002934CA" w:rsidRDefault="002934CA" w:rsidP="00D43EF5">
      <w:pPr>
        <w:spacing w:line="240" w:lineRule="auto"/>
      </w:pPr>
    </w:p>
    <w:p w:rsidR="002934CA" w:rsidRDefault="002934CA" w:rsidP="00D43EF5">
      <w:pPr>
        <w:spacing w:line="240" w:lineRule="auto"/>
      </w:pPr>
    </w:p>
    <w:p w:rsidR="002934CA" w:rsidRPr="002934CA" w:rsidRDefault="002934CA" w:rsidP="002934CA">
      <w:pPr>
        <w:tabs>
          <w:tab w:val="num" w:pos="720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934CA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Figure 1 : relative growth in applications for 18 year old cohorts between 2004 and 2009 in the 20</w:t>
      </w:r>
      <w:r w:rsidRPr="002934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34C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percent most and least deprived neighbourhoods</w:t>
      </w:r>
    </w:p>
    <w:p w:rsidR="002934CA" w:rsidRPr="002934CA" w:rsidRDefault="002934CA" w:rsidP="002934CA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34CA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en-GB"/>
        </w:rPr>
        <w:drawing>
          <wp:inline distT="0" distB="0" distL="0" distR="0">
            <wp:extent cx="5164531" cy="263347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934CA" w:rsidRDefault="002934CA" w:rsidP="002934CA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34CA" w:rsidRPr="002934CA" w:rsidRDefault="002934CA" w:rsidP="002934CA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34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Source: </w:t>
      </w:r>
      <w:r w:rsidRPr="00D43E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Derived from </w:t>
      </w:r>
      <w:r w:rsidRPr="002934CA">
        <w:rPr>
          <w:rFonts w:ascii="Times New Roman" w:hAnsi="Times New Roman" w:cs="Times New Roman"/>
          <w:color w:val="000000" w:themeColor="text1"/>
          <w:sz w:val="20"/>
          <w:szCs w:val="20"/>
        </w:rPr>
        <w:t>UCAS (2011)</w:t>
      </w:r>
    </w:p>
    <w:p w:rsidR="002934CA" w:rsidRDefault="002934CA" w:rsidP="00D43EF5">
      <w:pPr>
        <w:spacing w:line="240" w:lineRule="auto"/>
      </w:pPr>
    </w:p>
    <w:sectPr w:rsidR="002934CA" w:rsidSect="00BC18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3EF5"/>
    <w:rsid w:val="00015287"/>
    <w:rsid w:val="00286876"/>
    <w:rsid w:val="002934CA"/>
    <w:rsid w:val="00503BA8"/>
    <w:rsid w:val="00BC184A"/>
    <w:rsid w:val="00D43EF5"/>
    <w:rsid w:val="00E0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4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il%20Harrison\Desktop\UWE\Aimhigher%20papers\AppRa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lineChart>
        <c:grouping val="standard"/>
        <c:ser>
          <c:idx val="0"/>
          <c:order val="0"/>
          <c:tx>
            <c:strRef>
              <c:f>Sheet1!$K$21</c:f>
              <c:strCache>
                <c:ptCount val="1"/>
                <c:pt idx="0">
                  <c:v>20% least deprived neighbourhoods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numRef>
              <c:f>Sheet1!$J$22:$J$28</c:f>
              <c:numCache>
                <c:formatCode>General</c:formatCode>
                <c:ptCount val="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</c:numCache>
            </c:numRef>
          </c:cat>
          <c:val>
            <c:numRef>
              <c:f>Sheet1!$K$22:$K$28</c:f>
              <c:numCache>
                <c:formatCode>0</c:formatCode>
                <c:ptCount val="7"/>
                <c:pt idx="0" formatCode="General">
                  <c:v>100</c:v>
                </c:pt>
                <c:pt idx="1">
                  <c:v>104.81517512151255</c:v>
                </c:pt>
                <c:pt idx="2">
                  <c:v>94.358245706742949</c:v>
                </c:pt>
                <c:pt idx="3">
                  <c:v>100.51996840267066</c:v>
                </c:pt>
                <c:pt idx="4">
                  <c:v>102.70339515122635</c:v>
                </c:pt>
                <c:pt idx="5">
                  <c:v>107.05721074238502</c:v>
                </c:pt>
                <c:pt idx="6">
                  <c:v>113.79268122479579</c:v>
                </c:pt>
              </c:numCache>
            </c:numRef>
          </c:val>
        </c:ser>
        <c:ser>
          <c:idx val="1"/>
          <c:order val="1"/>
          <c:tx>
            <c:strRef>
              <c:f>Sheet1!$L$21</c:f>
              <c:strCache>
                <c:ptCount val="1"/>
                <c:pt idx="0">
                  <c:v>20% most deprived neighbourhoods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Sheet1!$J$22:$J$28</c:f>
              <c:numCache>
                <c:formatCode>General</c:formatCode>
                <c:ptCount val="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</c:numCache>
            </c:numRef>
          </c:cat>
          <c:val>
            <c:numRef>
              <c:f>Sheet1!$L$22:$L$28</c:f>
              <c:numCache>
                <c:formatCode>0</c:formatCode>
                <c:ptCount val="7"/>
                <c:pt idx="0" formatCode="General">
                  <c:v>100</c:v>
                </c:pt>
                <c:pt idx="1">
                  <c:v>109.59630585247685</c:v>
                </c:pt>
                <c:pt idx="2">
                  <c:v>110.68961126832806</c:v>
                </c:pt>
                <c:pt idx="3">
                  <c:v>120.90582501300084</c:v>
                </c:pt>
                <c:pt idx="4">
                  <c:v>132.10422683728686</c:v>
                </c:pt>
                <c:pt idx="5">
                  <c:v>144.19939791544004</c:v>
                </c:pt>
                <c:pt idx="6">
                  <c:v>161.55588079802658</c:v>
                </c:pt>
              </c:numCache>
            </c:numRef>
          </c:val>
        </c:ser>
        <c:marker val="1"/>
        <c:axId val="140417280"/>
        <c:axId val="140841728"/>
      </c:lineChart>
      <c:catAx>
        <c:axId val="14041728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0841728"/>
        <c:crosses val="autoZero"/>
        <c:auto val="1"/>
        <c:lblAlgn val="ctr"/>
        <c:lblOffset val="100"/>
      </c:catAx>
      <c:valAx>
        <c:axId val="140841728"/>
        <c:scaling>
          <c:orientation val="minMax"/>
          <c:min val="6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GB" b="0">
                    <a:latin typeface="Times New Roman" pitchFamily="18" charset="0"/>
                    <a:cs typeface="Times New Roman" pitchFamily="18" charset="0"/>
                  </a:rPr>
                  <a:t>Relative</a:t>
                </a:r>
                <a:r>
                  <a:rPr lang="en-GB" b="0" baseline="0">
                    <a:latin typeface="Times New Roman" pitchFamily="18" charset="0"/>
                    <a:cs typeface="Times New Roman" pitchFamily="18" charset="0"/>
                  </a:rPr>
                  <a:t> growth (2004 = 100)</a:t>
                </a:r>
                <a:endParaRPr lang="en-GB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2222222222222292E-2"/>
              <c:y val="0.1727333041703135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041728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Harrison</dc:creator>
  <cp:lastModifiedBy>Neil Harrison</cp:lastModifiedBy>
  <cp:revision>3</cp:revision>
  <dcterms:created xsi:type="dcterms:W3CDTF">2012-10-21T13:13:00Z</dcterms:created>
  <dcterms:modified xsi:type="dcterms:W3CDTF">2012-10-21T13:29:00Z</dcterms:modified>
</cp:coreProperties>
</file>