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AFBFE2" w14:textId="25274049" w:rsidR="00B71D16" w:rsidRPr="00BC68C4" w:rsidRDefault="00D3300D" w:rsidP="00B71D16">
      <w:pPr>
        <w:jc w:val="center"/>
        <w:rPr>
          <w:rFonts w:ascii="Times New Roman" w:hAnsi="Times New Roman" w:cs="Times New Roman"/>
          <w:sz w:val="32"/>
          <w:szCs w:val="32"/>
        </w:rPr>
      </w:pPr>
      <w:r w:rsidRPr="00151EDA">
        <w:rPr>
          <w:rFonts w:ascii="Times New Roman" w:hAnsi="Times New Roman" w:cs="Times New Roman"/>
          <w:b/>
          <w:i/>
          <w:sz w:val="32"/>
          <w:szCs w:val="32"/>
        </w:rPr>
        <w:t>Corporate Ownership, Control, and Firm Performance</w:t>
      </w:r>
      <w:r w:rsidR="005B6F84" w:rsidRPr="00151EDA">
        <w:rPr>
          <w:rFonts w:ascii="Times New Roman" w:hAnsi="Times New Roman" w:cs="Times New Roman"/>
          <w:b/>
          <w:i/>
          <w:sz w:val="32"/>
          <w:szCs w:val="32"/>
        </w:rPr>
        <w:t xml:space="preserve"> in Victorian Britain</w:t>
      </w:r>
      <w:r w:rsidR="00B71D16" w:rsidRPr="00BC68C4">
        <w:rPr>
          <w:rFonts w:ascii="Times New Roman" w:hAnsi="Times New Roman" w:cs="Times New Roman"/>
          <w:b/>
          <w:sz w:val="32"/>
          <w:szCs w:val="32"/>
        </w:rPr>
        <w:t xml:space="preserve"> </w:t>
      </w:r>
    </w:p>
    <w:p w14:paraId="466115B2" w14:textId="77777777" w:rsidR="00B71D16" w:rsidRPr="00BC68C4" w:rsidRDefault="00B71D16" w:rsidP="00B71D16">
      <w:pPr>
        <w:jc w:val="center"/>
        <w:rPr>
          <w:rFonts w:ascii="Times New Roman" w:hAnsi="Times New Roman" w:cs="Times New Roman"/>
          <w:sz w:val="24"/>
          <w:szCs w:val="24"/>
        </w:rPr>
      </w:pPr>
    </w:p>
    <w:p w14:paraId="158A2A47" w14:textId="77777777" w:rsidR="00B71D16" w:rsidRPr="00BC68C4" w:rsidRDefault="00B71D16" w:rsidP="00B71D16">
      <w:pPr>
        <w:jc w:val="center"/>
        <w:rPr>
          <w:rFonts w:ascii="Times New Roman" w:hAnsi="Times New Roman" w:cs="Times New Roman"/>
          <w:sz w:val="24"/>
          <w:szCs w:val="24"/>
        </w:rPr>
      </w:pPr>
    </w:p>
    <w:p w14:paraId="5D1B3F85" w14:textId="6E58A872" w:rsidR="00F7528B" w:rsidRPr="00E87DBF" w:rsidRDefault="00E87DBF" w:rsidP="00E87DBF">
      <w:pPr>
        <w:tabs>
          <w:tab w:val="left" w:pos="5040"/>
        </w:tabs>
        <w:spacing w:line="480" w:lineRule="auto"/>
        <w:jc w:val="right"/>
        <w:rPr>
          <w:rFonts w:ascii="Times New Roman" w:hAnsi="Times New Roman" w:cs="Times New Roman"/>
          <w:sz w:val="20"/>
          <w:szCs w:val="20"/>
        </w:rPr>
      </w:pPr>
      <w:r w:rsidRPr="00E87DBF">
        <w:rPr>
          <w:rFonts w:ascii="Times New Roman" w:hAnsi="Times New Roman" w:cs="Times New Roman"/>
          <w:sz w:val="20"/>
          <w:szCs w:val="20"/>
        </w:rPr>
        <w:t>GRAEME G. ACHESON, GARETH CAMPBELL, JOHN D. TURNER AND NADIA VANTEEVA</w:t>
      </w:r>
    </w:p>
    <w:p w14:paraId="4617609F" w14:textId="77777777" w:rsidR="00B71D16" w:rsidRPr="00BC68C4" w:rsidRDefault="00B71D16" w:rsidP="00B71D16">
      <w:pPr>
        <w:tabs>
          <w:tab w:val="left" w:pos="5040"/>
        </w:tabs>
        <w:spacing w:line="480" w:lineRule="auto"/>
        <w:rPr>
          <w:rFonts w:ascii="Times New Roman" w:hAnsi="Times New Roman" w:cs="Times New Roman"/>
          <w:sz w:val="24"/>
          <w:szCs w:val="24"/>
        </w:rPr>
      </w:pPr>
      <w:r w:rsidRPr="00BC68C4">
        <w:rPr>
          <w:rFonts w:ascii="Times New Roman" w:hAnsi="Times New Roman" w:cs="Times New Roman"/>
          <w:sz w:val="24"/>
          <w:szCs w:val="24"/>
        </w:rPr>
        <w:tab/>
      </w:r>
    </w:p>
    <w:p w14:paraId="09E296AC" w14:textId="77777777" w:rsidR="00B71D16" w:rsidRPr="00BC68C4" w:rsidRDefault="00B71D16" w:rsidP="00B71D16">
      <w:pPr>
        <w:spacing w:line="480" w:lineRule="auto"/>
        <w:rPr>
          <w:rFonts w:ascii="Times New Roman" w:hAnsi="Times New Roman" w:cs="Times New Roman"/>
          <w:sz w:val="24"/>
          <w:szCs w:val="24"/>
        </w:rPr>
      </w:pPr>
    </w:p>
    <w:p w14:paraId="54BAEEF8" w14:textId="77777777" w:rsidR="00B71D16" w:rsidRPr="00BC68C4" w:rsidRDefault="00B71D16" w:rsidP="00B71D16">
      <w:pPr>
        <w:spacing w:line="480" w:lineRule="auto"/>
        <w:rPr>
          <w:rFonts w:ascii="Times New Roman" w:hAnsi="Times New Roman" w:cs="Times New Roman"/>
          <w:sz w:val="24"/>
          <w:szCs w:val="24"/>
        </w:rPr>
      </w:pPr>
    </w:p>
    <w:p w14:paraId="226E798F" w14:textId="77777777" w:rsidR="00893AB3" w:rsidRPr="00BC68C4" w:rsidRDefault="00893AB3" w:rsidP="00B71D16">
      <w:pPr>
        <w:rPr>
          <w:rFonts w:ascii="Times New Roman" w:hAnsi="Times New Roman" w:cs="Times New Roman"/>
          <w:b/>
          <w:sz w:val="24"/>
          <w:szCs w:val="24"/>
        </w:rPr>
      </w:pPr>
    </w:p>
    <w:p w14:paraId="033A3826" w14:textId="77777777" w:rsidR="00B71D16" w:rsidRPr="00BC68C4" w:rsidRDefault="00B71D16" w:rsidP="00B71D16">
      <w:pPr>
        <w:rPr>
          <w:rFonts w:ascii="Times New Roman" w:hAnsi="Times New Roman" w:cs="Times New Roman"/>
          <w:b/>
          <w:sz w:val="24"/>
          <w:szCs w:val="24"/>
        </w:rPr>
      </w:pPr>
      <w:r w:rsidRPr="00BC68C4">
        <w:rPr>
          <w:rFonts w:ascii="Times New Roman" w:hAnsi="Times New Roman" w:cs="Times New Roman"/>
          <w:b/>
          <w:sz w:val="24"/>
          <w:szCs w:val="24"/>
        </w:rPr>
        <w:t>Abstract</w:t>
      </w:r>
    </w:p>
    <w:p w14:paraId="6B88AB12" w14:textId="1F7CFA6B" w:rsidR="00B71D16" w:rsidRPr="00224B80" w:rsidRDefault="005C4F55" w:rsidP="00BF7428">
      <w:pPr>
        <w:rPr>
          <w:rFonts w:ascii="Times New Roman" w:hAnsi="Times New Roman" w:cs="Times New Roman"/>
          <w:sz w:val="24"/>
          <w:szCs w:val="20"/>
        </w:rPr>
      </w:pPr>
      <w:r w:rsidRPr="00224B80">
        <w:rPr>
          <w:rFonts w:ascii="Times New Roman" w:hAnsi="Times New Roman" w:cs="Times New Roman"/>
          <w:sz w:val="24"/>
          <w:szCs w:val="20"/>
        </w:rPr>
        <w:t xml:space="preserve">Scholars have long debated whether ownership </w:t>
      </w:r>
      <w:r w:rsidR="004B3DFD">
        <w:rPr>
          <w:rFonts w:ascii="Times New Roman" w:hAnsi="Times New Roman" w:cs="Times New Roman"/>
          <w:sz w:val="24"/>
          <w:szCs w:val="20"/>
        </w:rPr>
        <w:t xml:space="preserve">structure </w:t>
      </w:r>
      <w:r w:rsidRPr="00224B80">
        <w:rPr>
          <w:rFonts w:ascii="Times New Roman" w:hAnsi="Times New Roman" w:cs="Times New Roman"/>
          <w:sz w:val="24"/>
          <w:szCs w:val="20"/>
        </w:rPr>
        <w:t xml:space="preserve">matters for </w:t>
      </w:r>
      <w:r w:rsidR="003B3C03" w:rsidRPr="00224B80">
        <w:rPr>
          <w:rFonts w:ascii="Times New Roman" w:hAnsi="Times New Roman" w:cs="Times New Roman"/>
          <w:sz w:val="24"/>
          <w:szCs w:val="20"/>
        </w:rPr>
        <w:t xml:space="preserve">firm </w:t>
      </w:r>
      <w:r w:rsidRPr="00224B80">
        <w:rPr>
          <w:rFonts w:ascii="Times New Roman" w:hAnsi="Times New Roman" w:cs="Times New Roman"/>
          <w:sz w:val="24"/>
          <w:szCs w:val="20"/>
        </w:rPr>
        <w:t xml:space="preserve">performance. The standard view </w:t>
      </w:r>
      <w:r w:rsidR="004B3DFD">
        <w:rPr>
          <w:rFonts w:ascii="Times New Roman" w:hAnsi="Times New Roman" w:cs="Times New Roman"/>
          <w:sz w:val="24"/>
          <w:szCs w:val="20"/>
        </w:rPr>
        <w:t xml:space="preserve">with respect to </w:t>
      </w:r>
      <w:r w:rsidRPr="00224B80">
        <w:rPr>
          <w:rFonts w:ascii="Times New Roman" w:hAnsi="Times New Roman" w:cs="Times New Roman"/>
          <w:sz w:val="24"/>
          <w:szCs w:val="20"/>
        </w:rPr>
        <w:t xml:space="preserve">Victorian Britain is that family-controlled companies had a detrimental effect on </w:t>
      </w:r>
      <w:r w:rsidR="000D5138" w:rsidRPr="000D5138">
        <w:rPr>
          <w:rFonts w:ascii="Times New Roman" w:hAnsi="Times New Roman" w:cs="Times New Roman"/>
          <w:sz w:val="24"/>
          <w:szCs w:val="20"/>
        </w:rPr>
        <w:t>operating profit and shareholder value</w:t>
      </w:r>
      <w:r w:rsidRPr="00224B80">
        <w:rPr>
          <w:rFonts w:ascii="Times New Roman" w:hAnsi="Times New Roman" w:cs="Times New Roman"/>
          <w:sz w:val="24"/>
          <w:szCs w:val="20"/>
        </w:rPr>
        <w:t>.</w:t>
      </w:r>
      <w:r w:rsidR="00375C35">
        <w:rPr>
          <w:rFonts w:ascii="Times New Roman" w:hAnsi="Times New Roman" w:cs="Times New Roman"/>
          <w:sz w:val="24"/>
          <w:szCs w:val="20"/>
        </w:rPr>
        <w:t xml:space="preserve"> Here</w:t>
      </w:r>
      <w:r w:rsidRPr="00224B80">
        <w:rPr>
          <w:rFonts w:ascii="Times New Roman" w:hAnsi="Times New Roman" w:cs="Times New Roman"/>
          <w:sz w:val="24"/>
          <w:szCs w:val="20"/>
        </w:rPr>
        <w:t xml:space="preserve">, we </w:t>
      </w:r>
      <w:r w:rsidR="003B3C03" w:rsidRPr="00224B80">
        <w:rPr>
          <w:rFonts w:ascii="Times New Roman" w:hAnsi="Times New Roman" w:cs="Times New Roman"/>
          <w:sz w:val="24"/>
          <w:szCs w:val="20"/>
        </w:rPr>
        <w:t>examine</w:t>
      </w:r>
      <w:r w:rsidRPr="00224B80">
        <w:rPr>
          <w:rFonts w:ascii="Times New Roman" w:hAnsi="Times New Roman" w:cs="Times New Roman"/>
          <w:sz w:val="24"/>
          <w:szCs w:val="20"/>
        </w:rPr>
        <w:t xml:space="preserve"> this view using </w:t>
      </w:r>
      <w:r w:rsidR="00BF7428" w:rsidRPr="00224B80">
        <w:rPr>
          <w:rFonts w:ascii="Times New Roman" w:hAnsi="Times New Roman" w:cs="Times New Roman"/>
          <w:sz w:val="24"/>
          <w:szCs w:val="20"/>
        </w:rPr>
        <w:t>a hand-collected corporate ownership dataset</w:t>
      </w:r>
      <w:r w:rsidRPr="00224B80">
        <w:rPr>
          <w:rFonts w:ascii="Times New Roman" w:hAnsi="Times New Roman" w:cs="Times New Roman"/>
          <w:sz w:val="24"/>
          <w:szCs w:val="20"/>
        </w:rPr>
        <w:t>.</w:t>
      </w:r>
      <w:r w:rsidR="00BF7428" w:rsidRPr="00224B80">
        <w:rPr>
          <w:rFonts w:ascii="Times New Roman" w:hAnsi="Times New Roman" w:cs="Times New Roman"/>
          <w:sz w:val="24"/>
          <w:szCs w:val="20"/>
        </w:rPr>
        <w:t xml:space="preserve"> </w:t>
      </w:r>
      <w:r w:rsidR="008664C0" w:rsidRPr="00224B80">
        <w:rPr>
          <w:rFonts w:ascii="Times New Roman" w:hAnsi="Times New Roman" w:cs="Times New Roman"/>
          <w:sz w:val="24"/>
          <w:szCs w:val="20"/>
        </w:rPr>
        <w:t>Our main finding</w:t>
      </w:r>
      <w:r w:rsidR="00BF7428" w:rsidRPr="00224B80">
        <w:rPr>
          <w:rFonts w:ascii="Times New Roman" w:hAnsi="Times New Roman" w:cs="Times New Roman"/>
          <w:sz w:val="24"/>
          <w:szCs w:val="20"/>
        </w:rPr>
        <w:t xml:space="preserve"> </w:t>
      </w:r>
      <w:r w:rsidR="008664C0" w:rsidRPr="00224B80">
        <w:rPr>
          <w:rFonts w:ascii="Times New Roman" w:hAnsi="Times New Roman" w:cs="Times New Roman"/>
          <w:sz w:val="24"/>
          <w:szCs w:val="20"/>
        </w:rPr>
        <w:t>is</w:t>
      </w:r>
      <w:r w:rsidR="003B3C03" w:rsidRPr="00224B80">
        <w:rPr>
          <w:rFonts w:ascii="Times New Roman" w:hAnsi="Times New Roman" w:cs="Times New Roman"/>
          <w:sz w:val="24"/>
          <w:szCs w:val="20"/>
        </w:rPr>
        <w:t xml:space="preserve"> that it wa</w:t>
      </w:r>
      <w:r w:rsidR="00BF7428" w:rsidRPr="00224B80">
        <w:rPr>
          <w:rFonts w:ascii="Times New Roman" w:hAnsi="Times New Roman" w:cs="Times New Roman"/>
          <w:sz w:val="24"/>
          <w:szCs w:val="20"/>
        </w:rPr>
        <w:t xml:space="preserve">s not </w:t>
      </w:r>
      <w:r w:rsidR="003B3C03" w:rsidRPr="00224B80">
        <w:rPr>
          <w:rFonts w:ascii="Times New Roman" w:hAnsi="Times New Roman" w:cs="Times New Roman"/>
          <w:sz w:val="24"/>
          <w:szCs w:val="20"/>
        </w:rPr>
        <w:t xml:space="preserve">necessarily </w:t>
      </w:r>
      <w:r w:rsidR="00BF7428" w:rsidRPr="00224B80">
        <w:rPr>
          <w:rFonts w:ascii="Times New Roman" w:hAnsi="Times New Roman" w:cs="Times New Roman"/>
          <w:sz w:val="24"/>
          <w:szCs w:val="20"/>
        </w:rPr>
        <w:t>the broad structure of c</w:t>
      </w:r>
      <w:r w:rsidRPr="00224B80">
        <w:rPr>
          <w:rFonts w:ascii="Times New Roman" w:hAnsi="Times New Roman" w:cs="Times New Roman"/>
          <w:sz w:val="24"/>
          <w:szCs w:val="20"/>
        </w:rPr>
        <w:t xml:space="preserve">orporate ownership </w:t>
      </w:r>
      <w:r w:rsidR="00375C35">
        <w:rPr>
          <w:rFonts w:ascii="Times New Roman" w:hAnsi="Times New Roman" w:cs="Times New Roman"/>
          <w:sz w:val="24"/>
          <w:szCs w:val="20"/>
        </w:rPr>
        <w:t xml:space="preserve">that </w:t>
      </w:r>
      <w:r w:rsidRPr="00224B80">
        <w:rPr>
          <w:rFonts w:ascii="Times New Roman" w:hAnsi="Times New Roman" w:cs="Times New Roman"/>
          <w:sz w:val="24"/>
          <w:szCs w:val="20"/>
        </w:rPr>
        <w:t>mattered</w:t>
      </w:r>
      <w:r w:rsidR="00BF7428" w:rsidRPr="00224B80">
        <w:rPr>
          <w:rFonts w:ascii="Times New Roman" w:hAnsi="Times New Roman" w:cs="Times New Roman"/>
          <w:sz w:val="24"/>
          <w:szCs w:val="20"/>
        </w:rPr>
        <w:t xml:space="preserve"> for performanc</w:t>
      </w:r>
      <w:r w:rsidRPr="00224B80">
        <w:rPr>
          <w:rFonts w:ascii="Times New Roman" w:hAnsi="Times New Roman" w:cs="Times New Roman"/>
          <w:sz w:val="24"/>
          <w:szCs w:val="20"/>
        </w:rPr>
        <w:t xml:space="preserve">e, but whether </w:t>
      </w:r>
      <w:r w:rsidR="00737B80" w:rsidRPr="00224B80">
        <w:rPr>
          <w:rFonts w:ascii="Times New Roman" w:hAnsi="Times New Roman" w:cs="Times New Roman"/>
          <w:sz w:val="24"/>
          <w:szCs w:val="20"/>
        </w:rPr>
        <w:t xml:space="preserve">family </w:t>
      </w:r>
      <w:proofErr w:type="spellStart"/>
      <w:r w:rsidRPr="00224B80">
        <w:rPr>
          <w:rFonts w:ascii="Times New Roman" w:hAnsi="Times New Roman" w:cs="Times New Roman"/>
          <w:sz w:val="24"/>
          <w:szCs w:val="20"/>
        </w:rPr>
        <w:t>blockholders</w:t>
      </w:r>
      <w:proofErr w:type="spellEnd"/>
      <w:r w:rsidRPr="00224B80">
        <w:rPr>
          <w:rFonts w:ascii="Times New Roman" w:hAnsi="Times New Roman" w:cs="Times New Roman"/>
          <w:sz w:val="24"/>
          <w:szCs w:val="20"/>
        </w:rPr>
        <w:t xml:space="preserve"> had</w:t>
      </w:r>
      <w:r w:rsidR="00BF7428" w:rsidRPr="00224B80">
        <w:rPr>
          <w:rFonts w:ascii="Times New Roman" w:hAnsi="Times New Roman" w:cs="Times New Roman"/>
          <w:sz w:val="24"/>
          <w:szCs w:val="20"/>
        </w:rPr>
        <w:t xml:space="preserve"> a governance role. </w:t>
      </w:r>
      <w:r w:rsidR="00AC6393" w:rsidRPr="00224B80">
        <w:rPr>
          <w:rFonts w:ascii="Times New Roman" w:hAnsi="Times New Roman" w:cs="Times New Roman"/>
          <w:color w:val="000000"/>
          <w:sz w:val="24"/>
          <w:szCs w:val="20"/>
        </w:rPr>
        <w:t xml:space="preserve">Large active </w:t>
      </w:r>
      <w:proofErr w:type="spellStart"/>
      <w:r w:rsidR="00722A04" w:rsidRPr="00224B80">
        <w:rPr>
          <w:rFonts w:ascii="Times New Roman" w:hAnsi="Times New Roman" w:cs="Times New Roman"/>
          <w:color w:val="000000"/>
          <w:sz w:val="24"/>
          <w:szCs w:val="20"/>
        </w:rPr>
        <w:t>blockholders</w:t>
      </w:r>
      <w:proofErr w:type="spellEnd"/>
      <w:r w:rsidR="00AC6393" w:rsidRPr="00224B80">
        <w:rPr>
          <w:rFonts w:ascii="Times New Roman" w:hAnsi="Times New Roman" w:cs="Times New Roman"/>
          <w:color w:val="000000"/>
          <w:sz w:val="24"/>
          <w:szCs w:val="20"/>
        </w:rPr>
        <w:t xml:space="preserve"> tend</w:t>
      </w:r>
      <w:r w:rsidRPr="00224B80">
        <w:rPr>
          <w:rFonts w:ascii="Times New Roman" w:hAnsi="Times New Roman" w:cs="Times New Roman"/>
          <w:color w:val="000000"/>
          <w:sz w:val="24"/>
          <w:szCs w:val="20"/>
        </w:rPr>
        <w:t>ed</w:t>
      </w:r>
      <w:r w:rsidR="00AC6393" w:rsidRPr="00224B80">
        <w:rPr>
          <w:rFonts w:ascii="Times New Roman" w:hAnsi="Times New Roman" w:cs="Times New Roman"/>
          <w:color w:val="000000"/>
          <w:sz w:val="24"/>
          <w:szCs w:val="20"/>
        </w:rPr>
        <w:t xml:space="preserve"> to increase operating </w:t>
      </w:r>
      <w:r w:rsidR="00AC6393" w:rsidRPr="001344F0">
        <w:rPr>
          <w:rFonts w:ascii="Times New Roman" w:hAnsi="Times New Roman" w:cs="Times New Roman"/>
          <w:color w:val="000000"/>
          <w:sz w:val="24"/>
          <w:szCs w:val="20"/>
        </w:rPr>
        <w:t>performance, implying that they reduce</w:t>
      </w:r>
      <w:r w:rsidRPr="001344F0">
        <w:rPr>
          <w:rFonts w:ascii="Times New Roman" w:hAnsi="Times New Roman" w:cs="Times New Roman"/>
          <w:color w:val="000000"/>
          <w:sz w:val="24"/>
          <w:szCs w:val="20"/>
        </w:rPr>
        <w:t>d</w:t>
      </w:r>
      <w:r w:rsidR="00AC6393" w:rsidRPr="001344F0">
        <w:rPr>
          <w:rFonts w:ascii="Times New Roman" w:hAnsi="Times New Roman" w:cs="Times New Roman"/>
          <w:color w:val="000000"/>
          <w:sz w:val="24"/>
          <w:szCs w:val="20"/>
        </w:rPr>
        <w:t xml:space="preserve"> managerial </w:t>
      </w:r>
      <w:r w:rsidR="00EA2A8D">
        <w:rPr>
          <w:rFonts w:ascii="Times New Roman" w:hAnsi="Times New Roman" w:cs="Times New Roman"/>
          <w:color w:val="000000"/>
          <w:sz w:val="24"/>
          <w:szCs w:val="20"/>
        </w:rPr>
        <w:t>agency problems</w:t>
      </w:r>
      <w:r w:rsidR="00AC6393" w:rsidRPr="001344F0">
        <w:rPr>
          <w:rFonts w:ascii="Times New Roman" w:hAnsi="Times New Roman" w:cs="Times New Roman"/>
          <w:color w:val="000000"/>
          <w:sz w:val="24"/>
          <w:szCs w:val="20"/>
        </w:rPr>
        <w:t xml:space="preserve">. </w:t>
      </w:r>
      <w:r w:rsidR="00375C35" w:rsidRPr="001344F0">
        <w:rPr>
          <w:rFonts w:ascii="Times New Roman" w:hAnsi="Times New Roman" w:cs="Times New Roman"/>
          <w:color w:val="000000"/>
          <w:sz w:val="24"/>
          <w:szCs w:val="20"/>
        </w:rPr>
        <w:t xml:space="preserve"> In contrast</w:t>
      </w:r>
      <w:r w:rsidR="00224B80" w:rsidRPr="001344F0">
        <w:rPr>
          <w:rFonts w:ascii="Times New Roman" w:hAnsi="Times New Roman" w:cs="Times New Roman"/>
          <w:color w:val="000000"/>
          <w:sz w:val="24"/>
          <w:szCs w:val="20"/>
        </w:rPr>
        <w:t>,</w:t>
      </w:r>
      <w:r w:rsidR="002B053A" w:rsidRPr="001344F0">
        <w:rPr>
          <w:rFonts w:ascii="Times New Roman" w:hAnsi="Times New Roman" w:cs="Times New Roman"/>
          <w:color w:val="000000"/>
          <w:sz w:val="24"/>
          <w:szCs w:val="20"/>
        </w:rPr>
        <w:t xml:space="preserve"> we</w:t>
      </w:r>
      <w:r w:rsidR="003B3C03" w:rsidRPr="001344F0">
        <w:rPr>
          <w:rFonts w:ascii="Times New Roman" w:hAnsi="Times New Roman" w:cs="Times New Roman"/>
          <w:color w:val="000000"/>
          <w:sz w:val="24"/>
          <w:szCs w:val="20"/>
        </w:rPr>
        <w:t xml:space="preserve"> find that</w:t>
      </w:r>
      <w:r w:rsidR="003B3C03" w:rsidRPr="00224B80">
        <w:rPr>
          <w:rFonts w:ascii="Times New Roman" w:hAnsi="Times New Roman" w:cs="Times New Roman"/>
          <w:color w:val="000000"/>
          <w:sz w:val="24"/>
          <w:szCs w:val="20"/>
        </w:rPr>
        <w:t xml:space="preserve"> </w:t>
      </w:r>
      <w:r w:rsidR="002B053A" w:rsidRPr="001344F0">
        <w:rPr>
          <w:rFonts w:ascii="Times New Roman" w:hAnsi="Times New Roman" w:cs="Times New Roman"/>
          <w:color w:val="000000"/>
          <w:sz w:val="24"/>
          <w:szCs w:val="20"/>
        </w:rPr>
        <w:t>directors</w:t>
      </w:r>
      <w:r w:rsidR="002B053A" w:rsidRPr="00224B80">
        <w:rPr>
          <w:rFonts w:ascii="Times New Roman" w:hAnsi="Times New Roman" w:cs="Times New Roman"/>
          <w:color w:val="000000"/>
          <w:sz w:val="24"/>
          <w:szCs w:val="20"/>
        </w:rPr>
        <w:t xml:space="preserve"> </w:t>
      </w:r>
      <w:r w:rsidR="00A13286">
        <w:rPr>
          <w:rFonts w:ascii="Times New Roman" w:hAnsi="Times New Roman" w:cs="Times New Roman"/>
          <w:color w:val="000000"/>
          <w:sz w:val="24"/>
          <w:szCs w:val="20"/>
        </w:rPr>
        <w:t>who</w:t>
      </w:r>
      <w:r w:rsidRPr="00224B80">
        <w:rPr>
          <w:rFonts w:ascii="Times New Roman" w:hAnsi="Times New Roman" w:cs="Times New Roman"/>
          <w:color w:val="000000"/>
          <w:sz w:val="24"/>
          <w:szCs w:val="20"/>
        </w:rPr>
        <w:t xml:space="preserve"> we</w:t>
      </w:r>
      <w:r w:rsidR="00AC6393" w:rsidRPr="00224B80">
        <w:rPr>
          <w:rFonts w:ascii="Times New Roman" w:hAnsi="Times New Roman" w:cs="Times New Roman"/>
          <w:color w:val="000000"/>
          <w:sz w:val="24"/>
          <w:szCs w:val="20"/>
        </w:rPr>
        <w:t>re independent of large</w:t>
      </w:r>
      <w:r w:rsidR="00EA2A8D">
        <w:rPr>
          <w:rFonts w:ascii="Times New Roman" w:hAnsi="Times New Roman" w:cs="Times New Roman"/>
          <w:color w:val="000000"/>
          <w:sz w:val="24"/>
          <w:szCs w:val="20"/>
        </w:rPr>
        <w:t xml:space="preserve"> family</w:t>
      </w:r>
      <w:r w:rsidR="00AC6393" w:rsidRPr="00224B80">
        <w:rPr>
          <w:rFonts w:ascii="Times New Roman" w:hAnsi="Times New Roman" w:cs="Times New Roman"/>
          <w:color w:val="000000"/>
          <w:sz w:val="24"/>
          <w:szCs w:val="20"/>
        </w:rPr>
        <w:t xml:space="preserve"> owners</w:t>
      </w:r>
      <w:r w:rsidRPr="00224B80">
        <w:rPr>
          <w:rFonts w:ascii="Times New Roman" w:hAnsi="Times New Roman" w:cs="Times New Roman"/>
          <w:color w:val="000000"/>
          <w:sz w:val="24"/>
          <w:szCs w:val="20"/>
        </w:rPr>
        <w:t xml:space="preserve"> we</w:t>
      </w:r>
      <w:r w:rsidR="00522F90" w:rsidRPr="00224B80">
        <w:rPr>
          <w:rFonts w:ascii="Times New Roman" w:hAnsi="Times New Roman" w:cs="Times New Roman"/>
          <w:color w:val="000000"/>
          <w:sz w:val="24"/>
          <w:szCs w:val="20"/>
        </w:rPr>
        <w:t>re more likely to</w:t>
      </w:r>
      <w:r w:rsidR="00AC6393" w:rsidRPr="00224B80">
        <w:rPr>
          <w:rFonts w:ascii="Times New Roman" w:hAnsi="Times New Roman" w:cs="Times New Roman"/>
          <w:color w:val="000000"/>
          <w:sz w:val="24"/>
          <w:szCs w:val="20"/>
        </w:rPr>
        <w:t xml:space="preserve"> increase share</w:t>
      </w:r>
      <w:r w:rsidR="004270F1" w:rsidRPr="00224B80">
        <w:rPr>
          <w:rFonts w:ascii="Times New Roman" w:hAnsi="Times New Roman" w:cs="Times New Roman"/>
          <w:color w:val="000000"/>
          <w:sz w:val="24"/>
          <w:szCs w:val="20"/>
        </w:rPr>
        <w:t>holder value</w:t>
      </w:r>
      <w:r w:rsidR="00AC6393" w:rsidRPr="00224B80">
        <w:rPr>
          <w:rFonts w:ascii="Times New Roman" w:hAnsi="Times New Roman" w:cs="Times New Roman"/>
          <w:color w:val="000000"/>
          <w:sz w:val="24"/>
          <w:szCs w:val="20"/>
        </w:rPr>
        <w:t>.</w:t>
      </w:r>
      <w:r w:rsidR="00AC6393" w:rsidRPr="00224B80" w:rsidDel="00AC6393">
        <w:rPr>
          <w:rFonts w:ascii="Times New Roman" w:hAnsi="Times New Roman" w:cs="Times New Roman"/>
          <w:sz w:val="24"/>
          <w:szCs w:val="20"/>
        </w:rPr>
        <w:t xml:space="preserve"> </w:t>
      </w:r>
    </w:p>
    <w:p w14:paraId="06DB130B" w14:textId="77777777" w:rsidR="003061CC" w:rsidRPr="00BC68C4" w:rsidRDefault="003061CC" w:rsidP="00B71D16">
      <w:pPr>
        <w:spacing w:line="480" w:lineRule="auto"/>
        <w:rPr>
          <w:rFonts w:ascii="Times New Roman" w:hAnsi="Times New Roman" w:cs="Times New Roman"/>
          <w:sz w:val="24"/>
          <w:szCs w:val="24"/>
        </w:rPr>
      </w:pPr>
    </w:p>
    <w:p w14:paraId="0841B1DC" w14:textId="77777777" w:rsidR="003061CC" w:rsidRPr="00BC68C4" w:rsidRDefault="003061CC" w:rsidP="00B71D16">
      <w:pPr>
        <w:spacing w:line="480" w:lineRule="auto"/>
        <w:rPr>
          <w:rFonts w:ascii="Times New Roman" w:hAnsi="Times New Roman" w:cs="Times New Roman"/>
          <w:sz w:val="24"/>
          <w:szCs w:val="24"/>
        </w:rPr>
      </w:pPr>
    </w:p>
    <w:p w14:paraId="23F5BB98" w14:textId="7B45985C" w:rsidR="00722A04" w:rsidRPr="00BA22CD" w:rsidRDefault="00B362A5" w:rsidP="00B71D16">
      <w:pPr>
        <w:spacing w:line="480" w:lineRule="auto"/>
        <w:rPr>
          <w:rFonts w:ascii="Times New Roman" w:hAnsi="Times New Roman" w:cs="Times New Roman"/>
          <w:sz w:val="24"/>
          <w:szCs w:val="24"/>
        </w:rPr>
      </w:pPr>
      <w:r w:rsidRPr="00BA22CD">
        <w:rPr>
          <w:rFonts w:ascii="Times New Roman" w:hAnsi="Times New Roman" w:cs="Times New Roman"/>
          <w:sz w:val="24"/>
          <w:szCs w:val="24"/>
        </w:rPr>
        <w:t>JEL classification: G32, N23</w:t>
      </w:r>
    </w:p>
    <w:p w14:paraId="4C9CA4FD" w14:textId="30726922" w:rsidR="00777FEC" w:rsidRPr="00BA22CD" w:rsidRDefault="00EE1D4A" w:rsidP="00B71D16">
      <w:pPr>
        <w:spacing w:line="480" w:lineRule="auto"/>
        <w:rPr>
          <w:rFonts w:ascii="Times New Roman" w:hAnsi="Times New Roman" w:cs="Times New Roman"/>
          <w:sz w:val="24"/>
          <w:szCs w:val="24"/>
        </w:rPr>
      </w:pPr>
      <w:r w:rsidRPr="00BA22CD">
        <w:rPr>
          <w:rFonts w:ascii="Times New Roman" w:hAnsi="Times New Roman" w:cs="Times New Roman"/>
          <w:sz w:val="24"/>
          <w:szCs w:val="24"/>
        </w:rPr>
        <w:t xml:space="preserve">Keywords: Corporate ownership, Performance, </w:t>
      </w:r>
      <w:proofErr w:type="spellStart"/>
      <w:r w:rsidRPr="00BA22CD">
        <w:rPr>
          <w:rFonts w:ascii="Times New Roman" w:hAnsi="Times New Roman" w:cs="Times New Roman"/>
          <w:sz w:val="24"/>
          <w:szCs w:val="24"/>
        </w:rPr>
        <w:t>Blockholders</w:t>
      </w:r>
      <w:proofErr w:type="spellEnd"/>
      <w:r w:rsidRPr="00BA22CD">
        <w:rPr>
          <w:rFonts w:ascii="Times New Roman" w:hAnsi="Times New Roman" w:cs="Times New Roman"/>
          <w:sz w:val="24"/>
          <w:szCs w:val="24"/>
        </w:rPr>
        <w:t xml:space="preserve">, Boards of directors </w:t>
      </w:r>
    </w:p>
    <w:p w14:paraId="2B3B45CE" w14:textId="77777777" w:rsidR="00DE5D5B" w:rsidRPr="00BC68C4" w:rsidRDefault="00DE5D5B" w:rsidP="00B71D16">
      <w:pPr>
        <w:spacing w:line="480" w:lineRule="auto"/>
        <w:rPr>
          <w:rFonts w:ascii="Times New Roman" w:hAnsi="Times New Roman" w:cs="Times New Roman"/>
          <w:sz w:val="24"/>
          <w:szCs w:val="24"/>
        </w:rPr>
      </w:pPr>
    </w:p>
    <w:p w14:paraId="645924D9" w14:textId="2EE61800" w:rsidR="00E87DBF" w:rsidRPr="00DE5D5B" w:rsidRDefault="00E87DBF" w:rsidP="00DE5D5B">
      <w:pPr>
        <w:ind w:firstLine="720"/>
        <w:rPr>
          <w:rFonts w:ascii="Times New Roman" w:hAnsi="Times New Roman" w:cs="Times New Roman"/>
          <w:sz w:val="20"/>
          <w:szCs w:val="20"/>
        </w:rPr>
      </w:pPr>
      <w:r w:rsidRPr="00AE64E7">
        <w:rPr>
          <w:rFonts w:ascii="Times New Roman" w:hAnsi="Times New Roman" w:cs="Times New Roman"/>
          <w:sz w:val="20"/>
          <w:szCs w:val="20"/>
        </w:rPr>
        <w:t xml:space="preserve">Graeme G. </w:t>
      </w:r>
      <w:proofErr w:type="gramStart"/>
      <w:r w:rsidRPr="00AE64E7">
        <w:rPr>
          <w:rFonts w:ascii="Times New Roman" w:hAnsi="Times New Roman" w:cs="Times New Roman"/>
          <w:sz w:val="20"/>
          <w:szCs w:val="20"/>
        </w:rPr>
        <w:t>Acheson</w:t>
      </w:r>
      <w:r w:rsidRPr="00AE64E7">
        <w:rPr>
          <w:rFonts w:ascii="Times New Roman" w:hAnsi="Times New Roman" w:cs="Times New Roman"/>
          <w:sz w:val="20"/>
          <w:szCs w:val="20"/>
          <w:vertAlign w:val="superscript"/>
        </w:rPr>
        <w:t xml:space="preserve"> </w:t>
      </w:r>
      <w:r w:rsidRPr="00AE64E7">
        <w:rPr>
          <w:rFonts w:ascii="Times New Roman" w:hAnsi="Times New Roman" w:cs="Times New Roman"/>
          <w:sz w:val="20"/>
          <w:szCs w:val="20"/>
        </w:rPr>
        <w:t xml:space="preserve"> is</w:t>
      </w:r>
      <w:proofErr w:type="gramEnd"/>
      <w:r w:rsidRPr="00AE64E7">
        <w:rPr>
          <w:rFonts w:ascii="Times New Roman" w:hAnsi="Times New Roman" w:cs="Times New Roman"/>
          <w:sz w:val="20"/>
          <w:szCs w:val="20"/>
        </w:rPr>
        <w:t xml:space="preserve"> Professor of Finance, University of Stirling, Stirling Management School</w:t>
      </w:r>
      <w:r w:rsidR="00DE5D5B">
        <w:rPr>
          <w:rFonts w:ascii="Times New Roman" w:hAnsi="Times New Roman" w:cs="Times New Roman"/>
          <w:sz w:val="20"/>
          <w:szCs w:val="20"/>
        </w:rPr>
        <w:t xml:space="preserve">, </w:t>
      </w:r>
      <w:r w:rsidR="00AE64E7" w:rsidRPr="00AE64E7">
        <w:rPr>
          <w:rFonts w:ascii="Times New Roman" w:hAnsi="Times New Roman" w:cs="Times New Roman"/>
          <w:sz w:val="20"/>
          <w:szCs w:val="20"/>
        </w:rPr>
        <w:t>Stirling</w:t>
      </w:r>
      <w:r w:rsidR="008D0D1D">
        <w:rPr>
          <w:rFonts w:ascii="Times New Roman" w:hAnsi="Times New Roman" w:cs="Times New Roman"/>
          <w:sz w:val="20"/>
          <w:szCs w:val="20"/>
        </w:rPr>
        <w:t>,</w:t>
      </w:r>
      <w:r w:rsidR="00AE64E7" w:rsidRPr="00AE64E7">
        <w:rPr>
          <w:rFonts w:ascii="Times New Roman" w:hAnsi="Times New Roman" w:cs="Times New Roman"/>
          <w:sz w:val="20"/>
          <w:szCs w:val="20"/>
        </w:rPr>
        <w:t xml:space="preserve"> FK9 4LA</w:t>
      </w:r>
      <w:r w:rsidR="00DE5D5B">
        <w:rPr>
          <w:rFonts w:ascii="Times New Roman" w:hAnsi="Times New Roman" w:cs="Times New Roman"/>
          <w:sz w:val="20"/>
          <w:szCs w:val="20"/>
        </w:rPr>
        <w:t>, Scotland</w:t>
      </w:r>
      <w:r w:rsidR="00AE64E7" w:rsidRPr="00AE64E7">
        <w:rPr>
          <w:rFonts w:ascii="Times New Roman" w:hAnsi="Times New Roman" w:cs="Times New Roman"/>
          <w:sz w:val="20"/>
          <w:szCs w:val="20"/>
        </w:rPr>
        <w:t>. E-mail</w:t>
      </w:r>
      <w:r w:rsidR="00DE5D5B">
        <w:rPr>
          <w:rFonts w:ascii="Times New Roman" w:hAnsi="Times New Roman" w:cs="Times New Roman"/>
          <w:sz w:val="20"/>
          <w:szCs w:val="20"/>
        </w:rPr>
        <w:t>:</w:t>
      </w:r>
      <w:r w:rsidR="00AE64E7" w:rsidRPr="00AE64E7">
        <w:rPr>
          <w:rFonts w:ascii="Times New Roman" w:hAnsi="Times New Roman" w:cs="Times New Roman"/>
          <w:sz w:val="20"/>
          <w:szCs w:val="20"/>
        </w:rPr>
        <w:t xml:space="preserve"> </w:t>
      </w:r>
      <w:r w:rsidR="00815A2F">
        <w:rPr>
          <w:rFonts w:ascii="Times New Roman" w:hAnsi="Times New Roman" w:cs="Times New Roman"/>
          <w:sz w:val="20"/>
          <w:szCs w:val="20"/>
        </w:rPr>
        <w:t>g</w:t>
      </w:r>
      <w:r w:rsidR="00AE64E7" w:rsidRPr="00AE64E7">
        <w:rPr>
          <w:rFonts w:ascii="Times New Roman" w:hAnsi="Times New Roman" w:cs="Times New Roman"/>
          <w:sz w:val="20"/>
          <w:szCs w:val="20"/>
        </w:rPr>
        <w:t>raeme.acheson@stir.ac.uk.</w:t>
      </w:r>
      <w:r w:rsidR="00DE5D5B">
        <w:rPr>
          <w:rFonts w:ascii="Times New Roman" w:hAnsi="Times New Roman" w:cs="Times New Roman"/>
          <w:sz w:val="20"/>
          <w:szCs w:val="20"/>
        </w:rPr>
        <w:t xml:space="preserve"> </w:t>
      </w:r>
      <w:r w:rsidRPr="00AE64E7">
        <w:rPr>
          <w:rFonts w:ascii="Times New Roman" w:hAnsi="Times New Roman" w:cs="Times New Roman"/>
          <w:sz w:val="20"/>
          <w:szCs w:val="20"/>
        </w:rPr>
        <w:t>Gareth Campbell</w:t>
      </w:r>
      <w:r w:rsidRPr="00AE64E7">
        <w:rPr>
          <w:rFonts w:ascii="Times New Roman" w:hAnsi="Times New Roman" w:cs="Times New Roman"/>
          <w:sz w:val="20"/>
          <w:szCs w:val="20"/>
          <w:vertAlign w:val="superscript"/>
        </w:rPr>
        <w:t xml:space="preserve"> </w:t>
      </w:r>
      <w:r w:rsidRPr="00AE64E7">
        <w:rPr>
          <w:rFonts w:ascii="Times New Roman" w:hAnsi="Times New Roman" w:cs="Times New Roman"/>
          <w:sz w:val="20"/>
          <w:szCs w:val="20"/>
        </w:rPr>
        <w:t>is Lecturer in Finance, Queen’s University Belfast, Queen’s</w:t>
      </w:r>
      <w:r w:rsidR="00682E5D">
        <w:rPr>
          <w:rFonts w:ascii="Times New Roman" w:hAnsi="Times New Roman" w:cs="Times New Roman"/>
          <w:sz w:val="20"/>
          <w:szCs w:val="20"/>
        </w:rPr>
        <w:t xml:space="preserve"> </w:t>
      </w:r>
      <w:r w:rsidRPr="00AE64E7">
        <w:rPr>
          <w:rFonts w:ascii="Times New Roman" w:hAnsi="Times New Roman" w:cs="Times New Roman"/>
          <w:sz w:val="20"/>
          <w:szCs w:val="20"/>
        </w:rPr>
        <w:t>Management School</w:t>
      </w:r>
      <w:r w:rsidR="00AE64E7" w:rsidRPr="00AE64E7">
        <w:rPr>
          <w:rFonts w:ascii="Times New Roman" w:hAnsi="Times New Roman" w:cs="Times New Roman"/>
          <w:sz w:val="20"/>
          <w:szCs w:val="20"/>
        </w:rPr>
        <w:t xml:space="preserve">, </w:t>
      </w:r>
      <w:proofErr w:type="gramStart"/>
      <w:r w:rsidR="00AE64E7" w:rsidRPr="00AE64E7">
        <w:rPr>
          <w:rFonts w:ascii="Times New Roman" w:hAnsi="Times New Roman" w:cs="Times New Roman"/>
          <w:sz w:val="20"/>
          <w:szCs w:val="20"/>
        </w:rPr>
        <w:t>Belfast</w:t>
      </w:r>
      <w:proofErr w:type="gramEnd"/>
      <w:r w:rsidR="008D0D1D">
        <w:rPr>
          <w:rFonts w:ascii="Times New Roman" w:hAnsi="Times New Roman" w:cs="Times New Roman"/>
          <w:sz w:val="20"/>
          <w:szCs w:val="20"/>
        </w:rPr>
        <w:t>,</w:t>
      </w:r>
      <w:r w:rsidR="00AE64E7" w:rsidRPr="00AE64E7">
        <w:rPr>
          <w:rFonts w:ascii="Times New Roman" w:hAnsi="Times New Roman" w:cs="Times New Roman"/>
          <w:sz w:val="20"/>
          <w:szCs w:val="20"/>
        </w:rPr>
        <w:t xml:space="preserve"> BT7 1NN</w:t>
      </w:r>
      <w:r w:rsidR="00DE5D5B">
        <w:rPr>
          <w:rFonts w:ascii="Times New Roman" w:hAnsi="Times New Roman" w:cs="Times New Roman"/>
          <w:sz w:val="20"/>
          <w:szCs w:val="20"/>
        </w:rPr>
        <w:t>, N. Ireland</w:t>
      </w:r>
      <w:r w:rsidR="00AE64E7" w:rsidRPr="00AE64E7">
        <w:rPr>
          <w:rFonts w:ascii="Times New Roman" w:hAnsi="Times New Roman" w:cs="Times New Roman"/>
          <w:sz w:val="20"/>
          <w:szCs w:val="20"/>
        </w:rPr>
        <w:t>.  E-mail</w:t>
      </w:r>
      <w:r w:rsidR="00DE5D5B">
        <w:rPr>
          <w:rFonts w:ascii="Times New Roman" w:hAnsi="Times New Roman" w:cs="Times New Roman"/>
          <w:sz w:val="20"/>
          <w:szCs w:val="20"/>
        </w:rPr>
        <w:t>:</w:t>
      </w:r>
      <w:r w:rsidR="00AE64E7" w:rsidRPr="00AE64E7">
        <w:rPr>
          <w:rFonts w:ascii="Times New Roman" w:hAnsi="Times New Roman" w:cs="Times New Roman"/>
          <w:sz w:val="20"/>
          <w:szCs w:val="20"/>
        </w:rPr>
        <w:t xml:space="preserve"> gareth.campbell@qub.ac.uk.</w:t>
      </w:r>
      <w:r w:rsidR="00DE5D5B">
        <w:rPr>
          <w:rFonts w:ascii="Times New Roman" w:hAnsi="Times New Roman" w:cs="Times New Roman"/>
          <w:sz w:val="20"/>
          <w:szCs w:val="20"/>
        </w:rPr>
        <w:t xml:space="preserve"> </w:t>
      </w:r>
      <w:r w:rsidRPr="00AE64E7">
        <w:rPr>
          <w:rFonts w:ascii="Times New Roman" w:hAnsi="Times New Roman" w:cs="Times New Roman"/>
          <w:sz w:val="20"/>
          <w:szCs w:val="20"/>
        </w:rPr>
        <w:t>John D. Turner is Professor of Finance</w:t>
      </w:r>
      <w:r w:rsidR="00682E5D">
        <w:rPr>
          <w:rFonts w:ascii="Times New Roman" w:hAnsi="Times New Roman" w:cs="Times New Roman"/>
          <w:sz w:val="20"/>
          <w:szCs w:val="20"/>
        </w:rPr>
        <w:t xml:space="preserve"> and Financial History</w:t>
      </w:r>
      <w:r w:rsidRPr="00AE64E7">
        <w:rPr>
          <w:rFonts w:ascii="Times New Roman" w:hAnsi="Times New Roman" w:cs="Times New Roman"/>
          <w:sz w:val="20"/>
          <w:szCs w:val="20"/>
        </w:rPr>
        <w:t>, Queen’s University Belfast, Queen’s Management School</w:t>
      </w:r>
      <w:r w:rsidR="00DE5D5B">
        <w:rPr>
          <w:rFonts w:ascii="Times New Roman" w:hAnsi="Times New Roman" w:cs="Times New Roman"/>
          <w:sz w:val="20"/>
          <w:szCs w:val="20"/>
        </w:rPr>
        <w:t xml:space="preserve">, </w:t>
      </w:r>
      <w:r w:rsidR="00AE64E7" w:rsidRPr="00AE64E7">
        <w:rPr>
          <w:rFonts w:ascii="Times New Roman" w:hAnsi="Times New Roman" w:cs="Times New Roman"/>
          <w:sz w:val="20"/>
          <w:szCs w:val="20"/>
        </w:rPr>
        <w:t>Belfast</w:t>
      </w:r>
      <w:r w:rsidR="008D0D1D">
        <w:rPr>
          <w:rFonts w:ascii="Times New Roman" w:hAnsi="Times New Roman" w:cs="Times New Roman"/>
          <w:sz w:val="20"/>
          <w:szCs w:val="20"/>
        </w:rPr>
        <w:t>,</w:t>
      </w:r>
      <w:r w:rsidR="00AE64E7" w:rsidRPr="00AE64E7">
        <w:rPr>
          <w:rFonts w:ascii="Times New Roman" w:hAnsi="Times New Roman" w:cs="Times New Roman"/>
          <w:sz w:val="20"/>
          <w:szCs w:val="20"/>
        </w:rPr>
        <w:t xml:space="preserve"> BT7 1NN</w:t>
      </w:r>
      <w:r w:rsidR="00DE5D5B">
        <w:rPr>
          <w:rFonts w:ascii="Times New Roman" w:hAnsi="Times New Roman" w:cs="Times New Roman"/>
          <w:sz w:val="20"/>
          <w:szCs w:val="20"/>
        </w:rPr>
        <w:t>, N. Ireland</w:t>
      </w:r>
      <w:r w:rsidR="00AE64E7" w:rsidRPr="00AE64E7">
        <w:rPr>
          <w:rFonts w:ascii="Times New Roman" w:hAnsi="Times New Roman" w:cs="Times New Roman"/>
          <w:sz w:val="20"/>
          <w:szCs w:val="20"/>
        </w:rPr>
        <w:t>. E-mail</w:t>
      </w:r>
      <w:r w:rsidR="00DE5D5B">
        <w:rPr>
          <w:rFonts w:ascii="Times New Roman" w:hAnsi="Times New Roman" w:cs="Times New Roman"/>
          <w:sz w:val="20"/>
          <w:szCs w:val="20"/>
        </w:rPr>
        <w:t>:</w:t>
      </w:r>
      <w:r w:rsidR="00AE64E7" w:rsidRPr="00AE64E7">
        <w:rPr>
          <w:rFonts w:ascii="Times New Roman" w:hAnsi="Times New Roman" w:cs="Times New Roman"/>
          <w:sz w:val="20"/>
          <w:szCs w:val="20"/>
        </w:rPr>
        <w:t xml:space="preserve">  j.turner@qub.ac.uk.</w:t>
      </w:r>
      <w:r w:rsidR="00DE5D5B">
        <w:rPr>
          <w:rFonts w:ascii="Times New Roman" w:hAnsi="Times New Roman" w:cs="Times New Roman"/>
          <w:sz w:val="20"/>
          <w:szCs w:val="20"/>
        </w:rPr>
        <w:t xml:space="preserve"> </w:t>
      </w:r>
      <w:r w:rsidRPr="00AE64E7">
        <w:rPr>
          <w:rFonts w:ascii="Times New Roman" w:hAnsi="Times New Roman" w:cs="Times New Roman"/>
          <w:sz w:val="20"/>
          <w:szCs w:val="20"/>
        </w:rPr>
        <w:t xml:space="preserve">Nadia Vanteeva is a Senior Lecturer in Economics, </w:t>
      </w:r>
      <w:r w:rsidR="00AE64E7" w:rsidRPr="00AE64E7">
        <w:rPr>
          <w:rFonts w:ascii="Times New Roman" w:hAnsi="Times New Roman" w:cs="Times New Roman"/>
          <w:sz w:val="20"/>
          <w:szCs w:val="20"/>
        </w:rPr>
        <w:t xml:space="preserve">University of the West of England, Bristol Business School, </w:t>
      </w:r>
      <w:proofErr w:type="gramStart"/>
      <w:r w:rsidR="00AE64E7" w:rsidRPr="00AE64E7">
        <w:rPr>
          <w:rFonts w:ascii="Times New Roman" w:hAnsi="Times New Roman" w:cs="Times New Roman"/>
          <w:sz w:val="20"/>
          <w:szCs w:val="20"/>
        </w:rPr>
        <w:t>Bristol</w:t>
      </w:r>
      <w:proofErr w:type="gramEnd"/>
      <w:r w:rsidR="008D0D1D">
        <w:rPr>
          <w:rFonts w:ascii="Times New Roman" w:hAnsi="Times New Roman" w:cs="Times New Roman"/>
          <w:sz w:val="20"/>
          <w:szCs w:val="20"/>
        </w:rPr>
        <w:t>,</w:t>
      </w:r>
      <w:r w:rsidR="00AE64E7" w:rsidRPr="00AE64E7">
        <w:rPr>
          <w:rFonts w:ascii="Times New Roman" w:hAnsi="Times New Roman" w:cs="Times New Roman"/>
          <w:sz w:val="20"/>
          <w:szCs w:val="20"/>
        </w:rPr>
        <w:t xml:space="preserve"> BS16 1QY</w:t>
      </w:r>
      <w:r w:rsidR="00DE5D5B">
        <w:rPr>
          <w:rFonts w:ascii="Times New Roman" w:hAnsi="Times New Roman" w:cs="Times New Roman"/>
          <w:sz w:val="20"/>
          <w:szCs w:val="20"/>
        </w:rPr>
        <w:t>, England</w:t>
      </w:r>
      <w:r w:rsidR="00AE64E7" w:rsidRPr="00AE64E7">
        <w:rPr>
          <w:rFonts w:ascii="Times New Roman" w:hAnsi="Times New Roman" w:cs="Times New Roman"/>
          <w:sz w:val="20"/>
          <w:szCs w:val="20"/>
        </w:rPr>
        <w:t>. E-mail</w:t>
      </w:r>
      <w:r w:rsidR="00DE5D5B">
        <w:rPr>
          <w:rFonts w:ascii="Times New Roman" w:hAnsi="Times New Roman" w:cs="Times New Roman"/>
          <w:sz w:val="20"/>
          <w:szCs w:val="20"/>
        </w:rPr>
        <w:t>:</w:t>
      </w:r>
      <w:r w:rsidR="00AE64E7" w:rsidRPr="00AE64E7">
        <w:rPr>
          <w:rFonts w:ascii="Times New Roman" w:hAnsi="Times New Roman" w:cs="Times New Roman"/>
          <w:sz w:val="20"/>
          <w:szCs w:val="20"/>
        </w:rPr>
        <w:t xml:space="preserve">  Nadia.Vanteeva@uwe.ac.uk.</w:t>
      </w:r>
    </w:p>
    <w:p w14:paraId="4C386A5A" w14:textId="0D71F7CC" w:rsidR="00E87DBF" w:rsidRPr="00CA3997" w:rsidRDefault="00E87DBF" w:rsidP="00E87DBF">
      <w:pPr>
        <w:ind w:firstLine="720"/>
        <w:rPr>
          <w:rFonts w:ascii="Times New Roman" w:hAnsi="Times New Roman" w:cs="Times New Roman"/>
          <w:sz w:val="20"/>
          <w:szCs w:val="20"/>
        </w:rPr>
      </w:pPr>
      <w:r w:rsidRPr="00CA3997">
        <w:rPr>
          <w:rFonts w:ascii="Times New Roman" w:hAnsi="Times New Roman" w:cs="Times New Roman"/>
          <w:sz w:val="20"/>
          <w:szCs w:val="20"/>
        </w:rPr>
        <w:t xml:space="preserve">Thanks to the </w:t>
      </w:r>
      <w:proofErr w:type="spellStart"/>
      <w:r w:rsidRPr="00CA3997">
        <w:rPr>
          <w:rFonts w:ascii="Times New Roman" w:hAnsi="Times New Roman" w:cs="Times New Roman"/>
          <w:sz w:val="20"/>
          <w:szCs w:val="20"/>
        </w:rPr>
        <w:t>Leverhulme</w:t>
      </w:r>
      <w:proofErr w:type="spellEnd"/>
      <w:r w:rsidRPr="00CA3997">
        <w:rPr>
          <w:rFonts w:ascii="Times New Roman" w:hAnsi="Times New Roman" w:cs="Times New Roman"/>
          <w:sz w:val="20"/>
          <w:szCs w:val="20"/>
        </w:rPr>
        <w:t xml:space="preserve"> Trust (Grant no. F/00203/Z) for financial support.  Turner also wishes to thank Geoff Jones, Walter Friedman</w:t>
      </w:r>
      <w:r>
        <w:rPr>
          <w:rFonts w:ascii="Times New Roman" w:hAnsi="Times New Roman" w:cs="Times New Roman"/>
          <w:sz w:val="20"/>
          <w:szCs w:val="20"/>
        </w:rPr>
        <w:t>,</w:t>
      </w:r>
      <w:r w:rsidRPr="00CA3997">
        <w:rPr>
          <w:rFonts w:ascii="Times New Roman" w:hAnsi="Times New Roman" w:cs="Times New Roman"/>
          <w:sz w:val="20"/>
          <w:szCs w:val="20"/>
        </w:rPr>
        <w:t xml:space="preserve"> and Harvard Business School for their hospitality at the outset of this project.  Thanks to the archivists </w:t>
      </w:r>
      <w:r>
        <w:rPr>
          <w:rFonts w:ascii="Times New Roman" w:hAnsi="Times New Roman" w:cs="Times New Roman"/>
          <w:sz w:val="20"/>
          <w:szCs w:val="20"/>
        </w:rPr>
        <w:t xml:space="preserve">at the National Archives at Kew, </w:t>
      </w:r>
      <w:r w:rsidRPr="00CA3997">
        <w:rPr>
          <w:rFonts w:ascii="Times New Roman" w:hAnsi="Times New Roman" w:cs="Times New Roman"/>
          <w:sz w:val="20"/>
          <w:szCs w:val="20"/>
        </w:rPr>
        <w:t>the National Archives of Scotland</w:t>
      </w:r>
      <w:r>
        <w:rPr>
          <w:rFonts w:ascii="Times New Roman" w:hAnsi="Times New Roman" w:cs="Times New Roman"/>
          <w:sz w:val="20"/>
          <w:szCs w:val="20"/>
        </w:rPr>
        <w:t>, and the Guildhall Library</w:t>
      </w:r>
      <w:r w:rsidRPr="00CA3997">
        <w:rPr>
          <w:rFonts w:ascii="Times New Roman" w:hAnsi="Times New Roman" w:cs="Times New Roman"/>
          <w:sz w:val="20"/>
          <w:szCs w:val="20"/>
        </w:rPr>
        <w:t xml:space="preserve"> for all their assistance.</w:t>
      </w:r>
      <w:r>
        <w:rPr>
          <w:rFonts w:ascii="Times New Roman" w:hAnsi="Times New Roman" w:cs="Times New Roman"/>
          <w:sz w:val="20"/>
          <w:szCs w:val="20"/>
        </w:rPr>
        <w:t xml:space="preserve"> Thanks to seminar participants at Queen’s University Belfast, University College Dublin, the Perth FRESH conference, and the European Business History Association conference for their comments.  </w:t>
      </w:r>
    </w:p>
    <w:p w14:paraId="63D6A4FB" w14:textId="77777777" w:rsidR="00B71D16" w:rsidRPr="00BC68C4" w:rsidRDefault="00B71D16" w:rsidP="00B71D16">
      <w:pPr>
        <w:rPr>
          <w:rFonts w:ascii="Times New Roman" w:hAnsi="Times New Roman" w:cs="Times New Roman"/>
          <w:sz w:val="24"/>
          <w:szCs w:val="24"/>
        </w:rPr>
      </w:pPr>
    </w:p>
    <w:p w14:paraId="7E562287" w14:textId="77777777" w:rsidR="00B362A5" w:rsidRPr="00BC68C4" w:rsidRDefault="00B362A5" w:rsidP="00B71D16">
      <w:pPr>
        <w:rPr>
          <w:rFonts w:ascii="Times New Roman" w:hAnsi="Times New Roman" w:cs="Times New Roman"/>
          <w:sz w:val="24"/>
          <w:szCs w:val="24"/>
        </w:rPr>
      </w:pPr>
    </w:p>
    <w:p w14:paraId="4977A342" w14:textId="77777777" w:rsidR="00B362A5" w:rsidRPr="00BC68C4" w:rsidRDefault="00B362A5" w:rsidP="00B71D16">
      <w:pPr>
        <w:rPr>
          <w:rFonts w:ascii="Times New Roman" w:hAnsi="Times New Roman" w:cs="Times New Roman"/>
          <w:sz w:val="24"/>
          <w:szCs w:val="24"/>
        </w:rPr>
      </w:pPr>
    </w:p>
    <w:p w14:paraId="337EF622" w14:textId="77777777" w:rsidR="00AC34C8" w:rsidRPr="00BC68C4" w:rsidRDefault="00AC34C8">
      <w:pPr>
        <w:spacing w:after="200" w:line="276" w:lineRule="auto"/>
        <w:jc w:val="left"/>
        <w:rPr>
          <w:rFonts w:ascii="Times New Roman" w:hAnsi="Times New Roman" w:cs="Times New Roman"/>
          <w:sz w:val="20"/>
          <w:szCs w:val="20"/>
        </w:rPr>
      </w:pPr>
      <w:r w:rsidRPr="00BC68C4">
        <w:rPr>
          <w:rFonts w:ascii="Times New Roman" w:hAnsi="Times New Roman" w:cs="Times New Roman"/>
          <w:sz w:val="20"/>
          <w:szCs w:val="20"/>
        </w:rPr>
        <w:br w:type="page"/>
      </w:r>
    </w:p>
    <w:p w14:paraId="13437F8D" w14:textId="45233A35" w:rsidR="00AB63FD" w:rsidRPr="00BC68C4" w:rsidRDefault="00AB63FD" w:rsidP="00AB63FD">
      <w:pPr>
        <w:spacing w:line="480" w:lineRule="auto"/>
        <w:rPr>
          <w:rFonts w:ascii="Times New Roman" w:hAnsi="Times New Roman" w:cs="Times New Roman"/>
          <w:sz w:val="24"/>
          <w:szCs w:val="24"/>
        </w:rPr>
      </w:pPr>
      <w:r w:rsidRPr="00BC68C4">
        <w:rPr>
          <w:rFonts w:ascii="Times New Roman" w:hAnsi="Times New Roman" w:cs="Times New Roman"/>
          <w:sz w:val="24"/>
          <w:szCs w:val="24"/>
        </w:rPr>
        <w:lastRenderedPageBreak/>
        <w:t>The</w:t>
      </w:r>
      <w:r w:rsidR="00016CB5" w:rsidRPr="00BC68C4">
        <w:rPr>
          <w:rFonts w:ascii="Times New Roman" w:hAnsi="Times New Roman" w:cs="Times New Roman"/>
          <w:sz w:val="24"/>
          <w:szCs w:val="24"/>
        </w:rPr>
        <w:t xml:space="preserve"> commonly accepted view</w:t>
      </w:r>
      <w:r w:rsidRPr="00BC68C4">
        <w:rPr>
          <w:rFonts w:ascii="Times New Roman" w:hAnsi="Times New Roman" w:cs="Times New Roman"/>
          <w:sz w:val="24"/>
          <w:szCs w:val="24"/>
        </w:rPr>
        <w:t xml:space="preserve"> amongst scholars </w:t>
      </w:r>
      <w:r w:rsidR="00016CB5" w:rsidRPr="00BC68C4">
        <w:rPr>
          <w:rFonts w:ascii="Times New Roman" w:hAnsi="Times New Roman" w:cs="Times New Roman"/>
          <w:sz w:val="24"/>
          <w:szCs w:val="24"/>
        </w:rPr>
        <w:t xml:space="preserve">is that </w:t>
      </w:r>
      <w:r w:rsidR="00412B77" w:rsidRPr="00BC68C4">
        <w:rPr>
          <w:rFonts w:ascii="Times New Roman" w:hAnsi="Times New Roman" w:cs="Times New Roman"/>
          <w:sz w:val="24"/>
          <w:szCs w:val="24"/>
        </w:rPr>
        <w:t xml:space="preserve">in the Victorian and Edwardian </w:t>
      </w:r>
      <w:proofErr w:type="gramStart"/>
      <w:r w:rsidR="00412B77" w:rsidRPr="00BC68C4">
        <w:rPr>
          <w:rFonts w:ascii="Times New Roman" w:hAnsi="Times New Roman" w:cs="Times New Roman"/>
          <w:sz w:val="24"/>
          <w:szCs w:val="24"/>
        </w:rPr>
        <w:t>eras</w:t>
      </w:r>
      <w:proofErr w:type="gramEnd"/>
      <w:r w:rsidR="00412B77" w:rsidRPr="00BC68C4">
        <w:rPr>
          <w:rFonts w:ascii="Times New Roman" w:hAnsi="Times New Roman" w:cs="Times New Roman"/>
          <w:sz w:val="24"/>
          <w:szCs w:val="24"/>
        </w:rPr>
        <w:t xml:space="preserve"> </w:t>
      </w:r>
      <w:r w:rsidR="00016CB5" w:rsidRPr="00BC68C4">
        <w:rPr>
          <w:rFonts w:ascii="Times New Roman" w:hAnsi="Times New Roman" w:cs="Times New Roman"/>
          <w:sz w:val="24"/>
          <w:szCs w:val="24"/>
        </w:rPr>
        <w:t xml:space="preserve">family control of public companies </w:t>
      </w:r>
      <w:r w:rsidR="00653CEB" w:rsidRPr="00BC68C4">
        <w:rPr>
          <w:rFonts w:ascii="Times New Roman" w:hAnsi="Times New Roman" w:cs="Times New Roman"/>
          <w:sz w:val="24"/>
          <w:szCs w:val="24"/>
        </w:rPr>
        <w:t xml:space="preserve">resulted in </w:t>
      </w:r>
      <w:r w:rsidR="00016CB5" w:rsidRPr="00BC68C4">
        <w:rPr>
          <w:rFonts w:ascii="Times New Roman" w:hAnsi="Times New Roman" w:cs="Times New Roman"/>
          <w:sz w:val="24"/>
          <w:szCs w:val="24"/>
        </w:rPr>
        <w:t>British public companies</w:t>
      </w:r>
      <w:r w:rsidR="00653CEB" w:rsidRPr="00BC68C4">
        <w:rPr>
          <w:rFonts w:ascii="Times New Roman" w:hAnsi="Times New Roman" w:cs="Times New Roman"/>
          <w:sz w:val="24"/>
          <w:szCs w:val="24"/>
        </w:rPr>
        <w:t xml:space="preserve"> perfor</w:t>
      </w:r>
      <w:r w:rsidR="00653CEB" w:rsidRPr="001344F0">
        <w:rPr>
          <w:rFonts w:ascii="Times New Roman" w:hAnsi="Times New Roman" w:cs="Times New Roman"/>
          <w:sz w:val="24"/>
          <w:szCs w:val="24"/>
        </w:rPr>
        <w:t>ming poorly</w:t>
      </w:r>
      <w:r w:rsidR="002B053A" w:rsidRPr="001344F0">
        <w:rPr>
          <w:rFonts w:ascii="Times New Roman" w:hAnsi="Times New Roman" w:cs="Times New Roman"/>
          <w:sz w:val="24"/>
          <w:szCs w:val="24"/>
        </w:rPr>
        <w:t>.</w:t>
      </w:r>
      <w:r w:rsidR="00653CEB" w:rsidRPr="001344F0">
        <w:rPr>
          <w:rFonts w:ascii="Times New Roman" w:hAnsi="Times New Roman" w:cs="Times New Roman"/>
          <w:sz w:val="24"/>
          <w:szCs w:val="24"/>
        </w:rPr>
        <w:t xml:space="preserve"> </w:t>
      </w:r>
      <w:r w:rsidR="002B053A" w:rsidRPr="001344F0">
        <w:rPr>
          <w:rFonts w:ascii="Times New Roman" w:hAnsi="Times New Roman" w:cs="Times New Roman"/>
          <w:sz w:val="24"/>
          <w:szCs w:val="24"/>
        </w:rPr>
        <w:t>It is alleged that</w:t>
      </w:r>
      <w:r w:rsidR="002B053A">
        <w:rPr>
          <w:rFonts w:ascii="Times New Roman" w:hAnsi="Times New Roman" w:cs="Times New Roman"/>
          <w:sz w:val="24"/>
          <w:szCs w:val="24"/>
        </w:rPr>
        <w:t xml:space="preserve"> </w:t>
      </w:r>
      <w:r w:rsidR="00653CEB" w:rsidRPr="00BC68C4">
        <w:rPr>
          <w:rFonts w:ascii="Times New Roman" w:hAnsi="Times New Roman" w:cs="Times New Roman"/>
          <w:sz w:val="24"/>
          <w:szCs w:val="24"/>
        </w:rPr>
        <w:t>they had amateurish and unsophisticated managers</w:t>
      </w:r>
      <w:r w:rsidR="002B053A">
        <w:rPr>
          <w:rFonts w:ascii="Times New Roman" w:hAnsi="Times New Roman" w:cs="Times New Roman"/>
          <w:sz w:val="24"/>
          <w:szCs w:val="24"/>
        </w:rPr>
        <w:t xml:space="preserve">, and </w:t>
      </w:r>
      <w:r w:rsidR="00016CB5" w:rsidRPr="00BC68C4">
        <w:rPr>
          <w:rFonts w:ascii="Times New Roman" w:hAnsi="Times New Roman" w:cs="Times New Roman"/>
          <w:sz w:val="24"/>
          <w:szCs w:val="24"/>
        </w:rPr>
        <w:t xml:space="preserve">family owners </w:t>
      </w:r>
      <w:r w:rsidRPr="00BC68C4">
        <w:rPr>
          <w:rFonts w:ascii="Times New Roman" w:hAnsi="Times New Roman" w:cs="Times New Roman"/>
          <w:sz w:val="24"/>
          <w:szCs w:val="24"/>
        </w:rPr>
        <w:t>were more interested in paying</w:t>
      </w:r>
      <w:r w:rsidR="00016CB5" w:rsidRPr="00BC68C4">
        <w:rPr>
          <w:rFonts w:ascii="Times New Roman" w:hAnsi="Times New Roman" w:cs="Times New Roman"/>
          <w:sz w:val="24"/>
          <w:szCs w:val="24"/>
        </w:rPr>
        <w:t xml:space="preserve"> out a substantial proportion of company earnings as dividends rather than retaining funds to grow the business</w:t>
      </w:r>
      <w:r w:rsidR="00653CEB" w:rsidRPr="00BC68C4">
        <w:rPr>
          <w:rFonts w:ascii="Times New Roman" w:hAnsi="Times New Roman" w:cs="Times New Roman"/>
          <w:sz w:val="24"/>
          <w:szCs w:val="24"/>
        </w:rPr>
        <w:t xml:space="preserve"> (Chandler</w:t>
      </w:r>
      <w:r w:rsidR="002241BE" w:rsidRPr="00BC68C4">
        <w:rPr>
          <w:rFonts w:ascii="Times New Roman" w:hAnsi="Times New Roman" w:cs="Times New Roman"/>
          <w:sz w:val="24"/>
          <w:szCs w:val="24"/>
        </w:rPr>
        <w:t>,</w:t>
      </w:r>
      <w:r w:rsidR="00653CEB" w:rsidRPr="00BC68C4">
        <w:rPr>
          <w:rFonts w:ascii="Times New Roman" w:hAnsi="Times New Roman" w:cs="Times New Roman"/>
          <w:sz w:val="24"/>
          <w:szCs w:val="24"/>
        </w:rPr>
        <w:t xml:space="preserve"> 1990, p. 240; Wilson, 1995, p. 154)</w:t>
      </w:r>
      <w:r w:rsidR="00016CB5" w:rsidRPr="00BC68C4">
        <w:rPr>
          <w:rFonts w:ascii="Times New Roman" w:hAnsi="Times New Roman" w:cs="Times New Roman"/>
          <w:sz w:val="24"/>
          <w:szCs w:val="24"/>
        </w:rPr>
        <w:t>. Indeed, some scholars have even attributed Britain’s relative economic decline in the twentieth century to the problems with family-controlled companies (</w:t>
      </w:r>
      <w:proofErr w:type="spellStart"/>
      <w:r w:rsidR="009A53CF" w:rsidRPr="00BC68C4">
        <w:rPr>
          <w:rFonts w:ascii="Times New Roman" w:hAnsi="Times New Roman" w:cs="Times New Roman"/>
          <w:sz w:val="24"/>
          <w:szCs w:val="24"/>
        </w:rPr>
        <w:t>Elbaum</w:t>
      </w:r>
      <w:proofErr w:type="spellEnd"/>
      <w:r w:rsidR="009A53CF" w:rsidRPr="00BC68C4">
        <w:rPr>
          <w:rFonts w:ascii="Times New Roman" w:hAnsi="Times New Roman" w:cs="Times New Roman"/>
          <w:sz w:val="24"/>
          <w:szCs w:val="24"/>
        </w:rPr>
        <w:t xml:space="preserve"> and </w:t>
      </w:r>
      <w:proofErr w:type="spellStart"/>
      <w:r w:rsidR="009A53CF" w:rsidRPr="00BC68C4">
        <w:rPr>
          <w:rFonts w:ascii="Times New Roman" w:hAnsi="Times New Roman" w:cs="Times New Roman"/>
          <w:sz w:val="24"/>
          <w:szCs w:val="24"/>
        </w:rPr>
        <w:t>Lazonick</w:t>
      </w:r>
      <w:proofErr w:type="spellEnd"/>
      <w:r w:rsidR="009A53CF" w:rsidRPr="00BC68C4">
        <w:rPr>
          <w:rFonts w:ascii="Times New Roman" w:hAnsi="Times New Roman" w:cs="Times New Roman"/>
          <w:sz w:val="24"/>
          <w:szCs w:val="24"/>
        </w:rPr>
        <w:t>, 1984; Chandler, 1990</w:t>
      </w:r>
      <w:r w:rsidR="00016CB5" w:rsidRPr="00BC68C4">
        <w:rPr>
          <w:rFonts w:ascii="Times New Roman" w:hAnsi="Times New Roman" w:cs="Times New Roman"/>
          <w:sz w:val="24"/>
          <w:szCs w:val="24"/>
        </w:rPr>
        <w:t xml:space="preserve">). </w:t>
      </w:r>
    </w:p>
    <w:p w14:paraId="103D0336" w14:textId="68609C4D" w:rsidR="009728FC" w:rsidRPr="00BC68C4" w:rsidRDefault="002E07DF" w:rsidP="007F376A">
      <w:pPr>
        <w:spacing w:line="480" w:lineRule="auto"/>
        <w:ind w:firstLine="720"/>
        <w:rPr>
          <w:rFonts w:ascii="Times New Roman" w:hAnsi="Times New Roman" w:cs="Times New Roman"/>
          <w:sz w:val="24"/>
          <w:szCs w:val="24"/>
        </w:rPr>
      </w:pPr>
      <w:r w:rsidRPr="00BC68C4">
        <w:rPr>
          <w:rFonts w:ascii="Times New Roman" w:hAnsi="Times New Roman" w:cs="Times New Roman"/>
          <w:sz w:val="24"/>
          <w:szCs w:val="24"/>
        </w:rPr>
        <w:t>Hannah (</w:t>
      </w:r>
      <w:r w:rsidR="00CF1958" w:rsidRPr="00BC68C4">
        <w:rPr>
          <w:rFonts w:ascii="Times New Roman" w:hAnsi="Times New Roman" w:cs="Times New Roman"/>
          <w:sz w:val="24"/>
          <w:szCs w:val="24"/>
        </w:rPr>
        <w:t>2007</w:t>
      </w:r>
      <w:r w:rsidRPr="00BC68C4">
        <w:rPr>
          <w:rFonts w:ascii="Times New Roman" w:hAnsi="Times New Roman" w:cs="Times New Roman"/>
          <w:sz w:val="24"/>
          <w:szCs w:val="24"/>
        </w:rPr>
        <w:t xml:space="preserve">), </w:t>
      </w:r>
      <w:r w:rsidR="00AB63FD" w:rsidRPr="00BC68C4">
        <w:rPr>
          <w:rFonts w:ascii="Times New Roman" w:hAnsi="Times New Roman" w:cs="Times New Roman"/>
          <w:sz w:val="24"/>
          <w:szCs w:val="24"/>
        </w:rPr>
        <w:t>Foreman-Peck and Hannah (</w:t>
      </w:r>
      <w:r w:rsidR="00CF1958" w:rsidRPr="00BC68C4">
        <w:rPr>
          <w:rFonts w:ascii="Times New Roman" w:hAnsi="Times New Roman" w:cs="Times New Roman"/>
          <w:sz w:val="24"/>
          <w:szCs w:val="24"/>
        </w:rPr>
        <w:t>2012</w:t>
      </w:r>
      <w:r w:rsidR="00AB63FD" w:rsidRPr="00BC68C4">
        <w:rPr>
          <w:rFonts w:ascii="Times New Roman" w:hAnsi="Times New Roman" w:cs="Times New Roman"/>
          <w:sz w:val="24"/>
          <w:szCs w:val="24"/>
        </w:rPr>
        <w:t xml:space="preserve">) </w:t>
      </w:r>
      <w:r w:rsidRPr="00BC68C4">
        <w:rPr>
          <w:rFonts w:ascii="Times New Roman" w:hAnsi="Times New Roman" w:cs="Times New Roman"/>
          <w:sz w:val="24"/>
          <w:szCs w:val="24"/>
        </w:rPr>
        <w:t xml:space="preserve">and Acheson et al. (2015) </w:t>
      </w:r>
      <w:r w:rsidR="00AB63FD" w:rsidRPr="00BC68C4">
        <w:rPr>
          <w:rFonts w:ascii="Times New Roman" w:hAnsi="Times New Roman" w:cs="Times New Roman"/>
          <w:sz w:val="24"/>
          <w:szCs w:val="24"/>
        </w:rPr>
        <w:t>have challenged th</w:t>
      </w:r>
      <w:r w:rsidR="00B30A18">
        <w:rPr>
          <w:rFonts w:ascii="Times New Roman" w:hAnsi="Times New Roman" w:cs="Times New Roman"/>
          <w:sz w:val="24"/>
          <w:szCs w:val="24"/>
        </w:rPr>
        <w:t xml:space="preserve">is </w:t>
      </w:r>
      <w:r w:rsidR="00AB63FD" w:rsidRPr="00BC68C4">
        <w:rPr>
          <w:rFonts w:ascii="Times New Roman" w:hAnsi="Times New Roman" w:cs="Times New Roman"/>
          <w:sz w:val="24"/>
          <w:szCs w:val="24"/>
        </w:rPr>
        <w:t xml:space="preserve">conception or caricature of the UK’s corporate economy in the Victorian and Edwardian </w:t>
      </w:r>
      <w:r w:rsidR="00B30A18">
        <w:rPr>
          <w:rFonts w:ascii="Times New Roman" w:hAnsi="Times New Roman" w:cs="Times New Roman"/>
          <w:sz w:val="24"/>
          <w:szCs w:val="24"/>
        </w:rPr>
        <w:t>periods</w:t>
      </w:r>
      <w:r w:rsidRPr="00BC68C4">
        <w:rPr>
          <w:rFonts w:ascii="Times New Roman" w:hAnsi="Times New Roman" w:cs="Times New Roman"/>
          <w:sz w:val="24"/>
          <w:szCs w:val="24"/>
        </w:rPr>
        <w:t xml:space="preserve"> as</w:t>
      </w:r>
      <w:r w:rsidR="00AB63FD" w:rsidRPr="00BC68C4">
        <w:rPr>
          <w:rFonts w:ascii="Times New Roman" w:hAnsi="Times New Roman" w:cs="Times New Roman"/>
          <w:sz w:val="24"/>
          <w:szCs w:val="24"/>
        </w:rPr>
        <w:t xml:space="preserve"> being dominated</w:t>
      </w:r>
      <w:r w:rsidRPr="00BC68C4">
        <w:rPr>
          <w:rFonts w:ascii="Times New Roman" w:hAnsi="Times New Roman" w:cs="Times New Roman"/>
          <w:sz w:val="24"/>
          <w:szCs w:val="24"/>
        </w:rPr>
        <w:t xml:space="preserve"> by</w:t>
      </w:r>
      <w:r w:rsidR="00AB63FD" w:rsidRPr="00BC68C4">
        <w:rPr>
          <w:rFonts w:ascii="Times New Roman" w:hAnsi="Times New Roman" w:cs="Times New Roman"/>
          <w:sz w:val="24"/>
          <w:szCs w:val="24"/>
        </w:rPr>
        <w:t xml:space="preserve"> family-owned </w:t>
      </w:r>
      <w:r w:rsidR="00621664" w:rsidRPr="00BC68C4">
        <w:rPr>
          <w:rFonts w:ascii="Times New Roman" w:hAnsi="Times New Roman" w:cs="Times New Roman"/>
          <w:sz w:val="24"/>
          <w:szCs w:val="24"/>
        </w:rPr>
        <w:t xml:space="preserve">public </w:t>
      </w:r>
      <w:r w:rsidR="00AB63FD" w:rsidRPr="00BC68C4">
        <w:rPr>
          <w:rFonts w:ascii="Times New Roman" w:hAnsi="Times New Roman" w:cs="Times New Roman"/>
          <w:sz w:val="24"/>
          <w:szCs w:val="24"/>
        </w:rPr>
        <w:t>firms</w:t>
      </w:r>
      <w:r w:rsidRPr="00BC68C4">
        <w:rPr>
          <w:rFonts w:ascii="Times New Roman" w:hAnsi="Times New Roman" w:cs="Times New Roman"/>
          <w:sz w:val="24"/>
          <w:szCs w:val="24"/>
        </w:rPr>
        <w:t>. These studies find that</w:t>
      </w:r>
      <w:r w:rsidR="00620DD7">
        <w:rPr>
          <w:rFonts w:ascii="Times New Roman" w:hAnsi="Times New Roman" w:cs="Times New Roman"/>
          <w:sz w:val="24"/>
          <w:szCs w:val="24"/>
        </w:rPr>
        <w:t>,</w:t>
      </w:r>
      <w:r w:rsidRPr="00BC68C4">
        <w:rPr>
          <w:rFonts w:ascii="Times New Roman" w:hAnsi="Times New Roman" w:cs="Times New Roman"/>
          <w:sz w:val="24"/>
          <w:szCs w:val="24"/>
        </w:rPr>
        <w:t xml:space="preserve"> in </w:t>
      </w:r>
      <w:r w:rsidR="002241BE" w:rsidRPr="00BC68C4">
        <w:rPr>
          <w:rFonts w:ascii="Times New Roman" w:hAnsi="Times New Roman" w:cs="Times New Roman"/>
          <w:sz w:val="24"/>
          <w:szCs w:val="24"/>
        </w:rPr>
        <w:t>many</w:t>
      </w:r>
      <w:r w:rsidR="00620DD7">
        <w:rPr>
          <w:rFonts w:ascii="Times New Roman" w:hAnsi="Times New Roman" w:cs="Times New Roman"/>
          <w:sz w:val="24"/>
          <w:szCs w:val="24"/>
        </w:rPr>
        <w:t xml:space="preserve"> </w:t>
      </w:r>
      <w:r w:rsidRPr="00BC68C4">
        <w:rPr>
          <w:rFonts w:ascii="Times New Roman" w:hAnsi="Times New Roman" w:cs="Times New Roman"/>
          <w:sz w:val="24"/>
          <w:szCs w:val="24"/>
        </w:rPr>
        <w:t>cases</w:t>
      </w:r>
      <w:r w:rsidR="00620DD7">
        <w:rPr>
          <w:rFonts w:ascii="Times New Roman" w:hAnsi="Times New Roman" w:cs="Times New Roman"/>
          <w:sz w:val="24"/>
          <w:szCs w:val="24"/>
        </w:rPr>
        <w:t>,</w:t>
      </w:r>
      <w:r w:rsidRPr="00BC68C4">
        <w:rPr>
          <w:rFonts w:ascii="Times New Roman" w:hAnsi="Times New Roman" w:cs="Times New Roman"/>
          <w:sz w:val="24"/>
          <w:szCs w:val="24"/>
        </w:rPr>
        <w:t xml:space="preserve"> ownership was divorced from control. </w:t>
      </w:r>
      <w:r w:rsidRPr="001344F0">
        <w:rPr>
          <w:rFonts w:ascii="Times New Roman" w:hAnsi="Times New Roman" w:cs="Times New Roman"/>
          <w:sz w:val="24"/>
          <w:szCs w:val="24"/>
        </w:rPr>
        <w:t>However, this separation of ownership from control may have created an agency problem</w:t>
      </w:r>
      <w:r w:rsidR="00620DD7" w:rsidRPr="001344F0">
        <w:rPr>
          <w:rFonts w:ascii="Times New Roman" w:hAnsi="Times New Roman" w:cs="Times New Roman"/>
          <w:sz w:val="24"/>
          <w:szCs w:val="24"/>
        </w:rPr>
        <w:t>,</w:t>
      </w:r>
      <w:r w:rsidRPr="001344F0">
        <w:rPr>
          <w:rFonts w:ascii="Times New Roman" w:hAnsi="Times New Roman" w:cs="Times New Roman"/>
          <w:sz w:val="24"/>
          <w:szCs w:val="24"/>
        </w:rPr>
        <w:t xml:space="preserve"> in that </w:t>
      </w:r>
      <w:r w:rsidR="00620DD7" w:rsidRPr="001344F0">
        <w:rPr>
          <w:rFonts w:ascii="Times New Roman" w:hAnsi="Times New Roman" w:cs="Times New Roman"/>
          <w:sz w:val="24"/>
          <w:szCs w:val="24"/>
        </w:rPr>
        <w:t xml:space="preserve">the </w:t>
      </w:r>
      <w:r w:rsidRPr="001344F0">
        <w:rPr>
          <w:rFonts w:ascii="Times New Roman" w:hAnsi="Times New Roman" w:cs="Times New Roman"/>
          <w:sz w:val="24"/>
          <w:szCs w:val="24"/>
        </w:rPr>
        <w:t>executives of these public companies mismanaged them</w:t>
      </w:r>
      <w:r w:rsidR="00620DD7" w:rsidRPr="001344F0">
        <w:rPr>
          <w:rFonts w:ascii="Times New Roman" w:hAnsi="Times New Roman" w:cs="Times New Roman"/>
          <w:sz w:val="24"/>
          <w:szCs w:val="24"/>
        </w:rPr>
        <w:t>,</w:t>
      </w:r>
      <w:r w:rsidRPr="001344F0">
        <w:rPr>
          <w:rFonts w:ascii="Times New Roman" w:hAnsi="Times New Roman" w:cs="Times New Roman"/>
          <w:sz w:val="24"/>
          <w:szCs w:val="24"/>
        </w:rPr>
        <w:t xml:space="preserve"> and did not run them in </w:t>
      </w:r>
      <w:r w:rsidR="00D0248F" w:rsidRPr="001344F0">
        <w:rPr>
          <w:rFonts w:ascii="Times New Roman" w:hAnsi="Times New Roman" w:cs="Times New Roman"/>
          <w:sz w:val="24"/>
          <w:szCs w:val="24"/>
        </w:rPr>
        <w:t xml:space="preserve">the interests of shareholders. </w:t>
      </w:r>
      <w:r w:rsidRPr="001344F0">
        <w:rPr>
          <w:rFonts w:ascii="Times New Roman" w:hAnsi="Times New Roman" w:cs="Times New Roman"/>
          <w:sz w:val="24"/>
          <w:szCs w:val="24"/>
        </w:rPr>
        <w:t>Notably, the diffuse ownership structure of British Victorian and Edwardian</w:t>
      </w:r>
      <w:r w:rsidRPr="00BC68C4">
        <w:rPr>
          <w:rFonts w:ascii="Times New Roman" w:hAnsi="Times New Roman" w:cs="Times New Roman"/>
          <w:sz w:val="24"/>
          <w:szCs w:val="24"/>
        </w:rPr>
        <w:t xml:space="preserve"> railways has been highlighted as a </w:t>
      </w:r>
      <w:r w:rsidR="009728FC" w:rsidRPr="00BC68C4">
        <w:rPr>
          <w:rFonts w:ascii="Times New Roman" w:hAnsi="Times New Roman" w:cs="Times New Roman"/>
          <w:sz w:val="24"/>
          <w:szCs w:val="24"/>
        </w:rPr>
        <w:t>contributing</w:t>
      </w:r>
      <w:r w:rsidRPr="00BC68C4">
        <w:rPr>
          <w:rFonts w:ascii="Times New Roman" w:hAnsi="Times New Roman" w:cs="Times New Roman"/>
          <w:sz w:val="24"/>
          <w:szCs w:val="24"/>
        </w:rPr>
        <w:t xml:space="preserve"> </w:t>
      </w:r>
      <w:r w:rsidR="009728FC" w:rsidRPr="00BC68C4">
        <w:rPr>
          <w:rFonts w:ascii="Times New Roman" w:hAnsi="Times New Roman" w:cs="Times New Roman"/>
          <w:sz w:val="24"/>
          <w:szCs w:val="24"/>
        </w:rPr>
        <w:t>factor to the</w:t>
      </w:r>
      <w:r w:rsidR="006C6368" w:rsidRPr="00BC68C4">
        <w:rPr>
          <w:rFonts w:ascii="Times New Roman" w:hAnsi="Times New Roman" w:cs="Times New Roman"/>
          <w:sz w:val="24"/>
          <w:szCs w:val="24"/>
        </w:rPr>
        <w:t>ir</w:t>
      </w:r>
      <w:r w:rsidRPr="00BC68C4">
        <w:rPr>
          <w:rFonts w:ascii="Times New Roman" w:hAnsi="Times New Roman" w:cs="Times New Roman"/>
          <w:sz w:val="24"/>
          <w:szCs w:val="24"/>
        </w:rPr>
        <w:t xml:space="preserve"> poor performance</w:t>
      </w:r>
      <w:r w:rsidR="009728FC" w:rsidRPr="00BC68C4">
        <w:rPr>
          <w:rFonts w:ascii="Times New Roman" w:hAnsi="Times New Roman" w:cs="Times New Roman"/>
          <w:sz w:val="24"/>
          <w:szCs w:val="24"/>
        </w:rPr>
        <w:t xml:space="preserve"> (Crafts et al. 2007, 2008; Mitchell et al</w:t>
      </w:r>
      <w:r w:rsidRPr="00BC68C4">
        <w:rPr>
          <w:rFonts w:ascii="Times New Roman" w:hAnsi="Times New Roman" w:cs="Times New Roman"/>
          <w:sz w:val="24"/>
          <w:szCs w:val="24"/>
        </w:rPr>
        <w:t>.</w:t>
      </w:r>
      <w:r w:rsidR="002241BE" w:rsidRPr="00BC68C4">
        <w:rPr>
          <w:rFonts w:ascii="Times New Roman" w:hAnsi="Times New Roman" w:cs="Times New Roman"/>
          <w:sz w:val="24"/>
          <w:szCs w:val="24"/>
        </w:rPr>
        <w:t>,</w:t>
      </w:r>
      <w:r w:rsidR="009728FC" w:rsidRPr="00BC68C4">
        <w:rPr>
          <w:rFonts w:ascii="Times New Roman" w:hAnsi="Times New Roman" w:cs="Times New Roman"/>
          <w:sz w:val="24"/>
          <w:szCs w:val="24"/>
        </w:rPr>
        <w:t xml:space="preserve"> 2011).</w:t>
      </w:r>
      <w:r w:rsidRPr="00BC68C4">
        <w:rPr>
          <w:rFonts w:ascii="Times New Roman" w:hAnsi="Times New Roman" w:cs="Times New Roman"/>
          <w:sz w:val="24"/>
          <w:szCs w:val="24"/>
        </w:rPr>
        <w:t xml:space="preserve"> </w:t>
      </w:r>
    </w:p>
    <w:p w14:paraId="1D6F0F4F" w14:textId="04C1F4BB" w:rsidR="009A53CF" w:rsidRPr="00BC68C4" w:rsidRDefault="00B30A18" w:rsidP="002E07D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w:t>
      </w:r>
      <w:r w:rsidR="007F376A" w:rsidRPr="00BC68C4">
        <w:rPr>
          <w:rFonts w:ascii="Times New Roman" w:hAnsi="Times New Roman" w:cs="Times New Roman"/>
          <w:sz w:val="24"/>
          <w:szCs w:val="24"/>
        </w:rPr>
        <w:t>contribute to t</w:t>
      </w:r>
      <w:r w:rsidR="009A53CF" w:rsidRPr="00BC68C4">
        <w:rPr>
          <w:rFonts w:ascii="Times New Roman" w:hAnsi="Times New Roman" w:cs="Times New Roman"/>
          <w:sz w:val="24"/>
          <w:szCs w:val="24"/>
        </w:rPr>
        <w:t>his</w:t>
      </w:r>
      <w:r w:rsidR="007F376A" w:rsidRPr="00BC68C4">
        <w:rPr>
          <w:rFonts w:ascii="Times New Roman" w:hAnsi="Times New Roman" w:cs="Times New Roman"/>
          <w:sz w:val="24"/>
          <w:szCs w:val="24"/>
        </w:rPr>
        <w:t xml:space="preserve"> debate</w:t>
      </w:r>
      <w:r w:rsidR="00620DD7">
        <w:rPr>
          <w:rFonts w:ascii="Times New Roman" w:hAnsi="Times New Roman" w:cs="Times New Roman"/>
          <w:sz w:val="24"/>
          <w:szCs w:val="24"/>
        </w:rPr>
        <w:t xml:space="preserve"> </w:t>
      </w:r>
      <w:r w:rsidR="007F376A" w:rsidRPr="00BC68C4">
        <w:rPr>
          <w:rFonts w:ascii="Times New Roman" w:hAnsi="Times New Roman" w:cs="Times New Roman"/>
          <w:sz w:val="24"/>
          <w:szCs w:val="24"/>
        </w:rPr>
        <w:t>by examining the relationship between ownership</w:t>
      </w:r>
      <w:r w:rsidR="00612257" w:rsidRPr="00BC68C4">
        <w:rPr>
          <w:rFonts w:ascii="Times New Roman" w:hAnsi="Times New Roman" w:cs="Times New Roman"/>
          <w:sz w:val="24"/>
          <w:szCs w:val="24"/>
        </w:rPr>
        <w:t xml:space="preserve"> structure and </w:t>
      </w:r>
      <w:r>
        <w:rPr>
          <w:rFonts w:ascii="Times New Roman" w:hAnsi="Times New Roman" w:cs="Times New Roman"/>
          <w:sz w:val="24"/>
          <w:szCs w:val="24"/>
        </w:rPr>
        <w:t xml:space="preserve">different measures of </w:t>
      </w:r>
      <w:r w:rsidR="00612257" w:rsidRPr="00BC68C4">
        <w:rPr>
          <w:rFonts w:ascii="Times New Roman" w:hAnsi="Times New Roman" w:cs="Times New Roman"/>
          <w:sz w:val="24"/>
          <w:szCs w:val="24"/>
        </w:rPr>
        <w:t>firm performance,</w:t>
      </w:r>
      <w:r w:rsidR="007F376A" w:rsidRPr="00BC68C4">
        <w:rPr>
          <w:rFonts w:ascii="Times New Roman" w:hAnsi="Times New Roman" w:cs="Times New Roman"/>
          <w:sz w:val="24"/>
          <w:szCs w:val="24"/>
        </w:rPr>
        <w:t xml:space="preserve"> using </w:t>
      </w:r>
      <w:r w:rsidR="007F376A" w:rsidRPr="001344F0">
        <w:rPr>
          <w:rFonts w:ascii="Times New Roman" w:hAnsi="Times New Roman" w:cs="Times New Roman"/>
          <w:sz w:val="24"/>
          <w:szCs w:val="24"/>
        </w:rPr>
        <w:t>hand-collected data for 345</w:t>
      </w:r>
      <w:r w:rsidR="002B053A" w:rsidRPr="001344F0">
        <w:rPr>
          <w:rFonts w:ascii="Times New Roman" w:hAnsi="Times New Roman" w:cs="Times New Roman"/>
          <w:sz w:val="24"/>
          <w:szCs w:val="24"/>
        </w:rPr>
        <w:t xml:space="preserve"> Victorian</w:t>
      </w:r>
      <w:r w:rsidR="007F376A" w:rsidRPr="001344F0">
        <w:rPr>
          <w:rFonts w:ascii="Times New Roman" w:hAnsi="Times New Roman" w:cs="Times New Roman"/>
          <w:sz w:val="24"/>
          <w:szCs w:val="24"/>
        </w:rPr>
        <w:t xml:space="preserve"> public companies. This unique data</w:t>
      </w:r>
      <w:r w:rsidR="009A53CF" w:rsidRPr="001344F0">
        <w:rPr>
          <w:rFonts w:ascii="Times New Roman" w:hAnsi="Times New Roman" w:cs="Times New Roman"/>
          <w:sz w:val="24"/>
          <w:szCs w:val="24"/>
        </w:rPr>
        <w:t>set</w:t>
      </w:r>
      <w:r w:rsidR="007F376A" w:rsidRPr="001344F0">
        <w:rPr>
          <w:rFonts w:ascii="Times New Roman" w:hAnsi="Times New Roman" w:cs="Times New Roman"/>
          <w:sz w:val="24"/>
          <w:szCs w:val="24"/>
        </w:rPr>
        <w:t xml:space="preserve"> enables us to</w:t>
      </w:r>
      <w:r w:rsidR="002B053A" w:rsidRPr="001344F0">
        <w:rPr>
          <w:rFonts w:ascii="Times New Roman" w:hAnsi="Times New Roman" w:cs="Times New Roman"/>
          <w:sz w:val="24"/>
          <w:szCs w:val="24"/>
        </w:rPr>
        <w:t xml:space="preserve"> test whether diffuse, or</w:t>
      </w:r>
      <w:r w:rsidR="009A53CF" w:rsidRPr="001344F0">
        <w:rPr>
          <w:rFonts w:ascii="Times New Roman" w:hAnsi="Times New Roman" w:cs="Times New Roman"/>
          <w:sz w:val="24"/>
          <w:szCs w:val="24"/>
        </w:rPr>
        <w:t xml:space="preserve"> family</w:t>
      </w:r>
      <w:r w:rsidR="002B053A" w:rsidRPr="001344F0">
        <w:rPr>
          <w:rFonts w:ascii="Times New Roman" w:hAnsi="Times New Roman" w:cs="Times New Roman"/>
          <w:sz w:val="24"/>
          <w:szCs w:val="24"/>
        </w:rPr>
        <w:t>,</w:t>
      </w:r>
      <w:r w:rsidR="009A53CF" w:rsidRPr="001344F0">
        <w:rPr>
          <w:rFonts w:ascii="Times New Roman" w:hAnsi="Times New Roman" w:cs="Times New Roman"/>
          <w:sz w:val="24"/>
          <w:szCs w:val="24"/>
        </w:rPr>
        <w:t xml:space="preserve"> ownership</w:t>
      </w:r>
      <w:r w:rsidR="007F376A" w:rsidRPr="001344F0">
        <w:rPr>
          <w:rFonts w:ascii="Times New Roman" w:hAnsi="Times New Roman" w:cs="Times New Roman"/>
          <w:sz w:val="24"/>
          <w:szCs w:val="24"/>
        </w:rPr>
        <w:t xml:space="preserve"> </w:t>
      </w:r>
      <w:r w:rsidR="009A53CF" w:rsidRPr="001344F0">
        <w:rPr>
          <w:rFonts w:ascii="Times New Roman" w:hAnsi="Times New Roman" w:cs="Times New Roman"/>
          <w:sz w:val="24"/>
          <w:szCs w:val="24"/>
        </w:rPr>
        <w:t xml:space="preserve">affected </w:t>
      </w:r>
      <w:r w:rsidR="007F376A" w:rsidRPr="001344F0">
        <w:rPr>
          <w:rFonts w:ascii="Times New Roman" w:hAnsi="Times New Roman" w:cs="Times New Roman"/>
          <w:sz w:val="24"/>
          <w:szCs w:val="24"/>
        </w:rPr>
        <w:t>firm performance</w:t>
      </w:r>
      <w:r w:rsidR="009A53CF" w:rsidRPr="001344F0">
        <w:rPr>
          <w:rFonts w:ascii="Times New Roman" w:hAnsi="Times New Roman" w:cs="Times New Roman"/>
          <w:sz w:val="24"/>
          <w:szCs w:val="24"/>
        </w:rPr>
        <w:t>.</w:t>
      </w:r>
      <w:r w:rsidR="009A53CF" w:rsidRPr="00BC68C4">
        <w:rPr>
          <w:rFonts w:ascii="Times New Roman" w:hAnsi="Times New Roman" w:cs="Times New Roman"/>
          <w:sz w:val="24"/>
          <w:szCs w:val="24"/>
        </w:rPr>
        <w:t xml:space="preserve"> </w:t>
      </w:r>
    </w:p>
    <w:p w14:paraId="36AE40EF" w14:textId="287BAD35" w:rsidR="00DA6940" w:rsidRPr="00BC68C4" w:rsidRDefault="009A53CF" w:rsidP="00DA6940">
      <w:pPr>
        <w:spacing w:line="480" w:lineRule="auto"/>
        <w:ind w:firstLine="720"/>
        <w:rPr>
          <w:rFonts w:ascii="Times New Roman" w:hAnsi="Times New Roman" w:cs="Times New Roman"/>
          <w:sz w:val="24"/>
          <w:szCs w:val="24"/>
        </w:rPr>
      </w:pPr>
      <w:r w:rsidRPr="00BC68C4">
        <w:rPr>
          <w:rFonts w:ascii="Times New Roman" w:hAnsi="Times New Roman" w:cs="Times New Roman"/>
          <w:sz w:val="24"/>
          <w:szCs w:val="24"/>
        </w:rPr>
        <w:t>The idea that ownership structure affects corporate performance has a long academic pedig</w:t>
      </w:r>
      <w:r w:rsidR="005134DD" w:rsidRPr="00BC68C4">
        <w:rPr>
          <w:rFonts w:ascii="Times New Roman" w:hAnsi="Times New Roman" w:cs="Times New Roman"/>
          <w:sz w:val="24"/>
          <w:szCs w:val="24"/>
        </w:rPr>
        <w:t xml:space="preserve">ree. For example, in their classic study, </w:t>
      </w:r>
      <w:proofErr w:type="spellStart"/>
      <w:r w:rsidR="005134DD" w:rsidRPr="00BC68C4">
        <w:rPr>
          <w:rFonts w:ascii="Times New Roman" w:hAnsi="Times New Roman" w:cs="Times New Roman"/>
          <w:sz w:val="24"/>
          <w:szCs w:val="24"/>
        </w:rPr>
        <w:t>Berle</w:t>
      </w:r>
      <w:proofErr w:type="spellEnd"/>
      <w:r w:rsidR="005134DD" w:rsidRPr="00BC68C4">
        <w:rPr>
          <w:rFonts w:ascii="Times New Roman" w:hAnsi="Times New Roman" w:cs="Times New Roman"/>
          <w:sz w:val="24"/>
          <w:szCs w:val="24"/>
        </w:rPr>
        <w:t xml:space="preserve"> and Means (1932) </w:t>
      </w:r>
      <w:r w:rsidRPr="00BC68C4">
        <w:rPr>
          <w:rFonts w:ascii="Times New Roman" w:hAnsi="Times New Roman" w:cs="Times New Roman"/>
          <w:sz w:val="24"/>
          <w:szCs w:val="24"/>
        </w:rPr>
        <w:t xml:space="preserve">argued that the separation of ownership from control created an incentive problem in that managers would </w:t>
      </w:r>
      <w:r w:rsidRPr="00BC68C4">
        <w:rPr>
          <w:rFonts w:ascii="Times New Roman" w:hAnsi="Times New Roman" w:cs="Times New Roman"/>
          <w:sz w:val="24"/>
          <w:szCs w:val="24"/>
        </w:rPr>
        <w:lastRenderedPageBreak/>
        <w:t xml:space="preserve">not </w:t>
      </w:r>
      <w:r w:rsidR="00B30A18">
        <w:rPr>
          <w:rFonts w:ascii="Times New Roman" w:hAnsi="Times New Roman" w:cs="Times New Roman"/>
          <w:sz w:val="24"/>
          <w:szCs w:val="24"/>
        </w:rPr>
        <w:t xml:space="preserve">necessarily </w:t>
      </w:r>
      <w:r w:rsidRPr="00BC68C4">
        <w:rPr>
          <w:rFonts w:ascii="Times New Roman" w:hAnsi="Times New Roman" w:cs="Times New Roman"/>
          <w:sz w:val="24"/>
          <w:szCs w:val="24"/>
        </w:rPr>
        <w:t>act in the best interests of owners.</w:t>
      </w:r>
      <w:r w:rsidR="005134DD" w:rsidRPr="00BC68C4">
        <w:rPr>
          <w:rStyle w:val="FootnoteReference"/>
          <w:rFonts w:ascii="Times New Roman" w:hAnsi="Times New Roman" w:cs="Times New Roman"/>
          <w:sz w:val="24"/>
          <w:szCs w:val="24"/>
        </w:rPr>
        <w:footnoteReference w:id="2"/>
      </w:r>
      <w:r w:rsidRPr="00BC68C4">
        <w:rPr>
          <w:rFonts w:ascii="Times New Roman" w:hAnsi="Times New Roman" w:cs="Times New Roman"/>
          <w:sz w:val="24"/>
          <w:szCs w:val="24"/>
        </w:rPr>
        <w:t xml:space="preserve"> Large </w:t>
      </w:r>
      <w:proofErr w:type="spellStart"/>
      <w:r w:rsidRPr="00BC68C4">
        <w:rPr>
          <w:rFonts w:ascii="Times New Roman" w:hAnsi="Times New Roman" w:cs="Times New Roman"/>
          <w:sz w:val="24"/>
          <w:szCs w:val="24"/>
        </w:rPr>
        <w:t>blockholders</w:t>
      </w:r>
      <w:proofErr w:type="spellEnd"/>
      <w:r w:rsidR="00682E5D">
        <w:rPr>
          <w:rFonts w:ascii="Times New Roman" w:hAnsi="Times New Roman" w:cs="Times New Roman"/>
          <w:sz w:val="24"/>
          <w:szCs w:val="24"/>
        </w:rPr>
        <w:t>, which we define as someone who owns 10 per cent or more of the company</w:t>
      </w:r>
      <w:r w:rsidR="00B0588F">
        <w:rPr>
          <w:rFonts w:ascii="Times New Roman" w:hAnsi="Times New Roman" w:cs="Times New Roman"/>
          <w:sz w:val="24"/>
          <w:szCs w:val="24"/>
        </w:rPr>
        <w:t xml:space="preserve">, </w:t>
      </w:r>
      <w:r w:rsidR="00B0588F" w:rsidRPr="00BC68C4">
        <w:rPr>
          <w:rFonts w:ascii="Times New Roman" w:hAnsi="Times New Roman" w:cs="Times New Roman"/>
          <w:sz w:val="24"/>
          <w:szCs w:val="24"/>
        </w:rPr>
        <w:t>may</w:t>
      </w:r>
      <w:r w:rsidRPr="00BC68C4">
        <w:rPr>
          <w:rFonts w:ascii="Times New Roman" w:hAnsi="Times New Roman" w:cs="Times New Roman"/>
          <w:sz w:val="24"/>
          <w:szCs w:val="24"/>
        </w:rPr>
        <w:t xml:space="preserve"> help to reduce this managerial agency problem because they have the incentive and power to monitor managers (Shleifer and </w:t>
      </w:r>
      <w:proofErr w:type="spellStart"/>
      <w:r w:rsidRPr="00BC68C4">
        <w:rPr>
          <w:rFonts w:ascii="Times New Roman" w:hAnsi="Times New Roman" w:cs="Times New Roman"/>
          <w:sz w:val="24"/>
          <w:szCs w:val="24"/>
        </w:rPr>
        <w:t>Vishny</w:t>
      </w:r>
      <w:proofErr w:type="spellEnd"/>
      <w:r w:rsidRPr="00BC68C4">
        <w:rPr>
          <w:rFonts w:ascii="Times New Roman" w:hAnsi="Times New Roman" w:cs="Times New Roman"/>
          <w:sz w:val="24"/>
          <w:szCs w:val="24"/>
        </w:rPr>
        <w:t xml:space="preserve">, 1986, 1997). However, </w:t>
      </w:r>
      <w:proofErr w:type="spellStart"/>
      <w:r w:rsidRPr="00BC68C4">
        <w:rPr>
          <w:rFonts w:ascii="Times New Roman" w:hAnsi="Times New Roman" w:cs="Times New Roman"/>
          <w:sz w:val="24"/>
          <w:szCs w:val="24"/>
        </w:rPr>
        <w:t>blockholders</w:t>
      </w:r>
      <w:proofErr w:type="spellEnd"/>
      <w:r w:rsidR="00B30A18">
        <w:rPr>
          <w:rFonts w:ascii="Times New Roman" w:hAnsi="Times New Roman" w:cs="Times New Roman"/>
          <w:sz w:val="24"/>
          <w:szCs w:val="24"/>
        </w:rPr>
        <w:t>, in turn</w:t>
      </w:r>
      <w:r w:rsidR="00B0588F">
        <w:rPr>
          <w:rFonts w:ascii="Times New Roman" w:hAnsi="Times New Roman" w:cs="Times New Roman"/>
          <w:sz w:val="24"/>
          <w:szCs w:val="24"/>
        </w:rPr>
        <w:t xml:space="preserve">, </w:t>
      </w:r>
      <w:r w:rsidR="00B0588F" w:rsidRPr="00BC68C4">
        <w:rPr>
          <w:rFonts w:ascii="Times New Roman" w:hAnsi="Times New Roman" w:cs="Times New Roman"/>
          <w:sz w:val="24"/>
          <w:szCs w:val="24"/>
        </w:rPr>
        <w:t>may</w:t>
      </w:r>
      <w:r w:rsidRPr="00BC68C4">
        <w:rPr>
          <w:rFonts w:ascii="Times New Roman" w:hAnsi="Times New Roman" w:cs="Times New Roman"/>
          <w:sz w:val="24"/>
          <w:szCs w:val="24"/>
        </w:rPr>
        <w:t xml:space="preserve"> put their own interests ahead of those of minority shareholders (Chandler 1990, p. 292). </w:t>
      </w:r>
      <w:r w:rsidR="00DA6940" w:rsidRPr="00BC68C4">
        <w:rPr>
          <w:rFonts w:ascii="Times New Roman" w:hAnsi="Times New Roman" w:cs="Times New Roman"/>
          <w:sz w:val="24"/>
          <w:szCs w:val="24"/>
        </w:rPr>
        <w:t xml:space="preserve"> </w:t>
      </w:r>
    </w:p>
    <w:p w14:paraId="0AAE103A" w14:textId="4433FF75" w:rsidR="00DA6940" w:rsidRPr="00BC68C4" w:rsidRDefault="00DA6940" w:rsidP="00DA6940">
      <w:pPr>
        <w:spacing w:line="480" w:lineRule="auto"/>
        <w:ind w:firstLine="720"/>
        <w:rPr>
          <w:rFonts w:ascii="Times New Roman" w:hAnsi="Times New Roman" w:cs="Times New Roman"/>
          <w:sz w:val="24"/>
          <w:szCs w:val="24"/>
        </w:rPr>
      </w:pPr>
      <w:r w:rsidRPr="00BC68C4">
        <w:rPr>
          <w:rFonts w:ascii="Times New Roman" w:hAnsi="Times New Roman" w:cs="Times New Roman"/>
          <w:sz w:val="24"/>
          <w:szCs w:val="24"/>
        </w:rPr>
        <w:t xml:space="preserve">Conceptually, directors who are independent of large owners </w:t>
      </w:r>
      <w:r w:rsidR="00B30A18">
        <w:rPr>
          <w:rFonts w:ascii="Times New Roman" w:hAnsi="Times New Roman" w:cs="Times New Roman"/>
          <w:sz w:val="24"/>
          <w:szCs w:val="24"/>
        </w:rPr>
        <w:t xml:space="preserve">could </w:t>
      </w:r>
      <w:r w:rsidRPr="00BC68C4">
        <w:rPr>
          <w:rFonts w:ascii="Times New Roman" w:hAnsi="Times New Roman" w:cs="Times New Roman"/>
          <w:sz w:val="24"/>
          <w:szCs w:val="24"/>
        </w:rPr>
        <w:t xml:space="preserve">protect minority shareholders from expropriation by </w:t>
      </w:r>
      <w:proofErr w:type="spellStart"/>
      <w:r w:rsidRPr="00BC68C4">
        <w:rPr>
          <w:rFonts w:ascii="Times New Roman" w:hAnsi="Times New Roman" w:cs="Times New Roman"/>
          <w:sz w:val="24"/>
          <w:szCs w:val="24"/>
        </w:rPr>
        <w:t>blockholders</w:t>
      </w:r>
      <w:proofErr w:type="spellEnd"/>
      <w:r w:rsidRPr="00BC68C4">
        <w:rPr>
          <w:rFonts w:ascii="Times New Roman" w:hAnsi="Times New Roman" w:cs="Times New Roman"/>
          <w:sz w:val="24"/>
          <w:szCs w:val="24"/>
        </w:rPr>
        <w:t>. However, the perception of boards of directors in the Vi</w:t>
      </w:r>
      <w:r w:rsidR="002241BE" w:rsidRPr="00BC68C4">
        <w:rPr>
          <w:rFonts w:ascii="Times New Roman" w:hAnsi="Times New Roman" w:cs="Times New Roman"/>
          <w:sz w:val="24"/>
          <w:szCs w:val="24"/>
        </w:rPr>
        <w:t xml:space="preserve">ctorian era is somewhat mixed. </w:t>
      </w:r>
      <w:r w:rsidRPr="00BC68C4">
        <w:rPr>
          <w:rFonts w:ascii="Times New Roman" w:hAnsi="Times New Roman" w:cs="Times New Roman"/>
          <w:sz w:val="24"/>
          <w:szCs w:val="24"/>
        </w:rPr>
        <w:t>A contemporary judge believed that independent directors assured minority shareholders</w:t>
      </w:r>
      <w:r w:rsidR="00B30A18">
        <w:rPr>
          <w:rFonts w:ascii="Times New Roman" w:hAnsi="Times New Roman" w:cs="Times New Roman"/>
          <w:sz w:val="24"/>
          <w:szCs w:val="24"/>
        </w:rPr>
        <w:t xml:space="preserve"> (Kennedy, 1987, p. 126)</w:t>
      </w:r>
      <w:r w:rsidRPr="00BC68C4">
        <w:rPr>
          <w:rFonts w:ascii="Times New Roman" w:hAnsi="Times New Roman" w:cs="Times New Roman"/>
          <w:sz w:val="24"/>
          <w:szCs w:val="24"/>
        </w:rPr>
        <w:t>, whereas a contemporary legal writer saw independent directors as incompetent or pre-occupied (</w:t>
      </w:r>
      <w:proofErr w:type="spellStart"/>
      <w:r w:rsidRPr="00BC68C4">
        <w:rPr>
          <w:rFonts w:ascii="Times New Roman" w:hAnsi="Times New Roman" w:cs="Times New Roman"/>
          <w:sz w:val="24"/>
          <w:szCs w:val="24"/>
        </w:rPr>
        <w:t>Chadwyck</w:t>
      </w:r>
      <w:proofErr w:type="spellEnd"/>
      <w:r w:rsidRPr="00BC68C4">
        <w:rPr>
          <w:rFonts w:ascii="Times New Roman" w:hAnsi="Times New Roman" w:cs="Times New Roman"/>
          <w:sz w:val="24"/>
          <w:szCs w:val="24"/>
        </w:rPr>
        <w:t>-Healey, 1884)</w:t>
      </w:r>
      <w:r w:rsidR="00B30A18">
        <w:rPr>
          <w:rFonts w:ascii="Times New Roman" w:hAnsi="Times New Roman" w:cs="Times New Roman"/>
          <w:sz w:val="24"/>
          <w:szCs w:val="24"/>
        </w:rPr>
        <w:t xml:space="preserve"> or</w:t>
      </w:r>
      <w:r w:rsidR="00EF3AE5" w:rsidRPr="00BC68C4">
        <w:rPr>
          <w:rFonts w:ascii="Times New Roman" w:hAnsi="Times New Roman" w:cs="Times New Roman"/>
          <w:sz w:val="24"/>
          <w:szCs w:val="24"/>
        </w:rPr>
        <w:t xml:space="preserve"> </w:t>
      </w:r>
      <w:r w:rsidRPr="00BC68C4">
        <w:rPr>
          <w:rFonts w:ascii="Times New Roman" w:hAnsi="Times New Roman" w:cs="Times New Roman"/>
          <w:sz w:val="24"/>
          <w:szCs w:val="24"/>
        </w:rPr>
        <w:t>ornamental rather than playi</w:t>
      </w:r>
      <w:r w:rsidR="00EF3AE5" w:rsidRPr="00BC68C4">
        <w:rPr>
          <w:rFonts w:ascii="Times New Roman" w:hAnsi="Times New Roman" w:cs="Times New Roman"/>
          <w:sz w:val="24"/>
          <w:szCs w:val="24"/>
        </w:rPr>
        <w:t>ng any useful economic function (</w:t>
      </w:r>
      <w:r w:rsidR="00745992" w:rsidRPr="00BC68C4">
        <w:rPr>
          <w:rFonts w:ascii="Times New Roman" w:hAnsi="Times New Roman" w:cs="Times New Roman"/>
          <w:sz w:val="24"/>
          <w:szCs w:val="24"/>
        </w:rPr>
        <w:t>Campbell and Turn</w:t>
      </w:r>
      <w:r w:rsidR="00EF3AE5" w:rsidRPr="00BC68C4">
        <w:rPr>
          <w:rFonts w:ascii="Times New Roman" w:hAnsi="Times New Roman" w:cs="Times New Roman"/>
          <w:sz w:val="24"/>
          <w:szCs w:val="24"/>
        </w:rPr>
        <w:t xml:space="preserve">er, </w:t>
      </w:r>
      <w:r w:rsidR="00745992" w:rsidRPr="00BC68C4">
        <w:rPr>
          <w:rFonts w:ascii="Times New Roman" w:hAnsi="Times New Roman" w:cs="Times New Roman"/>
          <w:sz w:val="24"/>
          <w:szCs w:val="24"/>
        </w:rPr>
        <w:t>2011</w:t>
      </w:r>
      <w:r w:rsidR="00621664" w:rsidRPr="00BC68C4">
        <w:rPr>
          <w:rFonts w:ascii="Times New Roman" w:hAnsi="Times New Roman" w:cs="Times New Roman"/>
          <w:sz w:val="24"/>
          <w:szCs w:val="24"/>
        </w:rPr>
        <w:t>; Chandler, 1990, p. 242</w:t>
      </w:r>
      <w:r w:rsidR="00745992" w:rsidRPr="00BC68C4">
        <w:rPr>
          <w:rFonts w:ascii="Times New Roman" w:hAnsi="Times New Roman" w:cs="Times New Roman"/>
          <w:sz w:val="24"/>
          <w:szCs w:val="24"/>
        </w:rPr>
        <w:t>).</w:t>
      </w:r>
      <w:r w:rsidRPr="00BC68C4">
        <w:rPr>
          <w:rFonts w:ascii="Times New Roman" w:hAnsi="Times New Roman" w:cs="Times New Roman"/>
          <w:sz w:val="24"/>
          <w:szCs w:val="24"/>
        </w:rPr>
        <w:t xml:space="preserve">         </w:t>
      </w:r>
    </w:p>
    <w:p w14:paraId="3C1FE6EF" w14:textId="016A3646" w:rsidR="00D74CA4" w:rsidRPr="00BC68C4" w:rsidRDefault="00320132" w:rsidP="006F5264">
      <w:pPr>
        <w:spacing w:line="480" w:lineRule="auto"/>
        <w:ind w:firstLine="720"/>
        <w:rPr>
          <w:rFonts w:ascii="Times New Roman" w:hAnsi="Times New Roman" w:cs="Times New Roman"/>
          <w:sz w:val="24"/>
          <w:szCs w:val="24"/>
        </w:rPr>
      </w:pPr>
      <w:r w:rsidRPr="00BC68C4">
        <w:rPr>
          <w:rFonts w:ascii="Times New Roman" w:hAnsi="Times New Roman" w:cs="Times New Roman"/>
          <w:sz w:val="24"/>
          <w:szCs w:val="24"/>
        </w:rPr>
        <w:t xml:space="preserve">Our findings imply that it is not ownership itself which mattered in Victorian Britain, but </w:t>
      </w:r>
      <w:r w:rsidR="00B30A18">
        <w:rPr>
          <w:rFonts w:ascii="Times New Roman" w:hAnsi="Times New Roman" w:cs="Times New Roman"/>
          <w:sz w:val="24"/>
          <w:szCs w:val="24"/>
        </w:rPr>
        <w:t xml:space="preserve">rather </w:t>
      </w:r>
      <w:r w:rsidRPr="00BC68C4">
        <w:rPr>
          <w:rFonts w:ascii="Times New Roman" w:hAnsi="Times New Roman" w:cs="Times New Roman"/>
          <w:sz w:val="24"/>
          <w:szCs w:val="24"/>
        </w:rPr>
        <w:t xml:space="preserve">the interaction between ownership and control. </w:t>
      </w:r>
      <w:r w:rsidR="002B1CEF" w:rsidRPr="00BC68C4">
        <w:rPr>
          <w:rFonts w:ascii="Times New Roman" w:hAnsi="Times New Roman" w:cs="Times New Roman"/>
          <w:sz w:val="24"/>
          <w:szCs w:val="24"/>
        </w:rPr>
        <w:t>Although broad</w:t>
      </w:r>
      <w:r w:rsidR="00DA6940" w:rsidRPr="00BC68C4">
        <w:rPr>
          <w:rFonts w:ascii="Times New Roman" w:hAnsi="Times New Roman" w:cs="Times New Roman"/>
          <w:sz w:val="24"/>
          <w:szCs w:val="24"/>
        </w:rPr>
        <w:t xml:space="preserve"> ownership measures</w:t>
      </w:r>
      <w:r w:rsidR="002B1CEF" w:rsidRPr="00BC68C4">
        <w:rPr>
          <w:rFonts w:ascii="Times New Roman" w:hAnsi="Times New Roman" w:cs="Times New Roman"/>
          <w:sz w:val="24"/>
          <w:szCs w:val="24"/>
        </w:rPr>
        <w:t xml:space="preserve"> </w:t>
      </w:r>
      <w:r w:rsidR="00DA6940" w:rsidRPr="00BC68C4">
        <w:rPr>
          <w:rFonts w:ascii="Times New Roman" w:hAnsi="Times New Roman" w:cs="Times New Roman"/>
          <w:sz w:val="24"/>
          <w:szCs w:val="24"/>
        </w:rPr>
        <w:t>are unrelated to firm performance</w:t>
      </w:r>
      <w:r w:rsidR="002B1CEF" w:rsidRPr="00BC68C4">
        <w:rPr>
          <w:rFonts w:ascii="Times New Roman" w:hAnsi="Times New Roman" w:cs="Times New Roman"/>
          <w:sz w:val="24"/>
          <w:szCs w:val="24"/>
        </w:rPr>
        <w:t xml:space="preserve">, </w:t>
      </w:r>
      <w:r w:rsidRPr="00BC68C4">
        <w:rPr>
          <w:rFonts w:ascii="Times New Roman" w:hAnsi="Times New Roman" w:cs="Times New Roman"/>
          <w:sz w:val="24"/>
          <w:szCs w:val="24"/>
        </w:rPr>
        <w:t xml:space="preserve">the presence of large active </w:t>
      </w:r>
      <w:r w:rsidR="00DA6940" w:rsidRPr="00BC68C4">
        <w:rPr>
          <w:rFonts w:ascii="Times New Roman" w:hAnsi="Times New Roman" w:cs="Times New Roman"/>
          <w:sz w:val="24"/>
          <w:szCs w:val="24"/>
        </w:rPr>
        <w:t xml:space="preserve">family </w:t>
      </w:r>
      <w:proofErr w:type="spellStart"/>
      <w:r w:rsidRPr="00BC68C4">
        <w:rPr>
          <w:rFonts w:ascii="Times New Roman" w:hAnsi="Times New Roman" w:cs="Times New Roman"/>
          <w:sz w:val="24"/>
          <w:szCs w:val="24"/>
        </w:rPr>
        <w:t>blockholders</w:t>
      </w:r>
      <w:proofErr w:type="spellEnd"/>
      <w:r w:rsidRPr="00BC68C4">
        <w:rPr>
          <w:rFonts w:ascii="Times New Roman" w:hAnsi="Times New Roman" w:cs="Times New Roman"/>
          <w:sz w:val="24"/>
          <w:szCs w:val="24"/>
        </w:rPr>
        <w:t xml:space="preserve"> is associated with a better operating performance, as measured by a higher return on assets</w:t>
      </w:r>
      <w:r w:rsidR="00B30A18">
        <w:rPr>
          <w:rFonts w:ascii="Times New Roman" w:hAnsi="Times New Roman" w:cs="Times New Roman"/>
          <w:sz w:val="24"/>
          <w:szCs w:val="24"/>
        </w:rPr>
        <w:t xml:space="preserve"> (ROA)</w:t>
      </w:r>
      <w:r w:rsidRPr="00BC68C4">
        <w:rPr>
          <w:rFonts w:ascii="Times New Roman" w:hAnsi="Times New Roman" w:cs="Times New Roman"/>
          <w:sz w:val="24"/>
          <w:szCs w:val="24"/>
        </w:rPr>
        <w:t xml:space="preserve">. A possible explanation for this is that large active </w:t>
      </w:r>
      <w:r w:rsidR="00DA6940" w:rsidRPr="00BC68C4">
        <w:rPr>
          <w:rFonts w:ascii="Times New Roman" w:hAnsi="Times New Roman" w:cs="Times New Roman"/>
          <w:sz w:val="24"/>
          <w:szCs w:val="24"/>
        </w:rPr>
        <w:t xml:space="preserve">family </w:t>
      </w:r>
      <w:proofErr w:type="spellStart"/>
      <w:r w:rsidRPr="00BC68C4">
        <w:rPr>
          <w:rFonts w:ascii="Times New Roman" w:hAnsi="Times New Roman" w:cs="Times New Roman"/>
          <w:sz w:val="24"/>
          <w:szCs w:val="24"/>
        </w:rPr>
        <w:t>blockholders</w:t>
      </w:r>
      <w:proofErr w:type="spellEnd"/>
      <w:r w:rsidRPr="00BC68C4">
        <w:rPr>
          <w:rFonts w:ascii="Times New Roman" w:hAnsi="Times New Roman" w:cs="Times New Roman"/>
          <w:sz w:val="24"/>
          <w:szCs w:val="24"/>
        </w:rPr>
        <w:t xml:space="preserve"> in Victorian Britain effectively reduced managerial expropriation by helping to mitigate agency costs. However, this does not translate into greater market values, as measured by Tobin’s Q, possibly reflecting minority shareholders’ fears of </w:t>
      </w:r>
      <w:proofErr w:type="spellStart"/>
      <w:r w:rsidRPr="00BC68C4">
        <w:rPr>
          <w:rFonts w:ascii="Times New Roman" w:hAnsi="Times New Roman" w:cs="Times New Roman"/>
          <w:sz w:val="24"/>
          <w:szCs w:val="24"/>
        </w:rPr>
        <w:t>blockholder</w:t>
      </w:r>
      <w:proofErr w:type="spellEnd"/>
      <w:r w:rsidRPr="00BC68C4">
        <w:rPr>
          <w:rFonts w:ascii="Times New Roman" w:hAnsi="Times New Roman" w:cs="Times New Roman"/>
          <w:sz w:val="24"/>
          <w:szCs w:val="24"/>
        </w:rPr>
        <w:t xml:space="preserve"> </w:t>
      </w:r>
      <w:r w:rsidRPr="006658C5">
        <w:rPr>
          <w:rFonts w:ascii="Times New Roman" w:hAnsi="Times New Roman" w:cs="Times New Roman"/>
          <w:sz w:val="24"/>
          <w:szCs w:val="24"/>
        </w:rPr>
        <w:t>expropriation.</w:t>
      </w:r>
      <w:r w:rsidR="007920AB" w:rsidRPr="006658C5">
        <w:rPr>
          <w:rStyle w:val="FootnoteReference"/>
          <w:rFonts w:ascii="Times New Roman" w:hAnsi="Times New Roman" w:cs="Times New Roman"/>
          <w:sz w:val="24"/>
          <w:szCs w:val="24"/>
        </w:rPr>
        <w:footnoteReference w:id="3"/>
      </w:r>
      <w:r w:rsidRPr="006658C5">
        <w:rPr>
          <w:rFonts w:ascii="Times New Roman" w:hAnsi="Times New Roman" w:cs="Times New Roman"/>
          <w:sz w:val="24"/>
          <w:szCs w:val="24"/>
        </w:rPr>
        <w:t xml:space="preserve"> </w:t>
      </w:r>
      <w:r w:rsidR="007920AB" w:rsidRPr="006658C5">
        <w:rPr>
          <w:rFonts w:ascii="Times New Roman" w:hAnsi="Times New Roman" w:cs="Times New Roman"/>
          <w:sz w:val="24"/>
          <w:szCs w:val="24"/>
        </w:rPr>
        <w:t xml:space="preserve"> </w:t>
      </w:r>
      <w:r w:rsidRPr="006658C5">
        <w:rPr>
          <w:rFonts w:ascii="Times New Roman" w:hAnsi="Times New Roman" w:cs="Times New Roman"/>
          <w:sz w:val="24"/>
          <w:szCs w:val="24"/>
        </w:rPr>
        <w:t>By way of</w:t>
      </w:r>
      <w:r w:rsidRPr="00BC68C4">
        <w:rPr>
          <w:rFonts w:ascii="Times New Roman" w:hAnsi="Times New Roman" w:cs="Times New Roman"/>
          <w:sz w:val="24"/>
          <w:szCs w:val="24"/>
        </w:rPr>
        <w:t xml:space="preserve"> contrast, the presence of directors who were not </w:t>
      </w:r>
      <w:proofErr w:type="spellStart"/>
      <w:r w:rsidRPr="00BC68C4">
        <w:rPr>
          <w:rFonts w:ascii="Times New Roman" w:hAnsi="Times New Roman" w:cs="Times New Roman"/>
          <w:sz w:val="24"/>
          <w:szCs w:val="24"/>
        </w:rPr>
        <w:t>blockholders</w:t>
      </w:r>
      <w:proofErr w:type="spellEnd"/>
      <w:r w:rsidRPr="00BC68C4">
        <w:rPr>
          <w:rFonts w:ascii="Times New Roman" w:hAnsi="Times New Roman" w:cs="Times New Roman"/>
          <w:sz w:val="24"/>
          <w:szCs w:val="24"/>
        </w:rPr>
        <w:t xml:space="preserve"> has </w:t>
      </w:r>
      <w:r w:rsidRPr="001344F0">
        <w:rPr>
          <w:rFonts w:ascii="Times New Roman" w:hAnsi="Times New Roman" w:cs="Times New Roman"/>
          <w:sz w:val="24"/>
          <w:szCs w:val="24"/>
        </w:rPr>
        <w:t xml:space="preserve">little effect on operating performance but </w:t>
      </w:r>
      <w:r w:rsidR="00EF3AE5" w:rsidRPr="001344F0">
        <w:rPr>
          <w:rFonts w:ascii="Times New Roman" w:hAnsi="Times New Roman" w:cs="Times New Roman"/>
          <w:sz w:val="24"/>
          <w:szCs w:val="24"/>
        </w:rPr>
        <w:t>is associated with</w:t>
      </w:r>
      <w:r w:rsidRPr="001344F0">
        <w:rPr>
          <w:rFonts w:ascii="Times New Roman" w:hAnsi="Times New Roman" w:cs="Times New Roman"/>
          <w:sz w:val="24"/>
          <w:szCs w:val="24"/>
        </w:rPr>
        <w:t xml:space="preserve"> relatively higher market values</w:t>
      </w:r>
      <w:r w:rsidR="00620DD7" w:rsidRPr="001344F0">
        <w:rPr>
          <w:rFonts w:ascii="Times New Roman" w:hAnsi="Times New Roman" w:cs="Times New Roman"/>
          <w:sz w:val="24"/>
          <w:szCs w:val="24"/>
        </w:rPr>
        <w:t>.</w:t>
      </w:r>
      <w:r w:rsidRPr="001344F0">
        <w:rPr>
          <w:rFonts w:ascii="Times New Roman" w:hAnsi="Times New Roman" w:cs="Times New Roman"/>
          <w:sz w:val="24"/>
          <w:szCs w:val="24"/>
        </w:rPr>
        <w:t xml:space="preserve"> </w:t>
      </w:r>
      <w:r w:rsidR="00620DD7" w:rsidRPr="001344F0">
        <w:rPr>
          <w:rFonts w:ascii="Times New Roman" w:hAnsi="Times New Roman" w:cs="Times New Roman"/>
          <w:sz w:val="24"/>
          <w:szCs w:val="24"/>
        </w:rPr>
        <w:t>This implies</w:t>
      </w:r>
      <w:r w:rsidRPr="001344F0">
        <w:rPr>
          <w:rFonts w:ascii="Times New Roman" w:hAnsi="Times New Roman" w:cs="Times New Roman"/>
          <w:sz w:val="24"/>
          <w:szCs w:val="24"/>
        </w:rPr>
        <w:t xml:space="preserve"> that independent directors in Victorian Britain may have provided credible commitments</w:t>
      </w:r>
      <w:r w:rsidRPr="00BC68C4">
        <w:rPr>
          <w:rFonts w:ascii="Times New Roman" w:hAnsi="Times New Roman" w:cs="Times New Roman"/>
          <w:sz w:val="24"/>
          <w:szCs w:val="24"/>
        </w:rPr>
        <w:t xml:space="preserve"> against </w:t>
      </w:r>
      <w:r w:rsidR="00DA6940" w:rsidRPr="00BC68C4">
        <w:rPr>
          <w:rFonts w:ascii="Times New Roman" w:hAnsi="Times New Roman" w:cs="Times New Roman"/>
          <w:sz w:val="24"/>
          <w:szCs w:val="24"/>
        </w:rPr>
        <w:t xml:space="preserve">family </w:t>
      </w:r>
      <w:proofErr w:type="spellStart"/>
      <w:r w:rsidRPr="00BC68C4">
        <w:rPr>
          <w:rFonts w:ascii="Times New Roman" w:hAnsi="Times New Roman" w:cs="Times New Roman"/>
          <w:sz w:val="24"/>
          <w:szCs w:val="24"/>
        </w:rPr>
        <w:t>blockholder</w:t>
      </w:r>
      <w:proofErr w:type="spellEnd"/>
      <w:r w:rsidRPr="00BC68C4">
        <w:rPr>
          <w:rFonts w:ascii="Times New Roman" w:hAnsi="Times New Roman" w:cs="Times New Roman"/>
          <w:sz w:val="24"/>
          <w:szCs w:val="24"/>
        </w:rPr>
        <w:t xml:space="preserve"> expropriation, but were </w:t>
      </w:r>
      <w:r w:rsidR="001C36AB">
        <w:rPr>
          <w:rFonts w:ascii="Times New Roman" w:hAnsi="Times New Roman" w:cs="Times New Roman"/>
          <w:sz w:val="24"/>
          <w:szCs w:val="24"/>
        </w:rPr>
        <w:t xml:space="preserve">less </w:t>
      </w:r>
      <w:r w:rsidRPr="00BC68C4">
        <w:rPr>
          <w:rFonts w:ascii="Times New Roman" w:hAnsi="Times New Roman" w:cs="Times New Roman"/>
          <w:sz w:val="24"/>
          <w:szCs w:val="24"/>
        </w:rPr>
        <w:t>effective at red</w:t>
      </w:r>
      <w:r w:rsidR="00151EDA">
        <w:rPr>
          <w:rFonts w:ascii="Times New Roman" w:hAnsi="Times New Roman" w:cs="Times New Roman"/>
          <w:sz w:val="24"/>
          <w:szCs w:val="24"/>
        </w:rPr>
        <w:t>ucing managerial expropriation.</w:t>
      </w:r>
    </w:p>
    <w:p w14:paraId="122722F8" w14:textId="4E71F2DC" w:rsidR="00A3017B" w:rsidRPr="00BC68C4" w:rsidRDefault="004E6E82" w:rsidP="006F5264">
      <w:pPr>
        <w:spacing w:line="480" w:lineRule="auto"/>
        <w:ind w:firstLine="720"/>
        <w:rPr>
          <w:rFonts w:ascii="Times New Roman" w:hAnsi="Times New Roman" w:cs="Times New Roman"/>
          <w:sz w:val="24"/>
          <w:szCs w:val="24"/>
        </w:rPr>
      </w:pPr>
      <w:r w:rsidRPr="00BC68C4">
        <w:rPr>
          <w:rFonts w:ascii="Times New Roman" w:hAnsi="Times New Roman" w:cs="Times New Roman"/>
          <w:sz w:val="24"/>
          <w:szCs w:val="24"/>
        </w:rPr>
        <w:t xml:space="preserve">This </w:t>
      </w:r>
      <w:r w:rsidR="002241BE" w:rsidRPr="00BC68C4">
        <w:rPr>
          <w:rFonts w:ascii="Times New Roman" w:hAnsi="Times New Roman" w:cs="Times New Roman"/>
          <w:sz w:val="24"/>
          <w:szCs w:val="24"/>
        </w:rPr>
        <w:t>article</w:t>
      </w:r>
      <w:r w:rsidRPr="00BC68C4">
        <w:rPr>
          <w:rFonts w:ascii="Times New Roman" w:hAnsi="Times New Roman" w:cs="Times New Roman"/>
          <w:sz w:val="24"/>
          <w:szCs w:val="24"/>
        </w:rPr>
        <w:t xml:space="preserve"> </w:t>
      </w:r>
      <w:r w:rsidR="007112AF">
        <w:rPr>
          <w:rFonts w:ascii="Times New Roman" w:hAnsi="Times New Roman" w:cs="Times New Roman"/>
          <w:sz w:val="24"/>
          <w:szCs w:val="24"/>
        </w:rPr>
        <w:t xml:space="preserve">also </w:t>
      </w:r>
      <w:r w:rsidRPr="00BC68C4">
        <w:rPr>
          <w:rFonts w:ascii="Times New Roman" w:hAnsi="Times New Roman" w:cs="Times New Roman"/>
          <w:sz w:val="24"/>
          <w:szCs w:val="24"/>
        </w:rPr>
        <w:t>contributes to the literature on the evolution of the UK capital market by looking at control of public companies following the liberalisation of incorporation law in 1856.</w:t>
      </w:r>
      <w:r w:rsidRPr="00BC68C4">
        <w:rPr>
          <w:rStyle w:val="FootnoteReference"/>
          <w:rFonts w:ascii="Times New Roman" w:hAnsi="Times New Roman" w:cs="Times New Roman"/>
          <w:sz w:val="24"/>
          <w:szCs w:val="24"/>
        </w:rPr>
        <w:footnoteReference w:id="4"/>
      </w:r>
      <w:r w:rsidRPr="00BC68C4">
        <w:rPr>
          <w:rFonts w:ascii="Times New Roman" w:hAnsi="Times New Roman" w:cs="Times New Roman"/>
          <w:sz w:val="24"/>
          <w:szCs w:val="24"/>
        </w:rPr>
        <w:t xml:space="preserve">  </w:t>
      </w:r>
      <w:r w:rsidR="009463C4" w:rsidRPr="00BC68C4">
        <w:rPr>
          <w:rFonts w:ascii="Times New Roman" w:hAnsi="Times New Roman" w:cs="Times New Roman"/>
          <w:sz w:val="24"/>
          <w:szCs w:val="24"/>
        </w:rPr>
        <w:t>To date, the extant literature has</w:t>
      </w:r>
      <w:r w:rsidRPr="00BC68C4">
        <w:rPr>
          <w:rFonts w:ascii="Times New Roman" w:hAnsi="Times New Roman" w:cs="Times New Roman"/>
          <w:sz w:val="24"/>
          <w:szCs w:val="24"/>
        </w:rPr>
        <w:t xml:space="preserve"> focused on the performance and growth of the equity market</w:t>
      </w:r>
      <w:r w:rsidR="009463C4" w:rsidRPr="00BC68C4">
        <w:rPr>
          <w:rFonts w:ascii="Times New Roman" w:hAnsi="Times New Roman" w:cs="Times New Roman"/>
          <w:sz w:val="24"/>
          <w:szCs w:val="24"/>
        </w:rPr>
        <w:t xml:space="preserve"> (Grossman, 2002)</w:t>
      </w:r>
      <w:r w:rsidRPr="00BC68C4">
        <w:rPr>
          <w:rFonts w:ascii="Times New Roman" w:hAnsi="Times New Roman" w:cs="Times New Roman"/>
          <w:sz w:val="24"/>
          <w:szCs w:val="24"/>
        </w:rPr>
        <w:t xml:space="preserve">, the expansion of </w:t>
      </w:r>
      <w:r w:rsidR="000661EA" w:rsidRPr="00BC68C4">
        <w:rPr>
          <w:rFonts w:ascii="Times New Roman" w:hAnsi="Times New Roman" w:cs="Times New Roman"/>
          <w:sz w:val="24"/>
          <w:szCs w:val="24"/>
        </w:rPr>
        <w:t xml:space="preserve">the </w:t>
      </w:r>
      <w:r w:rsidRPr="00BC68C4">
        <w:rPr>
          <w:rFonts w:ascii="Times New Roman" w:hAnsi="Times New Roman" w:cs="Times New Roman"/>
          <w:sz w:val="24"/>
          <w:szCs w:val="24"/>
        </w:rPr>
        <w:t>investor franchise</w:t>
      </w:r>
      <w:r w:rsidR="009463C4" w:rsidRPr="00BC68C4">
        <w:rPr>
          <w:rFonts w:ascii="Times New Roman" w:hAnsi="Times New Roman" w:cs="Times New Roman"/>
          <w:sz w:val="24"/>
          <w:szCs w:val="24"/>
        </w:rPr>
        <w:t xml:space="preserve"> (</w:t>
      </w:r>
      <w:proofErr w:type="spellStart"/>
      <w:r w:rsidR="009463C4" w:rsidRPr="00BC68C4">
        <w:rPr>
          <w:rFonts w:ascii="Times New Roman" w:hAnsi="Times New Roman" w:cs="Times New Roman"/>
          <w:sz w:val="24"/>
          <w:szCs w:val="24"/>
        </w:rPr>
        <w:t>Rutterford</w:t>
      </w:r>
      <w:proofErr w:type="spellEnd"/>
      <w:r w:rsidR="009463C4" w:rsidRPr="00BC68C4">
        <w:rPr>
          <w:rFonts w:ascii="Times New Roman" w:hAnsi="Times New Roman" w:cs="Times New Roman"/>
          <w:sz w:val="24"/>
          <w:szCs w:val="24"/>
        </w:rPr>
        <w:t xml:space="preserve"> et al., 2011)</w:t>
      </w:r>
      <w:r w:rsidRPr="00BC68C4">
        <w:rPr>
          <w:rFonts w:ascii="Times New Roman" w:hAnsi="Times New Roman" w:cs="Times New Roman"/>
          <w:sz w:val="24"/>
          <w:szCs w:val="24"/>
        </w:rPr>
        <w:t xml:space="preserve">, and the </w:t>
      </w:r>
      <w:r w:rsidR="009463C4" w:rsidRPr="00BC68C4">
        <w:rPr>
          <w:rFonts w:ascii="Times New Roman" w:hAnsi="Times New Roman" w:cs="Times New Roman"/>
          <w:sz w:val="24"/>
          <w:szCs w:val="24"/>
        </w:rPr>
        <w:t xml:space="preserve">development of stock exchanges (Thomas, 1973; </w:t>
      </w:r>
      <w:proofErr w:type="spellStart"/>
      <w:r w:rsidR="009463C4" w:rsidRPr="00BC68C4">
        <w:rPr>
          <w:rFonts w:ascii="Times New Roman" w:hAnsi="Times New Roman" w:cs="Times New Roman"/>
          <w:sz w:val="24"/>
          <w:szCs w:val="24"/>
        </w:rPr>
        <w:t>Michie</w:t>
      </w:r>
      <w:proofErr w:type="spellEnd"/>
      <w:r w:rsidR="009463C4" w:rsidRPr="00BC68C4">
        <w:rPr>
          <w:rFonts w:ascii="Times New Roman" w:hAnsi="Times New Roman" w:cs="Times New Roman"/>
          <w:sz w:val="24"/>
          <w:szCs w:val="24"/>
        </w:rPr>
        <w:t xml:space="preserve">, 1999). </w:t>
      </w:r>
      <w:r w:rsidR="007112AF">
        <w:rPr>
          <w:rFonts w:ascii="Times New Roman" w:hAnsi="Times New Roman" w:cs="Times New Roman"/>
          <w:sz w:val="24"/>
          <w:szCs w:val="24"/>
        </w:rPr>
        <w:t xml:space="preserve">We </w:t>
      </w:r>
      <w:r w:rsidR="00612257" w:rsidRPr="00BC68C4">
        <w:rPr>
          <w:rFonts w:ascii="Times New Roman" w:hAnsi="Times New Roman" w:cs="Times New Roman"/>
          <w:sz w:val="24"/>
          <w:szCs w:val="24"/>
        </w:rPr>
        <w:t>contribute to the understanding of how</w:t>
      </w:r>
      <w:r w:rsidR="00C52F3E" w:rsidRPr="00BC68C4">
        <w:rPr>
          <w:rFonts w:ascii="Times New Roman" w:hAnsi="Times New Roman" w:cs="Times New Roman"/>
          <w:sz w:val="24"/>
          <w:szCs w:val="24"/>
        </w:rPr>
        <w:t xml:space="preserve"> the UK capital market transformed from one where shareholders had direct and personal knowledge of a company’s operation and management to one where shareholders did not have </w:t>
      </w:r>
      <w:r w:rsidR="007112AF">
        <w:rPr>
          <w:rFonts w:ascii="Times New Roman" w:hAnsi="Times New Roman" w:cs="Times New Roman"/>
          <w:sz w:val="24"/>
          <w:szCs w:val="24"/>
        </w:rPr>
        <w:t xml:space="preserve">such </w:t>
      </w:r>
      <w:r w:rsidR="00C52F3E" w:rsidRPr="00BC68C4">
        <w:rPr>
          <w:rFonts w:ascii="Times New Roman" w:hAnsi="Times New Roman" w:cs="Times New Roman"/>
          <w:sz w:val="24"/>
          <w:szCs w:val="24"/>
        </w:rPr>
        <w:t>personal knowledge</w:t>
      </w:r>
      <w:r w:rsidR="00C52F3E" w:rsidRPr="006658C5">
        <w:rPr>
          <w:rFonts w:ascii="Times New Roman" w:hAnsi="Times New Roman" w:cs="Times New Roman"/>
          <w:sz w:val="24"/>
          <w:szCs w:val="24"/>
        </w:rPr>
        <w:t xml:space="preserve">. </w:t>
      </w:r>
      <w:r w:rsidR="00612257" w:rsidRPr="006658C5">
        <w:rPr>
          <w:rFonts w:ascii="Times New Roman" w:hAnsi="Times New Roman" w:cs="Times New Roman"/>
          <w:sz w:val="24"/>
          <w:szCs w:val="24"/>
        </w:rPr>
        <w:t xml:space="preserve"> </w:t>
      </w:r>
      <w:r w:rsidR="007112AF" w:rsidRPr="006658C5">
        <w:rPr>
          <w:rFonts w:ascii="Times New Roman" w:hAnsi="Times New Roman" w:cs="Times New Roman"/>
          <w:sz w:val="24"/>
          <w:szCs w:val="24"/>
        </w:rPr>
        <w:t>Additionally</w:t>
      </w:r>
      <w:r w:rsidR="00682E5D" w:rsidRPr="006658C5">
        <w:rPr>
          <w:rFonts w:ascii="Times New Roman" w:hAnsi="Times New Roman" w:cs="Times New Roman"/>
          <w:sz w:val="24"/>
          <w:szCs w:val="24"/>
        </w:rPr>
        <w:t>,</w:t>
      </w:r>
      <w:r w:rsidR="007112AF" w:rsidRPr="006658C5">
        <w:rPr>
          <w:rFonts w:ascii="Times New Roman" w:hAnsi="Times New Roman" w:cs="Times New Roman"/>
          <w:sz w:val="24"/>
          <w:szCs w:val="24"/>
        </w:rPr>
        <w:t xml:space="preserve"> this</w:t>
      </w:r>
      <w:r w:rsidR="007112AF">
        <w:rPr>
          <w:rFonts w:ascii="Times New Roman" w:hAnsi="Times New Roman" w:cs="Times New Roman"/>
          <w:sz w:val="24"/>
          <w:szCs w:val="24"/>
        </w:rPr>
        <w:t xml:space="preserve"> paper </w:t>
      </w:r>
      <w:r w:rsidR="007779E7" w:rsidRPr="00BC68C4">
        <w:rPr>
          <w:rFonts w:ascii="Times New Roman" w:hAnsi="Times New Roman" w:cs="Times New Roman"/>
          <w:sz w:val="24"/>
          <w:szCs w:val="24"/>
        </w:rPr>
        <w:t xml:space="preserve">augments </w:t>
      </w:r>
      <w:r w:rsidR="00FE5AC0" w:rsidRPr="00BC68C4">
        <w:rPr>
          <w:rFonts w:ascii="Times New Roman" w:hAnsi="Times New Roman" w:cs="Times New Roman"/>
          <w:sz w:val="24"/>
          <w:szCs w:val="24"/>
        </w:rPr>
        <w:t xml:space="preserve">studies which look at the ownership-performance nexus from an historical perspective. </w:t>
      </w:r>
      <w:r w:rsidR="00682E5D">
        <w:rPr>
          <w:rFonts w:ascii="Times New Roman" w:hAnsi="Times New Roman" w:cs="Times New Roman"/>
          <w:sz w:val="24"/>
          <w:szCs w:val="24"/>
        </w:rPr>
        <w:t xml:space="preserve"> For example, </w:t>
      </w:r>
      <w:r w:rsidR="00853403" w:rsidRPr="00BC68C4">
        <w:rPr>
          <w:rFonts w:ascii="Times New Roman" w:hAnsi="Times New Roman" w:cs="Times New Roman"/>
          <w:sz w:val="24"/>
          <w:szCs w:val="24"/>
        </w:rPr>
        <w:t>Foreman-Peck and H</w:t>
      </w:r>
      <w:r w:rsidR="007779E7" w:rsidRPr="00BC68C4">
        <w:rPr>
          <w:rFonts w:ascii="Times New Roman" w:hAnsi="Times New Roman" w:cs="Times New Roman"/>
          <w:sz w:val="24"/>
          <w:szCs w:val="24"/>
        </w:rPr>
        <w:t>annah (2013) find that</w:t>
      </w:r>
      <w:r w:rsidR="007112AF">
        <w:rPr>
          <w:rFonts w:ascii="Times New Roman" w:hAnsi="Times New Roman" w:cs="Times New Roman"/>
          <w:sz w:val="24"/>
          <w:szCs w:val="24"/>
        </w:rPr>
        <w:t>,</w:t>
      </w:r>
      <w:r w:rsidR="007779E7" w:rsidRPr="00BC68C4">
        <w:rPr>
          <w:rFonts w:ascii="Times New Roman" w:hAnsi="Times New Roman" w:cs="Times New Roman"/>
          <w:sz w:val="24"/>
          <w:szCs w:val="24"/>
        </w:rPr>
        <w:t xml:space="preserve"> </w:t>
      </w:r>
      <w:r w:rsidR="007112AF" w:rsidRPr="00BC68C4">
        <w:rPr>
          <w:rFonts w:ascii="Times New Roman" w:hAnsi="Times New Roman" w:cs="Times New Roman"/>
          <w:sz w:val="24"/>
          <w:szCs w:val="24"/>
        </w:rPr>
        <w:t>for the</w:t>
      </w:r>
      <w:r w:rsidR="007112AF" w:rsidRPr="007112AF">
        <w:rPr>
          <w:rFonts w:ascii="Times New Roman" w:hAnsi="Times New Roman" w:cs="Times New Roman"/>
          <w:sz w:val="24"/>
          <w:szCs w:val="24"/>
        </w:rPr>
        <w:t xml:space="preserve"> </w:t>
      </w:r>
      <w:r w:rsidR="007112AF" w:rsidRPr="00BC68C4">
        <w:rPr>
          <w:rFonts w:ascii="Times New Roman" w:hAnsi="Times New Roman" w:cs="Times New Roman"/>
          <w:sz w:val="24"/>
          <w:szCs w:val="24"/>
        </w:rPr>
        <w:t>largest UK companies in 1911</w:t>
      </w:r>
      <w:r w:rsidR="007112AF">
        <w:rPr>
          <w:rFonts w:ascii="Times New Roman" w:hAnsi="Times New Roman" w:cs="Times New Roman"/>
          <w:sz w:val="24"/>
          <w:szCs w:val="24"/>
        </w:rPr>
        <w:t>,</w:t>
      </w:r>
      <w:r w:rsidR="007112AF" w:rsidRPr="00BC68C4">
        <w:rPr>
          <w:rFonts w:ascii="Times New Roman" w:hAnsi="Times New Roman" w:cs="Times New Roman"/>
          <w:sz w:val="24"/>
          <w:szCs w:val="24"/>
        </w:rPr>
        <w:t xml:space="preserve"> </w:t>
      </w:r>
      <w:r w:rsidR="007779E7" w:rsidRPr="00BC68C4">
        <w:rPr>
          <w:rFonts w:ascii="Times New Roman" w:hAnsi="Times New Roman" w:cs="Times New Roman"/>
          <w:sz w:val="24"/>
          <w:szCs w:val="24"/>
        </w:rPr>
        <w:t xml:space="preserve">diffuse ownership did not operate against shareholders’ interests, suggesting that agency problems were somehow </w:t>
      </w:r>
      <w:r w:rsidR="00C477F9" w:rsidRPr="00BC68C4">
        <w:rPr>
          <w:rFonts w:ascii="Times New Roman" w:hAnsi="Times New Roman" w:cs="Times New Roman"/>
          <w:sz w:val="24"/>
          <w:szCs w:val="24"/>
        </w:rPr>
        <w:t>reduced</w:t>
      </w:r>
      <w:r w:rsidR="007779E7" w:rsidRPr="001344F0">
        <w:rPr>
          <w:rFonts w:ascii="Times New Roman" w:hAnsi="Times New Roman" w:cs="Times New Roman"/>
          <w:sz w:val="24"/>
          <w:szCs w:val="24"/>
        </w:rPr>
        <w:t>.</w:t>
      </w:r>
      <w:r w:rsidR="00682E5D">
        <w:rPr>
          <w:rStyle w:val="FootnoteReference"/>
          <w:rFonts w:ascii="Times New Roman" w:hAnsi="Times New Roman" w:cs="Times New Roman"/>
          <w:sz w:val="24"/>
          <w:szCs w:val="24"/>
        </w:rPr>
        <w:footnoteReference w:id="5"/>
      </w:r>
      <w:r w:rsidR="00882A5F" w:rsidRPr="001344F0">
        <w:rPr>
          <w:rFonts w:ascii="Times New Roman" w:hAnsi="Times New Roman" w:cs="Times New Roman"/>
          <w:sz w:val="24"/>
          <w:szCs w:val="24"/>
        </w:rPr>
        <w:t xml:space="preserve">  </w:t>
      </w:r>
    </w:p>
    <w:p w14:paraId="20C9B086" w14:textId="78BBB17D" w:rsidR="00326222" w:rsidRPr="00BC68C4" w:rsidRDefault="00853403" w:rsidP="00621664">
      <w:pPr>
        <w:spacing w:line="480" w:lineRule="auto"/>
        <w:ind w:firstLine="720"/>
        <w:rPr>
          <w:rFonts w:ascii="Times New Roman" w:hAnsi="Times New Roman" w:cs="Times New Roman"/>
          <w:sz w:val="24"/>
          <w:szCs w:val="24"/>
        </w:rPr>
      </w:pPr>
      <w:r w:rsidRPr="00BC68C4">
        <w:rPr>
          <w:rFonts w:ascii="Times New Roman" w:hAnsi="Times New Roman" w:cs="Times New Roman"/>
          <w:sz w:val="24"/>
          <w:szCs w:val="24"/>
        </w:rPr>
        <w:t>Examining corporate ownership structure in the Victorian era is enlightening</w:t>
      </w:r>
      <w:r w:rsidR="00C477F9" w:rsidRPr="00BC68C4">
        <w:rPr>
          <w:rFonts w:ascii="Times New Roman" w:hAnsi="Times New Roman" w:cs="Times New Roman"/>
          <w:sz w:val="24"/>
          <w:szCs w:val="24"/>
        </w:rPr>
        <w:t xml:space="preserve"> for contemporary economists because </w:t>
      </w:r>
      <w:r w:rsidRPr="00BC68C4">
        <w:rPr>
          <w:rFonts w:ascii="Times New Roman" w:hAnsi="Times New Roman" w:cs="Times New Roman"/>
          <w:sz w:val="24"/>
          <w:szCs w:val="24"/>
        </w:rPr>
        <w:t>the period under examination was one where the investor protection environment was very weak by modern standards</w:t>
      </w:r>
      <w:r w:rsidR="00257040" w:rsidRPr="00BC68C4">
        <w:rPr>
          <w:rFonts w:ascii="Times New Roman" w:hAnsi="Times New Roman" w:cs="Times New Roman"/>
          <w:sz w:val="24"/>
          <w:szCs w:val="24"/>
        </w:rPr>
        <w:t xml:space="preserve"> </w:t>
      </w:r>
      <w:r w:rsidRPr="00BC68C4">
        <w:rPr>
          <w:rFonts w:ascii="Times New Roman" w:hAnsi="Times New Roman" w:cs="Times New Roman"/>
          <w:sz w:val="24"/>
          <w:szCs w:val="24"/>
        </w:rPr>
        <w:t>(Campbell and Turner, 2011).</w:t>
      </w:r>
      <w:r w:rsidR="00257040" w:rsidRPr="00BC68C4">
        <w:rPr>
          <w:rStyle w:val="FootnoteReference"/>
          <w:rFonts w:ascii="Times New Roman" w:hAnsi="Times New Roman" w:cs="Times New Roman"/>
          <w:sz w:val="24"/>
          <w:szCs w:val="24"/>
        </w:rPr>
        <w:footnoteReference w:id="6"/>
      </w:r>
      <w:r w:rsidRPr="00BC68C4">
        <w:rPr>
          <w:rFonts w:ascii="Times New Roman" w:hAnsi="Times New Roman" w:cs="Times New Roman"/>
          <w:sz w:val="24"/>
          <w:szCs w:val="24"/>
        </w:rPr>
        <w:t xml:space="preserve"> Since investor protection laws can affect ownership structure (La Porta et al., 1998, 1999), the Victorian </w:t>
      </w:r>
      <w:r w:rsidR="000F14CC">
        <w:rPr>
          <w:rFonts w:ascii="Times New Roman" w:hAnsi="Times New Roman" w:cs="Times New Roman"/>
          <w:sz w:val="24"/>
          <w:szCs w:val="24"/>
        </w:rPr>
        <w:t>period</w:t>
      </w:r>
      <w:r w:rsidRPr="00BC68C4">
        <w:rPr>
          <w:rFonts w:ascii="Times New Roman" w:hAnsi="Times New Roman" w:cs="Times New Roman"/>
          <w:sz w:val="24"/>
          <w:szCs w:val="24"/>
        </w:rPr>
        <w:t xml:space="preserve"> provides us with a natural experiment where we can observe the relationship between structure and performance in a laissez-faire </w:t>
      </w:r>
      <w:r w:rsidR="00621664" w:rsidRPr="00BC68C4">
        <w:rPr>
          <w:rFonts w:ascii="Times New Roman" w:hAnsi="Times New Roman" w:cs="Times New Roman"/>
          <w:sz w:val="24"/>
          <w:szCs w:val="24"/>
        </w:rPr>
        <w:t xml:space="preserve">company law </w:t>
      </w:r>
      <w:r w:rsidRPr="00BC68C4">
        <w:rPr>
          <w:rFonts w:ascii="Times New Roman" w:hAnsi="Times New Roman" w:cs="Times New Roman"/>
          <w:sz w:val="24"/>
          <w:szCs w:val="24"/>
        </w:rPr>
        <w:t xml:space="preserve">regime. </w:t>
      </w:r>
    </w:p>
    <w:p w14:paraId="564744F5" w14:textId="77777777" w:rsidR="00621664" w:rsidRPr="00BC68C4" w:rsidRDefault="00621664" w:rsidP="00621664">
      <w:pPr>
        <w:spacing w:line="480" w:lineRule="auto"/>
        <w:ind w:firstLine="720"/>
        <w:rPr>
          <w:rFonts w:ascii="Times New Roman" w:hAnsi="Times New Roman" w:cs="Times New Roman"/>
          <w:sz w:val="24"/>
          <w:szCs w:val="24"/>
        </w:rPr>
      </w:pPr>
    </w:p>
    <w:p w14:paraId="7CC28BDE" w14:textId="4E7CCF3D" w:rsidR="00BE1C32" w:rsidRPr="00BE1C32" w:rsidRDefault="00BE1C32" w:rsidP="00BE1C32">
      <w:pPr>
        <w:spacing w:line="480" w:lineRule="auto"/>
        <w:jc w:val="center"/>
        <w:rPr>
          <w:rFonts w:ascii="Times New Roman" w:hAnsi="Times New Roman" w:cs="Times New Roman"/>
          <w:sz w:val="24"/>
          <w:szCs w:val="24"/>
        </w:rPr>
      </w:pPr>
      <w:r w:rsidRPr="00BE1C32">
        <w:rPr>
          <w:rFonts w:ascii="Times New Roman" w:hAnsi="Times New Roman" w:cs="Times New Roman"/>
          <w:sz w:val="24"/>
          <w:szCs w:val="24"/>
        </w:rPr>
        <w:t>BACKGROUND, HYPOTHESES AND CONCEPTUAL ISSUES</w:t>
      </w:r>
    </w:p>
    <w:p w14:paraId="18EA9463" w14:textId="77777777" w:rsidR="00863849" w:rsidRDefault="00863849" w:rsidP="00494263">
      <w:pPr>
        <w:spacing w:line="480" w:lineRule="auto"/>
        <w:rPr>
          <w:rFonts w:ascii="Times New Roman" w:hAnsi="Times New Roman" w:cs="Times New Roman"/>
          <w:i/>
          <w:sz w:val="24"/>
          <w:szCs w:val="24"/>
        </w:rPr>
      </w:pPr>
    </w:p>
    <w:p w14:paraId="1505EA72" w14:textId="3530180C" w:rsidR="00666BE1" w:rsidRPr="00BC68C4" w:rsidRDefault="00666BE1" w:rsidP="00494263">
      <w:pPr>
        <w:spacing w:line="480" w:lineRule="auto"/>
        <w:rPr>
          <w:rFonts w:ascii="Times New Roman" w:hAnsi="Times New Roman" w:cs="Times New Roman"/>
          <w:i/>
          <w:sz w:val="24"/>
          <w:szCs w:val="24"/>
        </w:rPr>
      </w:pPr>
      <w:r w:rsidRPr="00BC68C4">
        <w:rPr>
          <w:rFonts w:ascii="Times New Roman" w:hAnsi="Times New Roman" w:cs="Times New Roman"/>
          <w:i/>
          <w:sz w:val="24"/>
          <w:szCs w:val="24"/>
        </w:rPr>
        <w:t>The liberalisation of incorporation in the UK</w:t>
      </w:r>
    </w:p>
    <w:p w14:paraId="7F997A9C" w14:textId="5D5918BA" w:rsidR="008B40D3" w:rsidRPr="00BC68C4" w:rsidRDefault="00D9265B" w:rsidP="00E87DBF">
      <w:pPr>
        <w:spacing w:line="480" w:lineRule="auto"/>
        <w:ind w:firstLine="720"/>
        <w:rPr>
          <w:rFonts w:ascii="Times New Roman" w:hAnsi="Times New Roman" w:cs="Times New Roman"/>
          <w:sz w:val="24"/>
          <w:szCs w:val="24"/>
        </w:rPr>
      </w:pPr>
      <w:r w:rsidRPr="00BC68C4">
        <w:rPr>
          <w:rFonts w:ascii="Times New Roman" w:hAnsi="Times New Roman" w:cs="Times New Roman"/>
          <w:sz w:val="24"/>
          <w:szCs w:val="24"/>
        </w:rPr>
        <w:t>Prior to the liberalisation of incorporation law in the middle of the nineteenth century</w:t>
      </w:r>
      <w:r w:rsidR="00494263" w:rsidRPr="00BC68C4">
        <w:rPr>
          <w:rFonts w:ascii="Times New Roman" w:hAnsi="Times New Roman" w:cs="Times New Roman"/>
          <w:sz w:val="24"/>
          <w:szCs w:val="24"/>
        </w:rPr>
        <w:t>, the right to incorporate</w:t>
      </w:r>
      <w:r w:rsidR="00666BE1" w:rsidRPr="00BC68C4">
        <w:rPr>
          <w:rFonts w:ascii="Times New Roman" w:hAnsi="Times New Roman" w:cs="Times New Roman"/>
          <w:sz w:val="24"/>
          <w:szCs w:val="24"/>
        </w:rPr>
        <w:t xml:space="preserve"> in the UK</w:t>
      </w:r>
      <w:r w:rsidR="00494263" w:rsidRPr="00BC68C4">
        <w:rPr>
          <w:rFonts w:ascii="Times New Roman" w:hAnsi="Times New Roman" w:cs="Times New Roman"/>
          <w:sz w:val="24"/>
          <w:szCs w:val="24"/>
        </w:rPr>
        <w:t xml:space="preserve"> was controlled by Parliament and the Crown</w:t>
      </w:r>
      <w:r w:rsidR="00830C09" w:rsidRPr="00BC68C4">
        <w:rPr>
          <w:rFonts w:ascii="Times New Roman" w:hAnsi="Times New Roman" w:cs="Times New Roman"/>
          <w:sz w:val="24"/>
          <w:szCs w:val="24"/>
        </w:rPr>
        <w:t>.</w:t>
      </w:r>
      <w:r w:rsidR="008B40D3" w:rsidRPr="00BC68C4">
        <w:rPr>
          <w:rFonts w:ascii="Times New Roman" w:hAnsi="Times New Roman" w:cs="Times New Roman"/>
          <w:sz w:val="24"/>
          <w:szCs w:val="24"/>
        </w:rPr>
        <w:t xml:space="preserve"> </w:t>
      </w:r>
      <w:r w:rsidR="004B5262" w:rsidRPr="00BC68C4">
        <w:rPr>
          <w:rFonts w:ascii="Times New Roman" w:hAnsi="Times New Roman" w:cs="Times New Roman"/>
          <w:sz w:val="24"/>
          <w:szCs w:val="24"/>
        </w:rPr>
        <w:t>From 1844</w:t>
      </w:r>
      <w:r w:rsidR="00B61497" w:rsidRPr="00BC68C4">
        <w:rPr>
          <w:rFonts w:ascii="Times New Roman" w:hAnsi="Times New Roman" w:cs="Times New Roman"/>
          <w:sz w:val="24"/>
          <w:szCs w:val="24"/>
        </w:rPr>
        <w:t xml:space="preserve"> onwards, there w</w:t>
      </w:r>
      <w:r w:rsidR="00775C1C">
        <w:rPr>
          <w:rFonts w:ascii="Times New Roman" w:hAnsi="Times New Roman" w:cs="Times New Roman"/>
          <w:sz w:val="24"/>
          <w:szCs w:val="24"/>
        </w:rPr>
        <w:t>ere</w:t>
      </w:r>
      <w:r w:rsidR="00830C09" w:rsidRPr="00BC68C4">
        <w:rPr>
          <w:rFonts w:ascii="Times New Roman" w:hAnsi="Times New Roman" w:cs="Times New Roman"/>
          <w:sz w:val="24"/>
          <w:szCs w:val="24"/>
        </w:rPr>
        <w:t xml:space="preserve"> a series of acts which made incorporation, and limited liability, easier to obtain. </w:t>
      </w:r>
      <w:r w:rsidR="001561F2" w:rsidRPr="00BC68C4">
        <w:rPr>
          <w:rFonts w:ascii="Times New Roman" w:hAnsi="Times New Roman" w:cs="Times New Roman"/>
          <w:sz w:val="24"/>
          <w:szCs w:val="24"/>
        </w:rPr>
        <w:t xml:space="preserve">The 1862 Companies Act </w:t>
      </w:r>
      <w:r w:rsidR="00775C1C">
        <w:rPr>
          <w:rFonts w:ascii="Times New Roman" w:hAnsi="Times New Roman" w:cs="Times New Roman"/>
          <w:sz w:val="24"/>
          <w:szCs w:val="24"/>
        </w:rPr>
        <w:t>saw</w:t>
      </w:r>
      <w:r w:rsidR="001561F2" w:rsidRPr="00BC68C4">
        <w:rPr>
          <w:rFonts w:ascii="Times New Roman" w:hAnsi="Times New Roman" w:cs="Times New Roman"/>
          <w:sz w:val="24"/>
          <w:szCs w:val="24"/>
        </w:rPr>
        <w:t xml:space="preserve"> </w:t>
      </w:r>
      <w:r w:rsidR="00494263" w:rsidRPr="00BC68C4">
        <w:rPr>
          <w:rFonts w:ascii="Times New Roman" w:hAnsi="Times New Roman" w:cs="Times New Roman"/>
          <w:sz w:val="24"/>
          <w:szCs w:val="24"/>
        </w:rPr>
        <w:t>a consolidation of e</w:t>
      </w:r>
      <w:r w:rsidR="00666BE1" w:rsidRPr="00BC68C4">
        <w:rPr>
          <w:rFonts w:ascii="Times New Roman" w:hAnsi="Times New Roman" w:cs="Times New Roman"/>
          <w:sz w:val="24"/>
          <w:szCs w:val="24"/>
        </w:rPr>
        <w:t>xisting pieces of legislation</w:t>
      </w:r>
      <w:r w:rsidR="001561F2" w:rsidRPr="00BC68C4">
        <w:rPr>
          <w:rFonts w:ascii="Times New Roman" w:hAnsi="Times New Roman" w:cs="Times New Roman"/>
          <w:sz w:val="24"/>
          <w:szCs w:val="24"/>
        </w:rPr>
        <w:t xml:space="preserve"> and was the capstone on the liberalisation process. </w:t>
      </w:r>
      <w:r w:rsidR="00494263" w:rsidRPr="00BC68C4">
        <w:rPr>
          <w:rFonts w:ascii="Times New Roman" w:hAnsi="Times New Roman" w:cs="Times New Roman"/>
          <w:sz w:val="24"/>
          <w:szCs w:val="24"/>
        </w:rPr>
        <w:t>The</w:t>
      </w:r>
      <w:r w:rsidR="001561F2" w:rsidRPr="00BC68C4">
        <w:rPr>
          <w:rFonts w:ascii="Times New Roman" w:hAnsi="Times New Roman" w:cs="Times New Roman"/>
          <w:sz w:val="24"/>
          <w:szCs w:val="24"/>
        </w:rPr>
        <w:t xml:space="preserve"> ownership and control of the </w:t>
      </w:r>
      <w:r w:rsidR="00494263" w:rsidRPr="00BC68C4">
        <w:rPr>
          <w:rFonts w:ascii="Times New Roman" w:hAnsi="Times New Roman" w:cs="Times New Roman"/>
          <w:sz w:val="24"/>
          <w:szCs w:val="24"/>
        </w:rPr>
        <w:t>companies</w:t>
      </w:r>
      <w:r w:rsidR="001561F2" w:rsidRPr="00BC68C4">
        <w:rPr>
          <w:rFonts w:ascii="Times New Roman" w:hAnsi="Times New Roman" w:cs="Times New Roman"/>
          <w:sz w:val="24"/>
          <w:szCs w:val="24"/>
        </w:rPr>
        <w:t xml:space="preserve"> </w:t>
      </w:r>
      <w:r w:rsidR="006D23D4">
        <w:rPr>
          <w:rFonts w:ascii="Times New Roman" w:hAnsi="Times New Roman" w:cs="Times New Roman"/>
          <w:sz w:val="24"/>
          <w:szCs w:val="24"/>
        </w:rPr>
        <w:t xml:space="preserve">which </w:t>
      </w:r>
      <w:r w:rsidR="001561F2" w:rsidRPr="00BC68C4">
        <w:rPr>
          <w:rFonts w:ascii="Times New Roman" w:hAnsi="Times New Roman" w:cs="Times New Roman"/>
          <w:sz w:val="24"/>
          <w:szCs w:val="24"/>
        </w:rPr>
        <w:t>incorporated under the 1862 Act</w:t>
      </w:r>
      <w:r w:rsidR="006D23D4">
        <w:rPr>
          <w:rFonts w:ascii="Times New Roman" w:hAnsi="Times New Roman" w:cs="Times New Roman"/>
          <w:sz w:val="24"/>
          <w:szCs w:val="24"/>
        </w:rPr>
        <w:t>,</w:t>
      </w:r>
      <w:r w:rsidR="00494263" w:rsidRPr="00BC68C4">
        <w:rPr>
          <w:rFonts w:ascii="Times New Roman" w:hAnsi="Times New Roman" w:cs="Times New Roman"/>
          <w:sz w:val="24"/>
          <w:szCs w:val="24"/>
        </w:rPr>
        <w:t xml:space="preserve"> </w:t>
      </w:r>
      <w:r w:rsidR="001561F2" w:rsidRPr="00BC68C4">
        <w:rPr>
          <w:rFonts w:ascii="Times New Roman" w:hAnsi="Times New Roman" w:cs="Times New Roman"/>
          <w:sz w:val="24"/>
          <w:szCs w:val="24"/>
        </w:rPr>
        <w:t xml:space="preserve">and raised share capital from the </w:t>
      </w:r>
      <w:r w:rsidR="00150A29">
        <w:rPr>
          <w:rFonts w:ascii="Times New Roman" w:hAnsi="Times New Roman" w:cs="Times New Roman"/>
          <w:sz w:val="24"/>
          <w:szCs w:val="24"/>
        </w:rPr>
        <w:t>market</w:t>
      </w:r>
      <w:r w:rsidR="006D23D4">
        <w:rPr>
          <w:rFonts w:ascii="Times New Roman" w:hAnsi="Times New Roman" w:cs="Times New Roman"/>
          <w:sz w:val="24"/>
          <w:szCs w:val="24"/>
        </w:rPr>
        <w:t>,</w:t>
      </w:r>
      <w:r w:rsidR="001561F2" w:rsidRPr="00BC68C4">
        <w:rPr>
          <w:rFonts w:ascii="Times New Roman" w:hAnsi="Times New Roman" w:cs="Times New Roman"/>
          <w:sz w:val="24"/>
          <w:szCs w:val="24"/>
        </w:rPr>
        <w:t xml:space="preserve"> </w:t>
      </w:r>
      <w:r w:rsidR="00494263" w:rsidRPr="00BC68C4">
        <w:rPr>
          <w:rFonts w:ascii="Times New Roman" w:hAnsi="Times New Roman" w:cs="Times New Roman"/>
          <w:sz w:val="24"/>
          <w:szCs w:val="24"/>
        </w:rPr>
        <w:t xml:space="preserve">are the focus of this </w:t>
      </w:r>
      <w:r w:rsidR="001561F2" w:rsidRPr="00BC68C4">
        <w:rPr>
          <w:rFonts w:ascii="Times New Roman" w:hAnsi="Times New Roman" w:cs="Times New Roman"/>
          <w:sz w:val="24"/>
          <w:szCs w:val="24"/>
        </w:rPr>
        <w:t>study</w:t>
      </w:r>
      <w:r w:rsidR="00494263" w:rsidRPr="00BC68C4">
        <w:rPr>
          <w:rFonts w:ascii="Times New Roman" w:hAnsi="Times New Roman" w:cs="Times New Roman"/>
          <w:sz w:val="24"/>
          <w:szCs w:val="24"/>
        </w:rPr>
        <w:t xml:space="preserve">. </w:t>
      </w:r>
    </w:p>
    <w:p w14:paraId="16E04240" w14:textId="77777777" w:rsidR="00106E15" w:rsidRDefault="00106E15" w:rsidP="00666BE1">
      <w:pPr>
        <w:spacing w:line="480" w:lineRule="auto"/>
        <w:rPr>
          <w:rFonts w:ascii="Times New Roman" w:hAnsi="Times New Roman" w:cs="Times New Roman"/>
          <w:i/>
          <w:sz w:val="24"/>
          <w:szCs w:val="24"/>
        </w:rPr>
      </w:pPr>
    </w:p>
    <w:p w14:paraId="3B7DBBDD" w14:textId="11175F40" w:rsidR="000718FA" w:rsidRPr="00BC68C4" w:rsidRDefault="00B61497" w:rsidP="00666BE1">
      <w:pPr>
        <w:spacing w:line="480" w:lineRule="auto"/>
        <w:rPr>
          <w:rFonts w:ascii="Times New Roman" w:hAnsi="Times New Roman" w:cs="Times New Roman"/>
          <w:i/>
          <w:sz w:val="24"/>
          <w:szCs w:val="24"/>
        </w:rPr>
      </w:pPr>
      <w:r w:rsidRPr="00BC68C4">
        <w:rPr>
          <w:rFonts w:ascii="Times New Roman" w:hAnsi="Times New Roman" w:cs="Times New Roman"/>
          <w:i/>
          <w:sz w:val="24"/>
          <w:szCs w:val="24"/>
        </w:rPr>
        <w:t>Manager-owner conflict</w:t>
      </w:r>
    </w:p>
    <w:p w14:paraId="65E75DBC" w14:textId="4FC248DC" w:rsidR="00775C1C" w:rsidRDefault="001561F2" w:rsidP="00F90094">
      <w:pPr>
        <w:spacing w:line="480" w:lineRule="auto"/>
        <w:ind w:firstLine="720"/>
        <w:rPr>
          <w:rFonts w:ascii="Times New Roman" w:hAnsi="Times New Roman" w:cs="Times New Roman"/>
          <w:sz w:val="24"/>
          <w:szCs w:val="24"/>
        </w:rPr>
      </w:pPr>
      <w:r w:rsidRPr="00BC68C4">
        <w:rPr>
          <w:rFonts w:ascii="Times New Roman" w:hAnsi="Times New Roman" w:cs="Times New Roman"/>
          <w:sz w:val="24"/>
          <w:szCs w:val="24"/>
        </w:rPr>
        <w:t>Many of the companies incorporated under the 1862 Companies Act</w:t>
      </w:r>
      <w:r w:rsidR="0074776C" w:rsidRPr="00BC68C4">
        <w:rPr>
          <w:rFonts w:ascii="Times New Roman" w:hAnsi="Times New Roman" w:cs="Times New Roman"/>
          <w:sz w:val="24"/>
          <w:szCs w:val="24"/>
        </w:rPr>
        <w:t xml:space="preserve"> had diffuse ownership (Acheson et al. 2015). </w:t>
      </w:r>
      <w:r w:rsidRPr="00BC68C4">
        <w:rPr>
          <w:rFonts w:ascii="Times New Roman" w:hAnsi="Times New Roman" w:cs="Times New Roman"/>
          <w:sz w:val="24"/>
          <w:szCs w:val="24"/>
        </w:rPr>
        <w:t xml:space="preserve"> </w:t>
      </w:r>
      <w:r w:rsidR="00775C1C">
        <w:rPr>
          <w:rFonts w:ascii="Times New Roman" w:hAnsi="Times New Roman" w:cs="Times New Roman"/>
          <w:sz w:val="24"/>
          <w:szCs w:val="24"/>
        </w:rPr>
        <w:t>Such a</w:t>
      </w:r>
      <w:r w:rsidR="004D63BF" w:rsidRPr="00BC68C4">
        <w:rPr>
          <w:rFonts w:ascii="Times New Roman" w:hAnsi="Times New Roman" w:cs="Times New Roman"/>
          <w:sz w:val="24"/>
          <w:szCs w:val="24"/>
        </w:rPr>
        <w:t xml:space="preserve"> separation of ownership from control allows specialisation in share ownership (or residual risk-bearing) and in managerial control (</w:t>
      </w:r>
      <w:proofErr w:type="spellStart"/>
      <w:r w:rsidR="004D63BF" w:rsidRPr="00BC68C4">
        <w:rPr>
          <w:rFonts w:ascii="Times New Roman" w:hAnsi="Times New Roman" w:cs="Times New Roman"/>
          <w:sz w:val="24"/>
          <w:szCs w:val="24"/>
        </w:rPr>
        <w:t>Fama</w:t>
      </w:r>
      <w:proofErr w:type="spellEnd"/>
      <w:r w:rsidR="004D63BF" w:rsidRPr="00BC68C4">
        <w:rPr>
          <w:rFonts w:ascii="Times New Roman" w:hAnsi="Times New Roman" w:cs="Times New Roman"/>
          <w:sz w:val="24"/>
          <w:szCs w:val="24"/>
        </w:rPr>
        <w:t xml:space="preserve"> and Jensen, 1983).  </w:t>
      </w:r>
      <w:r w:rsidR="00D0183A" w:rsidRPr="00BC68C4">
        <w:rPr>
          <w:rFonts w:ascii="Times New Roman" w:hAnsi="Times New Roman" w:cs="Times New Roman"/>
          <w:sz w:val="24"/>
          <w:szCs w:val="24"/>
        </w:rPr>
        <w:t xml:space="preserve">With the liberalisation of </w:t>
      </w:r>
      <w:r w:rsidR="000661EA" w:rsidRPr="00BC68C4">
        <w:rPr>
          <w:rFonts w:ascii="Times New Roman" w:hAnsi="Times New Roman" w:cs="Times New Roman"/>
          <w:sz w:val="24"/>
          <w:szCs w:val="24"/>
        </w:rPr>
        <w:t xml:space="preserve">UK </w:t>
      </w:r>
      <w:r w:rsidR="00D0183A" w:rsidRPr="00BC68C4">
        <w:rPr>
          <w:rFonts w:ascii="Times New Roman" w:hAnsi="Times New Roman" w:cs="Times New Roman"/>
          <w:sz w:val="24"/>
          <w:szCs w:val="24"/>
        </w:rPr>
        <w:t xml:space="preserve">incorporation law, this specialisation was available to every </w:t>
      </w:r>
      <w:r w:rsidR="000661EA" w:rsidRPr="00BC68C4">
        <w:rPr>
          <w:rFonts w:ascii="Times New Roman" w:hAnsi="Times New Roman" w:cs="Times New Roman"/>
          <w:sz w:val="24"/>
          <w:szCs w:val="24"/>
        </w:rPr>
        <w:t>firm</w:t>
      </w:r>
      <w:r w:rsidR="00D0183A" w:rsidRPr="00BC68C4">
        <w:rPr>
          <w:rFonts w:ascii="Times New Roman" w:hAnsi="Times New Roman" w:cs="Times New Roman"/>
          <w:sz w:val="24"/>
          <w:szCs w:val="24"/>
        </w:rPr>
        <w:t xml:space="preserve">. </w:t>
      </w:r>
      <w:r w:rsidR="004D63BF" w:rsidRPr="00BC68C4">
        <w:rPr>
          <w:rFonts w:ascii="Times New Roman" w:hAnsi="Times New Roman" w:cs="Times New Roman"/>
          <w:sz w:val="24"/>
          <w:szCs w:val="24"/>
        </w:rPr>
        <w:t xml:space="preserve">However, </w:t>
      </w:r>
      <w:r w:rsidR="000E5E19" w:rsidRPr="00BC68C4">
        <w:rPr>
          <w:rFonts w:ascii="Times New Roman" w:hAnsi="Times New Roman" w:cs="Times New Roman"/>
          <w:sz w:val="24"/>
          <w:szCs w:val="24"/>
        </w:rPr>
        <w:t>this specialisation</w:t>
      </w:r>
      <w:r w:rsidR="00D0183A" w:rsidRPr="00BC68C4">
        <w:rPr>
          <w:rFonts w:ascii="Times New Roman" w:hAnsi="Times New Roman" w:cs="Times New Roman"/>
          <w:sz w:val="24"/>
          <w:szCs w:val="24"/>
        </w:rPr>
        <w:t xml:space="preserve"> </w:t>
      </w:r>
      <w:r w:rsidR="00CA42C9" w:rsidRPr="00BC68C4">
        <w:rPr>
          <w:rFonts w:ascii="Times New Roman" w:hAnsi="Times New Roman" w:cs="Times New Roman"/>
          <w:sz w:val="24"/>
          <w:szCs w:val="24"/>
        </w:rPr>
        <w:t>may</w:t>
      </w:r>
      <w:r w:rsidR="0074776C" w:rsidRPr="00BC68C4">
        <w:rPr>
          <w:rFonts w:ascii="Times New Roman" w:hAnsi="Times New Roman" w:cs="Times New Roman"/>
          <w:sz w:val="24"/>
          <w:szCs w:val="24"/>
        </w:rPr>
        <w:t xml:space="preserve"> </w:t>
      </w:r>
      <w:r w:rsidR="00F033C9" w:rsidRPr="00BC68C4">
        <w:rPr>
          <w:rFonts w:ascii="Times New Roman" w:hAnsi="Times New Roman" w:cs="Times New Roman"/>
          <w:sz w:val="24"/>
          <w:szCs w:val="24"/>
        </w:rPr>
        <w:t xml:space="preserve">give rise to </w:t>
      </w:r>
      <w:r w:rsidR="00B61497" w:rsidRPr="00BC68C4">
        <w:rPr>
          <w:rFonts w:ascii="Times New Roman" w:hAnsi="Times New Roman" w:cs="Times New Roman"/>
          <w:sz w:val="24"/>
          <w:szCs w:val="24"/>
        </w:rPr>
        <w:t>an</w:t>
      </w:r>
      <w:r w:rsidR="00F033C9" w:rsidRPr="00BC68C4">
        <w:rPr>
          <w:rFonts w:ascii="Times New Roman" w:hAnsi="Times New Roman" w:cs="Times New Roman"/>
          <w:sz w:val="24"/>
          <w:szCs w:val="24"/>
        </w:rPr>
        <w:t xml:space="preserve"> agency problem, in that </w:t>
      </w:r>
      <w:r w:rsidR="00D0183A" w:rsidRPr="00BC68C4">
        <w:rPr>
          <w:rFonts w:ascii="Times New Roman" w:hAnsi="Times New Roman" w:cs="Times New Roman"/>
          <w:sz w:val="24"/>
          <w:szCs w:val="24"/>
        </w:rPr>
        <w:t>managers pursue their own interests and do</w:t>
      </w:r>
      <w:r w:rsidR="00D47CC1" w:rsidRPr="00BC68C4">
        <w:rPr>
          <w:rFonts w:ascii="Times New Roman" w:hAnsi="Times New Roman" w:cs="Times New Roman"/>
          <w:sz w:val="24"/>
          <w:szCs w:val="24"/>
        </w:rPr>
        <w:t xml:space="preserve"> not act in the interests of shareholders</w:t>
      </w:r>
      <w:r w:rsidR="00D0183A" w:rsidRPr="00BC68C4">
        <w:rPr>
          <w:rFonts w:ascii="Times New Roman" w:hAnsi="Times New Roman" w:cs="Times New Roman"/>
          <w:sz w:val="24"/>
          <w:szCs w:val="24"/>
        </w:rPr>
        <w:t xml:space="preserve"> (</w:t>
      </w:r>
      <w:proofErr w:type="spellStart"/>
      <w:r w:rsidR="00D0183A" w:rsidRPr="00BC68C4">
        <w:rPr>
          <w:rFonts w:ascii="Times New Roman" w:hAnsi="Times New Roman" w:cs="Times New Roman"/>
          <w:sz w:val="24"/>
          <w:szCs w:val="24"/>
        </w:rPr>
        <w:t>Berle</w:t>
      </w:r>
      <w:proofErr w:type="spellEnd"/>
      <w:r w:rsidR="00D0183A" w:rsidRPr="00BC68C4">
        <w:rPr>
          <w:rFonts w:ascii="Times New Roman" w:hAnsi="Times New Roman" w:cs="Times New Roman"/>
          <w:sz w:val="24"/>
          <w:szCs w:val="24"/>
        </w:rPr>
        <w:t xml:space="preserve"> and Means, 1932; Jensen and</w:t>
      </w:r>
      <w:r w:rsidR="005433B5" w:rsidRPr="00BC68C4">
        <w:rPr>
          <w:rFonts w:ascii="Times New Roman" w:hAnsi="Times New Roman" w:cs="Times New Roman"/>
          <w:sz w:val="24"/>
          <w:szCs w:val="24"/>
        </w:rPr>
        <w:t xml:space="preserve"> </w:t>
      </w:r>
      <w:proofErr w:type="spellStart"/>
      <w:r w:rsidR="00D0183A" w:rsidRPr="00BC68C4">
        <w:rPr>
          <w:rFonts w:ascii="Times New Roman" w:hAnsi="Times New Roman" w:cs="Times New Roman"/>
          <w:sz w:val="24"/>
          <w:szCs w:val="24"/>
        </w:rPr>
        <w:t>Meckling</w:t>
      </w:r>
      <w:proofErr w:type="spellEnd"/>
      <w:r w:rsidR="00D0183A" w:rsidRPr="00BC68C4">
        <w:rPr>
          <w:rFonts w:ascii="Times New Roman" w:hAnsi="Times New Roman" w:cs="Times New Roman"/>
          <w:sz w:val="24"/>
          <w:szCs w:val="24"/>
        </w:rPr>
        <w:t>, 1976)</w:t>
      </w:r>
      <w:r w:rsidR="00D47CC1" w:rsidRPr="00BC68C4">
        <w:rPr>
          <w:rFonts w:ascii="Times New Roman" w:hAnsi="Times New Roman" w:cs="Times New Roman"/>
          <w:sz w:val="24"/>
          <w:szCs w:val="24"/>
        </w:rPr>
        <w:t xml:space="preserve">.  </w:t>
      </w:r>
      <w:r w:rsidR="00505E80" w:rsidRPr="00BC68C4">
        <w:rPr>
          <w:rFonts w:ascii="Times New Roman" w:hAnsi="Times New Roman" w:cs="Times New Roman"/>
          <w:sz w:val="24"/>
          <w:szCs w:val="24"/>
        </w:rPr>
        <w:t>Examples of managerial inefficiency</w:t>
      </w:r>
      <w:r w:rsidR="00621664" w:rsidRPr="00BC68C4">
        <w:rPr>
          <w:rFonts w:ascii="Times New Roman" w:hAnsi="Times New Roman" w:cs="Times New Roman"/>
          <w:sz w:val="24"/>
          <w:szCs w:val="24"/>
        </w:rPr>
        <w:t xml:space="preserve"> in the late Victorian era</w:t>
      </w:r>
      <w:r w:rsidR="00505E80" w:rsidRPr="00BC68C4">
        <w:rPr>
          <w:rFonts w:ascii="Times New Roman" w:hAnsi="Times New Roman" w:cs="Times New Roman"/>
          <w:sz w:val="24"/>
          <w:szCs w:val="24"/>
        </w:rPr>
        <w:t xml:space="preserve"> have been highlighted by a number of authors looking </w:t>
      </w:r>
      <w:bookmarkStart w:id="0" w:name="_GoBack"/>
      <w:bookmarkEnd w:id="0"/>
      <w:r w:rsidR="00505E80" w:rsidRPr="00BC68C4">
        <w:rPr>
          <w:rFonts w:ascii="Times New Roman" w:hAnsi="Times New Roman" w:cs="Times New Roman"/>
          <w:sz w:val="24"/>
          <w:szCs w:val="24"/>
        </w:rPr>
        <w:t>at the railway indus</w:t>
      </w:r>
      <w:r w:rsidR="00B61497" w:rsidRPr="00BC68C4">
        <w:rPr>
          <w:rFonts w:ascii="Times New Roman" w:hAnsi="Times New Roman" w:cs="Times New Roman"/>
          <w:sz w:val="24"/>
          <w:szCs w:val="24"/>
        </w:rPr>
        <w:t>try (Arnold and McCartney, 2005;</w:t>
      </w:r>
      <w:r w:rsidR="00505E80" w:rsidRPr="00BC68C4">
        <w:rPr>
          <w:rFonts w:ascii="Times New Roman" w:hAnsi="Times New Roman" w:cs="Times New Roman"/>
          <w:sz w:val="24"/>
          <w:szCs w:val="24"/>
        </w:rPr>
        <w:t xml:space="preserve"> Crafts</w:t>
      </w:r>
      <w:r w:rsidR="00652107" w:rsidRPr="00BC68C4">
        <w:rPr>
          <w:rFonts w:ascii="Times New Roman" w:hAnsi="Times New Roman" w:cs="Times New Roman"/>
          <w:sz w:val="24"/>
          <w:szCs w:val="24"/>
        </w:rPr>
        <w:t xml:space="preserve"> et al.</w:t>
      </w:r>
      <w:r w:rsidR="00B61497" w:rsidRPr="00BC68C4">
        <w:rPr>
          <w:rFonts w:ascii="Times New Roman" w:hAnsi="Times New Roman" w:cs="Times New Roman"/>
          <w:sz w:val="24"/>
          <w:szCs w:val="24"/>
        </w:rPr>
        <w:t>, 2008;</w:t>
      </w:r>
      <w:r w:rsidR="00505E80" w:rsidRPr="00BC68C4">
        <w:rPr>
          <w:rFonts w:ascii="Times New Roman" w:hAnsi="Times New Roman" w:cs="Times New Roman"/>
          <w:sz w:val="24"/>
          <w:szCs w:val="24"/>
        </w:rPr>
        <w:t xml:space="preserve"> Mitchell</w:t>
      </w:r>
      <w:r w:rsidR="00652107" w:rsidRPr="00BC68C4">
        <w:rPr>
          <w:rFonts w:ascii="Times New Roman" w:hAnsi="Times New Roman" w:cs="Times New Roman"/>
          <w:sz w:val="24"/>
          <w:szCs w:val="24"/>
        </w:rPr>
        <w:t xml:space="preserve"> et al.,</w:t>
      </w:r>
      <w:r w:rsidR="00505E80" w:rsidRPr="00BC68C4">
        <w:rPr>
          <w:rFonts w:ascii="Times New Roman" w:hAnsi="Times New Roman" w:cs="Times New Roman"/>
          <w:sz w:val="24"/>
          <w:szCs w:val="24"/>
        </w:rPr>
        <w:t xml:space="preserve"> 2011</w:t>
      </w:r>
      <w:r w:rsidR="00505E80" w:rsidRPr="006658C5">
        <w:rPr>
          <w:rFonts w:ascii="Times New Roman" w:hAnsi="Times New Roman" w:cs="Times New Roman"/>
          <w:sz w:val="24"/>
          <w:szCs w:val="24"/>
        </w:rPr>
        <w:t>)</w:t>
      </w:r>
      <w:r w:rsidR="00652107" w:rsidRPr="006658C5">
        <w:rPr>
          <w:rFonts w:ascii="Times New Roman" w:hAnsi="Times New Roman" w:cs="Times New Roman"/>
          <w:sz w:val="24"/>
          <w:szCs w:val="24"/>
        </w:rPr>
        <w:t>.</w:t>
      </w:r>
      <w:r w:rsidR="00C074AD" w:rsidRPr="006658C5">
        <w:rPr>
          <w:rStyle w:val="FootnoteReference"/>
          <w:rFonts w:ascii="Times New Roman" w:hAnsi="Times New Roman" w:cs="Times New Roman"/>
          <w:sz w:val="24"/>
          <w:szCs w:val="24"/>
        </w:rPr>
        <w:footnoteReference w:id="7"/>
      </w:r>
      <w:r w:rsidR="00652107" w:rsidRPr="006658C5">
        <w:rPr>
          <w:rFonts w:ascii="Times New Roman" w:hAnsi="Times New Roman" w:cs="Times New Roman"/>
          <w:sz w:val="24"/>
          <w:szCs w:val="24"/>
        </w:rPr>
        <w:t xml:space="preserve"> </w:t>
      </w:r>
      <w:r w:rsidR="00F35481" w:rsidRPr="006658C5">
        <w:rPr>
          <w:rFonts w:ascii="Times New Roman" w:hAnsi="Times New Roman" w:cs="Times New Roman"/>
          <w:sz w:val="24"/>
          <w:szCs w:val="24"/>
        </w:rPr>
        <w:t>A possible</w:t>
      </w:r>
      <w:r w:rsidR="00F35481" w:rsidRPr="00BC68C4">
        <w:rPr>
          <w:rFonts w:ascii="Times New Roman" w:hAnsi="Times New Roman" w:cs="Times New Roman"/>
          <w:sz w:val="24"/>
          <w:szCs w:val="24"/>
        </w:rPr>
        <w:t xml:space="preserve"> solution to the managerial agency problem may be </w:t>
      </w:r>
      <w:r w:rsidR="00A078B3" w:rsidRPr="00BC68C4">
        <w:rPr>
          <w:rFonts w:ascii="Times New Roman" w:hAnsi="Times New Roman" w:cs="Times New Roman"/>
          <w:sz w:val="24"/>
          <w:szCs w:val="24"/>
        </w:rPr>
        <w:t xml:space="preserve">provided by </w:t>
      </w:r>
      <w:r w:rsidR="008B40D3" w:rsidRPr="00BC68C4">
        <w:rPr>
          <w:rFonts w:ascii="Times New Roman" w:hAnsi="Times New Roman" w:cs="Times New Roman"/>
          <w:sz w:val="24"/>
          <w:szCs w:val="24"/>
        </w:rPr>
        <w:t xml:space="preserve">monitors who have the incentive to collect information about the firm, and the power to influence managers. </w:t>
      </w:r>
    </w:p>
    <w:p w14:paraId="0AC0DAD4" w14:textId="69B94E04" w:rsidR="0077069F" w:rsidRPr="00BC68C4" w:rsidRDefault="00775C1C" w:rsidP="00385D1B">
      <w:pPr>
        <w:spacing w:line="480" w:lineRule="auto"/>
        <w:rPr>
          <w:rFonts w:ascii="Times New Roman" w:hAnsi="Times New Roman" w:cs="Times New Roman"/>
          <w:sz w:val="24"/>
          <w:szCs w:val="24"/>
        </w:rPr>
      </w:pPr>
      <w:r>
        <w:rPr>
          <w:rFonts w:ascii="Times New Roman" w:hAnsi="Times New Roman" w:cs="Times New Roman"/>
          <w:sz w:val="24"/>
          <w:szCs w:val="24"/>
        </w:rPr>
        <w:tab/>
      </w:r>
      <w:r w:rsidR="008B40D3" w:rsidRPr="00BC68C4">
        <w:rPr>
          <w:rFonts w:ascii="Times New Roman" w:hAnsi="Times New Roman" w:cs="Times New Roman"/>
          <w:sz w:val="24"/>
          <w:szCs w:val="24"/>
        </w:rPr>
        <w:t xml:space="preserve">In this study, we categorise the key monitors into three groups: large active </w:t>
      </w:r>
      <w:r>
        <w:rPr>
          <w:rFonts w:ascii="Times New Roman" w:hAnsi="Times New Roman" w:cs="Times New Roman"/>
          <w:sz w:val="24"/>
          <w:szCs w:val="24"/>
        </w:rPr>
        <w:t xml:space="preserve">family </w:t>
      </w:r>
      <w:proofErr w:type="spellStart"/>
      <w:r w:rsidR="008B40D3" w:rsidRPr="00BC68C4">
        <w:rPr>
          <w:rFonts w:ascii="Times New Roman" w:hAnsi="Times New Roman" w:cs="Times New Roman"/>
          <w:sz w:val="24"/>
          <w:szCs w:val="24"/>
        </w:rPr>
        <w:t>blockholders</w:t>
      </w:r>
      <w:proofErr w:type="spellEnd"/>
      <w:r w:rsidR="008B40D3" w:rsidRPr="00BC68C4">
        <w:rPr>
          <w:rFonts w:ascii="Times New Roman" w:hAnsi="Times New Roman" w:cs="Times New Roman"/>
          <w:sz w:val="24"/>
          <w:szCs w:val="24"/>
        </w:rPr>
        <w:t xml:space="preserve">, large passive </w:t>
      </w:r>
      <w:proofErr w:type="spellStart"/>
      <w:r w:rsidR="008B40D3" w:rsidRPr="00BC68C4">
        <w:rPr>
          <w:rFonts w:ascii="Times New Roman" w:hAnsi="Times New Roman" w:cs="Times New Roman"/>
          <w:sz w:val="24"/>
          <w:szCs w:val="24"/>
        </w:rPr>
        <w:t>blockholders</w:t>
      </w:r>
      <w:proofErr w:type="spellEnd"/>
      <w:r w:rsidR="008B40D3" w:rsidRPr="00BC68C4">
        <w:rPr>
          <w:rFonts w:ascii="Times New Roman" w:hAnsi="Times New Roman" w:cs="Times New Roman"/>
          <w:sz w:val="24"/>
          <w:szCs w:val="24"/>
        </w:rPr>
        <w:t xml:space="preserve">, and directors who are not </w:t>
      </w:r>
      <w:proofErr w:type="spellStart"/>
      <w:r w:rsidR="008B40D3" w:rsidRPr="00BC68C4">
        <w:rPr>
          <w:rFonts w:ascii="Times New Roman" w:hAnsi="Times New Roman" w:cs="Times New Roman"/>
          <w:sz w:val="24"/>
          <w:szCs w:val="24"/>
        </w:rPr>
        <w:t>blockholders</w:t>
      </w:r>
      <w:proofErr w:type="spellEnd"/>
      <w:r w:rsidR="008B40D3" w:rsidRPr="00BC68C4">
        <w:rPr>
          <w:rFonts w:ascii="Times New Roman" w:hAnsi="Times New Roman" w:cs="Times New Roman"/>
          <w:sz w:val="24"/>
          <w:szCs w:val="24"/>
        </w:rPr>
        <w:t>.</w:t>
      </w:r>
      <w:r>
        <w:rPr>
          <w:rFonts w:ascii="Times New Roman" w:hAnsi="Times New Roman" w:cs="Times New Roman"/>
          <w:sz w:val="24"/>
          <w:szCs w:val="24"/>
        </w:rPr>
        <w:t xml:space="preserve"> A </w:t>
      </w:r>
      <w:proofErr w:type="spellStart"/>
      <w:r>
        <w:rPr>
          <w:rFonts w:ascii="Times New Roman" w:hAnsi="Times New Roman" w:cs="Times New Roman"/>
          <w:sz w:val="24"/>
          <w:szCs w:val="24"/>
        </w:rPr>
        <w:t>blockholder</w:t>
      </w:r>
      <w:proofErr w:type="spellEnd"/>
      <w:r>
        <w:rPr>
          <w:rFonts w:ascii="Times New Roman" w:hAnsi="Times New Roman" w:cs="Times New Roman"/>
          <w:sz w:val="24"/>
          <w:szCs w:val="24"/>
        </w:rPr>
        <w:t xml:space="preserve"> is a shareholder</w:t>
      </w:r>
      <w:r w:rsidR="0003480D">
        <w:rPr>
          <w:rFonts w:ascii="Times New Roman" w:hAnsi="Times New Roman" w:cs="Times New Roman"/>
          <w:sz w:val="24"/>
          <w:szCs w:val="24"/>
        </w:rPr>
        <w:t xml:space="preserve"> </w:t>
      </w:r>
      <w:r w:rsidR="006D23D4">
        <w:rPr>
          <w:rFonts w:ascii="Times New Roman" w:hAnsi="Times New Roman" w:cs="Times New Roman"/>
          <w:sz w:val="24"/>
          <w:szCs w:val="24"/>
        </w:rPr>
        <w:t>controlling</w:t>
      </w:r>
      <w:r w:rsidR="0003480D">
        <w:rPr>
          <w:rFonts w:ascii="Times New Roman" w:hAnsi="Times New Roman" w:cs="Times New Roman"/>
          <w:sz w:val="24"/>
          <w:szCs w:val="24"/>
        </w:rPr>
        <w:t xml:space="preserve"> more than 10%</w:t>
      </w:r>
      <w:r w:rsidR="00002C56">
        <w:rPr>
          <w:rFonts w:ascii="Times New Roman" w:hAnsi="Times New Roman" w:cs="Times New Roman"/>
          <w:sz w:val="24"/>
          <w:szCs w:val="24"/>
        </w:rPr>
        <w:t xml:space="preserve"> of the</w:t>
      </w:r>
      <w:r w:rsidR="006D23D4">
        <w:rPr>
          <w:rFonts w:ascii="Times New Roman" w:hAnsi="Times New Roman" w:cs="Times New Roman"/>
          <w:sz w:val="24"/>
          <w:szCs w:val="24"/>
        </w:rPr>
        <w:t xml:space="preserve"> company</w:t>
      </w:r>
      <w:r w:rsidR="0003480D">
        <w:rPr>
          <w:rFonts w:ascii="Times New Roman" w:hAnsi="Times New Roman" w:cs="Times New Roman"/>
          <w:sz w:val="24"/>
          <w:szCs w:val="24"/>
        </w:rPr>
        <w:t xml:space="preserve">. </w:t>
      </w:r>
      <w:r w:rsidR="00717663" w:rsidRPr="00BC68C4">
        <w:rPr>
          <w:rFonts w:ascii="Times New Roman" w:hAnsi="Times New Roman" w:cs="Times New Roman"/>
          <w:sz w:val="24"/>
          <w:szCs w:val="24"/>
        </w:rPr>
        <w:t xml:space="preserve">We hypothesise that the presence of large active </w:t>
      </w:r>
      <w:proofErr w:type="spellStart"/>
      <w:r w:rsidR="00717663" w:rsidRPr="00BC68C4">
        <w:rPr>
          <w:rFonts w:ascii="Times New Roman" w:hAnsi="Times New Roman" w:cs="Times New Roman"/>
          <w:sz w:val="24"/>
          <w:szCs w:val="24"/>
        </w:rPr>
        <w:t>blockholders</w:t>
      </w:r>
      <w:proofErr w:type="spellEnd"/>
      <w:r w:rsidR="00717663" w:rsidRPr="00BC68C4">
        <w:rPr>
          <w:rFonts w:ascii="Times New Roman" w:hAnsi="Times New Roman" w:cs="Times New Roman"/>
          <w:sz w:val="24"/>
          <w:szCs w:val="24"/>
        </w:rPr>
        <w:t xml:space="preserve"> will reduce the</w:t>
      </w:r>
      <w:r w:rsidR="00B61497" w:rsidRPr="00BC68C4">
        <w:rPr>
          <w:rFonts w:ascii="Times New Roman" w:hAnsi="Times New Roman" w:cs="Times New Roman"/>
          <w:sz w:val="24"/>
          <w:szCs w:val="24"/>
        </w:rPr>
        <w:t xml:space="preserve"> conflict between managers and owners</w:t>
      </w:r>
      <w:r w:rsidR="008E6A08" w:rsidRPr="00BC68C4">
        <w:rPr>
          <w:rFonts w:ascii="Times New Roman" w:hAnsi="Times New Roman" w:cs="Times New Roman"/>
          <w:sz w:val="24"/>
          <w:szCs w:val="24"/>
        </w:rPr>
        <w:t>, and raise profitability</w:t>
      </w:r>
      <w:r w:rsidR="00F52CAC" w:rsidRPr="00BC68C4">
        <w:rPr>
          <w:rFonts w:ascii="Times New Roman" w:hAnsi="Times New Roman" w:cs="Times New Roman"/>
          <w:sz w:val="24"/>
          <w:szCs w:val="24"/>
        </w:rPr>
        <w:t xml:space="preserve"> as measured by Return on Assets (ROA)</w:t>
      </w:r>
      <w:r w:rsidR="00717663" w:rsidRPr="00BC68C4">
        <w:rPr>
          <w:rFonts w:ascii="Times New Roman" w:hAnsi="Times New Roman" w:cs="Times New Roman"/>
          <w:sz w:val="24"/>
          <w:szCs w:val="24"/>
        </w:rPr>
        <w:t xml:space="preserve">. </w:t>
      </w:r>
      <w:r w:rsidR="008E6A08" w:rsidRPr="00BC68C4">
        <w:rPr>
          <w:rFonts w:ascii="Times New Roman" w:hAnsi="Times New Roman" w:cs="Times New Roman"/>
          <w:sz w:val="24"/>
          <w:szCs w:val="24"/>
        </w:rPr>
        <w:t>These</w:t>
      </w:r>
      <w:r w:rsidR="00717663" w:rsidRPr="00BC68C4">
        <w:rPr>
          <w:rFonts w:ascii="Times New Roman" w:hAnsi="Times New Roman" w:cs="Times New Roman"/>
          <w:sz w:val="24"/>
          <w:szCs w:val="24"/>
        </w:rPr>
        <w:t xml:space="preserve"> large active </w:t>
      </w:r>
      <w:proofErr w:type="spellStart"/>
      <w:r w:rsidR="00717663" w:rsidRPr="00BC68C4">
        <w:rPr>
          <w:rFonts w:ascii="Times New Roman" w:hAnsi="Times New Roman" w:cs="Times New Roman"/>
          <w:sz w:val="24"/>
          <w:szCs w:val="24"/>
        </w:rPr>
        <w:t>blockholders</w:t>
      </w:r>
      <w:proofErr w:type="spellEnd"/>
      <w:r w:rsidR="00717663" w:rsidRPr="00BC68C4">
        <w:rPr>
          <w:rFonts w:ascii="Times New Roman" w:hAnsi="Times New Roman" w:cs="Times New Roman"/>
          <w:sz w:val="24"/>
          <w:szCs w:val="24"/>
        </w:rPr>
        <w:t xml:space="preserve"> have the incentive and </w:t>
      </w:r>
      <w:r>
        <w:rPr>
          <w:rFonts w:ascii="Times New Roman" w:hAnsi="Times New Roman" w:cs="Times New Roman"/>
          <w:sz w:val="24"/>
          <w:szCs w:val="24"/>
        </w:rPr>
        <w:t xml:space="preserve">the </w:t>
      </w:r>
      <w:r w:rsidR="00717663" w:rsidRPr="00BC68C4">
        <w:rPr>
          <w:rFonts w:ascii="Times New Roman" w:hAnsi="Times New Roman" w:cs="Times New Roman"/>
          <w:sz w:val="24"/>
          <w:szCs w:val="24"/>
        </w:rPr>
        <w:t>power to reduce managerial agency costs</w:t>
      </w:r>
      <w:r>
        <w:rPr>
          <w:rFonts w:ascii="Times New Roman" w:hAnsi="Times New Roman" w:cs="Times New Roman"/>
          <w:sz w:val="24"/>
          <w:szCs w:val="24"/>
        </w:rPr>
        <w:t xml:space="preserve"> and raise</w:t>
      </w:r>
      <w:r w:rsidR="00717663" w:rsidRPr="00BC68C4">
        <w:rPr>
          <w:rFonts w:ascii="Times New Roman" w:hAnsi="Times New Roman" w:cs="Times New Roman"/>
          <w:sz w:val="24"/>
          <w:szCs w:val="24"/>
        </w:rPr>
        <w:t xml:space="preserve"> operating profits. </w:t>
      </w:r>
      <w:r w:rsidR="00CE13AC" w:rsidRPr="00BC68C4">
        <w:rPr>
          <w:rFonts w:ascii="Times New Roman" w:hAnsi="Times New Roman" w:cs="Times New Roman"/>
          <w:sz w:val="24"/>
          <w:szCs w:val="24"/>
        </w:rPr>
        <w:t>They may run the firm on a day-to-day basis,</w:t>
      </w:r>
      <w:r w:rsidR="00055E8E" w:rsidRPr="00BC68C4">
        <w:rPr>
          <w:rFonts w:ascii="Times New Roman" w:hAnsi="Times New Roman" w:cs="Times New Roman"/>
          <w:sz w:val="24"/>
          <w:szCs w:val="24"/>
        </w:rPr>
        <w:t xml:space="preserve"> or at least be closely involved in it,</w:t>
      </w:r>
      <w:r w:rsidR="00CE13AC" w:rsidRPr="00BC68C4">
        <w:rPr>
          <w:rFonts w:ascii="Times New Roman" w:hAnsi="Times New Roman" w:cs="Times New Roman"/>
          <w:sz w:val="24"/>
          <w:szCs w:val="24"/>
        </w:rPr>
        <w:t xml:space="preserve"> ensur</w:t>
      </w:r>
      <w:r>
        <w:rPr>
          <w:rFonts w:ascii="Times New Roman" w:hAnsi="Times New Roman" w:cs="Times New Roman"/>
          <w:sz w:val="24"/>
          <w:szCs w:val="24"/>
        </w:rPr>
        <w:t>ing</w:t>
      </w:r>
      <w:r w:rsidR="00CE13AC" w:rsidRPr="00BC68C4">
        <w:rPr>
          <w:rFonts w:ascii="Times New Roman" w:hAnsi="Times New Roman" w:cs="Times New Roman"/>
          <w:sz w:val="24"/>
          <w:szCs w:val="24"/>
        </w:rPr>
        <w:t xml:space="preserve"> that all other managers and employees maximise their efforts, and minimise costs. </w:t>
      </w:r>
      <w:r w:rsidR="0077069F" w:rsidRPr="00BC68C4">
        <w:rPr>
          <w:rFonts w:ascii="Times New Roman" w:hAnsi="Times New Roman" w:cs="Times New Roman"/>
          <w:sz w:val="24"/>
          <w:szCs w:val="24"/>
        </w:rPr>
        <w:t xml:space="preserve">On the other hand, large passive </w:t>
      </w:r>
      <w:proofErr w:type="spellStart"/>
      <w:r w:rsidR="00E576E8">
        <w:rPr>
          <w:rFonts w:ascii="Times New Roman" w:hAnsi="Times New Roman" w:cs="Times New Roman"/>
          <w:sz w:val="24"/>
          <w:szCs w:val="24"/>
        </w:rPr>
        <w:t>block</w:t>
      </w:r>
      <w:r w:rsidR="00E576E8" w:rsidRPr="00BC68C4">
        <w:rPr>
          <w:rFonts w:ascii="Times New Roman" w:hAnsi="Times New Roman" w:cs="Times New Roman"/>
          <w:sz w:val="24"/>
          <w:szCs w:val="24"/>
        </w:rPr>
        <w:t>holders</w:t>
      </w:r>
      <w:proofErr w:type="spellEnd"/>
      <w:r w:rsidR="00C074AD" w:rsidRPr="00BC68C4">
        <w:rPr>
          <w:rFonts w:ascii="Times New Roman" w:hAnsi="Times New Roman" w:cs="Times New Roman"/>
          <w:sz w:val="24"/>
          <w:szCs w:val="24"/>
        </w:rPr>
        <w:t xml:space="preserve">, </w:t>
      </w:r>
      <w:r w:rsidR="00C074AD">
        <w:rPr>
          <w:rFonts w:ascii="Times New Roman" w:hAnsi="Times New Roman" w:cs="Times New Roman"/>
          <w:sz w:val="24"/>
          <w:szCs w:val="24"/>
        </w:rPr>
        <w:t>with</w:t>
      </w:r>
      <w:r>
        <w:rPr>
          <w:rFonts w:ascii="Times New Roman" w:hAnsi="Times New Roman" w:cs="Times New Roman"/>
          <w:sz w:val="24"/>
          <w:szCs w:val="24"/>
        </w:rPr>
        <w:t xml:space="preserve"> </w:t>
      </w:r>
      <w:r w:rsidR="0077069F" w:rsidRPr="00BC68C4">
        <w:rPr>
          <w:rFonts w:ascii="Times New Roman" w:hAnsi="Times New Roman" w:cs="Times New Roman"/>
          <w:sz w:val="24"/>
          <w:szCs w:val="24"/>
        </w:rPr>
        <w:t>less involvement in the monitoring of managers</w:t>
      </w:r>
      <w:r w:rsidRPr="00775C1C">
        <w:rPr>
          <w:rFonts w:ascii="Times New Roman" w:hAnsi="Times New Roman" w:cs="Times New Roman"/>
          <w:sz w:val="24"/>
          <w:szCs w:val="24"/>
        </w:rPr>
        <w:t xml:space="preserve"> </w:t>
      </w:r>
      <w:r w:rsidRPr="00BC68C4">
        <w:rPr>
          <w:rFonts w:ascii="Times New Roman" w:hAnsi="Times New Roman" w:cs="Times New Roman"/>
          <w:sz w:val="24"/>
          <w:szCs w:val="24"/>
        </w:rPr>
        <w:t>will not have such an effect</w:t>
      </w:r>
      <w:r>
        <w:rPr>
          <w:rFonts w:ascii="Times New Roman" w:hAnsi="Times New Roman" w:cs="Times New Roman"/>
          <w:sz w:val="24"/>
          <w:szCs w:val="24"/>
        </w:rPr>
        <w:t>.</w:t>
      </w:r>
    </w:p>
    <w:p w14:paraId="6744C133" w14:textId="5159BC1A" w:rsidR="008B40D3" w:rsidRPr="00BC68C4" w:rsidRDefault="00717663" w:rsidP="00D82E5E">
      <w:pPr>
        <w:spacing w:line="480" w:lineRule="auto"/>
        <w:ind w:firstLine="720"/>
        <w:rPr>
          <w:rFonts w:ascii="Times New Roman" w:hAnsi="Times New Roman" w:cs="Times New Roman"/>
          <w:sz w:val="24"/>
          <w:szCs w:val="24"/>
        </w:rPr>
      </w:pPr>
      <w:r w:rsidRPr="00BC68C4">
        <w:rPr>
          <w:rFonts w:ascii="Times New Roman" w:hAnsi="Times New Roman" w:cs="Times New Roman"/>
          <w:sz w:val="24"/>
          <w:szCs w:val="24"/>
        </w:rPr>
        <w:t xml:space="preserve">Directors who are not </w:t>
      </w:r>
      <w:proofErr w:type="spellStart"/>
      <w:r w:rsidRPr="00BC68C4">
        <w:rPr>
          <w:rFonts w:ascii="Times New Roman" w:hAnsi="Times New Roman" w:cs="Times New Roman"/>
          <w:sz w:val="24"/>
          <w:szCs w:val="24"/>
        </w:rPr>
        <w:t>blockholders</w:t>
      </w:r>
      <w:proofErr w:type="spellEnd"/>
      <w:r w:rsidRPr="00BC68C4">
        <w:rPr>
          <w:rFonts w:ascii="Times New Roman" w:hAnsi="Times New Roman" w:cs="Times New Roman"/>
          <w:sz w:val="24"/>
          <w:szCs w:val="24"/>
        </w:rPr>
        <w:t xml:space="preserve"> </w:t>
      </w:r>
      <w:r w:rsidR="00627597">
        <w:rPr>
          <w:rFonts w:ascii="Times New Roman" w:hAnsi="Times New Roman" w:cs="Times New Roman"/>
          <w:sz w:val="24"/>
          <w:szCs w:val="24"/>
        </w:rPr>
        <w:t xml:space="preserve">often </w:t>
      </w:r>
      <w:r w:rsidRPr="00BC68C4">
        <w:rPr>
          <w:rFonts w:ascii="Times New Roman" w:hAnsi="Times New Roman" w:cs="Times New Roman"/>
          <w:sz w:val="24"/>
          <w:szCs w:val="24"/>
        </w:rPr>
        <w:t xml:space="preserve">have little impact on the </w:t>
      </w:r>
      <w:r w:rsidR="0077069F" w:rsidRPr="00BC68C4">
        <w:rPr>
          <w:rFonts w:ascii="Times New Roman" w:hAnsi="Times New Roman" w:cs="Times New Roman"/>
          <w:sz w:val="24"/>
          <w:szCs w:val="24"/>
        </w:rPr>
        <w:t>manager-owner conflict</w:t>
      </w:r>
      <w:r w:rsidRPr="00BC68C4">
        <w:rPr>
          <w:rFonts w:ascii="Times New Roman" w:hAnsi="Times New Roman" w:cs="Times New Roman"/>
          <w:sz w:val="24"/>
          <w:szCs w:val="24"/>
        </w:rPr>
        <w:t>.</w:t>
      </w:r>
      <w:r w:rsidR="00652107" w:rsidRPr="00BC68C4">
        <w:rPr>
          <w:rFonts w:ascii="Times New Roman" w:hAnsi="Times New Roman" w:cs="Times New Roman"/>
          <w:sz w:val="24"/>
          <w:szCs w:val="24"/>
        </w:rPr>
        <w:t xml:space="preserve"> </w:t>
      </w:r>
      <w:r w:rsidRPr="00BC68C4">
        <w:rPr>
          <w:rFonts w:ascii="Times New Roman" w:hAnsi="Times New Roman" w:cs="Times New Roman"/>
          <w:sz w:val="24"/>
          <w:szCs w:val="24"/>
        </w:rPr>
        <w:t xml:space="preserve">In dispersed-ownership companies, </w:t>
      </w:r>
      <w:proofErr w:type="spellStart"/>
      <w:r w:rsidRPr="00BC68C4">
        <w:rPr>
          <w:rFonts w:ascii="Times New Roman" w:hAnsi="Times New Roman" w:cs="Times New Roman"/>
          <w:sz w:val="24"/>
          <w:szCs w:val="24"/>
        </w:rPr>
        <w:t>Fama</w:t>
      </w:r>
      <w:proofErr w:type="spellEnd"/>
      <w:r w:rsidRPr="00BC68C4">
        <w:rPr>
          <w:rFonts w:ascii="Times New Roman" w:hAnsi="Times New Roman" w:cs="Times New Roman"/>
          <w:sz w:val="24"/>
          <w:szCs w:val="24"/>
        </w:rPr>
        <w:t xml:space="preserve"> and Jensen (1983) have argued that it is natural that the most influential members of the board will be internal managers as they have the most information about the firm, and they are also well placed to nominate outside directors.</w:t>
      </w:r>
      <w:r w:rsidR="008E6A08" w:rsidRPr="00BC68C4">
        <w:rPr>
          <w:rFonts w:ascii="Times New Roman" w:hAnsi="Times New Roman" w:cs="Times New Roman"/>
          <w:sz w:val="24"/>
          <w:szCs w:val="24"/>
        </w:rPr>
        <w:t xml:space="preserve"> Alternatively, the directors</w:t>
      </w:r>
      <w:r w:rsidR="00CE13AC" w:rsidRPr="00BC68C4">
        <w:rPr>
          <w:rFonts w:ascii="Times New Roman" w:hAnsi="Times New Roman" w:cs="Times New Roman"/>
          <w:sz w:val="24"/>
          <w:szCs w:val="24"/>
        </w:rPr>
        <w:t xml:space="preserve"> may be independent of management, but they do not have the day-to-day involvement in the firm which would be required to </w:t>
      </w:r>
      <w:r w:rsidR="008E6A08" w:rsidRPr="00BC68C4">
        <w:rPr>
          <w:rFonts w:ascii="Times New Roman" w:hAnsi="Times New Roman" w:cs="Times New Roman"/>
          <w:sz w:val="24"/>
          <w:szCs w:val="24"/>
        </w:rPr>
        <w:t>reduce the agency problem. Their real influence would be at a strategic level, on major issues which came before the board, not on everyday issues.</w:t>
      </w:r>
    </w:p>
    <w:p w14:paraId="350E65C4" w14:textId="720149D4" w:rsidR="000718FA" w:rsidRPr="00BC68C4" w:rsidRDefault="00F52CAC" w:rsidP="00106E15">
      <w:pPr>
        <w:spacing w:line="480" w:lineRule="auto"/>
        <w:ind w:firstLine="720"/>
        <w:rPr>
          <w:rFonts w:ascii="Times New Roman" w:hAnsi="Times New Roman" w:cs="Times New Roman"/>
          <w:sz w:val="24"/>
          <w:szCs w:val="24"/>
        </w:rPr>
      </w:pPr>
      <w:r w:rsidRPr="00BC68C4">
        <w:rPr>
          <w:rFonts w:ascii="Times New Roman" w:hAnsi="Times New Roman" w:cs="Times New Roman"/>
          <w:sz w:val="24"/>
          <w:szCs w:val="24"/>
        </w:rPr>
        <w:t>To summarise, we use Return on Assets (</w:t>
      </w:r>
      <w:r w:rsidR="000718FA" w:rsidRPr="00BC68C4">
        <w:rPr>
          <w:rFonts w:ascii="Times New Roman" w:hAnsi="Times New Roman" w:cs="Times New Roman"/>
          <w:sz w:val="24"/>
          <w:szCs w:val="24"/>
        </w:rPr>
        <w:t>ROA</w:t>
      </w:r>
      <w:r w:rsidRPr="00BC68C4">
        <w:rPr>
          <w:rFonts w:ascii="Times New Roman" w:hAnsi="Times New Roman" w:cs="Times New Roman"/>
          <w:sz w:val="24"/>
          <w:szCs w:val="24"/>
        </w:rPr>
        <w:t>) as</w:t>
      </w:r>
      <w:r w:rsidR="000718FA" w:rsidRPr="00BC68C4">
        <w:rPr>
          <w:rFonts w:ascii="Times New Roman" w:hAnsi="Times New Roman" w:cs="Times New Roman"/>
          <w:sz w:val="24"/>
          <w:szCs w:val="24"/>
        </w:rPr>
        <w:t xml:space="preserve"> </w:t>
      </w:r>
      <w:r w:rsidR="00627597">
        <w:rPr>
          <w:rFonts w:ascii="Times New Roman" w:hAnsi="Times New Roman" w:cs="Times New Roman"/>
          <w:sz w:val="24"/>
          <w:szCs w:val="24"/>
        </w:rPr>
        <w:t>our</w:t>
      </w:r>
      <w:r w:rsidR="000718FA" w:rsidRPr="00BC68C4">
        <w:rPr>
          <w:rFonts w:ascii="Times New Roman" w:hAnsi="Times New Roman" w:cs="Times New Roman"/>
          <w:sz w:val="24"/>
          <w:szCs w:val="24"/>
        </w:rPr>
        <w:t xml:space="preserve"> measure of operating performance </w:t>
      </w:r>
      <w:r w:rsidRPr="00BC68C4">
        <w:rPr>
          <w:rFonts w:ascii="Times New Roman" w:hAnsi="Times New Roman" w:cs="Times New Roman"/>
          <w:sz w:val="24"/>
          <w:szCs w:val="24"/>
        </w:rPr>
        <w:t>to</w:t>
      </w:r>
      <w:r w:rsidR="000718FA" w:rsidRPr="00BC68C4">
        <w:rPr>
          <w:rFonts w:ascii="Times New Roman" w:hAnsi="Times New Roman" w:cs="Times New Roman"/>
          <w:sz w:val="24"/>
          <w:szCs w:val="24"/>
        </w:rPr>
        <w:t xml:space="preserve"> show how efficiently a company uses its assets to earn a profit.  </w:t>
      </w:r>
      <w:r w:rsidR="00EB1905">
        <w:rPr>
          <w:rFonts w:ascii="Times New Roman" w:hAnsi="Times New Roman" w:cs="Times New Roman"/>
          <w:sz w:val="24"/>
          <w:szCs w:val="24"/>
        </w:rPr>
        <w:t xml:space="preserve">The greater the </w:t>
      </w:r>
      <w:r w:rsidR="000718FA" w:rsidRPr="00BC68C4">
        <w:rPr>
          <w:rFonts w:ascii="Times New Roman" w:hAnsi="Times New Roman" w:cs="Times New Roman"/>
          <w:sz w:val="24"/>
          <w:szCs w:val="24"/>
        </w:rPr>
        <w:t xml:space="preserve">managerial </w:t>
      </w:r>
      <w:r w:rsidR="00C074AD" w:rsidRPr="00BC68C4">
        <w:rPr>
          <w:rFonts w:ascii="Times New Roman" w:hAnsi="Times New Roman" w:cs="Times New Roman"/>
          <w:sz w:val="24"/>
          <w:szCs w:val="24"/>
        </w:rPr>
        <w:t>expropriation,</w:t>
      </w:r>
      <w:r w:rsidR="00C074AD">
        <w:rPr>
          <w:rFonts w:ascii="Times New Roman" w:hAnsi="Times New Roman" w:cs="Times New Roman"/>
          <w:sz w:val="24"/>
          <w:szCs w:val="24"/>
        </w:rPr>
        <w:t xml:space="preserve"> the</w:t>
      </w:r>
      <w:r w:rsidR="00EB1905">
        <w:rPr>
          <w:rFonts w:ascii="Times New Roman" w:hAnsi="Times New Roman" w:cs="Times New Roman"/>
          <w:sz w:val="24"/>
          <w:szCs w:val="24"/>
        </w:rPr>
        <w:t xml:space="preserve"> lower the return on assets</w:t>
      </w:r>
      <w:r w:rsidR="000718FA" w:rsidRPr="00BC68C4">
        <w:rPr>
          <w:rFonts w:ascii="Times New Roman" w:hAnsi="Times New Roman" w:cs="Times New Roman"/>
          <w:sz w:val="24"/>
          <w:szCs w:val="24"/>
        </w:rPr>
        <w:t xml:space="preserve">. If large active </w:t>
      </w:r>
      <w:proofErr w:type="spellStart"/>
      <w:r w:rsidR="000718FA" w:rsidRPr="00BC68C4">
        <w:rPr>
          <w:rFonts w:ascii="Times New Roman" w:hAnsi="Times New Roman" w:cs="Times New Roman"/>
          <w:sz w:val="24"/>
          <w:szCs w:val="24"/>
        </w:rPr>
        <w:t>blockholders</w:t>
      </w:r>
      <w:proofErr w:type="spellEnd"/>
      <w:r w:rsidR="000718FA" w:rsidRPr="00BC68C4">
        <w:rPr>
          <w:rFonts w:ascii="Times New Roman" w:hAnsi="Times New Roman" w:cs="Times New Roman"/>
          <w:sz w:val="24"/>
          <w:szCs w:val="24"/>
        </w:rPr>
        <w:t xml:space="preserve"> can reduce managerial expropriation, then, </w:t>
      </w:r>
      <w:r w:rsidR="000718FA" w:rsidRPr="00BC68C4">
        <w:rPr>
          <w:rFonts w:ascii="Times New Roman" w:hAnsi="Times New Roman" w:cs="Times New Roman"/>
          <w:i/>
          <w:sz w:val="24"/>
          <w:szCs w:val="24"/>
        </w:rPr>
        <w:t>ceteris paribus</w:t>
      </w:r>
      <w:r w:rsidR="000718FA" w:rsidRPr="00BC68C4">
        <w:rPr>
          <w:rFonts w:ascii="Times New Roman" w:hAnsi="Times New Roman" w:cs="Times New Roman"/>
          <w:sz w:val="24"/>
          <w:szCs w:val="24"/>
        </w:rPr>
        <w:t>, ROA will be higher.</w:t>
      </w:r>
      <w:r w:rsidRPr="00BC68C4">
        <w:rPr>
          <w:rFonts w:ascii="Times New Roman" w:hAnsi="Times New Roman" w:cs="Times New Roman"/>
          <w:sz w:val="24"/>
          <w:szCs w:val="24"/>
        </w:rPr>
        <w:t xml:space="preserve"> </w:t>
      </w:r>
      <w:r w:rsidR="002241BE" w:rsidRPr="00BC68C4">
        <w:rPr>
          <w:rFonts w:ascii="Times New Roman" w:hAnsi="Times New Roman" w:cs="Times New Roman"/>
          <w:sz w:val="24"/>
          <w:szCs w:val="24"/>
        </w:rPr>
        <w:t>On the other hand, l</w:t>
      </w:r>
      <w:r w:rsidR="0077069F" w:rsidRPr="00BC68C4">
        <w:rPr>
          <w:rFonts w:ascii="Times New Roman" w:hAnsi="Times New Roman" w:cs="Times New Roman"/>
          <w:sz w:val="24"/>
          <w:szCs w:val="24"/>
        </w:rPr>
        <w:t xml:space="preserve">arge passive </w:t>
      </w:r>
      <w:proofErr w:type="spellStart"/>
      <w:r w:rsidR="0077069F" w:rsidRPr="00BC68C4">
        <w:rPr>
          <w:rFonts w:ascii="Times New Roman" w:hAnsi="Times New Roman" w:cs="Times New Roman"/>
          <w:sz w:val="24"/>
          <w:szCs w:val="24"/>
        </w:rPr>
        <w:t>blockholders</w:t>
      </w:r>
      <w:proofErr w:type="spellEnd"/>
      <w:r w:rsidRPr="00BC68C4">
        <w:rPr>
          <w:rFonts w:ascii="Times New Roman" w:hAnsi="Times New Roman" w:cs="Times New Roman"/>
          <w:sz w:val="24"/>
          <w:szCs w:val="24"/>
        </w:rPr>
        <w:t xml:space="preserve"> and directors who are not </w:t>
      </w:r>
      <w:proofErr w:type="spellStart"/>
      <w:r w:rsidRPr="00BC68C4">
        <w:rPr>
          <w:rFonts w:ascii="Times New Roman" w:hAnsi="Times New Roman" w:cs="Times New Roman"/>
          <w:sz w:val="24"/>
          <w:szCs w:val="24"/>
        </w:rPr>
        <w:t>blockholders</w:t>
      </w:r>
      <w:proofErr w:type="spellEnd"/>
      <w:r w:rsidRPr="00BC68C4">
        <w:rPr>
          <w:rFonts w:ascii="Times New Roman" w:hAnsi="Times New Roman" w:cs="Times New Roman"/>
          <w:sz w:val="24"/>
          <w:szCs w:val="24"/>
        </w:rPr>
        <w:t xml:space="preserve"> </w:t>
      </w:r>
      <w:r w:rsidR="00EB1905">
        <w:rPr>
          <w:rFonts w:ascii="Times New Roman" w:hAnsi="Times New Roman" w:cs="Times New Roman"/>
          <w:sz w:val="24"/>
          <w:szCs w:val="24"/>
        </w:rPr>
        <w:t xml:space="preserve">should </w:t>
      </w:r>
      <w:r w:rsidRPr="00BC68C4">
        <w:rPr>
          <w:rFonts w:ascii="Times New Roman" w:hAnsi="Times New Roman" w:cs="Times New Roman"/>
          <w:sz w:val="24"/>
          <w:szCs w:val="24"/>
        </w:rPr>
        <w:t>have</w:t>
      </w:r>
      <w:r w:rsidR="008D2FBA" w:rsidRPr="00BC68C4">
        <w:rPr>
          <w:rFonts w:ascii="Times New Roman" w:hAnsi="Times New Roman" w:cs="Times New Roman"/>
          <w:sz w:val="24"/>
          <w:szCs w:val="24"/>
        </w:rPr>
        <w:t xml:space="preserve"> had</w:t>
      </w:r>
      <w:r w:rsidRPr="00BC68C4">
        <w:rPr>
          <w:rFonts w:ascii="Times New Roman" w:hAnsi="Times New Roman" w:cs="Times New Roman"/>
          <w:sz w:val="24"/>
          <w:szCs w:val="24"/>
        </w:rPr>
        <w:t xml:space="preserve"> no impact on ROA.</w:t>
      </w:r>
    </w:p>
    <w:p w14:paraId="345A5FB3" w14:textId="77777777" w:rsidR="00106E15" w:rsidRDefault="00106E15" w:rsidP="004E4773">
      <w:pPr>
        <w:spacing w:line="480" w:lineRule="auto"/>
        <w:rPr>
          <w:rFonts w:ascii="Times New Roman" w:hAnsi="Times New Roman" w:cs="Times New Roman"/>
          <w:i/>
          <w:sz w:val="24"/>
          <w:szCs w:val="24"/>
        </w:rPr>
      </w:pPr>
    </w:p>
    <w:p w14:paraId="71E9716F" w14:textId="27079BAC" w:rsidR="000718FA" w:rsidRPr="00BC68C4" w:rsidRDefault="006F5264" w:rsidP="004E4773">
      <w:pPr>
        <w:spacing w:line="480" w:lineRule="auto"/>
        <w:rPr>
          <w:rFonts w:ascii="Times New Roman" w:hAnsi="Times New Roman" w:cs="Times New Roman"/>
          <w:i/>
          <w:sz w:val="24"/>
          <w:szCs w:val="24"/>
        </w:rPr>
      </w:pPr>
      <w:proofErr w:type="spellStart"/>
      <w:r>
        <w:rPr>
          <w:rFonts w:ascii="Times New Roman" w:hAnsi="Times New Roman" w:cs="Times New Roman"/>
          <w:i/>
          <w:sz w:val="24"/>
          <w:szCs w:val="24"/>
        </w:rPr>
        <w:t>Block</w:t>
      </w:r>
      <w:r w:rsidRPr="00BC68C4">
        <w:rPr>
          <w:rFonts w:ascii="Times New Roman" w:hAnsi="Times New Roman" w:cs="Times New Roman"/>
          <w:i/>
          <w:sz w:val="24"/>
          <w:szCs w:val="24"/>
        </w:rPr>
        <w:t>holder</w:t>
      </w:r>
      <w:proofErr w:type="spellEnd"/>
      <w:r w:rsidR="00A51EFE" w:rsidRPr="00BC68C4">
        <w:rPr>
          <w:rFonts w:ascii="Times New Roman" w:hAnsi="Times New Roman" w:cs="Times New Roman"/>
          <w:i/>
          <w:sz w:val="24"/>
          <w:szCs w:val="24"/>
        </w:rPr>
        <w:t>-minority shareholder conflict</w:t>
      </w:r>
      <w:r w:rsidR="000E5E19" w:rsidRPr="00BC68C4">
        <w:rPr>
          <w:rFonts w:ascii="Times New Roman" w:hAnsi="Times New Roman" w:cs="Times New Roman"/>
          <w:sz w:val="24"/>
          <w:szCs w:val="24"/>
        </w:rPr>
        <w:t xml:space="preserve"> </w:t>
      </w:r>
    </w:p>
    <w:p w14:paraId="452B9C04" w14:textId="0A3F31F6" w:rsidR="00E06725" w:rsidRPr="00BC68C4" w:rsidRDefault="00F52CAC" w:rsidP="006F5264">
      <w:pPr>
        <w:spacing w:line="480" w:lineRule="auto"/>
        <w:ind w:firstLine="720"/>
        <w:rPr>
          <w:rFonts w:ascii="Times New Roman" w:hAnsi="Times New Roman" w:cs="Times New Roman"/>
          <w:sz w:val="24"/>
          <w:szCs w:val="24"/>
        </w:rPr>
      </w:pPr>
      <w:r w:rsidRPr="00BC68C4">
        <w:rPr>
          <w:rFonts w:ascii="Times New Roman" w:hAnsi="Times New Roman" w:cs="Times New Roman"/>
          <w:sz w:val="24"/>
          <w:szCs w:val="24"/>
        </w:rPr>
        <w:t xml:space="preserve">Although large active </w:t>
      </w:r>
      <w:proofErr w:type="spellStart"/>
      <w:r w:rsidRPr="00BC68C4">
        <w:rPr>
          <w:rFonts w:ascii="Times New Roman" w:hAnsi="Times New Roman" w:cs="Times New Roman"/>
          <w:sz w:val="24"/>
          <w:szCs w:val="24"/>
        </w:rPr>
        <w:t>blockholders</w:t>
      </w:r>
      <w:proofErr w:type="spellEnd"/>
      <w:r w:rsidRPr="00BC68C4">
        <w:rPr>
          <w:rFonts w:ascii="Times New Roman" w:hAnsi="Times New Roman" w:cs="Times New Roman"/>
          <w:sz w:val="24"/>
          <w:szCs w:val="24"/>
        </w:rPr>
        <w:t xml:space="preserve"> may be able </w:t>
      </w:r>
      <w:r w:rsidR="00793C6D" w:rsidRPr="00BC68C4">
        <w:rPr>
          <w:rFonts w:ascii="Times New Roman" w:hAnsi="Times New Roman" w:cs="Times New Roman"/>
          <w:sz w:val="24"/>
          <w:szCs w:val="24"/>
        </w:rPr>
        <w:t xml:space="preserve">to discipline managers, they </w:t>
      </w:r>
      <w:r w:rsidR="00CA42C9" w:rsidRPr="00BC68C4">
        <w:rPr>
          <w:rFonts w:ascii="Times New Roman" w:hAnsi="Times New Roman" w:cs="Times New Roman"/>
          <w:sz w:val="24"/>
          <w:szCs w:val="24"/>
        </w:rPr>
        <w:t xml:space="preserve">may </w:t>
      </w:r>
      <w:r w:rsidR="00652107" w:rsidRPr="00BC68C4">
        <w:rPr>
          <w:rFonts w:ascii="Times New Roman" w:hAnsi="Times New Roman" w:cs="Times New Roman"/>
          <w:sz w:val="24"/>
          <w:szCs w:val="24"/>
        </w:rPr>
        <w:t>focus on</w:t>
      </w:r>
      <w:r w:rsidR="00DB0C5A" w:rsidRPr="00BC68C4">
        <w:rPr>
          <w:rFonts w:ascii="Times New Roman" w:hAnsi="Times New Roman" w:cs="Times New Roman"/>
          <w:sz w:val="24"/>
          <w:szCs w:val="24"/>
        </w:rPr>
        <w:t xml:space="preserve"> their own interests and attempt to maximise these at the expense of minority shareholders</w:t>
      </w:r>
      <w:r w:rsidR="000E5E19" w:rsidRPr="00BC68C4">
        <w:rPr>
          <w:rFonts w:ascii="Times New Roman" w:hAnsi="Times New Roman" w:cs="Times New Roman"/>
          <w:sz w:val="24"/>
          <w:szCs w:val="24"/>
        </w:rPr>
        <w:t xml:space="preserve"> (Shleifer and </w:t>
      </w:r>
      <w:proofErr w:type="spellStart"/>
      <w:r w:rsidR="000E5E19" w:rsidRPr="00BC68C4">
        <w:rPr>
          <w:rFonts w:ascii="Times New Roman" w:hAnsi="Times New Roman" w:cs="Times New Roman"/>
          <w:sz w:val="24"/>
          <w:szCs w:val="24"/>
        </w:rPr>
        <w:t>Vishny</w:t>
      </w:r>
      <w:proofErr w:type="spellEnd"/>
      <w:r w:rsidR="000E5E19" w:rsidRPr="00BC68C4">
        <w:rPr>
          <w:rFonts w:ascii="Times New Roman" w:hAnsi="Times New Roman" w:cs="Times New Roman"/>
          <w:sz w:val="24"/>
          <w:szCs w:val="24"/>
        </w:rPr>
        <w:t>, 1997)</w:t>
      </w:r>
      <w:r w:rsidR="00DB0C5A" w:rsidRPr="00BC68C4">
        <w:rPr>
          <w:rFonts w:ascii="Times New Roman" w:hAnsi="Times New Roman" w:cs="Times New Roman"/>
          <w:sz w:val="24"/>
          <w:szCs w:val="24"/>
        </w:rPr>
        <w:t xml:space="preserve">. </w:t>
      </w:r>
      <w:r w:rsidR="00E06725" w:rsidRPr="00BC68C4">
        <w:rPr>
          <w:rFonts w:ascii="Times New Roman" w:hAnsi="Times New Roman" w:cs="Times New Roman"/>
          <w:sz w:val="24"/>
          <w:szCs w:val="24"/>
        </w:rPr>
        <w:t xml:space="preserve">This introduces an additional risk factor which investors must consider in their valuations. If they are concerned about expropriation, then the high profitability earned in companies with large active </w:t>
      </w:r>
      <w:proofErr w:type="spellStart"/>
      <w:r w:rsidR="00E06725" w:rsidRPr="00BC68C4">
        <w:rPr>
          <w:rFonts w:ascii="Times New Roman" w:hAnsi="Times New Roman" w:cs="Times New Roman"/>
          <w:sz w:val="24"/>
          <w:szCs w:val="24"/>
        </w:rPr>
        <w:t>blockholders</w:t>
      </w:r>
      <w:proofErr w:type="spellEnd"/>
      <w:r w:rsidR="00E06725" w:rsidRPr="00BC68C4">
        <w:rPr>
          <w:rFonts w:ascii="Times New Roman" w:hAnsi="Times New Roman" w:cs="Times New Roman"/>
          <w:sz w:val="24"/>
          <w:szCs w:val="24"/>
        </w:rPr>
        <w:t xml:space="preserve"> may not necessarily translate into higher share </w:t>
      </w:r>
      <w:r w:rsidR="00E06725" w:rsidRPr="006658C5">
        <w:rPr>
          <w:rFonts w:ascii="Times New Roman" w:hAnsi="Times New Roman" w:cs="Times New Roman"/>
          <w:sz w:val="24"/>
          <w:szCs w:val="24"/>
        </w:rPr>
        <w:t>prices. However,</w:t>
      </w:r>
      <w:r w:rsidR="00E06725" w:rsidRPr="00BC68C4">
        <w:rPr>
          <w:rFonts w:ascii="Times New Roman" w:hAnsi="Times New Roman" w:cs="Times New Roman"/>
          <w:sz w:val="24"/>
          <w:szCs w:val="24"/>
        </w:rPr>
        <w:t xml:space="preserve"> if investors feel protected from expropriation then they may reward the firm with a relatively higher valuation.</w:t>
      </w:r>
      <w:r w:rsidR="00793C6D" w:rsidRPr="00BC68C4">
        <w:rPr>
          <w:rFonts w:ascii="Times New Roman" w:hAnsi="Times New Roman" w:cs="Times New Roman"/>
          <w:sz w:val="24"/>
          <w:szCs w:val="24"/>
        </w:rPr>
        <w:t xml:space="preserve"> The</w:t>
      </w:r>
      <w:r w:rsidR="00E06725" w:rsidRPr="00BC68C4">
        <w:rPr>
          <w:rFonts w:ascii="Times New Roman" w:hAnsi="Times New Roman" w:cs="Times New Roman"/>
          <w:sz w:val="24"/>
          <w:szCs w:val="24"/>
        </w:rPr>
        <w:t xml:space="preserve"> </w:t>
      </w:r>
      <w:proofErr w:type="spellStart"/>
      <w:r w:rsidR="00AC383F" w:rsidRPr="00BC68C4">
        <w:rPr>
          <w:rFonts w:ascii="Times New Roman" w:hAnsi="Times New Roman" w:cs="Times New Roman"/>
          <w:sz w:val="24"/>
          <w:szCs w:val="24"/>
        </w:rPr>
        <w:t>blockholder</w:t>
      </w:r>
      <w:proofErr w:type="spellEnd"/>
      <w:r w:rsidR="00AC383F" w:rsidRPr="00BC68C4">
        <w:rPr>
          <w:rFonts w:ascii="Times New Roman" w:hAnsi="Times New Roman" w:cs="Times New Roman"/>
          <w:sz w:val="24"/>
          <w:szCs w:val="24"/>
        </w:rPr>
        <w:t>-minority</w:t>
      </w:r>
      <w:r w:rsidR="00641D78">
        <w:rPr>
          <w:rFonts w:ascii="Times New Roman" w:hAnsi="Times New Roman" w:cs="Times New Roman"/>
          <w:sz w:val="24"/>
          <w:szCs w:val="24"/>
        </w:rPr>
        <w:t xml:space="preserve"> </w:t>
      </w:r>
      <w:r w:rsidR="00AC383F" w:rsidRPr="00BC68C4">
        <w:rPr>
          <w:rFonts w:ascii="Times New Roman" w:hAnsi="Times New Roman" w:cs="Times New Roman"/>
          <w:sz w:val="24"/>
          <w:szCs w:val="24"/>
        </w:rPr>
        <w:t>shareholder conflict</w:t>
      </w:r>
      <w:r w:rsidR="00793C6D" w:rsidRPr="00BC68C4">
        <w:rPr>
          <w:rFonts w:ascii="Times New Roman" w:hAnsi="Times New Roman" w:cs="Times New Roman"/>
          <w:sz w:val="24"/>
          <w:szCs w:val="24"/>
        </w:rPr>
        <w:t xml:space="preserve"> generally concern</w:t>
      </w:r>
      <w:r w:rsidR="0048438F" w:rsidRPr="00BC68C4">
        <w:rPr>
          <w:rFonts w:ascii="Times New Roman" w:hAnsi="Times New Roman" w:cs="Times New Roman"/>
          <w:sz w:val="24"/>
          <w:szCs w:val="24"/>
        </w:rPr>
        <w:t>s</w:t>
      </w:r>
      <w:r w:rsidR="00E06725" w:rsidRPr="00BC68C4">
        <w:rPr>
          <w:rFonts w:ascii="Times New Roman" w:hAnsi="Times New Roman" w:cs="Times New Roman"/>
          <w:sz w:val="24"/>
          <w:szCs w:val="24"/>
        </w:rPr>
        <w:t xml:space="preserve"> strategic decisions, rather than</w:t>
      </w:r>
      <w:r w:rsidR="00A51EFE" w:rsidRPr="00BC68C4">
        <w:rPr>
          <w:rFonts w:ascii="Times New Roman" w:hAnsi="Times New Roman" w:cs="Times New Roman"/>
          <w:sz w:val="24"/>
          <w:szCs w:val="24"/>
        </w:rPr>
        <w:t xml:space="preserve"> day-</w:t>
      </w:r>
      <w:r w:rsidR="00793C6D" w:rsidRPr="00BC68C4">
        <w:rPr>
          <w:rFonts w:ascii="Times New Roman" w:hAnsi="Times New Roman" w:cs="Times New Roman"/>
          <w:sz w:val="24"/>
          <w:szCs w:val="24"/>
        </w:rPr>
        <w:t>to</w:t>
      </w:r>
      <w:r w:rsidR="00A51EFE" w:rsidRPr="00BC68C4">
        <w:rPr>
          <w:rFonts w:ascii="Times New Roman" w:hAnsi="Times New Roman" w:cs="Times New Roman"/>
          <w:sz w:val="24"/>
          <w:szCs w:val="24"/>
        </w:rPr>
        <w:t>-</w:t>
      </w:r>
      <w:r w:rsidR="00793C6D" w:rsidRPr="00BC68C4">
        <w:rPr>
          <w:rFonts w:ascii="Times New Roman" w:hAnsi="Times New Roman" w:cs="Times New Roman"/>
          <w:sz w:val="24"/>
          <w:szCs w:val="24"/>
        </w:rPr>
        <w:t>day management, and would be</w:t>
      </w:r>
      <w:r w:rsidR="00E06725" w:rsidRPr="00BC68C4">
        <w:rPr>
          <w:rFonts w:ascii="Times New Roman" w:hAnsi="Times New Roman" w:cs="Times New Roman"/>
          <w:sz w:val="24"/>
          <w:szCs w:val="24"/>
        </w:rPr>
        <w:t xml:space="preserve"> typically dealt with at board level. Consequently, having an independent board could help promote good practice and increase shareholder value. Boards with more dire</w:t>
      </w:r>
      <w:r w:rsidR="002241BE" w:rsidRPr="00BC68C4">
        <w:rPr>
          <w:rFonts w:ascii="Times New Roman" w:hAnsi="Times New Roman" w:cs="Times New Roman"/>
          <w:sz w:val="24"/>
          <w:szCs w:val="24"/>
        </w:rPr>
        <w:t xml:space="preserve">ctors </w:t>
      </w:r>
      <w:r w:rsidR="00047E28">
        <w:rPr>
          <w:rFonts w:ascii="Times New Roman" w:hAnsi="Times New Roman" w:cs="Times New Roman"/>
          <w:sz w:val="24"/>
          <w:szCs w:val="24"/>
        </w:rPr>
        <w:t>who</w:t>
      </w:r>
      <w:r w:rsidR="002241BE" w:rsidRPr="00BC68C4">
        <w:rPr>
          <w:rFonts w:ascii="Times New Roman" w:hAnsi="Times New Roman" w:cs="Times New Roman"/>
          <w:sz w:val="24"/>
          <w:szCs w:val="24"/>
        </w:rPr>
        <w:t xml:space="preserve"> are not </w:t>
      </w:r>
      <w:proofErr w:type="spellStart"/>
      <w:r w:rsidR="002241BE" w:rsidRPr="00BC68C4">
        <w:rPr>
          <w:rFonts w:ascii="Times New Roman" w:hAnsi="Times New Roman" w:cs="Times New Roman"/>
          <w:sz w:val="24"/>
          <w:szCs w:val="24"/>
        </w:rPr>
        <w:t>blockholders</w:t>
      </w:r>
      <w:proofErr w:type="spellEnd"/>
      <w:r w:rsidR="00E06725" w:rsidRPr="00BC68C4">
        <w:rPr>
          <w:rFonts w:ascii="Times New Roman" w:hAnsi="Times New Roman" w:cs="Times New Roman"/>
          <w:sz w:val="24"/>
          <w:szCs w:val="24"/>
        </w:rPr>
        <w:t xml:space="preserve"> could be viewed as a commitment that there is a low risk of </w:t>
      </w:r>
      <w:proofErr w:type="spellStart"/>
      <w:r w:rsidR="00E06725" w:rsidRPr="00BC68C4">
        <w:rPr>
          <w:rFonts w:ascii="Times New Roman" w:hAnsi="Times New Roman" w:cs="Times New Roman"/>
          <w:sz w:val="24"/>
          <w:szCs w:val="24"/>
        </w:rPr>
        <w:t>blockholder</w:t>
      </w:r>
      <w:proofErr w:type="spellEnd"/>
      <w:r w:rsidR="00E06725" w:rsidRPr="00BC68C4">
        <w:rPr>
          <w:rFonts w:ascii="Times New Roman" w:hAnsi="Times New Roman" w:cs="Times New Roman"/>
          <w:sz w:val="24"/>
          <w:szCs w:val="24"/>
        </w:rPr>
        <w:t xml:space="preserve"> expropriation, </w:t>
      </w:r>
      <w:r w:rsidR="005A6192" w:rsidRPr="00BC68C4">
        <w:rPr>
          <w:rFonts w:ascii="Times New Roman" w:hAnsi="Times New Roman" w:cs="Times New Roman"/>
          <w:sz w:val="24"/>
          <w:szCs w:val="24"/>
        </w:rPr>
        <w:t>as collusion would be much more difficult. T</w:t>
      </w:r>
      <w:r w:rsidR="00E06725" w:rsidRPr="00BC68C4">
        <w:rPr>
          <w:rFonts w:ascii="Times New Roman" w:hAnsi="Times New Roman" w:cs="Times New Roman"/>
          <w:sz w:val="24"/>
          <w:szCs w:val="24"/>
        </w:rPr>
        <w:t>he result</w:t>
      </w:r>
      <w:r w:rsidR="005A6192" w:rsidRPr="00BC68C4">
        <w:rPr>
          <w:rFonts w:ascii="Times New Roman" w:hAnsi="Times New Roman" w:cs="Times New Roman"/>
          <w:sz w:val="24"/>
          <w:szCs w:val="24"/>
        </w:rPr>
        <w:t xml:space="preserve"> is</w:t>
      </w:r>
      <w:r w:rsidR="00E06725" w:rsidRPr="00BC68C4">
        <w:rPr>
          <w:rFonts w:ascii="Times New Roman" w:hAnsi="Times New Roman" w:cs="Times New Roman"/>
          <w:sz w:val="24"/>
          <w:szCs w:val="24"/>
        </w:rPr>
        <w:t xml:space="preserve"> that, </w:t>
      </w:r>
      <w:r w:rsidR="00E06725" w:rsidRPr="00BC68C4">
        <w:rPr>
          <w:rFonts w:ascii="Times New Roman" w:hAnsi="Times New Roman" w:cs="Times New Roman"/>
          <w:i/>
          <w:sz w:val="24"/>
          <w:szCs w:val="24"/>
        </w:rPr>
        <w:t>ceteris paribus</w:t>
      </w:r>
      <w:r w:rsidR="00E06725" w:rsidRPr="00BC68C4">
        <w:rPr>
          <w:rFonts w:ascii="Times New Roman" w:hAnsi="Times New Roman" w:cs="Times New Roman"/>
          <w:sz w:val="24"/>
          <w:szCs w:val="24"/>
        </w:rPr>
        <w:t xml:space="preserve">, </w:t>
      </w:r>
      <w:r w:rsidR="00793C6D" w:rsidRPr="00BC68C4">
        <w:rPr>
          <w:rFonts w:ascii="Times New Roman" w:hAnsi="Times New Roman" w:cs="Times New Roman"/>
          <w:sz w:val="24"/>
          <w:szCs w:val="24"/>
        </w:rPr>
        <w:t xml:space="preserve">valuations (as measured by </w:t>
      </w:r>
      <w:r w:rsidR="00E06725" w:rsidRPr="00BC68C4">
        <w:rPr>
          <w:rFonts w:ascii="Times New Roman" w:hAnsi="Times New Roman" w:cs="Times New Roman"/>
          <w:sz w:val="24"/>
          <w:szCs w:val="24"/>
        </w:rPr>
        <w:t>Tobin's Q</w:t>
      </w:r>
      <w:r w:rsidR="00793C6D" w:rsidRPr="00BC68C4">
        <w:rPr>
          <w:rFonts w:ascii="Times New Roman" w:hAnsi="Times New Roman" w:cs="Times New Roman"/>
          <w:sz w:val="24"/>
          <w:szCs w:val="24"/>
        </w:rPr>
        <w:t>)</w:t>
      </w:r>
      <w:r w:rsidR="00E06725" w:rsidRPr="00BC68C4">
        <w:rPr>
          <w:rFonts w:ascii="Times New Roman" w:hAnsi="Times New Roman" w:cs="Times New Roman"/>
          <w:sz w:val="24"/>
          <w:szCs w:val="24"/>
        </w:rPr>
        <w:t xml:space="preserve"> </w:t>
      </w:r>
      <w:r w:rsidR="00047E28">
        <w:rPr>
          <w:rFonts w:ascii="Times New Roman" w:hAnsi="Times New Roman" w:cs="Times New Roman"/>
          <w:sz w:val="24"/>
          <w:szCs w:val="24"/>
        </w:rPr>
        <w:t xml:space="preserve">should </w:t>
      </w:r>
      <w:r w:rsidR="00E06725" w:rsidRPr="00BC68C4">
        <w:rPr>
          <w:rFonts w:ascii="Times New Roman" w:hAnsi="Times New Roman" w:cs="Times New Roman"/>
          <w:sz w:val="24"/>
          <w:szCs w:val="24"/>
        </w:rPr>
        <w:t>be higher.</w:t>
      </w:r>
    </w:p>
    <w:p w14:paraId="36FBD1CC" w14:textId="356C5095" w:rsidR="0026178C" w:rsidRPr="00BC68C4" w:rsidRDefault="000718FA" w:rsidP="006F5264">
      <w:pPr>
        <w:spacing w:line="480" w:lineRule="auto"/>
        <w:ind w:firstLine="720"/>
        <w:rPr>
          <w:rFonts w:ascii="Times New Roman" w:hAnsi="Times New Roman" w:cs="Times New Roman"/>
          <w:sz w:val="24"/>
          <w:szCs w:val="24"/>
        </w:rPr>
      </w:pPr>
      <w:r w:rsidRPr="00BC68C4">
        <w:rPr>
          <w:rFonts w:ascii="Times New Roman" w:hAnsi="Times New Roman" w:cs="Times New Roman"/>
          <w:sz w:val="24"/>
          <w:szCs w:val="24"/>
        </w:rPr>
        <w:t>There were numerous</w:t>
      </w:r>
      <w:r w:rsidR="00CF1D86" w:rsidRPr="00BC68C4">
        <w:rPr>
          <w:rFonts w:ascii="Times New Roman" w:hAnsi="Times New Roman" w:cs="Times New Roman"/>
          <w:sz w:val="24"/>
          <w:szCs w:val="24"/>
        </w:rPr>
        <w:t xml:space="preserve"> ways </w:t>
      </w:r>
      <w:r w:rsidR="00AC383F" w:rsidRPr="00BC68C4">
        <w:rPr>
          <w:rFonts w:ascii="Times New Roman" w:hAnsi="Times New Roman" w:cs="Times New Roman"/>
          <w:sz w:val="24"/>
          <w:szCs w:val="24"/>
        </w:rPr>
        <w:t>in which</w:t>
      </w:r>
      <w:r w:rsidR="00CF1D86" w:rsidRPr="00BC68C4">
        <w:rPr>
          <w:rFonts w:ascii="Times New Roman" w:hAnsi="Times New Roman" w:cs="Times New Roman"/>
          <w:sz w:val="24"/>
          <w:szCs w:val="24"/>
        </w:rPr>
        <w:t xml:space="preserve"> </w:t>
      </w:r>
      <w:proofErr w:type="spellStart"/>
      <w:r w:rsidR="00CF1D86" w:rsidRPr="00BC68C4">
        <w:rPr>
          <w:rFonts w:ascii="Times New Roman" w:hAnsi="Times New Roman" w:cs="Times New Roman"/>
          <w:sz w:val="24"/>
          <w:szCs w:val="24"/>
        </w:rPr>
        <w:t>blockholders</w:t>
      </w:r>
      <w:proofErr w:type="spellEnd"/>
      <w:r w:rsidR="00CF1D86" w:rsidRPr="00BC68C4">
        <w:rPr>
          <w:rFonts w:ascii="Times New Roman" w:hAnsi="Times New Roman" w:cs="Times New Roman"/>
          <w:sz w:val="24"/>
          <w:szCs w:val="24"/>
        </w:rPr>
        <w:t xml:space="preserve"> </w:t>
      </w:r>
      <w:r w:rsidR="00AC383F" w:rsidRPr="00BC68C4">
        <w:rPr>
          <w:rFonts w:ascii="Times New Roman" w:hAnsi="Times New Roman" w:cs="Times New Roman"/>
          <w:sz w:val="24"/>
          <w:szCs w:val="24"/>
        </w:rPr>
        <w:t xml:space="preserve">could </w:t>
      </w:r>
      <w:r w:rsidR="00CF1D86" w:rsidRPr="00BC68C4">
        <w:rPr>
          <w:rFonts w:ascii="Times New Roman" w:hAnsi="Times New Roman" w:cs="Times New Roman"/>
          <w:sz w:val="24"/>
          <w:szCs w:val="24"/>
        </w:rPr>
        <w:t>put their own interests before</w:t>
      </w:r>
      <w:r w:rsidR="002241BE" w:rsidRPr="00BC68C4">
        <w:rPr>
          <w:rFonts w:ascii="Times New Roman" w:hAnsi="Times New Roman" w:cs="Times New Roman"/>
          <w:sz w:val="24"/>
          <w:szCs w:val="24"/>
        </w:rPr>
        <w:t xml:space="preserve"> those of</w:t>
      </w:r>
      <w:r w:rsidR="00CF1D86" w:rsidRPr="00BC68C4">
        <w:rPr>
          <w:rFonts w:ascii="Times New Roman" w:hAnsi="Times New Roman" w:cs="Times New Roman"/>
          <w:sz w:val="24"/>
          <w:szCs w:val="24"/>
        </w:rPr>
        <w:t xml:space="preserve"> minority</w:t>
      </w:r>
      <w:r w:rsidR="003C6B59" w:rsidRPr="00BC68C4">
        <w:rPr>
          <w:rFonts w:ascii="Times New Roman" w:hAnsi="Times New Roman" w:cs="Times New Roman"/>
          <w:sz w:val="24"/>
          <w:szCs w:val="24"/>
        </w:rPr>
        <w:t xml:space="preserve"> shareholders</w:t>
      </w:r>
      <w:r w:rsidR="00A51EFE" w:rsidRPr="00BC68C4">
        <w:rPr>
          <w:rFonts w:ascii="Times New Roman" w:hAnsi="Times New Roman" w:cs="Times New Roman"/>
          <w:sz w:val="24"/>
          <w:szCs w:val="24"/>
        </w:rPr>
        <w:t xml:space="preserve"> </w:t>
      </w:r>
      <w:r w:rsidR="00F151EF" w:rsidRPr="00BC68C4">
        <w:rPr>
          <w:rFonts w:ascii="Times New Roman" w:hAnsi="Times New Roman" w:cs="Times New Roman"/>
          <w:sz w:val="24"/>
          <w:szCs w:val="24"/>
        </w:rPr>
        <w:t xml:space="preserve">Firstly, </w:t>
      </w:r>
      <w:r w:rsidRPr="00BC68C4">
        <w:rPr>
          <w:rFonts w:ascii="Times New Roman" w:hAnsi="Times New Roman" w:cs="Times New Roman"/>
          <w:sz w:val="24"/>
          <w:szCs w:val="24"/>
        </w:rPr>
        <w:t xml:space="preserve">the active </w:t>
      </w:r>
      <w:proofErr w:type="spellStart"/>
      <w:r w:rsidRPr="00BC68C4">
        <w:rPr>
          <w:rFonts w:ascii="Times New Roman" w:hAnsi="Times New Roman" w:cs="Times New Roman"/>
          <w:sz w:val="24"/>
          <w:szCs w:val="24"/>
        </w:rPr>
        <w:t>blockholder</w:t>
      </w:r>
      <w:proofErr w:type="spellEnd"/>
      <w:r w:rsidRPr="00BC68C4">
        <w:rPr>
          <w:rFonts w:ascii="Times New Roman" w:hAnsi="Times New Roman" w:cs="Times New Roman"/>
          <w:sz w:val="24"/>
          <w:szCs w:val="24"/>
        </w:rPr>
        <w:t xml:space="preserve"> could engage in tunnelling</w:t>
      </w:r>
      <w:r w:rsidR="00047E28">
        <w:rPr>
          <w:rFonts w:ascii="Times New Roman" w:hAnsi="Times New Roman" w:cs="Times New Roman"/>
          <w:sz w:val="24"/>
          <w:szCs w:val="24"/>
        </w:rPr>
        <w:t xml:space="preserve"> (or related party </w:t>
      </w:r>
      <w:proofErr w:type="spellStart"/>
      <w:r w:rsidR="00047E28">
        <w:rPr>
          <w:rFonts w:ascii="Times New Roman" w:hAnsi="Times New Roman" w:cs="Times New Roman"/>
          <w:sz w:val="24"/>
          <w:szCs w:val="24"/>
        </w:rPr>
        <w:t>transations</w:t>
      </w:r>
      <w:proofErr w:type="spellEnd"/>
      <w:r w:rsidR="00047E28">
        <w:rPr>
          <w:rFonts w:ascii="Times New Roman" w:hAnsi="Times New Roman" w:cs="Times New Roman"/>
          <w:sz w:val="24"/>
          <w:szCs w:val="24"/>
        </w:rPr>
        <w:t>)</w:t>
      </w:r>
      <w:r w:rsidR="00047E28">
        <w:rPr>
          <w:rStyle w:val="FootnoteReference"/>
          <w:rFonts w:ascii="Times New Roman" w:hAnsi="Times New Roman" w:cs="Times New Roman"/>
          <w:sz w:val="24"/>
          <w:szCs w:val="24"/>
        </w:rPr>
        <w:footnoteReference w:id="8"/>
      </w:r>
      <w:r w:rsidR="004D3008" w:rsidRPr="00BC68C4">
        <w:rPr>
          <w:rFonts w:ascii="Times New Roman" w:hAnsi="Times New Roman" w:cs="Times New Roman"/>
          <w:sz w:val="24"/>
          <w:szCs w:val="24"/>
        </w:rPr>
        <w:t>, by getting the company to lend money at low rates, or buy assets at inflated prices. These would typically affect only the balance sheet, rather than profitability, in the short-</w:t>
      </w:r>
      <w:r w:rsidR="004D3008" w:rsidRPr="006658C5">
        <w:rPr>
          <w:rFonts w:ascii="Times New Roman" w:hAnsi="Times New Roman" w:cs="Times New Roman"/>
          <w:sz w:val="24"/>
          <w:szCs w:val="24"/>
        </w:rPr>
        <w:t>term.</w:t>
      </w:r>
      <w:r w:rsidR="00A51EFE" w:rsidRPr="006658C5">
        <w:rPr>
          <w:rFonts w:ascii="Times New Roman" w:hAnsi="Times New Roman" w:cs="Times New Roman"/>
          <w:sz w:val="24"/>
          <w:szCs w:val="24"/>
        </w:rPr>
        <w:t xml:space="preserve"> </w:t>
      </w:r>
      <w:r w:rsidR="004D3008" w:rsidRPr="006658C5">
        <w:rPr>
          <w:rFonts w:ascii="Times New Roman" w:hAnsi="Times New Roman" w:cs="Times New Roman"/>
          <w:sz w:val="24"/>
          <w:szCs w:val="24"/>
        </w:rPr>
        <w:t>Another form of</w:t>
      </w:r>
      <w:r w:rsidR="004D3008" w:rsidRPr="00BC68C4">
        <w:rPr>
          <w:rFonts w:ascii="Times New Roman" w:hAnsi="Times New Roman" w:cs="Times New Roman"/>
          <w:sz w:val="24"/>
          <w:szCs w:val="24"/>
        </w:rPr>
        <w:t xml:space="preserve"> tunnelling can occur</w:t>
      </w:r>
      <w:r w:rsidR="002918E8" w:rsidRPr="00BC68C4">
        <w:rPr>
          <w:rFonts w:ascii="Times New Roman" w:hAnsi="Times New Roman" w:cs="Times New Roman"/>
          <w:sz w:val="24"/>
          <w:szCs w:val="24"/>
        </w:rPr>
        <w:t xml:space="preserve"> when the </w:t>
      </w:r>
      <w:proofErr w:type="spellStart"/>
      <w:r w:rsidR="002918E8" w:rsidRPr="00BC68C4">
        <w:rPr>
          <w:rFonts w:ascii="Times New Roman" w:hAnsi="Times New Roman" w:cs="Times New Roman"/>
          <w:sz w:val="24"/>
          <w:szCs w:val="24"/>
        </w:rPr>
        <w:t>blockholder</w:t>
      </w:r>
      <w:proofErr w:type="spellEnd"/>
      <w:r w:rsidR="002918E8" w:rsidRPr="00BC68C4">
        <w:rPr>
          <w:rFonts w:ascii="Times New Roman" w:hAnsi="Times New Roman" w:cs="Times New Roman"/>
          <w:sz w:val="24"/>
          <w:szCs w:val="24"/>
        </w:rPr>
        <w:t xml:space="preserve"> gets the company to </w:t>
      </w:r>
      <w:r w:rsidR="004D3008" w:rsidRPr="00BC68C4">
        <w:rPr>
          <w:rFonts w:ascii="Times New Roman" w:hAnsi="Times New Roman" w:cs="Times New Roman"/>
          <w:sz w:val="24"/>
          <w:szCs w:val="24"/>
        </w:rPr>
        <w:t>trade</w:t>
      </w:r>
      <w:r w:rsidR="002918E8" w:rsidRPr="00BC68C4">
        <w:rPr>
          <w:rFonts w:ascii="Times New Roman" w:hAnsi="Times New Roman" w:cs="Times New Roman"/>
          <w:sz w:val="24"/>
          <w:szCs w:val="24"/>
        </w:rPr>
        <w:t xml:space="preserve"> with other firms that he owns</w:t>
      </w:r>
      <w:r w:rsidR="00641D78">
        <w:rPr>
          <w:rFonts w:ascii="Times New Roman" w:hAnsi="Times New Roman" w:cs="Times New Roman"/>
          <w:sz w:val="24"/>
          <w:szCs w:val="24"/>
        </w:rPr>
        <w:t>.</w:t>
      </w:r>
      <w:r w:rsidR="002918E8" w:rsidRPr="00BC68C4">
        <w:rPr>
          <w:rFonts w:ascii="Times New Roman" w:hAnsi="Times New Roman" w:cs="Times New Roman"/>
          <w:sz w:val="24"/>
          <w:szCs w:val="24"/>
        </w:rPr>
        <w:t xml:space="preserve"> The company is then charged inflated prices and the benefits are earned by the </w:t>
      </w:r>
      <w:proofErr w:type="spellStart"/>
      <w:r w:rsidR="002918E8" w:rsidRPr="00BC68C4">
        <w:rPr>
          <w:rFonts w:ascii="Times New Roman" w:hAnsi="Times New Roman" w:cs="Times New Roman"/>
          <w:sz w:val="24"/>
          <w:szCs w:val="24"/>
        </w:rPr>
        <w:t>blockholder’s</w:t>
      </w:r>
      <w:proofErr w:type="spellEnd"/>
      <w:r w:rsidR="002918E8" w:rsidRPr="00BC68C4">
        <w:rPr>
          <w:rFonts w:ascii="Times New Roman" w:hAnsi="Times New Roman" w:cs="Times New Roman"/>
          <w:sz w:val="24"/>
          <w:szCs w:val="24"/>
        </w:rPr>
        <w:t xml:space="preserve"> other firms, at the expense of the minority shareholders. </w:t>
      </w:r>
      <w:r w:rsidR="00047E28">
        <w:rPr>
          <w:rFonts w:ascii="Times New Roman" w:hAnsi="Times New Roman" w:cs="Times New Roman"/>
          <w:sz w:val="24"/>
          <w:szCs w:val="24"/>
        </w:rPr>
        <w:t>Even i</w:t>
      </w:r>
      <w:r w:rsidR="002918E8" w:rsidRPr="00BC68C4">
        <w:rPr>
          <w:rFonts w:ascii="Times New Roman" w:hAnsi="Times New Roman" w:cs="Times New Roman"/>
          <w:sz w:val="24"/>
          <w:szCs w:val="24"/>
        </w:rPr>
        <w:t xml:space="preserve">f this </w:t>
      </w:r>
      <w:r w:rsidR="00DC5ADC" w:rsidRPr="00BC68C4">
        <w:rPr>
          <w:rFonts w:ascii="Times New Roman" w:hAnsi="Times New Roman" w:cs="Times New Roman"/>
          <w:sz w:val="24"/>
          <w:szCs w:val="24"/>
        </w:rPr>
        <w:t xml:space="preserve">did not occur immediately but investors understood that </w:t>
      </w:r>
      <w:r w:rsidR="00F16FE4" w:rsidRPr="00BC68C4">
        <w:rPr>
          <w:rFonts w:ascii="Times New Roman" w:hAnsi="Times New Roman" w:cs="Times New Roman"/>
          <w:sz w:val="24"/>
          <w:szCs w:val="24"/>
        </w:rPr>
        <w:t xml:space="preserve">it </w:t>
      </w:r>
      <w:r w:rsidR="00DC5ADC" w:rsidRPr="00BC68C4">
        <w:rPr>
          <w:rFonts w:ascii="Times New Roman" w:hAnsi="Times New Roman" w:cs="Times New Roman"/>
          <w:sz w:val="24"/>
          <w:szCs w:val="24"/>
        </w:rPr>
        <w:t>could occur in the future, it</w:t>
      </w:r>
      <w:r w:rsidR="002918E8" w:rsidRPr="00BC68C4">
        <w:rPr>
          <w:rFonts w:ascii="Times New Roman" w:hAnsi="Times New Roman" w:cs="Times New Roman"/>
          <w:sz w:val="24"/>
          <w:szCs w:val="24"/>
        </w:rPr>
        <w:t xml:space="preserve"> would mea</w:t>
      </w:r>
      <w:r w:rsidR="00F151EF" w:rsidRPr="00BC68C4">
        <w:rPr>
          <w:rFonts w:ascii="Times New Roman" w:hAnsi="Times New Roman" w:cs="Times New Roman"/>
          <w:sz w:val="24"/>
          <w:szCs w:val="24"/>
        </w:rPr>
        <w:t>n that current profitability could remain</w:t>
      </w:r>
      <w:r w:rsidR="002918E8" w:rsidRPr="00BC68C4">
        <w:rPr>
          <w:rFonts w:ascii="Times New Roman" w:hAnsi="Times New Roman" w:cs="Times New Roman"/>
          <w:sz w:val="24"/>
          <w:szCs w:val="24"/>
        </w:rPr>
        <w:t xml:space="preserve"> high, </w:t>
      </w:r>
      <w:r w:rsidR="00DC5ADC" w:rsidRPr="00BC68C4">
        <w:rPr>
          <w:rFonts w:ascii="Times New Roman" w:hAnsi="Times New Roman" w:cs="Times New Roman"/>
          <w:sz w:val="24"/>
          <w:szCs w:val="24"/>
        </w:rPr>
        <w:t xml:space="preserve">but </w:t>
      </w:r>
      <w:r w:rsidR="002918E8" w:rsidRPr="00BC68C4">
        <w:rPr>
          <w:rFonts w:ascii="Times New Roman" w:hAnsi="Times New Roman" w:cs="Times New Roman"/>
          <w:sz w:val="24"/>
          <w:szCs w:val="24"/>
        </w:rPr>
        <w:t>the share price would be discounted to reflect the additional risk.</w:t>
      </w:r>
      <w:r w:rsidR="000660F0" w:rsidRPr="00BC68C4">
        <w:rPr>
          <w:rFonts w:ascii="Times New Roman" w:hAnsi="Times New Roman" w:cs="Times New Roman"/>
          <w:sz w:val="24"/>
          <w:szCs w:val="24"/>
        </w:rPr>
        <w:t xml:space="preserve"> </w:t>
      </w:r>
      <w:r w:rsidR="002918E8" w:rsidRPr="00BC68C4">
        <w:rPr>
          <w:rFonts w:ascii="Times New Roman" w:hAnsi="Times New Roman" w:cs="Times New Roman"/>
          <w:sz w:val="24"/>
          <w:szCs w:val="24"/>
        </w:rPr>
        <w:t>An example of this</w:t>
      </w:r>
      <w:r w:rsidR="00F16FE4" w:rsidRPr="00BC68C4">
        <w:rPr>
          <w:rFonts w:ascii="Times New Roman" w:hAnsi="Times New Roman" w:cs="Times New Roman"/>
          <w:sz w:val="24"/>
          <w:szCs w:val="24"/>
        </w:rPr>
        <w:t xml:space="preserve"> type of tunnelling</w:t>
      </w:r>
      <w:r w:rsidR="002918E8" w:rsidRPr="00BC68C4">
        <w:rPr>
          <w:rFonts w:ascii="Times New Roman" w:hAnsi="Times New Roman" w:cs="Times New Roman"/>
          <w:sz w:val="24"/>
          <w:szCs w:val="24"/>
        </w:rPr>
        <w:t xml:space="preserve"> was seen in th</w:t>
      </w:r>
      <w:r w:rsidR="00F16FE4" w:rsidRPr="00BC68C4">
        <w:rPr>
          <w:rFonts w:ascii="Times New Roman" w:hAnsi="Times New Roman" w:cs="Times New Roman"/>
          <w:sz w:val="24"/>
          <w:szCs w:val="24"/>
        </w:rPr>
        <w:t>e case of the Grosvenor Hotel</w:t>
      </w:r>
      <w:r w:rsidR="00047E28">
        <w:rPr>
          <w:rFonts w:ascii="Times New Roman" w:hAnsi="Times New Roman" w:cs="Times New Roman"/>
          <w:sz w:val="24"/>
          <w:szCs w:val="24"/>
        </w:rPr>
        <w:t>;</w:t>
      </w:r>
      <w:r w:rsidR="00F16FE4" w:rsidRPr="00BC68C4">
        <w:rPr>
          <w:rFonts w:ascii="Times New Roman" w:hAnsi="Times New Roman" w:cs="Times New Roman"/>
          <w:sz w:val="24"/>
          <w:szCs w:val="24"/>
        </w:rPr>
        <w:t xml:space="preserve"> R</w:t>
      </w:r>
      <w:r w:rsidR="002918E8" w:rsidRPr="00BC68C4">
        <w:rPr>
          <w:rFonts w:ascii="Times New Roman" w:hAnsi="Times New Roman" w:cs="Times New Roman"/>
          <w:sz w:val="24"/>
          <w:szCs w:val="24"/>
        </w:rPr>
        <w:t>. C. D</w:t>
      </w:r>
      <w:r w:rsidR="002241BE" w:rsidRPr="00BC68C4">
        <w:rPr>
          <w:rFonts w:ascii="Times New Roman" w:hAnsi="Times New Roman" w:cs="Times New Roman"/>
          <w:sz w:val="24"/>
          <w:szCs w:val="24"/>
        </w:rPr>
        <w:t>rew was the largest shareholder</w:t>
      </w:r>
      <w:r w:rsidR="002918E8" w:rsidRPr="00BC68C4">
        <w:rPr>
          <w:rFonts w:ascii="Times New Roman" w:hAnsi="Times New Roman" w:cs="Times New Roman"/>
          <w:sz w:val="24"/>
          <w:szCs w:val="24"/>
        </w:rPr>
        <w:t xml:space="preserve"> and exercised </w:t>
      </w:r>
      <w:r w:rsidR="000660F0" w:rsidRPr="00BC68C4">
        <w:rPr>
          <w:rFonts w:ascii="Times New Roman" w:hAnsi="Times New Roman" w:cs="Times New Roman"/>
          <w:sz w:val="24"/>
          <w:szCs w:val="24"/>
        </w:rPr>
        <w:t xml:space="preserve">control over a small board, who colluded with him to obtain most of the supplies for the hotel from a butcher, </w:t>
      </w:r>
      <w:r w:rsidR="00F16FE4" w:rsidRPr="00BC68C4">
        <w:rPr>
          <w:rFonts w:ascii="Times New Roman" w:hAnsi="Times New Roman" w:cs="Times New Roman"/>
          <w:sz w:val="24"/>
          <w:szCs w:val="24"/>
        </w:rPr>
        <w:t>grocer, and laundry all</w:t>
      </w:r>
      <w:r w:rsidR="000660F0" w:rsidRPr="00BC68C4">
        <w:rPr>
          <w:rFonts w:ascii="Times New Roman" w:hAnsi="Times New Roman" w:cs="Times New Roman"/>
          <w:sz w:val="24"/>
          <w:szCs w:val="24"/>
        </w:rPr>
        <w:t xml:space="preserve"> owned by Drew.</w:t>
      </w:r>
      <w:r w:rsidR="00A51EFE" w:rsidRPr="00BC68C4">
        <w:rPr>
          <w:rStyle w:val="FootnoteReference"/>
          <w:rFonts w:ascii="Times New Roman" w:hAnsi="Times New Roman" w:cs="Times New Roman"/>
          <w:sz w:val="24"/>
          <w:szCs w:val="24"/>
        </w:rPr>
        <w:footnoteReference w:id="9"/>
      </w:r>
      <w:r w:rsidR="000660F0" w:rsidRPr="00BC68C4">
        <w:rPr>
          <w:rFonts w:ascii="Times New Roman" w:hAnsi="Times New Roman" w:cs="Times New Roman"/>
          <w:sz w:val="24"/>
          <w:szCs w:val="24"/>
        </w:rPr>
        <w:t xml:space="preserve"> </w:t>
      </w:r>
    </w:p>
    <w:p w14:paraId="67AF310F" w14:textId="3786D700" w:rsidR="00A12C39" w:rsidRPr="00BC68C4" w:rsidRDefault="002125B1" w:rsidP="00A12C39">
      <w:pPr>
        <w:spacing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Block</w:t>
      </w:r>
      <w:r w:rsidRPr="00BC68C4">
        <w:rPr>
          <w:rFonts w:ascii="Times New Roman" w:hAnsi="Times New Roman" w:cs="Times New Roman"/>
          <w:sz w:val="24"/>
          <w:szCs w:val="24"/>
        </w:rPr>
        <w:t>holders</w:t>
      </w:r>
      <w:proofErr w:type="spellEnd"/>
      <w:r w:rsidR="00F151EF" w:rsidRPr="00BC68C4">
        <w:rPr>
          <w:rFonts w:ascii="Times New Roman" w:hAnsi="Times New Roman" w:cs="Times New Roman"/>
          <w:sz w:val="24"/>
          <w:szCs w:val="24"/>
        </w:rPr>
        <w:t xml:space="preserve"> could also put themselves first</w:t>
      </w:r>
      <w:r w:rsidR="00A12C39" w:rsidRPr="00BC68C4">
        <w:rPr>
          <w:rFonts w:ascii="Times New Roman" w:hAnsi="Times New Roman" w:cs="Times New Roman"/>
          <w:sz w:val="24"/>
          <w:szCs w:val="24"/>
        </w:rPr>
        <w:t xml:space="preserve"> by withholding information. As insiders</w:t>
      </w:r>
      <w:r w:rsidR="00A51EFE" w:rsidRPr="00BC68C4">
        <w:rPr>
          <w:rFonts w:ascii="Times New Roman" w:hAnsi="Times New Roman" w:cs="Times New Roman"/>
          <w:sz w:val="24"/>
          <w:szCs w:val="24"/>
        </w:rPr>
        <w:t>,</w:t>
      </w:r>
      <w:r w:rsidR="00A12C39" w:rsidRPr="00BC68C4">
        <w:rPr>
          <w:rFonts w:ascii="Times New Roman" w:hAnsi="Times New Roman" w:cs="Times New Roman"/>
          <w:sz w:val="24"/>
          <w:szCs w:val="24"/>
        </w:rPr>
        <w:t xml:space="preserve"> they </w:t>
      </w:r>
      <w:r w:rsidR="00F70B9A">
        <w:rPr>
          <w:rFonts w:ascii="Times New Roman" w:hAnsi="Times New Roman" w:cs="Times New Roman"/>
          <w:sz w:val="24"/>
          <w:szCs w:val="24"/>
        </w:rPr>
        <w:t xml:space="preserve">had </w:t>
      </w:r>
      <w:r w:rsidR="00A12C39" w:rsidRPr="00BC68C4">
        <w:rPr>
          <w:rFonts w:ascii="Times New Roman" w:hAnsi="Times New Roman" w:cs="Times New Roman"/>
          <w:sz w:val="24"/>
          <w:szCs w:val="24"/>
        </w:rPr>
        <w:t>detailed knowledge about the performance of the firm, which they could use to inform their decisions on whether to buy or sell stock in it</w:t>
      </w:r>
      <w:r w:rsidR="00F70B9A">
        <w:rPr>
          <w:rFonts w:ascii="Times New Roman" w:hAnsi="Times New Roman" w:cs="Times New Roman"/>
          <w:sz w:val="24"/>
          <w:szCs w:val="24"/>
        </w:rPr>
        <w:t xml:space="preserve"> (insider trading</w:t>
      </w:r>
      <w:r w:rsidR="003C0FD1">
        <w:rPr>
          <w:rFonts w:ascii="Times New Roman" w:hAnsi="Times New Roman" w:cs="Times New Roman"/>
          <w:sz w:val="24"/>
          <w:szCs w:val="24"/>
        </w:rPr>
        <w:t>)</w:t>
      </w:r>
      <w:r w:rsidR="00641D78">
        <w:rPr>
          <w:rFonts w:ascii="Times New Roman" w:hAnsi="Times New Roman" w:cs="Times New Roman"/>
          <w:sz w:val="24"/>
          <w:szCs w:val="24"/>
        </w:rPr>
        <w:t>. They could</w:t>
      </w:r>
      <w:r w:rsidR="00F70B9A">
        <w:rPr>
          <w:rFonts w:ascii="Times New Roman" w:hAnsi="Times New Roman" w:cs="Times New Roman"/>
          <w:sz w:val="24"/>
          <w:szCs w:val="24"/>
        </w:rPr>
        <w:t xml:space="preserve"> </w:t>
      </w:r>
      <w:r w:rsidR="00A12C39" w:rsidRPr="00BC68C4">
        <w:rPr>
          <w:rFonts w:ascii="Times New Roman" w:hAnsi="Times New Roman" w:cs="Times New Roman"/>
          <w:sz w:val="24"/>
          <w:szCs w:val="24"/>
        </w:rPr>
        <w:t>deny much of this inf</w:t>
      </w:r>
      <w:r w:rsidR="002D51B6" w:rsidRPr="00BC68C4">
        <w:rPr>
          <w:rFonts w:ascii="Times New Roman" w:hAnsi="Times New Roman" w:cs="Times New Roman"/>
          <w:sz w:val="24"/>
          <w:szCs w:val="24"/>
        </w:rPr>
        <w:t>ormation to others, placing the minority shareholders</w:t>
      </w:r>
      <w:r w:rsidR="00A12C39" w:rsidRPr="00BC68C4">
        <w:rPr>
          <w:rFonts w:ascii="Times New Roman" w:hAnsi="Times New Roman" w:cs="Times New Roman"/>
          <w:sz w:val="24"/>
          <w:szCs w:val="24"/>
        </w:rPr>
        <w:t xml:space="preserve"> at a disadvantage. For example, The </w:t>
      </w:r>
      <w:r w:rsidR="00337E79" w:rsidRPr="00BC68C4">
        <w:rPr>
          <w:rFonts w:ascii="Times New Roman" w:hAnsi="Times New Roman" w:cs="Times New Roman"/>
          <w:i/>
          <w:sz w:val="24"/>
          <w:szCs w:val="24"/>
        </w:rPr>
        <w:t>Financial Times</w:t>
      </w:r>
      <w:r w:rsidR="002241BE" w:rsidRPr="00BC68C4">
        <w:rPr>
          <w:rFonts w:ascii="Times New Roman" w:hAnsi="Times New Roman" w:cs="Times New Roman"/>
          <w:sz w:val="24"/>
          <w:szCs w:val="24"/>
        </w:rPr>
        <w:t xml:space="preserve"> remarked about </w:t>
      </w:r>
      <w:r w:rsidR="00F70B9A">
        <w:rPr>
          <w:rFonts w:ascii="Times New Roman" w:hAnsi="Times New Roman" w:cs="Times New Roman"/>
          <w:sz w:val="24"/>
          <w:szCs w:val="24"/>
        </w:rPr>
        <w:t xml:space="preserve">the Globe Cotton Spinning, a company in our </w:t>
      </w:r>
      <w:r>
        <w:rPr>
          <w:rFonts w:ascii="Times New Roman" w:hAnsi="Times New Roman" w:cs="Times New Roman"/>
          <w:sz w:val="24"/>
          <w:szCs w:val="24"/>
        </w:rPr>
        <w:t>sample</w:t>
      </w:r>
      <w:r w:rsidR="00F70B9A">
        <w:rPr>
          <w:rFonts w:ascii="Times New Roman" w:hAnsi="Times New Roman" w:cs="Times New Roman"/>
          <w:sz w:val="24"/>
          <w:szCs w:val="24"/>
        </w:rPr>
        <w:t>,</w:t>
      </w:r>
      <w:r w:rsidR="002241BE" w:rsidRPr="00BC68C4">
        <w:rPr>
          <w:rFonts w:ascii="Times New Roman" w:hAnsi="Times New Roman" w:cs="Times New Roman"/>
          <w:sz w:val="24"/>
          <w:szCs w:val="24"/>
        </w:rPr>
        <w:t xml:space="preserve"> that it paid</w:t>
      </w:r>
      <w:r w:rsidR="00A12C39" w:rsidRPr="00BC68C4">
        <w:rPr>
          <w:rFonts w:ascii="Times New Roman" w:hAnsi="Times New Roman" w:cs="Times New Roman"/>
          <w:sz w:val="24"/>
          <w:szCs w:val="24"/>
        </w:rPr>
        <w:t xml:space="preserve"> a dividend by forwarding ‘a cheque to each shareholder for whatever amount may be due to him at a rate the Directors fix on … Apparently no accounts are circulated … No information is obtainable beyond the capital subscrib</w:t>
      </w:r>
      <w:r w:rsidR="00A51EFE" w:rsidRPr="00BC68C4">
        <w:rPr>
          <w:rFonts w:ascii="Times New Roman" w:hAnsi="Times New Roman" w:cs="Times New Roman"/>
          <w:sz w:val="24"/>
          <w:szCs w:val="24"/>
        </w:rPr>
        <w:t>ed and a few office particulars</w:t>
      </w:r>
      <w:r w:rsidR="00A12C39" w:rsidRPr="00BC68C4">
        <w:rPr>
          <w:rFonts w:ascii="Times New Roman" w:hAnsi="Times New Roman" w:cs="Times New Roman"/>
          <w:sz w:val="24"/>
          <w:szCs w:val="24"/>
        </w:rPr>
        <w:t>’</w:t>
      </w:r>
      <w:r w:rsidR="00A51EFE" w:rsidRPr="00BC68C4">
        <w:rPr>
          <w:rFonts w:ascii="Times New Roman" w:hAnsi="Times New Roman" w:cs="Times New Roman"/>
          <w:sz w:val="24"/>
          <w:szCs w:val="24"/>
        </w:rPr>
        <w:t>.</w:t>
      </w:r>
      <w:r w:rsidR="00A51EFE" w:rsidRPr="00BC68C4">
        <w:rPr>
          <w:rStyle w:val="FootnoteReference"/>
          <w:rFonts w:ascii="Times New Roman" w:hAnsi="Times New Roman" w:cs="Times New Roman"/>
          <w:sz w:val="24"/>
          <w:szCs w:val="24"/>
        </w:rPr>
        <w:footnoteReference w:id="10"/>
      </w:r>
      <w:r w:rsidR="00A12C39" w:rsidRPr="00BC68C4">
        <w:rPr>
          <w:rFonts w:ascii="Times New Roman" w:hAnsi="Times New Roman" w:cs="Times New Roman"/>
          <w:sz w:val="24"/>
          <w:szCs w:val="24"/>
        </w:rPr>
        <w:t xml:space="preserve"> This secrecy would tend to raise the risk for minority shareholders, an</w:t>
      </w:r>
      <w:r w:rsidR="002D51B6" w:rsidRPr="00BC68C4">
        <w:rPr>
          <w:rFonts w:ascii="Times New Roman" w:hAnsi="Times New Roman" w:cs="Times New Roman"/>
          <w:sz w:val="24"/>
          <w:szCs w:val="24"/>
        </w:rPr>
        <w:t xml:space="preserve">d lower valuations, despite the </w:t>
      </w:r>
      <w:r w:rsidR="00A12C39" w:rsidRPr="00BC68C4">
        <w:rPr>
          <w:rFonts w:ascii="Times New Roman" w:hAnsi="Times New Roman" w:cs="Times New Roman"/>
          <w:sz w:val="24"/>
          <w:szCs w:val="24"/>
        </w:rPr>
        <w:t>profitability</w:t>
      </w:r>
      <w:r w:rsidR="002D51B6" w:rsidRPr="00BC68C4">
        <w:rPr>
          <w:rFonts w:ascii="Times New Roman" w:hAnsi="Times New Roman" w:cs="Times New Roman"/>
          <w:sz w:val="24"/>
          <w:szCs w:val="24"/>
        </w:rPr>
        <w:t xml:space="preserve"> of the company</w:t>
      </w:r>
      <w:r w:rsidR="00A12C39" w:rsidRPr="00BC68C4">
        <w:rPr>
          <w:rFonts w:ascii="Times New Roman" w:hAnsi="Times New Roman" w:cs="Times New Roman"/>
          <w:sz w:val="24"/>
          <w:szCs w:val="24"/>
        </w:rPr>
        <w:t>.</w:t>
      </w:r>
    </w:p>
    <w:p w14:paraId="567378A5" w14:textId="4294F9B3" w:rsidR="002D51B6" w:rsidRPr="00BC68C4" w:rsidRDefault="00AE22F5" w:rsidP="006F5264">
      <w:pPr>
        <w:spacing w:line="480" w:lineRule="auto"/>
        <w:ind w:firstLine="720"/>
        <w:rPr>
          <w:rFonts w:ascii="Times New Roman" w:hAnsi="Times New Roman" w:cs="Times New Roman"/>
          <w:sz w:val="24"/>
          <w:szCs w:val="24"/>
        </w:rPr>
      </w:pPr>
      <w:r>
        <w:rPr>
          <w:rFonts w:ascii="Times New Roman" w:hAnsi="Times New Roman" w:cs="Times New Roman"/>
          <w:sz w:val="24"/>
          <w:szCs w:val="24"/>
        </w:rPr>
        <w:t>A</w:t>
      </w:r>
      <w:r w:rsidR="00A12C39" w:rsidRPr="00BC68C4">
        <w:rPr>
          <w:rFonts w:ascii="Times New Roman" w:hAnsi="Times New Roman" w:cs="Times New Roman"/>
          <w:sz w:val="24"/>
          <w:szCs w:val="24"/>
        </w:rPr>
        <w:t xml:space="preserve">ctive </w:t>
      </w:r>
      <w:proofErr w:type="spellStart"/>
      <w:r w:rsidR="003C0FD1">
        <w:rPr>
          <w:rFonts w:ascii="Times New Roman" w:hAnsi="Times New Roman" w:cs="Times New Roman"/>
          <w:sz w:val="24"/>
          <w:szCs w:val="24"/>
        </w:rPr>
        <w:t>block</w:t>
      </w:r>
      <w:r w:rsidR="003C0FD1" w:rsidRPr="00BC68C4">
        <w:rPr>
          <w:rFonts w:ascii="Times New Roman" w:hAnsi="Times New Roman" w:cs="Times New Roman"/>
          <w:sz w:val="24"/>
          <w:szCs w:val="24"/>
        </w:rPr>
        <w:t>holde</w:t>
      </w:r>
      <w:r w:rsidR="003C0FD1">
        <w:rPr>
          <w:rFonts w:ascii="Times New Roman" w:hAnsi="Times New Roman" w:cs="Times New Roman"/>
          <w:sz w:val="24"/>
          <w:szCs w:val="24"/>
        </w:rPr>
        <w:t>rs</w:t>
      </w:r>
      <w:proofErr w:type="spellEnd"/>
      <w:r w:rsidR="00A12C39" w:rsidRPr="00BC68C4">
        <w:rPr>
          <w:rFonts w:ascii="Times New Roman" w:hAnsi="Times New Roman" w:cs="Times New Roman"/>
          <w:sz w:val="24"/>
          <w:szCs w:val="24"/>
        </w:rPr>
        <w:t xml:space="preserve"> </w:t>
      </w:r>
      <w:r>
        <w:rPr>
          <w:rFonts w:ascii="Times New Roman" w:hAnsi="Times New Roman" w:cs="Times New Roman"/>
          <w:sz w:val="24"/>
          <w:szCs w:val="24"/>
        </w:rPr>
        <w:t>c</w:t>
      </w:r>
      <w:r w:rsidR="00A12C39" w:rsidRPr="00BC68C4">
        <w:rPr>
          <w:rFonts w:ascii="Times New Roman" w:hAnsi="Times New Roman" w:cs="Times New Roman"/>
          <w:sz w:val="24"/>
          <w:szCs w:val="24"/>
        </w:rPr>
        <w:t xml:space="preserve">ould </w:t>
      </w:r>
      <w:r>
        <w:rPr>
          <w:rFonts w:ascii="Times New Roman" w:hAnsi="Times New Roman" w:cs="Times New Roman"/>
          <w:sz w:val="24"/>
          <w:szCs w:val="24"/>
        </w:rPr>
        <w:t xml:space="preserve">also </w:t>
      </w:r>
      <w:r w:rsidR="00A12C39" w:rsidRPr="00BC68C4">
        <w:rPr>
          <w:rFonts w:ascii="Times New Roman" w:hAnsi="Times New Roman" w:cs="Times New Roman"/>
          <w:sz w:val="24"/>
          <w:szCs w:val="24"/>
        </w:rPr>
        <w:t xml:space="preserve">continue in their position within the company, even when </w:t>
      </w:r>
      <w:r>
        <w:rPr>
          <w:rFonts w:ascii="Times New Roman" w:hAnsi="Times New Roman" w:cs="Times New Roman"/>
          <w:sz w:val="24"/>
          <w:szCs w:val="24"/>
        </w:rPr>
        <w:t>it was</w:t>
      </w:r>
      <w:r w:rsidR="00A12C39" w:rsidRPr="00BC68C4">
        <w:rPr>
          <w:rFonts w:ascii="Times New Roman" w:hAnsi="Times New Roman" w:cs="Times New Roman"/>
          <w:sz w:val="24"/>
          <w:szCs w:val="24"/>
        </w:rPr>
        <w:t xml:space="preserve"> no longer performing well. The removal of a large active </w:t>
      </w:r>
      <w:proofErr w:type="spellStart"/>
      <w:r w:rsidR="006F5264">
        <w:rPr>
          <w:rFonts w:ascii="Times New Roman" w:hAnsi="Times New Roman" w:cs="Times New Roman"/>
          <w:sz w:val="24"/>
          <w:szCs w:val="24"/>
        </w:rPr>
        <w:t>block</w:t>
      </w:r>
      <w:r w:rsidR="006F5264" w:rsidRPr="00BC68C4">
        <w:rPr>
          <w:rFonts w:ascii="Times New Roman" w:hAnsi="Times New Roman" w:cs="Times New Roman"/>
          <w:sz w:val="24"/>
          <w:szCs w:val="24"/>
        </w:rPr>
        <w:t>holder</w:t>
      </w:r>
      <w:proofErr w:type="spellEnd"/>
      <w:r>
        <w:rPr>
          <w:rFonts w:ascii="Times New Roman" w:hAnsi="Times New Roman" w:cs="Times New Roman"/>
          <w:sz w:val="24"/>
          <w:szCs w:val="24"/>
        </w:rPr>
        <w:t>,</w:t>
      </w:r>
      <w:r w:rsidR="00A12C39" w:rsidRPr="00BC68C4">
        <w:rPr>
          <w:rFonts w:ascii="Times New Roman" w:hAnsi="Times New Roman" w:cs="Times New Roman"/>
          <w:sz w:val="24"/>
          <w:szCs w:val="24"/>
        </w:rPr>
        <w:t xml:space="preserve"> as managing director</w:t>
      </w:r>
      <w:r>
        <w:rPr>
          <w:rFonts w:ascii="Times New Roman" w:hAnsi="Times New Roman" w:cs="Times New Roman"/>
          <w:sz w:val="24"/>
          <w:szCs w:val="24"/>
        </w:rPr>
        <w:t>,</w:t>
      </w:r>
      <w:r w:rsidR="00A12C39" w:rsidRPr="00BC68C4">
        <w:rPr>
          <w:rFonts w:ascii="Times New Roman" w:hAnsi="Times New Roman" w:cs="Times New Roman"/>
          <w:sz w:val="24"/>
          <w:szCs w:val="24"/>
        </w:rPr>
        <w:t xml:space="preserve"> would likely have been much more difficult than the removal of </w:t>
      </w:r>
      <w:r w:rsidR="008D2FBA" w:rsidRPr="00BC68C4">
        <w:rPr>
          <w:rFonts w:ascii="Times New Roman" w:hAnsi="Times New Roman" w:cs="Times New Roman"/>
          <w:sz w:val="24"/>
          <w:szCs w:val="24"/>
        </w:rPr>
        <w:t xml:space="preserve">someone who was not a </w:t>
      </w:r>
      <w:proofErr w:type="spellStart"/>
      <w:r w:rsidR="008D2FBA" w:rsidRPr="00BC68C4">
        <w:rPr>
          <w:rFonts w:ascii="Times New Roman" w:hAnsi="Times New Roman" w:cs="Times New Roman"/>
          <w:sz w:val="24"/>
          <w:szCs w:val="24"/>
        </w:rPr>
        <w:t>blockholder</w:t>
      </w:r>
      <w:proofErr w:type="spellEnd"/>
      <w:r w:rsidR="00A12C39" w:rsidRPr="00BC68C4">
        <w:rPr>
          <w:rFonts w:ascii="Times New Roman" w:hAnsi="Times New Roman" w:cs="Times New Roman"/>
          <w:sz w:val="24"/>
          <w:szCs w:val="24"/>
        </w:rPr>
        <w:t xml:space="preserve">. The </w:t>
      </w:r>
      <w:r w:rsidR="00337E79" w:rsidRPr="00BC68C4">
        <w:rPr>
          <w:rFonts w:ascii="Times New Roman" w:hAnsi="Times New Roman" w:cs="Times New Roman"/>
          <w:i/>
          <w:sz w:val="24"/>
          <w:szCs w:val="24"/>
        </w:rPr>
        <w:t>Financial Times</w:t>
      </w:r>
      <w:r w:rsidR="00A12C39" w:rsidRPr="00BC68C4">
        <w:rPr>
          <w:rFonts w:ascii="Times New Roman" w:hAnsi="Times New Roman" w:cs="Times New Roman"/>
          <w:sz w:val="24"/>
          <w:szCs w:val="24"/>
        </w:rPr>
        <w:t xml:space="preserve"> reported on the Aylesbury Dairy</w:t>
      </w:r>
      <w:r w:rsidR="00003301" w:rsidRPr="00BC68C4">
        <w:rPr>
          <w:rFonts w:ascii="Times New Roman" w:hAnsi="Times New Roman" w:cs="Times New Roman"/>
          <w:sz w:val="24"/>
          <w:szCs w:val="24"/>
        </w:rPr>
        <w:t xml:space="preserve"> </w:t>
      </w:r>
      <w:r w:rsidR="003061CC" w:rsidRPr="00BC68C4">
        <w:rPr>
          <w:rFonts w:ascii="Times New Roman" w:hAnsi="Times New Roman" w:cs="Times New Roman"/>
          <w:sz w:val="24"/>
          <w:szCs w:val="24"/>
        </w:rPr>
        <w:t xml:space="preserve">implying that the severe difficulties it faced were related to the past decisions of its active </w:t>
      </w:r>
      <w:proofErr w:type="spellStart"/>
      <w:r w:rsidR="003061CC" w:rsidRPr="00BC68C4">
        <w:rPr>
          <w:rFonts w:ascii="Times New Roman" w:hAnsi="Times New Roman" w:cs="Times New Roman"/>
          <w:sz w:val="24"/>
          <w:szCs w:val="24"/>
        </w:rPr>
        <w:t>blockholder</w:t>
      </w:r>
      <w:proofErr w:type="spellEnd"/>
      <w:r w:rsidR="003061CC" w:rsidRPr="00BC68C4">
        <w:rPr>
          <w:rFonts w:ascii="Times New Roman" w:hAnsi="Times New Roman" w:cs="Times New Roman"/>
          <w:sz w:val="24"/>
          <w:szCs w:val="24"/>
        </w:rPr>
        <w:t xml:space="preserve">, G.M. </w:t>
      </w:r>
      <w:proofErr w:type="spellStart"/>
      <w:r w:rsidR="003061CC" w:rsidRPr="00BC68C4">
        <w:rPr>
          <w:rFonts w:ascii="Times New Roman" w:hAnsi="Times New Roman" w:cs="Times New Roman"/>
          <w:sz w:val="24"/>
          <w:szCs w:val="24"/>
        </w:rPr>
        <w:t>Allender</w:t>
      </w:r>
      <w:proofErr w:type="spellEnd"/>
      <w:r w:rsidR="003061CC" w:rsidRPr="00BC68C4">
        <w:rPr>
          <w:rFonts w:ascii="Times New Roman" w:hAnsi="Times New Roman" w:cs="Times New Roman"/>
          <w:sz w:val="24"/>
          <w:szCs w:val="24"/>
        </w:rPr>
        <w:t xml:space="preserve">, </w:t>
      </w:r>
      <w:r w:rsidR="00055E8E" w:rsidRPr="00BC68C4">
        <w:rPr>
          <w:rFonts w:ascii="Times New Roman" w:hAnsi="Times New Roman" w:cs="Times New Roman"/>
          <w:sz w:val="24"/>
          <w:szCs w:val="24"/>
        </w:rPr>
        <w:t xml:space="preserve">who it referred to </w:t>
      </w:r>
      <w:r w:rsidR="003061CC" w:rsidRPr="00BC68C4">
        <w:rPr>
          <w:rFonts w:ascii="Times New Roman" w:hAnsi="Times New Roman" w:cs="Times New Roman"/>
          <w:sz w:val="24"/>
          <w:szCs w:val="24"/>
        </w:rPr>
        <w:t>as the ‘Life Managing Director’</w:t>
      </w:r>
      <w:r w:rsidR="00003301" w:rsidRPr="00BC68C4">
        <w:rPr>
          <w:rStyle w:val="FootnoteReference"/>
          <w:rFonts w:ascii="Times New Roman" w:hAnsi="Times New Roman" w:cs="Times New Roman"/>
          <w:sz w:val="24"/>
          <w:szCs w:val="24"/>
        </w:rPr>
        <w:footnoteReference w:id="11"/>
      </w:r>
      <w:r w:rsidR="00A12C39" w:rsidRPr="00BC68C4">
        <w:rPr>
          <w:rFonts w:ascii="Times New Roman" w:hAnsi="Times New Roman" w:cs="Times New Roman"/>
          <w:sz w:val="24"/>
          <w:szCs w:val="24"/>
        </w:rPr>
        <w:t xml:space="preserve"> A similar problem could arise if the active </w:t>
      </w:r>
      <w:proofErr w:type="spellStart"/>
      <w:r w:rsidR="00A12C39" w:rsidRPr="00BC68C4">
        <w:rPr>
          <w:rFonts w:ascii="Times New Roman" w:hAnsi="Times New Roman" w:cs="Times New Roman"/>
          <w:sz w:val="24"/>
          <w:szCs w:val="24"/>
        </w:rPr>
        <w:t>blockholder</w:t>
      </w:r>
      <w:proofErr w:type="spellEnd"/>
      <w:r w:rsidR="00A12C39" w:rsidRPr="00BC68C4">
        <w:rPr>
          <w:rFonts w:ascii="Times New Roman" w:hAnsi="Times New Roman" w:cs="Times New Roman"/>
          <w:sz w:val="24"/>
          <w:szCs w:val="24"/>
        </w:rPr>
        <w:t xml:space="preserve"> used his power to appoint some of his family as his replacement. In a similar vein, if there was a risk that the </w:t>
      </w:r>
      <w:proofErr w:type="spellStart"/>
      <w:r w:rsidR="00A12C39" w:rsidRPr="00BC68C4">
        <w:rPr>
          <w:rFonts w:ascii="Times New Roman" w:hAnsi="Times New Roman" w:cs="Times New Roman"/>
          <w:sz w:val="24"/>
          <w:szCs w:val="24"/>
        </w:rPr>
        <w:t>blockholder</w:t>
      </w:r>
      <w:proofErr w:type="spellEnd"/>
      <w:r w:rsidR="00A12C39" w:rsidRPr="00BC68C4">
        <w:rPr>
          <w:rFonts w:ascii="Times New Roman" w:hAnsi="Times New Roman" w:cs="Times New Roman"/>
          <w:sz w:val="24"/>
          <w:szCs w:val="24"/>
        </w:rPr>
        <w:t xml:space="preserve"> would engage in empire-building, it could be detrimental to shareholder value. Foreman-Peck and Hannah (2015, p.20) note the example of Samuel Waring who engaged in a disastrous expansi</w:t>
      </w:r>
      <w:r w:rsidR="00F3741B" w:rsidRPr="00BC68C4">
        <w:rPr>
          <w:rFonts w:ascii="Times New Roman" w:hAnsi="Times New Roman" w:cs="Times New Roman"/>
          <w:sz w:val="24"/>
          <w:szCs w:val="24"/>
        </w:rPr>
        <w:t>on and acquisition plan with the</w:t>
      </w:r>
      <w:r w:rsidR="00A12C39" w:rsidRPr="00BC68C4">
        <w:rPr>
          <w:rFonts w:ascii="Times New Roman" w:hAnsi="Times New Roman" w:cs="Times New Roman"/>
          <w:sz w:val="24"/>
          <w:szCs w:val="24"/>
        </w:rPr>
        <w:t xml:space="preserve"> furn</w:t>
      </w:r>
      <w:r w:rsidR="006F5264">
        <w:rPr>
          <w:rFonts w:ascii="Times New Roman" w:hAnsi="Times New Roman" w:cs="Times New Roman"/>
          <w:sz w:val="24"/>
          <w:szCs w:val="24"/>
        </w:rPr>
        <w:t xml:space="preserve">iture company Waring &amp; </w:t>
      </w:r>
      <w:proofErr w:type="spellStart"/>
      <w:r w:rsidR="006F5264" w:rsidRPr="006658C5">
        <w:rPr>
          <w:rFonts w:ascii="Times New Roman" w:hAnsi="Times New Roman" w:cs="Times New Roman"/>
          <w:sz w:val="24"/>
          <w:szCs w:val="24"/>
        </w:rPr>
        <w:t>Gillow</w:t>
      </w:r>
      <w:proofErr w:type="spellEnd"/>
      <w:r w:rsidR="006F5264" w:rsidRPr="006658C5">
        <w:rPr>
          <w:rFonts w:ascii="Times New Roman" w:hAnsi="Times New Roman" w:cs="Times New Roman"/>
          <w:sz w:val="24"/>
          <w:szCs w:val="24"/>
        </w:rPr>
        <w:t xml:space="preserve">. </w:t>
      </w:r>
      <w:r w:rsidR="00F151EF" w:rsidRPr="006658C5">
        <w:rPr>
          <w:rFonts w:ascii="Times New Roman" w:hAnsi="Times New Roman" w:cs="Times New Roman"/>
          <w:sz w:val="24"/>
          <w:szCs w:val="24"/>
        </w:rPr>
        <w:t>Finally</w:t>
      </w:r>
      <w:r w:rsidR="00A12C39" w:rsidRPr="006658C5">
        <w:rPr>
          <w:rFonts w:ascii="Times New Roman" w:hAnsi="Times New Roman" w:cs="Times New Roman"/>
          <w:sz w:val="24"/>
          <w:szCs w:val="24"/>
        </w:rPr>
        <w:t>, and</w:t>
      </w:r>
      <w:r w:rsidR="00A12C39" w:rsidRPr="00BC68C4">
        <w:rPr>
          <w:rFonts w:ascii="Times New Roman" w:hAnsi="Times New Roman" w:cs="Times New Roman"/>
          <w:sz w:val="24"/>
          <w:szCs w:val="24"/>
        </w:rPr>
        <w:t xml:space="preserve"> most blatantly, the active </w:t>
      </w:r>
      <w:proofErr w:type="spellStart"/>
      <w:r w:rsidR="00A12C39" w:rsidRPr="00BC68C4">
        <w:rPr>
          <w:rFonts w:ascii="Times New Roman" w:hAnsi="Times New Roman" w:cs="Times New Roman"/>
          <w:sz w:val="24"/>
          <w:szCs w:val="24"/>
        </w:rPr>
        <w:t>blockholders</w:t>
      </w:r>
      <w:proofErr w:type="spellEnd"/>
      <w:r w:rsidR="00A12C39" w:rsidRPr="00BC68C4">
        <w:rPr>
          <w:rFonts w:ascii="Times New Roman" w:hAnsi="Times New Roman" w:cs="Times New Roman"/>
          <w:sz w:val="24"/>
          <w:szCs w:val="24"/>
        </w:rPr>
        <w:t xml:space="preserve"> could attempt to deceive the minority shareholders by falsifying financial statements, to attract capital. </w:t>
      </w:r>
    </w:p>
    <w:p w14:paraId="34E384FD" w14:textId="69B31958" w:rsidR="00621664" w:rsidRPr="00106E15" w:rsidRDefault="002D51B6" w:rsidP="00106E15">
      <w:pPr>
        <w:spacing w:line="480" w:lineRule="auto"/>
        <w:rPr>
          <w:rFonts w:ascii="Times New Roman" w:hAnsi="Times New Roman" w:cs="Times New Roman"/>
          <w:sz w:val="24"/>
          <w:szCs w:val="24"/>
        </w:rPr>
      </w:pPr>
      <w:r w:rsidRPr="00BC68C4">
        <w:rPr>
          <w:rFonts w:ascii="Times New Roman" w:hAnsi="Times New Roman" w:cs="Times New Roman"/>
          <w:sz w:val="24"/>
          <w:szCs w:val="24"/>
        </w:rPr>
        <w:tab/>
        <w:t xml:space="preserve">The potential for these abuses by large active </w:t>
      </w:r>
      <w:proofErr w:type="spellStart"/>
      <w:r w:rsidRPr="00BC68C4">
        <w:rPr>
          <w:rFonts w:ascii="Times New Roman" w:hAnsi="Times New Roman" w:cs="Times New Roman"/>
          <w:sz w:val="24"/>
          <w:szCs w:val="24"/>
        </w:rPr>
        <w:t>blockholders</w:t>
      </w:r>
      <w:proofErr w:type="spellEnd"/>
      <w:r w:rsidRPr="00BC68C4">
        <w:rPr>
          <w:rFonts w:ascii="Times New Roman" w:hAnsi="Times New Roman" w:cs="Times New Roman"/>
          <w:sz w:val="24"/>
          <w:szCs w:val="24"/>
        </w:rPr>
        <w:t xml:space="preserve">, </w:t>
      </w:r>
      <w:r w:rsidR="00CD748B" w:rsidRPr="00BC68C4">
        <w:rPr>
          <w:rFonts w:ascii="Times New Roman" w:hAnsi="Times New Roman" w:cs="Times New Roman"/>
          <w:sz w:val="24"/>
          <w:szCs w:val="24"/>
        </w:rPr>
        <w:t>even if they did not materialise,</w:t>
      </w:r>
      <w:r w:rsidRPr="00BC68C4">
        <w:rPr>
          <w:rFonts w:ascii="Times New Roman" w:hAnsi="Times New Roman" w:cs="Times New Roman"/>
          <w:sz w:val="24"/>
          <w:szCs w:val="24"/>
        </w:rPr>
        <w:t xml:space="preserve"> raised the risks </w:t>
      </w:r>
      <w:r w:rsidR="00CD748B" w:rsidRPr="00BC68C4">
        <w:rPr>
          <w:rFonts w:ascii="Times New Roman" w:hAnsi="Times New Roman" w:cs="Times New Roman"/>
          <w:sz w:val="24"/>
          <w:szCs w:val="24"/>
        </w:rPr>
        <w:t xml:space="preserve">faced by minority shareholders. </w:t>
      </w:r>
      <w:r w:rsidR="00AE22F5">
        <w:rPr>
          <w:rFonts w:ascii="Times New Roman" w:hAnsi="Times New Roman" w:cs="Times New Roman"/>
          <w:sz w:val="24"/>
          <w:szCs w:val="24"/>
        </w:rPr>
        <w:t>W</w:t>
      </w:r>
      <w:r w:rsidR="00CD748B" w:rsidRPr="00BC68C4">
        <w:rPr>
          <w:rFonts w:ascii="Times New Roman" w:hAnsi="Times New Roman" w:cs="Times New Roman"/>
          <w:sz w:val="24"/>
          <w:szCs w:val="24"/>
        </w:rPr>
        <w:t xml:space="preserve">e hypothesise that even though large active </w:t>
      </w:r>
      <w:proofErr w:type="spellStart"/>
      <w:r w:rsidR="00CD748B" w:rsidRPr="00BC68C4">
        <w:rPr>
          <w:rFonts w:ascii="Times New Roman" w:hAnsi="Times New Roman" w:cs="Times New Roman"/>
          <w:sz w:val="24"/>
          <w:szCs w:val="24"/>
        </w:rPr>
        <w:t>blockholders</w:t>
      </w:r>
      <w:proofErr w:type="spellEnd"/>
      <w:r w:rsidR="00CD748B" w:rsidRPr="00BC68C4">
        <w:rPr>
          <w:rFonts w:ascii="Times New Roman" w:hAnsi="Times New Roman" w:cs="Times New Roman"/>
          <w:sz w:val="24"/>
          <w:szCs w:val="24"/>
        </w:rPr>
        <w:t xml:space="preserve"> </w:t>
      </w:r>
      <w:r w:rsidR="0056200C" w:rsidRPr="00BC68C4">
        <w:rPr>
          <w:rFonts w:ascii="Times New Roman" w:hAnsi="Times New Roman" w:cs="Times New Roman"/>
          <w:sz w:val="24"/>
          <w:szCs w:val="24"/>
        </w:rPr>
        <w:t>may raise profitability</w:t>
      </w:r>
      <w:r w:rsidR="00AE22F5">
        <w:rPr>
          <w:rFonts w:ascii="Times New Roman" w:hAnsi="Times New Roman" w:cs="Times New Roman"/>
          <w:sz w:val="24"/>
          <w:szCs w:val="24"/>
        </w:rPr>
        <w:t xml:space="preserve"> (ROA)</w:t>
      </w:r>
      <w:r w:rsidR="0056200C" w:rsidRPr="00BC68C4">
        <w:rPr>
          <w:rFonts w:ascii="Times New Roman" w:hAnsi="Times New Roman" w:cs="Times New Roman"/>
          <w:sz w:val="24"/>
          <w:szCs w:val="24"/>
        </w:rPr>
        <w:t>, they do not necessarily raise firm</w:t>
      </w:r>
      <w:r w:rsidR="00CD748B" w:rsidRPr="00BC68C4">
        <w:rPr>
          <w:rFonts w:ascii="Times New Roman" w:hAnsi="Times New Roman" w:cs="Times New Roman"/>
          <w:sz w:val="24"/>
          <w:szCs w:val="24"/>
        </w:rPr>
        <w:t xml:space="preserve"> value</w:t>
      </w:r>
      <w:r w:rsidR="00AE22F5">
        <w:rPr>
          <w:rFonts w:ascii="Times New Roman" w:hAnsi="Times New Roman" w:cs="Times New Roman"/>
          <w:sz w:val="24"/>
          <w:szCs w:val="24"/>
        </w:rPr>
        <w:t xml:space="preserve"> (Tobin’s Q)</w:t>
      </w:r>
      <w:r w:rsidR="00CD748B" w:rsidRPr="00BC68C4">
        <w:rPr>
          <w:rFonts w:ascii="Times New Roman" w:hAnsi="Times New Roman" w:cs="Times New Roman"/>
          <w:sz w:val="24"/>
          <w:szCs w:val="24"/>
        </w:rPr>
        <w:t xml:space="preserve">.  Large passive </w:t>
      </w:r>
      <w:proofErr w:type="spellStart"/>
      <w:r w:rsidR="00CD748B" w:rsidRPr="00BC68C4">
        <w:rPr>
          <w:rFonts w:ascii="Times New Roman" w:hAnsi="Times New Roman" w:cs="Times New Roman"/>
          <w:sz w:val="24"/>
          <w:szCs w:val="24"/>
        </w:rPr>
        <w:t>blockholders</w:t>
      </w:r>
      <w:proofErr w:type="spellEnd"/>
      <w:r w:rsidR="00CD748B" w:rsidRPr="00BC68C4">
        <w:rPr>
          <w:rFonts w:ascii="Times New Roman" w:hAnsi="Times New Roman" w:cs="Times New Roman"/>
          <w:sz w:val="24"/>
          <w:szCs w:val="24"/>
        </w:rPr>
        <w:t xml:space="preserve">, who have no effect on profitability, </w:t>
      </w:r>
      <w:r w:rsidR="00AE22F5">
        <w:rPr>
          <w:rFonts w:ascii="Times New Roman" w:hAnsi="Times New Roman" w:cs="Times New Roman"/>
          <w:sz w:val="24"/>
          <w:szCs w:val="24"/>
        </w:rPr>
        <w:t xml:space="preserve">should </w:t>
      </w:r>
      <w:r w:rsidR="00CD748B" w:rsidRPr="00BC68C4">
        <w:rPr>
          <w:rFonts w:ascii="Times New Roman" w:hAnsi="Times New Roman" w:cs="Times New Roman"/>
          <w:sz w:val="24"/>
          <w:szCs w:val="24"/>
        </w:rPr>
        <w:t>have no effect on valu</w:t>
      </w:r>
      <w:r w:rsidR="005A6192" w:rsidRPr="00BC68C4">
        <w:rPr>
          <w:rFonts w:ascii="Times New Roman" w:hAnsi="Times New Roman" w:cs="Times New Roman"/>
          <w:sz w:val="24"/>
          <w:szCs w:val="24"/>
        </w:rPr>
        <w:t>e, because they</w:t>
      </w:r>
      <w:r w:rsidR="002A7FB5">
        <w:rPr>
          <w:rFonts w:ascii="Times New Roman" w:hAnsi="Times New Roman" w:cs="Times New Roman"/>
          <w:sz w:val="24"/>
          <w:szCs w:val="24"/>
        </w:rPr>
        <w:t xml:space="preserve"> do</w:t>
      </w:r>
      <w:r w:rsidR="005A6192" w:rsidRPr="00BC68C4">
        <w:rPr>
          <w:rFonts w:ascii="Times New Roman" w:hAnsi="Times New Roman" w:cs="Times New Roman"/>
          <w:sz w:val="24"/>
          <w:szCs w:val="24"/>
        </w:rPr>
        <w:t xml:space="preserve"> not exercis</w:t>
      </w:r>
      <w:r w:rsidR="00616C03">
        <w:rPr>
          <w:rFonts w:ascii="Times New Roman" w:hAnsi="Times New Roman" w:cs="Times New Roman"/>
          <w:sz w:val="24"/>
          <w:szCs w:val="24"/>
        </w:rPr>
        <w:t>e</w:t>
      </w:r>
      <w:r w:rsidR="00CD748B" w:rsidRPr="00BC68C4">
        <w:rPr>
          <w:rFonts w:ascii="Times New Roman" w:hAnsi="Times New Roman" w:cs="Times New Roman"/>
          <w:sz w:val="24"/>
          <w:szCs w:val="24"/>
        </w:rPr>
        <w:t xml:space="preserve"> enough power to engage in expropriation. However, having a board with many directors who are not themselves </w:t>
      </w:r>
      <w:proofErr w:type="spellStart"/>
      <w:r w:rsidR="00CD748B" w:rsidRPr="00BC68C4">
        <w:rPr>
          <w:rFonts w:ascii="Times New Roman" w:hAnsi="Times New Roman" w:cs="Times New Roman"/>
          <w:sz w:val="24"/>
          <w:szCs w:val="24"/>
        </w:rPr>
        <w:t>blockholders</w:t>
      </w:r>
      <w:proofErr w:type="spellEnd"/>
      <w:r w:rsidR="00CD748B" w:rsidRPr="00BC68C4">
        <w:rPr>
          <w:rFonts w:ascii="Times New Roman" w:hAnsi="Times New Roman" w:cs="Times New Roman"/>
          <w:sz w:val="24"/>
          <w:szCs w:val="24"/>
        </w:rPr>
        <w:t xml:space="preserve"> will significantly increase the value of the firm</w:t>
      </w:r>
      <w:r w:rsidR="005A6192" w:rsidRPr="00BC68C4">
        <w:rPr>
          <w:rFonts w:ascii="Times New Roman" w:hAnsi="Times New Roman" w:cs="Times New Roman"/>
          <w:sz w:val="24"/>
          <w:szCs w:val="24"/>
        </w:rPr>
        <w:t>, as collusion on expropriation would be much more difficult</w:t>
      </w:r>
      <w:r w:rsidR="00CD748B" w:rsidRPr="00BC68C4">
        <w:rPr>
          <w:rFonts w:ascii="Times New Roman" w:hAnsi="Times New Roman" w:cs="Times New Roman"/>
          <w:sz w:val="24"/>
          <w:szCs w:val="24"/>
        </w:rPr>
        <w:t xml:space="preserve">. </w:t>
      </w:r>
      <w:r w:rsidR="002A7FB5">
        <w:rPr>
          <w:rFonts w:ascii="Times New Roman" w:hAnsi="Times New Roman" w:cs="Times New Roman"/>
          <w:sz w:val="24"/>
          <w:szCs w:val="24"/>
        </w:rPr>
        <w:t xml:space="preserve">If </w:t>
      </w:r>
      <w:r w:rsidR="00CD748B" w:rsidRPr="00BC68C4">
        <w:rPr>
          <w:rFonts w:ascii="Times New Roman" w:hAnsi="Times New Roman" w:cs="Times New Roman"/>
          <w:sz w:val="24"/>
          <w:szCs w:val="24"/>
        </w:rPr>
        <w:t>their focus is on major strategic decisions, rather than the minutiae of day-to-day decisi</w:t>
      </w:r>
      <w:r w:rsidR="005A6192" w:rsidRPr="00BC68C4">
        <w:rPr>
          <w:rFonts w:ascii="Times New Roman" w:hAnsi="Times New Roman" w:cs="Times New Roman"/>
          <w:sz w:val="24"/>
          <w:szCs w:val="24"/>
        </w:rPr>
        <w:t xml:space="preserve">ons, </w:t>
      </w:r>
      <w:r w:rsidR="002241BE" w:rsidRPr="00BC68C4">
        <w:rPr>
          <w:rFonts w:ascii="Times New Roman" w:hAnsi="Times New Roman" w:cs="Times New Roman"/>
          <w:sz w:val="24"/>
          <w:szCs w:val="24"/>
        </w:rPr>
        <w:t>such directors</w:t>
      </w:r>
      <w:r w:rsidR="005A6192" w:rsidRPr="00BC68C4">
        <w:rPr>
          <w:rFonts w:ascii="Times New Roman" w:hAnsi="Times New Roman" w:cs="Times New Roman"/>
          <w:sz w:val="24"/>
          <w:szCs w:val="24"/>
        </w:rPr>
        <w:t xml:space="preserve"> may have little influence</w:t>
      </w:r>
      <w:r w:rsidR="00CD748B" w:rsidRPr="00BC68C4">
        <w:rPr>
          <w:rFonts w:ascii="Times New Roman" w:hAnsi="Times New Roman" w:cs="Times New Roman"/>
          <w:sz w:val="24"/>
          <w:szCs w:val="24"/>
        </w:rPr>
        <w:t xml:space="preserve"> on profitability, but they can provide safeguards against systematic expropriation.</w:t>
      </w:r>
    </w:p>
    <w:p w14:paraId="0A1636B0" w14:textId="77777777" w:rsidR="00106E15" w:rsidRDefault="00106E15">
      <w:pPr>
        <w:spacing w:after="200" w:line="276" w:lineRule="auto"/>
        <w:jc w:val="left"/>
        <w:rPr>
          <w:rFonts w:ascii="Times New Roman" w:hAnsi="Times New Roman" w:cs="Times New Roman"/>
          <w:i/>
          <w:sz w:val="24"/>
          <w:szCs w:val="24"/>
        </w:rPr>
      </w:pPr>
    </w:p>
    <w:p w14:paraId="113CBD8E" w14:textId="77777777" w:rsidR="00106E15" w:rsidRDefault="00106E15">
      <w:pPr>
        <w:spacing w:after="200" w:line="276" w:lineRule="auto"/>
        <w:jc w:val="left"/>
        <w:rPr>
          <w:rFonts w:ascii="Times New Roman" w:hAnsi="Times New Roman" w:cs="Times New Roman"/>
          <w:i/>
          <w:sz w:val="24"/>
          <w:szCs w:val="24"/>
        </w:rPr>
      </w:pPr>
    </w:p>
    <w:p w14:paraId="6240AC3A" w14:textId="77777777" w:rsidR="00106E15" w:rsidRDefault="00106E15">
      <w:pPr>
        <w:spacing w:after="200" w:line="276" w:lineRule="auto"/>
        <w:jc w:val="left"/>
        <w:rPr>
          <w:rFonts w:ascii="Times New Roman" w:hAnsi="Times New Roman" w:cs="Times New Roman"/>
          <w:i/>
          <w:sz w:val="24"/>
          <w:szCs w:val="24"/>
        </w:rPr>
      </w:pPr>
    </w:p>
    <w:p w14:paraId="661C1D63" w14:textId="77777777" w:rsidR="00106E15" w:rsidRDefault="00106E15">
      <w:pPr>
        <w:spacing w:after="200" w:line="276" w:lineRule="auto"/>
        <w:jc w:val="left"/>
        <w:rPr>
          <w:rFonts w:ascii="Times New Roman" w:hAnsi="Times New Roman" w:cs="Times New Roman"/>
          <w:i/>
          <w:sz w:val="24"/>
          <w:szCs w:val="24"/>
        </w:rPr>
      </w:pPr>
    </w:p>
    <w:p w14:paraId="3A6D259B" w14:textId="0848799D" w:rsidR="00863849" w:rsidRPr="00BC68C4" w:rsidRDefault="00BC1261">
      <w:pPr>
        <w:spacing w:after="200" w:line="276" w:lineRule="auto"/>
        <w:jc w:val="left"/>
        <w:rPr>
          <w:rFonts w:ascii="Times New Roman" w:hAnsi="Times New Roman" w:cs="Times New Roman"/>
          <w:i/>
          <w:sz w:val="24"/>
          <w:szCs w:val="24"/>
        </w:rPr>
      </w:pPr>
      <w:r>
        <w:rPr>
          <w:rFonts w:ascii="Times New Roman" w:hAnsi="Times New Roman" w:cs="Times New Roman"/>
          <w:i/>
          <w:sz w:val="24"/>
          <w:szCs w:val="24"/>
        </w:rPr>
        <w:t>Empirical</w:t>
      </w:r>
      <w:r w:rsidR="002A7FB5">
        <w:rPr>
          <w:rFonts w:ascii="Times New Roman" w:hAnsi="Times New Roman" w:cs="Times New Roman"/>
          <w:i/>
          <w:sz w:val="24"/>
          <w:szCs w:val="24"/>
        </w:rPr>
        <w:t xml:space="preserve"> framework  </w:t>
      </w:r>
    </w:p>
    <w:p w14:paraId="75326915" w14:textId="4AF2F8BC" w:rsidR="007505B8" w:rsidRDefault="00BC1261" w:rsidP="007505B8">
      <w:pPr>
        <w:autoSpaceDE w:val="0"/>
        <w:autoSpaceDN w:val="0"/>
        <w:adjustRightInd w:val="0"/>
        <w:spacing w:line="480" w:lineRule="auto"/>
        <w:ind w:firstLine="720"/>
        <w:rPr>
          <w:rFonts w:ascii="Times New Roman" w:hAnsi="Times New Roman" w:cs="Times New Roman"/>
          <w:sz w:val="24"/>
          <w:szCs w:val="24"/>
        </w:rPr>
      </w:pPr>
      <w:r w:rsidRPr="00A90D6C">
        <w:rPr>
          <w:rFonts w:ascii="Times New Roman" w:hAnsi="Times New Roman" w:cs="Times New Roman"/>
          <w:sz w:val="24"/>
          <w:szCs w:val="24"/>
        </w:rPr>
        <w:t>We</w:t>
      </w:r>
      <w:r>
        <w:rPr>
          <w:rFonts w:ascii="Times New Roman" w:hAnsi="Times New Roman" w:cs="Times New Roman"/>
          <w:sz w:val="24"/>
          <w:szCs w:val="24"/>
        </w:rPr>
        <w:t xml:space="preserve"> examine the relationship between the governance </w:t>
      </w:r>
      <w:r w:rsidR="00616C03">
        <w:rPr>
          <w:rFonts w:ascii="Times New Roman" w:hAnsi="Times New Roman" w:cs="Times New Roman"/>
          <w:sz w:val="24"/>
          <w:szCs w:val="24"/>
        </w:rPr>
        <w:t>structure</w:t>
      </w:r>
      <w:r>
        <w:rPr>
          <w:rFonts w:ascii="Times New Roman" w:hAnsi="Times New Roman" w:cs="Times New Roman"/>
          <w:sz w:val="24"/>
          <w:szCs w:val="24"/>
        </w:rPr>
        <w:t xml:space="preserve"> and performance of non-</w:t>
      </w:r>
      <w:proofErr w:type="spellStart"/>
      <w:r>
        <w:rPr>
          <w:rFonts w:ascii="Times New Roman" w:hAnsi="Times New Roman" w:cs="Times New Roman"/>
          <w:sz w:val="24"/>
          <w:szCs w:val="24"/>
        </w:rPr>
        <w:t>statuatory</w:t>
      </w:r>
      <w:proofErr w:type="spellEnd"/>
      <w:r>
        <w:rPr>
          <w:rFonts w:ascii="Times New Roman" w:hAnsi="Times New Roman" w:cs="Times New Roman"/>
          <w:sz w:val="24"/>
          <w:szCs w:val="24"/>
        </w:rPr>
        <w:t xml:space="preserve"> public companies in Victorian and Edwardian England. Our estimating equation takes the form </w:t>
      </w:r>
    </w:p>
    <w:p w14:paraId="2C0095EF" w14:textId="1832E9AE" w:rsidR="007505B8" w:rsidRDefault="007505B8" w:rsidP="007505B8">
      <w:pPr>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6"/>
        <w:gridCol w:w="496"/>
      </w:tblGrid>
      <w:tr w:rsidR="007505B8" w14:paraId="6D5F271B" w14:textId="77777777" w:rsidTr="00B5578E">
        <w:tc>
          <w:tcPr>
            <w:tcW w:w="8755" w:type="dxa"/>
          </w:tcPr>
          <w:p w14:paraId="45CAB189" w14:textId="743B7952" w:rsidR="007505B8" w:rsidRDefault="007505B8" w:rsidP="007505B8">
            <w:pPr>
              <w:jc w:val="center"/>
              <w:rPr>
                <w:rFonts w:ascii="Times New Roman" w:hAnsi="Times New Roman" w:cs="Times New Roman"/>
                <w:sz w:val="24"/>
                <w:szCs w:val="24"/>
              </w:rPr>
            </w:pPr>
            <m:oMathPara>
              <m:oMath>
                <m:r>
                  <w:rPr>
                    <w:rFonts w:ascii="Cambria Math" w:hAnsi="Cambria Math" w:cs="Times New Roman"/>
                    <w:sz w:val="24"/>
                    <w:szCs w:val="24"/>
                  </w:rPr>
                  <m:t>Performance</m:t>
                </m:r>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Governance+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Controls+</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YearDummies+ε</m:t>
                </m:r>
              </m:oMath>
            </m:oMathPara>
          </w:p>
        </w:tc>
        <w:tc>
          <w:tcPr>
            <w:tcW w:w="487" w:type="dxa"/>
          </w:tcPr>
          <w:p w14:paraId="0C09C1DE" w14:textId="31E7EAF7" w:rsidR="007505B8" w:rsidRDefault="007505B8" w:rsidP="007505B8">
            <w:pPr>
              <w:jc w:val="center"/>
              <w:rPr>
                <w:rFonts w:ascii="Times New Roman" w:hAnsi="Times New Roman" w:cs="Times New Roman"/>
                <w:sz w:val="24"/>
                <w:szCs w:val="24"/>
              </w:rPr>
            </w:pPr>
            <w:r>
              <w:rPr>
                <w:rFonts w:ascii="Times New Roman" w:hAnsi="Times New Roman" w:cs="Times New Roman"/>
                <w:sz w:val="24"/>
                <w:szCs w:val="24"/>
              </w:rPr>
              <w:t>(1)</w:t>
            </w:r>
          </w:p>
        </w:tc>
      </w:tr>
    </w:tbl>
    <w:p w14:paraId="7D3CFB62" w14:textId="77777777" w:rsidR="00B5578E" w:rsidRDefault="00B5578E" w:rsidP="00776E52">
      <w:pPr>
        <w:spacing w:line="480" w:lineRule="auto"/>
        <w:rPr>
          <w:rFonts w:ascii="Times New Roman" w:hAnsi="Times New Roman" w:cs="Times New Roman"/>
          <w:sz w:val="24"/>
          <w:szCs w:val="24"/>
        </w:rPr>
      </w:pPr>
    </w:p>
    <w:p w14:paraId="7BF60F42" w14:textId="663D270D" w:rsidR="007505B8" w:rsidRDefault="00776E52" w:rsidP="00776E52">
      <w:pPr>
        <w:spacing w:line="480" w:lineRule="auto"/>
        <w:rPr>
          <w:rFonts w:ascii="Times New Roman" w:hAnsi="Times New Roman" w:cs="Times New Roman"/>
          <w:sz w:val="24"/>
          <w:szCs w:val="24"/>
        </w:rPr>
      </w:pPr>
      <w:r w:rsidRPr="00BC68C4">
        <w:rPr>
          <w:rFonts w:ascii="Times New Roman" w:hAnsi="Times New Roman" w:cs="Times New Roman"/>
          <w:sz w:val="24"/>
          <w:szCs w:val="24"/>
        </w:rPr>
        <w:t>We use ROA and Tobin’s Q as performance measures</w:t>
      </w:r>
      <w:r w:rsidR="00641D78">
        <w:rPr>
          <w:rFonts w:ascii="Times New Roman" w:hAnsi="Times New Roman" w:cs="Times New Roman"/>
          <w:sz w:val="24"/>
          <w:szCs w:val="24"/>
        </w:rPr>
        <w:t>,</w:t>
      </w:r>
      <w:r>
        <w:rPr>
          <w:rFonts w:ascii="Times New Roman" w:hAnsi="Times New Roman" w:cs="Times New Roman"/>
          <w:sz w:val="24"/>
          <w:szCs w:val="24"/>
        </w:rPr>
        <w:t xml:space="preserve"> and</w:t>
      </w:r>
      <w:r w:rsidR="00641D78">
        <w:rPr>
          <w:rFonts w:ascii="Times New Roman" w:hAnsi="Times New Roman" w:cs="Times New Roman"/>
          <w:sz w:val="24"/>
          <w:szCs w:val="24"/>
        </w:rPr>
        <w:t xml:space="preserve"> the</w:t>
      </w:r>
      <w:r>
        <w:rPr>
          <w:rFonts w:ascii="Times New Roman" w:hAnsi="Times New Roman" w:cs="Times New Roman"/>
          <w:sz w:val="24"/>
          <w:szCs w:val="24"/>
        </w:rPr>
        <w:t xml:space="preserve"> dependent variable</w:t>
      </w:r>
      <w:r w:rsidR="00641D78">
        <w:rPr>
          <w:rFonts w:ascii="Times New Roman" w:hAnsi="Times New Roman" w:cs="Times New Roman"/>
          <w:sz w:val="24"/>
          <w:szCs w:val="24"/>
        </w:rPr>
        <w:t>s,</w:t>
      </w:r>
      <w:r w:rsidRPr="00BC68C4">
        <w:rPr>
          <w:rFonts w:ascii="Times New Roman" w:hAnsi="Times New Roman" w:cs="Times New Roman"/>
          <w:sz w:val="24"/>
          <w:szCs w:val="24"/>
        </w:rPr>
        <w:t xml:space="preserve"> in our post-1880 performance sample.  </w:t>
      </w:r>
      <w:r w:rsidRPr="00B5578E">
        <w:rPr>
          <w:rFonts w:ascii="Times New Roman" w:hAnsi="Times New Roman" w:cs="Times New Roman"/>
          <w:sz w:val="24"/>
          <w:szCs w:val="24"/>
        </w:rPr>
        <w:t xml:space="preserve">ROA is measured </w:t>
      </w:r>
      <w:r w:rsidR="007505B8" w:rsidRPr="00B5578E">
        <w:rPr>
          <w:rFonts w:ascii="Times New Roman" w:hAnsi="Times New Roman" w:cs="Times New Roman"/>
          <w:sz w:val="24"/>
          <w:szCs w:val="24"/>
        </w:rPr>
        <w:t>as:</w:t>
      </w:r>
      <w:r w:rsidRPr="00B5578E">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629"/>
      </w:tblGrid>
      <w:tr w:rsidR="007505B8" w14:paraId="4D508846" w14:textId="77777777" w:rsidTr="00B5578E">
        <w:tc>
          <w:tcPr>
            <w:tcW w:w="8613" w:type="dxa"/>
          </w:tcPr>
          <w:p w14:paraId="25FE2FAE" w14:textId="4730408C" w:rsidR="007505B8" w:rsidRDefault="007505B8" w:rsidP="00776E52">
            <w:pPr>
              <w:spacing w:line="480" w:lineRule="auto"/>
              <w:rPr>
                <w:rFonts w:ascii="Times New Roman" w:hAnsi="Times New Roman" w:cs="Times New Roman"/>
                <w:sz w:val="24"/>
                <w:szCs w:val="24"/>
              </w:rPr>
            </w:pPr>
            <m:oMathPara>
              <m:oMath>
                <m:r>
                  <w:rPr>
                    <w:rFonts w:ascii="Cambria Math" w:hAnsi="Cambria Math" w:cs="Times New Roman"/>
                    <w:sz w:val="24"/>
                    <w:szCs w:val="24"/>
                  </w:rPr>
                  <m:t xml:space="preserve">ROA= </m:t>
                </m:r>
                <m:f>
                  <m:fPr>
                    <m:ctrlPr>
                      <w:rPr>
                        <w:rFonts w:ascii="Cambria Math" w:hAnsi="Cambria Math" w:cs="Times New Roman"/>
                        <w:i/>
                        <w:sz w:val="24"/>
                        <w:szCs w:val="24"/>
                      </w:rPr>
                    </m:ctrlPr>
                  </m:fPr>
                  <m:num>
                    <m:r>
                      <w:rPr>
                        <w:rFonts w:ascii="Cambria Math" w:hAnsi="Cambria Math" w:cs="Times New Roman"/>
                        <w:sz w:val="24"/>
                        <w:szCs w:val="24"/>
                      </w:rPr>
                      <m:t>Profits</m:t>
                    </m:r>
                  </m:num>
                  <m:den>
                    <m:r>
                      <w:rPr>
                        <w:rFonts w:ascii="Cambria Math" w:hAnsi="Cambria Math" w:cs="Times New Roman"/>
                        <w:sz w:val="24"/>
                        <w:szCs w:val="24"/>
                      </w:rPr>
                      <m:t>BV Assets</m:t>
                    </m:r>
                  </m:den>
                </m:f>
              </m:oMath>
            </m:oMathPara>
          </w:p>
        </w:tc>
        <w:tc>
          <w:tcPr>
            <w:tcW w:w="629" w:type="dxa"/>
          </w:tcPr>
          <w:p w14:paraId="2377FDCE" w14:textId="6C30A607" w:rsidR="007505B8" w:rsidRDefault="007505B8" w:rsidP="00776E52">
            <w:pPr>
              <w:spacing w:line="480" w:lineRule="auto"/>
              <w:rPr>
                <w:rFonts w:ascii="Times New Roman" w:hAnsi="Times New Roman" w:cs="Times New Roman"/>
                <w:sz w:val="24"/>
                <w:szCs w:val="24"/>
              </w:rPr>
            </w:pPr>
            <w:r>
              <w:rPr>
                <w:rFonts w:ascii="Times New Roman" w:hAnsi="Times New Roman" w:cs="Times New Roman"/>
                <w:sz w:val="24"/>
                <w:szCs w:val="24"/>
              </w:rPr>
              <w:t>(2)</w:t>
            </w:r>
          </w:p>
        </w:tc>
      </w:tr>
    </w:tbl>
    <w:p w14:paraId="69F4284E" w14:textId="29B45648" w:rsidR="00776E52" w:rsidRDefault="00776E52" w:rsidP="00776E52">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t>
      </w:r>
      <w:r w:rsidRPr="00BC68C4">
        <w:rPr>
          <w:rFonts w:ascii="Times New Roman" w:hAnsi="Times New Roman" w:cs="Times New Roman"/>
          <w:sz w:val="24"/>
          <w:szCs w:val="24"/>
        </w:rPr>
        <w:t>Tobin’s Q is calculated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629"/>
      </w:tblGrid>
      <w:tr w:rsidR="007505B8" w14:paraId="4C08C4C7" w14:textId="77777777" w:rsidTr="00B5578E">
        <w:tc>
          <w:tcPr>
            <w:tcW w:w="8613" w:type="dxa"/>
          </w:tcPr>
          <w:p w14:paraId="2F824A4E" w14:textId="1AE71C46" w:rsidR="007505B8" w:rsidRDefault="007505B8" w:rsidP="00776E52">
            <w:pPr>
              <w:spacing w:line="480" w:lineRule="auto"/>
              <w:rPr>
                <w:rFonts w:ascii="Times New Roman" w:hAnsi="Times New Roman" w:cs="Times New Roman"/>
                <w:sz w:val="24"/>
                <w:szCs w:val="24"/>
              </w:rPr>
            </w:pPr>
            <m:oMathPara>
              <m:oMath>
                <m:r>
                  <w:rPr>
                    <w:rFonts w:ascii="Cambria Math" w:hAnsi="Cambria Math" w:cs="Times New Roman"/>
                    <w:sz w:val="24"/>
                    <w:szCs w:val="24"/>
                  </w:rPr>
                  <m:t>Q=</m:t>
                </m:r>
                <m:f>
                  <m:fPr>
                    <m:ctrlPr>
                      <w:rPr>
                        <w:rFonts w:ascii="Cambria Math" w:hAnsi="Cambria Math" w:cs="Times New Roman"/>
                        <w:i/>
                        <w:sz w:val="24"/>
                        <w:szCs w:val="24"/>
                      </w:rPr>
                    </m:ctrlPr>
                  </m:fPr>
                  <m:num>
                    <m:r>
                      <w:rPr>
                        <w:rFonts w:ascii="Cambria Math" w:hAnsi="Cambria Math" w:cs="Times New Roman"/>
                        <w:sz w:val="24"/>
                        <w:szCs w:val="24"/>
                      </w:rPr>
                      <m:t>MVEq+Pref+Debt</m:t>
                    </m:r>
                  </m:num>
                  <m:den>
                    <m:r>
                      <w:rPr>
                        <w:rFonts w:ascii="Cambria Math" w:hAnsi="Cambria Math" w:cs="Times New Roman"/>
                        <w:sz w:val="24"/>
                        <w:szCs w:val="24"/>
                      </w:rPr>
                      <m:t>BV Assets</m:t>
                    </m:r>
                  </m:den>
                </m:f>
              </m:oMath>
            </m:oMathPara>
          </w:p>
        </w:tc>
        <w:tc>
          <w:tcPr>
            <w:tcW w:w="629" w:type="dxa"/>
          </w:tcPr>
          <w:p w14:paraId="3469705F" w14:textId="3E5FFBBD" w:rsidR="007505B8" w:rsidRDefault="007505B8" w:rsidP="00776E52">
            <w:pPr>
              <w:spacing w:line="480" w:lineRule="auto"/>
              <w:rPr>
                <w:rFonts w:ascii="Times New Roman" w:hAnsi="Times New Roman" w:cs="Times New Roman"/>
                <w:sz w:val="24"/>
                <w:szCs w:val="24"/>
              </w:rPr>
            </w:pPr>
            <w:r>
              <w:rPr>
                <w:rFonts w:ascii="Times New Roman" w:hAnsi="Times New Roman" w:cs="Times New Roman"/>
                <w:sz w:val="24"/>
                <w:szCs w:val="24"/>
              </w:rPr>
              <w:t>(3)</w:t>
            </w:r>
          </w:p>
        </w:tc>
      </w:tr>
    </w:tbl>
    <w:p w14:paraId="15A5F487" w14:textId="649322D6" w:rsidR="00BC1261" w:rsidRDefault="00776E52" w:rsidP="006F5264">
      <w:pPr>
        <w:spacing w:line="480" w:lineRule="auto"/>
        <w:rPr>
          <w:rFonts w:ascii="Times New Roman" w:hAnsi="Times New Roman" w:cs="Times New Roman"/>
          <w:sz w:val="24"/>
          <w:szCs w:val="24"/>
        </w:rPr>
      </w:pPr>
      <w:proofErr w:type="gramStart"/>
      <w:r w:rsidRPr="00BC68C4">
        <w:rPr>
          <w:rFonts w:ascii="Times New Roman" w:hAnsi="Times New Roman" w:cs="Times New Roman"/>
          <w:sz w:val="24"/>
          <w:szCs w:val="24"/>
        </w:rPr>
        <w:t>where</w:t>
      </w:r>
      <w:proofErr w:type="gramEnd"/>
      <w:r w:rsidRPr="00BC68C4">
        <w:rPr>
          <w:rFonts w:ascii="Times New Roman" w:hAnsi="Times New Roman" w:cs="Times New Roman"/>
          <w:sz w:val="24"/>
          <w:szCs w:val="24"/>
        </w:rPr>
        <w:t xml:space="preserve"> </w:t>
      </w:r>
      <w:proofErr w:type="spellStart"/>
      <w:r w:rsidRPr="00BC68C4">
        <w:rPr>
          <w:rFonts w:ascii="Times New Roman" w:hAnsi="Times New Roman" w:cs="Times New Roman"/>
          <w:sz w:val="24"/>
          <w:szCs w:val="24"/>
        </w:rPr>
        <w:t>MVEq</w:t>
      </w:r>
      <w:proofErr w:type="spellEnd"/>
      <w:r w:rsidRPr="00BC68C4">
        <w:rPr>
          <w:rFonts w:ascii="Times New Roman" w:hAnsi="Times New Roman" w:cs="Times New Roman"/>
          <w:sz w:val="24"/>
          <w:szCs w:val="24"/>
        </w:rPr>
        <w:t xml:space="preserve"> = year-end market value of firm’s common stock;  </w:t>
      </w:r>
      <w:proofErr w:type="spellStart"/>
      <w:r w:rsidRPr="00BC68C4">
        <w:rPr>
          <w:rFonts w:ascii="Times New Roman" w:hAnsi="Times New Roman" w:cs="Times New Roman"/>
          <w:sz w:val="24"/>
          <w:szCs w:val="24"/>
        </w:rPr>
        <w:t>Pref</w:t>
      </w:r>
      <w:proofErr w:type="spellEnd"/>
      <w:r w:rsidRPr="00BC68C4">
        <w:rPr>
          <w:rFonts w:ascii="Times New Roman" w:hAnsi="Times New Roman" w:cs="Times New Roman"/>
          <w:sz w:val="24"/>
          <w:szCs w:val="24"/>
        </w:rPr>
        <w:t xml:space="preserve"> = year-end value of firm’s preferred stock; Debt = year-end value of firm’s total debt; and BV Assets = total assets of firm. </w:t>
      </w:r>
      <w:r>
        <w:rPr>
          <w:rFonts w:ascii="Times New Roman" w:hAnsi="Times New Roman" w:cs="Times New Roman"/>
          <w:sz w:val="24"/>
          <w:szCs w:val="24"/>
        </w:rPr>
        <w:t xml:space="preserve"> Controls on age, size, location, </w:t>
      </w:r>
      <w:r w:rsidR="001917A2">
        <w:rPr>
          <w:rFonts w:ascii="Times New Roman" w:hAnsi="Times New Roman" w:cs="Times New Roman"/>
          <w:sz w:val="24"/>
          <w:szCs w:val="24"/>
        </w:rPr>
        <w:t>growth</w:t>
      </w:r>
      <w:r>
        <w:rPr>
          <w:rFonts w:ascii="Times New Roman" w:hAnsi="Times New Roman" w:cs="Times New Roman"/>
          <w:sz w:val="24"/>
          <w:szCs w:val="24"/>
        </w:rPr>
        <w:t xml:space="preserve">, industry, ownership structure and corporate control measures are described in the next section.  </w:t>
      </w:r>
    </w:p>
    <w:p w14:paraId="2E92BF80" w14:textId="64D0AAEC" w:rsidR="00E6246D" w:rsidRPr="00BC68C4" w:rsidRDefault="007505B8" w:rsidP="00AF0ADE">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ab/>
      </w:r>
      <w:r w:rsidR="00AF0ADE" w:rsidRPr="001344F0">
        <w:rPr>
          <w:rFonts w:ascii="Times New Roman" w:hAnsi="Times New Roman" w:cs="Times New Roman"/>
          <w:sz w:val="24"/>
          <w:szCs w:val="24"/>
        </w:rPr>
        <w:t xml:space="preserve">The main threat to validity which has been identified </w:t>
      </w:r>
      <w:r w:rsidR="0056200C" w:rsidRPr="001344F0">
        <w:rPr>
          <w:rFonts w:ascii="Times New Roman" w:hAnsi="Times New Roman" w:cs="Times New Roman"/>
          <w:sz w:val="24"/>
          <w:szCs w:val="24"/>
        </w:rPr>
        <w:t>in studies of owners</w:t>
      </w:r>
      <w:r w:rsidR="002241BE" w:rsidRPr="001344F0">
        <w:rPr>
          <w:rFonts w:ascii="Times New Roman" w:hAnsi="Times New Roman" w:cs="Times New Roman"/>
          <w:sz w:val="24"/>
          <w:szCs w:val="24"/>
        </w:rPr>
        <w:t xml:space="preserve">hip structure </w:t>
      </w:r>
      <w:r w:rsidR="0056200C" w:rsidRPr="001344F0">
        <w:rPr>
          <w:rFonts w:ascii="Times New Roman" w:hAnsi="Times New Roman" w:cs="Times New Roman"/>
          <w:sz w:val="24"/>
          <w:szCs w:val="24"/>
        </w:rPr>
        <w:t>is t</w:t>
      </w:r>
      <w:r w:rsidR="00BF55A4" w:rsidRPr="001344F0">
        <w:rPr>
          <w:rFonts w:ascii="Times New Roman" w:hAnsi="Times New Roman" w:cs="Times New Roman"/>
          <w:sz w:val="24"/>
          <w:szCs w:val="24"/>
        </w:rPr>
        <w:t>h</w:t>
      </w:r>
      <w:r w:rsidR="00BC1261" w:rsidRPr="001344F0">
        <w:rPr>
          <w:rFonts w:ascii="Times New Roman" w:hAnsi="Times New Roman" w:cs="Times New Roman"/>
          <w:sz w:val="24"/>
          <w:szCs w:val="24"/>
        </w:rPr>
        <w:t>at of</w:t>
      </w:r>
      <w:r w:rsidR="00BF55A4" w:rsidRPr="001344F0">
        <w:rPr>
          <w:rFonts w:ascii="Times New Roman" w:hAnsi="Times New Roman" w:cs="Times New Roman"/>
          <w:sz w:val="24"/>
          <w:szCs w:val="24"/>
        </w:rPr>
        <w:t xml:space="preserve"> causality</w:t>
      </w:r>
      <w:r w:rsidR="00BC1261" w:rsidRPr="001344F0">
        <w:rPr>
          <w:rFonts w:ascii="Times New Roman" w:hAnsi="Times New Roman" w:cs="Times New Roman"/>
          <w:sz w:val="24"/>
          <w:szCs w:val="24"/>
        </w:rPr>
        <w:t>: does ownership structure</w:t>
      </w:r>
      <w:r w:rsidR="00BC1261">
        <w:rPr>
          <w:rFonts w:ascii="Times New Roman" w:hAnsi="Times New Roman" w:cs="Times New Roman"/>
          <w:sz w:val="24"/>
          <w:szCs w:val="24"/>
        </w:rPr>
        <w:t xml:space="preserve"> affect performance or performance ownership structure</w:t>
      </w:r>
      <w:r w:rsidR="00641D78">
        <w:rPr>
          <w:rFonts w:ascii="Times New Roman" w:hAnsi="Times New Roman" w:cs="Times New Roman"/>
          <w:sz w:val="24"/>
          <w:szCs w:val="24"/>
        </w:rPr>
        <w:t xml:space="preserve"> </w:t>
      </w:r>
      <w:r w:rsidR="00BF55A4" w:rsidRPr="00BC68C4">
        <w:rPr>
          <w:rFonts w:ascii="Times New Roman" w:hAnsi="Times New Roman" w:cs="Times New Roman"/>
          <w:sz w:val="24"/>
          <w:szCs w:val="24"/>
        </w:rPr>
        <w:t xml:space="preserve">(Cho, 1998; </w:t>
      </w:r>
      <w:proofErr w:type="spellStart"/>
      <w:r w:rsidR="00BF55A4" w:rsidRPr="00BC68C4">
        <w:rPr>
          <w:rFonts w:ascii="Times New Roman" w:hAnsi="Times New Roman" w:cs="Times New Roman"/>
          <w:sz w:val="24"/>
          <w:szCs w:val="24"/>
        </w:rPr>
        <w:t>Demsetz</w:t>
      </w:r>
      <w:proofErr w:type="spellEnd"/>
      <w:r w:rsidR="00BF55A4" w:rsidRPr="00BC68C4">
        <w:rPr>
          <w:rFonts w:ascii="Times New Roman" w:hAnsi="Times New Roman" w:cs="Times New Roman"/>
          <w:sz w:val="24"/>
          <w:szCs w:val="24"/>
        </w:rPr>
        <w:t xml:space="preserve"> and </w:t>
      </w:r>
      <w:proofErr w:type="spellStart"/>
      <w:r w:rsidR="00BF55A4" w:rsidRPr="00BC68C4">
        <w:rPr>
          <w:rFonts w:ascii="Times New Roman" w:hAnsi="Times New Roman" w:cs="Times New Roman"/>
          <w:sz w:val="24"/>
          <w:szCs w:val="24"/>
        </w:rPr>
        <w:t>Villalonga</w:t>
      </w:r>
      <w:proofErr w:type="spellEnd"/>
      <w:r w:rsidR="00BF55A4" w:rsidRPr="00BC68C4">
        <w:rPr>
          <w:rFonts w:ascii="Times New Roman" w:hAnsi="Times New Roman" w:cs="Times New Roman"/>
          <w:sz w:val="24"/>
          <w:szCs w:val="24"/>
        </w:rPr>
        <w:t xml:space="preserve">, 2001). </w:t>
      </w:r>
      <w:proofErr w:type="spellStart"/>
      <w:r w:rsidR="00E6246D" w:rsidRPr="00BC68C4">
        <w:rPr>
          <w:rFonts w:ascii="Times New Roman" w:hAnsi="Times New Roman" w:cs="Times New Roman"/>
          <w:sz w:val="24"/>
          <w:szCs w:val="24"/>
        </w:rPr>
        <w:t>Demsetz</w:t>
      </w:r>
      <w:proofErr w:type="spellEnd"/>
      <w:r w:rsidR="00E6246D" w:rsidRPr="00BC68C4">
        <w:rPr>
          <w:rFonts w:ascii="Times New Roman" w:hAnsi="Times New Roman" w:cs="Times New Roman"/>
          <w:sz w:val="24"/>
          <w:szCs w:val="24"/>
        </w:rPr>
        <w:t xml:space="preserve"> and </w:t>
      </w:r>
      <w:proofErr w:type="spellStart"/>
      <w:r w:rsidR="00E6246D" w:rsidRPr="00BC68C4">
        <w:rPr>
          <w:rFonts w:ascii="Times New Roman" w:hAnsi="Times New Roman" w:cs="Times New Roman"/>
          <w:sz w:val="24"/>
          <w:szCs w:val="24"/>
        </w:rPr>
        <w:t>Villalonga</w:t>
      </w:r>
      <w:proofErr w:type="spellEnd"/>
      <w:r w:rsidR="00E6246D" w:rsidRPr="00BC68C4">
        <w:rPr>
          <w:rFonts w:ascii="Times New Roman" w:hAnsi="Times New Roman" w:cs="Times New Roman"/>
          <w:sz w:val="24"/>
          <w:szCs w:val="24"/>
        </w:rPr>
        <w:t xml:space="preserve"> (2001, p.221) </w:t>
      </w:r>
      <w:r w:rsidR="003B3C03" w:rsidRPr="00BC68C4">
        <w:rPr>
          <w:rFonts w:ascii="Times New Roman" w:hAnsi="Times New Roman" w:cs="Times New Roman"/>
          <w:sz w:val="24"/>
          <w:szCs w:val="24"/>
        </w:rPr>
        <w:t>argue</w:t>
      </w:r>
      <w:r w:rsidR="00E6246D" w:rsidRPr="00BC68C4">
        <w:rPr>
          <w:rFonts w:ascii="Times New Roman" w:hAnsi="Times New Roman" w:cs="Times New Roman"/>
          <w:sz w:val="24"/>
          <w:szCs w:val="24"/>
        </w:rPr>
        <w:t xml:space="preserve"> that ‘compensation plans, insider trading possibilities, and corporate takeovers suggest that firm performance may influence ownership structure as well </w:t>
      </w:r>
      <w:r w:rsidR="00621664" w:rsidRPr="00BC68C4">
        <w:rPr>
          <w:rFonts w:ascii="Times New Roman" w:hAnsi="Times New Roman" w:cs="Times New Roman"/>
          <w:sz w:val="24"/>
          <w:szCs w:val="24"/>
        </w:rPr>
        <w:t>as be influenced by it</w:t>
      </w:r>
      <w:r w:rsidR="00E6246D" w:rsidRPr="00BC68C4">
        <w:rPr>
          <w:rFonts w:ascii="Times New Roman" w:hAnsi="Times New Roman" w:cs="Times New Roman"/>
          <w:sz w:val="24"/>
          <w:szCs w:val="24"/>
        </w:rPr>
        <w:t>’</w:t>
      </w:r>
      <w:r w:rsidR="00072ED8" w:rsidRPr="00BC68C4">
        <w:rPr>
          <w:rFonts w:ascii="Times New Roman" w:hAnsi="Times New Roman" w:cs="Times New Roman"/>
          <w:sz w:val="24"/>
          <w:szCs w:val="24"/>
        </w:rPr>
        <w:t>.</w:t>
      </w:r>
    </w:p>
    <w:p w14:paraId="7098BD6D" w14:textId="4B3E3E2A" w:rsidR="00272706" w:rsidRPr="00BC68C4" w:rsidRDefault="00BC1261" w:rsidP="002C3B22">
      <w:pPr>
        <w:spacing w:line="480" w:lineRule="auto"/>
        <w:ind w:firstLine="720"/>
        <w:rPr>
          <w:rFonts w:ascii="Times New Roman" w:hAnsi="Times New Roman" w:cs="Times New Roman"/>
          <w:sz w:val="24"/>
          <w:szCs w:val="24"/>
        </w:rPr>
      </w:pPr>
      <w:r w:rsidRPr="00BC68C4">
        <w:rPr>
          <w:rFonts w:ascii="Times New Roman" w:hAnsi="Times New Roman" w:cs="Times New Roman"/>
          <w:sz w:val="24"/>
          <w:szCs w:val="24"/>
        </w:rPr>
        <w:t xml:space="preserve">However, there are several reasons to believe that reverse causality </w:t>
      </w:r>
      <w:r>
        <w:rPr>
          <w:rFonts w:ascii="Times New Roman" w:hAnsi="Times New Roman" w:cs="Times New Roman"/>
          <w:sz w:val="24"/>
          <w:szCs w:val="24"/>
        </w:rPr>
        <w:t xml:space="preserve">in a </w:t>
      </w:r>
      <w:proofErr w:type="spellStart"/>
      <w:r>
        <w:rPr>
          <w:rFonts w:ascii="Times New Roman" w:hAnsi="Times New Roman" w:cs="Times New Roman"/>
          <w:sz w:val="24"/>
          <w:szCs w:val="24"/>
        </w:rPr>
        <w:t>Demsetz</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Villalonga</w:t>
      </w:r>
      <w:proofErr w:type="spellEnd"/>
      <w:r>
        <w:rPr>
          <w:rFonts w:ascii="Times New Roman" w:hAnsi="Times New Roman" w:cs="Times New Roman"/>
          <w:sz w:val="24"/>
          <w:szCs w:val="24"/>
        </w:rPr>
        <w:t xml:space="preserve"> world </w:t>
      </w:r>
      <w:r w:rsidRPr="00BC68C4">
        <w:rPr>
          <w:rFonts w:ascii="Times New Roman" w:hAnsi="Times New Roman" w:cs="Times New Roman"/>
          <w:sz w:val="24"/>
          <w:szCs w:val="24"/>
        </w:rPr>
        <w:t>was not a major issue in the Victorian context</w:t>
      </w:r>
      <w:r>
        <w:rPr>
          <w:rFonts w:ascii="Times New Roman" w:hAnsi="Times New Roman" w:cs="Times New Roman"/>
          <w:sz w:val="24"/>
          <w:szCs w:val="24"/>
        </w:rPr>
        <w:t xml:space="preserve">.  Even if some </w:t>
      </w:r>
      <w:r w:rsidR="00C86660">
        <w:rPr>
          <w:rFonts w:ascii="Times New Roman" w:hAnsi="Times New Roman" w:cs="Times New Roman"/>
          <w:sz w:val="24"/>
          <w:szCs w:val="24"/>
        </w:rPr>
        <w:t>related-party transactions or tunnelling could be seen as affecting compensation, directors in our firms were paid said salaries and performance related bonuses, none of which resulted directly in changes of ownership, unlike modern equity-based plans.</w:t>
      </w:r>
      <w:r w:rsidR="00072ED8" w:rsidRPr="00BC68C4">
        <w:rPr>
          <w:rFonts w:ascii="Times New Roman" w:hAnsi="Times New Roman" w:cs="Times New Roman"/>
          <w:sz w:val="24"/>
          <w:szCs w:val="24"/>
        </w:rPr>
        <w:t xml:space="preserve">  </w:t>
      </w:r>
      <w:r w:rsidR="00671AFD" w:rsidRPr="00BC68C4">
        <w:rPr>
          <w:rFonts w:ascii="Times New Roman" w:hAnsi="Times New Roman" w:cs="Times New Roman"/>
          <w:sz w:val="24"/>
          <w:szCs w:val="24"/>
        </w:rPr>
        <w:t xml:space="preserve">Second, hostile takeover bids and accumulation of stakes by potential acquirers </w:t>
      </w:r>
      <w:r w:rsidR="007F5331" w:rsidRPr="00BC68C4">
        <w:rPr>
          <w:rFonts w:ascii="Times New Roman" w:hAnsi="Times New Roman" w:cs="Times New Roman"/>
          <w:sz w:val="24"/>
          <w:szCs w:val="24"/>
        </w:rPr>
        <w:t>were very rare in this era (</w:t>
      </w:r>
      <w:proofErr w:type="spellStart"/>
      <w:r w:rsidR="007F5331" w:rsidRPr="00BC68C4">
        <w:rPr>
          <w:rFonts w:ascii="Times New Roman" w:hAnsi="Times New Roman" w:cs="Times New Roman"/>
          <w:sz w:val="24"/>
          <w:szCs w:val="24"/>
        </w:rPr>
        <w:t>Cheffins</w:t>
      </w:r>
      <w:proofErr w:type="spellEnd"/>
      <w:r w:rsidR="007F5331" w:rsidRPr="00BC68C4">
        <w:rPr>
          <w:rFonts w:ascii="Times New Roman" w:hAnsi="Times New Roman" w:cs="Times New Roman"/>
          <w:sz w:val="24"/>
          <w:szCs w:val="24"/>
        </w:rPr>
        <w:t xml:space="preserve"> 2008, p. 79; Hannah 1974; Hannah</w:t>
      </w:r>
      <w:r w:rsidR="00671AFD" w:rsidRPr="00BC68C4">
        <w:rPr>
          <w:rFonts w:ascii="Times New Roman" w:hAnsi="Times New Roman" w:cs="Times New Roman"/>
          <w:sz w:val="24"/>
          <w:szCs w:val="24"/>
        </w:rPr>
        <w:t xml:space="preserve"> 1976, p. 150</w:t>
      </w:r>
      <w:r w:rsidR="007F5331" w:rsidRPr="00BC68C4">
        <w:rPr>
          <w:rFonts w:ascii="Times New Roman" w:hAnsi="Times New Roman" w:cs="Times New Roman"/>
          <w:sz w:val="24"/>
          <w:szCs w:val="24"/>
        </w:rPr>
        <w:t>; Hannah 2011, p. 241</w:t>
      </w:r>
      <w:r w:rsidR="00671AFD" w:rsidRPr="00BC68C4">
        <w:rPr>
          <w:rFonts w:ascii="Times New Roman" w:hAnsi="Times New Roman" w:cs="Times New Roman"/>
          <w:sz w:val="24"/>
          <w:szCs w:val="24"/>
        </w:rPr>
        <w:t>).</w:t>
      </w:r>
      <w:r w:rsidR="00072ED8" w:rsidRPr="00BC68C4">
        <w:rPr>
          <w:rFonts w:ascii="Times New Roman" w:hAnsi="Times New Roman" w:cs="Times New Roman"/>
          <w:sz w:val="24"/>
          <w:szCs w:val="24"/>
        </w:rPr>
        <w:t xml:space="preserve">  </w:t>
      </w:r>
      <w:r w:rsidR="00671AFD" w:rsidRPr="00BC68C4">
        <w:rPr>
          <w:rFonts w:ascii="Times New Roman" w:hAnsi="Times New Roman" w:cs="Times New Roman"/>
          <w:sz w:val="24"/>
          <w:szCs w:val="24"/>
        </w:rPr>
        <w:t xml:space="preserve">Third, </w:t>
      </w:r>
      <w:proofErr w:type="spellStart"/>
      <w:r w:rsidR="002C3B22" w:rsidRPr="00BC68C4">
        <w:rPr>
          <w:rFonts w:ascii="Times New Roman" w:hAnsi="Times New Roman" w:cs="Times New Roman"/>
          <w:sz w:val="24"/>
          <w:szCs w:val="24"/>
        </w:rPr>
        <w:t>Brag</w:t>
      </w:r>
      <w:r w:rsidR="00072ED8" w:rsidRPr="00BC68C4">
        <w:rPr>
          <w:rFonts w:ascii="Times New Roman" w:hAnsi="Times New Roman" w:cs="Times New Roman"/>
          <w:sz w:val="24"/>
          <w:szCs w:val="24"/>
        </w:rPr>
        <w:t>gion</w:t>
      </w:r>
      <w:proofErr w:type="spellEnd"/>
      <w:r w:rsidR="00072ED8" w:rsidRPr="00BC68C4">
        <w:rPr>
          <w:rFonts w:ascii="Times New Roman" w:hAnsi="Times New Roman" w:cs="Times New Roman"/>
          <w:sz w:val="24"/>
          <w:szCs w:val="24"/>
        </w:rPr>
        <w:t xml:space="preserve"> and Moore (2013) find that</w:t>
      </w:r>
      <w:r w:rsidR="00C86660">
        <w:rPr>
          <w:rFonts w:ascii="Times New Roman" w:hAnsi="Times New Roman" w:cs="Times New Roman"/>
          <w:sz w:val="24"/>
          <w:szCs w:val="24"/>
        </w:rPr>
        <w:t xml:space="preserve"> while</w:t>
      </w:r>
      <w:r w:rsidR="00072ED8" w:rsidRPr="00BC68C4">
        <w:rPr>
          <w:rFonts w:ascii="Times New Roman" w:hAnsi="Times New Roman" w:cs="Times New Roman"/>
          <w:sz w:val="24"/>
          <w:szCs w:val="24"/>
        </w:rPr>
        <w:t xml:space="preserve"> </w:t>
      </w:r>
      <w:r w:rsidR="00C86660">
        <w:rPr>
          <w:rFonts w:ascii="Times New Roman" w:hAnsi="Times New Roman" w:cs="Times New Roman"/>
          <w:sz w:val="24"/>
          <w:szCs w:val="24"/>
        </w:rPr>
        <w:t xml:space="preserve">insider trading </w:t>
      </w:r>
      <w:r w:rsidR="00C86660" w:rsidRPr="00BC68C4">
        <w:rPr>
          <w:rFonts w:ascii="Times New Roman" w:hAnsi="Times New Roman" w:cs="Times New Roman"/>
          <w:sz w:val="24"/>
          <w:szCs w:val="24"/>
        </w:rPr>
        <w:t>was not illegal</w:t>
      </w:r>
      <w:r w:rsidR="00C86660">
        <w:rPr>
          <w:rFonts w:ascii="Times New Roman" w:hAnsi="Times New Roman" w:cs="Times New Roman"/>
          <w:sz w:val="24"/>
          <w:szCs w:val="24"/>
        </w:rPr>
        <w:t xml:space="preserve">, it </w:t>
      </w:r>
      <w:r w:rsidR="00671AFD" w:rsidRPr="00BC68C4">
        <w:rPr>
          <w:rFonts w:ascii="Times New Roman" w:hAnsi="Times New Roman" w:cs="Times New Roman"/>
          <w:sz w:val="24"/>
          <w:szCs w:val="24"/>
        </w:rPr>
        <w:t xml:space="preserve">rarely happened </w:t>
      </w:r>
      <w:r w:rsidR="002C3B22" w:rsidRPr="00BC68C4">
        <w:rPr>
          <w:rFonts w:ascii="Times New Roman" w:hAnsi="Times New Roman" w:cs="Times New Roman"/>
          <w:sz w:val="24"/>
          <w:szCs w:val="24"/>
        </w:rPr>
        <w:t>(</w:t>
      </w:r>
      <w:proofErr w:type="spellStart"/>
      <w:r w:rsidR="002C3B22" w:rsidRPr="00BC68C4">
        <w:rPr>
          <w:rFonts w:ascii="Times New Roman" w:hAnsi="Times New Roman" w:cs="Times New Roman"/>
          <w:sz w:val="24"/>
          <w:szCs w:val="24"/>
        </w:rPr>
        <w:t>Braggion</w:t>
      </w:r>
      <w:proofErr w:type="spellEnd"/>
      <w:r w:rsidR="002C3B22" w:rsidRPr="00BC68C4">
        <w:rPr>
          <w:rFonts w:ascii="Times New Roman" w:hAnsi="Times New Roman" w:cs="Times New Roman"/>
          <w:sz w:val="24"/>
          <w:szCs w:val="24"/>
        </w:rPr>
        <w:t xml:space="preserve"> and Moore, 2013). </w:t>
      </w:r>
      <w:r w:rsidR="00671AFD" w:rsidRPr="00BC68C4">
        <w:rPr>
          <w:rFonts w:ascii="Times New Roman" w:hAnsi="Times New Roman" w:cs="Times New Roman"/>
          <w:sz w:val="24"/>
          <w:szCs w:val="24"/>
        </w:rPr>
        <w:t>Fourth, institutional investors were very small players and typically only invested in fixed-interest securities such as corporate and government bonds, not equities (</w:t>
      </w:r>
      <w:proofErr w:type="spellStart"/>
      <w:r w:rsidR="00671AFD" w:rsidRPr="00BC68C4">
        <w:rPr>
          <w:rFonts w:ascii="Times New Roman" w:hAnsi="Times New Roman" w:cs="Times New Roman"/>
          <w:sz w:val="24"/>
          <w:szCs w:val="24"/>
        </w:rPr>
        <w:t>Cheffins</w:t>
      </w:r>
      <w:proofErr w:type="spellEnd"/>
      <w:r w:rsidR="00671AFD" w:rsidRPr="00BC68C4">
        <w:rPr>
          <w:rFonts w:ascii="Times New Roman" w:hAnsi="Times New Roman" w:cs="Times New Roman"/>
          <w:sz w:val="24"/>
          <w:szCs w:val="24"/>
        </w:rPr>
        <w:t xml:space="preserve">, 2008, p. 190; </w:t>
      </w:r>
      <w:proofErr w:type="spellStart"/>
      <w:r w:rsidR="00671AFD" w:rsidRPr="00BC68C4">
        <w:rPr>
          <w:rFonts w:ascii="Times New Roman" w:hAnsi="Times New Roman" w:cs="Times New Roman"/>
          <w:sz w:val="24"/>
          <w:szCs w:val="24"/>
        </w:rPr>
        <w:t>Raynes</w:t>
      </w:r>
      <w:proofErr w:type="spellEnd"/>
      <w:r w:rsidR="00671AFD" w:rsidRPr="00BC68C4">
        <w:rPr>
          <w:rFonts w:ascii="Times New Roman" w:hAnsi="Times New Roman" w:cs="Times New Roman"/>
          <w:sz w:val="24"/>
          <w:szCs w:val="24"/>
        </w:rPr>
        <w:t>, 1928).</w:t>
      </w:r>
      <w:r w:rsidR="002C3B22" w:rsidRPr="00BC68C4">
        <w:rPr>
          <w:rStyle w:val="FootnoteReference"/>
          <w:rFonts w:ascii="Times New Roman" w:hAnsi="Times New Roman" w:cs="Times New Roman"/>
          <w:sz w:val="24"/>
          <w:szCs w:val="24"/>
        </w:rPr>
        <w:footnoteReference w:id="12"/>
      </w:r>
      <w:r w:rsidR="00671AFD" w:rsidRPr="00BC68C4">
        <w:rPr>
          <w:rFonts w:ascii="Times New Roman" w:hAnsi="Times New Roman" w:cs="Times New Roman"/>
          <w:sz w:val="24"/>
          <w:szCs w:val="24"/>
        </w:rPr>
        <w:t xml:space="preserve">  </w:t>
      </w:r>
    </w:p>
    <w:p w14:paraId="5C34B18C" w14:textId="144CC382" w:rsidR="00671AFD" w:rsidRPr="00BC68C4" w:rsidRDefault="00C86660" w:rsidP="00C8666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Indeed, </w:t>
      </w:r>
      <w:r w:rsidR="00B44E13" w:rsidRPr="00BC68C4">
        <w:rPr>
          <w:rFonts w:ascii="Times New Roman" w:hAnsi="Times New Roman" w:cs="Times New Roman"/>
          <w:sz w:val="24"/>
          <w:szCs w:val="24"/>
        </w:rPr>
        <w:t>in the Victorian context, it was difficult for</w:t>
      </w:r>
      <w:r w:rsidR="00671AFD" w:rsidRPr="00BC68C4">
        <w:rPr>
          <w:rFonts w:ascii="Times New Roman" w:hAnsi="Times New Roman" w:cs="Times New Roman"/>
          <w:sz w:val="24"/>
          <w:szCs w:val="24"/>
        </w:rPr>
        <w:t xml:space="preserve"> </w:t>
      </w:r>
      <w:r w:rsidR="00B44E13" w:rsidRPr="00BC68C4">
        <w:rPr>
          <w:rFonts w:ascii="Times New Roman" w:hAnsi="Times New Roman" w:cs="Times New Roman"/>
          <w:sz w:val="24"/>
          <w:szCs w:val="24"/>
        </w:rPr>
        <w:t>changes in ownership structure to occur quickly</w:t>
      </w:r>
      <w:r w:rsidR="00287913" w:rsidRPr="00BC68C4">
        <w:rPr>
          <w:rFonts w:ascii="Times New Roman" w:hAnsi="Times New Roman" w:cs="Times New Roman"/>
          <w:sz w:val="24"/>
          <w:szCs w:val="24"/>
        </w:rPr>
        <w:t>, as</w:t>
      </w:r>
      <w:r w:rsidR="00B44E13" w:rsidRPr="00BC68C4">
        <w:rPr>
          <w:rFonts w:ascii="Times New Roman" w:hAnsi="Times New Roman" w:cs="Times New Roman"/>
          <w:sz w:val="24"/>
          <w:szCs w:val="24"/>
        </w:rPr>
        <w:t xml:space="preserve"> stock was </w:t>
      </w:r>
      <w:r>
        <w:rPr>
          <w:rFonts w:ascii="Times New Roman" w:hAnsi="Times New Roman" w:cs="Times New Roman"/>
          <w:sz w:val="24"/>
          <w:szCs w:val="24"/>
        </w:rPr>
        <w:t xml:space="preserve">often </w:t>
      </w:r>
      <w:r w:rsidR="00B44E13" w:rsidRPr="00BC68C4">
        <w:rPr>
          <w:rFonts w:ascii="Times New Roman" w:hAnsi="Times New Roman" w:cs="Times New Roman"/>
          <w:sz w:val="24"/>
          <w:szCs w:val="24"/>
        </w:rPr>
        <w:t xml:space="preserve">not </w:t>
      </w:r>
      <w:r w:rsidR="00287913" w:rsidRPr="00BC68C4">
        <w:rPr>
          <w:rFonts w:ascii="Times New Roman" w:hAnsi="Times New Roman" w:cs="Times New Roman"/>
          <w:sz w:val="24"/>
          <w:szCs w:val="24"/>
        </w:rPr>
        <w:t xml:space="preserve">as </w:t>
      </w:r>
      <w:r w:rsidR="00671AFD" w:rsidRPr="00BC68C4">
        <w:rPr>
          <w:rFonts w:ascii="Times New Roman" w:hAnsi="Times New Roman" w:cs="Times New Roman"/>
          <w:sz w:val="24"/>
          <w:szCs w:val="24"/>
        </w:rPr>
        <w:t>actively traded</w:t>
      </w:r>
      <w:r w:rsidR="002C3B22" w:rsidRPr="00BC68C4">
        <w:rPr>
          <w:rFonts w:ascii="Times New Roman" w:hAnsi="Times New Roman" w:cs="Times New Roman"/>
          <w:sz w:val="24"/>
          <w:szCs w:val="24"/>
        </w:rPr>
        <w:t>.</w:t>
      </w:r>
      <w:r w:rsidR="002C3B22" w:rsidRPr="00BC68C4">
        <w:rPr>
          <w:rStyle w:val="FootnoteReference"/>
          <w:rFonts w:ascii="Times New Roman" w:hAnsi="Times New Roman" w:cs="Times New Roman"/>
          <w:sz w:val="24"/>
          <w:szCs w:val="24"/>
        </w:rPr>
        <w:footnoteReference w:id="13"/>
      </w:r>
      <w:r w:rsidR="002C3B22" w:rsidRPr="00BC68C4">
        <w:rPr>
          <w:rFonts w:ascii="Times New Roman" w:hAnsi="Times New Roman" w:cs="Times New Roman"/>
          <w:sz w:val="24"/>
          <w:szCs w:val="24"/>
        </w:rPr>
        <w:t xml:space="preserve"> </w:t>
      </w:r>
      <w:r w:rsidR="00B44E13" w:rsidRPr="00BC68C4">
        <w:rPr>
          <w:rFonts w:ascii="Times New Roman" w:hAnsi="Times New Roman" w:cs="Times New Roman"/>
          <w:sz w:val="24"/>
          <w:szCs w:val="24"/>
        </w:rPr>
        <w:t>This meant that</w:t>
      </w:r>
      <w:r w:rsidR="0082663F" w:rsidRPr="00BC68C4">
        <w:rPr>
          <w:rFonts w:ascii="Times New Roman" w:hAnsi="Times New Roman" w:cs="Times New Roman"/>
          <w:sz w:val="24"/>
          <w:szCs w:val="24"/>
        </w:rPr>
        <w:t xml:space="preserve"> large one-off changes in ownership structure were not possible.</w:t>
      </w:r>
      <w:r w:rsidR="00852083" w:rsidRPr="00BC68C4">
        <w:rPr>
          <w:rFonts w:ascii="Times New Roman" w:hAnsi="Times New Roman" w:cs="Times New Roman"/>
          <w:sz w:val="24"/>
          <w:szCs w:val="24"/>
        </w:rPr>
        <w:t xml:space="preserve"> </w:t>
      </w:r>
      <w:r w:rsidR="002C3B22" w:rsidRPr="00BC68C4">
        <w:rPr>
          <w:rFonts w:ascii="Times New Roman" w:hAnsi="Times New Roman" w:cs="Times New Roman"/>
          <w:sz w:val="24"/>
          <w:szCs w:val="24"/>
        </w:rPr>
        <w:t>W</w:t>
      </w:r>
      <w:r w:rsidR="00852083" w:rsidRPr="00BC68C4">
        <w:rPr>
          <w:rFonts w:ascii="Times New Roman" w:hAnsi="Times New Roman" w:cs="Times New Roman"/>
          <w:sz w:val="24"/>
          <w:szCs w:val="24"/>
        </w:rPr>
        <w:t xml:space="preserve">e are not suggesting that </w:t>
      </w:r>
      <w:proofErr w:type="spellStart"/>
      <w:r w:rsidR="00852083" w:rsidRPr="00BC68C4">
        <w:rPr>
          <w:rFonts w:ascii="Times New Roman" w:hAnsi="Times New Roman" w:cs="Times New Roman"/>
          <w:sz w:val="24"/>
          <w:szCs w:val="24"/>
        </w:rPr>
        <w:t>blockholder</w:t>
      </w:r>
      <w:proofErr w:type="spellEnd"/>
      <w:r w:rsidR="00852083" w:rsidRPr="00BC68C4">
        <w:rPr>
          <w:rFonts w:ascii="Times New Roman" w:hAnsi="Times New Roman" w:cs="Times New Roman"/>
          <w:sz w:val="24"/>
          <w:szCs w:val="24"/>
        </w:rPr>
        <w:t xml:space="preserve"> changes were uncommon. However, it would have taken investors a long time to accumulate a b</w:t>
      </w:r>
      <w:r w:rsidR="00CB6066" w:rsidRPr="00BC68C4">
        <w:rPr>
          <w:rFonts w:ascii="Times New Roman" w:hAnsi="Times New Roman" w:cs="Times New Roman"/>
          <w:sz w:val="24"/>
          <w:szCs w:val="24"/>
        </w:rPr>
        <w:t>lock-holding stake in a company</w:t>
      </w:r>
      <w:r w:rsidR="00852083" w:rsidRPr="00BC68C4">
        <w:rPr>
          <w:rFonts w:ascii="Times New Roman" w:hAnsi="Times New Roman" w:cs="Times New Roman"/>
          <w:sz w:val="24"/>
          <w:szCs w:val="24"/>
        </w:rPr>
        <w:t xml:space="preserve"> </w:t>
      </w:r>
      <w:r>
        <w:rPr>
          <w:rFonts w:ascii="Times New Roman" w:hAnsi="Times New Roman" w:cs="Times New Roman"/>
          <w:sz w:val="24"/>
          <w:szCs w:val="24"/>
        </w:rPr>
        <w:t xml:space="preserve">to </w:t>
      </w:r>
      <w:r w:rsidR="00852083" w:rsidRPr="00BC68C4">
        <w:rPr>
          <w:rFonts w:ascii="Times New Roman" w:hAnsi="Times New Roman" w:cs="Times New Roman"/>
          <w:sz w:val="24"/>
          <w:szCs w:val="24"/>
        </w:rPr>
        <w:t>fundamentally alter the ownership structure.</w:t>
      </w:r>
    </w:p>
    <w:p w14:paraId="2CEA8178" w14:textId="6C65A945" w:rsidR="002D51B6" w:rsidRPr="00BC68C4" w:rsidRDefault="00027597" w:rsidP="00055BA4">
      <w:pPr>
        <w:spacing w:line="480" w:lineRule="auto"/>
        <w:ind w:firstLine="720"/>
        <w:rPr>
          <w:rFonts w:ascii="Times New Roman" w:hAnsi="Times New Roman" w:cs="Times New Roman"/>
          <w:sz w:val="24"/>
          <w:szCs w:val="24"/>
        </w:rPr>
      </w:pPr>
      <w:r w:rsidRPr="00BC68C4">
        <w:rPr>
          <w:rFonts w:ascii="Times New Roman" w:hAnsi="Times New Roman" w:cs="Times New Roman"/>
          <w:sz w:val="24"/>
          <w:szCs w:val="24"/>
        </w:rPr>
        <w:t>T</w:t>
      </w:r>
      <w:r w:rsidR="00EB0B66" w:rsidRPr="00BC68C4">
        <w:rPr>
          <w:rFonts w:ascii="Times New Roman" w:hAnsi="Times New Roman" w:cs="Times New Roman"/>
          <w:sz w:val="24"/>
          <w:szCs w:val="24"/>
        </w:rPr>
        <w:t xml:space="preserve">he </w:t>
      </w:r>
      <w:r w:rsidRPr="00BC68C4">
        <w:rPr>
          <w:rFonts w:ascii="Times New Roman" w:hAnsi="Times New Roman" w:cs="Times New Roman"/>
          <w:sz w:val="24"/>
          <w:szCs w:val="24"/>
        </w:rPr>
        <w:t xml:space="preserve">absence of </w:t>
      </w:r>
      <w:r w:rsidR="00C86660">
        <w:rPr>
          <w:rFonts w:ascii="Times New Roman" w:hAnsi="Times New Roman" w:cs="Times New Roman"/>
          <w:sz w:val="24"/>
          <w:szCs w:val="24"/>
        </w:rPr>
        <w:t xml:space="preserve">such </w:t>
      </w:r>
      <w:r w:rsidR="00EB0B66" w:rsidRPr="00BC68C4">
        <w:rPr>
          <w:rFonts w:ascii="Times New Roman" w:hAnsi="Times New Roman" w:cs="Times New Roman"/>
          <w:sz w:val="24"/>
          <w:szCs w:val="24"/>
        </w:rPr>
        <w:t>mechanisms does not completely eliminate the reverse causality</w:t>
      </w:r>
      <w:r w:rsidRPr="00BC68C4">
        <w:rPr>
          <w:rFonts w:ascii="Times New Roman" w:hAnsi="Times New Roman" w:cs="Times New Roman"/>
          <w:sz w:val="24"/>
          <w:szCs w:val="24"/>
        </w:rPr>
        <w:t xml:space="preserve"> issue. One potential source of reverse causality is where a </w:t>
      </w:r>
      <w:proofErr w:type="spellStart"/>
      <w:r w:rsidRPr="00BC68C4">
        <w:rPr>
          <w:rFonts w:ascii="Times New Roman" w:hAnsi="Times New Roman" w:cs="Times New Roman"/>
          <w:sz w:val="24"/>
          <w:szCs w:val="24"/>
        </w:rPr>
        <w:t>blockholder</w:t>
      </w:r>
      <w:proofErr w:type="spellEnd"/>
      <w:r w:rsidRPr="00BC68C4">
        <w:rPr>
          <w:rFonts w:ascii="Times New Roman" w:hAnsi="Times New Roman" w:cs="Times New Roman"/>
          <w:sz w:val="24"/>
          <w:szCs w:val="24"/>
        </w:rPr>
        <w:t xml:space="preserve"> may be more likely to take a position on the board when companies are more profitable. </w:t>
      </w:r>
      <w:r w:rsidR="00A23EED" w:rsidRPr="00BC68C4">
        <w:rPr>
          <w:rFonts w:ascii="Times New Roman" w:hAnsi="Times New Roman" w:cs="Times New Roman"/>
          <w:sz w:val="24"/>
          <w:szCs w:val="24"/>
        </w:rPr>
        <w:t>I</w:t>
      </w:r>
      <w:r w:rsidRPr="00BC68C4">
        <w:rPr>
          <w:rFonts w:ascii="Times New Roman" w:hAnsi="Times New Roman" w:cs="Times New Roman"/>
          <w:sz w:val="24"/>
          <w:szCs w:val="24"/>
        </w:rPr>
        <w:t xml:space="preserve">n a robustness check, we find very little evidence of large passive </w:t>
      </w:r>
      <w:proofErr w:type="spellStart"/>
      <w:r w:rsidRPr="00BC68C4">
        <w:rPr>
          <w:rFonts w:ascii="Times New Roman" w:hAnsi="Times New Roman" w:cs="Times New Roman"/>
          <w:sz w:val="24"/>
          <w:szCs w:val="24"/>
        </w:rPr>
        <w:t>blockholders</w:t>
      </w:r>
      <w:proofErr w:type="spellEnd"/>
      <w:r w:rsidRPr="00BC68C4">
        <w:rPr>
          <w:rFonts w:ascii="Times New Roman" w:hAnsi="Times New Roman" w:cs="Times New Roman"/>
          <w:sz w:val="24"/>
          <w:szCs w:val="24"/>
        </w:rPr>
        <w:t xml:space="preserve"> rotating in </w:t>
      </w:r>
      <w:r w:rsidR="00055BA4" w:rsidRPr="00BC68C4">
        <w:rPr>
          <w:rFonts w:ascii="Times New Roman" w:hAnsi="Times New Roman" w:cs="Times New Roman"/>
          <w:sz w:val="24"/>
          <w:szCs w:val="24"/>
        </w:rPr>
        <w:t xml:space="preserve">or out of directorships, but </w:t>
      </w:r>
      <w:r w:rsidRPr="00BC68C4">
        <w:rPr>
          <w:rFonts w:ascii="Times New Roman" w:hAnsi="Times New Roman" w:cs="Times New Roman"/>
          <w:sz w:val="24"/>
          <w:szCs w:val="24"/>
        </w:rPr>
        <w:t xml:space="preserve">we cannot </w:t>
      </w:r>
      <w:r w:rsidR="00C86660" w:rsidRPr="00BC68C4">
        <w:rPr>
          <w:rFonts w:ascii="Times New Roman" w:hAnsi="Times New Roman" w:cs="Times New Roman"/>
          <w:sz w:val="24"/>
          <w:szCs w:val="24"/>
        </w:rPr>
        <w:t xml:space="preserve">conclusively </w:t>
      </w:r>
      <w:r w:rsidRPr="00BC68C4">
        <w:rPr>
          <w:rFonts w:ascii="Times New Roman" w:hAnsi="Times New Roman" w:cs="Times New Roman"/>
          <w:sz w:val="24"/>
          <w:szCs w:val="24"/>
        </w:rPr>
        <w:t>rule this possibility out.</w:t>
      </w:r>
      <w:r w:rsidR="0062772A" w:rsidRPr="00BC68C4">
        <w:rPr>
          <w:rFonts w:ascii="Times New Roman" w:hAnsi="Times New Roman" w:cs="Times New Roman"/>
          <w:sz w:val="24"/>
          <w:szCs w:val="24"/>
        </w:rPr>
        <w:t xml:space="preserve"> </w:t>
      </w:r>
      <w:r w:rsidR="00601844" w:rsidRPr="00BC68C4">
        <w:rPr>
          <w:rFonts w:ascii="Times New Roman" w:hAnsi="Times New Roman" w:cs="Times New Roman"/>
          <w:sz w:val="24"/>
          <w:szCs w:val="24"/>
        </w:rPr>
        <w:t>However, i</w:t>
      </w:r>
      <w:r w:rsidR="0062772A" w:rsidRPr="00BC68C4">
        <w:rPr>
          <w:rFonts w:ascii="Times New Roman" w:hAnsi="Times New Roman" w:cs="Times New Roman"/>
          <w:sz w:val="24"/>
          <w:szCs w:val="24"/>
        </w:rPr>
        <w:t>t could</w:t>
      </w:r>
      <w:r w:rsidR="00A23EED" w:rsidRPr="00BC68C4">
        <w:rPr>
          <w:rFonts w:ascii="Times New Roman" w:hAnsi="Times New Roman" w:cs="Times New Roman"/>
          <w:sz w:val="24"/>
          <w:szCs w:val="24"/>
        </w:rPr>
        <w:t xml:space="preserve"> </w:t>
      </w:r>
      <w:r w:rsidR="0062772A" w:rsidRPr="00BC68C4">
        <w:rPr>
          <w:rFonts w:ascii="Times New Roman" w:hAnsi="Times New Roman" w:cs="Times New Roman"/>
          <w:sz w:val="24"/>
          <w:szCs w:val="24"/>
        </w:rPr>
        <w:t xml:space="preserve">be argued that </w:t>
      </w:r>
      <w:proofErr w:type="spellStart"/>
      <w:r w:rsidR="0062772A" w:rsidRPr="00BC68C4">
        <w:rPr>
          <w:rFonts w:ascii="Times New Roman" w:hAnsi="Times New Roman" w:cs="Times New Roman"/>
          <w:sz w:val="24"/>
          <w:szCs w:val="24"/>
        </w:rPr>
        <w:t>blockholders</w:t>
      </w:r>
      <w:proofErr w:type="spellEnd"/>
      <w:r w:rsidR="0062772A" w:rsidRPr="00BC68C4">
        <w:rPr>
          <w:rFonts w:ascii="Times New Roman" w:hAnsi="Times New Roman" w:cs="Times New Roman"/>
          <w:sz w:val="24"/>
          <w:szCs w:val="24"/>
        </w:rPr>
        <w:t xml:space="preserve"> </w:t>
      </w:r>
      <w:r w:rsidR="00C86660">
        <w:rPr>
          <w:rFonts w:ascii="Times New Roman" w:hAnsi="Times New Roman" w:cs="Times New Roman"/>
          <w:sz w:val="24"/>
          <w:szCs w:val="24"/>
        </w:rPr>
        <w:t xml:space="preserve">might </w:t>
      </w:r>
      <w:r w:rsidR="0062772A" w:rsidRPr="00BC68C4">
        <w:rPr>
          <w:rFonts w:ascii="Times New Roman" w:hAnsi="Times New Roman" w:cs="Times New Roman"/>
          <w:sz w:val="24"/>
          <w:szCs w:val="24"/>
        </w:rPr>
        <w:t>be more likely to take a seat on the board if profitability was low</w:t>
      </w:r>
      <w:r w:rsidR="00C86660">
        <w:rPr>
          <w:rFonts w:ascii="Times New Roman" w:hAnsi="Times New Roman" w:cs="Times New Roman"/>
          <w:sz w:val="24"/>
          <w:szCs w:val="24"/>
        </w:rPr>
        <w:t xml:space="preserve"> </w:t>
      </w:r>
      <w:r w:rsidR="00E36142">
        <w:rPr>
          <w:rFonts w:ascii="Times New Roman" w:hAnsi="Times New Roman" w:cs="Times New Roman"/>
          <w:sz w:val="24"/>
          <w:szCs w:val="24"/>
        </w:rPr>
        <w:t xml:space="preserve">and </w:t>
      </w:r>
      <w:r w:rsidR="00E36142" w:rsidRPr="00BC68C4">
        <w:rPr>
          <w:rFonts w:ascii="Times New Roman" w:hAnsi="Times New Roman" w:cs="Times New Roman"/>
          <w:sz w:val="24"/>
          <w:szCs w:val="24"/>
        </w:rPr>
        <w:t>the</w:t>
      </w:r>
      <w:r w:rsidR="0062772A" w:rsidRPr="00BC68C4">
        <w:rPr>
          <w:rFonts w:ascii="Times New Roman" w:hAnsi="Times New Roman" w:cs="Times New Roman"/>
          <w:sz w:val="24"/>
          <w:szCs w:val="24"/>
        </w:rPr>
        <w:t xml:space="preserve"> company was not performing well</w:t>
      </w:r>
      <w:r w:rsidR="00E36142">
        <w:rPr>
          <w:rFonts w:ascii="Times New Roman" w:hAnsi="Times New Roman" w:cs="Times New Roman"/>
          <w:sz w:val="24"/>
          <w:szCs w:val="24"/>
        </w:rPr>
        <w:t xml:space="preserve">, </w:t>
      </w:r>
      <w:r w:rsidR="00E36142" w:rsidRPr="00BC68C4">
        <w:rPr>
          <w:rFonts w:ascii="Times New Roman" w:hAnsi="Times New Roman" w:cs="Times New Roman"/>
          <w:sz w:val="24"/>
          <w:szCs w:val="24"/>
        </w:rPr>
        <w:t>in</w:t>
      </w:r>
      <w:r w:rsidR="0062772A" w:rsidRPr="00BC68C4">
        <w:rPr>
          <w:rFonts w:ascii="Times New Roman" w:hAnsi="Times New Roman" w:cs="Times New Roman"/>
          <w:sz w:val="24"/>
          <w:szCs w:val="24"/>
        </w:rPr>
        <w:t xml:space="preserve"> the hope of improving performance. </w:t>
      </w:r>
      <w:r w:rsidR="00C86660">
        <w:rPr>
          <w:rFonts w:ascii="Times New Roman" w:hAnsi="Times New Roman" w:cs="Times New Roman"/>
          <w:sz w:val="24"/>
          <w:szCs w:val="24"/>
        </w:rPr>
        <w:t xml:space="preserve"> A</w:t>
      </w:r>
      <w:r w:rsidR="0062772A" w:rsidRPr="00BC68C4">
        <w:rPr>
          <w:rFonts w:ascii="Times New Roman" w:hAnsi="Times New Roman" w:cs="Times New Roman"/>
          <w:sz w:val="24"/>
          <w:szCs w:val="24"/>
        </w:rPr>
        <w:t xml:space="preserve"> finding that active </w:t>
      </w:r>
      <w:proofErr w:type="spellStart"/>
      <w:r w:rsidR="0062772A" w:rsidRPr="00BC68C4">
        <w:rPr>
          <w:rFonts w:ascii="Times New Roman" w:hAnsi="Times New Roman" w:cs="Times New Roman"/>
          <w:sz w:val="24"/>
          <w:szCs w:val="24"/>
        </w:rPr>
        <w:t>blockholders</w:t>
      </w:r>
      <w:proofErr w:type="spellEnd"/>
      <w:r w:rsidR="0062772A" w:rsidRPr="00BC68C4">
        <w:rPr>
          <w:rFonts w:ascii="Times New Roman" w:hAnsi="Times New Roman" w:cs="Times New Roman"/>
          <w:sz w:val="24"/>
          <w:szCs w:val="24"/>
        </w:rPr>
        <w:t xml:space="preserve"> are associated with high profitability </w:t>
      </w:r>
      <w:r w:rsidR="00C86660">
        <w:rPr>
          <w:rFonts w:ascii="Times New Roman" w:hAnsi="Times New Roman" w:cs="Times New Roman"/>
          <w:sz w:val="24"/>
          <w:szCs w:val="24"/>
        </w:rPr>
        <w:t xml:space="preserve">runs counter </w:t>
      </w:r>
      <w:r w:rsidR="006F2748">
        <w:rPr>
          <w:rFonts w:ascii="Times New Roman" w:hAnsi="Times New Roman" w:cs="Times New Roman"/>
          <w:sz w:val="24"/>
          <w:szCs w:val="24"/>
        </w:rPr>
        <w:t>to what</w:t>
      </w:r>
      <w:r w:rsidR="0062772A" w:rsidRPr="00BC68C4">
        <w:rPr>
          <w:rFonts w:ascii="Times New Roman" w:hAnsi="Times New Roman" w:cs="Times New Roman"/>
          <w:sz w:val="24"/>
          <w:szCs w:val="24"/>
        </w:rPr>
        <w:t xml:space="preserve"> would be expected from results driven by endogeneity.</w:t>
      </w:r>
    </w:p>
    <w:p w14:paraId="6136ACD2" w14:textId="1A036517" w:rsidR="002D51B6" w:rsidRPr="00BC68C4" w:rsidRDefault="0056200C" w:rsidP="00055BA4">
      <w:pPr>
        <w:spacing w:line="480" w:lineRule="auto"/>
        <w:ind w:firstLine="720"/>
        <w:rPr>
          <w:rFonts w:ascii="Times New Roman" w:hAnsi="Times New Roman" w:cs="Times New Roman"/>
          <w:sz w:val="24"/>
          <w:szCs w:val="24"/>
        </w:rPr>
      </w:pPr>
      <w:r w:rsidRPr="00BC68C4">
        <w:rPr>
          <w:rFonts w:ascii="Times New Roman" w:hAnsi="Times New Roman" w:cs="Times New Roman"/>
          <w:sz w:val="24"/>
          <w:szCs w:val="24"/>
        </w:rPr>
        <w:t xml:space="preserve">As an additional </w:t>
      </w:r>
      <w:r w:rsidR="00B01D8C">
        <w:rPr>
          <w:rFonts w:ascii="Times New Roman" w:hAnsi="Times New Roman" w:cs="Times New Roman"/>
          <w:sz w:val="24"/>
          <w:szCs w:val="24"/>
        </w:rPr>
        <w:t xml:space="preserve">robustness </w:t>
      </w:r>
      <w:r w:rsidRPr="00BC68C4">
        <w:rPr>
          <w:rFonts w:ascii="Times New Roman" w:hAnsi="Times New Roman" w:cs="Times New Roman"/>
          <w:sz w:val="24"/>
          <w:szCs w:val="24"/>
        </w:rPr>
        <w:t>check</w:t>
      </w:r>
      <w:r w:rsidR="00F838AA">
        <w:rPr>
          <w:rFonts w:ascii="Times New Roman" w:hAnsi="Times New Roman" w:cs="Times New Roman"/>
          <w:sz w:val="24"/>
          <w:szCs w:val="24"/>
        </w:rPr>
        <w:t>,</w:t>
      </w:r>
      <w:r w:rsidR="002D51B6" w:rsidRPr="00BC68C4">
        <w:rPr>
          <w:rFonts w:ascii="Times New Roman" w:hAnsi="Times New Roman" w:cs="Times New Roman"/>
          <w:sz w:val="24"/>
          <w:szCs w:val="24"/>
        </w:rPr>
        <w:t xml:space="preserve"> </w:t>
      </w:r>
      <w:r w:rsidRPr="00BC68C4">
        <w:rPr>
          <w:rFonts w:ascii="Times New Roman" w:hAnsi="Times New Roman" w:cs="Times New Roman"/>
          <w:sz w:val="24"/>
          <w:szCs w:val="24"/>
        </w:rPr>
        <w:t xml:space="preserve">we use </w:t>
      </w:r>
      <w:r w:rsidR="00B01D8C">
        <w:rPr>
          <w:rFonts w:ascii="Times New Roman" w:hAnsi="Times New Roman" w:cs="Times New Roman"/>
          <w:sz w:val="24"/>
          <w:szCs w:val="24"/>
        </w:rPr>
        <w:t xml:space="preserve">a different </w:t>
      </w:r>
      <w:r w:rsidRPr="00BC68C4">
        <w:rPr>
          <w:rFonts w:ascii="Times New Roman" w:hAnsi="Times New Roman" w:cs="Times New Roman"/>
          <w:sz w:val="24"/>
          <w:szCs w:val="24"/>
        </w:rPr>
        <w:t xml:space="preserve">measure of performance which should be less prone to the </w:t>
      </w:r>
      <w:r w:rsidR="00C2105D" w:rsidRPr="00BC68C4">
        <w:rPr>
          <w:rFonts w:ascii="Times New Roman" w:hAnsi="Times New Roman" w:cs="Times New Roman"/>
          <w:sz w:val="24"/>
          <w:szCs w:val="24"/>
        </w:rPr>
        <w:t>reverse causality</w:t>
      </w:r>
      <w:r w:rsidRPr="00BC68C4">
        <w:rPr>
          <w:rFonts w:ascii="Times New Roman" w:hAnsi="Times New Roman" w:cs="Times New Roman"/>
          <w:sz w:val="24"/>
          <w:szCs w:val="24"/>
        </w:rPr>
        <w:t xml:space="preserve"> problem, namely </w:t>
      </w:r>
      <w:r w:rsidR="00B01D8C">
        <w:rPr>
          <w:rFonts w:ascii="Times New Roman" w:hAnsi="Times New Roman" w:cs="Times New Roman"/>
          <w:sz w:val="24"/>
          <w:szCs w:val="24"/>
        </w:rPr>
        <w:t xml:space="preserve">firm </w:t>
      </w:r>
      <w:r w:rsidR="006F2748">
        <w:rPr>
          <w:rFonts w:ascii="Times New Roman" w:hAnsi="Times New Roman" w:cs="Times New Roman"/>
          <w:sz w:val="24"/>
          <w:szCs w:val="24"/>
        </w:rPr>
        <w:t>outcome. It</w:t>
      </w:r>
      <w:r w:rsidRPr="00BC68C4">
        <w:rPr>
          <w:rFonts w:ascii="Times New Roman" w:hAnsi="Times New Roman" w:cs="Times New Roman"/>
          <w:sz w:val="24"/>
          <w:szCs w:val="24"/>
        </w:rPr>
        <w:t xml:space="preserve"> seems plausible that ownership structure could affect the final status of the company. However, it </w:t>
      </w:r>
      <w:r w:rsidR="00B01D8C">
        <w:rPr>
          <w:rFonts w:ascii="Times New Roman" w:hAnsi="Times New Roman" w:cs="Times New Roman"/>
          <w:sz w:val="24"/>
          <w:szCs w:val="24"/>
        </w:rPr>
        <w:t xml:space="preserve">is </w:t>
      </w:r>
      <w:r w:rsidRPr="00BC68C4">
        <w:rPr>
          <w:rFonts w:ascii="Times New Roman" w:hAnsi="Times New Roman" w:cs="Times New Roman"/>
          <w:sz w:val="24"/>
          <w:szCs w:val="24"/>
        </w:rPr>
        <w:t xml:space="preserve">unlikely that the future state of the </w:t>
      </w:r>
      <w:r w:rsidR="00BC6BF5" w:rsidRPr="00BC68C4">
        <w:rPr>
          <w:rFonts w:ascii="Times New Roman" w:hAnsi="Times New Roman" w:cs="Times New Roman"/>
          <w:sz w:val="24"/>
          <w:szCs w:val="24"/>
        </w:rPr>
        <w:t>company would</w:t>
      </w:r>
      <w:r w:rsidR="00055BA4" w:rsidRPr="00BC68C4">
        <w:rPr>
          <w:rFonts w:ascii="Times New Roman" w:hAnsi="Times New Roman" w:cs="Times New Roman"/>
          <w:sz w:val="24"/>
          <w:szCs w:val="24"/>
        </w:rPr>
        <w:t xml:space="preserve"> affect current ownership.</w:t>
      </w:r>
      <w:r w:rsidR="00B01D8C">
        <w:rPr>
          <w:rFonts w:ascii="Times New Roman" w:hAnsi="Times New Roman" w:cs="Times New Roman"/>
          <w:sz w:val="24"/>
          <w:szCs w:val="24"/>
        </w:rPr>
        <w:t xml:space="preserve"> Firm outcome</w:t>
      </w:r>
      <w:r w:rsidRPr="00BC68C4">
        <w:rPr>
          <w:rFonts w:ascii="Times New Roman" w:hAnsi="Times New Roman" w:cs="Times New Roman"/>
          <w:sz w:val="24"/>
          <w:szCs w:val="24"/>
        </w:rPr>
        <w:t xml:space="preserve"> differs from our other measures of performance, ROA and Tobin’s Q, in that conceptually</w:t>
      </w:r>
      <w:r w:rsidR="002D51B6" w:rsidRPr="00BC68C4">
        <w:rPr>
          <w:rFonts w:ascii="Times New Roman" w:hAnsi="Times New Roman" w:cs="Times New Roman"/>
          <w:sz w:val="24"/>
          <w:szCs w:val="24"/>
        </w:rPr>
        <w:t xml:space="preserve">, we are </w:t>
      </w:r>
      <w:r w:rsidR="00B01D8C">
        <w:rPr>
          <w:rFonts w:ascii="Times New Roman" w:hAnsi="Times New Roman" w:cs="Times New Roman"/>
          <w:sz w:val="24"/>
          <w:szCs w:val="24"/>
        </w:rPr>
        <w:t xml:space="preserve">measuring </w:t>
      </w:r>
      <w:r w:rsidR="002D51B6" w:rsidRPr="00BC68C4">
        <w:rPr>
          <w:rFonts w:ascii="Times New Roman" w:hAnsi="Times New Roman" w:cs="Times New Roman"/>
          <w:sz w:val="24"/>
          <w:szCs w:val="24"/>
        </w:rPr>
        <w:t>performance or success purely in terms of survival</w:t>
      </w:r>
      <w:r w:rsidR="002241BE" w:rsidRPr="00BC68C4">
        <w:rPr>
          <w:rFonts w:ascii="Times New Roman" w:hAnsi="Times New Roman" w:cs="Times New Roman"/>
          <w:sz w:val="24"/>
          <w:szCs w:val="24"/>
        </w:rPr>
        <w:t xml:space="preserve"> (</w:t>
      </w:r>
      <w:proofErr w:type="spellStart"/>
      <w:r w:rsidR="002241BE" w:rsidRPr="00BC68C4">
        <w:rPr>
          <w:rFonts w:ascii="Times New Roman" w:hAnsi="Times New Roman" w:cs="Times New Roman"/>
          <w:sz w:val="24"/>
          <w:szCs w:val="24"/>
        </w:rPr>
        <w:t>Alchian</w:t>
      </w:r>
      <w:proofErr w:type="spellEnd"/>
      <w:r w:rsidR="002241BE" w:rsidRPr="00BC68C4">
        <w:rPr>
          <w:rFonts w:ascii="Times New Roman" w:hAnsi="Times New Roman" w:cs="Times New Roman"/>
          <w:sz w:val="24"/>
          <w:szCs w:val="24"/>
        </w:rPr>
        <w:t>, 1950)</w:t>
      </w:r>
      <w:r w:rsidR="002D51B6" w:rsidRPr="00BC68C4">
        <w:rPr>
          <w:rFonts w:ascii="Times New Roman" w:hAnsi="Times New Roman" w:cs="Times New Roman"/>
          <w:sz w:val="24"/>
          <w:szCs w:val="24"/>
        </w:rPr>
        <w:t>.  We are posing the following two questions: (a) Was a specific type of ownership structure a survivable trait of firms over the long run? (b) Did a certain type of ownership structure make it more likely for a firm to fail for explicit performance reasons?</w:t>
      </w:r>
      <w:r w:rsidR="007936D2">
        <w:rPr>
          <w:rStyle w:val="FootnoteReference"/>
          <w:rFonts w:ascii="Times New Roman" w:hAnsi="Times New Roman" w:cs="Times New Roman"/>
          <w:sz w:val="24"/>
          <w:szCs w:val="24"/>
        </w:rPr>
        <w:footnoteReference w:id="14"/>
      </w:r>
      <w:r w:rsidR="002D51B6" w:rsidRPr="00BC68C4">
        <w:rPr>
          <w:rFonts w:ascii="Times New Roman" w:hAnsi="Times New Roman" w:cs="Times New Roman"/>
          <w:sz w:val="24"/>
          <w:szCs w:val="24"/>
        </w:rPr>
        <w:t xml:space="preserve">   </w:t>
      </w:r>
    </w:p>
    <w:p w14:paraId="4320102E" w14:textId="131BBC0C" w:rsidR="00B5578E" w:rsidRDefault="00027597" w:rsidP="00F83CDE">
      <w:pPr>
        <w:spacing w:line="480" w:lineRule="auto"/>
        <w:ind w:firstLine="720"/>
        <w:rPr>
          <w:rFonts w:ascii="Times New Roman" w:hAnsi="Times New Roman" w:cs="Times New Roman"/>
          <w:sz w:val="24"/>
          <w:szCs w:val="24"/>
        </w:rPr>
      </w:pPr>
      <w:r w:rsidRPr="00BC68C4">
        <w:rPr>
          <w:rFonts w:ascii="Times New Roman" w:hAnsi="Times New Roman" w:cs="Times New Roman"/>
          <w:sz w:val="24"/>
          <w:szCs w:val="24"/>
        </w:rPr>
        <w:t>Although reverse cau</w:t>
      </w:r>
      <w:r w:rsidR="00584CAF" w:rsidRPr="00BC68C4">
        <w:rPr>
          <w:rFonts w:ascii="Times New Roman" w:hAnsi="Times New Roman" w:cs="Times New Roman"/>
          <w:sz w:val="24"/>
          <w:szCs w:val="24"/>
        </w:rPr>
        <w:t>s</w:t>
      </w:r>
      <w:r w:rsidRPr="00BC68C4">
        <w:rPr>
          <w:rFonts w:ascii="Times New Roman" w:hAnsi="Times New Roman" w:cs="Times New Roman"/>
          <w:sz w:val="24"/>
          <w:szCs w:val="24"/>
        </w:rPr>
        <w:t xml:space="preserve">ality </w:t>
      </w:r>
      <w:r w:rsidR="00584CAF" w:rsidRPr="00BC68C4">
        <w:rPr>
          <w:rFonts w:ascii="Times New Roman" w:hAnsi="Times New Roman" w:cs="Times New Roman"/>
          <w:sz w:val="24"/>
          <w:szCs w:val="24"/>
        </w:rPr>
        <w:t>should</w:t>
      </w:r>
      <w:r w:rsidRPr="00BC68C4">
        <w:rPr>
          <w:rFonts w:ascii="Times New Roman" w:hAnsi="Times New Roman" w:cs="Times New Roman"/>
          <w:sz w:val="24"/>
          <w:szCs w:val="24"/>
        </w:rPr>
        <w:t xml:space="preserve"> not be </w:t>
      </w:r>
      <w:r w:rsidR="00287913" w:rsidRPr="00BC68C4">
        <w:rPr>
          <w:rFonts w:ascii="Times New Roman" w:hAnsi="Times New Roman" w:cs="Times New Roman"/>
          <w:sz w:val="24"/>
          <w:szCs w:val="24"/>
        </w:rPr>
        <w:t>a major issue in this analysis</w:t>
      </w:r>
      <w:r w:rsidRPr="00BC68C4">
        <w:rPr>
          <w:rFonts w:ascii="Times New Roman" w:hAnsi="Times New Roman" w:cs="Times New Roman"/>
          <w:sz w:val="24"/>
          <w:szCs w:val="24"/>
        </w:rPr>
        <w:t>, there may be unobserved factors that jointly cause performance and ownership structure.</w:t>
      </w:r>
      <w:r w:rsidR="00584CAF" w:rsidRPr="00BC68C4">
        <w:rPr>
          <w:rFonts w:ascii="Times New Roman" w:hAnsi="Times New Roman" w:cs="Times New Roman"/>
          <w:sz w:val="24"/>
          <w:szCs w:val="24"/>
        </w:rPr>
        <w:t xml:space="preserve"> There may also be issues in terms of whether certain conditions led to different ownership configurations. For example, </w:t>
      </w:r>
      <w:r w:rsidR="00F838AA">
        <w:rPr>
          <w:rFonts w:ascii="Times New Roman" w:hAnsi="Times New Roman" w:cs="Times New Roman"/>
          <w:sz w:val="24"/>
          <w:szCs w:val="24"/>
        </w:rPr>
        <w:t xml:space="preserve">a </w:t>
      </w:r>
      <w:r w:rsidR="00584CAF" w:rsidRPr="00BC68C4">
        <w:rPr>
          <w:rFonts w:ascii="Times New Roman" w:hAnsi="Times New Roman" w:cs="Times New Roman"/>
          <w:sz w:val="24"/>
          <w:szCs w:val="24"/>
        </w:rPr>
        <w:t xml:space="preserve">firm </w:t>
      </w:r>
      <w:r w:rsidR="000200FD">
        <w:rPr>
          <w:rFonts w:ascii="Times New Roman" w:hAnsi="Times New Roman" w:cs="Times New Roman"/>
          <w:sz w:val="24"/>
          <w:szCs w:val="24"/>
        </w:rPr>
        <w:t>founder who</w:t>
      </w:r>
      <w:r w:rsidR="00584CAF" w:rsidRPr="00BC68C4">
        <w:rPr>
          <w:rFonts w:ascii="Times New Roman" w:hAnsi="Times New Roman" w:cs="Times New Roman"/>
          <w:sz w:val="24"/>
          <w:szCs w:val="24"/>
        </w:rPr>
        <w:t xml:space="preserve"> was likely to obtain high rents, and therefore high ROA, may keep a large block of shares to extract as much value as possible.</w:t>
      </w:r>
      <w:r w:rsidR="00055BA4" w:rsidRPr="00BC68C4">
        <w:rPr>
          <w:rFonts w:ascii="Times New Roman" w:hAnsi="Times New Roman" w:cs="Times New Roman"/>
          <w:sz w:val="24"/>
          <w:szCs w:val="24"/>
        </w:rPr>
        <w:t xml:space="preserve"> T</w:t>
      </w:r>
      <w:r w:rsidR="00584CAF" w:rsidRPr="00BC68C4">
        <w:rPr>
          <w:rFonts w:ascii="Times New Roman" w:hAnsi="Times New Roman" w:cs="Times New Roman"/>
          <w:sz w:val="24"/>
          <w:szCs w:val="24"/>
        </w:rPr>
        <w:t>he founder of a firm w</w:t>
      </w:r>
      <w:r w:rsidR="000200FD">
        <w:rPr>
          <w:rFonts w:ascii="Times New Roman" w:hAnsi="Times New Roman" w:cs="Times New Roman"/>
          <w:sz w:val="24"/>
          <w:szCs w:val="24"/>
        </w:rPr>
        <w:t>ith</w:t>
      </w:r>
      <w:r w:rsidR="00584CAF" w:rsidRPr="00BC68C4">
        <w:rPr>
          <w:rFonts w:ascii="Times New Roman" w:hAnsi="Times New Roman" w:cs="Times New Roman"/>
          <w:sz w:val="24"/>
          <w:szCs w:val="24"/>
        </w:rPr>
        <w:t xml:space="preserve"> high capital expenditures, and </w:t>
      </w:r>
      <w:r w:rsidR="00F838AA">
        <w:rPr>
          <w:rFonts w:ascii="Times New Roman" w:hAnsi="Times New Roman" w:cs="Times New Roman"/>
          <w:sz w:val="24"/>
          <w:szCs w:val="24"/>
        </w:rPr>
        <w:t xml:space="preserve">who </w:t>
      </w:r>
      <w:r w:rsidR="00584CAF" w:rsidRPr="00BC68C4">
        <w:rPr>
          <w:rFonts w:ascii="Times New Roman" w:hAnsi="Times New Roman" w:cs="Times New Roman"/>
          <w:sz w:val="24"/>
          <w:szCs w:val="24"/>
        </w:rPr>
        <w:t xml:space="preserve">needed to repeatedly raise more capital from minority shareholders, would be more likely to initially configure the firm with independent directors. </w:t>
      </w:r>
      <w:r w:rsidR="00055BA4" w:rsidRPr="00BC68C4">
        <w:rPr>
          <w:rFonts w:ascii="Times New Roman" w:hAnsi="Times New Roman" w:cs="Times New Roman"/>
          <w:sz w:val="24"/>
          <w:szCs w:val="24"/>
        </w:rPr>
        <w:t>For firms which were expected to be more successful, there may have been stronger demand for shares from subscribers, so that ownership became less concentrated. These issues mean that,</w:t>
      </w:r>
      <w:r w:rsidR="00476ABD" w:rsidRPr="00BC68C4">
        <w:rPr>
          <w:rFonts w:ascii="Times New Roman" w:hAnsi="Times New Roman" w:cs="Times New Roman"/>
          <w:sz w:val="24"/>
          <w:szCs w:val="24"/>
        </w:rPr>
        <w:t xml:space="preserve"> </w:t>
      </w:r>
      <w:r w:rsidR="00055BA4" w:rsidRPr="00BC68C4">
        <w:rPr>
          <w:rFonts w:ascii="Times New Roman" w:hAnsi="Times New Roman" w:cs="Times New Roman"/>
          <w:sz w:val="24"/>
          <w:szCs w:val="24"/>
        </w:rPr>
        <w:t xml:space="preserve">ultimately, </w:t>
      </w:r>
      <w:r w:rsidR="00476ABD" w:rsidRPr="00BC68C4">
        <w:rPr>
          <w:rFonts w:ascii="Times New Roman" w:hAnsi="Times New Roman" w:cs="Times New Roman"/>
          <w:sz w:val="24"/>
          <w:szCs w:val="24"/>
        </w:rPr>
        <w:t>the most that we can say about any relationships we find is that they are correlations</w:t>
      </w:r>
      <w:r w:rsidR="00055BA4" w:rsidRPr="00BC68C4">
        <w:rPr>
          <w:rFonts w:ascii="Times New Roman" w:hAnsi="Times New Roman" w:cs="Times New Roman"/>
          <w:sz w:val="24"/>
          <w:szCs w:val="24"/>
        </w:rPr>
        <w:t>, and do not necessarily imply causality</w:t>
      </w:r>
      <w:r w:rsidR="00476ABD" w:rsidRPr="00BC68C4">
        <w:rPr>
          <w:rFonts w:ascii="Times New Roman" w:hAnsi="Times New Roman" w:cs="Times New Roman"/>
          <w:sz w:val="24"/>
          <w:szCs w:val="24"/>
        </w:rPr>
        <w:t>.</w:t>
      </w:r>
      <w:r w:rsidRPr="00BC68C4">
        <w:rPr>
          <w:rFonts w:ascii="Times New Roman" w:hAnsi="Times New Roman" w:cs="Times New Roman"/>
          <w:sz w:val="24"/>
          <w:szCs w:val="24"/>
        </w:rPr>
        <w:t xml:space="preserve">   </w:t>
      </w:r>
    </w:p>
    <w:p w14:paraId="1F32360D" w14:textId="77777777" w:rsidR="00F83CDE" w:rsidRPr="00BC68C4" w:rsidRDefault="00F83CDE" w:rsidP="00F83CDE">
      <w:pPr>
        <w:spacing w:line="480" w:lineRule="auto"/>
        <w:ind w:firstLine="720"/>
        <w:rPr>
          <w:rFonts w:ascii="Times New Roman" w:hAnsi="Times New Roman" w:cs="Times New Roman"/>
          <w:sz w:val="24"/>
          <w:szCs w:val="24"/>
        </w:rPr>
      </w:pPr>
    </w:p>
    <w:p w14:paraId="7A4B6BA2" w14:textId="321A149F" w:rsidR="00863849" w:rsidRDefault="00BE1C32" w:rsidP="00106E15">
      <w:pPr>
        <w:spacing w:after="200" w:line="276" w:lineRule="auto"/>
        <w:jc w:val="center"/>
        <w:rPr>
          <w:rFonts w:ascii="Times New Roman" w:hAnsi="Times New Roman" w:cs="Times New Roman"/>
          <w:sz w:val="24"/>
          <w:szCs w:val="24"/>
        </w:rPr>
      </w:pPr>
      <w:r w:rsidRPr="00BE1C32">
        <w:rPr>
          <w:rFonts w:ascii="Times New Roman" w:hAnsi="Times New Roman" w:cs="Times New Roman"/>
          <w:sz w:val="24"/>
          <w:szCs w:val="24"/>
        </w:rPr>
        <w:t>DATA</w:t>
      </w:r>
    </w:p>
    <w:p w14:paraId="2D95DEA5" w14:textId="77777777" w:rsidR="00106E15" w:rsidRPr="00106E15" w:rsidRDefault="00106E15" w:rsidP="00106E15">
      <w:pPr>
        <w:spacing w:after="200" w:line="276" w:lineRule="auto"/>
        <w:jc w:val="center"/>
        <w:rPr>
          <w:rFonts w:ascii="Times New Roman" w:hAnsi="Times New Roman" w:cs="Times New Roman"/>
          <w:sz w:val="24"/>
          <w:szCs w:val="24"/>
        </w:rPr>
      </w:pPr>
    </w:p>
    <w:p w14:paraId="5F56122D" w14:textId="03D2A465" w:rsidR="00B052BD" w:rsidRPr="00BC68C4" w:rsidRDefault="00CD65DC">
      <w:pPr>
        <w:spacing w:after="200" w:line="276" w:lineRule="auto"/>
        <w:jc w:val="left"/>
        <w:rPr>
          <w:rFonts w:ascii="Times New Roman" w:hAnsi="Times New Roman" w:cs="Times New Roman"/>
          <w:i/>
          <w:sz w:val="24"/>
          <w:szCs w:val="24"/>
        </w:rPr>
      </w:pPr>
      <w:r w:rsidRPr="00BC68C4">
        <w:rPr>
          <w:rFonts w:ascii="Times New Roman" w:hAnsi="Times New Roman" w:cs="Times New Roman"/>
          <w:i/>
          <w:sz w:val="24"/>
          <w:szCs w:val="24"/>
        </w:rPr>
        <w:t>Sample</w:t>
      </w:r>
      <w:r w:rsidR="001F50DA" w:rsidRPr="00BC68C4">
        <w:rPr>
          <w:rFonts w:ascii="Times New Roman" w:hAnsi="Times New Roman" w:cs="Times New Roman"/>
          <w:i/>
          <w:sz w:val="24"/>
          <w:szCs w:val="24"/>
        </w:rPr>
        <w:t xml:space="preserve"> </w:t>
      </w:r>
    </w:p>
    <w:p w14:paraId="04043167" w14:textId="56421260" w:rsidR="00A37FC4" w:rsidRPr="00BC68C4" w:rsidRDefault="00A37FC4" w:rsidP="00863849">
      <w:pPr>
        <w:spacing w:line="480" w:lineRule="auto"/>
        <w:ind w:firstLine="720"/>
        <w:rPr>
          <w:rFonts w:ascii="Times New Roman" w:hAnsi="Times New Roman" w:cs="Times New Roman"/>
          <w:sz w:val="24"/>
          <w:szCs w:val="24"/>
        </w:rPr>
      </w:pPr>
      <w:r w:rsidRPr="00BC68C4">
        <w:rPr>
          <w:rFonts w:ascii="Times New Roman" w:hAnsi="Times New Roman" w:cs="Times New Roman"/>
          <w:sz w:val="24"/>
          <w:szCs w:val="24"/>
        </w:rPr>
        <w:t xml:space="preserve">Our main sources of ownership data are the Companies Registration Office files held at the National Archives </w:t>
      </w:r>
      <w:r w:rsidR="008664C0" w:rsidRPr="00BC68C4">
        <w:rPr>
          <w:rFonts w:ascii="Times New Roman" w:hAnsi="Times New Roman" w:cs="Times New Roman"/>
          <w:sz w:val="24"/>
          <w:szCs w:val="24"/>
        </w:rPr>
        <w:t>in London</w:t>
      </w:r>
      <w:r w:rsidRPr="00BC68C4">
        <w:rPr>
          <w:rFonts w:ascii="Times New Roman" w:hAnsi="Times New Roman" w:cs="Times New Roman"/>
          <w:sz w:val="24"/>
          <w:szCs w:val="24"/>
        </w:rPr>
        <w:t xml:space="preserve"> </w:t>
      </w:r>
      <w:r w:rsidR="002D7E47" w:rsidRPr="001F6E50">
        <w:rPr>
          <w:rFonts w:ascii="Times New Roman" w:hAnsi="Times New Roman" w:cs="Times New Roman"/>
          <w:sz w:val="24"/>
          <w:szCs w:val="24"/>
        </w:rPr>
        <w:t xml:space="preserve">(BT31 series) </w:t>
      </w:r>
      <w:r w:rsidRPr="00BC68C4">
        <w:rPr>
          <w:rFonts w:ascii="Times New Roman" w:hAnsi="Times New Roman" w:cs="Times New Roman"/>
          <w:sz w:val="24"/>
          <w:szCs w:val="24"/>
        </w:rPr>
        <w:t>and the National Archives of Scotland</w:t>
      </w:r>
      <w:r w:rsidR="002D7E47">
        <w:rPr>
          <w:rFonts w:ascii="Times New Roman" w:hAnsi="Times New Roman" w:cs="Times New Roman"/>
          <w:sz w:val="24"/>
          <w:szCs w:val="24"/>
        </w:rPr>
        <w:t xml:space="preserve"> </w:t>
      </w:r>
      <w:r w:rsidR="002D7E47" w:rsidRPr="001F6E50">
        <w:rPr>
          <w:rFonts w:ascii="Times New Roman" w:hAnsi="Times New Roman" w:cs="Times New Roman"/>
          <w:sz w:val="24"/>
          <w:szCs w:val="24"/>
        </w:rPr>
        <w:t>(BT2 series)</w:t>
      </w:r>
      <w:r w:rsidRPr="00BC68C4">
        <w:rPr>
          <w:rFonts w:ascii="Times New Roman" w:hAnsi="Times New Roman" w:cs="Times New Roman"/>
          <w:sz w:val="24"/>
          <w:szCs w:val="24"/>
        </w:rPr>
        <w:t xml:space="preserve">. </w:t>
      </w:r>
      <w:r w:rsidR="00042BE0" w:rsidRPr="00BC68C4">
        <w:rPr>
          <w:rFonts w:ascii="Times New Roman" w:hAnsi="Times New Roman" w:cs="Times New Roman"/>
          <w:sz w:val="24"/>
          <w:szCs w:val="24"/>
        </w:rPr>
        <w:t>C</w:t>
      </w:r>
      <w:r w:rsidRPr="00BC68C4">
        <w:rPr>
          <w:rFonts w:ascii="Times New Roman" w:hAnsi="Times New Roman" w:cs="Times New Roman"/>
          <w:sz w:val="24"/>
          <w:szCs w:val="24"/>
        </w:rPr>
        <w:t>ompanies registered under the 1856 and</w:t>
      </w:r>
      <w:r w:rsidR="008D2FBA" w:rsidRPr="00BC68C4">
        <w:rPr>
          <w:rFonts w:ascii="Times New Roman" w:hAnsi="Times New Roman" w:cs="Times New Roman"/>
          <w:sz w:val="24"/>
          <w:szCs w:val="24"/>
        </w:rPr>
        <w:t xml:space="preserve"> the 1862 Companies Act</w:t>
      </w:r>
      <w:r w:rsidRPr="00BC68C4">
        <w:rPr>
          <w:rFonts w:ascii="Times New Roman" w:hAnsi="Times New Roman" w:cs="Times New Roman"/>
          <w:sz w:val="24"/>
          <w:szCs w:val="24"/>
        </w:rPr>
        <w:t xml:space="preserve"> were required to return a list of their </w:t>
      </w:r>
      <w:r w:rsidR="003C6D53" w:rsidRPr="00BC68C4">
        <w:rPr>
          <w:rFonts w:ascii="Times New Roman" w:hAnsi="Times New Roman" w:cs="Times New Roman"/>
          <w:sz w:val="24"/>
          <w:szCs w:val="24"/>
        </w:rPr>
        <w:t>ordinary and</w:t>
      </w:r>
      <w:r w:rsidR="00CB6066" w:rsidRPr="00BC68C4">
        <w:rPr>
          <w:rFonts w:ascii="Times New Roman" w:hAnsi="Times New Roman" w:cs="Times New Roman"/>
          <w:sz w:val="24"/>
          <w:szCs w:val="24"/>
        </w:rPr>
        <w:t xml:space="preserve"> </w:t>
      </w:r>
      <w:r w:rsidR="003C6D53" w:rsidRPr="00BC68C4">
        <w:rPr>
          <w:rFonts w:ascii="Times New Roman" w:hAnsi="Times New Roman" w:cs="Times New Roman"/>
          <w:sz w:val="24"/>
          <w:szCs w:val="24"/>
        </w:rPr>
        <w:t xml:space="preserve">preference </w:t>
      </w:r>
      <w:r w:rsidRPr="00BC68C4">
        <w:rPr>
          <w:rFonts w:ascii="Times New Roman" w:hAnsi="Times New Roman" w:cs="Times New Roman"/>
          <w:sz w:val="24"/>
          <w:szCs w:val="24"/>
        </w:rPr>
        <w:t>shareholders to the Registrar of Companies</w:t>
      </w:r>
      <w:r w:rsidR="00AE7691">
        <w:rPr>
          <w:rFonts w:ascii="Times New Roman" w:hAnsi="Times New Roman" w:cs="Times New Roman"/>
          <w:sz w:val="24"/>
          <w:szCs w:val="24"/>
        </w:rPr>
        <w:t xml:space="preserve"> annually</w:t>
      </w:r>
      <w:r w:rsidRPr="00BC68C4">
        <w:rPr>
          <w:rFonts w:ascii="Times New Roman" w:hAnsi="Times New Roman" w:cs="Times New Roman"/>
          <w:sz w:val="24"/>
          <w:szCs w:val="24"/>
        </w:rPr>
        <w:t>. Up until 1970, whenever a company was dissolved</w:t>
      </w:r>
      <w:r w:rsidR="00042BE0" w:rsidRPr="00BC68C4">
        <w:rPr>
          <w:rFonts w:ascii="Times New Roman" w:hAnsi="Times New Roman" w:cs="Times New Roman"/>
          <w:sz w:val="24"/>
          <w:szCs w:val="24"/>
        </w:rPr>
        <w:t xml:space="preserve"> in the UK</w:t>
      </w:r>
      <w:r w:rsidRPr="00BC68C4">
        <w:rPr>
          <w:rFonts w:ascii="Times New Roman" w:hAnsi="Times New Roman" w:cs="Times New Roman"/>
          <w:sz w:val="24"/>
          <w:szCs w:val="24"/>
        </w:rPr>
        <w:t>, its ownership records were placed within the Companies Registration Office files.</w:t>
      </w:r>
      <w:r w:rsidR="001A1CC1">
        <w:rPr>
          <w:rStyle w:val="FootnoteReference"/>
          <w:rFonts w:ascii="Times New Roman" w:hAnsi="Times New Roman" w:cs="Times New Roman"/>
          <w:sz w:val="24"/>
          <w:szCs w:val="24"/>
        </w:rPr>
        <w:footnoteReference w:id="15"/>
      </w:r>
      <w:r w:rsidRPr="00BC68C4">
        <w:rPr>
          <w:rFonts w:ascii="Times New Roman" w:hAnsi="Times New Roman" w:cs="Times New Roman"/>
          <w:sz w:val="24"/>
          <w:szCs w:val="24"/>
        </w:rPr>
        <w:t xml:space="preserve">  </w:t>
      </w:r>
    </w:p>
    <w:p w14:paraId="0B23B964" w14:textId="0AC9BE3D" w:rsidR="00E40245" w:rsidRPr="00BC68C4" w:rsidRDefault="008D2FBA" w:rsidP="00E40245">
      <w:pPr>
        <w:spacing w:line="480" w:lineRule="auto"/>
        <w:ind w:firstLine="720"/>
        <w:rPr>
          <w:rFonts w:ascii="Times New Roman" w:hAnsi="Times New Roman" w:cs="Times New Roman"/>
          <w:sz w:val="24"/>
          <w:szCs w:val="24"/>
        </w:rPr>
      </w:pPr>
      <w:r w:rsidRPr="00BC68C4">
        <w:rPr>
          <w:rFonts w:ascii="Times New Roman" w:hAnsi="Times New Roman" w:cs="Times New Roman"/>
          <w:sz w:val="24"/>
          <w:szCs w:val="24"/>
        </w:rPr>
        <w:t>Because</w:t>
      </w:r>
      <w:r w:rsidR="0015050B" w:rsidRPr="00BC68C4">
        <w:rPr>
          <w:rFonts w:ascii="Times New Roman" w:hAnsi="Times New Roman" w:cs="Times New Roman"/>
          <w:sz w:val="24"/>
          <w:szCs w:val="24"/>
        </w:rPr>
        <w:t xml:space="preserve"> we are interested in the ownership of publicly-listed companies, we collected the names of all UK companies issu</w:t>
      </w:r>
      <w:r w:rsidR="00EA07BA">
        <w:rPr>
          <w:rFonts w:ascii="Times New Roman" w:hAnsi="Times New Roman" w:cs="Times New Roman"/>
          <w:sz w:val="24"/>
          <w:szCs w:val="24"/>
        </w:rPr>
        <w:t>ing</w:t>
      </w:r>
      <w:r w:rsidR="0015050B" w:rsidRPr="00BC68C4">
        <w:rPr>
          <w:rFonts w:ascii="Times New Roman" w:hAnsi="Times New Roman" w:cs="Times New Roman"/>
          <w:sz w:val="24"/>
          <w:szCs w:val="24"/>
        </w:rPr>
        <w:t xml:space="preserve"> common stock between 1862 and 1900 from the </w:t>
      </w:r>
      <w:r w:rsidR="0015050B" w:rsidRPr="00BC68C4">
        <w:rPr>
          <w:rFonts w:ascii="Times New Roman" w:hAnsi="Times New Roman" w:cs="Times New Roman"/>
          <w:i/>
          <w:sz w:val="24"/>
          <w:szCs w:val="24"/>
        </w:rPr>
        <w:t>Course of the Exchange</w:t>
      </w:r>
      <w:r w:rsidR="00CB6066" w:rsidRPr="00BC68C4">
        <w:rPr>
          <w:rFonts w:ascii="Times New Roman" w:hAnsi="Times New Roman" w:cs="Times New Roman"/>
          <w:sz w:val="24"/>
          <w:szCs w:val="24"/>
        </w:rPr>
        <w:t xml:space="preserve"> (</w:t>
      </w:r>
      <w:r w:rsidR="00CB6066" w:rsidRPr="00BC68C4">
        <w:rPr>
          <w:rFonts w:ascii="Times New Roman" w:hAnsi="Times New Roman" w:cs="Times New Roman"/>
          <w:i/>
          <w:sz w:val="24"/>
          <w:szCs w:val="24"/>
        </w:rPr>
        <w:t>COE</w:t>
      </w:r>
      <w:r w:rsidR="00CB6066" w:rsidRPr="00BC68C4">
        <w:rPr>
          <w:rFonts w:ascii="Times New Roman" w:hAnsi="Times New Roman" w:cs="Times New Roman"/>
          <w:sz w:val="24"/>
          <w:szCs w:val="24"/>
        </w:rPr>
        <w:t>)</w:t>
      </w:r>
      <w:r w:rsidR="0015050B" w:rsidRPr="00BC68C4">
        <w:rPr>
          <w:rFonts w:ascii="Times New Roman" w:hAnsi="Times New Roman" w:cs="Times New Roman"/>
          <w:sz w:val="24"/>
          <w:szCs w:val="24"/>
        </w:rPr>
        <w:t xml:space="preserve"> and the </w:t>
      </w:r>
      <w:r w:rsidR="0015050B" w:rsidRPr="00BC68C4">
        <w:rPr>
          <w:rFonts w:ascii="Times New Roman" w:hAnsi="Times New Roman" w:cs="Times New Roman"/>
          <w:i/>
          <w:sz w:val="24"/>
          <w:szCs w:val="24"/>
        </w:rPr>
        <w:t>Investor’s Monthly Manual</w:t>
      </w:r>
      <w:r w:rsidR="00CB6066" w:rsidRPr="00BC68C4">
        <w:rPr>
          <w:rFonts w:ascii="Times New Roman" w:hAnsi="Times New Roman" w:cs="Times New Roman"/>
          <w:i/>
          <w:sz w:val="24"/>
          <w:szCs w:val="24"/>
        </w:rPr>
        <w:t xml:space="preserve"> </w:t>
      </w:r>
      <w:r w:rsidR="00CB6066" w:rsidRPr="00BC68C4">
        <w:rPr>
          <w:rFonts w:ascii="Times New Roman" w:hAnsi="Times New Roman" w:cs="Times New Roman"/>
          <w:sz w:val="24"/>
          <w:szCs w:val="24"/>
        </w:rPr>
        <w:t>(</w:t>
      </w:r>
      <w:r w:rsidR="00CB6066" w:rsidRPr="00BC68C4">
        <w:rPr>
          <w:rFonts w:ascii="Times New Roman" w:hAnsi="Times New Roman" w:cs="Times New Roman"/>
          <w:i/>
          <w:sz w:val="24"/>
          <w:szCs w:val="24"/>
        </w:rPr>
        <w:t>IMM</w:t>
      </w:r>
      <w:r w:rsidR="00CB6066" w:rsidRPr="00BC68C4">
        <w:rPr>
          <w:rFonts w:ascii="Times New Roman" w:hAnsi="Times New Roman" w:cs="Times New Roman"/>
          <w:sz w:val="24"/>
          <w:szCs w:val="24"/>
        </w:rPr>
        <w:t>)</w:t>
      </w:r>
      <w:r w:rsidR="00E40245" w:rsidRPr="00BC68C4">
        <w:rPr>
          <w:rFonts w:ascii="Times New Roman" w:hAnsi="Times New Roman" w:cs="Times New Roman"/>
          <w:sz w:val="24"/>
          <w:szCs w:val="24"/>
        </w:rPr>
        <w:t xml:space="preserve">. </w:t>
      </w:r>
      <w:r w:rsidR="00EA07BA">
        <w:rPr>
          <w:rFonts w:ascii="Times New Roman" w:hAnsi="Times New Roman" w:cs="Times New Roman"/>
          <w:sz w:val="24"/>
          <w:szCs w:val="24"/>
        </w:rPr>
        <w:t>Unfo</w:t>
      </w:r>
      <w:r w:rsidR="00AE7691">
        <w:rPr>
          <w:rFonts w:ascii="Times New Roman" w:hAnsi="Times New Roman" w:cs="Times New Roman"/>
          <w:sz w:val="24"/>
          <w:szCs w:val="24"/>
        </w:rPr>
        <w:t>r</w:t>
      </w:r>
      <w:r w:rsidR="00EA07BA">
        <w:rPr>
          <w:rFonts w:ascii="Times New Roman" w:hAnsi="Times New Roman" w:cs="Times New Roman"/>
          <w:sz w:val="24"/>
          <w:szCs w:val="24"/>
        </w:rPr>
        <w:t>t</w:t>
      </w:r>
      <w:r w:rsidR="00AE7691">
        <w:rPr>
          <w:rFonts w:ascii="Times New Roman" w:hAnsi="Times New Roman" w:cs="Times New Roman"/>
          <w:sz w:val="24"/>
          <w:szCs w:val="24"/>
        </w:rPr>
        <w:t xml:space="preserve">unately </w:t>
      </w:r>
      <w:r w:rsidR="0015050B" w:rsidRPr="00BC68C4">
        <w:rPr>
          <w:rFonts w:ascii="Times New Roman" w:hAnsi="Times New Roman" w:cs="Times New Roman"/>
          <w:sz w:val="24"/>
          <w:szCs w:val="24"/>
        </w:rPr>
        <w:t>ownership returns were extensively weeded by archivists so that</w:t>
      </w:r>
      <w:r w:rsidR="00AE7691">
        <w:rPr>
          <w:rFonts w:ascii="Times New Roman" w:hAnsi="Times New Roman" w:cs="Times New Roman"/>
          <w:sz w:val="24"/>
          <w:szCs w:val="24"/>
        </w:rPr>
        <w:t>,</w:t>
      </w:r>
      <w:r w:rsidR="0015050B" w:rsidRPr="00BC68C4">
        <w:rPr>
          <w:rFonts w:ascii="Times New Roman" w:hAnsi="Times New Roman" w:cs="Times New Roman"/>
          <w:sz w:val="24"/>
          <w:szCs w:val="24"/>
        </w:rPr>
        <w:t xml:space="preserve"> </w:t>
      </w:r>
      <w:r w:rsidR="00AE7691" w:rsidRPr="00BC68C4">
        <w:rPr>
          <w:rFonts w:ascii="Times New Roman" w:hAnsi="Times New Roman" w:cs="Times New Roman"/>
          <w:sz w:val="24"/>
          <w:szCs w:val="24"/>
        </w:rPr>
        <w:t>for any one firm</w:t>
      </w:r>
      <w:r w:rsidR="00AE7691">
        <w:rPr>
          <w:rFonts w:ascii="Times New Roman" w:hAnsi="Times New Roman" w:cs="Times New Roman"/>
          <w:sz w:val="24"/>
          <w:szCs w:val="24"/>
        </w:rPr>
        <w:t>,</w:t>
      </w:r>
      <w:r w:rsidR="00AE7691" w:rsidRPr="00BC68C4">
        <w:rPr>
          <w:rFonts w:ascii="Times New Roman" w:hAnsi="Times New Roman" w:cs="Times New Roman"/>
          <w:sz w:val="24"/>
          <w:szCs w:val="24"/>
        </w:rPr>
        <w:t xml:space="preserve"> </w:t>
      </w:r>
      <w:r w:rsidR="0015050B" w:rsidRPr="00BC68C4">
        <w:rPr>
          <w:rFonts w:ascii="Times New Roman" w:hAnsi="Times New Roman" w:cs="Times New Roman"/>
          <w:sz w:val="24"/>
          <w:szCs w:val="24"/>
        </w:rPr>
        <w:t>only a small sample of years was preserved</w:t>
      </w:r>
      <w:r w:rsidR="00AE7691">
        <w:rPr>
          <w:rFonts w:ascii="Times New Roman" w:hAnsi="Times New Roman" w:cs="Times New Roman"/>
          <w:sz w:val="24"/>
          <w:szCs w:val="24"/>
        </w:rPr>
        <w:t>.</w:t>
      </w:r>
      <w:r w:rsidR="0015050B" w:rsidRPr="00BC68C4">
        <w:rPr>
          <w:rFonts w:ascii="Times New Roman" w:hAnsi="Times New Roman" w:cs="Times New Roman"/>
          <w:sz w:val="24"/>
          <w:szCs w:val="24"/>
        </w:rPr>
        <w:t xml:space="preserve"> </w:t>
      </w:r>
      <w:r w:rsidR="00AE7691">
        <w:rPr>
          <w:rFonts w:ascii="Times New Roman" w:hAnsi="Times New Roman" w:cs="Times New Roman"/>
          <w:sz w:val="24"/>
          <w:szCs w:val="24"/>
        </w:rPr>
        <w:t>W</w:t>
      </w:r>
      <w:r w:rsidR="0015050B" w:rsidRPr="00BC68C4">
        <w:rPr>
          <w:rFonts w:ascii="Times New Roman" w:hAnsi="Times New Roman" w:cs="Times New Roman"/>
          <w:sz w:val="24"/>
          <w:szCs w:val="24"/>
        </w:rPr>
        <w:t xml:space="preserve">e collected ownership returns for 1865, 1870, 1880-1884, 1890 and 1900 or one or two years either side of these sample years if the return existed.  If a company had ownership returns which fell outside the selected sample years, we collected a return for each decade between 1860 and 1900, where available.  </w:t>
      </w:r>
    </w:p>
    <w:p w14:paraId="300AFFB3" w14:textId="5C3565F8" w:rsidR="00A37FC4" w:rsidRPr="00BC68C4" w:rsidRDefault="00B31EE5" w:rsidP="0015050B">
      <w:pPr>
        <w:spacing w:line="480" w:lineRule="auto"/>
        <w:ind w:firstLine="720"/>
        <w:rPr>
          <w:rFonts w:ascii="Times New Roman" w:hAnsi="Times New Roman" w:cs="Times New Roman"/>
          <w:sz w:val="24"/>
          <w:szCs w:val="24"/>
        </w:rPr>
      </w:pPr>
      <w:r w:rsidRPr="00BC68C4">
        <w:rPr>
          <w:rFonts w:ascii="Times New Roman" w:hAnsi="Times New Roman" w:cs="Times New Roman"/>
          <w:sz w:val="24"/>
          <w:szCs w:val="24"/>
        </w:rPr>
        <w:t>The ownership returns report the cash-flow rights of shareholders, but not the voting rights of shareholders or the names of directors.  We</w:t>
      </w:r>
      <w:r w:rsidR="008664C0" w:rsidRPr="00BC68C4">
        <w:rPr>
          <w:rFonts w:ascii="Times New Roman" w:hAnsi="Times New Roman" w:cs="Times New Roman"/>
          <w:sz w:val="24"/>
          <w:szCs w:val="24"/>
        </w:rPr>
        <w:t xml:space="preserve"> ther</w:t>
      </w:r>
      <w:r w:rsidR="0086038D" w:rsidRPr="00BC68C4">
        <w:rPr>
          <w:rFonts w:ascii="Times New Roman" w:hAnsi="Times New Roman" w:cs="Times New Roman"/>
          <w:sz w:val="24"/>
          <w:szCs w:val="24"/>
        </w:rPr>
        <w:t>e</w:t>
      </w:r>
      <w:r w:rsidR="008664C0" w:rsidRPr="00BC68C4">
        <w:rPr>
          <w:rFonts w:ascii="Times New Roman" w:hAnsi="Times New Roman" w:cs="Times New Roman"/>
          <w:sz w:val="24"/>
          <w:szCs w:val="24"/>
        </w:rPr>
        <w:t>fore</w:t>
      </w:r>
      <w:r w:rsidRPr="00BC68C4">
        <w:rPr>
          <w:rFonts w:ascii="Times New Roman" w:hAnsi="Times New Roman" w:cs="Times New Roman"/>
          <w:sz w:val="24"/>
          <w:szCs w:val="24"/>
        </w:rPr>
        <w:t xml:space="preserve"> </w:t>
      </w:r>
      <w:r w:rsidR="00C11DEA" w:rsidRPr="00BC68C4">
        <w:rPr>
          <w:rFonts w:ascii="Times New Roman" w:hAnsi="Times New Roman" w:cs="Times New Roman"/>
          <w:sz w:val="24"/>
          <w:szCs w:val="24"/>
        </w:rPr>
        <w:t xml:space="preserve">hand </w:t>
      </w:r>
      <w:r w:rsidRPr="00BC68C4">
        <w:rPr>
          <w:rFonts w:ascii="Times New Roman" w:hAnsi="Times New Roman" w:cs="Times New Roman"/>
          <w:sz w:val="24"/>
          <w:szCs w:val="24"/>
        </w:rPr>
        <w:t xml:space="preserve">collected data on each company’s voting </w:t>
      </w:r>
      <w:r w:rsidR="00AE7691">
        <w:rPr>
          <w:rFonts w:ascii="Times New Roman" w:hAnsi="Times New Roman" w:cs="Times New Roman"/>
          <w:sz w:val="24"/>
          <w:szCs w:val="24"/>
        </w:rPr>
        <w:t xml:space="preserve">rights </w:t>
      </w:r>
      <w:r w:rsidRPr="00BC68C4">
        <w:rPr>
          <w:rFonts w:ascii="Times New Roman" w:hAnsi="Times New Roman" w:cs="Times New Roman"/>
          <w:sz w:val="24"/>
          <w:szCs w:val="24"/>
        </w:rPr>
        <w:t xml:space="preserve">for each year for which we had an ownership return from </w:t>
      </w:r>
      <w:r w:rsidRPr="00BC68C4">
        <w:rPr>
          <w:rFonts w:ascii="Times New Roman" w:hAnsi="Times New Roman" w:cs="Times New Roman"/>
          <w:i/>
          <w:sz w:val="24"/>
          <w:szCs w:val="24"/>
        </w:rPr>
        <w:t>Burdett’s Official Intelligence</w:t>
      </w:r>
      <w:r w:rsidR="00CB6066" w:rsidRPr="00BC68C4">
        <w:rPr>
          <w:rFonts w:ascii="Times New Roman" w:hAnsi="Times New Roman" w:cs="Times New Roman"/>
          <w:i/>
          <w:sz w:val="24"/>
          <w:szCs w:val="24"/>
        </w:rPr>
        <w:t xml:space="preserve"> </w:t>
      </w:r>
      <w:r w:rsidR="00CB6066" w:rsidRPr="00BC68C4">
        <w:rPr>
          <w:rFonts w:ascii="Times New Roman" w:hAnsi="Times New Roman" w:cs="Times New Roman"/>
          <w:sz w:val="24"/>
          <w:szCs w:val="24"/>
        </w:rPr>
        <w:t>(</w:t>
      </w:r>
      <w:r w:rsidR="00CB6066" w:rsidRPr="00BC68C4">
        <w:rPr>
          <w:rFonts w:ascii="Times New Roman" w:hAnsi="Times New Roman" w:cs="Times New Roman"/>
          <w:i/>
          <w:sz w:val="24"/>
          <w:szCs w:val="24"/>
        </w:rPr>
        <w:t>BOI</w:t>
      </w:r>
      <w:r w:rsidR="00CB6066" w:rsidRPr="00BC68C4">
        <w:rPr>
          <w:rFonts w:ascii="Times New Roman" w:hAnsi="Times New Roman" w:cs="Times New Roman"/>
          <w:sz w:val="24"/>
          <w:szCs w:val="24"/>
        </w:rPr>
        <w:t>)</w:t>
      </w:r>
      <w:r w:rsidRPr="00BC68C4">
        <w:rPr>
          <w:rFonts w:ascii="Times New Roman" w:hAnsi="Times New Roman" w:cs="Times New Roman"/>
          <w:sz w:val="24"/>
          <w:szCs w:val="24"/>
        </w:rPr>
        <w:t xml:space="preserve">, </w:t>
      </w:r>
      <w:r w:rsidRPr="00BC68C4">
        <w:rPr>
          <w:rFonts w:ascii="Times New Roman" w:hAnsi="Times New Roman" w:cs="Times New Roman"/>
          <w:i/>
          <w:sz w:val="24"/>
          <w:szCs w:val="24"/>
        </w:rPr>
        <w:t>Stock Exchange Official Intelligence</w:t>
      </w:r>
      <w:r w:rsidR="00EC6D47" w:rsidRPr="00BC68C4">
        <w:rPr>
          <w:rFonts w:ascii="Times New Roman" w:hAnsi="Times New Roman" w:cs="Times New Roman"/>
          <w:sz w:val="24"/>
          <w:szCs w:val="24"/>
        </w:rPr>
        <w:t xml:space="preserve"> </w:t>
      </w:r>
      <w:r w:rsidR="00CB6066" w:rsidRPr="00BC68C4">
        <w:rPr>
          <w:rFonts w:ascii="Times New Roman" w:hAnsi="Times New Roman" w:cs="Times New Roman"/>
          <w:sz w:val="24"/>
          <w:szCs w:val="24"/>
        </w:rPr>
        <w:t xml:space="preserve">(SEOI) </w:t>
      </w:r>
      <w:r w:rsidRPr="00BC68C4">
        <w:rPr>
          <w:rFonts w:ascii="Times New Roman" w:hAnsi="Times New Roman" w:cs="Times New Roman"/>
          <w:sz w:val="24"/>
          <w:szCs w:val="24"/>
        </w:rPr>
        <w:t>or a company’s articles of association, usually available with the ownership returns. T</w:t>
      </w:r>
      <w:r w:rsidR="00A37FC4" w:rsidRPr="00BC68C4">
        <w:rPr>
          <w:rFonts w:ascii="Times New Roman" w:hAnsi="Times New Roman" w:cs="Times New Roman"/>
          <w:sz w:val="24"/>
          <w:szCs w:val="24"/>
        </w:rPr>
        <w:t>he names of directors for the relevant years</w:t>
      </w:r>
      <w:r w:rsidRPr="00BC68C4">
        <w:rPr>
          <w:rFonts w:ascii="Times New Roman" w:hAnsi="Times New Roman" w:cs="Times New Roman"/>
          <w:sz w:val="24"/>
          <w:szCs w:val="24"/>
        </w:rPr>
        <w:t xml:space="preserve"> were obtained</w:t>
      </w:r>
      <w:r w:rsidR="00A37FC4" w:rsidRPr="00BC68C4">
        <w:rPr>
          <w:rFonts w:ascii="Times New Roman" w:hAnsi="Times New Roman" w:cs="Times New Roman"/>
          <w:sz w:val="24"/>
          <w:szCs w:val="24"/>
        </w:rPr>
        <w:t xml:space="preserve"> from</w:t>
      </w:r>
      <w:r w:rsidR="00CB6066" w:rsidRPr="00BC68C4">
        <w:rPr>
          <w:rFonts w:ascii="Times New Roman" w:hAnsi="Times New Roman" w:cs="Times New Roman"/>
          <w:sz w:val="24"/>
          <w:szCs w:val="24"/>
        </w:rPr>
        <w:t xml:space="preserve"> the same sources.</w:t>
      </w:r>
      <w:r w:rsidRPr="00BC68C4">
        <w:rPr>
          <w:rFonts w:ascii="Times New Roman" w:hAnsi="Times New Roman" w:cs="Times New Roman"/>
          <w:sz w:val="24"/>
          <w:szCs w:val="24"/>
        </w:rPr>
        <w:t xml:space="preserve"> </w:t>
      </w:r>
      <w:r w:rsidR="003C792E" w:rsidRPr="00BC68C4">
        <w:rPr>
          <w:rFonts w:ascii="Times New Roman" w:hAnsi="Times New Roman" w:cs="Times New Roman"/>
          <w:sz w:val="24"/>
          <w:szCs w:val="24"/>
        </w:rPr>
        <w:t xml:space="preserve">In order </w:t>
      </w:r>
      <w:r w:rsidR="00A37FC4" w:rsidRPr="00BC68C4">
        <w:rPr>
          <w:rFonts w:ascii="Times New Roman" w:hAnsi="Times New Roman" w:cs="Times New Roman"/>
          <w:sz w:val="24"/>
          <w:szCs w:val="24"/>
        </w:rPr>
        <w:t>to ascertain the share ownership of each director</w:t>
      </w:r>
      <w:r w:rsidR="003C792E" w:rsidRPr="00BC68C4">
        <w:rPr>
          <w:rFonts w:ascii="Times New Roman" w:hAnsi="Times New Roman" w:cs="Times New Roman"/>
          <w:sz w:val="24"/>
          <w:szCs w:val="24"/>
        </w:rPr>
        <w:t>, we manually</w:t>
      </w:r>
      <w:r w:rsidR="00AE7691">
        <w:rPr>
          <w:rFonts w:ascii="Times New Roman" w:hAnsi="Times New Roman" w:cs="Times New Roman"/>
          <w:sz w:val="24"/>
          <w:szCs w:val="24"/>
        </w:rPr>
        <w:t xml:space="preserve"> checked</w:t>
      </w:r>
      <w:r w:rsidR="003C792E" w:rsidRPr="00BC68C4">
        <w:rPr>
          <w:rFonts w:ascii="Times New Roman" w:hAnsi="Times New Roman" w:cs="Times New Roman"/>
          <w:sz w:val="24"/>
          <w:szCs w:val="24"/>
        </w:rPr>
        <w:t xml:space="preserve"> each set of ownership returns</w:t>
      </w:r>
      <w:r w:rsidR="00A37FC4" w:rsidRPr="00BC68C4">
        <w:rPr>
          <w:rFonts w:ascii="Times New Roman" w:hAnsi="Times New Roman" w:cs="Times New Roman"/>
          <w:sz w:val="24"/>
          <w:szCs w:val="24"/>
        </w:rPr>
        <w:t>.</w:t>
      </w:r>
    </w:p>
    <w:p w14:paraId="7404C951" w14:textId="48A3C32B" w:rsidR="000E7E97" w:rsidRPr="00BC68C4" w:rsidRDefault="00827913" w:rsidP="00A90372">
      <w:pPr>
        <w:spacing w:line="480" w:lineRule="auto"/>
        <w:rPr>
          <w:rFonts w:ascii="Times New Roman" w:hAnsi="Times New Roman" w:cs="Times New Roman"/>
          <w:sz w:val="24"/>
          <w:szCs w:val="24"/>
        </w:rPr>
      </w:pPr>
      <w:r w:rsidRPr="00BC68C4">
        <w:rPr>
          <w:rFonts w:ascii="Times New Roman" w:hAnsi="Times New Roman" w:cs="Times New Roman"/>
          <w:sz w:val="24"/>
          <w:szCs w:val="24"/>
        </w:rPr>
        <w:tab/>
      </w:r>
      <w:r w:rsidR="00AE7691">
        <w:rPr>
          <w:rFonts w:ascii="Times New Roman" w:hAnsi="Times New Roman" w:cs="Times New Roman"/>
          <w:sz w:val="24"/>
          <w:szCs w:val="24"/>
        </w:rPr>
        <w:t>As noted above, w</w:t>
      </w:r>
      <w:r w:rsidR="00EC6D47" w:rsidRPr="00BC68C4">
        <w:rPr>
          <w:rFonts w:ascii="Times New Roman" w:hAnsi="Times New Roman" w:cs="Times New Roman"/>
          <w:sz w:val="24"/>
          <w:szCs w:val="24"/>
        </w:rPr>
        <w:t>e use three performance measures. The accounting data to calculate</w:t>
      </w:r>
      <w:r w:rsidR="00CC7614" w:rsidRPr="00BC68C4">
        <w:rPr>
          <w:rFonts w:ascii="Times New Roman" w:hAnsi="Times New Roman" w:cs="Times New Roman"/>
          <w:sz w:val="24"/>
          <w:szCs w:val="24"/>
        </w:rPr>
        <w:t xml:space="preserve"> </w:t>
      </w:r>
      <w:r w:rsidR="00EC6D47" w:rsidRPr="00BC68C4">
        <w:rPr>
          <w:rFonts w:ascii="Times New Roman" w:hAnsi="Times New Roman" w:cs="Times New Roman"/>
          <w:sz w:val="24"/>
          <w:szCs w:val="24"/>
        </w:rPr>
        <w:t>Tobin’s Q and ROA comes from Burdett’s collection of company ac</w:t>
      </w:r>
      <w:r w:rsidR="008664C0" w:rsidRPr="00BC68C4">
        <w:rPr>
          <w:rFonts w:ascii="Times New Roman" w:hAnsi="Times New Roman" w:cs="Times New Roman"/>
          <w:sz w:val="24"/>
          <w:szCs w:val="24"/>
        </w:rPr>
        <w:t>counts stored in the Guildhall L</w:t>
      </w:r>
      <w:r w:rsidR="00EC6D47" w:rsidRPr="00BC68C4">
        <w:rPr>
          <w:rFonts w:ascii="Times New Roman" w:hAnsi="Times New Roman" w:cs="Times New Roman"/>
          <w:sz w:val="24"/>
          <w:szCs w:val="24"/>
        </w:rPr>
        <w:t xml:space="preserve">ibrary in London, whilst </w:t>
      </w:r>
      <w:r w:rsidR="002179DA" w:rsidRPr="00BC68C4">
        <w:rPr>
          <w:rFonts w:ascii="Times New Roman" w:hAnsi="Times New Roman" w:cs="Times New Roman"/>
          <w:sz w:val="24"/>
          <w:szCs w:val="24"/>
        </w:rPr>
        <w:t>the market value of the firm’s securities</w:t>
      </w:r>
      <w:r w:rsidR="00EC6D47" w:rsidRPr="00BC68C4">
        <w:rPr>
          <w:rFonts w:ascii="Times New Roman" w:hAnsi="Times New Roman" w:cs="Times New Roman"/>
          <w:sz w:val="24"/>
          <w:szCs w:val="24"/>
        </w:rPr>
        <w:t xml:space="preserve"> is obtained from the December issue of the</w:t>
      </w:r>
      <w:r w:rsidR="00CC7614" w:rsidRPr="00BC68C4">
        <w:rPr>
          <w:rFonts w:ascii="Times New Roman" w:hAnsi="Times New Roman" w:cs="Times New Roman"/>
          <w:sz w:val="24"/>
          <w:szCs w:val="24"/>
        </w:rPr>
        <w:t xml:space="preserve"> relevant</w:t>
      </w:r>
      <w:r w:rsidR="00EC6D47" w:rsidRPr="00BC68C4">
        <w:rPr>
          <w:rFonts w:ascii="Times New Roman" w:hAnsi="Times New Roman" w:cs="Times New Roman"/>
          <w:sz w:val="24"/>
          <w:szCs w:val="24"/>
        </w:rPr>
        <w:t xml:space="preserve"> </w:t>
      </w:r>
      <w:r w:rsidR="00CB6066" w:rsidRPr="00BC68C4">
        <w:rPr>
          <w:rFonts w:ascii="Times New Roman" w:hAnsi="Times New Roman" w:cs="Times New Roman"/>
          <w:i/>
          <w:sz w:val="24"/>
          <w:szCs w:val="24"/>
        </w:rPr>
        <w:t>IMM</w:t>
      </w:r>
      <w:r w:rsidR="00EC6D47" w:rsidRPr="00BC68C4">
        <w:rPr>
          <w:rFonts w:ascii="Times New Roman" w:hAnsi="Times New Roman" w:cs="Times New Roman"/>
          <w:sz w:val="24"/>
          <w:szCs w:val="24"/>
        </w:rPr>
        <w:t>.</w:t>
      </w:r>
      <w:r w:rsidR="002D7E47">
        <w:rPr>
          <w:rStyle w:val="FootnoteReference"/>
          <w:rFonts w:ascii="Times New Roman" w:hAnsi="Times New Roman" w:cs="Times New Roman"/>
          <w:sz w:val="24"/>
          <w:szCs w:val="24"/>
        </w:rPr>
        <w:footnoteReference w:id="16"/>
      </w:r>
      <w:r w:rsidR="00AD03F6" w:rsidRPr="00BC68C4">
        <w:rPr>
          <w:rFonts w:ascii="Times New Roman" w:hAnsi="Times New Roman" w:cs="Times New Roman"/>
          <w:sz w:val="24"/>
          <w:szCs w:val="24"/>
        </w:rPr>
        <w:t xml:space="preserve">  As Burdett’s accounting </w:t>
      </w:r>
      <w:r w:rsidR="0015050B" w:rsidRPr="00BC68C4">
        <w:rPr>
          <w:rFonts w:ascii="Times New Roman" w:hAnsi="Times New Roman" w:cs="Times New Roman"/>
          <w:sz w:val="24"/>
          <w:szCs w:val="24"/>
        </w:rPr>
        <w:t>data is only available from 1880 onwards, our first sample is restricted to the post-1880 period</w:t>
      </w:r>
      <w:r w:rsidR="00AE7691">
        <w:rPr>
          <w:rFonts w:ascii="Times New Roman" w:hAnsi="Times New Roman" w:cs="Times New Roman"/>
          <w:sz w:val="24"/>
          <w:szCs w:val="24"/>
        </w:rPr>
        <w:t xml:space="preserve"> and contains</w:t>
      </w:r>
      <w:r w:rsidR="00DC1AC7" w:rsidRPr="00BC68C4">
        <w:rPr>
          <w:rFonts w:ascii="Times New Roman" w:hAnsi="Times New Roman" w:cs="Times New Roman"/>
          <w:sz w:val="24"/>
          <w:szCs w:val="24"/>
        </w:rPr>
        <w:t xml:space="preserve"> 2</w:t>
      </w:r>
      <w:r w:rsidR="00C07E02" w:rsidRPr="00BC68C4">
        <w:rPr>
          <w:rFonts w:ascii="Times New Roman" w:hAnsi="Times New Roman" w:cs="Times New Roman"/>
          <w:sz w:val="24"/>
          <w:szCs w:val="24"/>
        </w:rPr>
        <w:t>52</w:t>
      </w:r>
      <w:r w:rsidR="00DA4283" w:rsidRPr="00BC68C4">
        <w:rPr>
          <w:rFonts w:ascii="Times New Roman" w:hAnsi="Times New Roman" w:cs="Times New Roman"/>
          <w:sz w:val="24"/>
          <w:szCs w:val="24"/>
        </w:rPr>
        <w:t xml:space="preserve"> firm-years, consisting of 1</w:t>
      </w:r>
      <w:r w:rsidR="00C07E02" w:rsidRPr="00BC68C4">
        <w:rPr>
          <w:rFonts w:ascii="Times New Roman" w:hAnsi="Times New Roman" w:cs="Times New Roman"/>
          <w:sz w:val="24"/>
          <w:szCs w:val="24"/>
        </w:rPr>
        <w:t>8</w:t>
      </w:r>
      <w:r w:rsidR="0015050B" w:rsidRPr="00BC68C4">
        <w:rPr>
          <w:rFonts w:ascii="Times New Roman" w:hAnsi="Times New Roman" w:cs="Times New Roman"/>
          <w:sz w:val="24"/>
          <w:szCs w:val="24"/>
        </w:rPr>
        <w:t xml:space="preserve">6 </w:t>
      </w:r>
      <w:r w:rsidR="002179DA" w:rsidRPr="00BC68C4">
        <w:rPr>
          <w:rFonts w:ascii="Times New Roman" w:hAnsi="Times New Roman" w:cs="Times New Roman"/>
          <w:sz w:val="24"/>
          <w:szCs w:val="24"/>
        </w:rPr>
        <w:t xml:space="preserve">unique </w:t>
      </w:r>
      <w:r w:rsidR="0015050B" w:rsidRPr="00BC68C4">
        <w:rPr>
          <w:rFonts w:ascii="Times New Roman" w:hAnsi="Times New Roman" w:cs="Times New Roman"/>
          <w:sz w:val="24"/>
          <w:szCs w:val="24"/>
        </w:rPr>
        <w:t>firms</w:t>
      </w:r>
      <w:r w:rsidR="003061CC" w:rsidRPr="00BC68C4">
        <w:rPr>
          <w:rFonts w:ascii="Times New Roman" w:hAnsi="Times New Roman" w:cs="Times New Roman"/>
          <w:sz w:val="24"/>
          <w:szCs w:val="24"/>
        </w:rPr>
        <w:t>,</w:t>
      </w:r>
      <w:r w:rsidR="008D2FBA" w:rsidRPr="00BC68C4">
        <w:rPr>
          <w:rFonts w:ascii="Times New Roman" w:hAnsi="Times New Roman" w:cs="Times New Roman"/>
          <w:sz w:val="24"/>
          <w:szCs w:val="24"/>
        </w:rPr>
        <w:t xml:space="preserve"> </w:t>
      </w:r>
      <w:r w:rsidR="003061CC" w:rsidRPr="00BC68C4">
        <w:rPr>
          <w:rFonts w:ascii="Times New Roman" w:hAnsi="Times New Roman" w:cs="Times New Roman"/>
          <w:sz w:val="24"/>
          <w:szCs w:val="24"/>
        </w:rPr>
        <w:t xml:space="preserve">11 with three observations, 44 with two observations, and 131 </w:t>
      </w:r>
      <w:r w:rsidR="003061CC" w:rsidRPr="001344F0">
        <w:rPr>
          <w:rFonts w:ascii="Times New Roman" w:hAnsi="Times New Roman" w:cs="Times New Roman"/>
          <w:sz w:val="24"/>
          <w:szCs w:val="24"/>
        </w:rPr>
        <w:t>with one observation.  34.1 per cent of our sample comes from the 1880s, 40.5 per cent from the 1890s, and 25.4 per cent from 1900-1901. The four most represented industry sectors</w:t>
      </w:r>
      <w:r w:rsidR="00835648" w:rsidRPr="001344F0">
        <w:rPr>
          <w:rFonts w:ascii="Times New Roman" w:hAnsi="Times New Roman" w:cs="Times New Roman"/>
          <w:sz w:val="24"/>
          <w:szCs w:val="24"/>
        </w:rPr>
        <w:t>, as shown in Appendix 1,</w:t>
      </w:r>
      <w:r w:rsidR="003061CC" w:rsidRPr="001344F0">
        <w:rPr>
          <w:rFonts w:ascii="Times New Roman" w:hAnsi="Times New Roman" w:cs="Times New Roman"/>
          <w:sz w:val="24"/>
          <w:szCs w:val="24"/>
        </w:rPr>
        <w:t xml:space="preserve"> are industrial and commercial firms comprising 25.8 per cent of our sample, banks</w:t>
      </w:r>
      <w:r w:rsidR="003061CC" w:rsidRPr="00BC68C4">
        <w:rPr>
          <w:rFonts w:ascii="Times New Roman" w:hAnsi="Times New Roman" w:cs="Times New Roman"/>
          <w:sz w:val="24"/>
          <w:szCs w:val="24"/>
        </w:rPr>
        <w:t xml:space="preserve"> comprising 15.5 per cent, mortgage and finance companies comprising 13.9 per cent, and iron, coal and steel companies comprising 12.3.  The remainder of the sample is spread across eight other industry </w:t>
      </w:r>
      <w:r w:rsidR="003061CC" w:rsidRPr="006658C5">
        <w:rPr>
          <w:rFonts w:ascii="Times New Roman" w:hAnsi="Times New Roman" w:cs="Times New Roman"/>
          <w:sz w:val="24"/>
          <w:szCs w:val="24"/>
        </w:rPr>
        <w:t>sectors.</w:t>
      </w:r>
      <w:r w:rsidR="002E78FD" w:rsidRPr="006658C5">
        <w:rPr>
          <w:rFonts w:ascii="Times New Roman" w:hAnsi="Times New Roman" w:cs="Times New Roman"/>
          <w:sz w:val="24"/>
          <w:szCs w:val="24"/>
        </w:rPr>
        <w:t xml:space="preserve"> </w:t>
      </w:r>
      <w:r w:rsidR="000E7E97" w:rsidRPr="006658C5">
        <w:rPr>
          <w:rFonts w:ascii="Times New Roman" w:hAnsi="Times New Roman" w:cs="Times New Roman"/>
          <w:sz w:val="24"/>
          <w:szCs w:val="24"/>
        </w:rPr>
        <w:t>We obtain</w:t>
      </w:r>
      <w:r w:rsidR="000E7E97" w:rsidRPr="00BC68C4">
        <w:rPr>
          <w:rFonts w:ascii="Times New Roman" w:hAnsi="Times New Roman" w:cs="Times New Roman"/>
          <w:sz w:val="24"/>
          <w:szCs w:val="24"/>
        </w:rPr>
        <w:t xml:space="preserve"> </w:t>
      </w:r>
      <w:r w:rsidR="002E78FD">
        <w:rPr>
          <w:rFonts w:ascii="Times New Roman" w:hAnsi="Times New Roman" w:cs="Times New Roman"/>
          <w:sz w:val="24"/>
          <w:szCs w:val="24"/>
        </w:rPr>
        <w:t xml:space="preserve">survival/failure date </w:t>
      </w:r>
      <w:r w:rsidR="000E7E97" w:rsidRPr="00BC68C4">
        <w:rPr>
          <w:rFonts w:ascii="Times New Roman" w:hAnsi="Times New Roman" w:cs="Times New Roman"/>
          <w:sz w:val="24"/>
          <w:szCs w:val="24"/>
        </w:rPr>
        <w:t xml:space="preserve">from the </w:t>
      </w:r>
      <w:r w:rsidR="000E7E97" w:rsidRPr="00BC68C4">
        <w:rPr>
          <w:rFonts w:ascii="Times New Roman" w:hAnsi="Times New Roman"/>
          <w:i/>
          <w:sz w:val="24"/>
          <w:szCs w:val="24"/>
        </w:rPr>
        <w:t>Register of Defunct Companies</w:t>
      </w:r>
      <w:r w:rsidR="000E7E97" w:rsidRPr="00BC68C4">
        <w:rPr>
          <w:rFonts w:ascii="Times New Roman" w:hAnsi="Times New Roman"/>
          <w:sz w:val="24"/>
          <w:szCs w:val="24"/>
        </w:rPr>
        <w:t xml:space="preserve">, which lists any company delisted from the stock exchange from 1875 onwards </w:t>
      </w:r>
      <w:r w:rsidR="002E78FD">
        <w:rPr>
          <w:rFonts w:ascii="Times New Roman" w:hAnsi="Times New Roman"/>
          <w:sz w:val="24"/>
          <w:szCs w:val="24"/>
        </w:rPr>
        <w:t xml:space="preserve">with </w:t>
      </w:r>
      <w:r w:rsidR="000E7E97" w:rsidRPr="00BC68C4">
        <w:rPr>
          <w:rFonts w:ascii="Times New Roman" w:hAnsi="Times New Roman"/>
          <w:sz w:val="24"/>
          <w:szCs w:val="24"/>
        </w:rPr>
        <w:t>the reason for delisting.</w:t>
      </w:r>
      <w:r w:rsidR="002E78FD">
        <w:rPr>
          <w:rStyle w:val="FootnoteReference"/>
          <w:rFonts w:ascii="Times New Roman" w:hAnsi="Times New Roman"/>
          <w:sz w:val="24"/>
          <w:szCs w:val="24"/>
        </w:rPr>
        <w:footnoteReference w:id="17"/>
      </w:r>
      <w:r w:rsidR="000E7E97" w:rsidRPr="00BC68C4">
        <w:rPr>
          <w:rFonts w:ascii="Times New Roman" w:hAnsi="Times New Roman"/>
          <w:sz w:val="24"/>
          <w:szCs w:val="24"/>
        </w:rPr>
        <w:t xml:space="preserve">  </w:t>
      </w:r>
      <w:r w:rsidR="00B14C74">
        <w:rPr>
          <w:rFonts w:ascii="Times New Roman" w:hAnsi="Times New Roman"/>
          <w:sz w:val="24"/>
          <w:szCs w:val="24"/>
        </w:rPr>
        <w:t xml:space="preserve">We </w:t>
      </w:r>
      <w:r w:rsidR="00B14C74" w:rsidRPr="00BC68C4">
        <w:rPr>
          <w:rFonts w:ascii="Times New Roman" w:hAnsi="Times New Roman"/>
          <w:sz w:val="24"/>
          <w:szCs w:val="24"/>
        </w:rPr>
        <w:t>are</w:t>
      </w:r>
      <w:r w:rsidR="000E7E97" w:rsidRPr="00BC68C4">
        <w:rPr>
          <w:rFonts w:ascii="Times New Roman" w:hAnsi="Times New Roman"/>
          <w:sz w:val="24"/>
          <w:szCs w:val="24"/>
        </w:rPr>
        <w:t xml:space="preserve"> able to trace the year of delisting as w</w:t>
      </w:r>
      <w:r w:rsidR="00000621" w:rsidRPr="00BC68C4">
        <w:rPr>
          <w:rFonts w:ascii="Times New Roman" w:hAnsi="Times New Roman"/>
          <w:sz w:val="24"/>
          <w:szCs w:val="24"/>
        </w:rPr>
        <w:t xml:space="preserve">ell as the ultimate fate </w:t>
      </w:r>
      <w:r w:rsidR="00B14C74">
        <w:rPr>
          <w:rFonts w:ascii="Times New Roman" w:hAnsi="Times New Roman"/>
          <w:sz w:val="24"/>
          <w:szCs w:val="24"/>
        </w:rPr>
        <w:t xml:space="preserve">of </w:t>
      </w:r>
      <w:r w:rsidR="00B14C74" w:rsidRPr="00BC68C4">
        <w:rPr>
          <w:rFonts w:ascii="Times New Roman" w:hAnsi="Times New Roman"/>
          <w:sz w:val="24"/>
          <w:szCs w:val="24"/>
        </w:rPr>
        <w:t>344</w:t>
      </w:r>
      <w:r w:rsidR="000E7E97" w:rsidRPr="00BC68C4">
        <w:rPr>
          <w:rFonts w:ascii="Times New Roman" w:hAnsi="Times New Roman"/>
          <w:sz w:val="24"/>
          <w:szCs w:val="24"/>
        </w:rPr>
        <w:t xml:space="preserve"> companies.</w:t>
      </w:r>
      <w:r w:rsidR="000E7E97" w:rsidRPr="00BC68C4">
        <w:rPr>
          <w:rFonts w:ascii="Times New Roman" w:hAnsi="Times New Roman" w:cs="Times New Roman"/>
          <w:sz w:val="24"/>
          <w:szCs w:val="24"/>
        </w:rPr>
        <w:t xml:space="preserve">  </w:t>
      </w:r>
    </w:p>
    <w:p w14:paraId="24249651" w14:textId="39E7E4E3" w:rsidR="00767C23" w:rsidRPr="001344F0" w:rsidRDefault="002E78FD" w:rsidP="006F526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Compared to the </w:t>
      </w:r>
      <w:r w:rsidR="00835648" w:rsidRPr="00BC68C4">
        <w:rPr>
          <w:rFonts w:ascii="Times New Roman" w:hAnsi="Times New Roman" w:cs="Times New Roman"/>
          <w:sz w:val="24"/>
          <w:szCs w:val="24"/>
        </w:rPr>
        <w:t>total population of publicly-quoted companies listed in</w:t>
      </w:r>
      <w:r w:rsidR="00835648" w:rsidRPr="00BC68C4">
        <w:rPr>
          <w:rFonts w:ascii="Times New Roman" w:hAnsi="Times New Roman" w:cs="Times New Roman"/>
          <w:i/>
          <w:sz w:val="24"/>
          <w:szCs w:val="24"/>
        </w:rPr>
        <w:t xml:space="preserve"> BOI</w:t>
      </w:r>
      <w:r w:rsidR="00835648" w:rsidRPr="00BC68C4">
        <w:rPr>
          <w:rFonts w:ascii="Times New Roman" w:hAnsi="Times New Roman" w:cs="Times New Roman"/>
          <w:sz w:val="24"/>
          <w:szCs w:val="24"/>
        </w:rPr>
        <w:t>, our sample is a relatively small proportion.  According to Essex-Crosby’s data, there were 1,585 and 2,581 non-railway companies listed in 1885 and 1895 respectively (</w:t>
      </w:r>
      <w:proofErr w:type="spellStart"/>
      <w:r w:rsidR="00835648" w:rsidRPr="00BC68C4">
        <w:rPr>
          <w:rFonts w:ascii="Times New Roman" w:hAnsi="Times New Roman" w:cs="Times New Roman"/>
          <w:sz w:val="24"/>
          <w:szCs w:val="24"/>
        </w:rPr>
        <w:t>Jefferys</w:t>
      </w:r>
      <w:proofErr w:type="spellEnd"/>
      <w:r w:rsidR="00835648" w:rsidRPr="00BC68C4">
        <w:rPr>
          <w:rFonts w:ascii="Times New Roman" w:hAnsi="Times New Roman" w:cs="Times New Roman"/>
          <w:sz w:val="24"/>
          <w:szCs w:val="24"/>
        </w:rPr>
        <w:t xml:space="preserve"> 1977, p. 458). In terms of the number of unique companies quoted in the </w:t>
      </w:r>
      <w:r w:rsidR="00835648" w:rsidRPr="00BC68C4">
        <w:rPr>
          <w:rFonts w:ascii="Times New Roman" w:hAnsi="Times New Roman" w:cs="Times New Roman"/>
          <w:i/>
          <w:sz w:val="24"/>
          <w:szCs w:val="24"/>
        </w:rPr>
        <w:t>COE</w:t>
      </w:r>
      <w:r w:rsidR="00835648" w:rsidRPr="00BC68C4">
        <w:rPr>
          <w:rFonts w:ascii="Times New Roman" w:hAnsi="Times New Roman" w:cs="Times New Roman"/>
          <w:sz w:val="24"/>
          <w:szCs w:val="24"/>
        </w:rPr>
        <w:t xml:space="preserve"> and </w:t>
      </w:r>
      <w:r w:rsidR="00835648" w:rsidRPr="00BC68C4">
        <w:rPr>
          <w:rFonts w:ascii="Times New Roman" w:hAnsi="Times New Roman" w:cs="Times New Roman"/>
          <w:i/>
          <w:sz w:val="24"/>
          <w:szCs w:val="24"/>
        </w:rPr>
        <w:t>IMM</w:t>
      </w:r>
      <w:r w:rsidR="00835648" w:rsidRPr="00BC68C4">
        <w:rPr>
          <w:rFonts w:ascii="Times New Roman" w:hAnsi="Times New Roman" w:cs="Times New Roman"/>
          <w:sz w:val="24"/>
          <w:szCs w:val="24"/>
        </w:rPr>
        <w:t xml:space="preserve"> between 1862 and 1901, we estimate that there were 2,664 </w:t>
      </w:r>
      <w:r>
        <w:rPr>
          <w:rFonts w:ascii="Times New Roman" w:hAnsi="Times New Roman" w:cs="Times New Roman"/>
          <w:sz w:val="24"/>
          <w:szCs w:val="24"/>
        </w:rPr>
        <w:t xml:space="preserve">companies </w:t>
      </w:r>
      <w:r w:rsidR="00835648" w:rsidRPr="00BC68C4">
        <w:rPr>
          <w:rFonts w:ascii="Times New Roman" w:hAnsi="Times New Roman" w:cs="Times New Roman"/>
          <w:sz w:val="24"/>
          <w:szCs w:val="24"/>
        </w:rPr>
        <w:t>excluding railways, quoted at some point during this period</w:t>
      </w:r>
      <w:r w:rsidR="00835648" w:rsidRPr="006658C5">
        <w:rPr>
          <w:rFonts w:ascii="Times New Roman" w:hAnsi="Times New Roman" w:cs="Times New Roman"/>
          <w:sz w:val="24"/>
          <w:szCs w:val="24"/>
        </w:rPr>
        <w:t>. In Appendix 1</w:t>
      </w:r>
      <w:r w:rsidR="00491831" w:rsidRPr="006658C5">
        <w:rPr>
          <w:rFonts w:ascii="Times New Roman" w:hAnsi="Times New Roman" w:cs="Times New Roman"/>
          <w:sz w:val="24"/>
          <w:szCs w:val="24"/>
        </w:rPr>
        <w:t>,</w:t>
      </w:r>
      <w:r w:rsidR="00835648" w:rsidRPr="006658C5">
        <w:rPr>
          <w:rFonts w:ascii="Times New Roman" w:hAnsi="Times New Roman" w:cs="Times New Roman"/>
          <w:sz w:val="24"/>
          <w:szCs w:val="24"/>
        </w:rPr>
        <w:t xml:space="preserve"> we present</w:t>
      </w:r>
      <w:r w:rsidR="00835648" w:rsidRPr="001344F0">
        <w:rPr>
          <w:rFonts w:ascii="Times New Roman" w:hAnsi="Times New Roman" w:cs="Times New Roman"/>
          <w:sz w:val="24"/>
          <w:szCs w:val="24"/>
        </w:rPr>
        <w:t xml:space="preserve"> a detailed breakdown of how our sample compares to non-railway companies listed in the </w:t>
      </w:r>
      <w:r w:rsidR="00491831" w:rsidRPr="001344F0">
        <w:rPr>
          <w:rFonts w:ascii="Times New Roman" w:hAnsi="Times New Roman" w:cs="Times New Roman"/>
          <w:i/>
          <w:sz w:val="24"/>
          <w:szCs w:val="24"/>
        </w:rPr>
        <w:t>IMM</w:t>
      </w:r>
      <w:r w:rsidR="00835648" w:rsidRPr="001344F0">
        <w:rPr>
          <w:rFonts w:ascii="Times New Roman" w:hAnsi="Times New Roman" w:cs="Times New Roman"/>
          <w:sz w:val="24"/>
          <w:szCs w:val="24"/>
        </w:rPr>
        <w:t xml:space="preserve">. The median par value of </w:t>
      </w:r>
      <w:r w:rsidR="00835648" w:rsidRPr="001344F0">
        <w:rPr>
          <w:rFonts w:ascii="Times New Roman" w:hAnsi="Times New Roman" w:cs="Times New Roman"/>
          <w:i/>
          <w:sz w:val="24"/>
          <w:szCs w:val="24"/>
        </w:rPr>
        <w:t>IMM</w:t>
      </w:r>
      <w:r w:rsidR="00835648" w:rsidRPr="001344F0">
        <w:rPr>
          <w:rFonts w:ascii="Times New Roman" w:hAnsi="Times New Roman" w:cs="Times New Roman"/>
          <w:sz w:val="24"/>
          <w:szCs w:val="24"/>
        </w:rPr>
        <w:t xml:space="preserve"> firms in 1880 was £150,000 and in 1900 was £250,000. Our performance data sample firms have a median par value of £150,000, whilst our final status sample firms have a median par value of £133,099</w:t>
      </w:r>
      <w:r w:rsidR="002B0B89">
        <w:rPr>
          <w:rFonts w:ascii="Times New Roman" w:hAnsi="Times New Roman" w:cs="Times New Roman"/>
          <w:sz w:val="24"/>
          <w:szCs w:val="24"/>
        </w:rPr>
        <w:t>, implying that o</w:t>
      </w:r>
      <w:r w:rsidR="00767C23" w:rsidRPr="001344F0">
        <w:rPr>
          <w:rFonts w:ascii="Times New Roman" w:hAnsi="Times New Roman" w:cs="Times New Roman"/>
          <w:sz w:val="24"/>
          <w:szCs w:val="24"/>
        </w:rPr>
        <w:t xml:space="preserve">ur sample </w:t>
      </w:r>
      <w:r w:rsidR="008A4046" w:rsidRPr="001344F0">
        <w:rPr>
          <w:rFonts w:ascii="Times New Roman" w:hAnsi="Times New Roman" w:cs="Times New Roman"/>
          <w:sz w:val="24"/>
          <w:szCs w:val="24"/>
        </w:rPr>
        <w:t>is more weighted towards</w:t>
      </w:r>
      <w:r w:rsidR="00767C23" w:rsidRPr="001344F0">
        <w:rPr>
          <w:rFonts w:ascii="Times New Roman" w:hAnsi="Times New Roman" w:cs="Times New Roman"/>
          <w:sz w:val="24"/>
          <w:szCs w:val="24"/>
        </w:rPr>
        <w:t xml:space="preserve"> small and medium-sized public companies</w:t>
      </w:r>
      <w:r w:rsidR="0035581A" w:rsidRPr="001344F0">
        <w:rPr>
          <w:rFonts w:ascii="Times New Roman" w:hAnsi="Times New Roman" w:cs="Times New Roman"/>
          <w:sz w:val="24"/>
          <w:szCs w:val="24"/>
        </w:rPr>
        <w:t>.</w:t>
      </w:r>
      <w:r w:rsidR="00267CDA" w:rsidRPr="001344F0">
        <w:rPr>
          <w:rFonts w:ascii="Times New Roman" w:hAnsi="Times New Roman" w:cs="Times New Roman"/>
          <w:sz w:val="24"/>
          <w:szCs w:val="24"/>
        </w:rPr>
        <w:t xml:space="preserve"> </w:t>
      </w:r>
      <w:r w:rsidR="00767C23" w:rsidRPr="001344F0">
        <w:rPr>
          <w:rFonts w:ascii="Times New Roman" w:hAnsi="Times New Roman" w:cs="Times New Roman"/>
          <w:sz w:val="24"/>
          <w:szCs w:val="24"/>
        </w:rPr>
        <w:t>When compared to all of</w:t>
      </w:r>
      <w:r w:rsidR="00767C23" w:rsidRPr="00BC68C4">
        <w:rPr>
          <w:rFonts w:ascii="Times New Roman" w:hAnsi="Times New Roman" w:cs="Times New Roman"/>
          <w:sz w:val="24"/>
          <w:szCs w:val="24"/>
        </w:rPr>
        <w:t xml:space="preserve"> the non-railway companies in </w:t>
      </w:r>
      <w:r w:rsidR="0077180C" w:rsidRPr="00BC68C4">
        <w:rPr>
          <w:rFonts w:ascii="Times New Roman" w:hAnsi="Times New Roman" w:cs="Times New Roman"/>
          <w:i/>
          <w:sz w:val="24"/>
          <w:szCs w:val="24"/>
        </w:rPr>
        <w:t>BOI</w:t>
      </w:r>
      <w:r w:rsidR="00767C23" w:rsidRPr="00BC68C4">
        <w:rPr>
          <w:rFonts w:ascii="Times New Roman" w:hAnsi="Times New Roman" w:cs="Times New Roman"/>
          <w:sz w:val="24"/>
          <w:szCs w:val="24"/>
        </w:rPr>
        <w:t>, which included more of the small fir</w:t>
      </w:r>
      <w:r w:rsidR="002C2F71" w:rsidRPr="00BC68C4">
        <w:rPr>
          <w:rFonts w:ascii="Times New Roman" w:hAnsi="Times New Roman" w:cs="Times New Roman"/>
          <w:sz w:val="24"/>
          <w:szCs w:val="24"/>
        </w:rPr>
        <w:t>ms, our sample is fairly representative</w:t>
      </w:r>
      <w:r w:rsidR="00767C23" w:rsidRPr="00BC68C4">
        <w:rPr>
          <w:rFonts w:ascii="Times New Roman" w:hAnsi="Times New Roman" w:cs="Times New Roman"/>
          <w:sz w:val="24"/>
          <w:szCs w:val="24"/>
        </w:rPr>
        <w:t xml:space="preserve">. </w:t>
      </w:r>
      <w:r w:rsidR="003710F6" w:rsidRPr="00BC68C4">
        <w:rPr>
          <w:rFonts w:ascii="Times New Roman" w:hAnsi="Times New Roman" w:cs="Times New Roman"/>
          <w:sz w:val="24"/>
          <w:szCs w:val="24"/>
        </w:rPr>
        <w:t>The average paid-up capital of our companies for the ROA and Tobin’s Q sample is £256,700, and for the final status sample is £216,560</w:t>
      </w:r>
      <w:r w:rsidR="0077180C" w:rsidRPr="00BC68C4">
        <w:rPr>
          <w:rFonts w:ascii="Times New Roman" w:hAnsi="Times New Roman" w:cs="Times New Roman"/>
          <w:sz w:val="24"/>
          <w:szCs w:val="24"/>
        </w:rPr>
        <w:t>,</w:t>
      </w:r>
      <w:r w:rsidR="003710F6" w:rsidRPr="00BC68C4">
        <w:rPr>
          <w:rFonts w:ascii="Times New Roman" w:hAnsi="Times New Roman" w:cs="Times New Roman"/>
          <w:sz w:val="24"/>
          <w:szCs w:val="24"/>
        </w:rPr>
        <w:t xml:space="preserve"> which are similar to the average paid-up capital of non-railway companies in </w:t>
      </w:r>
      <w:r w:rsidR="0077180C" w:rsidRPr="00BC68C4">
        <w:rPr>
          <w:rFonts w:ascii="Times New Roman" w:hAnsi="Times New Roman" w:cs="Times New Roman"/>
          <w:i/>
          <w:sz w:val="24"/>
          <w:szCs w:val="24"/>
        </w:rPr>
        <w:t>BOI</w:t>
      </w:r>
      <w:r w:rsidR="003710F6" w:rsidRPr="00BC68C4">
        <w:rPr>
          <w:rFonts w:ascii="Times New Roman" w:hAnsi="Times New Roman" w:cs="Times New Roman"/>
          <w:sz w:val="24"/>
          <w:szCs w:val="24"/>
        </w:rPr>
        <w:t xml:space="preserve"> in 1885 and 1895, </w:t>
      </w:r>
      <w:r w:rsidR="003710F6" w:rsidRPr="001344F0">
        <w:rPr>
          <w:rFonts w:ascii="Times New Roman" w:hAnsi="Times New Roman" w:cs="Times New Roman"/>
          <w:sz w:val="24"/>
          <w:szCs w:val="24"/>
        </w:rPr>
        <w:t>which were £209,752 and £262,340 respectively (</w:t>
      </w:r>
      <w:proofErr w:type="spellStart"/>
      <w:r w:rsidR="003710F6" w:rsidRPr="001344F0">
        <w:rPr>
          <w:rFonts w:ascii="Times New Roman" w:hAnsi="Times New Roman" w:cs="Times New Roman"/>
          <w:sz w:val="24"/>
          <w:szCs w:val="24"/>
        </w:rPr>
        <w:t>Jefferys</w:t>
      </w:r>
      <w:proofErr w:type="spellEnd"/>
      <w:r w:rsidR="003710F6" w:rsidRPr="001344F0">
        <w:rPr>
          <w:rFonts w:ascii="Times New Roman" w:hAnsi="Times New Roman" w:cs="Times New Roman"/>
          <w:sz w:val="24"/>
          <w:szCs w:val="24"/>
        </w:rPr>
        <w:t xml:space="preserve"> 1977, p. 458).</w:t>
      </w:r>
    </w:p>
    <w:p w14:paraId="1AB83F00" w14:textId="5DF21E9E" w:rsidR="00835648" w:rsidRDefault="00835648" w:rsidP="00835648">
      <w:pPr>
        <w:spacing w:line="480" w:lineRule="auto"/>
        <w:ind w:firstLine="720"/>
        <w:rPr>
          <w:rFonts w:ascii="Times New Roman" w:hAnsi="Times New Roman" w:cs="Times New Roman"/>
          <w:sz w:val="24"/>
          <w:szCs w:val="24"/>
        </w:rPr>
      </w:pPr>
      <w:r w:rsidRPr="001344F0">
        <w:rPr>
          <w:rFonts w:ascii="Times New Roman" w:hAnsi="Times New Roman" w:cs="Times New Roman"/>
          <w:sz w:val="24"/>
          <w:szCs w:val="24"/>
        </w:rPr>
        <w:t>There were some substantial changes in industrial</w:t>
      </w:r>
      <w:r w:rsidR="00827913" w:rsidRPr="001344F0">
        <w:rPr>
          <w:rFonts w:ascii="Times New Roman" w:hAnsi="Times New Roman" w:cs="Times New Roman"/>
          <w:sz w:val="24"/>
          <w:szCs w:val="24"/>
        </w:rPr>
        <w:t xml:space="preserve"> </w:t>
      </w:r>
      <w:r w:rsidRPr="001344F0">
        <w:rPr>
          <w:rFonts w:ascii="Times New Roman" w:hAnsi="Times New Roman" w:cs="Times New Roman"/>
          <w:sz w:val="24"/>
          <w:szCs w:val="24"/>
        </w:rPr>
        <w:t xml:space="preserve">composition during this period, as seen from Appendix 1, but </w:t>
      </w:r>
      <w:r w:rsidR="00827913" w:rsidRPr="001344F0">
        <w:rPr>
          <w:rFonts w:ascii="Times New Roman" w:hAnsi="Times New Roman" w:cs="Times New Roman"/>
          <w:sz w:val="24"/>
          <w:szCs w:val="24"/>
        </w:rPr>
        <w:t xml:space="preserve">the only industry which </w:t>
      </w:r>
      <w:r w:rsidRPr="001344F0">
        <w:rPr>
          <w:rFonts w:ascii="Times New Roman" w:hAnsi="Times New Roman" w:cs="Times New Roman"/>
          <w:sz w:val="24"/>
          <w:szCs w:val="24"/>
        </w:rPr>
        <w:t xml:space="preserve">seems to be </w:t>
      </w:r>
      <w:r w:rsidR="00827913" w:rsidRPr="001344F0">
        <w:rPr>
          <w:rFonts w:ascii="Times New Roman" w:hAnsi="Times New Roman" w:cs="Times New Roman"/>
          <w:sz w:val="24"/>
          <w:szCs w:val="24"/>
        </w:rPr>
        <w:t>under-represented</w:t>
      </w:r>
      <w:r w:rsidRPr="001344F0">
        <w:rPr>
          <w:rFonts w:ascii="Times New Roman" w:hAnsi="Times New Roman" w:cs="Times New Roman"/>
          <w:sz w:val="24"/>
          <w:szCs w:val="24"/>
        </w:rPr>
        <w:t xml:space="preserve"> </w:t>
      </w:r>
      <w:r w:rsidR="00716269" w:rsidRPr="001344F0">
        <w:rPr>
          <w:rFonts w:ascii="Times New Roman" w:hAnsi="Times New Roman" w:cs="Times New Roman"/>
          <w:sz w:val="24"/>
          <w:szCs w:val="24"/>
        </w:rPr>
        <w:t xml:space="preserve">in our sample </w:t>
      </w:r>
      <w:r w:rsidRPr="001344F0">
        <w:rPr>
          <w:rFonts w:ascii="Times New Roman" w:hAnsi="Times New Roman" w:cs="Times New Roman"/>
          <w:sz w:val="24"/>
          <w:szCs w:val="24"/>
        </w:rPr>
        <w:t>in both 1880 and 1900</w:t>
      </w:r>
      <w:r w:rsidR="00827913" w:rsidRPr="001344F0">
        <w:rPr>
          <w:rFonts w:ascii="Times New Roman" w:hAnsi="Times New Roman" w:cs="Times New Roman"/>
          <w:sz w:val="24"/>
          <w:szCs w:val="24"/>
        </w:rPr>
        <w:t xml:space="preserve"> is mining. The commercial and</w:t>
      </w:r>
      <w:r w:rsidR="00827913" w:rsidRPr="00BC68C4">
        <w:rPr>
          <w:rFonts w:ascii="Times New Roman" w:hAnsi="Times New Roman" w:cs="Times New Roman"/>
          <w:sz w:val="24"/>
          <w:szCs w:val="24"/>
        </w:rPr>
        <w:t xml:space="preserve"> industrial sector, which consisted mainly of manufacturing and processing companies, is the largest sector in our sample, which is unsurprising since this was a growth sector in the stock market (Grossman 2002, p. 130). In terms of </w:t>
      </w:r>
      <w:r w:rsidR="00716269">
        <w:rPr>
          <w:rFonts w:ascii="Times New Roman" w:hAnsi="Times New Roman" w:cs="Times New Roman"/>
          <w:sz w:val="24"/>
          <w:szCs w:val="24"/>
        </w:rPr>
        <w:t xml:space="preserve">those </w:t>
      </w:r>
      <w:r w:rsidR="00827913" w:rsidRPr="00BC68C4">
        <w:rPr>
          <w:rFonts w:ascii="Times New Roman" w:hAnsi="Times New Roman" w:cs="Times New Roman"/>
          <w:sz w:val="24"/>
          <w:szCs w:val="24"/>
        </w:rPr>
        <w:t xml:space="preserve">listed in </w:t>
      </w:r>
      <w:r w:rsidR="0077180C" w:rsidRPr="00BC68C4">
        <w:rPr>
          <w:rFonts w:ascii="Times New Roman" w:hAnsi="Times New Roman" w:cs="Times New Roman"/>
          <w:i/>
          <w:sz w:val="24"/>
          <w:szCs w:val="24"/>
        </w:rPr>
        <w:t>BOI</w:t>
      </w:r>
      <w:r w:rsidR="00827913" w:rsidRPr="00BC68C4">
        <w:rPr>
          <w:rFonts w:ascii="Times New Roman" w:hAnsi="Times New Roman" w:cs="Times New Roman"/>
          <w:sz w:val="24"/>
          <w:szCs w:val="24"/>
        </w:rPr>
        <w:t>, our sample under-represents the commercial and industrial sector and over-represents banking. This is</w:t>
      </w:r>
      <w:r w:rsidR="00716269">
        <w:rPr>
          <w:rFonts w:ascii="Times New Roman" w:hAnsi="Times New Roman" w:cs="Times New Roman"/>
          <w:sz w:val="24"/>
          <w:szCs w:val="24"/>
        </w:rPr>
        <w:t xml:space="preserve"> again</w:t>
      </w:r>
      <w:r w:rsidR="00827913" w:rsidRPr="00BC68C4">
        <w:rPr>
          <w:rFonts w:ascii="Times New Roman" w:hAnsi="Times New Roman" w:cs="Times New Roman"/>
          <w:sz w:val="24"/>
          <w:szCs w:val="24"/>
        </w:rPr>
        <w:t xml:space="preserve"> unsurprising because banks were more likely than other companies to have a large shareholder base and have their shares traded on public markets</w:t>
      </w:r>
      <w:r w:rsidR="00C26C3D" w:rsidRPr="00BC68C4">
        <w:rPr>
          <w:rFonts w:ascii="Times New Roman" w:hAnsi="Times New Roman" w:cs="Times New Roman"/>
          <w:sz w:val="24"/>
          <w:szCs w:val="24"/>
        </w:rPr>
        <w:t>, whereas</w:t>
      </w:r>
      <w:r w:rsidR="00827913" w:rsidRPr="00BC68C4">
        <w:rPr>
          <w:rFonts w:ascii="Times New Roman" w:hAnsi="Times New Roman" w:cs="Times New Roman"/>
          <w:sz w:val="24"/>
          <w:szCs w:val="24"/>
        </w:rPr>
        <w:t xml:space="preserve"> industrial and commercial public companies were more likely to be small and not </w:t>
      </w:r>
      <w:r w:rsidR="00C26C3D" w:rsidRPr="00BC68C4">
        <w:rPr>
          <w:rFonts w:ascii="Times New Roman" w:hAnsi="Times New Roman" w:cs="Times New Roman"/>
          <w:sz w:val="24"/>
          <w:szCs w:val="24"/>
        </w:rPr>
        <w:t>regularly traded</w:t>
      </w:r>
      <w:r w:rsidR="00827913" w:rsidRPr="00BC68C4">
        <w:rPr>
          <w:rFonts w:ascii="Times New Roman" w:hAnsi="Times New Roman" w:cs="Times New Roman"/>
          <w:sz w:val="24"/>
          <w:szCs w:val="24"/>
        </w:rPr>
        <w:t xml:space="preserve">.    </w:t>
      </w:r>
    </w:p>
    <w:p w14:paraId="29559461" w14:textId="77777777" w:rsidR="00835648" w:rsidRPr="00BC68C4" w:rsidRDefault="00835648" w:rsidP="0077180C">
      <w:pPr>
        <w:spacing w:line="480" w:lineRule="auto"/>
        <w:ind w:firstLine="720"/>
        <w:rPr>
          <w:rFonts w:ascii="Times New Roman" w:hAnsi="Times New Roman" w:cs="Times New Roman"/>
          <w:sz w:val="24"/>
          <w:szCs w:val="24"/>
        </w:rPr>
      </w:pPr>
    </w:p>
    <w:p w14:paraId="7C7AB4E2" w14:textId="2FDF3EEB" w:rsidR="00EC6D47" w:rsidRPr="00BC68C4" w:rsidRDefault="00630881" w:rsidP="00EC6D47">
      <w:pPr>
        <w:spacing w:line="480" w:lineRule="auto"/>
        <w:rPr>
          <w:rFonts w:ascii="Times New Roman" w:hAnsi="Times New Roman" w:cs="Times New Roman"/>
          <w:i/>
          <w:sz w:val="24"/>
          <w:szCs w:val="24"/>
        </w:rPr>
      </w:pPr>
      <w:r w:rsidRPr="00BC68C4">
        <w:rPr>
          <w:rFonts w:ascii="Times New Roman" w:hAnsi="Times New Roman" w:cs="Times New Roman"/>
          <w:i/>
          <w:sz w:val="24"/>
          <w:szCs w:val="24"/>
        </w:rPr>
        <w:t>Ownership v</w:t>
      </w:r>
      <w:r w:rsidR="00EC6D47" w:rsidRPr="00BC68C4">
        <w:rPr>
          <w:rFonts w:ascii="Times New Roman" w:hAnsi="Times New Roman" w:cs="Times New Roman"/>
          <w:i/>
          <w:sz w:val="24"/>
          <w:szCs w:val="24"/>
        </w:rPr>
        <w:t>ariables</w:t>
      </w:r>
      <w:r w:rsidR="001D6C6E" w:rsidRPr="00BC68C4">
        <w:rPr>
          <w:rFonts w:ascii="Times New Roman" w:hAnsi="Times New Roman" w:cs="Times New Roman"/>
          <w:i/>
          <w:sz w:val="24"/>
          <w:szCs w:val="24"/>
        </w:rPr>
        <w:t xml:space="preserve"> </w:t>
      </w:r>
    </w:p>
    <w:p w14:paraId="0DA7EF06" w14:textId="32BD9D84" w:rsidR="001B167F" w:rsidRDefault="00716269" w:rsidP="00106E15">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370346" w:rsidRPr="00BC68C4">
        <w:rPr>
          <w:rFonts w:ascii="Times New Roman" w:hAnsi="Times New Roman" w:cs="Times New Roman"/>
          <w:sz w:val="24"/>
          <w:szCs w:val="24"/>
        </w:rPr>
        <w:t>he richness of our</w:t>
      </w:r>
      <w:r w:rsidR="00000621" w:rsidRPr="00BC68C4">
        <w:rPr>
          <w:rFonts w:ascii="Times New Roman" w:hAnsi="Times New Roman" w:cs="Times New Roman"/>
          <w:sz w:val="24"/>
          <w:szCs w:val="24"/>
        </w:rPr>
        <w:t xml:space="preserve"> data permits a wide</w:t>
      </w:r>
      <w:r w:rsidR="00370346" w:rsidRPr="00BC68C4">
        <w:rPr>
          <w:rFonts w:ascii="Times New Roman" w:hAnsi="Times New Roman" w:cs="Times New Roman"/>
          <w:sz w:val="24"/>
          <w:szCs w:val="24"/>
        </w:rPr>
        <w:t xml:space="preserve"> variety of me</w:t>
      </w:r>
      <w:r w:rsidR="00D7094E" w:rsidRPr="00BC68C4">
        <w:rPr>
          <w:rFonts w:ascii="Times New Roman" w:hAnsi="Times New Roman" w:cs="Times New Roman"/>
          <w:sz w:val="24"/>
          <w:szCs w:val="24"/>
        </w:rPr>
        <w:t xml:space="preserve">asures of ownership structure. </w:t>
      </w:r>
      <w:r w:rsidR="001B0E85" w:rsidRPr="00BC68C4">
        <w:rPr>
          <w:rFonts w:ascii="Times New Roman" w:hAnsi="Times New Roman" w:cs="Times New Roman"/>
          <w:sz w:val="24"/>
          <w:szCs w:val="24"/>
        </w:rPr>
        <w:t xml:space="preserve">Following </w:t>
      </w:r>
      <w:proofErr w:type="spellStart"/>
      <w:r w:rsidR="001B0E85" w:rsidRPr="00BC68C4">
        <w:rPr>
          <w:rFonts w:ascii="Times New Roman" w:hAnsi="Times New Roman" w:cs="Times New Roman"/>
          <w:sz w:val="24"/>
          <w:szCs w:val="24"/>
        </w:rPr>
        <w:t>Demsetz</w:t>
      </w:r>
      <w:proofErr w:type="spellEnd"/>
      <w:r w:rsidR="001B0E85" w:rsidRPr="00BC68C4">
        <w:rPr>
          <w:rFonts w:ascii="Times New Roman" w:hAnsi="Times New Roman" w:cs="Times New Roman"/>
          <w:sz w:val="24"/>
          <w:szCs w:val="24"/>
        </w:rPr>
        <w:t xml:space="preserve"> and Lehn (1985) and </w:t>
      </w:r>
      <w:proofErr w:type="spellStart"/>
      <w:r w:rsidR="001B0E85" w:rsidRPr="00BC68C4">
        <w:rPr>
          <w:rFonts w:ascii="Times New Roman" w:hAnsi="Times New Roman" w:cs="Times New Roman"/>
          <w:sz w:val="24"/>
          <w:szCs w:val="24"/>
        </w:rPr>
        <w:t>Demsetz</w:t>
      </w:r>
      <w:proofErr w:type="spellEnd"/>
      <w:r w:rsidR="001B0E85" w:rsidRPr="00BC68C4">
        <w:rPr>
          <w:rFonts w:ascii="Times New Roman" w:hAnsi="Times New Roman" w:cs="Times New Roman"/>
          <w:sz w:val="24"/>
          <w:szCs w:val="24"/>
        </w:rPr>
        <w:t xml:space="preserve"> and </w:t>
      </w:r>
      <w:proofErr w:type="spellStart"/>
      <w:r w:rsidR="001B0E85" w:rsidRPr="00BC68C4">
        <w:rPr>
          <w:rFonts w:ascii="Times New Roman" w:hAnsi="Times New Roman" w:cs="Times New Roman"/>
          <w:sz w:val="24"/>
          <w:szCs w:val="24"/>
        </w:rPr>
        <w:t>Villalonga</w:t>
      </w:r>
      <w:proofErr w:type="spellEnd"/>
      <w:r w:rsidR="001B0E85" w:rsidRPr="00BC68C4">
        <w:rPr>
          <w:rFonts w:ascii="Times New Roman" w:hAnsi="Times New Roman" w:cs="Times New Roman"/>
          <w:sz w:val="24"/>
          <w:szCs w:val="24"/>
        </w:rPr>
        <w:t xml:space="preserve"> (2001), we look at the ownership of the five largest shareholders as this may proxy the ability of shareholders to control managers. </w:t>
      </w:r>
      <w:r>
        <w:rPr>
          <w:rFonts w:ascii="Times New Roman" w:hAnsi="Times New Roman" w:cs="Times New Roman"/>
          <w:sz w:val="24"/>
          <w:szCs w:val="24"/>
        </w:rPr>
        <w:t xml:space="preserve">We can also </w:t>
      </w:r>
      <w:r w:rsidR="001B0E85" w:rsidRPr="00BC68C4">
        <w:rPr>
          <w:rFonts w:ascii="Times New Roman" w:hAnsi="Times New Roman" w:cs="Times New Roman"/>
          <w:sz w:val="24"/>
          <w:szCs w:val="24"/>
        </w:rPr>
        <w:t xml:space="preserve">construct </w:t>
      </w:r>
      <w:r w:rsidR="00A35DF4" w:rsidRPr="00BC68C4">
        <w:rPr>
          <w:rFonts w:ascii="Times New Roman" w:hAnsi="Times New Roman" w:cs="Times New Roman"/>
          <w:sz w:val="24"/>
          <w:szCs w:val="24"/>
        </w:rPr>
        <w:t xml:space="preserve">a </w:t>
      </w:r>
      <w:proofErr w:type="spellStart"/>
      <w:r w:rsidR="00A35DF4" w:rsidRPr="00BC68C4">
        <w:rPr>
          <w:rFonts w:ascii="Times New Roman" w:hAnsi="Times New Roman" w:cs="Times New Roman"/>
          <w:sz w:val="24"/>
          <w:szCs w:val="24"/>
        </w:rPr>
        <w:t>Herfindahl</w:t>
      </w:r>
      <w:proofErr w:type="spellEnd"/>
      <w:r w:rsidR="00A35DF4" w:rsidRPr="00BC68C4">
        <w:rPr>
          <w:rFonts w:ascii="Times New Roman" w:hAnsi="Times New Roman" w:cs="Times New Roman"/>
          <w:sz w:val="24"/>
          <w:szCs w:val="24"/>
        </w:rPr>
        <w:t xml:space="preserve"> Index of ownership</w:t>
      </w:r>
      <w:r w:rsidR="001B0E85" w:rsidRPr="00BC68C4">
        <w:rPr>
          <w:rFonts w:ascii="Times New Roman" w:hAnsi="Times New Roman" w:cs="Times New Roman"/>
          <w:sz w:val="24"/>
          <w:szCs w:val="24"/>
        </w:rPr>
        <w:t xml:space="preserve">. </w:t>
      </w:r>
      <w:r w:rsidR="00B85EAC" w:rsidRPr="00BC68C4">
        <w:rPr>
          <w:rFonts w:ascii="Times New Roman" w:hAnsi="Times New Roman" w:cs="Times New Roman"/>
          <w:sz w:val="24"/>
          <w:szCs w:val="24"/>
        </w:rPr>
        <w:t>W</w:t>
      </w:r>
      <w:r w:rsidR="00370346" w:rsidRPr="00BC68C4">
        <w:rPr>
          <w:rFonts w:ascii="Times New Roman" w:hAnsi="Times New Roman" w:cs="Times New Roman"/>
          <w:sz w:val="24"/>
          <w:szCs w:val="24"/>
        </w:rPr>
        <w:t xml:space="preserve">e </w:t>
      </w:r>
      <w:r>
        <w:rPr>
          <w:rFonts w:ascii="Times New Roman" w:hAnsi="Times New Roman" w:cs="Times New Roman"/>
          <w:sz w:val="24"/>
          <w:szCs w:val="24"/>
        </w:rPr>
        <w:t xml:space="preserve">describe </w:t>
      </w:r>
      <w:r w:rsidR="00370346" w:rsidRPr="00BC68C4">
        <w:rPr>
          <w:rFonts w:ascii="Times New Roman" w:hAnsi="Times New Roman" w:cs="Times New Roman"/>
          <w:sz w:val="24"/>
          <w:szCs w:val="24"/>
        </w:rPr>
        <w:t xml:space="preserve">ownership </w:t>
      </w:r>
      <w:r>
        <w:rPr>
          <w:rFonts w:ascii="Times New Roman" w:hAnsi="Times New Roman" w:cs="Times New Roman"/>
          <w:sz w:val="24"/>
          <w:szCs w:val="24"/>
        </w:rPr>
        <w:t xml:space="preserve">by </w:t>
      </w:r>
      <w:r w:rsidR="00370346" w:rsidRPr="00BC68C4">
        <w:rPr>
          <w:rFonts w:ascii="Times New Roman" w:hAnsi="Times New Roman" w:cs="Times New Roman"/>
          <w:sz w:val="24"/>
          <w:szCs w:val="24"/>
        </w:rPr>
        <w:t>the board of directors</w:t>
      </w:r>
      <w:r w:rsidR="00B85EAC" w:rsidRPr="00BC68C4">
        <w:rPr>
          <w:rFonts w:ascii="Times New Roman" w:hAnsi="Times New Roman" w:cs="Times New Roman"/>
          <w:sz w:val="24"/>
          <w:szCs w:val="24"/>
        </w:rPr>
        <w:t xml:space="preserve"> as a whole, and of insiders which embraces both directors and </w:t>
      </w:r>
      <w:proofErr w:type="spellStart"/>
      <w:r w:rsidR="00B85EAC" w:rsidRPr="00BC68C4">
        <w:rPr>
          <w:rFonts w:ascii="Times New Roman" w:hAnsi="Times New Roman" w:cs="Times New Roman"/>
          <w:sz w:val="24"/>
          <w:szCs w:val="24"/>
        </w:rPr>
        <w:t>blockholders</w:t>
      </w:r>
      <w:proofErr w:type="spellEnd"/>
      <w:r w:rsidR="00370346" w:rsidRPr="00BC68C4">
        <w:rPr>
          <w:rFonts w:ascii="Times New Roman" w:hAnsi="Times New Roman" w:cs="Times New Roman"/>
          <w:sz w:val="24"/>
          <w:szCs w:val="24"/>
        </w:rPr>
        <w:t xml:space="preserve">. </w:t>
      </w:r>
      <w:r w:rsidR="00B85EAC" w:rsidRPr="00BC68C4">
        <w:rPr>
          <w:rFonts w:ascii="Times New Roman" w:hAnsi="Times New Roman" w:cs="Times New Roman"/>
          <w:sz w:val="24"/>
          <w:szCs w:val="24"/>
        </w:rPr>
        <w:t>W</w:t>
      </w:r>
      <w:r w:rsidR="00370346" w:rsidRPr="00BC68C4">
        <w:rPr>
          <w:rFonts w:ascii="Times New Roman" w:hAnsi="Times New Roman" w:cs="Times New Roman"/>
          <w:sz w:val="24"/>
          <w:szCs w:val="24"/>
        </w:rPr>
        <w:t xml:space="preserve">e </w:t>
      </w:r>
      <w:r w:rsidR="00B85EAC" w:rsidRPr="00BC68C4">
        <w:rPr>
          <w:rFonts w:ascii="Times New Roman" w:hAnsi="Times New Roman" w:cs="Times New Roman"/>
          <w:sz w:val="24"/>
          <w:szCs w:val="24"/>
        </w:rPr>
        <w:t>then split this insider category into three types of individuals. L</w:t>
      </w:r>
      <w:r w:rsidR="00370346" w:rsidRPr="00BC68C4">
        <w:rPr>
          <w:rFonts w:ascii="Times New Roman" w:hAnsi="Times New Roman" w:cs="Times New Roman"/>
          <w:sz w:val="24"/>
          <w:szCs w:val="24"/>
        </w:rPr>
        <w:t xml:space="preserve">arge </w:t>
      </w:r>
      <w:r w:rsidR="00444E3F" w:rsidRPr="00BC68C4">
        <w:rPr>
          <w:rFonts w:ascii="Times New Roman" w:hAnsi="Times New Roman" w:cs="Times New Roman"/>
          <w:sz w:val="24"/>
          <w:szCs w:val="24"/>
        </w:rPr>
        <w:t xml:space="preserve">active </w:t>
      </w:r>
      <w:proofErr w:type="spellStart"/>
      <w:r w:rsidR="00444E3F" w:rsidRPr="00BC68C4">
        <w:rPr>
          <w:rFonts w:ascii="Times New Roman" w:hAnsi="Times New Roman" w:cs="Times New Roman"/>
          <w:sz w:val="24"/>
          <w:szCs w:val="24"/>
        </w:rPr>
        <w:t>blockholders</w:t>
      </w:r>
      <w:proofErr w:type="spellEnd"/>
      <w:r w:rsidR="00444E3F" w:rsidRPr="00BC68C4">
        <w:rPr>
          <w:rFonts w:ascii="Times New Roman" w:hAnsi="Times New Roman" w:cs="Times New Roman"/>
          <w:sz w:val="24"/>
          <w:szCs w:val="24"/>
        </w:rPr>
        <w:t xml:space="preserve"> (</w:t>
      </w:r>
      <w:r w:rsidR="00410F24" w:rsidRPr="00BC68C4">
        <w:rPr>
          <w:rFonts w:ascii="Times New Roman" w:hAnsi="Times New Roman" w:cs="Times New Roman"/>
          <w:sz w:val="24"/>
          <w:szCs w:val="24"/>
        </w:rPr>
        <w:t>i.e., individuals who owned more than 10 per cent of capital or voting rights</w:t>
      </w:r>
      <w:r w:rsidR="00444E3F" w:rsidRPr="00BC68C4">
        <w:rPr>
          <w:rFonts w:ascii="Times New Roman" w:hAnsi="Times New Roman" w:cs="Times New Roman"/>
          <w:sz w:val="24"/>
          <w:szCs w:val="24"/>
        </w:rPr>
        <w:t xml:space="preserve"> and were on the board)</w:t>
      </w:r>
      <w:r w:rsidR="00B85EAC" w:rsidRPr="00BC68C4">
        <w:rPr>
          <w:rFonts w:ascii="Times New Roman" w:hAnsi="Times New Roman" w:cs="Times New Roman"/>
          <w:sz w:val="24"/>
          <w:szCs w:val="24"/>
        </w:rPr>
        <w:t>, l</w:t>
      </w:r>
      <w:r w:rsidR="00444E3F" w:rsidRPr="00BC68C4">
        <w:rPr>
          <w:rFonts w:ascii="Times New Roman" w:hAnsi="Times New Roman" w:cs="Times New Roman"/>
          <w:sz w:val="24"/>
          <w:szCs w:val="24"/>
        </w:rPr>
        <w:t xml:space="preserve">arge passive </w:t>
      </w:r>
      <w:proofErr w:type="spellStart"/>
      <w:r w:rsidR="00444E3F" w:rsidRPr="00BC68C4">
        <w:rPr>
          <w:rFonts w:ascii="Times New Roman" w:hAnsi="Times New Roman" w:cs="Times New Roman"/>
          <w:sz w:val="24"/>
          <w:szCs w:val="24"/>
        </w:rPr>
        <w:t>blockholders</w:t>
      </w:r>
      <w:proofErr w:type="spellEnd"/>
      <w:r w:rsidR="00444E3F" w:rsidRPr="00BC68C4">
        <w:rPr>
          <w:rFonts w:ascii="Times New Roman" w:hAnsi="Times New Roman" w:cs="Times New Roman"/>
          <w:sz w:val="24"/>
          <w:szCs w:val="24"/>
        </w:rPr>
        <w:t xml:space="preserve"> (i.e., individuals who owned more than 10 per cent of capital</w:t>
      </w:r>
      <w:r w:rsidR="007164A6" w:rsidRPr="00BC68C4">
        <w:rPr>
          <w:rFonts w:ascii="Times New Roman" w:hAnsi="Times New Roman" w:cs="Times New Roman"/>
          <w:sz w:val="24"/>
          <w:szCs w:val="24"/>
        </w:rPr>
        <w:t xml:space="preserve"> or voting rights</w:t>
      </w:r>
      <w:r w:rsidR="00444E3F" w:rsidRPr="00BC68C4">
        <w:rPr>
          <w:rFonts w:ascii="Times New Roman" w:hAnsi="Times New Roman" w:cs="Times New Roman"/>
          <w:sz w:val="24"/>
          <w:szCs w:val="24"/>
        </w:rPr>
        <w:t xml:space="preserve"> and were not on the board)</w:t>
      </w:r>
      <w:r w:rsidR="00B85EAC" w:rsidRPr="00BC68C4">
        <w:rPr>
          <w:rFonts w:ascii="Times New Roman" w:hAnsi="Times New Roman" w:cs="Times New Roman"/>
          <w:sz w:val="24"/>
          <w:szCs w:val="24"/>
        </w:rPr>
        <w:t xml:space="preserve">, and directors who were not </w:t>
      </w:r>
      <w:proofErr w:type="spellStart"/>
      <w:r w:rsidR="00B85EAC" w:rsidRPr="00BC68C4">
        <w:rPr>
          <w:rFonts w:ascii="Times New Roman" w:hAnsi="Times New Roman" w:cs="Times New Roman"/>
          <w:sz w:val="24"/>
          <w:szCs w:val="24"/>
        </w:rPr>
        <w:t>blockholders</w:t>
      </w:r>
      <w:proofErr w:type="spellEnd"/>
      <w:r w:rsidR="00B85EAC" w:rsidRPr="00BC68C4">
        <w:rPr>
          <w:rFonts w:ascii="Times New Roman" w:hAnsi="Times New Roman" w:cs="Times New Roman"/>
          <w:sz w:val="24"/>
          <w:szCs w:val="24"/>
        </w:rPr>
        <w:t>.</w:t>
      </w:r>
      <w:r>
        <w:rPr>
          <w:rFonts w:ascii="Times New Roman" w:hAnsi="Times New Roman" w:cs="Times New Roman"/>
          <w:sz w:val="24"/>
          <w:szCs w:val="24"/>
        </w:rPr>
        <w:t xml:space="preserve">  The variables are described in Appendix 2.  </w:t>
      </w:r>
    </w:p>
    <w:p w14:paraId="0EBF6584" w14:textId="77777777" w:rsidR="006F5264" w:rsidRDefault="006F5264" w:rsidP="007164A6">
      <w:pPr>
        <w:spacing w:line="480" w:lineRule="auto"/>
        <w:rPr>
          <w:rFonts w:ascii="Times New Roman" w:hAnsi="Times New Roman" w:cs="Times New Roman"/>
          <w:sz w:val="24"/>
          <w:szCs w:val="24"/>
        </w:rPr>
      </w:pPr>
    </w:p>
    <w:p w14:paraId="0373BB9D" w14:textId="523A160C" w:rsidR="006F5264" w:rsidRPr="00BC68C4" w:rsidRDefault="006F5264" w:rsidP="006F5264">
      <w:pPr>
        <w:spacing w:line="480" w:lineRule="auto"/>
        <w:jc w:val="center"/>
        <w:rPr>
          <w:rFonts w:ascii="Times New Roman" w:hAnsi="Times New Roman" w:cs="Times New Roman"/>
          <w:sz w:val="24"/>
          <w:szCs w:val="24"/>
        </w:rPr>
      </w:pPr>
      <w:r w:rsidRPr="00BC68C4">
        <w:rPr>
          <w:rFonts w:ascii="Times New Roman" w:hAnsi="Times New Roman" w:cs="Times New Roman"/>
          <w:sz w:val="24"/>
          <w:szCs w:val="24"/>
        </w:rPr>
        <w:t xml:space="preserve">&lt;&lt;Insert Table </w:t>
      </w:r>
      <w:r>
        <w:rPr>
          <w:rFonts w:ascii="Times New Roman" w:hAnsi="Times New Roman" w:cs="Times New Roman"/>
          <w:sz w:val="24"/>
          <w:szCs w:val="24"/>
        </w:rPr>
        <w:t>1</w:t>
      </w:r>
      <w:r w:rsidRPr="00BC68C4">
        <w:rPr>
          <w:rFonts w:ascii="Times New Roman" w:hAnsi="Times New Roman" w:cs="Times New Roman"/>
          <w:sz w:val="24"/>
          <w:szCs w:val="24"/>
        </w:rPr>
        <w:t>&gt;&gt;</w:t>
      </w:r>
    </w:p>
    <w:p w14:paraId="5FA62203" w14:textId="77777777" w:rsidR="006F5264" w:rsidRPr="00BC68C4" w:rsidRDefault="006F5264" w:rsidP="007164A6">
      <w:pPr>
        <w:spacing w:line="480" w:lineRule="auto"/>
        <w:rPr>
          <w:rFonts w:ascii="Times New Roman" w:hAnsi="Times New Roman" w:cs="Times New Roman"/>
          <w:sz w:val="24"/>
          <w:szCs w:val="24"/>
        </w:rPr>
      </w:pPr>
    </w:p>
    <w:p w14:paraId="258B13EB" w14:textId="4273396A" w:rsidR="00FF2498" w:rsidRPr="00BC68C4" w:rsidRDefault="001B167F" w:rsidP="00A90372">
      <w:pPr>
        <w:spacing w:line="480" w:lineRule="auto"/>
        <w:rPr>
          <w:rFonts w:ascii="Times New Roman" w:hAnsi="Times New Roman" w:cs="Times New Roman"/>
          <w:sz w:val="24"/>
          <w:szCs w:val="24"/>
        </w:rPr>
      </w:pPr>
      <w:r w:rsidRPr="00BC68C4">
        <w:rPr>
          <w:rFonts w:ascii="Times New Roman" w:hAnsi="Times New Roman" w:cs="Times New Roman"/>
          <w:sz w:val="24"/>
          <w:szCs w:val="24"/>
        </w:rPr>
        <w:tab/>
      </w:r>
      <w:r w:rsidR="00716269">
        <w:rPr>
          <w:rFonts w:ascii="Times New Roman" w:hAnsi="Times New Roman" w:cs="Times New Roman"/>
          <w:sz w:val="24"/>
          <w:szCs w:val="24"/>
        </w:rPr>
        <w:t xml:space="preserve">Summary statistics are presented in </w:t>
      </w:r>
      <w:r w:rsidR="00233874" w:rsidRPr="00BC68C4">
        <w:rPr>
          <w:rFonts w:ascii="Times New Roman" w:hAnsi="Times New Roman" w:cs="Times New Roman"/>
          <w:sz w:val="24"/>
          <w:szCs w:val="24"/>
        </w:rPr>
        <w:t xml:space="preserve">Table </w:t>
      </w:r>
      <w:r w:rsidR="009B09A3">
        <w:rPr>
          <w:rFonts w:ascii="Times New Roman" w:hAnsi="Times New Roman" w:cs="Times New Roman"/>
          <w:sz w:val="24"/>
          <w:szCs w:val="24"/>
        </w:rPr>
        <w:t>1</w:t>
      </w:r>
      <w:r w:rsidR="00233874" w:rsidRPr="00BC68C4">
        <w:rPr>
          <w:rFonts w:ascii="Times New Roman" w:hAnsi="Times New Roman" w:cs="Times New Roman"/>
          <w:sz w:val="24"/>
          <w:szCs w:val="24"/>
        </w:rPr>
        <w:t xml:space="preserve">, </w:t>
      </w:r>
      <w:r w:rsidR="00233874" w:rsidRPr="00BC68C4">
        <w:rPr>
          <w:rFonts w:ascii="Times New Roman" w:hAnsi="Times New Roman" w:cs="Times New Roman"/>
          <w:i/>
          <w:sz w:val="24"/>
          <w:szCs w:val="24"/>
        </w:rPr>
        <w:t>Vote</w:t>
      </w:r>
      <w:r w:rsidR="007752EB" w:rsidRPr="00BC68C4">
        <w:rPr>
          <w:rFonts w:ascii="Times New Roman" w:hAnsi="Times New Roman" w:cs="Times New Roman"/>
          <w:i/>
          <w:sz w:val="24"/>
          <w:szCs w:val="24"/>
        </w:rPr>
        <w:t>Largest</w:t>
      </w:r>
      <w:r w:rsidR="00233874" w:rsidRPr="00BC68C4">
        <w:rPr>
          <w:rFonts w:ascii="Times New Roman" w:hAnsi="Times New Roman" w:cs="Times New Roman"/>
          <w:i/>
          <w:sz w:val="24"/>
          <w:szCs w:val="24"/>
        </w:rPr>
        <w:t>5</w:t>
      </w:r>
      <w:r w:rsidR="00DE64AC" w:rsidRPr="00BC68C4">
        <w:rPr>
          <w:rFonts w:ascii="Times New Roman" w:hAnsi="Times New Roman" w:cs="Times New Roman"/>
          <w:sz w:val="24"/>
          <w:szCs w:val="24"/>
        </w:rPr>
        <w:t xml:space="preserve"> and </w:t>
      </w:r>
      <w:proofErr w:type="spellStart"/>
      <w:r w:rsidR="00233874" w:rsidRPr="00BC68C4">
        <w:rPr>
          <w:rFonts w:ascii="Times New Roman" w:hAnsi="Times New Roman" w:cs="Times New Roman"/>
          <w:i/>
          <w:sz w:val="24"/>
          <w:szCs w:val="24"/>
        </w:rPr>
        <w:t>VoteHHI</w:t>
      </w:r>
      <w:proofErr w:type="spellEnd"/>
      <w:r w:rsidR="00233874" w:rsidRPr="00BC68C4">
        <w:rPr>
          <w:rFonts w:ascii="Times New Roman" w:hAnsi="Times New Roman" w:cs="Times New Roman"/>
          <w:sz w:val="24"/>
          <w:szCs w:val="24"/>
        </w:rPr>
        <w:t xml:space="preserve"> variables </w:t>
      </w:r>
      <w:r w:rsidR="00DE64AC" w:rsidRPr="00BC68C4">
        <w:rPr>
          <w:rFonts w:ascii="Times New Roman" w:hAnsi="Times New Roman" w:cs="Times New Roman"/>
          <w:sz w:val="24"/>
          <w:szCs w:val="24"/>
        </w:rPr>
        <w:t>both</w:t>
      </w:r>
      <w:r w:rsidR="00233874" w:rsidRPr="00BC68C4">
        <w:rPr>
          <w:rFonts w:ascii="Times New Roman" w:hAnsi="Times New Roman" w:cs="Times New Roman"/>
          <w:sz w:val="24"/>
          <w:szCs w:val="24"/>
        </w:rPr>
        <w:t xml:space="preserve"> indicate that corporate ownership was relatively </w:t>
      </w:r>
      <w:r w:rsidR="00DF12D7" w:rsidRPr="00BC68C4">
        <w:rPr>
          <w:rFonts w:ascii="Times New Roman" w:hAnsi="Times New Roman" w:cs="Times New Roman"/>
          <w:sz w:val="24"/>
          <w:szCs w:val="24"/>
        </w:rPr>
        <w:t xml:space="preserve">diffuse in </w:t>
      </w:r>
      <w:r w:rsidR="00A93C32" w:rsidRPr="00BC68C4">
        <w:rPr>
          <w:rFonts w:ascii="Times New Roman" w:hAnsi="Times New Roman" w:cs="Times New Roman"/>
          <w:sz w:val="24"/>
          <w:szCs w:val="24"/>
        </w:rPr>
        <w:t>our sample</w:t>
      </w:r>
      <w:r w:rsidR="00DF12D7" w:rsidRPr="00BC68C4">
        <w:rPr>
          <w:rFonts w:ascii="Times New Roman" w:hAnsi="Times New Roman" w:cs="Times New Roman"/>
          <w:sz w:val="24"/>
          <w:szCs w:val="24"/>
        </w:rPr>
        <w:t>.</w:t>
      </w:r>
      <w:r w:rsidR="007D2398" w:rsidRPr="00BC68C4">
        <w:rPr>
          <w:rFonts w:ascii="Times New Roman" w:hAnsi="Times New Roman" w:cs="Times New Roman"/>
          <w:sz w:val="24"/>
          <w:szCs w:val="24"/>
        </w:rPr>
        <w:t xml:space="preserve"> </w:t>
      </w:r>
      <w:r w:rsidR="00DF12D7" w:rsidRPr="00BC68C4">
        <w:rPr>
          <w:rFonts w:ascii="Times New Roman" w:hAnsi="Times New Roman" w:cs="Times New Roman"/>
          <w:sz w:val="24"/>
          <w:szCs w:val="24"/>
        </w:rPr>
        <w:t xml:space="preserve">Notably, the average of the </w:t>
      </w:r>
      <w:r w:rsidR="00212B45" w:rsidRPr="00BC68C4">
        <w:rPr>
          <w:rFonts w:ascii="Times New Roman" w:hAnsi="Times New Roman" w:cs="Times New Roman"/>
          <w:i/>
          <w:sz w:val="24"/>
          <w:szCs w:val="24"/>
        </w:rPr>
        <w:t>Vote</w:t>
      </w:r>
      <w:r w:rsidR="007752EB" w:rsidRPr="00BC68C4">
        <w:rPr>
          <w:rFonts w:ascii="Times New Roman" w:hAnsi="Times New Roman" w:cs="Times New Roman"/>
          <w:i/>
          <w:sz w:val="24"/>
          <w:szCs w:val="24"/>
        </w:rPr>
        <w:t>Largest5</w:t>
      </w:r>
      <w:r w:rsidR="007752EB" w:rsidRPr="00BC68C4">
        <w:rPr>
          <w:rFonts w:ascii="Times New Roman" w:hAnsi="Times New Roman" w:cs="Times New Roman"/>
          <w:sz w:val="24"/>
          <w:szCs w:val="24"/>
        </w:rPr>
        <w:t xml:space="preserve"> variable at </w:t>
      </w:r>
      <w:r w:rsidR="00212B45" w:rsidRPr="00BC68C4">
        <w:rPr>
          <w:rFonts w:ascii="Times New Roman" w:hAnsi="Times New Roman" w:cs="Times New Roman"/>
          <w:sz w:val="24"/>
          <w:szCs w:val="24"/>
        </w:rPr>
        <w:t>21.</w:t>
      </w:r>
      <w:r w:rsidR="00276ED1" w:rsidRPr="00BC68C4">
        <w:rPr>
          <w:rFonts w:ascii="Times New Roman" w:hAnsi="Times New Roman" w:cs="Times New Roman"/>
          <w:sz w:val="24"/>
          <w:szCs w:val="24"/>
        </w:rPr>
        <w:t>44</w:t>
      </w:r>
      <w:r w:rsidR="00DF12D7" w:rsidRPr="00BC68C4">
        <w:rPr>
          <w:rFonts w:ascii="Times New Roman" w:hAnsi="Times New Roman" w:cs="Times New Roman"/>
          <w:sz w:val="24"/>
          <w:szCs w:val="24"/>
        </w:rPr>
        <w:t xml:space="preserve"> per cent</w:t>
      </w:r>
      <w:r w:rsidR="0069108E" w:rsidRPr="00BC68C4">
        <w:rPr>
          <w:rFonts w:ascii="Times New Roman" w:hAnsi="Times New Roman" w:cs="Times New Roman"/>
          <w:sz w:val="24"/>
          <w:szCs w:val="24"/>
        </w:rPr>
        <w:t xml:space="preserve"> </w:t>
      </w:r>
      <w:r w:rsidR="00DF12D7" w:rsidRPr="00BC68C4">
        <w:rPr>
          <w:rFonts w:ascii="Times New Roman" w:hAnsi="Times New Roman" w:cs="Times New Roman"/>
          <w:sz w:val="24"/>
          <w:szCs w:val="24"/>
        </w:rPr>
        <w:t xml:space="preserve">is </w:t>
      </w:r>
      <w:r w:rsidR="00EE522D" w:rsidRPr="00BC68C4">
        <w:rPr>
          <w:rFonts w:ascii="Times New Roman" w:hAnsi="Times New Roman" w:cs="Times New Roman"/>
          <w:sz w:val="24"/>
          <w:szCs w:val="24"/>
        </w:rPr>
        <w:t>very simil</w:t>
      </w:r>
      <w:r w:rsidR="00A95977" w:rsidRPr="00BC68C4">
        <w:rPr>
          <w:rFonts w:ascii="Times New Roman" w:hAnsi="Times New Roman" w:cs="Times New Roman"/>
          <w:sz w:val="24"/>
          <w:szCs w:val="24"/>
        </w:rPr>
        <w:t>ar to the capital owned by the five</w:t>
      </w:r>
      <w:r w:rsidR="00EE522D" w:rsidRPr="00BC68C4">
        <w:rPr>
          <w:rFonts w:ascii="Times New Roman" w:hAnsi="Times New Roman" w:cs="Times New Roman"/>
          <w:sz w:val="24"/>
          <w:szCs w:val="24"/>
        </w:rPr>
        <w:t xml:space="preserve"> largest shareholders</w:t>
      </w:r>
      <w:r w:rsidR="0077180C" w:rsidRPr="00BC68C4">
        <w:rPr>
          <w:rFonts w:ascii="Times New Roman" w:hAnsi="Times New Roman" w:cs="Times New Roman"/>
          <w:sz w:val="24"/>
          <w:szCs w:val="24"/>
        </w:rPr>
        <w:t xml:space="preserve"> in modern studies</w:t>
      </w:r>
      <w:r w:rsidR="00DF12D7" w:rsidRPr="00BC68C4">
        <w:rPr>
          <w:rFonts w:ascii="Times New Roman" w:hAnsi="Times New Roman" w:cs="Times New Roman"/>
          <w:sz w:val="24"/>
          <w:szCs w:val="24"/>
        </w:rPr>
        <w:t xml:space="preserve"> </w:t>
      </w:r>
      <w:r w:rsidR="0077180C" w:rsidRPr="00BC68C4">
        <w:rPr>
          <w:rFonts w:ascii="Times New Roman" w:hAnsi="Times New Roman" w:cs="Times New Roman"/>
          <w:sz w:val="24"/>
          <w:szCs w:val="24"/>
        </w:rPr>
        <w:t>(e.g.,</w:t>
      </w:r>
      <w:r w:rsidR="00DF12D7" w:rsidRPr="00BC68C4">
        <w:rPr>
          <w:rFonts w:ascii="Times New Roman" w:hAnsi="Times New Roman" w:cs="Times New Roman"/>
          <w:sz w:val="24"/>
          <w:szCs w:val="24"/>
        </w:rPr>
        <w:t xml:space="preserve"> </w:t>
      </w:r>
      <w:proofErr w:type="spellStart"/>
      <w:r w:rsidR="00DF12D7" w:rsidRPr="00BC68C4">
        <w:rPr>
          <w:rFonts w:ascii="Times New Roman" w:hAnsi="Times New Roman" w:cs="Times New Roman"/>
          <w:sz w:val="24"/>
          <w:szCs w:val="24"/>
        </w:rPr>
        <w:t>Demsetz</w:t>
      </w:r>
      <w:proofErr w:type="spellEnd"/>
      <w:r w:rsidR="00DF12D7" w:rsidRPr="00BC68C4">
        <w:rPr>
          <w:rFonts w:ascii="Times New Roman" w:hAnsi="Times New Roman" w:cs="Times New Roman"/>
          <w:sz w:val="24"/>
          <w:szCs w:val="24"/>
        </w:rPr>
        <w:t xml:space="preserve"> and </w:t>
      </w:r>
      <w:proofErr w:type="spellStart"/>
      <w:r w:rsidR="00DF12D7" w:rsidRPr="00BC68C4">
        <w:rPr>
          <w:rFonts w:ascii="Times New Roman" w:hAnsi="Times New Roman" w:cs="Times New Roman"/>
          <w:sz w:val="24"/>
          <w:szCs w:val="24"/>
        </w:rPr>
        <w:t>Vil</w:t>
      </w:r>
      <w:r w:rsidR="0077180C" w:rsidRPr="00BC68C4">
        <w:rPr>
          <w:rFonts w:ascii="Times New Roman" w:hAnsi="Times New Roman" w:cs="Times New Roman"/>
          <w:sz w:val="24"/>
          <w:szCs w:val="24"/>
        </w:rPr>
        <w:t>lalonga</w:t>
      </w:r>
      <w:proofErr w:type="spellEnd"/>
      <w:r w:rsidR="0077180C" w:rsidRPr="00BC68C4">
        <w:rPr>
          <w:rFonts w:ascii="Times New Roman" w:hAnsi="Times New Roman" w:cs="Times New Roman"/>
          <w:sz w:val="24"/>
          <w:szCs w:val="24"/>
        </w:rPr>
        <w:t>, 2001;</w:t>
      </w:r>
      <w:r w:rsidR="000F21F6" w:rsidRPr="00BC68C4">
        <w:rPr>
          <w:rFonts w:ascii="Times New Roman" w:hAnsi="Times New Roman" w:cs="Times New Roman"/>
          <w:sz w:val="24"/>
          <w:szCs w:val="24"/>
        </w:rPr>
        <w:t xml:space="preserve"> </w:t>
      </w:r>
      <w:r w:rsidR="0077180C" w:rsidRPr="00BC68C4">
        <w:rPr>
          <w:rFonts w:ascii="Times New Roman" w:hAnsi="Times New Roman" w:cs="Times New Roman"/>
          <w:sz w:val="24"/>
          <w:szCs w:val="24"/>
        </w:rPr>
        <w:t xml:space="preserve">Davies et al., </w:t>
      </w:r>
      <w:r w:rsidR="000F21F6" w:rsidRPr="00BC68C4">
        <w:rPr>
          <w:rFonts w:ascii="Times New Roman" w:hAnsi="Times New Roman" w:cs="Times New Roman"/>
          <w:sz w:val="24"/>
          <w:szCs w:val="24"/>
        </w:rPr>
        <w:t>2005</w:t>
      </w:r>
      <w:r w:rsidR="0077180C" w:rsidRPr="00BC68C4">
        <w:rPr>
          <w:rFonts w:ascii="Times New Roman" w:hAnsi="Times New Roman" w:cs="Times New Roman"/>
          <w:sz w:val="24"/>
          <w:szCs w:val="24"/>
        </w:rPr>
        <w:t>;</w:t>
      </w:r>
      <w:r w:rsidR="000F21F6" w:rsidRPr="00BC68C4">
        <w:rPr>
          <w:rFonts w:ascii="Times New Roman" w:hAnsi="Times New Roman" w:cs="Times New Roman"/>
          <w:sz w:val="24"/>
          <w:szCs w:val="24"/>
        </w:rPr>
        <w:t xml:space="preserve"> </w:t>
      </w:r>
      <w:r w:rsidR="0077180C" w:rsidRPr="00BC68C4">
        <w:rPr>
          <w:rFonts w:ascii="Times New Roman" w:hAnsi="Times New Roman" w:cs="Times New Roman"/>
          <w:sz w:val="24"/>
          <w:szCs w:val="24"/>
        </w:rPr>
        <w:t xml:space="preserve">and </w:t>
      </w:r>
      <w:proofErr w:type="spellStart"/>
      <w:r w:rsidR="0077180C" w:rsidRPr="00BC68C4">
        <w:rPr>
          <w:rFonts w:ascii="Times New Roman" w:hAnsi="Times New Roman" w:cs="Times New Roman"/>
          <w:sz w:val="24"/>
          <w:szCs w:val="24"/>
        </w:rPr>
        <w:t>Maury</w:t>
      </w:r>
      <w:proofErr w:type="spellEnd"/>
      <w:r w:rsidR="0077180C" w:rsidRPr="00BC68C4">
        <w:rPr>
          <w:rFonts w:ascii="Times New Roman" w:hAnsi="Times New Roman" w:cs="Times New Roman"/>
          <w:sz w:val="24"/>
          <w:szCs w:val="24"/>
        </w:rPr>
        <w:t xml:space="preserve">, </w:t>
      </w:r>
      <w:r w:rsidR="000F21F6" w:rsidRPr="00BC68C4">
        <w:rPr>
          <w:rFonts w:ascii="Times New Roman" w:hAnsi="Times New Roman" w:cs="Times New Roman"/>
          <w:sz w:val="24"/>
          <w:szCs w:val="24"/>
        </w:rPr>
        <w:t xml:space="preserve">2006).  </w:t>
      </w:r>
      <w:r w:rsidR="00DC1AC7" w:rsidRPr="00BC68C4">
        <w:rPr>
          <w:rFonts w:ascii="Times New Roman" w:hAnsi="Times New Roman" w:cs="Times New Roman"/>
          <w:sz w:val="24"/>
          <w:szCs w:val="24"/>
        </w:rPr>
        <w:t xml:space="preserve">In our regression analysis, we take log values of </w:t>
      </w:r>
      <w:r w:rsidR="00DC1AC7" w:rsidRPr="00BC68C4">
        <w:rPr>
          <w:rFonts w:ascii="Times New Roman" w:hAnsi="Times New Roman" w:cs="Times New Roman"/>
          <w:i/>
          <w:sz w:val="24"/>
          <w:szCs w:val="24"/>
        </w:rPr>
        <w:t>Vote</w:t>
      </w:r>
      <w:r w:rsidR="007752EB" w:rsidRPr="00BC68C4">
        <w:rPr>
          <w:rFonts w:ascii="Times New Roman" w:hAnsi="Times New Roman" w:cs="Times New Roman"/>
          <w:i/>
          <w:sz w:val="24"/>
          <w:szCs w:val="24"/>
        </w:rPr>
        <w:t>Largest</w:t>
      </w:r>
      <w:r w:rsidR="00DC1AC7" w:rsidRPr="00BC68C4">
        <w:rPr>
          <w:rFonts w:ascii="Times New Roman" w:hAnsi="Times New Roman" w:cs="Times New Roman"/>
          <w:i/>
          <w:sz w:val="24"/>
          <w:szCs w:val="24"/>
        </w:rPr>
        <w:t>5</w:t>
      </w:r>
      <w:r w:rsidR="00104D55" w:rsidRPr="00BC68C4">
        <w:rPr>
          <w:rFonts w:ascii="Times New Roman" w:hAnsi="Times New Roman" w:cs="Times New Roman"/>
          <w:sz w:val="24"/>
          <w:szCs w:val="24"/>
        </w:rPr>
        <w:t xml:space="preserve"> and </w:t>
      </w:r>
      <w:proofErr w:type="spellStart"/>
      <w:r w:rsidR="00DC1AC7" w:rsidRPr="00BC68C4">
        <w:rPr>
          <w:rFonts w:ascii="Times New Roman" w:hAnsi="Times New Roman" w:cs="Times New Roman"/>
          <w:i/>
          <w:sz w:val="24"/>
          <w:szCs w:val="24"/>
        </w:rPr>
        <w:t>VoteHHI</w:t>
      </w:r>
      <w:proofErr w:type="spellEnd"/>
      <w:r w:rsidR="00DC1AC7" w:rsidRPr="00BC68C4">
        <w:rPr>
          <w:rFonts w:ascii="Times New Roman" w:hAnsi="Times New Roman" w:cs="Times New Roman"/>
          <w:sz w:val="24"/>
          <w:szCs w:val="24"/>
        </w:rPr>
        <w:t xml:space="preserve"> to obtain symmetric </w:t>
      </w:r>
      <w:r w:rsidR="00DC1AC7" w:rsidRPr="006658C5">
        <w:rPr>
          <w:rFonts w:ascii="Times New Roman" w:hAnsi="Times New Roman" w:cs="Times New Roman"/>
          <w:sz w:val="24"/>
          <w:szCs w:val="24"/>
        </w:rPr>
        <w:t>distributions.</w:t>
      </w:r>
      <w:r w:rsidR="00DF12D7" w:rsidRPr="006658C5">
        <w:rPr>
          <w:rFonts w:ascii="Times New Roman" w:hAnsi="Times New Roman" w:cs="Times New Roman"/>
          <w:sz w:val="24"/>
          <w:szCs w:val="24"/>
        </w:rPr>
        <w:t xml:space="preserve"> </w:t>
      </w:r>
      <w:r w:rsidR="00F21A28" w:rsidRPr="006658C5">
        <w:rPr>
          <w:rFonts w:ascii="Times New Roman" w:hAnsi="Times New Roman" w:cs="Times New Roman"/>
          <w:sz w:val="24"/>
          <w:szCs w:val="24"/>
        </w:rPr>
        <w:t>D</w:t>
      </w:r>
      <w:r w:rsidR="00EE522D" w:rsidRPr="006658C5">
        <w:rPr>
          <w:rFonts w:ascii="Times New Roman" w:hAnsi="Times New Roman" w:cs="Times New Roman"/>
          <w:sz w:val="24"/>
          <w:szCs w:val="24"/>
        </w:rPr>
        <w:t>irectors, on</w:t>
      </w:r>
      <w:r w:rsidR="00EE522D" w:rsidRPr="00BC68C4">
        <w:rPr>
          <w:rFonts w:ascii="Times New Roman" w:hAnsi="Times New Roman" w:cs="Times New Roman"/>
          <w:sz w:val="24"/>
          <w:szCs w:val="24"/>
        </w:rPr>
        <w:t xml:space="preserve"> average, control</w:t>
      </w:r>
      <w:r w:rsidR="000F21F6" w:rsidRPr="00BC68C4">
        <w:rPr>
          <w:rFonts w:ascii="Times New Roman" w:hAnsi="Times New Roman" w:cs="Times New Roman"/>
          <w:sz w:val="24"/>
          <w:szCs w:val="24"/>
        </w:rPr>
        <w:t xml:space="preserve"> a</w:t>
      </w:r>
      <w:r w:rsidR="00EE522D" w:rsidRPr="00BC68C4">
        <w:rPr>
          <w:rFonts w:ascii="Times New Roman" w:hAnsi="Times New Roman" w:cs="Times New Roman"/>
          <w:sz w:val="24"/>
          <w:szCs w:val="24"/>
        </w:rPr>
        <w:t xml:space="preserve"> fairly</w:t>
      </w:r>
      <w:r w:rsidR="000F21F6" w:rsidRPr="00BC68C4">
        <w:rPr>
          <w:rFonts w:ascii="Times New Roman" w:hAnsi="Times New Roman" w:cs="Times New Roman"/>
          <w:sz w:val="24"/>
          <w:szCs w:val="24"/>
        </w:rPr>
        <w:t xml:space="preserve"> small proportion</w:t>
      </w:r>
      <w:r w:rsidR="000A43E6" w:rsidRPr="00BC68C4">
        <w:rPr>
          <w:rFonts w:ascii="Times New Roman" w:hAnsi="Times New Roman" w:cs="Times New Roman"/>
          <w:sz w:val="24"/>
          <w:szCs w:val="24"/>
        </w:rPr>
        <w:t xml:space="preserve"> of voting rights in our sample</w:t>
      </w:r>
      <w:r w:rsidR="00C3488F" w:rsidRPr="00BC68C4">
        <w:rPr>
          <w:rFonts w:ascii="Times New Roman" w:hAnsi="Times New Roman" w:cs="Times New Roman"/>
          <w:sz w:val="24"/>
          <w:szCs w:val="24"/>
        </w:rPr>
        <w:t>, with the average</w:t>
      </w:r>
      <w:r w:rsidR="00EE522D" w:rsidRPr="00BC68C4">
        <w:rPr>
          <w:rFonts w:ascii="Times New Roman" w:hAnsi="Times New Roman" w:cs="Times New Roman"/>
          <w:sz w:val="24"/>
          <w:szCs w:val="24"/>
        </w:rPr>
        <w:t>s of</w:t>
      </w:r>
      <w:r w:rsidR="00D541EB" w:rsidRPr="00BC68C4">
        <w:rPr>
          <w:rFonts w:ascii="Times New Roman" w:hAnsi="Times New Roman" w:cs="Times New Roman"/>
          <w:sz w:val="24"/>
          <w:szCs w:val="24"/>
        </w:rPr>
        <w:t xml:space="preserve"> </w:t>
      </w:r>
      <w:proofErr w:type="spellStart"/>
      <w:r w:rsidR="00D541EB" w:rsidRPr="00BC68C4">
        <w:rPr>
          <w:rFonts w:ascii="Times New Roman" w:hAnsi="Times New Roman" w:cs="Times New Roman"/>
          <w:i/>
          <w:sz w:val="24"/>
          <w:szCs w:val="24"/>
        </w:rPr>
        <w:t>VoteDir</w:t>
      </w:r>
      <w:proofErr w:type="spellEnd"/>
      <w:r w:rsidR="00D541EB" w:rsidRPr="00BC68C4">
        <w:rPr>
          <w:rFonts w:ascii="Times New Roman" w:hAnsi="Times New Roman" w:cs="Times New Roman"/>
          <w:sz w:val="24"/>
          <w:szCs w:val="24"/>
        </w:rPr>
        <w:t xml:space="preserve"> </w:t>
      </w:r>
      <w:r w:rsidR="00C3488F" w:rsidRPr="00BC68C4">
        <w:rPr>
          <w:rFonts w:ascii="Times New Roman" w:hAnsi="Times New Roman" w:cs="Times New Roman"/>
          <w:sz w:val="24"/>
          <w:szCs w:val="24"/>
        </w:rPr>
        <w:t>being 1</w:t>
      </w:r>
      <w:r w:rsidR="00000621" w:rsidRPr="00BC68C4">
        <w:rPr>
          <w:rFonts w:ascii="Times New Roman" w:hAnsi="Times New Roman" w:cs="Times New Roman"/>
          <w:sz w:val="24"/>
          <w:szCs w:val="24"/>
        </w:rPr>
        <w:t>1.53</w:t>
      </w:r>
      <w:r w:rsidR="00EE522D" w:rsidRPr="00BC68C4">
        <w:rPr>
          <w:rFonts w:ascii="Times New Roman" w:hAnsi="Times New Roman" w:cs="Times New Roman"/>
          <w:sz w:val="24"/>
          <w:szCs w:val="24"/>
        </w:rPr>
        <w:t xml:space="preserve"> per cent</w:t>
      </w:r>
      <w:r w:rsidR="00844BAA" w:rsidRPr="00BC68C4">
        <w:rPr>
          <w:rFonts w:ascii="Times New Roman" w:hAnsi="Times New Roman" w:cs="Times New Roman"/>
          <w:sz w:val="24"/>
          <w:szCs w:val="24"/>
        </w:rPr>
        <w:t>, not dissimilar to that reported by Foreman-Peck and Hannah (2012) for the largest 337 British firms in 1911</w:t>
      </w:r>
      <w:r w:rsidR="000F21F6" w:rsidRPr="00BC68C4">
        <w:rPr>
          <w:rFonts w:ascii="Times New Roman" w:hAnsi="Times New Roman" w:cs="Times New Roman"/>
          <w:sz w:val="24"/>
          <w:szCs w:val="24"/>
        </w:rPr>
        <w:t>.</w:t>
      </w:r>
      <w:r w:rsidR="000A43E6" w:rsidRPr="00BC68C4">
        <w:rPr>
          <w:rFonts w:ascii="Times New Roman" w:hAnsi="Times New Roman" w:cs="Times New Roman"/>
          <w:sz w:val="24"/>
          <w:szCs w:val="24"/>
        </w:rPr>
        <w:t xml:space="preserve">  </w:t>
      </w:r>
      <w:r w:rsidR="00F21A28">
        <w:rPr>
          <w:rFonts w:ascii="Times New Roman" w:hAnsi="Times New Roman" w:cs="Times New Roman"/>
          <w:sz w:val="24"/>
          <w:szCs w:val="24"/>
        </w:rPr>
        <w:t xml:space="preserve">We also </w:t>
      </w:r>
      <w:r w:rsidR="0050260A">
        <w:rPr>
          <w:rFonts w:ascii="Times New Roman" w:hAnsi="Times New Roman" w:cs="Times New Roman"/>
          <w:sz w:val="24"/>
          <w:szCs w:val="24"/>
        </w:rPr>
        <w:t>summarize the</w:t>
      </w:r>
      <w:r w:rsidR="00462059" w:rsidRPr="00BC68C4">
        <w:rPr>
          <w:rFonts w:ascii="Times New Roman" w:hAnsi="Times New Roman" w:cs="Times New Roman"/>
          <w:sz w:val="24"/>
          <w:szCs w:val="24"/>
        </w:rPr>
        <w:t xml:space="preserve"> ownership of large</w:t>
      </w:r>
      <w:r w:rsidR="00EE522D" w:rsidRPr="00BC68C4">
        <w:rPr>
          <w:rFonts w:ascii="Times New Roman" w:hAnsi="Times New Roman" w:cs="Times New Roman"/>
          <w:sz w:val="24"/>
          <w:szCs w:val="24"/>
        </w:rPr>
        <w:t xml:space="preserve"> active</w:t>
      </w:r>
      <w:r w:rsidR="00462059" w:rsidRPr="00BC68C4">
        <w:rPr>
          <w:rFonts w:ascii="Times New Roman" w:hAnsi="Times New Roman" w:cs="Times New Roman"/>
          <w:sz w:val="24"/>
          <w:szCs w:val="24"/>
        </w:rPr>
        <w:t xml:space="preserve"> </w:t>
      </w:r>
      <w:proofErr w:type="spellStart"/>
      <w:r w:rsidR="00465A02" w:rsidRPr="00BC68C4">
        <w:rPr>
          <w:rFonts w:ascii="Times New Roman" w:hAnsi="Times New Roman" w:cs="Times New Roman"/>
          <w:sz w:val="24"/>
          <w:szCs w:val="24"/>
        </w:rPr>
        <w:t>blockholders</w:t>
      </w:r>
      <w:proofErr w:type="spellEnd"/>
      <w:r w:rsidR="00462059" w:rsidRPr="00BC68C4">
        <w:rPr>
          <w:rFonts w:ascii="Times New Roman" w:hAnsi="Times New Roman" w:cs="Times New Roman"/>
          <w:sz w:val="24"/>
          <w:szCs w:val="24"/>
        </w:rPr>
        <w:t xml:space="preserve"> </w:t>
      </w:r>
      <w:r w:rsidR="00EE522D" w:rsidRPr="00BC68C4">
        <w:rPr>
          <w:rFonts w:ascii="Times New Roman" w:hAnsi="Times New Roman" w:cs="Times New Roman"/>
          <w:sz w:val="24"/>
          <w:szCs w:val="24"/>
        </w:rPr>
        <w:t>who were</w:t>
      </w:r>
      <w:r w:rsidR="00462059" w:rsidRPr="00BC68C4">
        <w:rPr>
          <w:rFonts w:ascii="Times New Roman" w:hAnsi="Times New Roman" w:cs="Times New Roman"/>
          <w:sz w:val="24"/>
          <w:szCs w:val="24"/>
        </w:rPr>
        <w:t xml:space="preserve"> directors, the ownership of </w:t>
      </w:r>
      <w:r w:rsidR="00EE522D" w:rsidRPr="00BC68C4">
        <w:rPr>
          <w:rFonts w:ascii="Times New Roman" w:hAnsi="Times New Roman" w:cs="Times New Roman"/>
          <w:sz w:val="24"/>
          <w:szCs w:val="24"/>
        </w:rPr>
        <w:t>large passive</w:t>
      </w:r>
      <w:r w:rsidR="00B85DBE" w:rsidRPr="00BC68C4">
        <w:rPr>
          <w:rFonts w:ascii="Times New Roman" w:hAnsi="Times New Roman" w:cs="Times New Roman"/>
          <w:sz w:val="24"/>
          <w:szCs w:val="24"/>
        </w:rPr>
        <w:t xml:space="preserve"> </w:t>
      </w:r>
      <w:proofErr w:type="spellStart"/>
      <w:r w:rsidR="00465A02" w:rsidRPr="00BC68C4">
        <w:rPr>
          <w:rFonts w:ascii="Times New Roman" w:hAnsi="Times New Roman" w:cs="Times New Roman"/>
          <w:sz w:val="24"/>
          <w:szCs w:val="24"/>
        </w:rPr>
        <w:t>blockholders</w:t>
      </w:r>
      <w:proofErr w:type="spellEnd"/>
      <w:r w:rsidR="00EE522D" w:rsidRPr="00BC68C4">
        <w:rPr>
          <w:rFonts w:ascii="Times New Roman" w:hAnsi="Times New Roman" w:cs="Times New Roman"/>
          <w:sz w:val="24"/>
          <w:szCs w:val="24"/>
        </w:rPr>
        <w:t xml:space="preserve"> who were not directors,</w:t>
      </w:r>
      <w:r w:rsidR="00B85DBE" w:rsidRPr="00BC68C4">
        <w:rPr>
          <w:rFonts w:ascii="Times New Roman" w:hAnsi="Times New Roman" w:cs="Times New Roman"/>
          <w:sz w:val="24"/>
          <w:szCs w:val="24"/>
        </w:rPr>
        <w:t xml:space="preserve"> </w:t>
      </w:r>
      <w:r w:rsidR="00462059" w:rsidRPr="00BC68C4">
        <w:rPr>
          <w:rFonts w:ascii="Times New Roman" w:hAnsi="Times New Roman" w:cs="Times New Roman"/>
          <w:sz w:val="24"/>
          <w:szCs w:val="24"/>
        </w:rPr>
        <w:t xml:space="preserve">the ownership of </w:t>
      </w:r>
      <w:r w:rsidR="00EE522D" w:rsidRPr="00BC68C4">
        <w:rPr>
          <w:rFonts w:ascii="Times New Roman" w:hAnsi="Times New Roman" w:cs="Times New Roman"/>
          <w:sz w:val="24"/>
          <w:szCs w:val="24"/>
        </w:rPr>
        <w:t xml:space="preserve">directors who were not </w:t>
      </w:r>
      <w:proofErr w:type="spellStart"/>
      <w:r w:rsidR="00EE522D" w:rsidRPr="00BC68C4">
        <w:rPr>
          <w:rFonts w:ascii="Times New Roman" w:hAnsi="Times New Roman" w:cs="Times New Roman"/>
          <w:sz w:val="24"/>
          <w:szCs w:val="24"/>
        </w:rPr>
        <w:t>blockholders</w:t>
      </w:r>
      <w:proofErr w:type="spellEnd"/>
      <w:r w:rsidR="00EE522D" w:rsidRPr="00BC68C4">
        <w:rPr>
          <w:rFonts w:ascii="Times New Roman" w:hAnsi="Times New Roman" w:cs="Times New Roman"/>
          <w:sz w:val="24"/>
          <w:szCs w:val="24"/>
        </w:rPr>
        <w:t xml:space="preserve">, </w:t>
      </w:r>
      <w:r w:rsidR="00B85DBE" w:rsidRPr="00BC68C4">
        <w:rPr>
          <w:rFonts w:ascii="Times New Roman" w:hAnsi="Times New Roman" w:cs="Times New Roman"/>
          <w:sz w:val="24"/>
          <w:szCs w:val="24"/>
        </w:rPr>
        <w:t xml:space="preserve">and the ownership of </w:t>
      </w:r>
      <w:r w:rsidR="00EE522D" w:rsidRPr="00BC68C4">
        <w:rPr>
          <w:rFonts w:ascii="Times New Roman" w:hAnsi="Times New Roman" w:cs="Times New Roman"/>
          <w:sz w:val="24"/>
          <w:szCs w:val="24"/>
        </w:rPr>
        <w:t xml:space="preserve">all </w:t>
      </w:r>
      <w:r w:rsidR="00B85DBE" w:rsidRPr="00BC68C4">
        <w:rPr>
          <w:rFonts w:ascii="Times New Roman" w:hAnsi="Times New Roman" w:cs="Times New Roman"/>
          <w:sz w:val="24"/>
          <w:szCs w:val="24"/>
        </w:rPr>
        <w:t>insiders i.e</w:t>
      </w:r>
      <w:r w:rsidR="00462059" w:rsidRPr="00BC68C4">
        <w:rPr>
          <w:rFonts w:ascii="Times New Roman" w:hAnsi="Times New Roman" w:cs="Times New Roman"/>
          <w:sz w:val="24"/>
          <w:szCs w:val="24"/>
        </w:rPr>
        <w:t>.</w:t>
      </w:r>
      <w:r w:rsidR="00B85DBE" w:rsidRPr="00BC68C4">
        <w:rPr>
          <w:rFonts w:ascii="Times New Roman" w:hAnsi="Times New Roman" w:cs="Times New Roman"/>
          <w:sz w:val="24"/>
          <w:szCs w:val="24"/>
        </w:rPr>
        <w:t xml:space="preserve">, directors </w:t>
      </w:r>
      <w:r w:rsidR="000E7E97" w:rsidRPr="00BC68C4">
        <w:rPr>
          <w:rFonts w:ascii="Times New Roman" w:hAnsi="Times New Roman" w:cs="Times New Roman"/>
          <w:sz w:val="24"/>
          <w:szCs w:val="24"/>
        </w:rPr>
        <w:t>plus</w:t>
      </w:r>
      <w:r w:rsidR="00B85DBE" w:rsidRPr="00BC68C4">
        <w:rPr>
          <w:rFonts w:ascii="Times New Roman" w:hAnsi="Times New Roman" w:cs="Times New Roman"/>
          <w:sz w:val="24"/>
          <w:szCs w:val="24"/>
        </w:rPr>
        <w:t xml:space="preserve"> large </w:t>
      </w:r>
      <w:proofErr w:type="spellStart"/>
      <w:r w:rsidR="00465A02" w:rsidRPr="00BC68C4">
        <w:rPr>
          <w:rFonts w:ascii="Times New Roman" w:hAnsi="Times New Roman" w:cs="Times New Roman"/>
          <w:sz w:val="24"/>
          <w:szCs w:val="24"/>
        </w:rPr>
        <w:t>block</w:t>
      </w:r>
      <w:r w:rsidR="00B85DBE" w:rsidRPr="00BC68C4">
        <w:rPr>
          <w:rFonts w:ascii="Times New Roman" w:hAnsi="Times New Roman" w:cs="Times New Roman"/>
          <w:sz w:val="24"/>
          <w:szCs w:val="24"/>
        </w:rPr>
        <w:t>holders</w:t>
      </w:r>
      <w:proofErr w:type="spellEnd"/>
      <w:r w:rsidR="00B85DBE" w:rsidRPr="00BC68C4">
        <w:rPr>
          <w:rFonts w:ascii="Times New Roman" w:hAnsi="Times New Roman" w:cs="Times New Roman"/>
          <w:sz w:val="24"/>
          <w:szCs w:val="24"/>
        </w:rPr>
        <w:t xml:space="preserve">.  </w:t>
      </w:r>
      <w:r w:rsidR="00000621" w:rsidRPr="00BC68C4">
        <w:rPr>
          <w:rFonts w:ascii="Times New Roman" w:hAnsi="Times New Roman" w:cs="Times New Roman"/>
          <w:sz w:val="24"/>
          <w:szCs w:val="24"/>
        </w:rPr>
        <w:t>The</w:t>
      </w:r>
      <w:r w:rsidR="00BD5EBB" w:rsidRPr="00BC68C4">
        <w:rPr>
          <w:rFonts w:ascii="Times New Roman" w:hAnsi="Times New Roman" w:cs="Times New Roman"/>
          <w:sz w:val="24"/>
          <w:szCs w:val="24"/>
        </w:rPr>
        <w:t xml:space="preserve"> mean and median of </w:t>
      </w:r>
      <w:proofErr w:type="spellStart"/>
      <w:r w:rsidR="00BD5EBB" w:rsidRPr="00BC68C4">
        <w:rPr>
          <w:rFonts w:ascii="Times New Roman" w:hAnsi="Times New Roman" w:cs="Times New Roman"/>
          <w:i/>
          <w:sz w:val="24"/>
          <w:szCs w:val="24"/>
        </w:rPr>
        <w:t>VoteInsiders</w:t>
      </w:r>
      <w:proofErr w:type="spellEnd"/>
      <w:r w:rsidR="00BD5EBB" w:rsidRPr="00BC68C4">
        <w:rPr>
          <w:rFonts w:ascii="Times New Roman" w:hAnsi="Times New Roman" w:cs="Times New Roman"/>
          <w:sz w:val="24"/>
          <w:szCs w:val="24"/>
        </w:rPr>
        <w:t>, which measures the votes of both directors and lar</w:t>
      </w:r>
      <w:r w:rsidR="00000621" w:rsidRPr="00BC68C4">
        <w:rPr>
          <w:rFonts w:ascii="Times New Roman" w:hAnsi="Times New Roman" w:cs="Times New Roman"/>
          <w:sz w:val="24"/>
          <w:szCs w:val="24"/>
        </w:rPr>
        <w:t>ge shareholders, are 14.38 and 9.06</w:t>
      </w:r>
      <w:r w:rsidR="00A95977" w:rsidRPr="00BC68C4">
        <w:rPr>
          <w:rFonts w:ascii="Times New Roman" w:hAnsi="Times New Roman" w:cs="Times New Roman"/>
          <w:sz w:val="24"/>
          <w:szCs w:val="24"/>
        </w:rPr>
        <w:t xml:space="preserve"> per cent respectively</w:t>
      </w:r>
      <w:r w:rsidR="00C66C40" w:rsidRPr="00BC68C4">
        <w:rPr>
          <w:rFonts w:ascii="Times New Roman" w:hAnsi="Times New Roman" w:cs="Times New Roman"/>
          <w:sz w:val="24"/>
          <w:szCs w:val="24"/>
        </w:rPr>
        <w:t>.</w:t>
      </w:r>
      <w:r w:rsidR="00BD5EBB" w:rsidRPr="00BC68C4">
        <w:rPr>
          <w:rFonts w:ascii="Times New Roman" w:hAnsi="Times New Roman" w:cs="Times New Roman"/>
          <w:sz w:val="24"/>
          <w:szCs w:val="24"/>
        </w:rPr>
        <w:t xml:space="preserve"> </w:t>
      </w:r>
      <w:proofErr w:type="spellStart"/>
      <w:r w:rsidR="00A7743F" w:rsidRPr="006658C5">
        <w:rPr>
          <w:rFonts w:ascii="Times New Roman" w:hAnsi="Times New Roman" w:cs="Times New Roman"/>
          <w:i/>
          <w:sz w:val="24"/>
          <w:szCs w:val="24"/>
        </w:rPr>
        <w:t>ActiveBlock</w:t>
      </w:r>
      <w:proofErr w:type="spellEnd"/>
      <w:r w:rsidR="00EE522D" w:rsidRPr="006658C5">
        <w:rPr>
          <w:rFonts w:ascii="Times New Roman" w:hAnsi="Times New Roman" w:cs="Times New Roman"/>
          <w:sz w:val="24"/>
          <w:szCs w:val="24"/>
        </w:rPr>
        <w:t xml:space="preserve"> and</w:t>
      </w:r>
      <w:r w:rsidR="00EE522D" w:rsidRPr="00BC68C4">
        <w:rPr>
          <w:rFonts w:ascii="Times New Roman" w:hAnsi="Times New Roman" w:cs="Times New Roman"/>
          <w:sz w:val="24"/>
          <w:szCs w:val="24"/>
        </w:rPr>
        <w:t xml:space="preserve"> </w:t>
      </w:r>
      <w:proofErr w:type="spellStart"/>
      <w:r w:rsidR="004A56B4" w:rsidRPr="00BC68C4">
        <w:rPr>
          <w:rFonts w:ascii="Times New Roman" w:hAnsi="Times New Roman" w:cs="Times New Roman"/>
          <w:i/>
          <w:sz w:val="24"/>
          <w:szCs w:val="24"/>
        </w:rPr>
        <w:t>PassiveBlock</w:t>
      </w:r>
      <w:proofErr w:type="spellEnd"/>
      <w:r w:rsidR="000E7E97" w:rsidRPr="00BC68C4">
        <w:rPr>
          <w:rFonts w:ascii="Times New Roman" w:hAnsi="Times New Roman" w:cs="Times New Roman"/>
          <w:sz w:val="24"/>
          <w:szCs w:val="24"/>
        </w:rPr>
        <w:t xml:space="preserve"> </w:t>
      </w:r>
      <w:r w:rsidR="00F21A28">
        <w:rPr>
          <w:rFonts w:ascii="Times New Roman" w:hAnsi="Times New Roman" w:cs="Times New Roman"/>
          <w:sz w:val="24"/>
          <w:szCs w:val="24"/>
        </w:rPr>
        <w:t xml:space="preserve">averages </w:t>
      </w:r>
      <w:r w:rsidR="00EE522D" w:rsidRPr="00BC68C4">
        <w:rPr>
          <w:rFonts w:ascii="Times New Roman" w:hAnsi="Times New Roman" w:cs="Times New Roman"/>
          <w:sz w:val="24"/>
          <w:szCs w:val="24"/>
        </w:rPr>
        <w:t>imply that a minority of</w:t>
      </w:r>
      <w:r w:rsidR="00B85DBE" w:rsidRPr="00BC68C4">
        <w:rPr>
          <w:rFonts w:ascii="Times New Roman" w:hAnsi="Times New Roman" w:cs="Times New Roman"/>
          <w:sz w:val="24"/>
          <w:szCs w:val="24"/>
        </w:rPr>
        <w:t xml:space="preserve"> firms had someone who was a large </w:t>
      </w:r>
      <w:proofErr w:type="spellStart"/>
      <w:r w:rsidR="001F616B" w:rsidRPr="00BC68C4">
        <w:rPr>
          <w:rFonts w:ascii="Times New Roman" w:hAnsi="Times New Roman" w:cs="Times New Roman"/>
          <w:sz w:val="24"/>
          <w:szCs w:val="24"/>
        </w:rPr>
        <w:t>block</w:t>
      </w:r>
      <w:r w:rsidR="00B85DBE" w:rsidRPr="00BC68C4">
        <w:rPr>
          <w:rFonts w:ascii="Times New Roman" w:hAnsi="Times New Roman" w:cs="Times New Roman"/>
          <w:sz w:val="24"/>
          <w:szCs w:val="24"/>
        </w:rPr>
        <w:t>holder</w:t>
      </w:r>
      <w:proofErr w:type="spellEnd"/>
      <w:r w:rsidR="00EE522D" w:rsidRPr="00BC68C4">
        <w:rPr>
          <w:rFonts w:ascii="Times New Roman" w:hAnsi="Times New Roman" w:cs="Times New Roman"/>
          <w:sz w:val="24"/>
          <w:szCs w:val="24"/>
        </w:rPr>
        <w:t>.</w:t>
      </w:r>
      <w:r w:rsidR="00B85DBE" w:rsidRPr="00BC68C4">
        <w:rPr>
          <w:rFonts w:ascii="Times New Roman" w:hAnsi="Times New Roman" w:cs="Times New Roman"/>
          <w:sz w:val="24"/>
          <w:szCs w:val="24"/>
        </w:rPr>
        <w:t xml:space="preserve"> </w:t>
      </w:r>
      <w:r w:rsidR="00F21A28">
        <w:rPr>
          <w:rFonts w:ascii="Times New Roman" w:hAnsi="Times New Roman" w:cs="Times New Roman"/>
          <w:sz w:val="24"/>
          <w:szCs w:val="24"/>
        </w:rPr>
        <w:t xml:space="preserve">However, </w:t>
      </w:r>
      <w:r w:rsidR="00C461DC" w:rsidRPr="00BC68C4">
        <w:rPr>
          <w:rFonts w:ascii="Times New Roman" w:hAnsi="Times New Roman" w:cs="Times New Roman"/>
          <w:sz w:val="24"/>
          <w:szCs w:val="24"/>
        </w:rPr>
        <w:t xml:space="preserve">the mean votes controlled by those </w:t>
      </w:r>
      <w:proofErr w:type="spellStart"/>
      <w:r w:rsidR="00C461DC" w:rsidRPr="00BC68C4">
        <w:rPr>
          <w:rFonts w:ascii="Times New Roman" w:hAnsi="Times New Roman" w:cs="Times New Roman"/>
          <w:sz w:val="24"/>
          <w:szCs w:val="24"/>
        </w:rPr>
        <w:t>blockholders</w:t>
      </w:r>
      <w:proofErr w:type="spellEnd"/>
      <w:r w:rsidR="00C461DC" w:rsidRPr="00BC68C4">
        <w:rPr>
          <w:rFonts w:ascii="Times New Roman" w:hAnsi="Times New Roman" w:cs="Times New Roman"/>
          <w:sz w:val="24"/>
          <w:szCs w:val="24"/>
        </w:rPr>
        <w:t xml:space="preserve"> was 24.87 per cent, </w:t>
      </w:r>
      <w:r w:rsidR="00A95977" w:rsidRPr="00BC68C4">
        <w:rPr>
          <w:rFonts w:ascii="Times New Roman" w:hAnsi="Times New Roman" w:cs="Times New Roman"/>
          <w:sz w:val="24"/>
          <w:szCs w:val="24"/>
        </w:rPr>
        <w:t xml:space="preserve">and for those firms that had a passive </w:t>
      </w:r>
      <w:proofErr w:type="spellStart"/>
      <w:r w:rsidR="00A95977" w:rsidRPr="00BC68C4">
        <w:rPr>
          <w:rFonts w:ascii="Times New Roman" w:hAnsi="Times New Roman" w:cs="Times New Roman"/>
          <w:sz w:val="24"/>
          <w:szCs w:val="24"/>
        </w:rPr>
        <w:t>b</w:t>
      </w:r>
      <w:r w:rsidR="00C461DC" w:rsidRPr="00BC68C4">
        <w:rPr>
          <w:rFonts w:ascii="Times New Roman" w:hAnsi="Times New Roman" w:cs="Times New Roman"/>
          <w:sz w:val="24"/>
          <w:szCs w:val="24"/>
        </w:rPr>
        <w:t>lockholder</w:t>
      </w:r>
      <w:proofErr w:type="spellEnd"/>
      <w:r w:rsidR="002241BE" w:rsidRPr="00BC68C4">
        <w:rPr>
          <w:rFonts w:ascii="Times New Roman" w:hAnsi="Times New Roman" w:cs="Times New Roman"/>
          <w:sz w:val="24"/>
          <w:szCs w:val="24"/>
        </w:rPr>
        <w:t>,</w:t>
      </w:r>
      <w:r w:rsidR="00C461DC" w:rsidRPr="00BC68C4">
        <w:rPr>
          <w:rFonts w:ascii="Times New Roman" w:hAnsi="Times New Roman" w:cs="Times New Roman"/>
          <w:sz w:val="24"/>
          <w:szCs w:val="24"/>
        </w:rPr>
        <w:t xml:space="preserve"> the mean votes controlled by those </w:t>
      </w:r>
      <w:proofErr w:type="spellStart"/>
      <w:r w:rsidR="00C461DC" w:rsidRPr="00BC68C4">
        <w:rPr>
          <w:rFonts w:ascii="Times New Roman" w:hAnsi="Times New Roman" w:cs="Times New Roman"/>
          <w:sz w:val="24"/>
          <w:szCs w:val="24"/>
        </w:rPr>
        <w:t>blockholders</w:t>
      </w:r>
      <w:proofErr w:type="spellEnd"/>
      <w:r w:rsidR="00C461DC" w:rsidRPr="00BC68C4">
        <w:rPr>
          <w:rFonts w:ascii="Times New Roman" w:hAnsi="Times New Roman" w:cs="Times New Roman"/>
          <w:sz w:val="24"/>
          <w:szCs w:val="24"/>
        </w:rPr>
        <w:t xml:space="preserve"> was 24.90 per cent. The </w:t>
      </w:r>
      <w:proofErr w:type="spellStart"/>
      <w:r w:rsidR="00C461DC" w:rsidRPr="00BC68C4">
        <w:rPr>
          <w:rFonts w:ascii="Times New Roman" w:hAnsi="Times New Roman" w:cs="Times New Roman"/>
          <w:i/>
          <w:sz w:val="24"/>
          <w:szCs w:val="24"/>
        </w:rPr>
        <w:t>DirOnlyVote</w:t>
      </w:r>
      <w:proofErr w:type="spellEnd"/>
      <w:r w:rsidR="00C461DC" w:rsidRPr="00BC68C4">
        <w:rPr>
          <w:rFonts w:ascii="Times New Roman" w:hAnsi="Times New Roman" w:cs="Times New Roman"/>
          <w:sz w:val="24"/>
          <w:szCs w:val="24"/>
        </w:rPr>
        <w:t xml:space="preserve"> variables show that directors who were not large </w:t>
      </w:r>
      <w:proofErr w:type="spellStart"/>
      <w:r w:rsidR="00C461DC" w:rsidRPr="00BC68C4">
        <w:rPr>
          <w:rFonts w:ascii="Times New Roman" w:hAnsi="Times New Roman" w:cs="Times New Roman"/>
          <w:sz w:val="24"/>
          <w:szCs w:val="24"/>
        </w:rPr>
        <w:t>blockholders</w:t>
      </w:r>
      <w:proofErr w:type="spellEnd"/>
      <w:r w:rsidR="00C461DC" w:rsidRPr="00BC68C4">
        <w:rPr>
          <w:rFonts w:ascii="Times New Roman" w:hAnsi="Times New Roman" w:cs="Times New Roman"/>
          <w:sz w:val="24"/>
          <w:szCs w:val="24"/>
        </w:rPr>
        <w:t>, on average, held a total of 7.78 per cent of voting rights between them.</w:t>
      </w:r>
    </w:p>
    <w:p w14:paraId="6387D4EB" w14:textId="7A9530CE" w:rsidR="000A43E6" w:rsidRPr="00BC68C4" w:rsidRDefault="00EE522D" w:rsidP="00B139AB">
      <w:pPr>
        <w:pStyle w:val="FootnoteText"/>
        <w:spacing w:line="480" w:lineRule="auto"/>
        <w:ind w:firstLine="720"/>
        <w:rPr>
          <w:rFonts w:ascii="Times New Roman" w:hAnsi="Times New Roman" w:cs="Times New Roman"/>
          <w:sz w:val="24"/>
          <w:szCs w:val="24"/>
        </w:rPr>
      </w:pPr>
      <w:r w:rsidRPr="00BC68C4">
        <w:rPr>
          <w:rFonts w:ascii="Times New Roman" w:hAnsi="Times New Roman" w:cs="Times New Roman"/>
          <w:sz w:val="24"/>
          <w:szCs w:val="24"/>
        </w:rPr>
        <w:t xml:space="preserve">Although not reported separately, </w:t>
      </w:r>
      <w:r w:rsidR="000A43E6" w:rsidRPr="00BC68C4">
        <w:rPr>
          <w:rFonts w:ascii="Times New Roman" w:hAnsi="Times New Roman" w:cs="Times New Roman"/>
          <w:sz w:val="24"/>
          <w:szCs w:val="24"/>
        </w:rPr>
        <w:t xml:space="preserve">there is little difference between the </w:t>
      </w:r>
      <w:r w:rsidR="00A95977" w:rsidRPr="00BC68C4">
        <w:rPr>
          <w:rFonts w:ascii="Times New Roman" w:hAnsi="Times New Roman" w:cs="Times New Roman"/>
          <w:sz w:val="24"/>
          <w:szCs w:val="24"/>
        </w:rPr>
        <w:t>concentration</w:t>
      </w:r>
      <w:r w:rsidR="000700D0" w:rsidRPr="00BC68C4">
        <w:rPr>
          <w:rFonts w:ascii="Times New Roman" w:hAnsi="Times New Roman" w:cs="Times New Roman"/>
          <w:sz w:val="24"/>
          <w:szCs w:val="24"/>
        </w:rPr>
        <w:t xml:space="preserve"> of capital and voting, and</w:t>
      </w:r>
      <w:r w:rsidR="00D81EFF" w:rsidRPr="00BC68C4">
        <w:rPr>
          <w:rFonts w:ascii="Times New Roman" w:hAnsi="Times New Roman" w:cs="Times New Roman"/>
          <w:sz w:val="24"/>
          <w:szCs w:val="24"/>
        </w:rPr>
        <w:t>,</w:t>
      </w:r>
      <w:r w:rsidR="000700D0" w:rsidRPr="00BC68C4">
        <w:rPr>
          <w:rFonts w:ascii="Times New Roman" w:hAnsi="Times New Roman" w:cs="Times New Roman"/>
          <w:sz w:val="24"/>
          <w:szCs w:val="24"/>
        </w:rPr>
        <w:t xml:space="preserve"> i</w:t>
      </w:r>
      <w:r w:rsidR="000A43E6" w:rsidRPr="00BC68C4">
        <w:rPr>
          <w:rFonts w:ascii="Times New Roman" w:hAnsi="Times New Roman" w:cs="Times New Roman"/>
          <w:sz w:val="24"/>
          <w:szCs w:val="24"/>
        </w:rPr>
        <w:t xml:space="preserve">f anything, voting is slightly less concentrated than capital. </w:t>
      </w:r>
      <w:r w:rsidR="00F21A28">
        <w:rPr>
          <w:rFonts w:ascii="Times New Roman" w:hAnsi="Times New Roman" w:cs="Times New Roman"/>
          <w:sz w:val="24"/>
          <w:szCs w:val="24"/>
        </w:rPr>
        <w:t>M</w:t>
      </w:r>
      <w:r w:rsidR="002A518F" w:rsidRPr="00BC68C4">
        <w:rPr>
          <w:rFonts w:ascii="Times New Roman" w:hAnsi="Times New Roman" w:cs="Times New Roman"/>
          <w:sz w:val="24"/>
          <w:szCs w:val="24"/>
        </w:rPr>
        <w:t>any companies had voting regimes with caps limit</w:t>
      </w:r>
      <w:r w:rsidR="00F21A28">
        <w:rPr>
          <w:rFonts w:ascii="Times New Roman" w:hAnsi="Times New Roman" w:cs="Times New Roman"/>
          <w:sz w:val="24"/>
          <w:szCs w:val="24"/>
        </w:rPr>
        <w:t>ing</w:t>
      </w:r>
      <w:r w:rsidR="002A518F" w:rsidRPr="00BC68C4">
        <w:rPr>
          <w:rFonts w:ascii="Times New Roman" w:hAnsi="Times New Roman" w:cs="Times New Roman"/>
          <w:sz w:val="24"/>
          <w:szCs w:val="24"/>
        </w:rPr>
        <w:t xml:space="preserve"> the total votes of each investor or which skewed the voting scale in favour of small investors and discriminated against large shareholders (Campbell and Turner, 2011).</w:t>
      </w:r>
      <w:r w:rsidR="00F21A28">
        <w:rPr>
          <w:rStyle w:val="FootnoteReference"/>
          <w:rFonts w:ascii="Times New Roman" w:hAnsi="Times New Roman" w:cs="Times New Roman"/>
          <w:sz w:val="24"/>
          <w:szCs w:val="24"/>
        </w:rPr>
        <w:footnoteReference w:id="18"/>
      </w:r>
      <w:r w:rsidR="002A518F" w:rsidRPr="00BC68C4">
        <w:rPr>
          <w:rFonts w:ascii="Times New Roman" w:hAnsi="Times New Roman" w:cs="Times New Roman"/>
          <w:sz w:val="24"/>
          <w:szCs w:val="24"/>
        </w:rPr>
        <w:t xml:space="preserve"> </w:t>
      </w:r>
    </w:p>
    <w:p w14:paraId="6D001E33" w14:textId="31269EE5" w:rsidR="00630881" w:rsidRPr="00BC68C4" w:rsidRDefault="00F21A28" w:rsidP="000A43E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w:t>
      </w:r>
      <w:r w:rsidR="0070451A" w:rsidRPr="00BC68C4">
        <w:rPr>
          <w:rFonts w:ascii="Times New Roman" w:hAnsi="Times New Roman" w:cs="Times New Roman"/>
          <w:sz w:val="24"/>
          <w:szCs w:val="24"/>
        </w:rPr>
        <w:t xml:space="preserve">Table </w:t>
      </w:r>
      <w:r>
        <w:rPr>
          <w:rFonts w:ascii="Times New Roman" w:hAnsi="Times New Roman" w:cs="Times New Roman"/>
          <w:sz w:val="24"/>
          <w:szCs w:val="24"/>
        </w:rPr>
        <w:t>2</w:t>
      </w:r>
      <w:r w:rsidR="0070451A" w:rsidRPr="00BC68C4">
        <w:rPr>
          <w:rFonts w:ascii="Times New Roman" w:hAnsi="Times New Roman" w:cs="Times New Roman"/>
          <w:sz w:val="24"/>
          <w:szCs w:val="24"/>
        </w:rPr>
        <w:t xml:space="preserve"> </w:t>
      </w:r>
      <w:r>
        <w:rPr>
          <w:rFonts w:ascii="Times New Roman" w:hAnsi="Times New Roman" w:cs="Times New Roman"/>
          <w:sz w:val="24"/>
          <w:szCs w:val="24"/>
        </w:rPr>
        <w:t xml:space="preserve">we describe </w:t>
      </w:r>
      <w:r w:rsidR="0070451A" w:rsidRPr="00BC68C4">
        <w:rPr>
          <w:rFonts w:ascii="Times New Roman" w:hAnsi="Times New Roman" w:cs="Times New Roman"/>
          <w:sz w:val="24"/>
          <w:szCs w:val="24"/>
        </w:rPr>
        <w:t xml:space="preserve">how ownership by directors and large </w:t>
      </w:r>
      <w:proofErr w:type="spellStart"/>
      <w:r w:rsidR="001F616B" w:rsidRPr="00BC68C4">
        <w:rPr>
          <w:rFonts w:ascii="Times New Roman" w:hAnsi="Times New Roman" w:cs="Times New Roman"/>
          <w:sz w:val="24"/>
          <w:szCs w:val="24"/>
        </w:rPr>
        <w:t>block</w:t>
      </w:r>
      <w:r w:rsidR="0070451A" w:rsidRPr="00BC68C4">
        <w:rPr>
          <w:rFonts w:ascii="Times New Roman" w:hAnsi="Times New Roman" w:cs="Times New Roman"/>
          <w:sz w:val="24"/>
          <w:szCs w:val="24"/>
        </w:rPr>
        <w:t>holders</w:t>
      </w:r>
      <w:proofErr w:type="spellEnd"/>
      <w:r w:rsidR="0070451A" w:rsidRPr="00BC68C4">
        <w:rPr>
          <w:rFonts w:ascii="Times New Roman" w:hAnsi="Times New Roman" w:cs="Times New Roman"/>
          <w:sz w:val="24"/>
          <w:szCs w:val="24"/>
        </w:rPr>
        <w:t xml:space="preserve"> varies across industry. </w:t>
      </w:r>
      <w:r w:rsidR="00D81EFF" w:rsidRPr="00BC68C4">
        <w:rPr>
          <w:rFonts w:ascii="Times New Roman" w:hAnsi="Times New Roman" w:cs="Times New Roman"/>
          <w:sz w:val="24"/>
          <w:szCs w:val="24"/>
        </w:rPr>
        <w:t>Four</w:t>
      </w:r>
      <w:r w:rsidR="0070451A" w:rsidRPr="00BC68C4">
        <w:rPr>
          <w:rFonts w:ascii="Times New Roman" w:hAnsi="Times New Roman" w:cs="Times New Roman"/>
          <w:sz w:val="24"/>
          <w:szCs w:val="24"/>
        </w:rPr>
        <w:t xml:space="preserve"> things are worthy of note.  First, very few firms</w:t>
      </w:r>
      <w:r w:rsidR="001F616B" w:rsidRPr="00BC68C4">
        <w:rPr>
          <w:rFonts w:ascii="Times New Roman" w:hAnsi="Times New Roman" w:cs="Times New Roman"/>
          <w:sz w:val="24"/>
          <w:szCs w:val="24"/>
        </w:rPr>
        <w:t xml:space="preserve"> </w:t>
      </w:r>
      <w:r>
        <w:rPr>
          <w:rFonts w:ascii="Times New Roman" w:hAnsi="Times New Roman" w:cs="Times New Roman"/>
          <w:sz w:val="24"/>
          <w:szCs w:val="24"/>
        </w:rPr>
        <w:t xml:space="preserve">in any </w:t>
      </w:r>
      <w:r w:rsidR="001F616B" w:rsidRPr="00BC68C4">
        <w:rPr>
          <w:rFonts w:ascii="Times New Roman" w:hAnsi="Times New Roman" w:cs="Times New Roman"/>
          <w:sz w:val="24"/>
          <w:szCs w:val="24"/>
        </w:rPr>
        <w:t>sectors</w:t>
      </w:r>
      <w:r w:rsidR="0070451A" w:rsidRPr="00BC68C4">
        <w:rPr>
          <w:rFonts w:ascii="Times New Roman" w:hAnsi="Times New Roman" w:cs="Times New Roman"/>
          <w:sz w:val="24"/>
          <w:szCs w:val="24"/>
        </w:rPr>
        <w:t xml:space="preserve"> had large </w:t>
      </w:r>
      <w:proofErr w:type="spellStart"/>
      <w:r w:rsidR="001F616B" w:rsidRPr="00BC68C4">
        <w:rPr>
          <w:rFonts w:ascii="Times New Roman" w:hAnsi="Times New Roman" w:cs="Times New Roman"/>
          <w:sz w:val="24"/>
          <w:szCs w:val="24"/>
        </w:rPr>
        <w:t>blockholders</w:t>
      </w:r>
      <w:proofErr w:type="spellEnd"/>
      <w:r w:rsidR="0070451A" w:rsidRPr="00BC68C4">
        <w:rPr>
          <w:rFonts w:ascii="Times New Roman" w:hAnsi="Times New Roman" w:cs="Times New Roman"/>
          <w:sz w:val="24"/>
          <w:szCs w:val="24"/>
        </w:rPr>
        <w:t>.</w:t>
      </w:r>
      <w:r w:rsidR="00B14C74">
        <w:rPr>
          <w:rFonts w:ascii="Times New Roman" w:hAnsi="Times New Roman" w:cs="Times New Roman"/>
          <w:sz w:val="24"/>
          <w:szCs w:val="24"/>
        </w:rPr>
        <w:t xml:space="preserve"> </w:t>
      </w:r>
      <w:r w:rsidR="0070451A" w:rsidRPr="00BC68C4">
        <w:rPr>
          <w:rFonts w:ascii="Times New Roman" w:hAnsi="Times New Roman" w:cs="Times New Roman"/>
          <w:sz w:val="24"/>
          <w:szCs w:val="24"/>
        </w:rPr>
        <w:t xml:space="preserve">Second, there was a very small propensity for directors to be large </w:t>
      </w:r>
      <w:proofErr w:type="spellStart"/>
      <w:r w:rsidR="001F616B" w:rsidRPr="00BC68C4">
        <w:rPr>
          <w:rFonts w:ascii="Times New Roman" w:hAnsi="Times New Roman" w:cs="Times New Roman"/>
          <w:sz w:val="24"/>
          <w:szCs w:val="24"/>
        </w:rPr>
        <w:t>block</w:t>
      </w:r>
      <w:r w:rsidR="0070451A" w:rsidRPr="00BC68C4">
        <w:rPr>
          <w:rFonts w:ascii="Times New Roman" w:hAnsi="Times New Roman" w:cs="Times New Roman"/>
          <w:sz w:val="24"/>
          <w:szCs w:val="24"/>
        </w:rPr>
        <w:t>holders</w:t>
      </w:r>
      <w:proofErr w:type="spellEnd"/>
      <w:r w:rsidR="00B51BC9" w:rsidRPr="00BC68C4">
        <w:rPr>
          <w:rFonts w:ascii="Times New Roman" w:hAnsi="Times New Roman" w:cs="Times New Roman"/>
          <w:sz w:val="24"/>
          <w:szCs w:val="24"/>
        </w:rPr>
        <w:t xml:space="preserve">, but a </w:t>
      </w:r>
      <w:r w:rsidR="00096585" w:rsidRPr="00BC68C4">
        <w:rPr>
          <w:rFonts w:ascii="Times New Roman" w:hAnsi="Times New Roman" w:cs="Times New Roman"/>
          <w:sz w:val="24"/>
          <w:szCs w:val="24"/>
        </w:rPr>
        <w:t>higher</w:t>
      </w:r>
      <w:r w:rsidR="00B51BC9" w:rsidRPr="00BC68C4">
        <w:rPr>
          <w:rFonts w:ascii="Times New Roman" w:hAnsi="Times New Roman" w:cs="Times New Roman"/>
          <w:sz w:val="24"/>
          <w:szCs w:val="24"/>
        </w:rPr>
        <w:t xml:space="preserve"> propensity (60.</w:t>
      </w:r>
      <w:r w:rsidR="00C461DC" w:rsidRPr="00BC68C4">
        <w:rPr>
          <w:rFonts w:ascii="Times New Roman" w:hAnsi="Times New Roman" w:cs="Times New Roman"/>
          <w:sz w:val="24"/>
          <w:szCs w:val="24"/>
        </w:rPr>
        <w:t>5</w:t>
      </w:r>
      <w:r w:rsidR="0070451A" w:rsidRPr="00BC68C4">
        <w:rPr>
          <w:rFonts w:ascii="Times New Roman" w:hAnsi="Times New Roman" w:cs="Times New Roman"/>
          <w:sz w:val="24"/>
          <w:szCs w:val="24"/>
        </w:rPr>
        <w:t xml:space="preserve"> per cent) for large </w:t>
      </w:r>
      <w:proofErr w:type="spellStart"/>
      <w:r w:rsidR="001F616B" w:rsidRPr="00BC68C4">
        <w:rPr>
          <w:rFonts w:ascii="Times New Roman" w:hAnsi="Times New Roman" w:cs="Times New Roman"/>
          <w:sz w:val="24"/>
          <w:szCs w:val="24"/>
        </w:rPr>
        <w:t>block</w:t>
      </w:r>
      <w:r w:rsidR="0070451A" w:rsidRPr="00BC68C4">
        <w:rPr>
          <w:rFonts w:ascii="Times New Roman" w:hAnsi="Times New Roman" w:cs="Times New Roman"/>
          <w:sz w:val="24"/>
          <w:szCs w:val="24"/>
        </w:rPr>
        <w:t>holders</w:t>
      </w:r>
      <w:proofErr w:type="spellEnd"/>
      <w:r w:rsidR="0070451A" w:rsidRPr="00BC68C4">
        <w:rPr>
          <w:rFonts w:ascii="Times New Roman" w:hAnsi="Times New Roman" w:cs="Times New Roman"/>
          <w:sz w:val="24"/>
          <w:szCs w:val="24"/>
        </w:rPr>
        <w:t xml:space="preserve"> to be directors, </w:t>
      </w:r>
      <w:r w:rsidR="00630881" w:rsidRPr="00BC68C4">
        <w:rPr>
          <w:rFonts w:ascii="Times New Roman" w:hAnsi="Times New Roman" w:cs="Times New Roman"/>
          <w:sz w:val="24"/>
          <w:szCs w:val="24"/>
        </w:rPr>
        <w:t xml:space="preserve">which implies that </w:t>
      </w:r>
      <w:r w:rsidR="00096585" w:rsidRPr="00BC68C4">
        <w:rPr>
          <w:rFonts w:ascii="Times New Roman" w:hAnsi="Times New Roman" w:cs="Times New Roman"/>
          <w:sz w:val="24"/>
          <w:szCs w:val="24"/>
        </w:rPr>
        <w:t xml:space="preserve">the majority of </w:t>
      </w:r>
      <w:r w:rsidR="00630881" w:rsidRPr="00BC68C4">
        <w:rPr>
          <w:rFonts w:ascii="Times New Roman" w:hAnsi="Times New Roman" w:cs="Times New Roman"/>
          <w:sz w:val="24"/>
          <w:szCs w:val="24"/>
        </w:rPr>
        <w:t xml:space="preserve">such shareholders wanted to maintain control over the company. </w:t>
      </w:r>
      <w:r w:rsidR="00FA05E2" w:rsidRPr="00BC68C4">
        <w:rPr>
          <w:rFonts w:ascii="Times New Roman" w:hAnsi="Times New Roman" w:cs="Times New Roman"/>
          <w:sz w:val="24"/>
          <w:szCs w:val="24"/>
        </w:rPr>
        <w:t xml:space="preserve">Third, the vast majority of directors were not </w:t>
      </w:r>
      <w:proofErr w:type="spellStart"/>
      <w:r w:rsidR="001F616B" w:rsidRPr="00BC68C4">
        <w:rPr>
          <w:rFonts w:ascii="Times New Roman" w:hAnsi="Times New Roman" w:cs="Times New Roman"/>
          <w:sz w:val="24"/>
          <w:szCs w:val="24"/>
        </w:rPr>
        <w:t>blockholders</w:t>
      </w:r>
      <w:proofErr w:type="spellEnd"/>
      <w:r w:rsidR="00FA05E2" w:rsidRPr="00BC68C4">
        <w:rPr>
          <w:rFonts w:ascii="Times New Roman" w:hAnsi="Times New Roman" w:cs="Times New Roman"/>
          <w:sz w:val="24"/>
          <w:szCs w:val="24"/>
        </w:rPr>
        <w:t>, w</w:t>
      </w:r>
      <w:r w:rsidR="009572EE" w:rsidRPr="00BC68C4">
        <w:rPr>
          <w:rFonts w:ascii="Times New Roman" w:hAnsi="Times New Roman" w:cs="Times New Roman"/>
          <w:sz w:val="24"/>
          <w:szCs w:val="24"/>
        </w:rPr>
        <w:t>ith the average board having 6.1</w:t>
      </w:r>
      <w:r w:rsidR="00FA05E2" w:rsidRPr="00BC68C4">
        <w:rPr>
          <w:rFonts w:ascii="Times New Roman" w:hAnsi="Times New Roman" w:cs="Times New Roman"/>
          <w:sz w:val="24"/>
          <w:szCs w:val="24"/>
        </w:rPr>
        <w:t xml:space="preserve"> directors and, on</w:t>
      </w:r>
      <w:r w:rsidR="009572EE" w:rsidRPr="00BC68C4">
        <w:rPr>
          <w:rFonts w:ascii="Times New Roman" w:hAnsi="Times New Roman" w:cs="Times New Roman"/>
          <w:sz w:val="24"/>
          <w:szCs w:val="24"/>
        </w:rPr>
        <w:t xml:space="preserve"> average, 5.9</w:t>
      </w:r>
      <w:r w:rsidR="00FA05E2" w:rsidRPr="00BC68C4">
        <w:rPr>
          <w:rFonts w:ascii="Times New Roman" w:hAnsi="Times New Roman" w:cs="Times New Roman"/>
          <w:sz w:val="24"/>
          <w:szCs w:val="24"/>
        </w:rPr>
        <w:t xml:space="preserve"> of these were not large </w:t>
      </w:r>
      <w:proofErr w:type="spellStart"/>
      <w:r w:rsidR="001F616B" w:rsidRPr="00BC68C4">
        <w:rPr>
          <w:rFonts w:ascii="Times New Roman" w:hAnsi="Times New Roman" w:cs="Times New Roman"/>
          <w:sz w:val="24"/>
          <w:szCs w:val="24"/>
        </w:rPr>
        <w:t>blockholders</w:t>
      </w:r>
      <w:proofErr w:type="spellEnd"/>
      <w:r w:rsidR="00FA05E2" w:rsidRPr="00BC68C4">
        <w:rPr>
          <w:rFonts w:ascii="Times New Roman" w:hAnsi="Times New Roman" w:cs="Times New Roman"/>
          <w:sz w:val="24"/>
          <w:szCs w:val="24"/>
        </w:rPr>
        <w:t>. Fourth</w:t>
      </w:r>
      <w:r w:rsidR="00630881" w:rsidRPr="00BC68C4">
        <w:rPr>
          <w:rFonts w:ascii="Times New Roman" w:hAnsi="Times New Roman" w:cs="Times New Roman"/>
          <w:sz w:val="24"/>
          <w:szCs w:val="24"/>
        </w:rPr>
        <w:t xml:space="preserve">, there is some variation across industries in terms of </w:t>
      </w:r>
      <w:r w:rsidR="000661EA" w:rsidRPr="00BC68C4">
        <w:rPr>
          <w:rFonts w:ascii="Times New Roman" w:hAnsi="Times New Roman" w:cs="Times New Roman"/>
          <w:sz w:val="24"/>
          <w:szCs w:val="24"/>
        </w:rPr>
        <w:t xml:space="preserve">the </w:t>
      </w:r>
      <w:r w:rsidR="00630881" w:rsidRPr="00BC68C4">
        <w:rPr>
          <w:rFonts w:ascii="Times New Roman" w:hAnsi="Times New Roman" w:cs="Times New Roman"/>
          <w:sz w:val="24"/>
          <w:szCs w:val="24"/>
        </w:rPr>
        <w:t xml:space="preserve">percentage of voting rights controlled by large </w:t>
      </w:r>
      <w:proofErr w:type="spellStart"/>
      <w:r w:rsidR="001F616B" w:rsidRPr="00BC68C4">
        <w:rPr>
          <w:rFonts w:ascii="Times New Roman" w:hAnsi="Times New Roman" w:cs="Times New Roman"/>
          <w:sz w:val="24"/>
          <w:szCs w:val="24"/>
        </w:rPr>
        <w:t>block</w:t>
      </w:r>
      <w:r w:rsidR="00630881" w:rsidRPr="00BC68C4">
        <w:rPr>
          <w:rFonts w:ascii="Times New Roman" w:hAnsi="Times New Roman" w:cs="Times New Roman"/>
          <w:sz w:val="24"/>
          <w:szCs w:val="24"/>
        </w:rPr>
        <w:t>holders</w:t>
      </w:r>
      <w:proofErr w:type="spellEnd"/>
      <w:r w:rsidR="00630881" w:rsidRPr="00BC68C4">
        <w:rPr>
          <w:rFonts w:ascii="Times New Roman" w:hAnsi="Times New Roman" w:cs="Times New Roman"/>
          <w:sz w:val="24"/>
          <w:szCs w:val="24"/>
        </w:rPr>
        <w:t>, with breweries, iron, coal and steel companies, and industrial</w:t>
      </w:r>
      <w:r w:rsidR="00D81EFF" w:rsidRPr="00BC68C4">
        <w:rPr>
          <w:rFonts w:ascii="Times New Roman" w:hAnsi="Times New Roman" w:cs="Times New Roman"/>
          <w:sz w:val="24"/>
          <w:szCs w:val="24"/>
        </w:rPr>
        <w:t xml:space="preserve"> and commercial</w:t>
      </w:r>
      <w:r w:rsidR="00630881" w:rsidRPr="00BC68C4">
        <w:rPr>
          <w:rFonts w:ascii="Times New Roman" w:hAnsi="Times New Roman" w:cs="Times New Roman"/>
          <w:sz w:val="24"/>
          <w:szCs w:val="24"/>
        </w:rPr>
        <w:t xml:space="preserve"> companies having higher </w:t>
      </w:r>
      <w:proofErr w:type="spellStart"/>
      <w:r w:rsidR="004503A5" w:rsidRPr="00BC68C4">
        <w:rPr>
          <w:rFonts w:ascii="Times New Roman" w:hAnsi="Times New Roman" w:cs="Times New Roman"/>
          <w:sz w:val="24"/>
          <w:szCs w:val="24"/>
        </w:rPr>
        <w:t>blockholder</w:t>
      </w:r>
      <w:proofErr w:type="spellEnd"/>
      <w:r w:rsidR="00630881" w:rsidRPr="00BC68C4">
        <w:rPr>
          <w:rFonts w:ascii="Times New Roman" w:hAnsi="Times New Roman" w:cs="Times New Roman"/>
          <w:sz w:val="24"/>
          <w:szCs w:val="24"/>
        </w:rPr>
        <w:t xml:space="preserve"> ownership than other industries. </w:t>
      </w:r>
      <w:r w:rsidR="00776E52" w:rsidRPr="00BC68C4">
        <w:rPr>
          <w:rStyle w:val="FootnoteReference"/>
          <w:rFonts w:ascii="Times New Roman" w:hAnsi="Times New Roman" w:cs="Times New Roman"/>
          <w:sz w:val="24"/>
          <w:szCs w:val="24"/>
        </w:rPr>
        <w:footnoteReference w:id="19"/>
      </w:r>
      <w:r w:rsidR="00630881" w:rsidRPr="00BC68C4">
        <w:rPr>
          <w:rFonts w:ascii="Times New Roman" w:hAnsi="Times New Roman" w:cs="Times New Roman"/>
          <w:sz w:val="24"/>
          <w:szCs w:val="24"/>
        </w:rPr>
        <w:t xml:space="preserve"> </w:t>
      </w:r>
      <w:r w:rsidR="00B51BC9" w:rsidRPr="00BC68C4">
        <w:rPr>
          <w:rFonts w:ascii="Times New Roman" w:hAnsi="Times New Roman" w:cs="Times New Roman"/>
          <w:sz w:val="24"/>
          <w:szCs w:val="24"/>
        </w:rPr>
        <w:t xml:space="preserve">   </w:t>
      </w:r>
      <w:r w:rsidR="00630881" w:rsidRPr="00BC68C4">
        <w:rPr>
          <w:rFonts w:ascii="Times New Roman" w:hAnsi="Times New Roman" w:cs="Times New Roman"/>
          <w:sz w:val="24"/>
          <w:szCs w:val="24"/>
        </w:rPr>
        <w:t xml:space="preserve"> </w:t>
      </w:r>
      <w:r w:rsidR="0070451A" w:rsidRPr="00BC68C4">
        <w:rPr>
          <w:rFonts w:ascii="Times New Roman" w:hAnsi="Times New Roman" w:cs="Times New Roman"/>
          <w:sz w:val="24"/>
          <w:szCs w:val="24"/>
        </w:rPr>
        <w:t xml:space="preserve"> </w:t>
      </w:r>
    </w:p>
    <w:p w14:paraId="5A2E478B" w14:textId="77777777" w:rsidR="006658C5" w:rsidRDefault="006658C5" w:rsidP="00630881">
      <w:pPr>
        <w:spacing w:line="480" w:lineRule="auto"/>
        <w:ind w:firstLine="720"/>
        <w:jc w:val="center"/>
        <w:rPr>
          <w:rFonts w:ascii="Times New Roman" w:hAnsi="Times New Roman" w:cs="Times New Roman"/>
          <w:sz w:val="24"/>
          <w:szCs w:val="24"/>
        </w:rPr>
      </w:pPr>
    </w:p>
    <w:p w14:paraId="38937AC5" w14:textId="3907DDA3" w:rsidR="00A37FC4" w:rsidRPr="00BC68C4" w:rsidRDefault="00630881" w:rsidP="00630881">
      <w:pPr>
        <w:spacing w:line="480" w:lineRule="auto"/>
        <w:ind w:firstLine="720"/>
        <w:jc w:val="center"/>
        <w:rPr>
          <w:rFonts w:ascii="Times New Roman" w:hAnsi="Times New Roman" w:cs="Times New Roman"/>
          <w:sz w:val="24"/>
          <w:szCs w:val="24"/>
        </w:rPr>
      </w:pPr>
      <w:r w:rsidRPr="00BC68C4">
        <w:rPr>
          <w:rFonts w:ascii="Times New Roman" w:hAnsi="Times New Roman" w:cs="Times New Roman"/>
          <w:sz w:val="24"/>
          <w:szCs w:val="24"/>
        </w:rPr>
        <w:t>&lt;&lt;</w:t>
      </w:r>
      <w:r w:rsidR="00787D24" w:rsidRPr="00BC68C4">
        <w:rPr>
          <w:rFonts w:ascii="Times New Roman" w:hAnsi="Times New Roman" w:cs="Times New Roman"/>
          <w:sz w:val="24"/>
          <w:szCs w:val="24"/>
        </w:rPr>
        <w:t>Insert</w:t>
      </w:r>
      <w:r w:rsidRPr="00BC68C4">
        <w:rPr>
          <w:rFonts w:ascii="Times New Roman" w:hAnsi="Times New Roman" w:cs="Times New Roman"/>
          <w:sz w:val="24"/>
          <w:szCs w:val="24"/>
        </w:rPr>
        <w:t xml:space="preserve"> Table </w:t>
      </w:r>
      <w:r w:rsidR="00776E52">
        <w:rPr>
          <w:rFonts w:ascii="Times New Roman" w:hAnsi="Times New Roman" w:cs="Times New Roman"/>
          <w:sz w:val="24"/>
          <w:szCs w:val="24"/>
        </w:rPr>
        <w:t>2</w:t>
      </w:r>
      <w:r w:rsidRPr="00BC68C4">
        <w:rPr>
          <w:rFonts w:ascii="Times New Roman" w:hAnsi="Times New Roman" w:cs="Times New Roman"/>
          <w:sz w:val="24"/>
          <w:szCs w:val="24"/>
        </w:rPr>
        <w:t>&gt;&gt;</w:t>
      </w:r>
    </w:p>
    <w:p w14:paraId="2C6D4A78" w14:textId="77777777" w:rsidR="00C461DC" w:rsidRPr="00BC68C4" w:rsidRDefault="00C461DC" w:rsidP="000A43E6">
      <w:pPr>
        <w:spacing w:line="480" w:lineRule="auto"/>
        <w:rPr>
          <w:rFonts w:ascii="Times New Roman" w:hAnsi="Times New Roman" w:cs="Times New Roman"/>
          <w:i/>
          <w:sz w:val="24"/>
          <w:szCs w:val="24"/>
        </w:rPr>
      </w:pPr>
    </w:p>
    <w:p w14:paraId="17076DFD" w14:textId="0E49E637" w:rsidR="00630881" w:rsidRPr="00BC68C4" w:rsidRDefault="00630881" w:rsidP="000A43E6">
      <w:pPr>
        <w:spacing w:line="480" w:lineRule="auto"/>
        <w:rPr>
          <w:rFonts w:ascii="Times New Roman" w:hAnsi="Times New Roman" w:cs="Times New Roman"/>
          <w:i/>
          <w:sz w:val="24"/>
          <w:szCs w:val="24"/>
        </w:rPr>
      </w:pPr>
      <w:r w:rsidRPr="00BC68C4">
        <w:rPr>
          <w:rFonts w:ascii="Times New Roman" w:hAnsi="Times New Roman" w:cs="Times New Roman"/>
          <w:i/>
          <w:sz w:val="24"/>
          <w:szCs w:val="24"/>
        </w:rPr>
        <w:t>Performance variables</w:t>
      </w:r>
    </w:p>
    <w:p w14:paraId="6072BA32" w14:textId="7600E34B" w:rsidR="00C04FC8" w:rsidRDefault="00E26FAB" w:rsidP="0058248B">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noted above</w:t>
      </w:r>
      <w:r w:rsidR="00B14C74">
        <w:rPr>
          <w:rFonts w:ascii="Times New Roman" w:hAnsi="Times New Roman" w:cs="Times New Roman"/>
          <w:sz w:val="24"/>
          <w:szCs w:val="24"/>
        </w:rPr>
        <w:t>,</w:t>
      </w:r>
      <w:r>
        <w:rPr>
          <w:rFonts w:ascii="Times New Roman" w:hAnsi="Times New Roman" w:cs="Times New Roman"/>
          <w:sz w:val="24"/>
          <w:szCs w:val="24"/>
        </w:rPr>
        <w:t xml:space="preserve"> the main performance measures are ROA and Tobin’s Q. </w:t>
      </w:r>
      <w:r w:rsidR="005D607E" w:rsidRPr="00BC68C4">
        <w:rPr>
          <w:rFonts w:ascii="Times New Roman" w:hAnsi="Times New Roman" w:cs="Times New Roman"/>
          <w:sz w:val="24"/>
          <w:szCs w:val="24"/>
        </w:rPr>
        <w:t xml:space="preserve">In our regression analysis, we </w:t>
      </w:r>
      <w:proofErr w:type="spellStart"/>
      <w:r w:rsidR="00C33C52" w:rsidRPr="00BC68C4">
        <w:rPr>
          <w:rFonts w:ascii="Times New Roman" w:hAnsi="Times New Roman" w:cs="Times New Roman"/>
          <w:sz w:val="24"/>
          <w:szCs w:val="24"/>
        </w:rPr>
        <w:t>winsorize</w:t>
      </w:r>
      <w:proofErr w:type="spellEnd"/>
      <w:r w:rsidR="00C33C52" w:rsidRPr="00BC68C4">
        <w:rPr>
          <w:rFonts w:ascii="Times New Roman" w:hAnsi="Times New Roman" w:cs="Times New Roman"/>
          <w:sz w:val="24"/>
          <w:szCs w:val="24"/>
        </w:rPr>
        <w:t xml:space="preserve"> each of the variables at the 1</w:t>
      </w:r>
      <w:r w:rsidR="00C33C52" w:rsidRPr="00BC68C4">
        <w:rPr>
          <w:rFonts w:ascii="Times New Roman" w:hAnsi="Times New Roman" w:cs="Times New Roman"/>
          <w:sz w:val="24"/>
          <w:szCs w:val="24"/>
          <w:vertAlign w:val="superscript"/>
        </w:rPr>
        <w:t>st</w:t>
      </w:r>
      <w:r w:rsidR="00C33C52" w:rsidRPr="00BC68C4">
        <w:rPr>
          <w:rFonts w:ascii="Times New Roman" w:hAnsi="Times New Roman" w:cs="Times New Roman"/>
          <w:sz w:val="24"/>
          <w:szCs w:val="24"/>
        </w:rPr>
        <w:t xml:space="preserve"> and 99</w:t>
      </w:r>
      <w:r w:rsidR="00C33C52" w:rsidRPr="00BC68C4">
        <w:rPr>
          <w:rFonts w:ascii="Times New Roman" w:hAnsi="Times New Roman" w:cs="Times New Roman"/>
          <w:sz w:val="24"/>
          <w:szCs w:val="24"/>
          <w:vertAlign w:val="superscript"/>
        </w:rPr>
        <w:t>th</w:t>
      </w:r>
      <w:r w:rsidR="00C33C52" w:rsidRPr="00BC68C4">
        <w:rPr>
          <w:rFonts w:ascii="Times New Roman" w:hAnsi="Times New Roman" w:cs="Times New Roman"/>
          <w:sz w:val="24"/>
          <w:szCs w:val="24"/>
        </w:rPr>
        <w:t xml:space="preserve"> percentiles</w:t>
      </w:r>
      <w:r w:rsidR="003B3C03" w:rsidRPr="00BC68C4">
        <w:rPr>
          <w:rFonts w:ascii="Times New Roman" w:hAnsi="Times New Roman" w:cs="Times New Roman"/>
          <w:sz w:val="24"/>
          <w:szCs w:val="24"/>
        </w:rPr>
        <w:t xml:space="preserve"> to deal with outliers</w:t>
      </w:r>
      <w:r w:rsidR="00117FA0">
        <w:rPr>
          <w:rFonts w:ascii="Times New Roman" w:hAnsi="Times New Roman" w:cs="Times New Roman"/>
          <w:sz w:val="24"/>
          <w:szCs w:val="24"/>
        </w:rPr>
        <w:t xml:space="preserve"> and</w:t>
      </w:r>
      <w:r w:rsidR="0058248B" w:rsidRPr="00BC68C4">
        <w:rPr>
          <w:rFonts w:ascii="Times New Roman" w:hAnsi="Times New Roman" w:cs="Times New Roman"/>
          <w:sz w:val="24"/>
          <w:szCs w:val="24"/>
        </w:rPr>
        <w:t xml:space="preserve"> </w:t>
      </w:r>
      <w:r w:rsidR="00F061DB" w:rsidRPr="00BC68C4">
        <w:rPr>
          <w:rFonts w:ascii="Times New Roman" w:hAnsi="Times New Roman" w:cs="Times New Roman"/>
          <w:sz w:val="24"/>
          <w:szCs w:val="24"/>
        </w:rPr>
        <w:t xml:space="preserve">use industry-adjusted </w:t>
      </w:r>
      <w:r w:rsidR="00D7094E" w:rsidRPr="00BC68C4">
        <w:rPr>
          <w:rFonts w:ascii="Times New Roman" w:hAnsi="Times New Roman" w:cs="Times New Roman"/>
          <w:sz w:val="24"/>
          <w:szCs w:val="24"/>
        </w:rPr>
        <w:t xml:space="preserve">Tobin’s </w:t>
      </w:r>
      <w:r w:rsidR="00F061DB" w:rsidRPr="00BC68C4">
        <w:rPr>
          <w:rFonts w:ascii="Times New Roman" w:hAnsi="Times New Roman" w:cs="Times New Roman"/>
          <w:sz w:val="24"/>
          <w:szCs w:val="24"/>
        </w:rPr>
        <w:t>Q and industry-adjusted ROA</w:t>
      </w:r>
      <w:r w:rsidR="00EC0A0E" w:rsidRPr="00BC68C4">
        <w:rPr>
          <w:rFonts w:ascii="Times New Roman" w:hAnsi="Times New Roman" w:cs="Times New Roman"/>
          <w:sz w:val="24"/>
          <w:szCs w:val="24"/>
        </w:rPr>
        <w:t xml:space="preserve"> </w:t>
      </w:r>
      <w:r w:rsidR="00F061DB" w:rsidRPr="00BC68C4">
        <w:rPr>
          <w:rFonts w:ascii="Times New Roman" w:hAnsi="Times New Roman" w:cs="Times New Roman"/>
          <w:sz w:val="24"/>
          <w:szCs w:val="24"/>
        </w:rPr>
        <w:t>whereb</w:t>
      </w:r>
      <w:r w:rsidR="00EC0A0E" w:rsidRPr="00BC68C4">
        <w:rPr>
          <w:rFonts w:ascii="Times New Roman" w:hAnsi="Times New Roman" w:cs="Times New Roman"/>
          <w:sz w:val="24"/>
          <w:szCs w:val="24"/>
        </w:rPr>
        <w:t xml:space="preserve">y </w:t>
      </w:r>
      <w:r w:rsidR="00D7094E" w:rsidRPr="00BC68C4">
        <w:rPr>
          <w:rFonts w:ascii="Times New Roman" w:hAnsi="Times New Roman" w:cs="Times New Roman"/>
          <w:sz w:val="24"/>
          <w:szCs w:val="24"/>
        </w:rPr>
        <w:t xml:space="preserve">Tobin’s </w:t>
      </w:r>
      <w:r w:rsidR="00EC0A0E" w:rsidRPr="00BC68C4">
        <w:rPr>
          <w:rFonts w:ascii="Times New Roman" w:hAnsi="Times New Roman" w:cs="Times New Roman"/>
          <w:sz w:val="24"/>
          <w:szCs w:val="24"/>
        </w:rPr>
        <w:t xml:space="preserve">Q, </w:t>
      </w:r>
      <w:r w:rsidR="0025535E" w:rsidRPr="00BC68C4">
        <w:rPr>
          <w:rFonts w:ascii="Times New Roman" w:hAnsi="Times New Roman" w:cs="Times New Roman"/>
          <w:sz w:val="24"/>
          <w:szCs w:val="24"/>
        </w:rPr>
        <w:t xml:space="preserve">and </w:t>
      </w:r>
      <w:r w:rsidR="00F061DB" w:rsidRPr="00BC68C4">
        <w:rPr>
          <w:rFonts w:ascii="Times New Roman" w:hAnsi="Times New Roman" w:cs="Times New Roman"/>
          <w:sz w:val="24"/>
          <w:szCs w:val="24"/>
        </w:rPr>
        <w:t>ROA are adjusted using industry averages as per t</w:t>
      </w:r>
      <w:r w:rsidR="00E0675B" w:rsidRPr="00BC68C4">
        <w:rPr>
          <w:rFonts w:ascii="Times New Roman" w:hAnsi="Times New Roman" w:cs="Times New Roman"/>
          <w:sz w:val="24"/>
          <w:szCs w:val="24"/>
        </w:rPr>
        <w:t xml:space="preserve">he industrial sectors in Table </w:t>
      </w:r>
      <w:r w:rsidR="009B09A3">
        <w:rPr>
          <w:rFonts w:ascii="Times New Roman" w:hAnsi="Times New Roman" w:cs="Times New Roman"/>
          <w:sz w:val="24"/>
          <w:szCs w:val="24"/>
        </w:rPr>
        <w:t>2</w:t>
      </w:r>
      <w:r w:rsidR="00F061DB" w:rsidRPr="00BC68C4">
        <w:rPr>
          <w:rFonts w:ascii="Times New Roman" w:hAnsi="Times New Roman" w:cs="Times New Roman"/>
          <w:sz w:val="24"/>
          <w:szCs w:val="24"/>
        </w:rPr>
        <w:t>.</w:t>
      </w:r>
      <w:r w:rsidR="00844BAA" w:rsidRPr="00BC68C4">
        <w:rPr>
          <w:rStyle w:val="FootnoteReference"/>
          <w:rFonts w:ascii="Times New Roman" w:hAnsi="Times New Roman" w:cs="Times New Roman"/>
          <w:sz w:val="24"/>
          <w:szCs w:val="24"/>
        </w:rPr>
        <w:footnoteReference w:id="20"/>
      </w:r>
      <w:r w:rsidR="00620337" w:rsidRPr="00BC68C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55D54E0" w14:textId="359164FA" w:rsidR="00A957AF" w:rsidRPr="00BC68C4" w:rsidRDefault="00E26FAB" w:rsidP="00C04FC8">
      <w:pPr>
        <w:spacing w:line="480" w:lineRule="auto"/>
        <w:ind w:firstLine="720"/>
        <w:rPr>
          <w:rFonts w:ascii="Times New Roman" w:hAnsi="Times New Roman" w:cs="Times New Roman"/>
          <w:sz w:val="24"/>
          <w:szCs w:val="24"/>
        </w:rPr>
      </w:pPr>
      <w:r>
        <w:rPr>
          <w:rFonts w:ascii="Times New Roman" w:hAnsi="Times New Roman" w:cs="Times New Roman"/>
          <w:sz w:val="24"/>
          <w:szCs w:val="24"/>
        </w:rPr>
        <w:t>Our robustness check on performance is firm status.</w:t>
      </w:r>
      <w:r w:rsidR="00C04FC8">
        <w:rPr>
          <w:rFonts w:ascii="Times New Roman" w:hAnsi="Times New Roman" w:cs="Times New Roman"/>
          <w:sz w:val="24"/>
          <w:szCs w:val="24"/>
        </w:rPr>
        <w:t xml:space="preserve"> </w:t>
      </w:r>
      <w:r w:rsidR="00AD539A" w:rsidRPr="00BC68C4">
        <w:rPr>
          <w:rFonts w:ascii="Times New Roman" w:hAnsi="Times New Roman" w:cs="Times New Roman"/>
          <w:sz w:val="24"/>
          <w:szCs w:val="24"/>
        </w:rPr>
        <w:t>The</w:t>
      </w:r>
      <w:r w:rsidR="00472067" w:rsidRPr="00BC68C4">
        <w:rPr>
          <w:rFonts w:ascii="Times New Roman" w:hAnsi="Times New Roman" w:cs="Times New Roman"/>
          <w:sz w:val="24"/>
          <w:szCs w:val="24"/>
        </w:rPr>
        <w:t xml:space="preserve"> </w:t>
      </w:r>
      <w:r w:rsidR="00472067" w:rsidRPr="00BC68C4">
        <w:rPr>
          <w:rFonts w:ascii="Times New Roman" w:hAnsi="Times New Roman" w:cs="Times New Roman"/>
          <w:i/>
          <w:sz w:val="24"/>
          <w:szCs w:val="24"/>
        </w:rPr>
        <w:t>Register of Defunct Companies</w:t>
      </w:r>
      <w:r w:rsidR="00472067" w:rsidRPr="00BC68C4">
        <w:rPr>
          <w:rFonts w:ascii="Times New Roman" w:hAnsi="Times New Roman" w:cs="Times New Roman"/>
          <w:sz w:val="24"/>
          <w:szCs w:val="24"/>
        </w:rPr>
        <w:t xml:space="preserve"> </w:t>
      </w:r>
      <w:r>
        <w:rPr>
          <w:rFonts w:ascii="Times New Roman" w:hAnsi="Times New Roman" w:cs="Times New Roman"/>
          <w:sz w:val="24"/>
          <w:szCs w:val="24"/>
        </w:rPr>
        <w:t xml:space="preserve">explains </w:t>
      </w:r>
      <w:r w:rsidR="001F616B" w:rsidRPr="00BC68C4">
        <w:rPr>
          <w:rFonts w:ascii="Times New Roman" w:hAnsi="Times New Roman" w:cs="Times New Roman"/>
          <w:sz w:val="24"/>
          <w:szCs w:val="24"/>
        </w:rPr>
        <w:t xml:space="preserve">why firms </w:t>
      </w:r>
      <w:r w:rsidR="00D7094E" w:rsidRPr="00BC68C4">
        <w:rPr>
          <w:rFonts w:ascii="Times New Roman" w:hAnsi="Times New Roman" w:cs="Times New Roman"/>
          <w:sz w:val="24"/>
          <w:szCs w:val="24"/>
        </w:rPr>
        <w:t>delisted</w:t>
      </w:r>
      <w:r>
        <w:rPr>
          <w:rFonts w:ascii="Times New Roman" w:hAnsi="Times New Roman" w:cs="Times New Roman"/>
          <w:sz w:val="24"/>
          <w:szCs w:val="24"/>
        </w:rPr>
        <w:t>.</w:t>
      </w:r>
      <w:r w:rsidR="00472067" w:rsidRPr="00BC68C4">
        <w:rPr>
          <w:rFonts w:ascii="Times New Roman" w:hAnsi="Times New Roman" w:cs="Times New Roman"/>
          <w:sz w:val="24"/>
          <w:szCs w:val="24"/>
        </w:rPr>
        <w:t xml:space="preserve"> </w:t>
      </w:r>
      <w:r>
        <w:rPr>
          <w:rFonts w:ascii="Times New Roman" w:hAnsi="Times New Roman" w:cs="Times New Roman"/>
          <w:sz w:val="24"/>
          <w:szCs w:val="24"/>
        </w:rPr>
        <w:t>W</w:t>
      </w:r>
      <w:r w:rsidR="00472067" w:rsidRPr="00BC68C4">
        <w:rPr>
          <w:rFonts w:ascii="Times New Roman" w:hAnsi="Times New Roman" w:cs="Times New Roman"/>
          <w:sz w:val="24"/>
          <w:szCs w:val="24"/>
        </w:rPr>
        <w:t>e use this information to create variables about the ultimate fate or final status of our sample companies.</w:t>
      </w:r>
      <w:r w:rsidR="00B14C74">
        <w:rPr>
          <w:rFonts w:ascii="Times New Roman" w:hAnsi="Times New Roman" w:cs="Times New Roman"/>
          <w:sz w:val="24"/>
          <w:szCs w:val="24"/>
        </w:rPr>
        <w:t xml:space="preserve"> </w:t>
      </w:r>
      <w:r>
        <w:rPr>
          <w:rFonts w:ascii="Times New Roman" w:hAnsi="Times New Roman" w:cs="Times New Roman"/>
          <w:sz w:val="24"/>
          <w:szCs w:val="24"/>
        </w:rPr>
        <w:t xml:space="preserve">We find that </w:t>
      </w:r>
      <w:r w:rsidR="00A957AF" w:rsidRPr="00BC68C4">
        <w:rPr>
          <w:rFonts w:ascii="Times New Roman" w:hAnsi="Times New Roman" w:cs="Times New Roman"/>
          <w:sz w:val="24"/>
          <w:szCs w:val="24"/>
        </w:rPr>
        <w:t>41 per cent of firms merged with other companies and disappeared as separate entities; 5 per cent of firms were wound up by court orders; 15 per cent of firms were removed from the stock exchange yearbook; 24 per cent of firms were voluntarily wound up by their shareholders; 16 per cent of firms were reconstructed</w:t>
      </w:r>
      <w:r w:rsidR="00A95977" w:rsidRPr="00BC68C4">
        <w:rPr>
          <w:rFonts w:ascii="Times New Roman" w:hAnsi="Times New Roman" w:cs="Times New Roman"/>
          <w:sz w:val="24"/>
          <w:szCs w:val="24"/>
        </w:rPr>
        <w:t xml:space="preserve"> </w:t>
      </w:r>
      <w:r>
        <w:rPr>
          <w:rFonts w:ascii="Times New Roman" w:hAnsi="Times New Roman" w:cs="Times New Roman"/>
          <w:sz w:val="24"/>
          <w:szCs w:val="24"/>
        </w:rPr>
        <w:t>(see Table 1)</w:t>
      </w:r>
      <w:r w:rsidR="00A95977" w:rsidRPr="00BC68C4">
        <w:rPr>
          <w:rFonts w:ascii="Times New Roman" w:hAnsi="Times New Roman" w:cs="Times New Roman"/>
          <w:sz w:val="24"/>
          <w:szCs w:val="24"/>
        </w:rPr>
        <w:t xml:space="preserve"> </w:t>
      </w:r>
    </w:p>
    <w:p w14:paraId="5CF299A9" w14:textId="4D3E5852" w:rsidR="000661EA" w:rsidRPr="00BC68C4" w:rsidRDefault="00A95977" w:rsidP="00926259">
      <w:pPr>
        <w:spacing w:line="480" w:lineRule="auto"/>
        <w:ind w:firstLine="720"/>
        <w:rPr>
          <w:rFonts w:ascii="Times New Roman" w:hAnsi="Times New Roman" w:cs="Times New Roman"/>
          <w:sz w:val="24"/>
          <w:szCs w:val="24"/>
        </w:rPr>
      </w:pPr>
      <w:r w:rsidRPr="00BC68C4">
        <w:rPr>
          <w:rFonts w:ascii="Times New Roman" w:hAnsi="Times New Roman" w:cs="Times New Roman"/>
          <w:sz w:val="24"/>
          <w:szCs w:val="24"/>
        </w:rPr>
        <w:t xml:space="preserve">In terms of ex ante optimality for shareholders, </w:t>
      </w:r>
      <w:r w:rsidR="00E26FAB">
        <w:rPr>
          <w:rFonts w:ascii="Times New Roman" w:hAnsi="Times New Roman" w:cs="Times New Roman"/>
          <w:sz w:val="24"/>
          <w:szCs w:val="24"/>
        </w:rPr>
        <w:t xml:space="preserve">if a firm were to disappear, </w:t>
      </w:r>
      <w:r w:rsidR="005D78C9" w:rsidRPr="00BC68C4">
        <w:rPr>
          <w:rFonts w:ascii="Times New Roman" w:hAnsi="Times New Roman" w:cs="Times New Roman"/>
          <w:sz w:val="24"/>
          <w:szCs w:val="24"/>
        </w:rPr>
        <w:t>the worst outcome would have been a court order to wind up, followed by a voluntary win</w:t>
      </w:r>
      <w:r w:rsidR="00A957AF" w:rsidRPr="00BC68C4">
        <w:rPr>
          <w:rFonts w:ascii="Times New Roman" w:hAnsi="Times New Roman" w:cs="Times New Roman"/>
          <w:sz w:val="24"/>
          <w:szCs w:val="24"/>
        </w:rPr>
        <w:t>d</w:t>
      </w:r>
      <w:r w:rsidR="005D78C9" w:rsidRPr="00BC68C4">
        <w:rPr>
          <w:rFonts w:ascii="Times New Roman" w:hAnsi="Times New Roman" w:cs="Times New Roman"/>
          <w:sz w:val="24"/>
          <w:szCs w:val="24"/>
        </w:rPr>
        <w:t>ing up. In the former,</w:t>
      </w:r>
      <w:r w:rsidR="00926259">
        <w:rPr>
          <w:rFonts w:ascii="Times New Roman" w:hAnsi="Times New Roman" w:cs="Times New Roman"/>
          <w:sz w:val="24"/>
          <w:szCs w:val="24"/>
        </w:rPr>
        <w:t xml:space="preserve"> larger</w:t>
      </w:r>
      <w:r w:rsidR="005D78C9" w:rsidRPr="00BC68C4">
        <w:rPr>
          <w:rFonts w:ascii="Times New Roman" w:hAnsi="Times New Roman" w:cs="Times New Roman"/>
          <w:sz w:val="24"/>
          <w:szCs w:val="24"/>
        </w:rPr>
        <w:t xml:space="preserve"> losses would usually have been incurred by shareholders, whereas the losses </w:t>
      </w:r>
      <w:r w:rsidR="003B3C03" w:rsidRPr="00BC68C4">
        <w:rPr>
          <w:rFonts w:ascii="Times New Roman" w:hAnsi="Times New Roman" w:cs="Times New Roman"/>
          <w:sz w:val="24"/>
          <w:szCs w:val="24"/>
        </w:rPr>
        <w:t>may</w:t>
      </w:r>
      <w:r w:rsidR="005D78C9" w:rsidRPr="00BC68C4">
        <w:rPr>
          <w:rFonts w:ascii="Times New Roman" w:hAnsi="Times New Roman" w:cs="Times New Roman"/>
          <w:sz w:val="24"/>
          <w:szCs w:val="24"/>
        </w:rPr>
        <w:t xml:space="preserve"> not have been as severe in the case of a voluntary winding up. </w:t>
      </w:r>
      <w:r w:rsidR="00456029" w:rsidRPr="00BC68C4">
        <w:rPr>
          <w:rFonts w:ascii="Times New Roman" w:hAnsi="Times New Roman" w:cs="Times New Roman"/>
          <w:sz w:val="24"/>
          <w:szCs w:val="24"/>
        </w:rPr>
        <w:t xml:space="preserve">Removal from the </w:t>
      </w:r>
      <w:r w:rsidR="00C04FC8">
        <w:rPr>
          <w:rFonts w:ascii="Times New Roman" w:hAnsi="Times New Roman" w:cs="Times New Roman"/>
          <w:sz w:val="24"/>
          <w:szCs w:val="24"/>
        </w:rPr>
        <w:t>S</w:t>
      </w:r>
      <w:r w:rsidR="00456029" w:rsidRPr="00BC68C4">
        <w:rPr>
          <w:rFonts w:ascii="Times New Roman" w:hAnsi="Times New Roman" w:cs="Times New Roman"/>
          <w:sz w:val="24"/>
          <w:szCs w:val="24"/>
        </w:rPr>
        <w:t xml:space="preserve">tock </w:t>
      </w:r>
      <w:r w:rsidR="00C04FC8">
        <w:rPr>
          <w:rFonts w:ascii="Times New Roman" w:hAnsi="Times New Roman" w:cs="Times New Roman"/>
          <w:sz w:val="24"/>
          <w:szCs w:val="24"/>
        </w:rPr>
        <w:t>E</w:t>
      </w:r>
      <w:r w:rsidR="00456029" w:rsidRPr="00BC68C4">
        <w:rPr>
          <w:rFonts w:ascii="Times New Roman" w:hAnsi="Times New Roman" w:cs="Times New Roman"/>
          <w:sz w:val="24"/>
          <w:szCs w:val="24"/>
        </w:rPr>
        <w:t xml:space="preserve">xchange </w:t>
      </w:r>
      <w:r w:rsidR="00C04FC8">
        <w:rPr>
          <w:rFonts w:ascii="Times New Roman" w:hAnsi="Times New Roman" w:cs="Times New Roman"/>
          <w:sz w:val="24"/>
          <w:szCs w:val="24"/>
        </w:rPr>
        <w:t>Y</w:t>
      </w:r>
      <w:r w:rsidR="00456029" w:rsidRPr="00BC68C4">
        <w:rPr>
          <w:rFonts w:ascii="Times New Roman" w:hAnsi="Times New Roman" w:cs="Times New Roman"/>
          <w:sz w:val="24"/>
          <w:szCs w:val="24"/>
        </w:rPr>
        <w:t>earbook usually occurred because a firm had failed, which</w:t>
      </w:r>
      <w:r w:rsidR="00926259">
        <w:rPr>
          <w:rFonts w:ascii="Times New Roman" w:hAnsi="Times New Roman" w:cs="Times New Roman"/>
          <w:sz w:val="24"/>
          <w:szCs w:val="24"/>
        </w:rPr>
        <w:t xml:space="preserve"> again</w:t>
      </w:r>
      <w:r w:rsidR="00456029" w:rsidRPr="00BC68C4">
        <w:rPr>
          <w:rFonts w:ascii="Times New Roman" w:hAnsi="Times New Roman" w:cs="Times New Roman"/>
          <w:sz w:val="24"/>
          <w:szCs w:val="24"/>
        </w:rPr>
        <w:t xml:space="preserve"> suggest</w:t>
      </w:r>
      <w:r w:rsidR="00926259">
        <w:rPr>
          <w:rFonts w:ascii="Times New Roman" w:hAnsi="Times New Roman" w:cs="Times New Roman"/>
          <w:sz w:val="24"/>
          <w:szCs w:val="24"/>
        </w:rPr>
        <w:t>s</w:t>
      </w:r>
      <w:r w:rsidR="00456029" w:rsidRPr="00BC68C4">
        <w:rPr>
          <w:rFonts w:ascii="Times New Roman" w:hAnsi="Times New Roman" w:cs="Times New Roman"/>
          <w:sz w:val="24"/>
          <w:szCs w:val="24"/>
        </w:rPr>
        <w:t xml:space="preserve"> poor performance. </w:t>
      </w:r>
      <w:r w:rsidR="005D78C9" w:rsidRPr="00BC68C4">
        <w:rPr>
          <w:rFonts w:ascii="Times New Roman" w:hAnsi="Times New Roman" w:cs="Times New Roman"/>
          <w:sz w:val="24"/>
          <w:szCs w:val="24"/>
        </w:rPr>
        <w:t xml:space="preserve">The best outcome </w:t>
      </w:r>
      <w:r w:rsidR="00926259">
        <w:rPr>
          <w:rFonts w:ascii="Times New Roman" w:hAnsi="Times New Roman" w:cs="Times New Roman"/>
          <w:sz w:val="24"/>
          <w:szCs w:val="24"/>
        </w:rPr>
        <w:t xml:space="preserve">would be </w:t>
      </w:r>
      <w:r w:rsidR="00A957AF" w:rsidRPr="00BC68C4">
        <w:rPr>
          <w:rFonts w:ascii="Times New Roman" w:hAnsi="Times New Roman" w:cs="Times New Roman"/>
          <w:sz w:val="24"/>
          <w:szCs w:val="24"/>
        </w:rPr>
        <w:t>a merger.</w:t>
      </w:r>
      <w:r w:rsidR="005D78C9" w:rsidRPr="00BC68C4">
        <w:rPr>
          <w:rFonts w:ascii="Times New Roman" w:hAnsi="Times New Roman" w:cs="Times New Roman"/>
          <w:sz w:val="24"/>
          <w:szCs w:val="24"/>
        </w:rPr>
        <w:t xml:space="preserve"> </w:t>
      </w:r>
      <w:r w:rsidR="00B347CD">
        <w:rPr>
          <w:rFonts w:ascii="Times New Roman" w:hAnsi="Times New Roman" w:cs="Times New Roman"/>
          <w:sz w:val="24"/>
          <w:szCs w:val="24"/>
        </w:rPr>
        <w:t xml:space="preserve">The </w:t>
      </w:r>
      <w:r w:rsidR="00A957AF" w:rsidRPr="00BC68C4">
        <w:rPr>
          <w:rFonts w:ascii="Times New Roman" w:hAnsi="Times New Roman" w:cs="Times New Roman"/>
          <w:sz w:val="24"/>
          <w:szCs w:val="24"/>
        </w:rPr>
        <w:t>extensive rationalisations and merger movements in many of the industries at the turn of the twentieth century (Sykes, 1926; Supple, 1970, pp. 273-96; Hannah 1974, 1976)</w:t>
      </w:r>
      <w:r w:rsidR="00B347CD">
        <w:rPr>
          <w:rFonts w:ascii="Times New Roman" w:hAnsi="Times New Roman" w:cs="Times New Roman"/>
          <w:sz w:val="24"/>
          <w:szCs w:val="24"/>
        </w:rPr>
        <w:t xml:space="preserve"> suggest that few mergers were for explicit performance reasons</w:t>
      </w:r>
      <w:r w:rsidR="00A957AF" w:rsidRPr="00BC68C4">
        <w:rPr>
          <w:rFonts w:ascii="Times New Roman" w:hAnsi="Times New Roman" w:cs="Times New Roman"/>
          <w:sz w:val="24"/>
          <w:szCs w:val="24"/>
        </w:rPr>
        <w:t xml:space="preserve">. Reconstruction of companies </w:t>
      </w:r>
      <w:r w:rsidR="00B347CD">
        <w:rPr>
          <w:rFonts w:ascii="Times New Roman" w:hAnsi="Times New Roman" w:cs="Times New Roman"/>
          <w:sz w:val="24"/>
          <w:szCs w:val="24"/>
        </w:rPr>
        <w:t xml:space="preserve">also </w:t>
      </w:r>
      <w:r w:rsidR="00A957AF" w:rsidRPr="00BC68C4">
        <w:rPr>
          <w:rFonts w:ascii="Times New Roman" w:hAnsi="Times New Roman" w:cs="Times New Roman"/>
          <w:sz w:val="24"/>
          <w:szCs w:val="24"/>
        </w:rPr>
        <w:t xml:space="preserve">does not necessarily imply </w:t>
      </w:r>
      <w:r w:rsidR="00A957AF" w:rsidRPr="00E82E73">
        <w:rPr>
          <w:rFonts w:ascii="Times New Roman" w:hAnsi="Times New Roman" w:cs="Times New Roman"/>
          <w:sz w:val="24"/>
          <w:szCs w:val="24"/>
        </w:rPr>
        <w:t xml:space="preserve">performance issues with firms, </w:t>
      </w:r>
      <w:r w:rsidR="009A0977" w:rsidRPr="00E82E73">
        <w:rPr>
          <w:rFonts w:ascii="Times New Roman" w:hAnsi="Times New Roman" w:cs="Times New Roman"/>
          <w:sz w:val="24"/>
          <w:szCs w:val="24"/>
        </w:rPr>
        <w:t xml:space="preserve">and </w:t>
      </w:r>
      <w:r w:rsidR="00B347CD" w:rsidRPr="00E82E73">
        <w:rPr>
          <w:rFonts w:ascii="Times New Roman" w:hAnsi="Times New Roman" w:cs="Times New Roman"/>
          <w:sz w:val="24"/>
          <w:szCs w:val="24"/>
        </w:rPr>
        <w:t xml:space="preserve">would </w:t>
      </w:r>
      <w:r w:rsidR="00E82E73" w:rsidRPr="00E82E73">
        <w:rPr>
          <w:rFonts w:ascii="Times New Roman" w:hAnsi="Times New Roman" w:cs="Times New Roman"/>
          <w:sz w:val="24"/>
          <w:szCs w:val="24"/>
        </w:rPr>
        <w:t>lie between</w:t>
      </w:r>
      <w:r w:rsidR="00A957AF" w:rsidRPr="00E82E73">
        <w:rPr>
          <w:rFonts w:ascii="Times New Roman" w:hAnsi="Times New Roman" w:cs="Times New Roman"/>
          <w:sz w:val="24"/>
          <w:szCs w:val="24"/>
        </w:rPr>
        <w:t xml:space="preserve"> the best outcome (i.e., merger) and the worst outcomes (i.e., winding up</w:t>
      </w:r>
      <w:r w:rsidR="00456029" w:rsidRPr="00E82E73">
        <w:rPr>
          <w:rFonts w:ascii="Times New Roman" w:hAnsi="Times New Roman" w:cs="Times New Roman"/>
          <w:sz w:val="24"/>
          <w:szCs w:val="24"/>
        </w:rPr>
        <w:t xml:space="preserve"> or removal</w:t>
      </w:r>
      <w:r w:rsidR="00A957AF" w:rsidRPr="00E82E73">
        <w:rPr>
          <w:rFonts w:ascii="Times New Roman" w:hAnsi="Times New Roman" w:cs="Times New Roman"/>
          <w:sz w:val="24"/>
          <w:szCs w:val="24"/>
        </w:rPr>
        <w:t>).</w:t>
      </w:r>
      <w:r w:rsidR="00B347CD" w:rsidRPr="00E82E73">
        <w:rPr>
          <w:rStyle w:val="FootnoteReference"/>
          <w:rFonts w:ascii="Times New Roman" w:hAnsi="Times New Roman" w:cs="Times New Roman"/>
          <w:sz w:val="24"/>
          <w:szCs w:val="24"/>
        </w:rPr>
        <w:footnoteReference w:id="21"/>
      </w:r>
      <w:r w:rsidR="00A957AF" w:rsidRPr="00BC68C4">
        <w:rPr>
          <w:rFonts w:ascii="Times New Roman" w:hAnsi="Times New Roman" w:cs="Times New Roman"/>
          <w:sz w:val="24"/>
          <w:szCs w:val="24"/>
        </w:rPr>
        <w:t xml:space="preserve">  </w:t>
      </w:r>
    </w:p>
    <w:p w14:paraId="5266006F" w14:textId="77777777" w:rsidR="0077180C" w:rsidRPr="00BC68C4" w:rsidRDefault="0077180C" w:rsidP="0077180C">
      <w:pPr>
        <w:spacing w:line="480" w:lineRule="auto"/>
        <w:ind w:firstLine="720"/>
        <w:rPr>
          <w:rFonts w:ascii="Times New Roman" w:hAnsi="Times New Roman" w:cs="Times New Roman"/>
          <w:sz w:val="24"/>
          <w:szCs w:val="24"/>
        </w:rPr>
      </w:pPr>
    </w:p>
    <w:p w14:paraId="559C113F" w14:textId="13082D1F" w:rsidR="00AE3036" w:rsidRPr="00BC68C4" w:rsidRDefault="004B7144" w:rsidP="009A0977">
      <w:pPr>
        <w:spacing w:line="480" w:lineRule="auto"/>
        <w:ind w:firstLine="720"/>
        <w:rPr>
          <w:rFonts w:ascii="Times New Roman" w:hAnsi="Times New Roman" w:cs="Times New Roman"/>
          <w:sz w:val="24"/>
          <w:szCs w:val="24"/>
        </w:rPr>
      </w:pPr>
      <w:r w:rsidRPr="009A0977">
        <w:rPr>
          <w:rFonts w:ascii="Times New Roman" w:hAnsi="Times New Roman" w:cs="Times New Roman"/>
          <w:sz w:val="24"/>
          <w:szCs w:val="24"/>
        </w:rPr>
        <w:t>We include</w:t>
      </w:r>
      <w:r w:rsidRPr="00BC68C4">
        <w:rPr>
          <w:rFonts w:ascii="Times New Roman" w:hAnsi="Times New Roman" w:cs="Times New Roman"/>
          <w:sz w:val="24"/>
          <w:szCs w:val="24"/>
        </w:rPr>
        <w:t xml:space="preserve"> two </w:t>
      </w:r>
      <w:r w:rsidR="00880079" w:rsidRPr="00BC68C4">
        <w:rPr>
          <w:rFonts w:ascii="Times New Roman" w:hAnsi="Times New Roman" w:cs="Times New Roman"/>
          <w:sz w:val="24"/>
          <w:szCs w:val="24"/>
        </w:rPr>
        <w:t xml:space="preserve">variables to capture </w:t>
      </w:r>
      <w:r w:rsidR="00B347CD">
        <w:rPr>
          <w:rFonts w:ascii="Times New Roman" w:hAnsi="Times New Roman" w:cs="Times New Roman"/>
          <w:sz w:val="24"/>
          <w:szCs w:val="24"/>
        </w:rPr>
        <w:t>governance and control, Board size (</w:t>
      </w:r>
      <w:proofErr w:type="spellStart"/>
      <w:r w:rsidR="00D81EFF" w:rsidRPr="00BC68C4">
        <w:rPr>
          <w:rFonts w:ascii="Times New Roman" w:hAnsi="Times New Roman" w:cs="Times New Roman"/>
          <w:i/>
          <w:sz w:val="24"/>
          <w:szCs w:val="24"/>
        </w:rPr>
        <w:t>NumDir</w:t>
      </w:r>
      <w:proofErr w:type="spellEnd"/>
      <w:r w:rsidR="00B347CD">
        <w:rPr>
          <w:rFonts w:ascii="Times New Roman" w:hAnsi="Times New Roman" w:cs="Times New Roman"/>
          <w:i/>
          <w:sz w:val="24"/>
          <w:szCs w:val="24"/>
        </w:rPr>
        <w:t>)</w:t>
      </w:r>
      <w:r w:rsidR="00880079" w:rsidRPr="00BC68C4">
        <w:rPr>
          <w:rFonts w:ascii="Times New Roman" w:hAnsi="Times New Roman" w:cs="Times New Roman"/>
          <w:sz w:val="24"/>
          <w:szCs w:val="24"/>
        </w:rPr>
        <w:t xml:space="preserve"> </w:t>
      </w:r>
      <w:r w:rsidR="0014498D" w:rsidRPr="00BC68C4">
        <w:rPr>
          <w:rFonts w:ascii="Times New Roman" w:hAnsi="Times New Roman" w:cs="Times New Roman"/>
          <w:sz w:val="24"/>
          <w:szCs w:val="24"/>
        </w:rPr>
        <w:t xml:space="preserve">ranged from </w:t>
      </w:r>
      <w:r w:rsidR="000661EA" w:rsidRPr="00BC68C4">
        <w:rPr>
          <w:rFonts w:ascii="Times New Roman" w:hAnsi="Times New Roman" w:cs="Times New Roman"/>
          <w:sz w:val="24"/>
          <w:szCs w:val="24"/>
        </w:rPr>
        <w:t>3</w:t>
      </w:r>
      <w:r w:rsidR="0014498D" w:rsidRPr="00BC68C4">
        <w:rPr>
          <w:rFonts w:ascii="Times New Roman" w:hAnsi="Times New Roman" w:cs="Times New Roman"/>
          <w:sz w:val="24"/>
          <w:szCs w:val="24"/>
        </w:rPr>
        <w:t xml:space="preserve"> to </w:t>
      </w:r>
      <w:r w:rsidR="00C461DC" w:rsidRPr="00BC68C4">
        <w:rPr>
          <w:rFonts w:ascii="Times New Roman" w:hAnsi="Times New Roman" w:cs="Times New Roman"/>
          <w:sz w:val="24"/>
          <w:szCs w:val="24"/>
        </w:rPr>
        <w:t>23</w:t>
      </w:r>
      <w:r w:rsidR="0014498D" w:rsidRPr="00BC68C4">
        <w:rPr>
          <w:rFonts w:ascii="Times New Roman" w:hAnsi="Times New Roman" w:cs="Times New Roman"/>
          <w:sz w:val="24"/>
          <w:szCs w:val="24"/>
        </w:rPr>
        <w:t>, with a</w:t>
      </w:r>
      <w:r w:rsidR="00C461DC" w:rsidRPr="00BC68C4">
        <w:rPr>
          <w:rFonts w:ascii="Times New Roman" w:hAnsi="Times New Roman" w:cs="Times New Roman"/>
          <w:sz w:val="24"/>
          <w:szCs w:val="24"/>
        </w:rPr>
        <w:t xml:space="preserve"> mean</w:t>
      </w:r>
      <w:r w:rsidR="0014498D" w:rsidRPr="00BC68C4">
        <w:rPr>
          <w:rFonts w:ascii="Times New Roman" w:hAnsi="Times New Roman" w:cs="Times New Roman"/>
          <w:sz w:val="24"/>
          <w:szCs w:val="24"/>
        </w:rPr>
        <w:t xml:space="preserve"> a</w:t>
      </w:r>
      <w:r w:rsidR="00C461DC" w:rsidRPr="00BC68C4">
        <w:rPr>
          <w:rFonts w:ascii="Times New Roman" w:hAnsi="Times New Roman" w:cs="Times New Roman"/>
          <w:sz w:val="24"/>
          <w:szCs w:val="24"/>
        </w:rPr>
        <w:t>nd</w:t>
      </w:r>
      <w:r w:rsidR="0014498D" w:rsidRPr="00BC68C4">
        <w:rPr>
          <w:rFonts w:ascii="Times New Roman" w:hAnsi="Times New Roman" w:cs="Times New Roman"/>
          <w:sz w:val="24"/>
          <w:szCs w:val="24"/>
        </w:rPr>
        <w:t xml:space="preserve"> median of 6.0.</w:t>
      </w:r>
      <w:r w:rsidR="00CE6A66" w:rsidRPr="00BC68C4">
        <w:rPr>
          <w:rStyle w:val="FootnoteReference"/>
          <w:rFonts w:ascii="Times New Roman" w:hAnsi="Times New Roman" w:cs="Times New Roman"/>
          <w:sz w:val="24"/>
          <w:szCs w:val="24"/>
        </w:rPr>
        <w:footnoteReference w:id="22"/>
      </w:r>
      <w:r w:rsidR="00880079" w:rsidRPr="00BC68C4">
        <w:rPr>
          <w:rFonts w:ascii="Times New Roman" w:hAnsi="Times New Roman" w:cs="Times New Roman"/>
          <w:sz w:val="24"/>
          <w:szCs w:val="24"/>
        </w:rPr>
        <w:t xml:space="preserve"> </w:t>
      </w:r>
      <w:r w:rsidR="00B347CD">
        <w:rPr>
          <w:rFonts w:ascii="Times New Roman" w:hAnsi="Times New Roman" w:cs="Times New Roman"/>
          <w:sz w:val="24"/>
          <w:szCs w:val="24"/>
        </w:rPr>
        <w:t xml:space="preserve">Independence is </w:t>
      </w:r>
      <w:r w:rsidR="00F05278">
        <w:rPr>
          <w:rFonts w:ascii="Times New Roman" w:hAnsi="Times New Roman" w:cs="Times New Roman"/>
          <w:sz w:val="24"/>
          <w:szCs w:val="24"/>
        </w:rPr>
        <w:t>captured</w:t>
      </w:r>
      <w:r w:rsidR="00B347CD">
        <w:rPr>
          <w:rFonts w:ascii="Times New Roman" w:hAnsi="Times New Roman" w:cs="Times New Roman"/>
          <w:sz w:val="24"/>
          <w:szCs w:val="24"/>
        </w:rPr>
        <w:t xml:space="preserve"> by </w:t>
      </w:r>
      <w:r w:rsidR="00C20F9B" w:rsidRPr="00BC68C4">
        <w:rPr>
          <w:rFonts w:ascii="Times New Roman" w:hAnsi="Times New Roman" w:cs="Times New Roman"/>
          <w:sz w:val="24"/>
          <w:szCs w:val="24"/>
        </w:rPr>
        <w:t xml:space="preserve">the number of directors who are not also large </w:t>
      </w:r>
      <w:proofErr w:type="spellStart"/>
      <w:r w:rsidR="00D42421" w:rsidRPr="00BC68C4">
        <w:rPr>
          <w:rFonts w:ascii="Times New Roman" w:hAnsi="Times New Roman" w:cs="Times New Roman"/>
          <w:sz w:val="24"/>
          <w:szCs w:val="24"/>
        </w:rPr>
        <w:t>block</w:t>
      </w:r>
      <w:r w:rsidR="00C20F9B" w:rsidRPr="00BC68C4">
        <w:rPr>
          <w:rFonts w:ascii="Times New Roman" w:hAnsi="Times New Roman" w:cs="Times New Roman"/>
          <w:sz w:val="24"/>
          <w:szCs w:val="24"/>
        </w:rPr>
        <w:t>holders</w:t>
      </w:r>
      <w:proofErr w:type="spellEnd"/>
      <w:r w:rsidR="00B347CD">
        <w:rPr>
          <w:rFonts w:ascii="Times New Roman" w:hAnsi="Times New Roman" w:cs="Times New Roman"/>
          <w:sz w:val="24"/>
          <w:szCs w:val="24"/>
        </w:rPr>
        <w:t xml:space="preserve"> (</w:t>
      </w:r>
      <w:proofErr w:type="spellStart"/>
      <w:r w:rsidR="00B347CD" w:rsidRPr="00BC68C4">
        <w:rPr>
          <w:rFonts w:ascii="Times New Roman" w:hAnsi="Times New Roman" w:cs="Times New Roman"/>
          <w:i/>
          <w:sz w:val="24"/>
          <w:szCs w:val="24"/>
        </w:rPr>
        <w:t>DirOnlyNum</w:t>
      </w:r>
      <w:proofErr w:type="spellEnd"/>
      <w:r w:rsidR="00B347CD">
        <w:rPr>
          <w:rFonts w:ascii="Times New Roman" w:hAnsi="Times New Roman" w:cs="Times New Roman"/>
          <w:i/>
          <w:sz w:val="24"/>
          <w:szCs w:val="24"/>
        </w:rPr>
        <w:t>)</w:t>
      </w:r>
      <w:r w:rsidR="00C20F9B" w:rsidRPr="00BC68C4">
        <w:rPr>
          <w:rFonts w:ascii="Times New Roman" w:hAnsi="Times New Roman" w:cs="Times New Roman"/>
          <w:sz w:val="24"/>
          <w:szCs w:val="24"/>
        </w:rPr>
        <w:t xml:space="preserve"> </w:t>
      </w:r>
      <w:r w:rsidR="00B347CD">
        <w:rPr>
          <w:rFonts w:ascii="Times New Roman" w:hAnsi="Times New Roman" w:cs="Times New Roman"/>
          <w:sz w:val="24"/>
          <w:szCs w:val="24"/>
        </w:rPr>
        <w:t xml:space="preserve">and </w:t>
      </w:r>
      <w:r w:rsidR="00C20F9B" w:rsidRPr="00BC68C4">
        <w:rPr>
          <w:rFonts w:ascii="Times New Roman" w:hAnsi="Times New Roman" w:cs="Times New Roman"/>
          <w:sz w:val="24"/>
          <w:szCs w:val="24"/>
        </w:rPr>
        <w:t xml:space="preserve">ranges from </w:t>
      </w:r>
      <w:r w:rsidR="00C461DC" w:rsidRPr="00BC68C4">
        <w:rPr>
          <w:rFonts w:ascii="Times New Roman" w:hAnsi="Times New Roman" w:cs="Times New Roman"/>
          <w:sz w:val="24"/>
          <w:szCs w:val="24"/>
        </w:rPr>
        <w:t>2</w:t>
      </w:r>
      <w:r w:rsidR="00C20F9B" w:rsidRPr="00BC68C4">
        <w:rPr>
          <w:rFonts w:ascii="Times New Roman" w:hAnsi="Times New Roman" w:cs="Times New Roman"/>
          <w:sz w:val="24"/>
          <w:szCs w:val="24"/>
        </w:rPr>
        <w:t xml:space="preserve"> to </w:t>
      </w:r>
      <w:r w:rsidR="00C461DC" w:rsidRPr="00BC68C4">
        <w:rPr>
          <w:rFonts w:ascii="Times New Roman" w:hAnsi="Times New Roman" w:cs="Times New Roman"/>
          <w:sz w:val="24"/>
          <w:szCs w:val="24"/>
        </w:rPr>
        <w:t>23</w:t>
      </w:r>
      <w:r w:rsidR="00C20F9B" w:rsidRPr="00BC68C4">
        <w:rPr>
          <w:rFonts w:ascii="Times New Roman" w:hAnsi="Times New Roman" w:cs="Times New Roman"/>
          <w:sz w:val="24"/>
          <w:szCs w:val="24"/>
        </w:rPr>
        <w:t>, with a</w:t>
      </w:r>
      <w:r w:rsidR="00D42421" w:rsidRPr="00BC68C4">
        <w:rPr>
          <w:rFonts w:ascii="Times New Roman" w:hAnsi="Times New Roman" w:cs="Times New Roman"/>
          <w:sz w:val="24"/>
          <w:szCs w:val="24"/>
        </w:rPr>
        <w:t xml:space="preserve"> mean of 5.</w:t>
      </w:r>
      <w:r w:rsidR="00C461DC" w:rsidRPr="00BC68C4">
        <w:rPr>
          <w:rFonts w:ascii="Times New Roman" w:hAnsi="Times New Roman" w:cs="Times New Roman"/>
          <w:sz w:val="24"/>
          <w:szCs w:val="24"/>
        </w:rPr>
        <w:t>8</w:t>
      </w:r>
      <w:r w:rsidR="00D42421" w:rsidRPr="00BC68C4">
        <w:rPr>
          <w:rFonts w:ascii="Times New Roman" w:hAnsi="Times New Roman" w:cs="Times New Roman"/>
          <w:sz w:val="24"/>
          <w:szCs w:val="24"/>
        </w:rPr>
        <w:t xml:space="preserve"> and median of </w:t>
      </w:r>
      <w:r w:rsidR="00261860" w:rsidRPr="00BC68C4">
        <w:rPr>
          <w:rFonts w:ascii="Times New Roman" w:hAnsi="Times New Roman" w:cs="Times New Roman"/>
          <w:sz w:val="24"/>
          <w:szCs w:val="24"/>
        </w:rPr>
        <w:t>5.0</w:t>
      </w:r>
      <w:r w:rsidRPr="00BC68C4">
        <w:rPr>
          <w:rFonts w:ascii="Times New Roman" w:hAnsi="Times New Roman" w:cs="Times New Roman"/>
          <w:sz w:val="24"/>
          <w:szCs w:val="24"/>
        </w:rPr>
        <w:t xml:space="preserve"> </w:t>
      </w:r>
      <w:r w:rsidR="00B347CD">
        <w:rPr>
          <w:rFonts w:ascii="Times New Roman" w:hAnsi="Times New Roman" w:cs="Times New Roman"/>
          <w:sz w:val="24"/>
          <w:szCs w:val="24"/>
        </w:rPr>
        <w:t>(See Table 1)</w:t>
      </w:r>
      <w:r w:rsidR="006F5264">
        <w:rPr>
          <w:rFonts w:ascii="Times New Roman" w:hAnsi="Times New Roman" w:cs="Times New Roman"/>
          <w:sz w:val="24"/>
          <w:szCs w:val="24"/>
        </w:rPr>
        <w:t>.</w:t>
      </w:r>
    </w:p>
    <w:p w14:paraId="5F3A38EA" w14:textId="4E1011CD" w:rsidR="00E0675B" w:rsidRPr="00BC68C4" w:rsidRDefault="002C7BD0" w:rsidP="006C261F">
      <w:pPr>
        <w:spacing w:line="480" w:lineRule="auto"/>
        <w:ind w:firstLine="720"/>
        <w:rPr>
          <w:rFonts w:ascii="Times New Roman" w:hAnsi="Times New Roman" w:cs="Times New Roman"/>
          <w:sz w:val="24"/>
          <w:szCs w:val="24"/>
        </w:rPr>
      </w:pPr>
      <w:r w:rsidRPr="009A0977">
        <w:rPr>
          <w:rFonts w:ascii="Times New Roman" w:hAnsi="Times New Roman" w:cs="Times New Roman"/>
          <w:sz w:val="24"/>
          <w:szCs w:val="24"/>
        </w:rPr>
        <w:t xml:space="preserve">We </w:t>
      </w:r>
      <w:r w:rsidRPr="00BC68C4">
        <w:rPr>
          <w:rFonts w:ascii="Times New Roman" w:hAnsi="Times New Roman" w:cs="Times New Roman"/>
          <w:sz w:val="24"/>
          <w:szCs w:val="24"/>
        </w:rPr>
        <w:t>use the establishment year of the company to capture the maturity of the firm</w:t>
      </w:r>
      <w:r w:rsidR="00E05863" w:rsidRPr="00BC68C4">
        <w:rPr>
          <w:rFonts w:ascii="Times New Roman" w:hAnsi="Times New Roman" w:cs="Times New Roman"/>
          <w:sz w:val="24"/>
          <w:szCs w:val="24"/>
        </w:rPr>
        <w:t xml:space="preserve"> (</w:t>
      </w:r>
      <w:proofErr w:type="spellStart"/>
      <w:r w:rsidR="00E05863" w:rsidRPr="00BC68C4">
        <w:rPr>
          <w:rFonts w:ascii="Times New Roman" w:hAnsi="Times New Roman" w:cs="Times New Roman"/>
          <w:i/>
          <w:sz w:val="24"/>
          <w:szCs w:val="24"/>
        </w:rPr>
        <w:t>EstDate</w:t>
      </w:r>
      <w:proofErr w:type="spellEnd"/>
      <w:r w:rsidR="00E05863" w:rsidRPr="00BC68C4">
        <w:rPr>
          <w:rFonts w:ascii="Times New Roman" w:hAnsi="Times New Roman" w:cs="Times New Roman"/>
          <w:sz w:val="24"/>
          <w:szCs w:val="24"/>
        </w:rPr>
        <w:t>)</w:t>
      </w:r>
      <w:r w:rsidRPr="00BC68C4">
        <w:rPr>
          <w:rFonts w:ascii="Times New Roman" w:hAnsi="Times New Roman" w:cs="Times New Roman"/>
          <w:sz w:val="24"/>
          <w:szCs w:val="24"/>
        </w:rPr>
        <w:t>.</w:t>
      </w:r>
      <w:r w:rsidR="0077180C" w:rsidRPr="00BC68C4">
        <w:rPr>
          <w:rFonts w:ascii="Times New Roman" w:hAnsi="Times New Roman" w:cs="Times New Roman"/>
          <w:sz w:val="24"/>
          <w:szCs w:val="24"/>
        </w:rPr>
        <w:t xml:space="preserve"> </w:t>
      </w:r>
      <w:r w:rsidR="003C6AE2">
        <w:rPr>
          <w:rFonts w:ascii="Times New Roman" w:hAnsi="Times New Roman" w:cs="Times New Roman"/>
          <w:sz w:val="24"/>
          <w:szCs w:val="24"/>
        </w:rPr>
        <w:t xml:space="preserve">We control for cyclical variations in ROA and Tobin’s Q by using dummies for the years in which the data was obtained, </w:t>
      </w:r>
      <w:r w:rsidR="006C261F">
        <w:rPr>
          <w:rFonts w:ascii="Times New Roman" w:hAnsi="Times New Roman" w:cs="Times New Roman"/>
          <w:sz w:val="24"/>
          <w:szCs w:val="24"/>
        </w:rPr>
        <w:t xml:space="preserve">and </w:t>
      </w:r>
      <w:r w:rsidR="003C6AE2" w:rsidRPr="00BC68C4">
        <w:rPr>
          <w:rFonts w:ascii="Times New Roman" w:hAnsi="Times New Roman" w:cs="Times New Roman"/>
          <w:sz w:val="24"/>
          <w:szCs w:val="24"/>
        </w:rPr>
        <w:t>capture a time effect (</w:t>
      </w:r>
      <w:proofErr w:type="spellStart"/>
      <w:r w:rsidR="003C6AE2" w:rsidRPr="00BC68C4">
        <w:rPr>
          <w:rFonts w:ascii="Times New Roman" w:hAnsi="Times New Roman" w:cs="Times New Roman"/>
          <w:i/>
          <w:sz w:val="24"/>
          <w:szCs w:val="24"/>
        </w:rPr>
        <w:t>OwnDate</w:t>
      </w:r>
      <w:proofErr w:type="spellEnd"/>
      <w:r w:rsidR="003C6AE2" w:rsidRPr="00BC68C4">
        <w:rPr>
          <w:rFonts w:ascii="Times New Roman" w:hAnsi="Times New Roman" w:cs="Times New Roman"/>
          <w:sz w:val="24"/>
          <w:szCs w:val="24"/>
        </w:rPr>
        <w:t>)</w:t>
      </w:r>
      <w:r w:rsidR="006C261F">
        <w:rPr>
          <w:rFonts w:ascii="Times New Roman" w:hAnsi="Times New Roman" w:cs="Times New Roman"/>
          <w:sz w:val="24"/>
          <w:szCs w:val="24"/>
        </w:rPr>
        <w:t xml:space="preserve"> for the final status of the company. </w:t>
      </w:r>
      <w:r w:rsidR="00D7094E" w:rsidRPr="00BC68C4">
        <w:rPr>
          <w:rFonts w:ascii="Times New Roman" w:hAnsi="Times New Roman" w:cs="Times New Roman"/>
          <w:sz w:val="24"/>
          <w:szCs w:val="24"/>
        </w:rPr>
        <w:t>W</w:t>
      </w:r>
      <w:r w:rsidRPr="00BC68C4">
        <w:rPr>
          <w:rFonts w:ascii="Times New Roman" w:hAnsi="Times New Roman" w:cs="Times New Roman"/>
          <w:sz w:val="24"/>
          <w:szCs w:val="24"/>
        </w:rPr>
        <w:t>e control for firm size by including the natural logarithm of a firm’s paid-up capital in our regressions</w:t>
      </w:r>
      <w:r w:rsidR="00E05863" w:rsidRPr="00BC68C4">
        <w:rPr>
          <w:rFonts w:ascii="Times New Roman" w:hAnsi="Times New Roman" w:cs="Times New Roman"/>
          <w:sz w:val="24"/>
          <w:szCs w:val="24"/>
        </w:rPr>
        <w:t xml:space="preserve"> (</w:t>
      </w:r>
      <w:r w:rsidR="00E05863" w:rsidRPr="00BC68C4">
        <w:rPr>
          <w:rFonts w:ascii="Times New Roman" w:hAnsi="Times New Roman" w:cs="Times New Roman"/>
          <w:i/>
          <w:sz w:val="24"/>
          <w:szCs w:val="24"/>
        </w:rPr>
        <w:t>Size</w:t>
      </w:r>
      <w:r w:rsidR="00E05863" w:rsidRPr="00BC68C4">
        <w:rPr>
          <w:rFonts w:ascii="Times New Roman" w:hAnsi="Times New Roman" w:cs="Times New Roman"/>
          <w:sz w:val="24"/>
          <w:szCs w:val="24"/>
        </w:rPr>
        <w:t>)</w:t>
      </w:r>
      <w:r w:rsidR="00C9417F" w:rsidRPr="00BC68C4">
        <w:rPr>
          <w:rFonts w:ascii="Times New Roman" w:hAnsi="Times New Roman" w:cs="Times New Roman"/>
          <w:sz w:val="24"/>
          <w:szCs w:val="24"/>
        </w:rPr>
        <w:t xml:space="preserve"> and a leverage ratio (</w:t>
      </w:r>
      <w:proofErr w:type="spellStart"/>
      <w:r w:rsidR="00C9417F" w:rsidRPr="00BC68C4">
        <w:rPr>
          <w:rFonts w:ascii="Times New Roman" w:hAnsi="Times New Roman" w:cs="Times New Roman"/>
          <w:i/>
          <w:sz w:val="24"/>
          <w:szCs w:val="24"/>
        </w:rPr>
        <w:t>LTDebt</w:t>
      </w:r>
      <w:proofErr w:type="spellEnd"/>
      <w:r w:rsidR="00C9417F" w:rsidRPr="00BC68C4">
        <w:rPr>
          <w:rFonts w:ascii="Times New Roman" w:hAnsi="Times New Roman" w:cs="Times New Roman"/>
          <w:sz w:val="24"/>
          <w:szCs w:val="24"/>
        </w:rPr>
        <w:t>)</w:t>
      </w:r>
      <w:r w:rsidRPr="00BC68C4">
        <w:rPr>
          <w:rFonts w:ascii="Times New Roman" w:hAnsi="Times New Roman" w:cs="Times New Roman"/>
          <w:sz w:val="24"/>
          <w:szCs w:val="24"/>
        </w:rPr>
        <w:t>.</w:t>
      </w:r>
      <w:r w:rsidR="00A35DF4" w:rsidRPr="00BC68C4">
        <w:rPr>
          <w:rStyle w:val="FootnoteReference"/>
          <w:rFonts w:ascii="Times New Roman" w:hAnsi="Times New Roman" w:cs="Times New Roman"/>
          <w:sz w:val="24"/>
          <w:szCs w:val="24"/>
        </w:rPr>
        <w:footnoteReference w:id="23"/>
      </w:r>
      <w:r w:rsidRPr="00BC68C4">
        <w:rPr>
          <w:rFonts w:ascii="Times New Roman" w:hAnsi="Times New Roman" w:cs="Times New Roman"/>
          <w:sz w:val="24"/>
          <w:szCs w:val="24"/>
        </w:rPr>
        <w:t xml:space="preserve">  </w:t>
      </w:r>
      <w:r w:rsidR="004E0C18" w:rsidRPr="00BC68C4">
        <w:rPr>
          <w:rFonts w:ascii="Times New Roman" w:hAnsi="Times New Roman" w:cs="Times New Roman"/>
          <w:sz w:val="24"/>
          <w:szCs w:val="24"/>
        </w:rPr>
        <w:t xml:space="preserve"> </w:t>
      </w:r>
      <w:r w:rsidR="00E0675B" w:rsidRPr="00BC68C4">
        <w:rPr>
          <w:rFonts w:ascii="Times New Roman" w:hAnsi="Times New Roman" w:cs="Times New Roman"/>
          <w:sz w:val="24"/>
          <w:szCs w:val="24"/>
        </w:rPr>
        <w:t xml:space="preserve"> </w:t>
      </w:r>
    </w:p>
    <w:p w14:paraId="57A656A0" w14:textId="3A9B8BEC" w:rsidR="00E0675B" w:rsidRPr="00BC68C4" w:rsidRDefault="003B3C03" w:rsidP="00E0675B">
      <w:pPr>
        <w:spacing w:line="480" w:lineRule="auto"/>
        <w:ind w:firstLine="720"/>
        <w:rPr>
          <w:rFonts w:ascii="Times New Roman" w:hAnsi="Times New Roman" w:cs="Times New Roman"/>
          <w:sz w:val="24"/>
          <w:szCs w:val="24"/>
        </w:rPr>
      </w:pPr>
      <w:r w:rsidRPr="00BC68C4">
        <w:rPr>
          <w:rFonts w:ascii="Times New Roman" w:hAnsi="Times New Roman" w:cs="Times New Roman"/>
          <w:sz w:val="24"/>
          <w:szCs w:val="24"/>
        </w:rPr>
        <w:t>Since</w:t>
      </w:r>
      <w:r w:rsidR="00E0675B" w:rsidRPr="00BC68C4">
        <w:rPr>
          <w:rFonts w:ascii="Times New Roman" w:hAnsi="Times New Roman" w:cs="Times New Roman"/>
          <w:sz w:val="24"/>
          <w:szCs w:val="24"/>
        </w:rPr>
        <w:t xml:space="preserve"> directors in this era were usually required to own a certain number of shares, which was usually low relative to the capital of the firm (Campbell and Turner, 2011), we include a director qualification variable (</w:t>
      </w:r>
      <w:proofErr w:type="spellStart"/>
      <w:r w:rsidR="00E0675B" w:rsidRPr="00BC68C4">
        <w:rPr>
          <w:rFonts w:ascii="Times New Roman" w:hAnsi="Times New Roman" w:cs="Times New Roman"/>
          <w:i/>
          <w:sz w:val="24"/>
          <w:szCs w:val="24"/>
        </w:rPr>
        <w:t>DirectorQual</w:t>
      </w:r>
      <w:proofErr w:type="spellEnd"/>
      <w:r w:rsidR="00E0675B" w:rsidRPr="00BC68C4">
        <w:rPr>
          <w:rFonts w:ascii="Times New Roman" w:hAnsi="Times New Roman" w:cs="Times New Roman"/>
          <w:sz w:val="24"/>
          <w:szCs w:val="24"/>
        </w:rPr>
        <w:t xml:space="preserve">) </w:t>
      </w:r>
      <w:r w:rsidRPr="00BC68C4">
        <w:rPr>
          <w:rFonts w:ascii="Times New Roman" w:hAnsi="Times New Roman" w:cs="Times New Roman"/>
          <w:sz w:val="24"/>
          <w:szCs w:val="24"/>
        </w:rPr>
        <w:t>because</w:t>
      </w:r>
      <w:r w:rsidR="00E0675B" w:rsidRPr="00BC68C4">
        <w:rPr>
          <w:rFonts w:ascii="Times New Roman" w:hAnsi="Times New Roman" w:cs="Times New Roman"/>
          <w:sz w:val="24"/>
          <w:szCs w:val="24"/>
        </w:rPr>
        <w:t xml:space="preserve"> this may have affected the relationship between ownership and performance. </w:t>
      </w:r>
      <w:r w:rsidR="00B347CD">
        <w:rPr>
          <w:rFonts w:ascii="Times New Roman" w:hAnsi="Times New Roman" w:cs="Times New Roman"/>
          <w:sz w:val="24"/>
          <w:szCs w:val="24"/>
        </w:rPr>
        <w:t>T</w:t>
      </w:r>
      <w:r w:rsidR="00E0675B" w:rsidRPr="00BC68C4">
        <w:rPr>
          <w:rFonts w:ascii="Times New Roman" w:hAnsi="Times New Roman" w:cs="Times New Roman"/>
          <w:sz w:val="24"/>
          <w:szCs w:val="24"/>
        </w:rPr>
        <w:t xml:space="preserve">he mean, median, and range suggests that director qualifications were not a high proportion of the firm’s par (paid-up) capital. Indeed, on average, 29.3 per cent of shareholders had enough shares to qualify as a director.     </w:t>
      </w:r>
    </w:p>
    <w:p w14:paraId="4B23505C" w14:textId="7C53C2C9" w:rsidR="00BE1C32" w:rsidRDefault="002C7BD0" w:rsidP="00BE1C32">
      <w:pPr>
        <w:spacing w:line="480" w:lineRule="auto"/>
        <w:ind w:firstLine="720"/>
        <w:rPr>
          <w:rFonts w:ascii="Times New Roman" w:hAnsi="Times New Roman" w:cs="Times New Roman"/>
          <w:sz w:val="24"/>
          <w:szCs w:val="24"/>
        </w:rPr>
      </w:pPr>
      <w:r w:rsidRPr="00BC68C4">
        <w:rPr>
          <w:rFonts w:ascii="Times New Roman" w:hAnsi="Times New Roman" w:cs="Times New Roman"/>
          <w:sz w:val="24"/>
          <w:szCs w:val="24"/>
        </w:rPr>
        <w:t>We also control for whether or not a</w:t>
      </w:r>
      <w:r w:rsidR="003B3C03" w:rsidRPr="00BC68C4">
        <w:rPr>
          <w:rFonts w:ascii="Times New Roman" w:hAnsi="Times New Roman" w:cs="Times New Roman"/>
          <w:sz w:val="24"/>
          <w:szCs w:val="24"/>
        </w:rPr>
        <w:t xml:space="preserve"> firm had London headquarters because</w:t>
      </w:r>
      <w:r w:rsidRPr="00BC68C4">
        <w:rPr>
          <w:rFonts w:ascii="Times New Roman" w:hAnsi="Times New Roman" w:cs="Times New Roman"/>
          <w:sz w:val="24"/>
          <w:szCs w:val="24"/>
        </w:rPr>
        <w:t xml:space="preserve"> such firms may have had greater access to capital markets and oversight by professional investors</w:t>
      </w:r>
      <w:r w:rsidR="00E05863" w:rsidRPr="00BC68C4">
        <w:rPr>
          <w:rFonts w:ascii="Times New Roman" w:hAnsi="Times New Roman" w:cs="Times New Roman"/>
          <w:sz w:val="24"/>
          <w:szCs w:val="24"/>
        </w:rPr>
        <w:t xml:space="preserve"> (</w:t>
      </w:r>
      <w:proofErr w:type="spellStart"/>
      <w:r w:rsidR="00E05863" w:rsidRPr="00BC68C4">
        <w:rPr>
          <w:rFonts w:ascii="Times New Roman" w:hAnsi="Times New Roman" w:cs="Times New Roman"/>
          <w:i/>
          <w:sz w:val="24"/>
          <w:szCs w:val="24"/>
        </w:rPr>
        <w:t>HeadLondon</w:t>
      </w:r>
      <w:proofErr w:type="spellEnd"/>
      <w:r w:rsidR="00E05863" w:rsidRPr="00BC68C4">
        <w:rPr>
          <w:rFonts w:ascii="Times New Roman" w:hAnsi="Times New Roman" w:cs="Times New Roman"/>
          <w:sz w:val="24"/>
          <w:szCs w:val="24"/>
        </w:rPr>
        <w:t>)</w:t>
      </w:r>
      <w:r w:rsidRPr="00BC68C4">
        <w:rPr>
          <w:rFonts w:ascii="Times New Roman" w:hAnsi="Times New Roman" w:cs="Times New Roman"/>
          <w:sz w:val="24"/>
          <w:szCs w:val="24"/>
        </w:rPr>
        <w:t>.</w:t>
      </w:r>
      <w:r w:rsidR="00B14C74">
        <w:rPr>
          <w:rFonts w:ascii="Times New Roman" w:hAnsi="Times New Roman" w:cs="Times New Roman"/>
          <w:sz w:val="24"/>
          <w:szCs w:val="24"/>
        </w:rPr>
        <w:t xml:space="preserve"> </w:t>
      </w:r>
      <w:r w:rsidRPr="00BC68C4">
        <w:rPr>
          <w:rFonts w:ascii="Times New Roman" w:hAnsi="Times New Roman" w:cs="Times New Roman"/>
          <w:sz w:val="24"/>
          <w:szCs w:val="24"/>
        </w:rPr>
        <w:t>As our data comes from two different archives, we control</w:t>
      </w:r>
      <w:r w:rsidR="00D42421" w:rsidRPr="00BC68C4">
        <w:rPr>
          <w:rFonts w:ascii="Times New Roman" w:hAnsi="Times New Roman" w:cs="Times New Roman"/>
          <w:sz w:val="24"/>
          <w:szCs w:val="24"/>
        </w:rPr>
        <w:t xml:space="preserve"> for any possible e</w:t>
      </w:r>
      <w:r w:rsidR="00D81EFF" w:rsidRPr="00BC68C4">
        <w:rPr>
          <w:rFonts w:ascii="Times New Roman" w:hAnsi="Times New Roman" w:cs="Times New Roman"/>
          <w:sz w:val="24"/>
          <w:szCs w:val="24"/>
        </w:rPr>
        <w:t>ffect</w:t>
      </w:r>
      <w:r w:rsidR="007E4A49" w:rsidRPr="00BC68C4">
        <w:rPr>
          <w:rFonts w:ascii="Times New Roman" w:hAnsi="Times New Roman" w:cs="Times New Roman"/>
          <w:sz w:val="24"/>
          <w:szCs w:val="24"/>
        </w:rPr>
        <w:t xml:space="preserve"> this might have on the relationship</w:t>
      </w:r>
      <w:r w:rsidR="00D81EFF" w:rsidRPr="00BC68C4">
        <w:rPr>
          <w:rFonts w:ascii="Times New Roman" w:hAnsi="Times New Roman" w:cs="Times New Roman"/>
          <w:sz w:val="24"/>
          <w:szCs w:val="24"/>
        </w:rPr>
        <w:t xml:space="preserve"> between ownership</w:t>
      </w:r>
      <w:r w:rsidR="007E4A49" w:rsidRPr="00BC68C4">
        <w:rPr>
          <w:rFonts w:ascii="Times New Roman" w:hAnsi="Times New Roman" w:cs="Times New Roman"/>
          <w:sz w:val="24"/>
          <w:szCs w:val="24"/>
        </w:rPr>
        <w:t xml:space="preserve"> and performance by</w:t>
      </w:r>
      <w:r w:rsidRPr="00BC68C4">
        <w:rPr>
          <w:rFonts w:ascii="Times New Roman" w:hAnsi="Times New Roman" w:cs="Times New Roman"/>
          <w:sz w:val="24"/>
          <w:szCs w:val="24"/>
        </w:rPr>
        <w:t xml:space="preserve"> including a binary </w:t>
      </w:r>
      <w:r w:rsidR="007E4A49" w:rsidRPr="00BC68C4">
        <w:rPr>
          <w:rFonts w:ascii="Times New Roman" w:hAnsi="Times New Roman" w:cs="Times New Roman"/>
          <w:sz w:val="24"/>
          <w:szCs w:val="24"/>
        </w:rPr>
        <w:t>variable which takes the value of one if our firm was Scottish, zero otherwise.  In our regressions where ownership is regressed on Tobin’s Q, we also control for the return on assets</w:t>
      </w:r>
      <w:r w:rsidR="00E05863" w:rsidRPr="00BC68C4">
        <w:rPr>
          <w:rFonts w:ascii="Times New Roman" w:hAnsi="Times New Roman" w:cs="Times New Roman"/>
          <w:sz w:val="24"/>
          <w:szCs w:val="24"/>
        </w:rPr>
        <w:t xml:space="preserve"> (</w:t>
      </w:r>
      <w:r w:rsidR="00E05863" w:rsidRPr="00BC68C4">
        <w:rPr>
          <w:rFonts w:ascii="Times New Roman" w:hAnsi="Times New Roman" w:cs="Times New Roman"/>
          <w:i/>
          <w:sz w:val="24"/>
          <w:szCs w:val="24"/>
        </w:rPr>
        <w:t>ROA</w:t>
      </w:r>
      <w:r w:rsidR="00E05863" w:rsidRPr="00BC68C4">
        <w:rPr>
          <w:rFonts w:ascii="Times New Roman" w:hAnsi="Times New Roman" w:cs="Times New Roman"/>
          <w:sz w:val="24"/>
          <w:szCs w:val="24"/>
        </w:rPr>
        <w:t>)</w:t>
      </w:r>
      <w:r w:rsidR="00000621" w:rsidRPr="00BC68C4">
        <w:rPr>
          <w:rFonts w:ascii="Times New Roman" w:hAnsi="Times New Roman" w:cs="Times New Roman"/>
          <w:sz w:val="24"/>
          <w:szCs w:val="24"/>
        </w:rPr>
        <w:t>, allowing us to analyse the determinants of firm value after controlling for diffe</w:t>
      </w:r>
      <w:r w:rsidR="00BE1C32">
        <w:rPr>
          <w:rFonts w:ascii="Times New Roman" w:hAnsi="Times New Roman" w:cs="Times New Roman"/>
          <w:sz w:val="24"/>
          <w:szCs w:val="24"/>
        </w:rPr>
        <w:t>rences in operating performance.</w:t>
      </w:r>
    </w:p>
    <w:p w14:paraId="3C3D7163" w14:textId="24CEC7F1" w:rsidR="001D6C6E" w:rsidRPr="00BE1C32" w:rsidRDefault="001960EC" w:rsidP="00BE1C32">
      <w:pPr>
        <w:spacing w:line="480" w:lineRule="auto"/>
        <w:ind w:firstLine="720"/>
        <w:rPr>
          <w:rFonts w:ascii="Times New Roman" w:hAnsi="Times New Roman" w:cs="Times New Roman"/>
          <w:sz w:val="24"/>
          <w:szCs w:val="24"/>
        </w:rPr>
      </w:pPr>
      <w:r w:rsidRPr="00BC68C4">
        <w:rPr>
          <w:rFonts w:ascii="Times New Roman" w:hAnsi="Times New Roman" w:cs="Times New Roman"/>
          <w:sz w:val="24"/>
          <w:szCs w:val="24"/>
        </w:rPr>
        <w:t xml:space="preserve"> </w:t>
      </w:r>
    </w:p>
    <w:p w14:paraId="343B6332" w14:textId="2AD1B239" w:rsidR="00BE1C32" w:rsidRDefault="00BE1C32" w:rsidP="00BE1C32">
      <w:pPr>
        <w:spacing w:after="200" w:line="276" w:lineRule="auto"/>
        <w:jc w:val="center"/>
        <w:rPr>
          <w:rFonts w:ascii="Times New Roman" w:hAnsi="Times New Roman" w:cs="Times New Roman"/>
          <w:sz w:val="24"/>
          <w:szCs w:val="24"/>
        </w:rPr>
      </w:pPr>
      <w:r w:rsidRPr="00BE1C32">
        <w:rPr>
          <w:rFonts w:ascii="Times New Roman" w:hAnsi="Times New Roman" w:cs="Times New Roman"/>
          <w:sz w:val="24"/>
          <w:szCs w:val="24"/>
        </w:rPr>
        <w:t>THE RELATIONSHIP BETWEEN OWNERSHIP AND PERFORMANCE</w:t>
      </w:r>
    </w:p>
    <w:p w14:paraId="49AEFCCA" w14:textId="77777777" w:rsidR="00BE1C32" w:rsidRPr="00BE1C32" w:rsidRDefault="00BE1C32" w:rsidP="00BE1C32">
      <w:pPr>
        <w:spacing w:after="200" w:line="276" w:lineRule="auto"/>
        <w:jc w:val="center"/>
        <w:rPr>
          <w:rFonts w:ascii="Times New Roman" w:hAnsi="Times New Roman" w:cs="Times New Roman"/>
          <w:sz w:val="24"/>
          <w:szCs w:val="24"/>
        </w:rPr>
      </w:pPr>
    </w:p>
    <w:p w14:paraId="7FC829F5" w14:textId="59B10CBF" w:rsidR="00260CE9" w:rsidRPr="00260CE9" w:rsidRDefault="00AE31E4" w:rsidP="00260CE9">
      <w:pPr>
        <w:spacing w:after="200" w:line="480" w:lineRule="auto"/>
        <w:ind w:firstLine="720"/>
        <w:rPr>
          <w:rFonts w:ascii="Times New Roman" w:hAnsi="Times New Roman" w:cs="Times New Roman"/>
          <w:sz w:val="24"/>
          <w:szCs w:val="24"/>
          <w:highlight w:val="yellow"/>
        </w:rPr>
      </w:pPr>
      <w:r w:rsidRPr="00BC68C4">
        <w:rPr>
          <w:rFonts w:ascii="Times New Roman" w:hAnsi="Times New Roman" w:cs="Times New Roman"/>
          <w:sz w:val="24"/>
          <w:szCs w:val="24"/>
        </w:rPr>
        <w:t xml:space="preserve">Table </w:t>
      </w:r>
      <w:r w:rsidR="00694B42">
        <w:rPr>
          <w:rFonts w:ascii="Times New Roman" w:hAnsi="Times New Roman" w:cs="Times New Roman"/>
          <w:sz w:val="24"/>
          <w:szCs w:val="24"/>
        </w:rPr>
        <w:t>3</w:t>
      </w:r>
      <w:r w:rsidR="00405D49" w:rsidRPr="00BC68C4">
        <w:rPr>
          <w:rFonts w:ascii="Times New Roman" w:hAnsi="Times New Roman" w:cs="Times New Roman"/>
          <w:sz w:val="24"/>
          <w:szCs w:val="24"/>
        </w:rPr>
        <w:t xml:space="preserve"> contains pa</w:t>
      </w:r>
      <w:r w:rsidR="00367E45" w:rsidRPr="00BC68C4">
        <w:rPr>
          <w:rFonts w:ascii="Times New Roman" w:hAnsi="Times New Roman" w:cs="Times New Roman"/>
          <w:sz w:val="24"/>
          <w:szCs w:val="24"/>
        </w:rPr>
        <w:t xml:space="preserve">irwise correlations between our performance and ownership </w:t>
      </w:r>
      <w:r w:rsidR="00405D49" w:rsidRPr="00BC68C4">
        <w:rPr>
          <w:rFonts w:ascii="Times New Roman" w:hAnsi="Times New Roman" w:cs="Times New Roman"/>
          <w:sz w:val="24"/>
          <w:szCs w:val="24"/>
        </w:rPr>
        <w:t xml:space="preserve">variables. </w:t>
      </w:r>
      <w:r w:rsidR="00B347CD">
        <w:rPr>
          <w:rFonts w:ascii="Times New Roman" w:hAnsi="Times New Roman" w:cs="Times New Roman"/>
          <w:sz w:val="24"/>
          <w:szCs w:val="24"/>
        </w:rPr>
        <w:t xml:space="preserve">Although </w:t>
      </w:r>
      <w:r w:rsidR="00DF4C1B" w:rsidRPr="00BC68C4">
        <w:rPr>
          <w:rFonts w:ascii="Times New Roman" w:hAnsi="Times New Roman" w:cs="Times New Roman"/>
          <w:sz w:val="24"/>
          <w:szCs w:val="24"/>
        </w:rPr>
        <w:t xml:space="preserve">there is a </w:t>
      </w:r>
      <w:r w:rsidR="005C492B" w:rsidRPr="00BC68C4">
        <w:rPr>
          <w:rFonts w:ascii="Times New Roman" w:hAnsi="Times New Roman" w:cs="Times New Roman"/>
          <w:sz w:val="24"/>
          <w:szCs w:val="24"/>
        </w:rPr>
        <w:t>positive</w:t>
      </w:r>
      <w:r w:rsidR="00DF4C1B" w:rsidRPr="00BC68C4">
        <w:rPr>
          <w:rFonts w:ascii="Times New Roman" w:hAnsi="Times New Roman" w:cs="Times New Roman"/>
          <w:sz w:val="24"/>
          <w:szCs w:val="24"/>
        </w:rPr>
        <w:t xml:space="preserve"> correlation between Q and ROA</w:t>
      </w:r>
      <w:r w:rsidR="005C492B" w:rsidRPr="00BC68C4">
        <w:rPr>
          <w:rFonts w:ascii="Times New Roman" w:hAnsi="Times New Roman" w:cs="Times New Roman"/>
          <w:sz w:val="24"/>
          <w:szCs w:val="24"/>
        </w:rPr>
        <w:t xml:space="preserve">, they are not </w:t>
      </w:r>
      <w:r w:rsidR="00B347CD">
        <w:rPr>
          <w:rFonts w:ascii="Times New Roman" w:hAnsi="Times New Roman" w:cs="Times New Roman"/>
          <w:sz w:val="24"/>
          <w:szCs w:val="24"/>
        </w:rPr>
        <w:t xml:space="preserve">highly </w:t>
      </w:r>
      <w:r w:rsidR="005C492B" w:rsidRPr="00BC68C4">
        <w:rPr>
          <w:rFonts w:ascii="Times New Roman" w:hAnsi="Times New Roman" w:cs="Times New Roman"/>
          <w:sz w:val="24"/>
          <w:szCs w:val="24"/>
        </w:rPr>
        <w:t>correlated</w:t>
      </w:r>
      <w:r w:rsidR="00844BAA" w:rsidRPr="00BC68C4">
        <w:rPr>
          <w:rFonts w:ascii="Times New Roman" w:hAnsi="Times New Roman" w:cs="Times New Roman"/>
          <w:sz w:val="24"/>
          <w:szCs w:val="24"/>
        </w:rPr>
        <w:t xml:space="preserve">, </w:t>
      </w:r>
      <w:r w:rsidR="00B347CD">
        <w:rPr>
          <w:rFonts w:ascii="Times New Roman" w:hAnsi="Times New Roman" w:cs="Times New Roman"/>
          <w:sz w:val="24"/>
          <w:szCs w:val="24"/>
        </w:rPr>
        <w:t xml:space="preserve">suggesting that </w:t>
      </w:r>
      <w:r w:rsidR="00844BAA" w:rsidRPr="00BC68C4">
        <w:rPr>
          <w:rFonts w:ascii="Times New Roman" w:hAnsi="Times New Roman" w:cs="Times New Roman"/>
          <w:sz w:val="24"/>
          <w:szCs w:val="24"/>
        </w:rPr>
        <w:t xml:space="preserve">they are measuring different </w:t>
      </w:r>
      <w:r w:rsidR="00B347CD">
        <w:rPr>
          <w:rFonts w:ascii="Times New Roman" w:hAnsi="Times New Roman" w:cs="Times New Roman"/>
          <w:sz w:val="24"/>
          <w:szCs w:val="24"/>
        </w:rPr>
        <w:t>aspects of firm performance</w:t>
      </w:r>
      <w:r w:rsidR="00DF4C1B" w:rsidRPr="00BC68C4">
        <w:rPr>
          <w:rFonts w:ascii="Times New Roman" w:hAnsi="Times New Roman" w:cs="Times New Roman"/>
          <w:sz w:val="24"/>
          <w:szCs w:val="24"/>
        </w:rPr>
        <w:t xml:space="preserve">. </w:t>
      </w:r>
      <w:r w:rsidR="00AE22E8" w:rsidRPr="00BC68C4">
        <w:rPr>
          <w:rFonts w:ascii="Times New Roman" w:hAnsi="Times New Roman" w:cs="Times New Roman"/>
          <w:sz w:val="24"/>
          <w:szCs w:val="24"/>
        </w:rPr>
        <w:t xml:space="preserve">Second, </w:t>
      </w:r>
      <w:proofErr w:type="spellStart"/>
      <w:r w:rsidR="00AE22E8" w:rsidRPr="00BC68C4">
        <w:rPr>
          <w:rFonts w:ascii="Times New Roman" w:hAnsi="Times New Roman" w:cs="Times New Roman"/>
          <w:i/>
          <w:sz w:val="24"/>
          <w:szCs w:val="24"/>
        </w:rPr>
        <w:t>ActiveBlock</w:t>
      </w:r>
      <w:proofErr w:type="spellEnd"/>
      <w:r w:rsidR="00AE22E8" w:rsidRPr="00BC68C4">
        <w:rPr>
          <w:rFonts w:ascii="Times New Roman" w:hAnsi="Times New Roman" w:cs="Times New Roman"/>
          <w:sz w:val="24"/>
          <w:szCs w:val="24"/>
        </w:rPr>
        <w:t xml:space="preserve"> is positively correlated with ROA, </w:t>
      </w:r>
      <w:r w:rsidR="00B347CD">
        <w:rPr>
          <w:rFonts w:ascii="Times New Roman" w:hAnsi="Times New Roman" w:cs="Times New Roman"/>
          <w:sz w:val="24"/>
          <w:szCs w:val="24"/>
        </w:rPr>
        <w:t xml:space="preserve">implying </w:t>
      </w:r>
      <w:r w:rsidR="00AE22E8" w:rsidRPr="00BC68C4">
        <w:rPr>
          <w:rFonts w:ascii="Times New Roman" w:hAnsi="Times New Roman" w:cs="Times New Roman"/>
          <w:sz w:val="24"/>
          <w:szCs w:val="24"/>
        </w:rPr>
        <w:t xml:space="preserve">having </w:t>
      </w:r>
      <w:r w:rsidR="000661EA" w:rsidRPr="00BC68C4">
        <w:rPr>
          <w:rFonts w:ascii="Times New Roman" w:hAnsi="Times New Roman" w:cs="Times New Roman"/>
          <w:sz w:val="24"/>
          <w:szCs w:val="24"/>
        </w:rPr>
        <w:t>directors</w:t>
      </w:r>
      <w:r w:rsidR="00AE22E8" w:rsidRPr="00BC68C4">
        <w:rPr>
          <w:rFonts w:ascii="Times New Roman" w:hAnsi="Times New Roman" w:cs="Times New Roman"/>
          <w:sz w:val="24"/>
          <w:szCs w:val="24"/>
        </w:rPr>
        <w:t xml:space="preserve"> </w:t>
      </w:r>
      <w:r w:rsidR="00B347CD">
        <w:rPr>
          <w:rFonts w:ascii="Times New Roman" w:hAnsi="Times New Roman" w:cs="Times New Roman"/>
          <w:sz w:val="24"/>
          <w:szCs w:val="24"/>
        </w:rPr>
        <w:t xml:space="preserve">with </w:t>
      </w:r>
      <w:r w:rsidR="00AE22E8" w:rsidRPr="00BC68C4">
        <w:rPr>
          <w:rFonts w:ascii="Times New Roman" w:hAnsi="Times New Roman" w:cs="Times New Roman"/>
          <w:sz w:val="24"/>
          <w:szCs w:val="24"/>
        </w:rPr>
        <w:t xml:space="preserve">more than 10 per cent of the capital are associated with higher accounting profits.  </w:t>
      </w:r>
      <w:r w:rsidR="00E81DAB" w:rsidRPr="00BC68C4">
        <w:rPr>
          <w:rFonts w:ascii="Times New Roman" w:hAnsi="Times New Roman" w:cs="Times New Roman"/>
          <w:sz w:val="24"/>
          <w:szCs w:val="24"/>
        </w:rPr>
        <w:t>Third</w:t>
      </w:r>
      <w:r w:rsidR="00DF4C1B" w:rsidRPr="00BC68C4">
        <w:rPr>
          <w:rFonts w:ascii="Times New Roman" w:hAnsi="Times New Roman" w:cs="Times New Roman"/>
          <w:sz w:val="24"/>
          <w:szCs w:val="24"/>
        </w:rPr>
        <w:t xml:space="preserve">, there is </w:t>
      </w:r>
      <w:r w:rsidR="00367E45" w:rsidRPr="00BC68C4">
        <w:rPr>
          <w:rFonts w:ascii="Times New Roman" w:hAnsi="Times New Roman" w:cs="Times New Roman"/>
          <w:sz w:val="24"/>
          <w:szCs w:val="24"/>
        </w:rPr>
        <w:t xml:space="preserve">a </w:t>
      </w:r>
      <w:r w:rsidR="00DF4C1B" w:rsidRPr="00BC68C4">
        <w:rPr>
          <w:rFonts w:ascii="Times New Roman" w:hAnsi="Times New Roman" w:cs="Times New Roman"/>
          <w:sz w:val="24"/>
          <w:szCs w:val="24"/>
        </w:rPr>
        <w:t xml:space="preserve">positive correlation between </w:t>
      </w:r>
      <w:r w:rsidR="00E2584A" w:rsidRPr="00BC68C4">
        <w:rPr>
          <w:rFonts w:ascii="Times New Roman" w:hAnsi="Times New Roman" w:cs="Times New Roman"/>
          <w:sz w:val="24"/>
          <w:szCs w:val="24"/>
        </w:rPr>
        <w:t xml:space="preserve">Tobin’s </w:t>
      </w:r>
      <w:r w:rsidR="00DF4C1B" w:rsidRPr="00BC68C4">
        <w:rPr>
          <w:rFonts w:ascii="Times New Roman" w:hAnsi="Times New Roman" w:cs="Times New Roman"/>
          <w:sz w:val="24"/>
          <w:szCs w:val="24"/>
        </w:rPr>
        <w:t xml:space="preserve">Q and </w:t>
      </w:r>
      <w:proofErr w:type="spellStart"/>
      <w:r w:rsidR="004A56B4" w:rsidRPr="00BC68C4">
        <w:rPr>
          <w:rFonts w:ascii="Times New Roman" w:hAnsi="Times New Roman" w:cs="Times New Roman"/>
          <w:i/>
          <w:sz w:val="24"/>
          <w:szCs w:val="24"/>
        </w:rPr>
        <w:t>DirOnlyNum</w:t>
      </w:r>
      <w:proofErr w:type="spellEnd"/>
      <w:r w:rsidR="00AC56EC" w:rsidRPr="00BC68C4">
        <w:rPr>
          <w:rFonts w:ascii="Times New Roman" w:hAnsi="Times New Roman" w:cs="Times New Roman"/>
          <w:sz w:val="24"/>
          <w:szCs w:val="24"/>
        </w:rPr>
        <w:t>, impl</w:t>
      </w:r>
      <w:r w:rsidR="00B347CD">
        <w:rPr>
          <w:rFonts w:ascii="Times New Roman" w:hAnsi="Times New Roman" w:cs="Times New Roman"/>
          <w:sz w:val="24"/>
          <w:szCs w:val="24"/>
        </w:rPr>
        <w:t>ying</w:t>
      </w:r>
      <w:r w:rsidR="00AC56EC" w:rsidRPr="00BC68C4">
        <w:rPr>
          <w:rFonts w:ascii="Times New Roman" w:hAnsi="Times New Roman" w:cs="Times New Roman"/>
          <w:sz w:val="24"/>
          <w:szCs w:val="24"/>
        </w:rPr>
        <w:t xml:space="preserve"> that boards with more directors </w:t>
      </w:r>
      <w:r w:rsidR="00AC56EC" w:rsidRPr="006658C5">
        <w:rPr>
          <w:rFonts w:ascii="Times New Roman" w:hAnsi="Times New Roman" w:cs="Times New Roman"/>
          <w:sz w:val="24"/>
          <w:szCs w:val="24"/>
        </w:rPr>
        <w:t xml:space="preserve">who are not also large </w:t>
      </w:r>
      <w:proofErr w:type="spellStart"/>
      <w:r w:rsidR="00417D22" w:rsidRPr="006658C5">
        <w:rPr>
          <w:rFonts w:ascii="Times New Roman" w:hAnsi="Times New Roman" w:cs="Times New Roman"/>
          <w:sz w:val="24"/>
          <w:szCs w:val="24"/>
        </w:rPr>
        <w:t>block</w:t>
      </w:r>
      <w:r w:rsidR="00AC56EC" w:rsidRPr="006658C5">
        <w:rPr>
          <w:rFonts w:ascii="Times New Roman" w:hAnsi="Times New Roman" w:cs="Times New Roman"/>
          <w:sz w:val="24"/>
          <w:szCs w:val="24"/>
        </w:rPr>
        <w:t>holders</w:t>
      </w:r>
      <w:proofErr w:type="spellEnd"/>
      <w:r w:rsidR="00AC56EC" w:rsidRPr="006658C5">
        <w:rPr>
          <w:rFonts w:ascii="Times New Roman" w:hAnsi="Times New Roman" w:cs="Times New Roman"/>
          <w:sz w:val="24"/>
          <w:szCs w:val="24"/>
        </w:rPr>
        <w:t xml:space="preserve"> are associated with </w:t>
      </w:r>
      <w:r w:rsidR="00367E45" w:rsidRPr="006658C5">
        <w:rPr>
          <w:rFonts w:ascii="Times New Roman" w:hAnsi="Times New Roman" w:cs="Times New Roman"/>
          <w:sz w:val="24"/>
          <w:szCs w:val="24"/>
        </w:rPr>
        <w:t>a higher Tobin’s Q</w:t>
      </w:r>
      <w:r w:rsidR="00D42421" w:rsidRPr="006658C5">
        <w:rPr>
          <w:rFonts w:ascii="Times New Roman" w:hAnsi="Times New Roman" w:cs="Times New Roman"/>
          <w:sz w:val="24"/>
          <w:szCs w:val="24"/>
        </w:rPr>
        <w:t xml:space="preserve">.  </w:t>
      </w:r>
    </w:p>
    <w:p w14:paraId="30202346" w14:textId="5BF60A72" w:rsidR="00F66996" w:rsidRDefault="00260CE9" w:rsidP="00F66996">
      <w:pPr>
        <w:spacing w:after="200" w:line="480" w:lineRule="auto"/>
        <w:ind w:firstLine="720"/>
        <w:rPr>
          <w:rFonts w:ascii="Times New Roman" w:hAnsi="Times New Roman" w:cs="Times New Roman"/>
          <w:sz w:val="24"/>
          <w:szCs w:val="24"/>
        </w:rPr>
      </w:pPr>
      <w:r w:rsidRPr="006658C5">
        <w:rPr>
          <w:rFonts w:ascii="Times New Roman" w:hAnsi="Times New Roman" w:cs="Times New Roman"/>
          <w:sz w:val="24"/>
          <w:szCs w:val="24"/>
        </w:rPr>
        <w:t>In T</w:t>
      </w:r>
      <w:r w:rsidR="00676FD1" w:rsidRPr="006658C5">
        <w:rPr>
          <w:rFonts w:ascii="Times New Roman" w:hAnsi="Times New Roman" w:cs="Times New Roman"/>
          <w:sz w:val="24"/>
          <w:szCs w:val="24"/>
        </w:rPr>
        <w:t xml:space="preserve">able </w:t>
      </w:r>
      <w:r w:rsidR="001201D3" w:rsidRPr="006658C5">
        <w:rPr>
          <w:rFonts w:ascii="Times New Roman" w:hAnsi="Times New Roman" w:cs="Times New Roman"/>
          <w:sz w:val="24"/>
          <w:szCs w:val="24"/>
        </w:rPr>
        <w:t>4</w:t>
      </w:r>
      <w:r w:rsidR="00676FD1" w:rsidRPr="006658C5">
        <w:rPr>
          <w:rFonts w:ascii="Times New Roman" w:hAnsi="Times New Roman" w:cs="Times New Roman"/>
          <w:sz w:val="24"/>
          <w:szCs w:val="24"/>
        </w:rPr>
        <w:t>, we show the results</w:t>
      </w:r>
      <w:r w:rsidR="00676FD1">
        <w:rPr>
          <w:rFonts w:ascii="Times New Roman" w:hAnsi="Times New Roman" w:cs="Times New Roman"/>
          <w:sz w:val="24"/>
          <w:szCs w:val="24"/>
        </w:rPr>
        <w:t xml:space="preserve"> for various specifications of voting </w:t>
      </w:r>
      <w:r w:rsidR="00694F22">
        <w:rPr>
          <w:rFonts w:ascii="Times New Roman" w:hAnsi="Times New Roman" w:cs="Times New Roman"/>
          <w:sz w:val="24"/>
          <w:szCs w:val="24"/>
        </w:rPr>
        <w:t>concentrations</w:t>
      </w:r>
      <w:r w:rsidR="00676FD1">
        <w:rPr>
          <w:rFonts w:ascii="Times New Roman" w:hAnsi="Times New Roman" w:cs="Times New Roman"/>
          <w:sz w:val="24"/>
          <w:szCs w:val="24"/>
        </w:rPr>
        <w:t xml:space="preserve"> on ROA (panel A) and Tobin’s Q (panel B).  </w:t>
      </w:r>
      <w:r w:rsidR="003C152C" w:rsidRPr="00BC68C4">
        <w:rPr>
          <w:rFonts w:ascii="Times New Roman" w:hAnsi="Times New Roman" w:cs="Times New Roman"/>
          <w:i/>
          <w:sz w:val="24"/>
          <w:szCs w:val="24"/>
        </w:rPr>
        <w:t>VoteLargest5</w:t>
      </w:r>
      <w:r w:rsidR="003C152C" w:rsidRPr="00BC68C4">
        <w:rPr>
          <w:rFonts w:ascii="Times New Roman" w:hAnsi="Times New Roman" w:cs="Times New Roman"/>
          <w:sz w:val="24"/>
          <w:szCs w:val="24"/>
        </w:rPr>
        <w:t xml:space="preserve"> and </w:t>
      </w:r>
      <w:proofErr w:type="spellStart"/>
      <w:r w:rsidR="003C152C" w:rsidRPr="00BC68C4">
        <w:rPr>
          <w:rFonts w:ascii="Times New Roman" w:hAnsi="Times New Roman" w:cs="Times New Roman"/>
          <w:i/>
          <w:sz w:val="24"/>
          <w:szCs w:val="24"/>
        </w:rPr>
        <w:t>VoteHHI</w:t>
      </w:r>
      <w:proofErr w:type="spellEnd"/>
      <w:r w:rsidR="003C152C" w:rsidRPr="00BC68C4">
        <w:rPr>
          <w:rFonts w:ascii="Times New Roman" w:hAnsi="Times New Roman" w:cs="Times New Roman"/>
          <w:sz w:val="24"/>
          <w:szCs w:val="24"/>
        </w:rPr>
        <w:t>, are uncorrelated with ROA imply</w:t>
      </w:r>
      <w:r w:rsidR="00676FD1">
        <w:rPr>
          <w:rFonts w:ascii="Times New Roman" w:hAnsi="Times New Roman" w:cs="Times New Roman"/>
          <w:sz w:val="24"/>
          <w:szCs w:val="24"/>
        </w:rPr>
        <w:t>ing</w:t>
      </w:r>
      <w:r w:rsidR="003C152C" w:rsidRPr="00BC68C4">
        <w:rPr>
          <w:rFonts w:ascii="Times New Roman" w:hAnsi="Times New Roman" w:cs="Times New Roman"/>
          <w:sz w:val="24"/>
          <w:szCs w:val="24"/>
        </w:rPr>
        <w:t xml:space="preserve"> that ownership structure, in a very broad sense, is unrelated to </w:t>
      </w:r>
      <w:r w:rsidR="00E81DAB" w:rsidRPr="00BC68C4">
        <w:rPr>
          <w:rFonts w:ascii="Times New Roman" w:hAnsi="Times New Roman" w:cs="Times New Roman"/>
          <w:sz w:val="24"/>
          <w:szCs w:val="24"/>
        </w:rPr>
        <w:t>operating</w:t>
      </w:r>
      <w:r w:rsidR="003C152C" w:rsidRPr="00BC68C4">
        <w:rPr>
          <w:rFonts w:ascii="Times New Roman" w:hAnsi="Times New Roman" w:cs="Times New Roman"/>
          <w:sz w:val="24"/>
          <w:szCs w:val="24"/>
        </w:rPr>
        <w:t xml:space="preserve"> performance as measured</w:t>
      </w:r>
      <w:r w:rsidR="006F127E" w:rsidRPr="00BC68C4">
        <w:rPr>
          <w:rFonts w:ascii="Times New Roman" w:hAnsi="Times New Roman" w:cs="Times New Roman"/>
          <w:sz w:val="24"/>
          <w:szCs w:val="24"/>
        </w:rPr>
        <w:t xml:space="preserve"> by ROA</w:t>
      </w:r>
      <w:r w:rsidR="00676FD1">
        <w:rPr>
          <w:rFonts w:ascii="Times New Roman" w:hAnsi="Times New Roman" w:cs="Times New Roman"/>
          <w:sz w:val="24"/>
          <w:szCs w:val="24"/>
        </w:rPr>
        <w:t>.</w:t>
      </w:r>
      <w:r w:rsidR="00694F22">
        <w:rPr>
          <w:rFonts w:ascii="Times New Roman" w:hAnsi="Times New Roman" w:cs="Times New Roman"/>
          <w:sz w:val="24"/>
          <w:szCs w:val="24"/>
        </w:rPr>
        <w:t xml:space="preserve"> </w:t>
      </w:r>
      <w:r w:rsidR="00676FD1">
        <w:rPr>
          <w:rFonts w:ascii="Times New Roman" w:hAnsi="Times New Roman" w:cs="Times New Roman"/>
          <w:sz w:val="24"/>
          <w:szCs w:val="24"/>
        </w:rPr>
        <w:t>However,</w:t>
      </w:r>
      <w:r w:rsidR="001867DE" w:rsidRPr="00BC68C4">
        <w:rPr>
          <w:rFonts w:ascii="Times New Roman" w:hAnsi="Times New Roman" w:cs="Times New Roman"/>
          <w:sz w:val="24"/>
          <w:szCs w:val="24"/>
        </w:rPr>
        <w:t xml:space="preserve"> the positive coefficient</w:t>
      </w:r>
      <w:r w:rsidR="00C11DEA" w:rsidRPr="00BC68C4">
        <w:rPr>
          <w:rFonts w:ascii="Times New Roman" w:hAnsi="Times New Roman" w:cs="Times New Roman"/>
          <w:sz w:val="24"/>
          <w:szCs w:val="24"/>
        </w:rPr>
        <w:t xml:space="preserve"> on the </w:t>
      </w:r>
      <w:proofErr w:type="spellStart"/>
      <w:r w:rsidR="00C11DEA" w:rsidRPr="00BC68C4">
        <w:rPr>
          <w:rFonts w:ascii="Times New Roman" w:hAnsi="Times New Roman" w:cs="Times New Roman"/>
          <w:i/>
          <w:sz w:val="24"/>
          <w:szCs w:val="24"/>
        </w:rPr>
        <w:t>Vote</w:t>
      </w:r>
      <w:r w:rsidR="001867DE" w:rsidRPr="00BC68C4">
        <w:rPr>
          <w:rFonts w:ascii="Times New Roman" w:hAnsi="Times New Roman" w:cs="Times New Roman"/>
          <w:i/>
          <w:sz w:val="24"/>
          <w:szCs w:val="24"/>
        </w:rPr>
        <w:t>Dir</w:t>
      </w:r>
      <w:proofErr w:type="spellEnd"/>
      <w:r w:rsidR="001867DE" w:rsidRPr="00BC68C4">
        <w:rPr>
          <w:rFonts w:ascii="Times New Roman" w:hAnsi="Times New Roman" w:cs="Times New Roman"/>
          <w:sz w:val="24"/>
          <w:szCs w:val="24"/>
        </w:rPr>
        <w:t xml:space="preserve"> variable, which remains even when control</w:t>
      </w:r>
      <w:r w:rsidR="00D42421" w:rsidRPr="00BC68C4">
        <w:rPr>
          <w:rFonts w:ascii="Times New Roman" w:hAnsi="Times New Roman" w:cs="Times New Roman"/>
          <w:sz w:val="24"/>
          <w:szCs w:val="24"/>
        </w:rPr>
        <w:t xml:space="preserve"> variable</w:t>
      </w:r>
      <w:r w:rsidR="001867DE" w:rsidRPr="00BC68C4">
        <w:rPr>
          <w:rFonts w:ascii="Times New Roman" w:hAnsi="Times New Roman" w:cs="Times New Roman"/>
          <w:sz w:val="24"/>
          <w:szCs w:val="24"/>
        </w:rPr>
        <w:t>s are introduced, suggest</w:t>
      </w:r>
      <w:r w:rsidR="003B3C03" w:rsidRPr="00BC68C4">
        <w:rPr>
          <w:rFonts w:ascii="Times New Roman" w:hAnsi="Times New Roman" w:cs="Times New Roman"/>
          <w:sz w:val="24"/>
          <w:szCs w:val="24"/>
        </w:rPr>
        <w:t>s</w:t>
      </w:r>
      <w:r w:rsidR="001867DE" w:rsidRPr="00BC68C4">
        <w:rPr>
          <w:rFonts w:ascii="Times New Roman" w:hAnsi="Times New Roman" w:cs="Times New Roman"/>
          <w:sz w:val="24"/>
          <w:szCs w:val="24"/>
        </w:rPr>
        <w:t xml:space="preserve"> that </w:t>
      </w:r>
      <w:r w:rsidR="007F266A" w:rsidRPr="00BC68C4">
        <w:rPr>
          <w:rFonts w:ascii="Times New Roman" w:hAnsi="Times New Roman" w:cs="Times New Roman"/>
          <w:sz w:val="24"/>
          <w:szCs w:val="24"/>
        </w:rPr>
        <w:t xml:space="preserve">greater ownership in the hands of directors is associated with higher </w:t>
      </w:r>
      <w:r w:rsidR="00676FD1">
        <w:rPr>
          <w:rFonts w:ascii="Times New Roman" w:hAnsi="Times New Roman" w:cs="Times New Roman"/>
          <w:sz w:val="24"/>
          <w:szCs w:val="24"/>
        </w:rPr>
        <w:t>ROA.</w:t>
      </w:r>
      <w:r w:rsidR="006F127E" w:rsidRPr="00BC68C4">
        <w:rPr>
          <w:rFonts w:ascii="Times New Roman" w:hAnsi="Times New Roman" w:cs="Times New Roman"/>
          <w:sz w:val="24"/>
          <w:szCs w:val="24"/>
        </w:rPr>
        <w:t xml:space="preserve"> </w:t>
      </w:r>
      <w:r w:rsidR="00676FD1">
        <w:rPr>
          <w:rFonts w:ascii="Times New Roman" w:hAnsi="Times New Roman" w:cs="Times New Roman"/>
          <w:sz w:val="24"/>
          <w:szCs w:val="24"/>
        </w:rPr>
        <w:t>In panel B</w:t>
      </w:r>
      <w:r w:rsidR="0061490B">
        <w:rPr>
          <w:rFonts w:ascii="Times New Roman" w:hAnsi="Times New Roman" w:cs="Times New Roman"/>
          <w:sz w:val="24"/>
          <w:szCs w:val="24"/>
        </w:rPr>
        <w:t>,</w:t>
      </w:r>
      <w:r w:rsidR="00676FD1">
        <w:rPr>
          <w:rFonts w:ascii="Times New Roman" w:hAnsi="Times New Roman" w:cs="Times New Roman"/>
          <w:sz w:val="24"/>
          <w:szCs w:val="24"/>
        </w:rPr>
        <w:t xml:space="preserve"> we find </w:t>
      </w:r>
      <w:r w:rsidR="001201D3">
        <w:rPr>
          <w:rFonts w:ascii="Times New Roman" w:hAnsi="Times New Roman" w:cs="Times New Roman"/>
          <w:sz w:val="24"/>
          <w:szCs w:val="24"/>
        </w:rPr>
        <w:t>a suggestion of a</w:t>
      </w:r>
      <w:r w:rsidR="00E2584A" w:rsidRPr="00BC68C4">
        <w:rPr>
          <w:rFonts w:ascii="Times New Roman" w:hAnsi="Times New Roman" w:cs="Times New Roman"/>
          <w:sz w:val="24"/>
          <w:szCs w:val="24"/>
        </w:rPr>
        <w:t xml:space="preserve"> negative relationship between the broad ownership measures and Tobin’s Q</w:t>
      </w:r>
      <w:r w:rsidR="001201D3">
        <w:rPr>
          <w:rFonts w:ascii="Times New Roman" w:hAnsi="Times New Roman" w:cs="Times New Roman"/>
          <w:sz w:val="24"/>
          <w:szCs w:val="24"/>
        </w:rPr>
        <w:t>, but only one of the ownership measures is weakly significant.</w:t>
      </w:r>
      <w:r w:rsidR="000468F9" w:rsidRPr="00BC68C4">
        <w:rPr>
          <w:rFonts w:ascii="Times New Roman" w:hAnsi="Times New Roman" w:cs="Times New Roman"/>
          <w:sz w:val="24"/>
          <w:szCs w:val="24"/>
        </w:rPr>
        <w:t xml:space="preserve"> </w:t>
      </w:r>
    </w:p>
    <w:p w14:paraId="390299A0" w14:textId="77777777" w:rsidR="00F66996" w:rsidRPr="00BC68C4" w:rsidRDefault="00F66996" w:rsidP="00F66996">
      <w:pPr>
        <w:spacing w:after="200" w:line="480" w:lineRule="auto"/>
        <w:ind w:firstLine="720"/>
        <w:rPr>
          <w:rFonts w:ascii="Times New Roman" w:hAnsi="Times New Roman" w:cs="Times New Roman"/>
          <w:sz w:val="24"/>
          <w:szCs w:val="24"/>
        </w:rPr>
      </w:pPr>
    </w:p>
    <w:p w14:paraId="1C3D4A74" w14:textId="50E9B060" w:rsidR="00106E15" w:rsidRDefault="00E2584A" w:rsidP="00F66996">
      <w:pPr>
        <w:spacing w:line="480" w:lineRule="auto"/>
        <w:jc w:val="center"/>
        <w:rPr>
          <w:rFonts w:ascii="Times New Roman" w:hAnsi="Times New Roman" w:cs="Times New Roman"/>
          <w:sz w:val="24"/>
          <w:szCs w:val="24"/>
        </w:rPr>
      </w:pPr>
      <w:r w:rsidRPr="00BC68C4">
        <w:rPr>
          <w:rFonts w:ascii="Times New Roman" w:hAnsi="Times New Roman" w:cs="Times New Roman"/>
          <w:sz w:val="24"/>
          <w:szCs w:val="24"/>
        </w:rPr>
        <w:t>&lt;&lt;</w:t>
      </w:r>
      <w:r w:rsidR="00787D24" w:rsidRPr="00BC68C4">
        <w:rPr>
          <w:rFonts w:ascii="Times New Roman" w:hAnsi="Times New Roman" w:cs="Times New Roman"/>
          <w:sz w:val="24"/>
          <w:szCs w:val="24"/>
        </w:rPr>
        <w:t>Insert</w:t>
      </w:r>
      <w:r w:rsidRPr="00BC68C4">
        <w:rPr>
          <w:rFonts w:ascii="Times New Roman" w:hAnsi="Times New Roman" w:cs="Times New Roman"/>
          <w:sz w:val="24"/>
          <w:szCs w:val="24"/>
        </w:rPr>
        <w:t xml:space="preserve"> Tables</w:t>
      </w:r>
      <w:r w:rsidR="006658C5">
        <w:rPr>
          <w:rFonts w:ascii="Times New Roman" w:hAnsi="Times New Roman" w:cs="Times New Roman"/>
          <w:sz w:val="24"/>
          <w:szCs w:val="24"/>
        </w:rPr>
        <w:t xml:space="preserve"> 3</w:t>
      </w:r>
      <w:r w:rsidRPr="00BC68C4">
        <w:rPr>
          <w:rFonts w:ascii="Times New Roman" w:hAnsi="Times New Roman" w:cs="Times New Roman"/>
          <w:sz w:val="24"/>
          <w:szCs w:val="24"/>
        </w:rPr>
        <w:t xml:space="preserve"> </w:t>
      </w:r>
      <w:r w:rsidR="00576DD7" w:rsidRPr="00BC68C4">
        <w:rPr>
          <w:rFonts w:ascii="Times New Roman" w:hAnsi="Times New Roman" w:cs="Times New Roman"/>
          <w:sz w:val="24"/>
          <w:szCs w:val="24"/>
        </w:rPr>
        <w:t>&amp;</w:t>
      </w:r>
      <w:r w:rsidR="00576DD7">
        <w:rPr>
          <w:rFonts w:ascii="Times New Roman" w:hAnsi="Times New Roman" w:cs="Times New Roman"/>
          <w:sz w:val="24"/>
          <w:szCs w:val="24"/>
        </w:rPr>
        <w:t xml:space="preserve"> </w:t>
      </w:r>
      <w:r w:rsidR="006658C5">
        <w:rPr>
          <w:rFonts w:ascii="Times New Roman" w:hAnsi="Times New Roman" w:cs="Times New Roman"/>
          <w:sz w:val="24"/>
          <w:szCs w:val="24"/>
        </w:rPr>
        <w:t>4</w:t>
      </w:r>
      <w:r w:rsidRPr="00BC68C4">
        <w:rPr>
          <w:rFonts w:ascii="Times New Roman" w:hAnsi="Times New Roman" w:cs="Times New Roman"/>
          <w:sz w:val="24"/>
          <w:szCs w:val="24"/>
        </w:rPr>
        <w:t xml:space="preserve"> &gt;&gt;</w:t>
      </w:r>
    </w:p>
    <w:p w14:paraId="08FBA556" w14:textId="77777777" w:rsidR="00F66996" w:rsidRPr="00BC68C4" w:rsidRDefault="00F66996" w:rsidP="00F66996">
      <w:pPr>
        <w:spacing w:line="480" w:lineRule="auto"/>
        <w:jc w:val="center"/>
        <w:rPr>
          <w:rFonts w:ascii="Times New Roman" w:hAnsi="Times New Roman" w:cs="Times New Roman"/>
          <w:sz w:val="24"/>
          <w:szCs w:val="24"/>
        </w:rPr>
      </w:pPr>
    </w:p>
    <w:p w14:paraId="3D729838" w14:textId="378D7D26" w:rsidR="00B733E9" w:rsidRPr="00BC68C4" w:rsidRDefault="00685367" w:rsidP="001867DE">
      <w:pPr>
        <w:spacing w:line="480" w:lineRule="auto"/>
        <w:rPr>
          <w:rFonts w:ascii="Times New Roman" w:hAnsi="Times New Roman" w:cs="Times New Roman"/>
          <w:sz w:val="24"/>
          <w:szCs w:val="24"/>
        </w:rPr>
      </w:pPr>
      <w:r w:rsidRPr="00BC68C4">
        <w:rPr>
          <w:rFonts w:ascii="Times New Roman" w:hAnsi="Times New Roman" w:cs="Times New Roman"/>
          <w:sz w:val="24"/>
          <w:szCs w:val="24"/>
        </w:rPr>
        <w:tab/>
        <w:t>The results also rev</w:t>
      </w:r>
      <w:r w:rsidR="00C11DEA" w:rsidRPr="00BC68C4">
        <w:rPr>
          <w:rFonts w:ascii="Times New Roman" w:hAnsi="Times New Roman" w:cs="Times New Roman"/>
          <w:sz w:val="24"/>
          <w:szCs w:val="24"/>
        </w:rPr>
        <w:t xml:space="preserve">eal that </w:t>
      </w:r>
      <w:proofErr w:type="spellStart"/>
      <w:r w:rsidR="00D81EFF" w:rsidRPr="00BC68C4">
        <w:rPr>
          <w:rFonts w:ascii="Times New Roman" w:hAnsi="Times New Roman" w:cs="Times New Roman"/>
          <w:i/>
          <w:sz w:val="24"/>
          <w:szCs w:val="24"/>
        </w:rPr>
        <w:t>NumDir</w:t>
      </w:r>
      <w:proofErr w:type="spellEnd"/>
      <w:r w:rsidR="006658C5">
        <w:rPr>
          <w:rFonts w:ascii="Times New Roman" w:hAnsi="Times New Roman" w:cs="Times New Roman"/>
          <w:sz w:val="24"/>
          <w:szCs w:val="24"/>
        </w:rPr>
        <w:t xml:space="preserve"> (board s</w:t>
      </w:r>
      <w:r w:rsidR="00D81EFF" w:rsidRPr="00BC68C4">
        <w:rPr>
          <w:rFonts w:ascii="Times New Roman" w:hAnsi="Times New Roman" w:cs="Times New Roman"/>
          <w:sz w:val="24"/>
          <w:szCs w:val="24"/>
        </w:rPr>
        <w:t>ize)</w:t>
      </w:r>
      <w:r w:rsidR="00C11DEA" w:rsidRPr="00BC68C4">
        <w:rPr>
          <w:rFonts w:ascii="Times New Roman" w:hAnsi="Times New Roman" w:cs="Times New Roman"/>
          <w:sz w:val="24"/>
          <w:szCs w:val="24"/>
        </w:rPr>
        <w:t xml:space="preserve"> has</w:t>
      </w:r>
      <w:r w:rsidR="006F127E" w:rsidRPr="00BC68C4">
        <w:rPr>
          <w:rFonts w:ascii="Times New Roman" w:hAnsi="Times New Roman" w:cs="Times New Roman"/>
          <w:sz w:val="24"/>
          <w:szCs w:val="24"/>
        </w:rPr>
        <w:t xml:space="preserve"> </w:t>
      </w:r>
      <w:r w:rsidR="00180312" w:rsidRPr="00BC68C4">
        <w:rPr>
          <w:rFonts w:ascii="Times New Roman" w:hAnsi="Times New Roman" w:cs="Times New Roman"/>
          <w:sz w:val="24"/>
          <w:szCs w:val="24"/>
        </w:rPr>
        <w:t>little</w:t>
      </w:r>
      <w:r w:rsidR="006F127E" w:rsidRPr="00BC68C4">
        <w:rPr>
          <w:rFonts w:ascii="Times New Roman" w:hAnsi="Times New Roman" w:cs="Times New Roman"/>
          <w:sz w:val="24"/>
          <w:szCs w:val="24"/>
        </w:rPr>
        <w:t xml:space="preserve"> effect on ROA, </w:t>
      </w:r>
      <w:r w:rsidR="00180312" w:rsidRPr="00BC68C4">
        <w:rPr>
          <w:rFonts w:ascii="Times New Roman" w:hAnsi="Times New Roman" w:cs="Times New Roman"/>
          <w:sz w:val="24"/>
          <w:szCs w:val="24"/>
        </w:rPr>
        <w:t>but</w:t>
      </w:r>
      <w:r w:rsidR="006F127E" w:rsidRPr="00BC68C4">
        <w:rPr>
          <w:rFonts w:ascii="Times New Roman" w:hAnsi="Times New Roman" w:cs="Times New Roman"/>
          <w:sz w:val="24"/>
          <w:szCs w:val="24"/>
        </w:rPr>
        <w:t xml:space="preserve"> a highly significant</w:t>
      </w:r>
      <w:r w:rsidRPr="00BC68C4">
        <w:rPr>
          <w:rFonts w:ascii="Times New Roman" w:hAnsi="Times New Roman" w:cs="Times New Roman"/>
          <w:sz w:val="24"/>
          <w:szCs w:val="24"/>
        </w:rPr>
        <w:t xml:space="preserve"> positive effect on Q.</w:t>
      </w:r>
      <w:r w:rsidR="00A94B4F">
        <w:rPr>
          <w:rFonts w:ascii="Times New Roman" w:hAnsi="Times New Roman" w:cs="Times New Roman"/>
          <w:sz w:val="24"/>
          <w:szCs w:val="24"/>
        </w:rPr>
        <w:t xml:space="preserve"> </w:t>
      </w:r>
      <w:r w:rsidR="00FF779A" w:rsidRPr="00BC68C4">
        <w:rPr>
          <w:rFonts w:ascii="Times New Roman" w:hAnsi="Times New Roman" w:cs="Times New Roman"/>
          <w:sz w:val="24"/>
          <w:szCs w:val="24"/>
        </w:rPr>
        <w:t xml:space="preserve">One interpretation is that larger boards may have acted as a check on large </w:t>
      </w:r>
      <w:proofErr w:type="spellStart"/>
      <w:r w:rsidR="00B048F1" w:rsidRPr="00BC68C4">
        <w:rPr>
          <w:rFonts w:ascii="Times New Roman" w:hAnsi="Times New Roman" w:cs="Times New Roman"/>
          <w:sz w:val="24"/>
          <w:szCs w:val="24"/>
        </w:rPr>
        <w:t>block</w:t>
      </w:r>
      <w:r w:rsidR="00FF779A" w:rsidRPr="00BC68C4">
        <w:rPr>
          <w:rFonts w:ascii="Times New Roman" w:hAnsi="Times New Roman" w:cs="Times New Roman"/>
          <w:sz w:val="24"/>
          <w:szCs w:val="24"/>
        </w:rPr>
        <w:t>holders</w:t>
      </w:r>
      <w:proofErr w:type="spellEnd"/>
      <w:r w:rsidR="00FF779A" w:rsidRPr="00BC68C4">
        <w:rPr>
          <w:rFonts w:ascii="Times New Roman" w:hAnsi="Times New Roman" w:cs="Times New Roman"/>
          <w:sz w:val="24"/>
          <w:szCs w:val="24"/>
        </w:rPr>
        <w:t xml:space="preserve"> expropriating m</w:t>
      </w:r>
      <w:r w:rsidR="00C11DEA" w:rsidRPr="00BC68C4">
        <w:rPr>
          <w:rFonts w:ascii="Times New Roman" w:hAnsi="Times New Roman" w:cs="Times New Roman"/>
          <w:sz w:val="24"/>
          <w:szCs w:val="24"/>
        </w:rPr>
        <w:t xml:space="preserve">inority shareholders, and </w:t>
      </w:r>
      <w:r w:rsidR="00694F22">
        <w:rPr>
          <w:rFonts w:ascii="Times New Roman" w:hAnsi="Times New Roman" w:cs="Times New Roman"/>
          <w:sz w:val="24"/>
          <w:szCs w:val="24"/>
        </w:rPr>
        <w:t>was</w:t>
      </w:r>
      <w:r w:rsidR="00C11DEA" w:rsidRPr="00BC68C4">
        <w:rPr>
          <w:rFonts w:ascii="Times New Roman" w:hAnsi="Times New Roman" w:cs="Times New Roman"/>
          <w:sz w:val="24"/>
          <w:szCs w:val="24"/>
        </w:rPr>
        <w:t xml:space="preserve"> therefore valued by them.</w:t>
      </w:r>
      <w:r w:rsidR="00A94B4F">
        <w:rPr>
          <w:rFonts w:ascii="Times New Roman" w:hAnsi="Times New Roman" w:cs="Times New Roman"/>
          <w:sz w:val="24"/>
          <w:szCs w:val="24"/>
        </w:rPr>
        <w:t xml:space="preserve"> </w:t>
      </w:r>
      <w:r w:rsidR="00694F22">
        <w:rPr>
          <w:rFonts w:ascii="Times New Roman" w:hAnsi="Times New Roman" w:cs="Times New Roman"/>
          <w:sz w:val="24"/>
          <w:szCs w:val="24"/>
        </w:rPr>
        <w:t xml:space="preserve">Overall </w:t>
      </w:r>
      <w:r w:rsidR="00694F22" w:rsidRPr="00BC68C4">
        <w:rPr>
          <w:rFonts w:ascii="Times New Roman" w:hAnsi="Times New Roman" w:cs="Times New Roman"/>
          <w:sz w:val="24"/>
          <w:szCs w:val="24"/>
        </w:rPr>
        <w:t>these</w:t>
      </w:r>
      <w:r w:rsidR="00180312" w:rsidRPr="00BC68C4">
        <w:rPr>
          <w:rFonts w:ascii="Times New Roman" w:hAnsi="Times New Roman" w:cs="Times New Roman"/>
          <w:sz w:val="24"/>
          <w:szCs w:val="24"/>
        </w:rPr>
        <w:t xml:space="preserve"> results imply a complex relationship between ownership by large shareholders, ownership by directors, and the number of directors.</w:t>
      </w:r>
      <w:r w:rsidR="00597AA5">
        <w:rPr>
          <w:rStyle w:val="FootnoteReference"/>
          <w:rFonts w:ascii="Times New Roman" w:hAnsi="Times New Roman" w:cs="Times New Roman"/>
          <w:sz w:val="24"/>
          <w:szCs w:val="24"/>
        </w:rPr>
        <w:footnoteReference w:id="24"/>
      </w:r>
    </w:p>
    <w:p w14:paraId="7610841E" w14:textId="4A06E1E9" w:rsidR="00D16CE6" w:rsidRPr="00BC68C4" w:rsidRDefault="00537487" w:rsidP="006F5264">
      <w:pPr>
        <w:spacing w:line="480" w:lineRule="auto"/>
        <w:ind w:firstLine="720"/>
        <w:rPr>
          <w:rFonts w:ascii="Times New Roman" w:hAnsi="Times New Roman" w:cs="Times New Roman"/>
          <w:sz w:val="24"/>
          <w:szCs w:val="24"/>
        </w:rPr>
      </w:pPr>
      <w:r w:rsidRPr="00BC68C4">
        <w:rPr>
          <w:rFonts w:ascii="Times New Roman" w:hAnsi="Times New Roman" w:cs="Times New Roman"/>
          <w:sz w:val="24"/>
          <w:szCs w:val="24"/>
        </w:rPr>
        <w:t xml:space="preserve">To analyse the interaction between </w:t>
      </w:r>
      <w:r w:rsidR="00E81DAB" w:rsidRPr="00BC68C4">
        <w:rPr>
          <w:rFonts w:ascii="Times New Roman" w:hAnsi="Times New Roman" w:cs="Times New Roman"/>
          <w:sz w:val="24"/>
          <w:szCs w:val="24"/>
        </w:rPr>
        <w:t>these factors more precisely</w:t>
      </w:r>
      <w:r w:rsidRPr="00BC68C4">
        <w:rPr>
          <w:rFonts w:ascii="Times New Roman" w:hAnsi="Times New Roman" w:cs="Times New Roman"/>
          <w:sz w:val="24"/>
          <w:szCs w:val="24"/>
        </w:rPr>
        <w:t xml:space="preserve">, each insider is categorised as </w:t>
      </w:r>
      <w:r w:rsidR="00287CB6" w:rsidRPr="00BC68C4">
        <w:rPr>
          <w:rFonts w:ascii="Times New Roman" w:hAnsi="Times New Roman" w:cs="Times New Roman"/>
          <w:sz w:val="24"/>
          <w:szCs w:val="24"/>
        </w:rPr>
        <w:t>either an</w:t>
      </w:r>
      <w:r w:rsidRPr="00BC68C4">
        <w:rPr>
          <w:rFonts w:ascii="Times New Roman" w:hAnsi="Times New Roman" w:cs="Times New Roman"/>
          <w:sz w:val="24"/>
          <w:szCs w:val="24"/>
        </w:rPr>
        <w:t xml:space="preserve"> active </w:t>
      </w:r>
      <w:proofErr w:type="spellStart"/>
      <w:r w:rsidRPr="00BC68C4">
        <w:rPr>
          <w:rFonts w:ascii="Times New Roman" w:hAnsi="Times New Roman" w:cs="Times New Roman"/>
          <w:sz w:val="24"/>
          <w:szCs w:val="24"/>
        </w:rPr>
        <w:t>blockholder</w:t>
      </w:r>
      <w:proofErr w:type="spellEnd"/>
      <w:r w:rsidRPr="00BC68C4">
        <w:rPr>
          <w:rFonts w:ascii="Times New Roman" w:hAnsi="Times New Roman" w:cs="Times New Roman"/>
          <w:sz w:val="24"/>
          <w:szCs w:val="24"/>
        </w:rPr>
        <w:t xml:space="preserve">, a passive </w:t>
      </w:r>
      <w:proofErr w:type="spellStart"/>
      <w:r w:rsidRPr="00BC68C4">
        <w:rPr>
          <w:rFonts w:ascii="Times New Roman" w:hAnsi="Times New Roman" w:cs="Times New Roman"/>
          <w:sz w:val="24"/>
          <w:szCs w:val="24"/>
        </w:rPr>
        <w:t>blockholder</w:t>
      </w:r>
      <w:proofErr w:type="spellEnd"/>
      <w:r w:rsidRPr="00BC68C4">
        <w:rPr>
          <w:rFonts w:ascii="Times New Roman" w:hAnsi="Times New Roman" w:cs="Times New Roman"/>
          <w:sz w:val="24"/>
          <w:szCs w:val="24"/>
        </w:rPr>
        <w:t xml:space="preserve">, or a director who was not a </w:t>
      </w:r>
      <w:proofErr w:type="spellStart"/>
      <w:r w:rsidRPr="00BC68C4">
        <w:rPr>
          <w:rFonts w:ascii="Times New Roman" w:hAnsi="Times New Roman" w:cs="Times New Roman"/>
          <w:sz w:val="24"/>
          <w:szCs w:val="24"/>
        </w:rPr>
        <w:t>blockholder</w:t>
      </w:r>
      <w:proofErr w:type="spellEnd"/>
      <w:r w:rsidRPr="00BC68C4">
        <w:rPr>
          <w:rFonts w:ascii="Times New Roman" w:hAnsi="Times New Roman" w:cs="Times New Roman"/>
          <w:sz w:val="24"/>
          <w:szCs w:val="24"/>
        </w:rPr>
        <w:t>.</w:t>
      </w:r>
      <w:r w:rsidR="00D16CE6" w:rsidRPr="00BC68C4">
        <w:rPr>
          <w:rFonts w:ascii="Times New Roman" w:hAnsi="Times New Roman" w:cs="Times New Roman"/>
          <w:sz w:val="24"/>
          <w:szCs w:val="24"/>
        </w:rPr>
        <w:t xml:space="preserve"> </w:t>
      </w:r>
      <w:r w:rsidR="00A002CE">
        <w:rPr>
          <w:rFonts w:ascii="Times New Roman" w:hAnsi="Times New Roman" w:cs="Times New Roman"/>
          <w:sz w:val="24"/>
          <w:szCs w:val="24"/>
        </w:rPr>
        <w:t xml:space="preserve">We begin </w:t>
      </w:r>
      <w:r w:rsidR="00456029" w:rsidRPr="00BC68C4">
        <w:rPr>
          <w:rFonts w:ascii="Times New Roman" w:hAnsi="Times New Roman" w:cs="Times New Roman"/>
          <w:sz w:val="24"/>
          <w:szCs w:val="24"/>
        </w:rPr>
        <w:t>with a simple difference-in-</w:t>
      </w:r>
      <w:r w:rsidR="00D16CE6" w:rsidRPr="00BC68C4">
        <w:rPr>
          <w:rFonts w:ascii="Times New Roman" w:hAnsi="Times New Roman" w:cs="Times New Roman"/>
          <w:sz w:val="24"/>
          <w:szCs w:val="24"/>
        </w:rPr>
        <w:t xml:space="preserve">means test between companies with and without each type of </w:t>
      </w:r>
      <w:proofErr w:type="spellStart"/>
      <w:r w:rsidR="00D16CE6" w:rsidRPr="00BC68C4">
        <w:rPr>
          <w:rFonts w:ascii="Times New Roman" w:hAnsi="Times New Roman" w:cs="Times New Roman"/>
          <w:sz w:val="24"/>
          <w:szCs w:val="24"/>
        </w:rPr>
        <w:t>blockholder</w:t>
      </w:r>
      <w:proofErr w:type="spellEnd"/>
      <w:r w:rsidR="00D16CE6" w:rsidRPr="00BC68C4">
        <w:rPr>
          <w:rFonts w:ascii="Times New Roman" w:hAnsi="Times New Roman" w:cs="Times New Roman"/>
          <w:sz w:val="24"/>
          <w:szCs w:val="24"/>
        </w:rPr>
        <w:t>, and above and below median numbers of individuals who were solely directors.</w:t>
      </w:r>
      <w:r w:rsidRPr="00BC68C4">
        <w:rPr>
          <w:rFonts w:ascii="Times New Roman" w:hAnsi="Times New Roman" w:cs="Times New Roman"/>
          <w:sz w:val="24"/>
          <w:szCs w:val="24"/>
        </w:rPr>
        <w:t xml:space="preserve"> </w:t>
      </w:r>
      <w:r w:rsidR="00A002CE">
        <w:rPr>
          <w:rFonts w:ascii="Times New Roman" w:hAnsi="Times New Roman" w:cs="Times New Roman"/>
          <w:sz w:val="24"/>
          <w:szCs w:val="24"/>
        </w:rPr>
        <w:t xml:space="preserve">(See </w:t>
      </w:r>
      <w:r w:rsidR="00A002CE" w:rsidRPr="006658C5">
        <w:rPr>
          <w:rFonts w:ascii="Times New Roman" w:hAnsi="Times New Roman" w:cs="Times New Roman"/>
          <w:sz w:val="24"/>
          <w:szCs w:val="24"/>
        </w:rPr>
        <w:t>Table 5)</w:t>
      </w:r>
      <w:r w:rsidR="006F5264" w:rsidRPr="006658C5">
        <w:rPr>
          <w:rFonts w:ascii="Times New Roman" w:hAnsi="Times New Roman" w:cs="Times New Roman"/>
          <w:sz w:val="24"/>
          <w:szCs w:val="24"/>
        </w:rPr>
        <w:t xml:space="preserve">. </w:t>
      </w:r>
      <w:r w:rsidR="00A002CE" w:rsidRPr="006658C5">
        <w:rPr>
          <w:rFonts w:ascii="Times New Roman" w:hAnsi="Times New Roman" w:cs="Times New Roman"/>
          <w:sz w:val="24"/>
          <w:szCs w:val="24"/>
        </w:rPr>
        <w:t xml:space="preserve">We </w:t>
      </w:r>
      <w:r w:rsidR="00D16CE6" w:rsidRPr="006658C5">
        <w:rPr>
          <w:rFonts w:ascii="Times New Roman" w:hAnsi="Times New Roman" w:cs="Times New Roman"/>
          <w:sz w:val="24"/>
          <w:szCs w:val="24"/>
        </w:rPr>
        <w:t>classify a</w:t>
      </w:r>
      <w:r w:rsidR="00D16CE6" w:rsidRPr="00BC68C4">
        <w:rPr>
          <w:rFonts w:ascii="Times New Roman" w:hAnsi="Times New Roman" w:cs="Times New Roman"/>
          <w:sz w:val="24"/>
          <w:szCs w:val="24"/>
        </w:rPr>
        <w:t xml:space="preserve"> </w:t>
      </w:r>
      <w:proofErr w:type="spellStart"/>
      <w:r w:rsidR="00D16CE6" w:rsidRPr="00BC68C4">
        <w:rPr>
          <w:rFonts w:ascii="Times New Roman" w:hAnsi="Times New Roman" w:cs="Times New Roman"/>
          <w:sz w:val="24"/>
          <w:szCs w:val="24"/>
        </w:rPr>
        <w:t>blockholder</w:t>
      </w:r>
      <w:proofErr w:type="spellEnd"/>
      <w:r w:rsidR="00D16CE6" w:rsidRPr="00BC68C4">
        <w:rPr>
          <w:rFonts w:ascii="Times New Roman" w:hAnsi="Times New Roman" w:cs="Times New Roman"/>
          <w:sz w:val="24"/>
          <w:szCs w:val="24"/>
        </w:rPr>
        <w:t xml:space="preserve"> </w:t>
      </w:r>
      <w:r w:rsidR="00A002CE">
        <w:rPr>
          <w:rFonts w:ascii="Times New Roman" w:hAnsi="Times New Roman" w:cs="Times New Roman"/>
          <w:sz w:val="24"/>
          <w:szCs w:val="24"/>
        </w:rPr>
        <w:t>as having</w:t>
      </w:r>
      <w:r w:rsidR="00694F22">
        <w:rPr>
          <w:rFonts w:ascii="Times New Roman" w:hAnsi="Times New Roman" w:cs="Times New Roman"/>
          <w:sz w:val="24"/>
          <w:szCs w:val="24"/>
        </w:rPr>
        <w:t xml:space="preserve"> </w:t>
      </w:r>
      <w:r w:rsidR="00D7094E" w:rsidRPr="00BC68C4">
        <w:rPr>
          <w:rFonts w:ascii="Times New Roman" w:hAnsi="Times New Roman" w:cs="Times New Roman"/>
          <w:sz w:val="24"/>
          <w:szCs w:val="24"/>
        </w:rPr>
        <w:t>10 per cent</w:t>
      </w:r>
      <w:r w:rsidR="00D16CE6" w:rsidRPr="00BC68C4">
        <w:rPr>
          <w:rFonts w:ascii="Times New Roman" w:hAnsi="Times New Roman" w:cs="Times New Roman"/>
          <w:sz w:val="24"/>
          <w:szCs w:val="24"/>
        </w:rPr>
        <w:t xml:space="preserve"> of voting rights, but </w:t>
      </w:r>
      <w:r w:rsidR="00A35DF4" w:rsidRPr="00BC68C4">
        <w:rPr>
          <w:rFonts w:ascii="Times New Roman" w:hAnsi="Times New Roman" w:cs="Times New Roman"/>
          <w:sz w:val="24"/>
          <w:szCs w:val="24"/>
        </w:rPr>
        <w:t>since</w:t>
      </w:r>
      <w:r w:rsidR="00D16CE6" w:rsidRPr="00BC68C4">
        <w:rPr>
          <w:rFonts w:ascii="Times New Roman" w:hAnsi="Times New Roman" w:cs="Times New Roman"/>
          <w:sz w:val="24"/>
          <w:szCs w:val="24"/>
        </w:rPr>
        <w:t xml:space="preserve"> our findings may be sensitive to </w:t>
      </w:r>
      <w:r w:rsidR="00B444FE">
        <w:rPr>
          <w:rFonts w:ascii="Times New Roman" w:hAnsi="Times New Roman" w:cs="Times New Roman"/>
          <w:sz w:val="24"/>
          <w:szCs w:val="24"/>
        </w:rPr>
        <w:t>this</w:t>
      </w:r>
      <w:r w:rsidR="00D16CE6" w:rsidRPr="00BC68C4">
        <w:rPr>
          <w:rFonts w:ascii="Times New Roman" w:hAnsi="Times New Roman" w:cs="Times New Roman"/>
          <w:sz w:val="24"/>
          <w:szCs w:val="24"/>
        </w:rPr>
        <w:t xml:space="preserve"> definition, we check the ro</w:t>
      </w:r>
      <w:r w:rsidR="00D7094E" w:rsidRPr="00BC68C4">
        <w:rPr>
          <w:rFonts w:ascii="Times New Roman" w:hAnsi="Times New Roman" w:cs="Times New Roman"/>
          <w:sz w:val="24"/>
          <w:szCs w:val="24"/>
        </w:rPr>
        <w:t>bustness of our results using 5 and 20 per cent</w:t>
      </w:r>
      <w:r w:rsidR="00D16CE6" w:rsidRPr="00BC68C4">
        <w:rPr>
          <w:rFonts w:ascii="Times New Roman" w:hAnsi="Times New Roman" w:cs="Times New Roman"/>
          <w:sz w:val="24"/>
          <w:szCs w:val="24"/>
        </w:rPr>
        <w:t xml:space="preserve"> </w:t>
      </w:r>
      <w:proofErr w:type="gramStart"/>
      <w:r w:rsidR="00D16CE6" w:rsidRPr="00BC68C4">
        <w:rPr>
          <w:rFonts w:ascii="Times New Roman" w:hAnsi="Times New Roman" w:cs="Times New Roman"/>
          <w:sz w:val="24"/>
          <w:szCs w:val="24"/>
        </w:rPr>
        <w:t>levels  (</w:t>
      </w:r>
      <w:proofErr w:type="gramEnd"/>
      <w:r w:rsidR="00B444FE">
        <w:rPr>
          <w:rFonts w:ascii="Times New Roman" w:hAnsi="Times New Roman" w:cs="Times New Roman"/>
          <w:sz w:val="24"/>
          <w:szCs w:val="24"/>
        </w:rPr>
        <w:t xml:space="preserve">see </w:t>
      </w:r>
      <w:r w:rsidR="00D16CE6" w:rsidRPr="00BC68C4">
        <w:rPr>
          <w:rFonts w:ascii="Times New Roman" w:hAnsi="Times New Roman" w:cs="Times New Roman"/>
          <w:sz w:val="24"/>
          <w:szCs w:val="24"/>
        </w:rPr>
        <w:t xml:space="preserve">Holderness, 2009, p. 1399). </w:t>
      </w:r>
      <w:r w:rsidR="00694F22">
        <w:rPr>
          <w:rFonts w:ascii="Times New Roman" w:hAnsi="Times New Roman" w:cs="Times New Roman"/>
          <w:sz w:val="24"/>
          <w:szCs w:val="24"/>
        </w:rPr>
        <w:t>The</w:t>
      </w:r>
      <w:r w:rsidR="00D16CE6" w:rsidRPr="00BC68C4">
        <w:rPr>
          <w:rFonts w:ascii="Times New Roman" w:hAnsi="Times New Roman" w:cs="Times New Roman"/>
          <w:sz w:val="24"/>
          <w:szCs w:val="24"/>
        </w:rPr>
        <w:t xml:space="preserve"> ROA for companies with at least one active </w:t>
      </w:r>
      <w:proofErr w:type="spellStart"/>
      <w:r w:rsidR="00D16CE6" w:rsidRPr="00BC68C4">
        <w:rPr>
          <w:rFonts w:ascii="Times New Roman" w:hAnsi="Times New Roman" w:cs="Times New Roman"/>
          <w:sz w:val="24"/>
          <w:szCs w:val="24"/>
        </w:rPr>
        <w:t>blockholder</w:t>
      </w:r>
      <w:proofErr w:type="spellEnd"/>
      <w:r w:rsidR="00D16CE6" w:rsidRPr="00BC68C4">
        <w:rPr>
          <w:rFonts w:ascii="Times New Roman" w:hAnsi="Times New Roman" w:cs="Times New Roman"/>
          <w:sz w:val="24"/>
          <w:szCs w:val="24"/>
        </w:rPr>
        <w:t xml:space="preserve"> is statistically and economically greater than that for companies without, irrespective of what definition of large </w:t>
      </w:r>
      <w:proofErr w:type="spellStart"/>
      <w:r w:rsidR="00D16CE6" w:rsidRPr="00BC68C4">
        <w:rPr>
          <w:rFonts w:ascii="Times New Roman" w:hAnsi="Times New Roman" w:cs="Times New Roman"/>
          <w:sz w:val="24"/>
          <w:szCs w:val="24"/>
        </w:rPr>
        <w:t>blockholder</w:t>
      </w:r>
      <w:proofErr w:type="spellEnd"/>
      <w:r w:rsidR="00D16CE6" w:rsidRPr="00BC68C4">
        <w:rPr>
          <w:rFonts w:ascii="Times New Roman" w:hAnsi="Times New Roman" w:cs="Times New Roman"/>
          <w:sz w:val="24"/>
          <w:szCs w:val="24"/>
        </w:rPr>
        <w:t xml:space="preserve"> we use.  In addition, </w:t>
      </w:r>
      <w:r w:rsidR="00D7094E" w:rsidRPr="00BC68C4">
        <w:rPr>
          <w:rFonts w:ascii="Times New Roman" w:hAnsi="Times New Roman" w:cs="Times New Roman"/>
          <w:sz w:val="24"/>
          <w:szCs w:val="24"/>
        </w:rPr>
        <w:t>Tobin’s</w:t>
      </w:r>
      <w:r w:rsidR="00D16CE6" w:rsidRPr="00BC68C4">
        <w:rPr>
          <w:rFonts w:ascii="Times New Roman" w:hAnsi="Times New Roman" w:cs="Times New Roman"/>
          <w:sz w:val="24"/>
          <w:szCs w:val="24"/>
        </w:rPr>
        <w:t xml:space="preserve"> Q for companies with above median number of individuals who were solely directors is statistically greater than that for companies below the median for all three definitions.</w:t>
      </w:r>
      <w:r w:rsidR="00B444FE">
        <w:rPr>
          <w:rStyle w:val="FootnoteReference"/>
          <w:rFonts w:ascii="Times New Roman" w:hAnsi="Times New Roman" w:cs="Times New Roman"/>
          <w:sz w:val="24"/>
          <w:szCs w:val="24"/>
        </w:rPr>
        <w:footnoteReference w:id="25"/>
      </w:r>
    </w:p>
    <w:p w14:paraId="5690D804" w14:textId="1F1858C3" w:rsidR="00537487" w:rsidRDefault="00F47AA9" w:rsidP="00537487">
      <w:pPr>
        <w:spacing w:line="480" w:lineRule="auto"/>
        <w:jc w:val="center"/>
        <w:rPr>
          <w:rFonts w:ascii="Times New Roman" w:hAnsi="Times New Roman" w:cs="Times New Roman"/>
          <w:sz w:val="24"/>
          <w:szCs w:val="24"/>
        </w:rPr>
      </w:pPr>
      <w:r w:rsidRPr="00BC68C4">
        <w:rPr>
          <w:rFonts w:ascii="Times New Roman" w:hAnsi="Times New Roman" w:cs="Times New Roman"/>
          <w:sz w:val="24"/>
          <w:szCs w:val="24"/>
        </w:rPr>
        <w:t>&lt;&lt;</w:t>
      </w:r>
      <w:r w:rsidR="00787D24" w:rsidRPr="00BC68C4">
        <w:rPr>
          <w:rFonts w:ascii="Times New Roman" w:hAnsi="Times New Roman" w:cs="Times New Roman"/>
          <w:sz w:val="24"/>
          <w:szCs w:val="24"/>
        </w:rPr>
        <w:t>Insert</w:t>
      </w:r>
      <w:r w:rsidRPr="00BC68C4">
        <w:rPr>
          <w:rFonts w:ascii="Times New Roman" w:hAnsi="Times New Roman" w:cs="Times New Roman"/>
          <w:sz w:val="24"/>
          <w:szCs w:val="24"/>
        </w:rPr>
        <w:t xml:space="preserve"> Table </w:t>
      </w:r>
      <w:r w:rsidR="00B444FE">
        <w:rPr>
          <w:rFonts w:ascii="Times New Roman" w:hAnsi="Times New Roman" w:cs="Times New Roman"/>
          <w:sz w:val="24"/>
          <w:szCs w:val="24"/>
        </w:rPr>
        <w:t>5</w:t>
      </w:r>
      <w:r w:rsidR="00537487" w:rsidRPr="00BC68C4">
        <w:rPr>
          <w:rFonts w:ascii="Times New Roman" w:hAnsi="Times New Roman" w:cs="Times New Roman"/>
          <w:sz w:val="24"/>
          <w:szCs w:val="24"/>
        </w:rPr>
        <w:t>&gt;&gt;</w:t>
      </w:r>
    </w:p>
    <w:p w14:paraId="6A744CAF" w14:textId="77777777" w:rsidR="006658C5" w:rsidRPr="00BC68C4" w:rsidRDefault="006658C5" w:rsidP="00537487">
      <w:pPr>
        <w:spacing w:line="480" w:lineRule="auto"/>
        <w:jc w:val="center"/>
        <w:rPr>
          <w:rFonts w:ascii="Times New Roman" w:hAnsi="Times New Roman" w:cs="Times New Roman"/>
          <w:sz w:val="24"/>
          <w:szCs w:val="24"/>
        </w:rPr>
      </w:pPr>
    </w:p>
    <w:p w14:paraId="7A2B1F2E" w14:textId="05158FF3" w:rsidR="00C1454E" w:rsidRPr="00BC68C4" w:rsidRDefault="00C85EA2" w:rsidP="00380EAC">
      <w:pPr>
        <w:spacing w:line="480" w:lineRule="auto"/>
        <w:rPr>
          <w:rFonts w:ascii="Times New Roman" w:hAnsi="Times New Roman" w:cs="Times New Roman"/>
          <w:sz w:val="24"/>
          <w:szCs w:val="24"/>
        </w:rPr>
      </w:pPr>
      <w:r w:rsidRPr="00BC68C4">
        <w:rPr>
          <w:rFonts w:ascii="Times New Roman" w:hAnsi="Times New Roman" w:cs="Times New Roman"/>
          <w:sz w:val="24"/>
          <w:szCs w:val="24"/>
        </w:rPr>
        <w:tab/>
        <w:t xml:space="preserve">In Tables </w:t>
      </w:r>
      <w:r w:rsidR="00B444FE">
        <w:rPr>
          <w:rFonts w:ascii="Times New Roman" w:hAnsi="Times New Roman" w:cs="Times New Roman"/>
          <w:sz w:val="24"/>
          <w:szCs w:val="24"/>
        </w:rPr>
        <w:t>6</w:t>
      </w:r>
      <w:r w:rsidRPr="00BC68C4">
        <w:rPr>
          <w:rFonts w:ascii="Times New Roman" w:hAnsi="Times New Roman" w:cs="Times New Roman"/>
          <w:sz w:val="24"/>
          <w:szCs w:val="24"/>
        </w:rPr>
        <w:t xml:space="preserve"> and </w:t>
      </w:r>
      <w:r w:rsidR="00B444FE">
        <w:rPr>
          <w:rFonts w:ascii="Times New Roman" w:hAnsi="Times New Roman" w:cs="Times New Roman"/>
          <w:sz w:val="24"/>
          <w:szCs w:val="24"/>
        </w:rPr>
        <w:t>7</w:t>
      </w:r>
      <w:r w:rsidRPr="00BC68C4">
        <w:rPr>
          <w:rFonts w:ascii="Times New Roman" w:hAnsi="Times New Roman" w:cs="Times New Roman"/>
          <w:sz w:val="24"/>
          <w:szCs w:val="24"/>
        </w:rPr>
        <w:t xml:space="preserve">, </w:t>
      </w:r>
      <w:r w:rsidR="00B444FE">
        <w:rPr>
          <w:rFonts w:ascii="Times New Roman" w:hAnsi="Times New Roman" w:cs="Times New Roman"/>
          <w:sz w:val="24"/>
          <w:szCs w:val="24"/>
        </w:rPr>
        <w:t xml:space="preserve">we refine our analysis of the </w:t>
      </w:r>
      <w:r w:rsidR="008348A1">
        <w:rPr>
          <w:rFonts w:ascii="Times New Roman" w:hAnsi="Times New Roman" w:cs="Times New Roman"/>
          <w:sz w:val="24"/>
          <w:szCs w:val="24"/>
        </w:rPr>
        <w:t xml:space="preserve">interaction between </w:t>
      </w:r>
      <w:r w:rsidR="00B444FE">
        <w:rPr>
          <w:rFonts w:ascii="Times New Roman" w:hAnsi="Times New Roman" w:cs="Times New Roman"/>
          <w:sz w:val="24"/>
          <w:szCs w:val="24"/>
        </w:rPr>
        <w:t>performance and gov</w:t>
      </w:r>
      <w:r w:rsidR="005C523C">
        <w:rPr>
          <w:rFonts w:ascii="Times New Roman" w:hAnsi="Times New Roman" w:cs="Times New Roman"/>
          <w:sz w:val="24"/>
          <w:szCs w:val="24"/>
        </w:rPr>
        <w:t>ernance.</w:t>
      </w:r>
      <w:r w:rsidR="00A94B4F">
        <w:rPr>
          <w:rFonts w:ascii="Times New Roman" w:hAnsi="Times New Roman" w:cs="Times New Roman"/>
          <w:sz w:val="24"/>
          <w:szCs w:val="24"/>
        </w:rPr>
        <w:t xml:space="preserve"> </w:t>
      </w:r>
      <w:r w:rsidR="00380EAC" w:rsidRPr="00BC68C4">
        <w:rPr>
          <w:rFonts w:ascii="Times New Roman" w:hAnsi="Times New Roman" w:cs="Times New Roman"/>
          <w:sz w:val="24"/>
          <w:szCs w:val="24"/>
        </w:rPr>
        <w:t xml:space="preserve">The most noteworthy finding in Table </w:t>
      </w:r>
      <w:r w:rsidR="005C523C">
        <w:rPr>
          <w:rFonts w:ascii="Times New Roman" w:hAnsi="Times New Roman" w:cs="Times New Roman"/>
          <w:sz w:val="24"/>
          <w:szCs w:val="24"/>
        </w:rPr>
        <w:t>6</w:t>
      </w:r>
      <w:r w:rsidR="00380EAC" w:rsidRPr="00BC68C4">
        <w:rPr>
          <w:rFonts w:ascii="Times New Roman" w:hAnsi="Times New Roman" w:cs="Times New Roman"/>
          <w:sz w:val="24"/>
          <w:szCs w:val="24"/>
        </w:rPr>
        <w:t xml:space="preserve"> is the positive and statistically signi</w:t>
      </w:r>
      <w:r w:rsidR="00980C04" w:rsidRPr="00BC68C4">
        <w:rPr>
          <w:rFonts w:ascii="Times New Roman" w:hAnsi="Times New Roman" w:cs="Times New Roman"/>
          <w:sz w:val="24"/>
          <w:szCs w:val="24"/>
        </w:rPr>
        <w:t xml:space="preserve">ficant coefficient on </w:t>
      </w:r>
      <w:proofErr w:type="spellStart"/>
      <w:r w:rsidR="004A56B4" w:rsidRPr="00BC68C4">
        <w:rPr>
          <w:rFonts w:ascii="Times New Roman" w:hAnsi="Times New Roman" w:cs="Times New Roman"/>
          <w:i/>
          <w:sz w:val="24"/>
          <w:szCs w:val="24"/>
        </w:rPr>
        <w:t>ActiveBlock</w:t>
      </w:r>
      <w:proofErr w:type="spellEnd"/>
      <w:r w:rsidR="00380EAC" w:rsidRPr="00BC68C4">
        <w:rPr>
          <w:rFonts w:ascii="Times New Roman" w:hAnsi="Times New Roman" w:cs="Times New Roman"/>
          <w:sz w:val="24"/>
          <w:szCs w:val="24"/>
        </w:rPr>
        <w:t xml:space="preserve">, which implies that firms with </w:t>
      </w:r>
      <w:proofErr w:type="spellStart"/>
      <w:r w:rsidR="00B048F1" w:rsidRPr="00BC68C4">
        <w:rPr>
          <w:rFonts w:ascii="Times New Roman" w:hAnsi="Times New Roman" w:cs="Times New Roman"/>
          <w:sz w:val="24"/>
          <w:szCs w:val="24"/>
        </w:rPr>
        <w:t>blockholders</w:t>
      </w:r>
      <w:proofErr w:type="spellEnd"/>
      <w:r w:rsidR="00380EAC" w:rsidRPr="00BC68C4">
        <w:rPr>
          <w:rFonts w:ascii="Times New Roman" w:hAnsi="Times New Roman" w:cs="Times New Roman"/>
          <w:sz w:val="24"/>
          <w:szCs w:val="24"/>
        </w:rPr>
        <w:t xml:space="preserve"> who are also directors perform better in terms of ROA than other firms.</w:t>
      </w:r>
      <w:r w:rsidR="00844BAA" w:rsidRPr="00BC68C4">
        <w:rPr>
          <w:rFonts w:ascii="Times New Roman" w:hAnsi="Times New Roman" w:cs="Times New Roman"/>
          <w:sz w:val="24"/>
          <w:szCs w:val="24"/>
        </w:rPr>
        <w:t xml:space="preserve"> The coefficient on </w:t>
      </w:r>
      <w:proofErr w:type="spellStart"/>
      <w:r w:rsidR="00844BAA" w:rsidRPr="00BC68C4">
        <w:rPr>
          <w:rFonts w:ascii="Times New Roman" w:hAnsi="Times New Roman" w:cs="Times New Roman"/>
          <w:i/>
          <w:sz w:val="24"/>
          <w:szCs w:val="24"/>
        </w:rPr>
        <w:t>ActiveBlock</w:t>
      </w:r>
      <w:proofErr w:type="spellEnd"/>
      <w:r w:rsidR="00844BAA" w:rsidRPr="00BC68C4">
        <w:rPr>
          <w:rFonts w:ascii="Times New Roman" w:hAnsi="Times New Roman" w:cs="Times New Roman"/>
          <w:sz w:val="24"/>
          <w:szCs w:val="24"/>
        </w:rPr>
        <w:t xml:space="preserve"> suggest</w:t>
      </w:r>
      <w:r w:rsidR="000661EA" w:rsidRPr="00BC68C4">
        <w:rPr>
          <w:rFonts w:ascii="Times New Roman" w:hAnsi="Times New Roman" w:cs="Times New Roman"/>
          <w:sz w:val="24"/>
          <w:szCs w:val="24"/>
        </w:rPr>
        <w:t>s</w:t>
      </w:r>
      <w:r w:rsidR="00844BAA" w:rsidRPr="00BC68C4">
        <w:rPr>
          <w:rFonts w:ascii="Times New Roman" w:hAnsi="Times New Roman" w:cs="Times New Roman"/>
          <w:sz w:val="24"/>
          <w:szCs w:val="24"/>
        </w:rPr>
        <w:t xml:space="preserve"> that a one per cent increase in the votes of active </w:t>
      </w:r>
      <w:proofErr w:type="spellStart"/>
      <w:r w:rsidR="00844BAA" w:rsidRPr="00BC68C4">
        <w:rPr>
          <w:rFonts w:ascii="Times New Roman" w:hAnsi="Times New Roman" w:cs="Times New Roman"/>
          <w:sz w:val="24"/>
          <w:szCs w:val="24"/>
        </w:rPr>
        <w:t>blockholders</w:t>
      </w:r>
      <w:proofErr w:type="spellEnd"/>
      <w:r w:rsidR="00844BAA" w:rsidRPr="00BC68C4">
        <w:rPr>
          <w:rFonts w:ascii="Times New Roman" w:hAnsi="Times New Roman" w:cs="Times New Roman"/>
          <w:sz w:val="24"/>
          <w:szCs w:val="24"/>
        </w:rPr>
        <w:t xml:space="preserve"> increases ROA by </w:t>
      </w:r>
      <w:r w:rsidR="001201D3">
        <w:rPr>
          <w:rFonts w:ascii="Times New Roman" w:hAnsi="Times New Roman" w:cs="Times New Roman"/>
          <w:sz w:val="24"/>
          <w:szCs w:val="24"/>
        </w:rPr>
        <w:t xml:space="preserve">about </w:t>
      </w:r>
      <w:r w:rsidR="00844BAA" w:rsidRPr="00BC68C4">
        <w:rPr>
          <w:rFonts w:ascii="Times New Roman" w:hAnsi="Times New Roman" w:cs="Times New Roman"/>
          <w:sz w:val="24"/>
          <w:szCs w:val="24"/>
        </w:rPr>
        <w:t>0.</w:t>
      </w:r>
      <w:r w:rsidR="001201D3">
        <w:rPr>
          <w:rFonts w:ascii="Times New Roman" w:hAnsi="Times New Roman" w:cs="Times New Roman"/>
          <w:sz w:val="24"/>
          <w:szCs w:val="24"/>
        </w:rPr>
        <w:t>3</w:t>
      </w:r>
      <w:r w:rsidR="00844BAA" w:rsidRPr="00BC68C4">
        <w:rPr>
          <w:rFonts w:ascii="Times New Roman" w:hAnsi="Times New Roman" w:cs="Times New Roman"/>
          <w:sz w:val="24"/>
          <w:szCs w:val="24"/>
        </w:rPr>
        <w:t xml:space="preserve"> per cent.</w:t>
      </w:r>
      <w:r w:rsidR="00C2045A" w:rsidRPr="00BC68C4">
        <w:rPr>
          <w:rFonts w:ascii="Times New Roman" w:hAnsi="Times New Roman" w:cs="Times New Roman"/>
          <w:sz w:val="24"/>
          <w:szCs w:val="24"/>
        </w:rPr>
        <w:t xml:space="preserve">  This is consistent with the idea that such owners have the incentives and power to make sure than the firm is efficiently run </w:t>
      </w:r>
      <w:r w:rsidR="005C523C">
        <w:rPr>
          <w:rFonts w:ascii="Times New Roman" w:hAnsi="Times New Roman" w:cs="Times New Roman"/>
          <w:sz w:val="24"/>
          <w:szCs w:val="24"/>
        </w:rPr>
        <w:t xml:space="preserve">to produce </w:t>
      </w:r>
      <w:r w:rsidR="00C2045A" w:rsidRPr="00BC68C4">
        <w:rPr>
          <w:rFonts w:ascii="Times New Roman" w:hAnsi="Times New Roman" w:cs="Times New Roman"/>
          <w:sz w:val="24"/>
          <w:szCs w:val="24"/>
        </w:rPr>
        <w:t xml:space="preserve">a high ROA.  </w:t>
      </w:r>
    </w:p>
    <w:p w14:paraId="318C1DF2" w14:textId="27400AC3" w:rsidR="00415F6D" w:rsidRPr="00BC68C4" w:rsidRDefault="00C1454E" w:rsidP="00380EAC">
      <w:pPr>
        <w:spacing w:line="480" w:lineRule="auto"/>
        <w:rPr>
          <w:rFonts w:ascii="Times New Roman" w:hAnsi="Times New Roman" w:cs="Times New Roman"/>
          <w:sz w:val="24"/>
          <w:szCs w:val="24"/>
        </w:rPr>
      </w:pPr>
      <w:r w:rsidRPr="00BC68C4">
        <w:rPr>
          <w:rFonts w:ascii="Times New Roman" w:hAnsi="Times New Roman" w:cs="Times New Roman"/>
          <w:sz w:val="24"/>
          <w:szCs w:val="24"/>
        </w:rPr>
        <w:tab/>
      </w:r>
      <w:r w:rsidR="005C523C">
        <w:rPr>
          <w:rFonts w:ascii="Times New Roman" w:hAnsi="Times New Roman" w:cs="Times New Roman"/>
          <w:sz w:val="24"/>
          <w:szCs w:val="24"/>
        </w:rPr>
        <w:t>P</w:t>
      </w:r>
      <w:r w:rsidRPr="00BC68C4">
        <w:rPr>
          <w:rFonts w:ascii="Times New Roman" w:hAnsi="Times New Roman" w:cs="Times New Roman"/>
          <w:sz w:val="24"/>
          <w:szCs w:val="24"/>
        </w:rPr>
        <w:t>revious research has indicated that the relationship between ownership and performance may be non-linear (</w:t>
      </w:r>
      <w:proofErr w:type="spellStart"/>
      <w:r w:rsidRPr="00BC68C4">
        <w:rPr>
          <w:rFonts w:ascii="Times New Roman" w:hAnsi="Times New Roman" w:cs="Times New Roman"/>
          <w:sz w:val="24"/>
          <w:szCs w:val="24"/>
        </w:rPr>
        <w:t>Morck</w:t>
      </w:r>
      <w:proofErr w:type="spellEnd"/>
      <w:r w:rsidRPr="00BC68C4">
        <w:rPr>
          <w:rFonts w:ascii="Times New Roman" w:hAnsi="Times New Roman" w:cs="Times New Roman"/>
          <w:sz w:val="24"/>
          <w:szCs w:val="24"/>
        </w:rPr>
        <w:t xml:space="preserve"> et al., 1988 and McConnell and </w:t>
      </w:r>
      <w:proofErr w:type="spellStart"/>
      <w:r w:rsidRPr="00BC68C4">
        <w:rPr>
          <w:rFonts w:ascii="Times New Roman" w:hAnsi="Times New Roman" w:cs="Times New Roman"/>
          <w:sz w:val="24"/>
          <w:szCs w:val="24"/>
        </w:rPr>
        <w:t>Serva</w:t>
      </w:r>
      <w:r w:rsidR="00B733E9" w:rsidRPr="00BC68C4">
        <w:rPr>
          <w:rFonts w:ascii="Times New Roman" w:hAnsi="Times New Roman" w:cs="Times New Roman"/>
          <w:sz w:val="24"/>
          <w:szCs w:val="24"/>
        </w:rPr>
        <w:t>es</w:t>
      </w:r>
      <w:proofErr w:type="spellEnd"/>
      <w:r w:rsidR="00B733E9" w:rsidRPr="00BC68C4">
        <w:rPr>
          <w:rFonts w:ascii="Times New Roman" w:hAnsi="Times New Roman" w:cs="Times New Roman"/>
          <w:sz w:val="24"/>
          <w:szCs w:val="24"/>
        </w:rPr>
        <w:t xml:space="preserve">, 1990), </w:t>
      </w:r>
      <w:r w:rsidR="005C523C">
        <w:rPr>
          <w:rFonts w:ascii="Times New Roman" w:hAnsi="Times New Roman" w:cs="Times New Roman"/>
          <w:sz w:val="24"/>
          <w:szCs w:val="24"/>
        </w:rPr>
        <w:t xml:space="preserve">so </w:t>
      </w:r>
      <w:r w:rsidRPr="00BC68C4">
        <w:rPr>
          <w:rFonts w:ascii="Times New Roman" w:hAnsi="Times New Roman" w:cs="Times New Roman"/>
          <w:sz w:val="24"/>
          <w:szCs w:val="24"/>
        </w:rPr>
        <w:t>we include a squared term (</w:t>
      </w:r>
      <w:proofErr w:type="spellStart"/>
      <w:r w:rsidRPr="00BC68C4">
        <w:rPr>
          <w:rFonts w:ascii="Times New Roman" w:hAnsi="Times New Roman" w:cs="Times New Roman"/>
          <w:i/>
          <w:sz w:val="24"/>
          <w:szCs w:val="24"/>
        </w:rPr>
        <w:t>ActiveBlockSq</w:t>
      </w:r>
      <w:proofErr w:type="spellEnd"/>
      <w:r w:rsidRPr="00BC68C4">
        <w:rPr>
          <w:rFonts w:ascii="Times New Roman" w:hAnsi="Times New Roman" w:cs="Times New Roman"/>
          <w:sz w:val="24"/>
          <w:szCs w:val="24"/>
        </w:rPr>
        <w:t xml:space="preserve">). The results indicate that </w:t>
      </w:r>
      <w:proofErr w:type="spellStart"/>
      <w:r w:rsidR="00B733E9" w:rsidRPr="00BC68C4">
        <w:rPr>
          <w:rFonts w:ascii="Times New Roman" w:hAnsi="Times New Roman" w:cs="Times New Roman"/>
          <w:i/>
          <w:sz w:val="24"/>
          <w:szCs w:val="24"/>
        </w:rPr>
        <w:t>ActiveBlockSq</w:t>
      </w:r>
      <w:proofErr w:type="spellEnd"/>
      <w:r w:rsidRPr="00BC68C4">
        <w:rPr>
          <w:rFonts w:ascii="Times New Roman" w:hAnsi="Times New Roman" w:cs="Times New Roman"/>
          <w:sz w:val="24"/>
          <w:szCs w:val="24"/>
        </w:rPr>
        <w:t xml:space="preserve"> is significant and negative, indicating that </w:t>
      </w:r>
      <w:r w:rsidR="00803146" w:rsidRPr="00BC68C4">
        <w:rPr>
          <w:rFonts w:ascii="Times New Roman" w:hAnsi="Times New Roman" w:cs="Times New Roman"/>
          <w:sz w:val="24"/>
          <w:szCs w:val="24"/>
        </w:rPr>
        <w:t xml:space="preserve">active </w:t>
      </w:r>
      <w:proofErr w:type="spellStart"/>
      <w:r w:rsidR="00803146" w:rsidRPr="00BC68C4">
        <w:rPr>
          <w:rFonts w:ascii="Times New Roman" w:hAnsi="Times New Roman" w:cs="Times New Roman"/>
          <w:sz w:val="24"/>
          <w:szCs w:val="24"/>
        </w:rPr>
        <w:t>blockholder</w:t>
      </w:r>
      <w:proofErr w:type="spellEnd"/>
      <w:r w:rsidR="00803146" w:rsidRPr="00BC68C4">
        <w:rPr>
          <w:rFonts w:ascii="Times New Roman" w:hAnsi="Times New Roman" w:cs="Times New Roman"/>
          <w:sz w:val="24"/>
          <w:szCs w:val="24"/>
        </w:rPr>
        <w:t xml:space="preserve"> ownership is beneficial up to a point, but may become less useful at very high levels. </w:t>
      </w:r>
      <w:r w:rsidR="00803146" w:rsidRPr="006658C5">
        <w:rPr>
          <w:rFonts w:ascii="Times New Roman" w:hAnsi="Times New Roman" w:cs="Times New Roman"/>
          <w:sz w:val="24"/>
          <w:szCs w:val="24"/>
        </w:rPr>
        <w:t>Differentiating and solving suggests that the optimum level of activ</w:t>
      </w:r>
      <w:r w:rsidR="00B733E9" w:rsidRPr="006658C5">
        <w:rPr>
          <w:rFonts w:ascii="Times New Roman" w:hAnsi="Times New Roman" w:cs="Times New Roman"/>
          <w:sz w:val="24"/>
          <w:szCs w:val="24"/>
        </w:rPr>
        <w:t xml:space="preserve">e </w:t>
      </w:r>
      <w:proofErr w:type="spellStart"/>
      <w:r w:rsidR="00B733E9" w:rsidRPr="006658C5">
        <w:rPr>
          <w:rFonts w:ascii="Times New Roman" w:hAnsi="Times New Roman" w:cs="Times New Roman"/>
          <w:sz w:val="24"/>
          <w:szCs w:val="24"/>
        </w:rPr>
        <w:t>blockholder</w:t>
      </w:r>
      <w:proofErr w:type="spellEnd"/>
      <w:r w:rsidR="00B733E9" w:rsidRPr="006658C5">
        <w:rPr>
          <w:rFonts w:ascii="Times New Roman" w:hAnsi="Times New Roman" w:cs="Times New Roman"/>
          <w:sz w:val="24"/>
          <w:szCs w:val="24"/>
        </w:rPr>
        <w:t xml:space="preserve"> ownership is </w:t>
      </w:r>
      <w:r w:rsidR="00AD76DE" w:rsidRPr="006658C5">
        <w:rPr>
          <w:rFonts w:ascii="Times New Roman" w:hAnsi="Times New Roman" w:cs="Times New Roman"/>
          <w:sz w:val="24"/>
          <w:szCs w:val="24"/>
        </w:rPr>
        <w:t>27.1</w:t>
      </w:r>
      <w:r w:rsidR="00B733E9" w:rsidRPr="006658C5">
        <w:rPr>
          <w:rFonts w:ascii="Times New Roman" w:hAnsi="Times New Roman" w:cs="Times New Roman"/>
          <w:sz w:val="24"/>
          <w:szCs w:val="24"/>
        </w:rPr>
        <w:t xml:space="preserve"> per cent</w:t>
      </w:r>
      <w:r w:rsidR="00803146" w:rsidRPr="006658C5">
        <w:rPr>
          <w:rFonts w:ascii="Times New Roman" w:hAnsi="Times New Roman" w:cs="Times New Roman"/>
          <w:sz w:val="24"/>
          <w:szCs w:val="24"/>
        </w:rPr>
        <w:t>.</w:t>
      </w:r>
      <w:r w:rsidR="006F5264" w:rsidRPr="006658C5">
        <w:rPr>
          <w:rFonts w:ascii="Times New Roman" w:hAnsi="Times New Roman" w:cs="Times New Roman"/>
          <w:sz w:val="24"/>
          <w:szCs w:val="24"/>
        </w:rPr>
        <w:t xml:space="preserve"> </w:t>
      </w:r>
      <w:r w:rsidR="000661EA" w:rsidRPr="006658C5">
        <w:rPr>
          <w:rFonts w:ascii="Times New Roman" w:hAnsi="Times New Roman" w:cs="Times New Roman"/>
          <w:sz w:val="24"/>
          <w:szCs w:val="24"/>
        </w:rPr>
        <w:t>Because</w:t>
      </w:r>
      <w:r w:rsidR="00415F6D" w:rsidRPr="006658C5">
        <w:rPr>
          <w:rFonts w:ascii="Times New Roman" w:hAnsi="Times New Roman" w:cs="Times New Roman"/>
          <w:sz w:val="24"/>
          <w:szCs w:val="24"/>
        </w:rPr>
        <w:t xml:space="preserve"> the</w:t>
      </w:r>
      <w:r w:rsidR="00415F6D" w:rsidRPr="00BC68C4">
        <w:rPr>
          <w:rFonts w:ascii="Times New Roman" w:hAnsi="Times New Roman" w:cs="Times New Roman"/>
          <w:sz w:val="24"/>
          <w:szCs w:val="24"/>
        </w:rPr>
        <w:t xml:space="preserve"> difference between voting rights and </w:t>
      </w:r>
      <w:proofErr w:type="spellStart"/>
      <w:r w:rsidR="00415F6D" w:rsidRPr="00BC68C4">
        <w:rPr>
          <w:rFonts w:ascii="Times New Roman" w:hAnsi="Times New Roman" w:cs="Times New Roman"/>
          <w:sz w:val="24"/>
          <w:szCs w:val="24"/>
        </w:rPr>
        <w:t>cashflow</w:t>
      </w:r>
      <w:proofErr w:type="spellEnd"/>
      <w:r w:rsidR="00415F6D" w:rsidRPr="00BC68C4">
        <w:rPr>
          <w:rFonts w:ascii="Times New Roman" w:hAnsi="Times New Roman" w:cs="Times New Roman"/>
          <w:sz w:val="24"/>
          <w:szCs w:val="24"/>
        </w:rPr>
        <w:t xml:space="preserve"> rights may be influential (</w:t>
      </w:r>
      <w:proofErr w:type="spellStart"/>
      <w:r w:rsidR="00415F6D" w:rsidRPr="00BC68C4">
        <w:rPr>
          <w:rFonts w:ascii="Times New Roman" w:hAnsi="Times New Roman" w:cs="Times New Roman"/>
          <w:sz w:val="24"/>
          <w:szCs w:val="24"/>
        </w:rPr>
        <w:t>Claessens</w:t>
      </w:r>
      <w:proofErr w:type="spellEnd"/>
      <w:r w:rsidR="00415F6D" w:rsidRPr="00BC68C4">
        <w:rPr>
          <w:rFonts w:ascii="Times New Roman" w:hAnsi="Times New Roman" w:cs="Times New Roman"/>
          <w:sz w:val="24"/>
          <w:szCs w:val="24"/>
        </w:rPr>
        <w:t xml:space="preserve"> et al., </w:t>
      </w:r>
      <w:r w:rsidR="00456029" w:rsidRPr="00BC68C4">
        <w:rPr>
          <w:rFonts w:ascii="Times New Roman" w:hAnsi="Times New Roman" w:cs="Times New Roman"/>
          <w:sz w:val="24"/>
          <w:szCs w:val="24"/>
        </w:rPr>
        <w:t>2002 and Gompers et al., 2009)</w:t>
      </w:r>
      <w:r w:rsidR="00F87AB3" w:rsidRPr="00BC68C4">
        <w:rPr>
          <w:rFonts w:ascii="Times New Roman" w:hAnsi="Times New Roman" w:cs="Times New Roman"/>
          <w:sz w:val="24"/>
          <w:szCs w:val="24"/>
        </w:rPr>
        <w:t>,</w:t>
      </w:r>
      <w:r w:rsidR="00693390" w:rsidRPr="00BC68C4">
        <w:rPr>
          <w:rFonts w:ascii="Times New Roman" w:hAnsi="Times New Roman" w:cs="Times New Roman"/>
          <w:sz w:val="24"/>
          <w:szCs w:val="24"/>
        </w:rPr>
        <w:t xml:space="preserve"> we include t</w:t>
      </w:r>
      <w:r w:rsidR="00415F6D" w:rsidRPr="00BC68C4">
        <w:rPr>
          <w:rFonts w:ascii="Times New Roman" w:hAnsi="Times New Roman" w:cs="Times New Roman"/>
          <w:sz w:val="24"/>
          <w:szCs w:val="24"/>
        </w:rPr>
        <w:t xml:space="preserve">he </w:t>
      </w:r>
      <w:proofErr w:type="spellStart"/>
      <w:r w:rsidR="00415F6D" w:rsidRPr="00BC68C4">
        <w:rPr>
          <w:rFonts w:ascii="Times New Roman" w:hAnsi="Times New Roman" w:cs="Times New Roman"/>
          <w:i/>
          <w:sz w:val="24"/>
          <w:szCs w:val="24"/>
        </w:rPr>
        <w:t>ActiveCashWedge</w:t>
      </w:r>
      <w:proofErr w:type="spellEnd"/>
      <w:r w:rsidR="00415F6D" w:rsidRPr="00BC68C4">
        <w:rPr>
          <w:rFonts w:ascii="Times New Roman" w:hAnsi="Times New Roman" w:cs="Times New Roman"/>
          <w:sz w:val="24"/>
          <w:szCs w:val="24"/>
        </w:rPr>
        <w:t xml:space="preserve"> variable</w:t>
      </w:r>
      <w:r w:rsidR="00693390" w:rsidRPr="00BC68C4">
        <w:rPr>
          <w:rFonts w:ascii="Times New Roman" w:hAnsi="Times New Roman" w:cs="Times New Roman"/>
          <w:sz w:val="24"/>
          <w:szCs w:val="24"/>
        </w:rPr>
        <w:t>, which</w:t>
      </w:r>
      <w:r w:rsidR="00415F6D" w:rsidRPr="00BC68C4">
        <w:rPr>
          <w:rFonts w:ascii="Times New Roman" w:hAnsi="Times New Roman" w:cs="Times New Roman"/>
          <w:sz w:val="24"/>
          <w:szCs w:val="24"/>
        </w:rPr>
        <w:t xml:space="preserve"> calculates </w:t>
      </w:r>
      <w:proofErr w:type="spellStart"/>
      <w:r w:rsidR="00693390" w:rsidRPr="00BC68C4">
        <w:rPr>
          <w:rFonts w:ascii="Times New Roman" w:hAnsi="Times New Roman" w:cs="Times New Roman"/>
          <w:sz w:val="24"/>
          <w:szCs w:val="24"/>
        </w:rPr>
        <w:t>cashflow</w:t>
      </w:r>
      <w:proofErr w:type="spellEnd"/>
      <w:r w:rsidR="00693390" w:rsidRPr="00BC68C4">
        <w:rPr>
          <w:rFonts w:ascii="Times New Roman" w:hAnsi="Times New Roman" w:cs="Times New Roman"/>
          <w:sz w:val="24"/>
          <w:szCs w:val="24"/>
        </w:rPr>
        <w:t xml:space="preserve"> rights minus voting rights for active </w:t>
      </w:r>
      <w:proofErr w:type="spellStart"/>
      <w:r w:rsidR="00693390" w:rsidRPr="00BC68C4">
        <w:rPr>
          <w:rFonts w:ascii="Times New Roman" w:hAnsi="Times New Roman" w:cs="Times New Roman"/>
          <w:sz w:val="24"/>
          <w:szCs w:val="24"/>
        </w:rPr>
        <w:t>blockholders</w:t>
      </w:r>
      <w:proofErr w:type="spellEnd"/>
      <w:r w:rsidR="005C523C">
        <w:rPr>
          <w:rFonts w:ascii="Times New Roman" w:hAnsi="Times New Roman" w:cs="Times New Roman"/>
          <w:sz w:val="24"/>
          <w:szCs w:val="24"/>
        </w:rPr>
        <w:t>.</w:t>
      </w:r>
      <w:r w:rsidR="00A94B4F">
        <w:rPr>
          <w:rFonts w:ascii="Times New Roman" w:hAnsi="Times New Roman" w:cs="Times New Roman"/>
          <w:sz w:val="24"/>
          <w:szCs w:val="24"/>
        </w:rPr>
        <w:t xml:space="preserve"> </w:t>
      </w:r>
      <w:r w:rsidR="005C523C">
        <w:rPr>
          <w:rFonts w:ascii="Times New Roman" w:hAnsi="Times New Roman" w:cs="Times New Roman"/>
          <w:sz w:val="24"/>
          <w:szCs w:val="24"/>
        </w:rPr>
        <w:t xml:space="preserve">This </w:t>
      </w:r>
      <w:r w:rsidR="00693390" w:rsidRPr="00BC68C4">
        <w:rPr>
          <w:rFonts w:ascii="Times New Roman" w:hAnsi="Times New Roman" w:cs="Times New Roman"/>
          <w:sz w:val="24"/>
          <w:szCs w:val="24"/>
        </w:rPr>
        <w:t xml:space="preserve">is not significant. In robustness regressions, reported later, we find that using capital concentration does not change </w:t>
      </w:r>
      <w:r w:rsidR="005C523C">
        <w:rPr>
          <w:rFonts w:ascii="Times New Roman" w:hAnsi="Times New Roman" w:cs="Times New Roman"/>
          <w:sz w:val="24"/>
          <w:szCs w:val="24"/>
        </w:rPr>
        <w:t xml:space="preserve">the </w:t>
      </w:r>
      <w:r w:rsidR="00693390" w:rsidRPr="00BC68C4">
        <w:rPr>
          <w:rFonts w:ascii="Times New Roman" w:hAnsi="Times New Roman" w:cs="Times New Roman"/>
          <w:sz w:val="24"/>
          <w:szCs w:val="24"/>
        </w:rPr>
        <w:t>results.</w:t>
      </w:r>
      <w:r w:rsidR="00707529" w:rsidRPr="00BC68C4">
        <w:rPr>
          <w:rFonts w:ascii="Times New Roman" w:hAnsi="Times New Roman" w:cs="Times New Roman"/>
          <w:sz w:val="24"/>
          <w:szCs w:val="24"/>
        </w:rPr>
        <w:t xml:space="preserve"> </w:t>
      </w:r>
    </w:p>
    <w:p w14:paraId="3487855C" w14:textId="778CCE3C" w:rsidR="00982467" w:rsidRDefault="00821EF1" w:rsidP="00232255">
      <w:pPr>
        <w:spacing w:line="480" w:lineRule="auto"/>
        <w:rPr>
          <w:rFonts w:ascii="Times New Roman" w:hAnsi="Times New Roman" w:cs="Times New Roman"/>
          <w:sz w:val="24"/>
          <w:szCs w:val="24"/>
        </w:rPr>
      </w:pPr>
      <w:r w:rsidRPr="00BC68C4">
        <w:rPr>
          <w:rFonts w:ascii="Times New Roman" w:hAnsi="Times New Roman" w:cs="Times New Roman"/>
          <w:sz w:val="24"/>
          <w:szCs w:val="24"/>
        </w:rPr>
        <w:tab/>
        <w:t>We go further</w:t>
      </w:r>
      <w:r w:rsidR="005C523C">
        <w:rPr>
          <w:rFonts w:ascii="Times New Roman" w:hAnsi="Times New Roman" w:cs="Times New Roman"/>
          <w:sz w:val="24"/>
          <w:szCs w:val="24"/>
        </w:rPr>
        <w:t>,</w:t>
      </w:r>
      <w:r w:rsidRPr="00BC68C4">
        <w:rPr>
          <w:rFonts w:ascii="Times New Roman" w:hAnsi="Times New Roman" w:cs="Times New Roman"/>
          <w:sz w:val="24"/>
          <w:szCs w:val="24"/>
        </w:rPr>
        <w:t xml:space="preserve"> attempting to determine whether the active </w:t>
      </w:r>
      <w:proofErr w:type="spellStart"/>
      <w:r w:rsidRPr="00BC68C4">
        <w:rPr>
          <w:rFonts w:ascii="Times New Roman" w:hAnsi="Times New Roman" w:cs="Times New Roman"/>
          <w:sz w:val="24"/>
          <w:szCs w:val="24"/>
        </w:rPr>
        <w:t>blockholders</w:t>
      </w:r>
      <w:proofErr w:type="spellEnd"/>
      <w:r w:rsidRPr="00BC68C4">
        <w:rPr>
          <w:rFonts w:ascii="Times New Roman" w:hAnsi="Times New Roman" w:cs="Times New Roman"/>
          <w:sz w:val="24"/>
          <w:szCs w:val="24"/>
        </w:rPr>
        <w:t xml:space="preserve"> were fulfilling the role of the primary manager, essentially acting </w:t>
      </w:r>
      <w:r w:rsidR="00ED6384" w:rsidRPr="00BC68C4">
        <w:rPr>
          <w:rFonts w:ascii="Times New Roman" w:hAnsi="Times New Roman" w:cs="Times New Roman"/>
          <w:sz w:val="24"/>
          <w:szCs w:val="24"/>
        </w:rPr>
        <w:t>as</w:t>
      </w:r>
      <w:r w:rsidR="00C40649" w:rsidRPr="00BC68C4">
        <w:rPr>
          <w:rFonts w:ascii="Times New Roman" w:hAnsi="Times New Roman" w:cs="Times New Roman"/>
          <w:sz w:val="24"/>
          <w:szCs w:val="24"/>
        </w:rPr>
        <w:t xml:space="preserve"> a</w:t>
      </w:r>
      <w:r w:rsidR="00ED6384" w:rsidRPr="00BC68C4">
        <w:rPr>
          <w:rFonts w:ascii="Times New Roman" w:hAnsi="Times New Roman" w:cs="Times New Roman"/>
          <w:sz w:val="24"/>
          <w:szCs w:val="24"/>
        </w:rPr>
        <w:t xml:space="preserve"> CEO.</w:t>
      </w:r>
      <w:r w:rsidR="005C523C">
        <w:rPr>
          <w:rStyle w:val="FootnoteReference"/>
          <w:rFonts w:ascii="Times New Roman" w:hAnsi="Times New Roman" w:cs="Times New Roman"/>
          <w:sz w:val="24"/>
          <w:szCs w:val="24"/>
        </w:rPr>
        <w:footnoteReference w:id="26"/>
      </w:r>
      <w:r w:rsidR="00ED6384" w:rsidRPr="00BC68C4">
        <w:rPr>
          <w:rFonts w:ascii="Times New Roman" w:hAnsi="Times New Roman" w:cs="Times New Roman"/>
          <w:sz w:val="24"/>
          <w:szCs w:val="24"/>
        </w:rPr>
        <w:t xml:space="preserve"> We assume that </w:t>
      </w:r>
      <w:r w:rsidR="00E5564C">
        <w:rPr>
          <w:rFonts w:ascii="Times New Roman" w:hAnsi="Times New Roman" w:cs="Times New Roman"/>
          <w:sz w:val="24"/>
          <w:szCs w:val="24"/>
        </w:rPr>
        <w:t xml:space="preserve">the </w:t>
      </w:r>
      <w:r w:rsidR="00ED6384" w:rsidRPr="00BC68C4">
        <w:rPr>
          <w:rFonts w:ascii="Times New Roman" w:hAnsi="Times New Roman" w:cs="Times New Roman"/>
          <w:sz w:val="24"/>
          <w:szCs w:val="24"/>
        </w:rPr>
        <w:t>Chairman fulfils the role of a modern CEO, unless another Managing Directo</w:t>
      </w:r>
      <w:r w:rsidR="00F01CD8" w:rsidRPr="00BC68C4">
        <w:rPr>
          <w:rFonts w:ascii="Times New Roman" w:hAnsi="Times New Roman" w:cs="Times New Roman"/>
          <w:sz w:val="24"/>
          <w:szCs w:val="24"/>
        </w:rPr>
        <w:t>r (MD)</w:t>
      </w:r>
      <w:r w:rsidR="00ED6384" w:rsidRPr="00BC68C4">
        <w:rPr>
          <w:rFonts w:ascii="Times New Roman" w:hAnsi="Times New Roman" w:cs="Times New Roman"/>
          <w:sz w:val="24"/>
          <w:szCs w:val="24"/>
        </w:rPr>
        <w:t xml:space="preserve"> is named</w:t>
      </w:r>
      <w:r w:rsidR="00F01CD8" w:rsidRPr="00BC68C4">
        <w:rPr>
          <w:rFonts w:ascii="Times New Roman" w:hAnsi="Times New Roman" w:cs="Times New Roman"/>
          <w:sz w:val="24"/>
          <w:szCs w:val="24"/>
        </w:rPr>
        <w:t xml:space="preserve"> in which case </w:t>
      </w:r>
      <w:r w:rsidR="005C523C">
        <w:rPr>
          <w:rFonts w:ascii="Times New Roman" w:hAnsi="Times New Roman" w:cs="Times New Roman"/>
          <w:sz w:val="24"/>
          <w:szCs w:val="24"/>
        </w:rPr>
        <w:t xml:space="preserve">that person is seen as </w:t>
      </w:r>
      <w:r w:rsidR="00F01CD8" w:rsidRPr="00BC68C4">
        <w:rPr>
          <w:rFonts w:ascii="Times New Roman" w:hAnsi="Times New Roman" w:cs="Times New Roman"/>
          <w:sz w:val="24"/>
          <w:szCs w:val="24"/>
        </w:rPr>
        <w:t>CEO</w:t>
      </w:r>
      <w:r w:rsidR="00ED6384" w:rsidRPr="00BC68C4">
        <w:rPr>
          <w:rFonts w:ascii="Times New Roman" w:hAnsi="Times New Roman" w:cs="Times New Roman"/>
          <w:sz w:val="24"/>
          <w:szCs w:val="24"/>
        </w:rPr>
        <w:t xml:space="preserve">. </w:t>
      </w:r>
      <w:r w:rsidR="00112BFB" w:rsidRPr="00BC68C4">
        <w:rPr>
          <w:rFonts w:ascii="Times New Roman" w:hAnsi="Times New Roman" w:cs="Times New Roman"/>
          <w:sz w:val="24"/>
          <w:szCs w:val="24"/>
        </w:rPr>
        <w:t>In our sample</w:t>
      </w:r>
      <w:r w:rsidR="00C40649" w:rsidRPr="00BC68C4">
        <w:rPr>
          <w:rFonts w:ascii="Times New Roman" w:hAnsi="Times New Roman" w:cs="Times New Roman"/>
          <w:sz w:val="24"/>
          <w:szCs w:val="24"/>
        </w:rPr>
        <w:t>,</w:t>
      </w:r>
      <w:r w:rsidR="00112BFB" w:rsidRPr="00BC68C4">
        <w:rPr>
          <w:rFonts w:ascii="Times New Roman" w:hAnsi="Times New Roman" w:cs="Times New Roman"/>
          <w:sz w:val="24"/>
          <w:szCs w:val="24"/>
        </w:rPr>
        <w:t xml:space="preserve"> we have 34 firm-years with active </w:t>
      </w:r>
      <w:proofErr w:type="spellStart"/>
      <w:r w:rsidR="00112BFB" w:rsidRPr="00BC68C4">
        <w:rPr>
          <w:rFonts w:ascii="Times New Roman" w:hAnsi="Times New Roman" w:cs="Times New Roman"/>
          <w:sz w:val="24"/>
          <w:szCs w:val="24"/>
        </w:rPr>
        <w:t>blockholders</w:t>
      </w:r>
      <w:proofErr w:type="spellEnd"/>
      <w:r w:rsidR="00112BFB" w:rsidRPr="00BC68C4">
        <w:rPr>
          <w:rFonts w:ascii="Times New Roman" w:hAnsi="Times New Roman" w:cs="Times New Roman"/>
          <w:sz w:val="24"/>
          <w:szCs w:val="24"/>
        </w:rPr>
        <w:t xml:space="preserve"> where either the Chairman and/or MD is named. Of these, in 18 firm-years the role of CEO was taken on by the active </w:t>
      </w:r>
      <w:proofErr w:type="spellStart"/>
      <w:r w:rsidR="00112BFB" w:rsidRPr="00BC68C4">
        <w:rPr>
          <w:rFonts w:ascii="Times New Roman" w:hAnsi="Times New Roman" w:cs="Times New Roman"/>
          <w:sz w:val="24"/>
          <w:szCs w:val="24"/>
        </w:rPr>
        <w:t>blockholder</w:t>
      </w:r>
      <w:proofErr w:type="spellEnd"/>
      <w:r w:rsidR="00112BFB" w:rsidRPr="00BC68C4">
        <w:rPr>
          <w:rFonts w:ascii="Times New Roman" w:hAnsi="Times New Roman" w:cs="Times New Roman"/>
          <w:sz w:val="24"/>
          <w:szCs w:val="24"/>
        </w:rPr>
        <w:t xml:space="preserve">. These </w:t>
      </w:r>
      <w:r w:rsidR="00A221A2" w:rsidRPr="00BC68C4">
        <w:rPr>
          <w:rFonts w:ascii="Times New Roman" w:hAnsi="Times New Roman" w:cs="Times New Roman"/>
          <w:sz w:val="24"/>
          <w:szCs w:val="24"/>
        </w:rPr>
        <w:t>could be thought of as family firms, where the largest owner was also the manager. To investigate their impact on performance</w:t>
      </w:r>
      <w:r w:rsidR="00C40649" w:rsidRPr="00BC68C4">
        <w:rPr>
          <w:rFonts w:ascii="Times New Roman" w:hAnsi="Times New Roman" w:cs="Times New Roman"/>
          <w:sz w:val="24"/>
          <w:szCs w:val="24"/>
        </w:rPr>
        <w:t>,</w:t>
      </w:r>
      <w:r w:rsidR="00A221A2" w:rsidRPr="00BC68C4">
        <w:rPr>
          <w:rFonts w:ascii="Times New Roman" w:hAnsi="Times New Roman" w:cs="Times New Roman"/>
          <w:sz w:val="24"/>
          <w:szCs w:val="24"/>
        </w:rPr>
        <w:t xml:space="preserve"> we split our </w:t>
      </w:r>
      <w:proofErr w:type="spellStart"/>
      <w:r w:rsidR="00A221A2" w:rsidRPr="00BC68C4">
        <w:rPr>
          <w:rFonts w:ascii="Times New Roman" w:hAnsi="Times New Roman" w:cs="Times New Roman"/>
          <w:i/>
          <w:sz w:val="24"/>
          <w:szCs w:val="24"/>
        </w:rPr>
        <w:t>ActiveBlock</w:t>
      </w:r>
      <w:proofErr w:type="spellEnd"/>
      <w:r w:rsidR="00A221A2" w:rsidRPr="00BC68C4">
        <w:rPr>
          <w:rFonts w:ascii="Times New Roman" w:hAnsi="Times New Roman" w:cs="Times New Roman"/>
          <w:sz w:val="24"/>
          <w:szCs w:val="24"/>
        </w:rPr>
        <w:t xml:space="preserve"> variable into two parts, </w:t>
      </w:r>
      <w:proofErr w:type="spellStart"/>
      <w:r w:rsidR="00A221A2" w:rsidRPr="00BC68C4">
        <w:rPr>
          <w:rFonts w:ascii="Times New Roman" w:hAnsi="Times New Roman" w:cs="Times New Roman"/>
          <w:i/>
          <w:sz w:val="24"/>
          <w:szCs w:val="24"/>
        </w:rPr>
        <w:t>ActiveCEOBlock</w:t>
      </w:r>
      <w:proofErr w:type="spellEnd"/>
      <w:r w:rsidR="00A221A2" w:rsidRPr="00BC68C4">
        <w:rPr>
          <w:rFonts w:ascii="Times New Roman" w:hAnsi="Times New Roman" w:cs="Times New Roman"/>
          <w:sz w:val="24"/>
          <w:szCs w:val="24"/>
        </w:rPr>
        <w:t xml:space="preserve"> and </w:t>
      </w:r>
      <w:proofErr w:type="spellStart"/>
      <w:r w:rsidR="00A221A2" w:rsidRPr="00BC68C4">
        <w:rPr>
          <w:rFonts w:ascii="Times New Roman" w:hAnsi="Times New Roman" w:cs="Times New Roman"/>
          <w:i/>
          <w:sz w:val="24"/>
          <w:szCs w:val="24"/>
        </w:rPr>
        <w:t>ActiveNotCEOBlock</w:t>
      </w:r>
      <w:proofErr w:type="spellEnd"/>
      <w:r w:rsidR="00A221A2" w:rsidRPr="00BC68C4">
        <w:rPr>
          <w:rFonts w:ascii="Times New Roman" w:hAnsi="Times New Roman" w:cs="Times New Roman"/>
          <w:sz w:val="24"/>
          <w:szCs w:val="24"/>
        </w:rPr>
        <w:t xml:space="preserve">, and re-run the regressions </w:t>
      </w:r>
      <w:r w:rsidR="005C523C">
        <w:rPr>
          <w:rFonts w:ascii="Times New Roman" w:hAnsi="Times New Roman" w:cs="Times New Roman"/>
          <w:sz w:val="24"/>
          <w:szCs w:val="24"/>
        </w:rPr>
        <w:t xml:space="preserve">(see </w:t>
      </w:r>
      <w:r w:rsidR="008348A1">
        <w:rPr>
          <w:rFonts w:ascii="Times New Roman" w:hAnsi="Times New Roman" w:cs="Times New Roman"/>
          <w:sz w:val="24"/>
          <w:szCs w:val="24"/>
        </w:rPr>
        <w:t>c</w:t>
      </w:r>
      <w:r w:rsidR="00A221A2" w:rsidRPr="00BC68C4">
        <w:rPr>
          <w:rFonts w:ascii="Times New Roman" w:hAnsi="Times New Roman" w:cs="Times New Roman"/>
          <w:sz w:val="24"/>
          <w:szCs w:val="24"/>
        </w:rPr>
        <w:t xml:space="preserve">olumn 7 of Table </w:t>
      </w:r>
      <w:r w:rsidR="005C523C">
        <w:rPr>
          <w:rFonts w:ascii="Times New Roman" w:hAnsi="Times New Roman" w:cs="Times New Roman"/>
          <w:sz w:val="24"/>
          <w:szCs w:val="24"/>
        </w:rPr>
        <w:t>6)</w:t>
      </w:r>
      <w:r w:rsidR="00093FF7">
        <w:rPr>
          <w:rFonts w:ascii="Times New Roman" w:hAnsi="Times New Roman" w:cs="Times New Roman"/>
          <w:sz w:val="24"/>
          <w:szCs w:val="24"/>
        </w:rPr>
        <w:t>.</w:t>
      </w:r>
      <w:r w:rsidR="00A221A2" w:rsidRPr="00BC68C4">
        <w:rPr>
          <w:rFonts w:ascii="Times New Roman" w:hAnsi="Times New Roman" w:cs="Times New Roman"/>
          <w:sz w:val="24"/>
          <w:szCs w:val="24"/>
        </w:rPr>
        <w:t xml:space="preserve">  We find that both have a similar positive and significant impact on ROA. </w:t>
      </w:r>
    </w:p>
    <w:p w14:paraId="26A34F22" w14:textId="77777777" w:rsidR="00AD4EBB" w:rsidRDefault="00AD4EBB" w:rsidP="00232255">
      <w:pPr>
        <w:spacing w:line="480" w:lineRule="auto"/>
        <w:rPr>
          <w:rFonts w:ascii="Times New Roman" w:hAnsi="Times New Roman" w:cs="Times New Roman"/>
          <w:sz w:val="24"/>
          <w:szCs w:val="24"/>
        </w:rPr>
      </w:pPr>
    </w:p>
    <w:p w14:paraId="492B3027" w14:textId="788890D9" w:rsidR="00982467" w:rsidRDefault="00982467" w:rsidP="00F83CDE">
      <w:pPr>
        <w:spacing w:line="480" w:lineRule="auto"/>
        <w:jc w:val="center"/>
        <w:rPr>
          <w:rFonts w:ascii="Times New Roman" w:hAnsi="Times New Roman" w:cs="Times New Roman"/>
          <w:sz w:val="24"/>
          <w:szCs w:val="24"/>
        </w:rPr>
      </w:pPr>
      <w:r w:rsidRPr="00BC68C4">
        <w:rPr>
          <w:rFonts w:ascii="Times New Roman" w:hAnsi="Times New Roman" w:cs="Times New Roman"/>
          <w:sz w:val="24"/>
          <w:szCs w:val="24"/>
        </w:rPr>
        <w:t>&lt;&lt;Insert Table</w:t>
      </w:r>
      <w:r>
        <w:rPr>
          <w:rFonts w:ascii="Times New Roman" w:hAnsi="Times New Roman" w:cs="Times New Roman"/>
          <w:sz w:val="24"/>
          <w:szCs w:val="24"/>
        </w:rPr>
        <w:t>s</w:t>
      </w:r>
      <w:r w:rsidRPr="00BC68C4">
        <w:rPr>
          <w:rFonts w:ascii="Times New Roman" w:hAnsi="Times New Roman" w:cs="Times New Roman"/>
          <w:sz w:val="24"/>
          <w:szCs w:val="24"/>
        </w:rPr>
        <w:t xml:space="preserve"> </w:t>
      </w:r>
      <w:r>
        <w:rPr>
          <w:rFonts w:ascii="Times New Roman" w:hAnsi="Times New Roman" w:cs="Times New Roman"/>
          <w:sz w:val="24"/>
          <w:szCs w:val="24"/>
        </w:rPr>
        <w:t>6 &amp; 7&gt;&gt;</w:t>
      </w:r>
    </w:p>
    <w:p w14:paraId="642450F7" w14:textId="77777777" w:rsidR="00F66996" w:rsidRPr="00BC68C4" w:rsidRDefault="00F66996" w:rsidP="00F83CDE">
      <w:pPr>
        <w:spacing w:line="480" w:lineRule="auto"/>
        <w:jc w:val="center"/>
        <w:rPr>
          <w:rFonts w:ascii="Times New Roman" w:hAnsi="Times New Roman" w:cs="Times New Roman"/>
          <w:sz w:val="24"/>
          <w:szCs w:val="24"/>
        </w:rPr>
      </w:pPr>
    </w:p>
    <w:p w14:paraId="7CCE69F6" w14:textId="5EE99821" w:rsidR="009C2788" w:rsidRPr="00BC68C4" w:rsidRDefault="00803146" w:rsidP="00344833">
      <w:pPr>
        <w:spacing w:line="480" w:lineRule="auto"/>
        <w:ind w:firstLine="720"/>
        <w:rPr>
          <w:rFonts w:ascii="Times New Roman" w:hAnsi="Times New Roman" w:cs="Times New Roman"/>
          <w:sz w:val="24"/>
          <w:szCs w:val="24"/>
        </w:rPr>
      </w:pPr>
      <w:r w:rsidRPr="00BC68C4">
        <w:rPr>
          <w:rFonts w:ascii="Times New Roman" w:hAnsi="Times New Roman" w:cs="Times New Roman"/>
          <w:sz w:val="24"/>
          <w:szCs w:val="24"/>
        </w:rPr>
        <w:t xml:space="preserve">Despite the positive impact that active </w:t>
      </w:r>
      <w:proofErr w:type="spellStart"/>
      <w:r w:rsidRPr="00BC68C4">
        <w:rPr>
          <w:rFonts w:ascii="Times New Roman" w:hAnsi="Times New Roman" w:cs="Times New Roman"/>
          <w:sz w:val="24"/>
          <w:szCs w:val="24"/>
        </w:rPr>
        <w:t>blockholders</w:t>
      </w:r>
      <w:proofErr w:type="spellEnd"/>
      <w:r w:rsidRPr="00BC68C4">
        <w:rPr>
          <w:rFonts w:ascii="Times New Roman" w:hAnsi="Times New Roman" w:cs="Times New Roman"/>
          <w:sz w:val="24"/>
          <w:szCs w:val="24"/>
        </w:rPr>
        <w:t xml:space="preserve"> have on ROA,</w:t>
      </w:r>
      <w:r w:rsidR="00466E3D" w:rsidRPr="00BC68C4">
        <w:rPr>
          <w:rFonts w:ascii="Times New Roman" w:hAnsi="Times New Roman" w:cs="Times New Roman"/>
          <w:sz w:val="24"/>
          <w:szCs w:val="24"/>
        </w:rPr>
        <w:t xml:space="preserve"> </w:t>
      </w:r>
      <w:r w:rsidR="009C2788" w:rsidRPr="00BC68C4">
        <w:rPr>
          <w:rFonts w:ascii="Times New Roman" w:hAnsi="Times New Roman" w:cs="Times New Roman"/>
          <w:sz w:val="24"/>
          <w:szCs w:val="24"/>
        </w:rPr>
        <w:t xml:space="preserve">there </w:t>
      </w:r>
      <w:r w:rsidR="00DE0851">
        <w:rPr>
          <w:rFonts w:ascii="Times New Roman" w:hAnsi="Times New Roman" w:cs="Times New Roman"/>
          <w:sz w:val="24"/>
          <w:szCs w:val="24"/>
        </w:rPr>
        <w:t xml:space="preserve">appears to be </w:t>
      </w:r>
      <w:r w:rsidR="00DC45F3" w:rsidRPr="00BC68C4">
        <w:rPr>
          <w:rFonts w:ascii="Times New Roman" w:hAnsi="Times New Roman" w:cs="Times New Roman"/>
          <w:sz w:val="24"/>
          <w:szCs w:val="24"/>
        </w:rPr>
        <w:t>an</w:t>
      </w:r>
      <w:r w:rsidR="009C2788" w:rsidRPr="00BC68C4">
        <w:rPr>
          <w:rFonts w:ascii="Times New Roman" w:hAnsi="Times New Roman" w:cs="Times New Roman"/>
          <w:sz w:val="24"/>
          <w:szCs w:val="24"/>
        </w:rPr>
        <w:t xml:space="preserve"> insignificant</w:t>
      </w:r>
      <w:r w:rsidR="00980C04" w:rsidRPr="00BC68C4">
        <w:rPr>
          <w:rFonts w:ascii="Times New Roman" w:hAnsi="Times New Roman" w:cs="Times New Roman"/>
          <w:sz w:val="24"/>
          <w:szCs w:val="24"/>
        </w:rPr>
        <w:t xml:space="preserve"> relationship between </w:t>
      </w:r>
      <w:proofErr w:type="spellStart"/>
      <w:r w:rsidR="004A56B4" w:rsidRPr="00BC68C4">
        <w:rPr>
          <w:rFonts w:ascii="Times New Roman" w:hAnsi="Times New Roman" w:cs="Times New Roman"/>
          <w:i/>
          <w:sz w:val="24"/>
          <w:szCs w:val="24"/>
        </w:rPr>
        <w:t>ActiveBlock</w:t>
      </w:r>
      <w:proofErr w:type="spellEnd"/>
      <w:r w:rsidR="009C2788" w:rsidRPr="00BC68C4">
        <w:rPr>
          <w:rFonts w:ascii="Times New Roman" w:hAnsi="Times New Roman" w:cs="Times New Roman"/>
          <w:sz w:val="24"/>
          <w:szCs w:val="24"/>
        </w:rPr>
        <w:t xml:space="preserve"> and </w:t>
      </w:r>
      <w:r w:rsidR="00D7094E" w:rsidRPr="00BC68C4">
        <w:rPr>
          <w:rFonts w:ascii="Times New Roman" w:hAnsi="Times New Roman" w:cs="Times New Roman"/>
          <w:sz w:val="24"/>
          <w:szCs w:val="24"/>
        </w:rPr>
        <w:t xml:space="preserve">Tobin’s </w:t>
      </w:r>
      <w:r w:rsidR="009C2788" w:rsidRPr="00BC68C4">
        <w:rPr>
          <w:rFonts w:ascii="Times New Roman" w:hAnsi="Times New Roman" w:cs="Times New Roman"/>
          <w:sz w:val="24"/>
          <w:szCs w:val="24"/>
        </w:rPr>
        <w:t>Q</w:t>
      </w:r>
      <w:r w:rsidRPr="00BC68C4">
        <w:rPr>
          <w:rFonts w:ascii="Times New Roman" w:hAnsi="Times New Roman" w:cs="Times New Roman"/>
          <w:sz w:val="24"/>
          <w:szCs w:val="24"/>
        </w:rPr>
        <w:t xml:space="preserve">, </w:t>
      </w:r>
      <w:r w:rsidR="00DE0851">
        <w:rPr>
          <w:rFonts w:ascii="Times New Roman" w:hAnsi="Times New Roman" w:cs="Times New Roman"/>
          <w:sz w:val="24"/>
          <w:szCs w:val="24"/>
        </w:rPr>
        <w:t>(</w:t>
      </w:r>
      <w:r w:rsidRPr="00BC68C4">
        <w:rPr>
          <w:rFonts w:ascii="Times New Roman" w:hAnsi="Times New Roman" w:cs="Times New Roman"/>
          <w:sz w:val="24"/>
          <w:szCs w:val="24"/>
        </w:rPr>
        <w:t xml:space="preserve">Table </w:t>
      </w:r>
      <w:r w:rsidR="00DE0851">
        <w:rPr>
          <w:rFonts w:ascii="Times New Roman" w:hAnsi="Times New Roman" w:cs="Times New Roman"/>
          <w:sz w:val="24"/>
          <w:szCs w:val="24"/>
        </w:rPr>
        <w:t>7)</w:t>
      </w:r>
      <w:r w:rsidR="009C2788" w:rsidRPr="00BC68C4">
        <w:rPr>
          <w:rFonts w:ascii="Times New Roman" w:hAnsi="Times New Roman" w:cs="Times New Roman"/>
          <w:sz w:val="24"/>
          <w:szCs w:val="24"/>
        </w:rPr>
        <w:t>, imply</w:t>
      </w:r>
      <w:r w:rsidR="00DE0851">
        <w:rPr>
          <w:rFonts w:ascii="Times New Roman" w:hAnsi="Times New Roman" w:cs="Times New Roman"/>
          <w:sz w:val="24"/>
          <w:szCs w:val="24"/>
        </w:rPr>
        <w:t>ing</w:t>
      </w:r>
      <w:r w:rsidR="009C2788" w:rsidRPr="00BC68C4">
        <w:rPr>
          <w:rFonts w:ascii="Times New Roman" w:hAnsi="Times New Roman" w:cs="Times New Roman"/>
          <w:sz w:val="24"/>
          <w:szCs w:val="24"/>
        </w:rPr>
        <w:t xml:space="preserve"> that minority shareholders do not value having a large </w:t>
      </w:r>
      <w:proofErr w:type="spellStart"/>
      <w:r w:rsidR="00B048F1" w:rsidRPr="00BC68C4">
        <w:rPr>
          <w:rFonts w:ascii="Times New Roman" w:hAnsi="Times New Roman" w:cs="Times New Roman"/>
          <w:sz w:val="24"/>
          <w:szCs w:val="24"/>
        </w:rPr>
        <w:t>block</w:t>
      </w:r>
      <w:r w:rsidR="009C2788" w:rsidRPr="00BC68C4">
        <w:rPr>
          <w:rFonts w:ascii="Times New Roman" w:hAnsi="Times New Roman" w:cs="Times New Roman"/>
          <w:sz w:val="24"/>
          <w:szCs w:val="24"/>
        </w:rPr>
        <w:t>holder</w:t>
      </w:r>
      <w:proofErr w:type="spellEnd"/>
      <w:r w:rsidR="009C2788" w:rsidRPr="00BC68C4">
        <w:rPr>
          <w:rFonts w:ascii="Times New Roman" w:hAnsi="Times New Roman" w:cs="Times New Roman"/>
          <w:sz w:val="24"/>
          <w:szCs w:val="24"/>
        </w:rPr>
        <w:t xml:space="preserve"> who is also a director. </w:t>
      </w:r>
      <w:r w:rsidR="00DC45F3" w:rsidRPr="00BC68C4">
        <w:rPr>
          <w:rFonts w:ascii="Times New Roman" w:hAnsi="Times New Roman" w:cs="Times New Roman"/>
          <w:sz w:val="24"/>
          <w:szCs w:val="24"/>
        </w:rPr>
        <w:t>T</w:t>
      </w:r>
      <w:r w:rsidR="00980C04" w:rsidRPr="00BC68C4">
        <w:rPr>
          <w:rFonts w:ascii="Times New Roman" w:hAnsi="Times New Roman" w:cs="Times New Roman"/>
          <w:sz w:val="24"/>
          <w:szCs w:val="24"/>
        </w:rPr>
        <w:t xml:space="preserve">he coefficient on the </w:t>
      </w:r>
      <w:proofErr w:type="spellStart"/>
      <w:r w:rsidR="004A56B4" w:rsidRPr="00BC68C4">
        <w:rPr>
          <w:rFonts w:ascii="Times New Roman" w:hAnsi="Times New Roman" w:cs="Times New Roman"/>
          <w:i/>
          <w:sz w:val="24"/>
          <w:szCs w:val="24"/>
        </w:rPr>
        <w:t>PassiveBlock</w:t>
      </w:r>
      <w:proofErr w:type="spellEnd"/>
      <w:r w:rsidR="009C2788" w:rsidRPr="00BC68C4">
        <w:rPr>
          <w:rFonts w:ascii="Times New Roman" w:hAnsi="Times New Roman" w:cs="Times New Roman"/>
          <w:sz w:val="24"/>
          <w:szCs w:val="24"/>
        </w:rPr>
        <w:t xml:space="preserve"> variable suggest</w:t>
      </w:r>
      <w:r w:rsidR="00E5564C">
        <w:rPr>
          <w:rFonts w:ascii="Times New Roman" w:hAnsi="Times New Roman" w:cs="Times New Roman"/>
          <w:sz w:val="24"/>
          <w:szCs w:val="24"/>
        </w:rPr>
        <w:t>s</w:t>
      </w:r>
      <w:r w:rsidR="009C2788" w:rsidRPr="00BC68C4">
        <w:rPr>
          <w:rFonts w:ascii="Times New Roman" w:hAnsi="Times New Roman" w:cs="Times New Roman"/>
          <w:sz w:val="24"/>
          <w:szCs w:val="24"/>
        </w:rPr>
        <w:t xml:space="preserve"> that </w:t>
      </w:r>
      <w:r w:rsidR="00DC45F3" w:rsidRPr="00BC68C4">
        <w:rPr>
          <w:rFonts w:ascii="Times New Roman" w:hAnsi="Times New Roman" w:cs="Times New Roman"/>
          <w:sz w:val="24"/>
          <w:szCs w:val="24"/>
        </w:rPr>
        <w:t xml:space="preserve">large shareholders who do not take on a monitoring role have little </w:t>
      </w:r>
      <w:r w:rsidR="00D7094E" w:rsidRPr="00BC68C4">
        <w:rPr>
          <w:rFonts w:ascii="Times New Roman" w:hAnsi="Times New Roman" w:cs="Times New Roman"/>
          <w:sz w:val="24"/>
          <w:szCs w:val="24"/>
        </w:rPr>
        <w:t>effect on performance</w:t>
      </w:r>
      <w:r w:rsidR="00DC45F3" w:rsidRPr="00BC68C4">
        <w:rPr>
          <w:rFonts w:ascii="Times New Roman" w:hAnsi="Times New Roman" w:cs="Times New Roman"/>
          <w:sz w:val="24"/>
          <w:szCs w:val="24"/>
        </w:rPr>
        <w:t xml:space="preserve"> </w:t>
      </w:r>
      <w:r w:rsidR="00D7094E" w:rsidRPr="00BC68C4">
        <w:rPr>
          <w:rFonts w:ascii="Times New Roman" w:hAnsi="Times New Roman" w:cs="Times New Roman"/>
          <w:sz w:val="24"/>
          <w:szCs w:val="24"/>
        </w:rPr>
        <w:t>or firm value</w:t>
      </w:r>
      <w:r w:rsidR="00DC45F3" w:rsidRPr="00BC68C4">
        <w:rPr>
          <w:rFonts w:ascii="Times New Roman" w:hAnsi="Times New Roman" w:cs="Times New Roman"/>
          <w:sz w:val="24"/>
          <w:szCs w:val="24"/>
        </w:rPr>
        <w:t>.</w:t>
      </w:r>
    </w:p>
    <w:p w14:paraId="3F0617A5" w14:textId="61191D31" w:rsidR="00DC45F3" w:rsidRPr="00BC68C4" w:rsidRDefault="00AD76DE" w:rsidP="00380EAC">
      <w:pPr>
        <w:spacing w:line="480" w:lineRule="auto"/>
        <w:rPr>
          <w:rFonts w:ascii="Times New Roman" w:hAnsi="Times New Roman" w:cs="Times New Roman"/>
          <w:sz w:val="24"/>
          <w:szCs w:val="24"/>
        </w:rPr>
      </w:pPr>
      <w:r>
        <w:rPr>
          <w:rFonts w:ascii="Times New Roman" w:hAnsi="Times New Roman" w:cs="Times New Roman"/>
          <w:sz w:val="24"/>
          <w:szCs w:val="24"/>
        </w:rPr>
        <w:tab/>
      </w:r>
      <w:r w:rsidR="00DE0851">
        <w:rPr>
          <w:rFonts w:ascii="Times New Roman" w:hAnsi="Times New Roman" w:cs="Times New Roman"/>
          <w:sz w:val="24"/>
          <w:szCs w:val="24"/>
        </w:rPr>
        <w:t xml:space="preserve">Having directors who are not </w:t>
      </w:r>
      <w:proofErr w:type="spellStart"/>
      <w:r w:rsidR="00DE0851">
        <w:rPr>
          <w:rFonts w:ascii="Times New Roman" w:hAnsi="Times New Roman" w:cs="Times New Roman"/>
          <w:sz w:val="24"/>
          <w:szCs w:val="24"/>
        </w:rPr>
        <w:t>blockholders</w:t>
      </w:r>
      <w:proofErr w:type="spellEnd"/>
      <w:r w:rsidR="00DE0851">
        <w:rPr>
          <w:rFonts w:ascii="Times New Roman" w:hAnsi="Times New Roman" w:cs="Times New Roman"/>
          <w:sz w:val="24"/>
          <w:szCs w:val="24"/>
        </w:rPr>
        <w:t xml:space="preserve"> (</w:t>
      </w:r>
      <w:proofErr w:type="spellStart"/>
      <w:r w:rsidR="004A56B4" w:rsidRPr="00BC68C4">
        <w:rPr>
          <w:rFonts w:ascii="Times New Roman" w:hAnsi="Times New Roman" w:cs="Times New Roman"/>
          <w:i/>
          <w:sz w:val="24"/>
          <w:szCs w:val="24"/>
        </w:rPr>
        <w:t>DirOnlyNum</w:t>
      </w:r>
      <w:proofErr w:type="spellEnd"/>
      <w:r w:rsidR="00DE0851">
        <w:rPr>
          <w:rFonts w:ascii="Times New Roman" w:hAnsi="Times New Roman" w:cs="Times New Roman"/>
          <w:i/>
          <w:sz w:val="24"/>
          <w:szCs w:val="24"/>
        </w:rPr>
        <w:t>)</w:t>
      </w:r>
      <w:r w:rsidR="00080705" w:rsidRPr="00BC68C4">
        <w:rPr>
          <w:rFonts w:ascii="Times New Roman" w:hAnsi="Times New Roman" w:cs="Times New Roman"/>
          <w:sz w:val="24"/>
          <w:szCs w:val="24"/>
        </w:rPr>
        <w:t xml:space="preserve"> has </w:t>
      </w:r>
      <w:r w:rsidR="00DC45F3" w:rsidRPr="00BC68C4">
        <w:rPr>
          <w:rFonts w:ascii="Times New Roman" w:hAnsi="Times New Roman" w:cs="Times New Roman"/>
          <w:sz w:val="24"/>
          <w:szCs w:val="24"/>
        </w:rPr>
        <w:t xml:space="preserve">no </w:t>
      </w:r>
      <w:r w:rsidR="00F87AB3" w:rsidRPr="00BC68C4">
        <w:rPr>
          <w:rFonts w:ascii="Times New Roman" w:hAnsi="Times New Roman" w:cs="Times New Roman"/>
          <w:sz w:val="24"/>
          <w:szCs w:val="24"/>
        </w:rPr>
        <w:t>effect</w:t>
      </w:r>
      <w:r w:rsidR="00DC45F3" w:rsidRPr="00BC68C4">
        <w:rPr>
          <w:rFonts w:ascii="Times New Roman" w:hAnsi="Times New Roman" w:cs="Times New Roman"/>
          <w:sz w:val="24"/>
          <w:szCs w:val="24"/>
        </w:rPr>
        <w:t xml:space="preserve"> on ROA, but </w:t>
      </w:r>
      <w:r w:rsidR="00F87AB3" w:rsidRPr="00BC68C4">
        <w:rPr>
          <w:rFonts w:ascii="Times New Roman" w:hAnsi="Times New Roman" w:cs="Times New Roman"/>
          <w:sz w:val="24"/>
          <w:szCs w:val="24"/>
        </w:rPr>
        <w:t xml:space="preserve">it </w:t>
      </w:r>
      <w:r w:rsidR="00DC45F3" w:rsidRPr="00BC68C4">
        <w:rPr>
          <w:rFonts w:ascii="Times New Roman" w:hAnsi="Times New Roman" w:cs="Times New Roman"/>
          <w:sz w:val="24"/>
          <w:szCs w:val="24"/>
        </w:rPr>
        <w:t xml:space="preserve">has </w:t>
      </w:r>
      <w:r w:rsidR="00080705" w:rsidRPr="00BC68C4">
        <w:rPr>
          <w:rFonts w:ascii="Times New Roman" w:hAnsi="Times New Roman" w:cs="Times New Roman"/>
          <w:sz w:val="24"/>
          <w:szCs w:val="24"/>
        </w:rPr>
        <w:t xml:space="preserve">a positive and significant </w:t>
      </w:r>
      <w:r w:rsidR="00F87AB3" w:rsidRPr="00BC68C4">
        <w:rPr>
          <w:rFonts w:ascii="Times New Roman" w:hAnsi="Times New Roman" w:cs="Times New Roman"/>
          <w:sz w:val="24"/>
          <w:szCs w:val="24"/>
        </w:rPr>
        <w:t>effect</w:t>
      </w:r>
      <w:r w:rsidR="00DC45F3" w:rsidRPr="00BC68C4">
        <w:rPr>
          <w:rFonts w:ascii="Times New Roman" w:hAnsi="Times New Roman" w:cs="Times New Roman"/>
          <w:sz w:val="24"/>
          <w:szCs w:val="24"/>
        </w:rPr>
        <w:t xml:space="preserve"> on Tobin’s Q</w:t>
      </w:r>
      <w:r w:rsidR="00080705" w:rsidRPr="00BC68C4">
        <w:rPr>
          <w:rFonts w:ascii="Times New Roman" w:hAnsi="Times New Roman" w:cs="Times New Roman"/>
          <w:sz w:val="24"/>
          <w:szCs w:val="24"/>
        </w:rPr>
        <w:t xml:space="preserve">, which implies that </w:t>
      </w:r>
      <w:r w:rsidR="00D81EFF" w:rsidRPr="00BC68C4">
        <w:rPr>
          <w:rFonts w:ascii="Times New Roman" w:hAnsi="Times New Roman" w:cs="Times New Roman"/>
          <w:sz w:val="24"/>
          <w:szCs w:val="24"/>
        </w:rPr>
        <w:t xml:space="preserve">the </w:t>
      </w:r>
      <w:r w:rsidR="00080705" w:rsidRPr="00BC68C4">
        <w:rPr>
          <w:rFonts w:ascii="Times New Roman" w:hAnsi="Times New Roman" w:cs="Times New Roman"/>
          <w:sz w:val="24"/>
          <w:szCs w:val="24"/>
        </w:rPr>
        <w:t xml:space="preserve">number of directors who are not </w:t>
      </w:r>
      <w:proofErr w:type="spellStart"/>
      <w:r w:rsidR="00B048F1" w:rsidRPr="00BC68C4">
        <w:rPr>
          <w:rFonts w:ascii="Times New Roman" w:hAnsi="Times New Roman" w:cs="Times New Roman"/>
          <w:sz w:val="24"/>
          <w:szCs w:val="24"/>
        </w:rPr>
        <w:t>block</w:t>
      </w:r>
      <w:r w:rsidR="00080705" w:rsidRPr="00BC68C4">
        <w:rPr>
          <w:rFonts w:ascii="Times New Roman" w:hAnsi="Times New Roman" w:cs="Times New Roman"/>
          <w:sz w:val="24"/>
          <w:szCs w:val="24"/>
        </w:rPr>
        <w:t>holders</w:t>
      </w:r>
      <w:proofErr w:type="spellEnd"/>
      <w:r w:rsidR="00080705" w:rsidRPr="00BC68C4">
        <w:rPr>
          <w:rFonts w:ascii="Times New Roman" w:hAnsi="Times New Roman" w:cs="Times New Roman"/>
          <w:sz w:val="24"/>
          <w:szCs w:val="24"/>
        </w:rPr>
        <w:t xml:space="preserve"> matters.  </w:t>
      </w:r>
      <w:r w:rsidR="00844BAA" w:rsidRPr="00BC68C4">
        <w:rPr>
          <w:rFonts w:ascii="Times New Roman" w:hAnsi="Times New Roman" w:cs="Times New Roman"/>
          <w:sz w:val="24"/>
          <w:szCs w:val="24"/>
        </w:rPr>
        <w:t xml:space="preserve">The size of the coefficient implies that adding one more independent director increases Tobin’s Q by </w:t>
      </w:r>
      <w:r>
        <w:rPr>
          <w:rFonts w:ascii="Times New Roman" w:hAnsi="Times New Roman" w:cs="Times New Roman"/>
          <w:sz w:val="24"/>
          <w:szCs w:val="24"/>
        </w:rPr>
        <w:t xml:space="preserve">about </w:t>
      </w:r>
      <w:r w:rsidR="006A2489" w:rsidRPr="00BC68C4">
        <w:rPr>
          <w:rFonts w:ascii="Times New Roman" w:hAnsi="Times New Roman" w:cs="Times New Roman"/>
          <w:sz w:val="24"/>
          <w:szCs w:val="24"/>
        </w:rPr>
        <w:t>0.03</w:t>
      </w:r>
      <w:r w:rsidR="00B06A02">
        <w:rPr>
          <w:rFonts w:ascii="Times New Roman" w:hAnsi="Times New Roman" w:cs="Times New Roman"/>
          <w:sz w:val="24"/>
          <w:szCs w:val="24"/>
        </w:rPr>
        <w:t xml:space="preserve"> (See T</w:t>
      </w:r>
      <w:r w:rsidR="00DE0851">
        <w:rPr>
          <w:rFonts w:ascii="Times New Roman" w:hAnsi="Times New Roman" w:cs="Times New Roman"/>
          <w:sz w:val="24"/>
          <w:szCs w:val="24"/>
        </w:rPr>
        <w:t>able 7)</w:t>
      </w:r>
      <w:r w:rsidR="00093FF7">
        <w:rPr>
          <w:rFonts w:ascii="Times New Roman" w:hAnsi="Times New Roman" w:cs="Times New Roman"/>
          <w:sz w:val="24"/>
          <w:szCs w:val="24"/>
        </w:rPr>
        <w:t>.</w:t>
      </w:r>
      <w:r w:rsidR="006A2489" w:rsidRPr="00BC68C4">
        <w:rPr>
          <w:rFonts w:ascii="Times New Roman" w:hAnsi="Times New Roman" w:cs="Times New Roman"/>
          <w:sz w:val="24"/>
          <w:szCs w:val="24"/>
        </w:rPr>
        <w:t xml:space="preserve"> This would imply that a company which started with the average Tobin’s Q of 0.94 could increase it to 0.97, </w:t>
      </w:r>
      <w:r w:rsidR="0051238E" w:rsidRPr="00BC68C4">
        <w:rPr>
          <w:rFonts w:ascii="Times New Roman" w:hAnsi="Times New Roman" w:cs="Times New Roman"/>
          <w:sz w:val="24"/>
          <w:szCs w:val="24"/>
        </w:rPr>
        <w:t>meaning that firm value would rise by about 3.</w:t>
      </w:r>
      <w:r>
        <w:rPr>
          <w:rFonts w:ascii="Times New Roman" w:hAnsi="Times New Roman" w:cs="Times New Roman"/>
          <w:sz w:val="24"/>
          <w:szCs w:val="24"/>
        </w:rPr>
        <w:t>2</w:t>
      </w:r>
      <w:r w:rsidR="0051238E" w:rsidRPr="00BC68C4">
        <w:rPr>
          <w:rFonts w:ascii="Times New Roman" w:hAnsi="Times New Roman" w:cs="Times New Roman"/>
          <w:sz w:val="24"/>
          <w:szCs w:val="24"/>
        </w:rPr>
        <w:t xml:space="preserve"> per cent by adding another independent director. </w:t>
      </w:r>
      <w:r w:rsidR="00080705" w:rsidRPr="00BC68C4">
        <w:rPr>
          <w:rFonts w:ascii="Times New Roman" w:hAnsi="Times New Roman" w:cs="Times New Roman"/>
          <w:sz w:val="24"/>
          <w:szCs w:val="24"/>
        </w:rPr>
        <w:t xml:space="preserve">This finding is consistent with the view that </w:t>
      </w:r>
      <w:r w:rsidR="00267BA8" w:rsidRPr="00BC68C4">
        <w:rPr>
          <w:rFonts w:ascii="Times New Roman" w:hAnsi="Times New Roman" w:cs="Times New Roman"/>
          <w:sz w:val="24"/>
          <w:szCs w:val="24"/>
        </w:rPr>
        <w:t xml:space="preserve">an independent </w:t>
      </w:r>
      <w:r w:rsidR="00080705" w:rsidRPr="00BC68C4">
        <w:rPr>
          <w:rFonts w:ascii="Times New Roman" w:hAnsi="Times New Roman" w:cs="Times New Roman"/>
          <w:sz w:val="24"/>
          <w:szCs w:val="24"/>
        </w:rPr>
        <w:t xml:space="preserve">board may play a role in constraining large </w:t>
      </w:r>
      <w:proofErr w:type="spellStart"/>
      <w:r w:rsidR="00B048F1" w:rsidRPr="00BC68C4">
        <w:rPr>
          <w:rFonts w:ascii="Times New Roman" w:hAnsi="Times New Roman" w:cs="Times New Roman"/>
          <w:sz w:val="24"/>
          <w:szCs w:val="24"/>
        </w:rPr>
        <w:t>block</w:t>
      </w:r>
      <w:r w:rsidR="00080705" w:rsidRPr="00BC68C4">
        <w:rPr>
          <w:rFonts w:ascii="Times New Roman" w:hAnsi="Times New Roman" w:cs="Times New Roman"/>
          <w:sz w:val="24"/>
          <w:szCs w:val="24"/>
        </w:rPr>
        <w:t>holders</w:t>
      </w:r>
      <w:proofErr w:type="spellEnd"/>
      <w:r w:rsidR="00080705" w:rsidRPr="00BC68C4">
        <w:rPr>
          <w:rFonts w:ascii="Times New Roman" w:hAnsi="Times New Roman" w:cs="Times New Roman"/>
          <w:sz w:val="24"/>
          <w:szCs w:val="24"/>
        </w:rPr>
        <w:t xml:space="preserve"> from expropriating small shareholders.</w:t>
      </w:r>
      <w:r w:rsidR="00D26A65" w:rsidRPr="00BC68C4">
        <w:rPr>
          <w:rFonts w:ascii="Times New Roman" w:hAnsi="Times New Roman" w:cs="Times New Roman"/>
          <w:sz w:val="24"/>
          <w:szCs w:val="24"/>
        </w:rPr>
        <w:t xml:space="preserve"> </w:t>
      </w:r>
    </w:p>
    <w:p w14:paraId="3C6C50C6" w14:textId="2C2A5459" w:rsidR="00D26A65" w:rsidRPr="00BC68C4" w:rsidRDefault="00D26A65" w:rsidP="00380EAC">
      <w:pPr>
        <w:spacing w:line="480" w:lineRule="auto"/>
        <w:rPr>
          <w:rFonts w:ascii="Times New Roman" w:hAnsi="Times New Roman" w:cs="Times New Roman"/>
          <w:sz w:val="24"/>
          <w:szCs w:val="24"/>
        </w:rPr>
      </w:pPr>
      <w:r w:rsidRPr="00BC68C4">
        <w:rPr>
          <w:rFonts w:ascii="Times New Roman" w:hAnsi="Times New Roman" w:cs="Times New Roman"/>
          <w:sz w:val="24"/>
          <w:szCs w:val="24"/>
        </w:rPr>
        <w:tab/>
        <w:t xml:space="preserve">We also reformulate our </w:t>
      </w:r>
      <w:proofErr w:type="spellStart"/>
      <w:r w:rsidRPr="00BC68C4">
        <w:rPr>
          <w:rFonts w:ascii="Times New Roman" w:hAnsi="Times New Roman" w:cs="Times New Roman"/>
          <w:i/>
          <w:sz w:val="24"/>
          <w:szCs w:val="24"/>
        </w:rPr>
        <w:t>DirOnlyNum</w:t>
      </w:r>
      <w:proofErr w:type="spellEnd"/>
      <w:r w:rsidRPr="00BC68C4">
        <w:rPr>
          <w:rFonts w:ascii="Times New Roman" w:hAnsi="Times New Roman" w:cs="Times New Roman"/>
          <w:sz w:val="24"/>
          <w:szCs w:val="24"/>
        </w:rPr>
        <w:t xml:space="preserve"> </w:t>
      </w:r>
      <w:r w:rsidR="001360F6" w:rsidRPr="00BC68C4">
        <w:rPr>
          <w:rFonts w:ascii="Times New Roman" w:hAnsi="Times New Roman" w:cs="Times New Roman"/>
          <w:sz w:val="24"/>
          <w:szCs w:val="24"/>
        </w:rPr>
        <w:t>variable</w:t>
      </w:r>
      <w:r w:rsidRPr="00BC68C4">
        <w:rPr>
          <w:rFonts w:ascii="Times New Roman" w:hAnsi="Times New Roman" w:cs="Times New Roman"/>
          <w:sz w:val="24"/>
          <w:szCs w:val="24"/>
        </w:rPr>
        <w:t xml:space="preserve"> into two parts, with variables for both the total number of directors </w:t>
      </w:r>
      <w:r w:rsidR="001360F6" w:rsidRPr="00BC68C4">
        <w:rPr>
          <w:rFonts w:ascii="Times New Roman" w:hAnsi="Times New Roman" w:cs="Times New Roman"/>
          <w:sz w:val="24"/>
          <w:szCs w:val="24"/>
        </w:rPr>
        <w:t>(</w:t>
      </w:r>
      <w:proofErr w:type="spellStart"/>
      <w:r w:rsidR="001360F6" w:rsidRPr="00BC68C4">
        <w:rPr>
          <w:rFonts w:ascii="Times New Roman" w:hAnsi="Times New Roman" w:cs="Times New Roman"/>
          <w:i/>
          <w:sz w:val="24"/>
          <w:szCs w:val="24"/>
        </w:rPr>
        <w:t>NumDir</w:t>
      </w:r>
      <w:proofErr w:type="spellEnd"/>
      <w:r w:rsidR="001360F6" w:rsidRPr="00BC68C4">
        <w:rPr>
          <w:rFonts w:ascii="Times New Roman" w:hAnsi="Times New Roman" w:cs="Times New Roman"/>
          <w:sz w:val="24"/>
          <w:szCs w:val="24"/>
        </w:rPr>
        <w:t xml:space="preserve">) </w:t>
      </w:r>
      <w:r w:rsidRPr="00BC68C4">
        <w:rPr>
          <w:rFonts w:ascii="Times New Roman" w:hAnsi="Times New Roman" w:cs="Times New Roman"/>
          <w:sz w:val="24"/>
          <w:szCs w:val="24"/>
        </w:rPr>
        <w:t>and the proportion of the board wh</w:t>
      </w:r>
      <w:r w:rsidR="00DE0851">
        <w:rPr>
          <w:rFonts w:ascii="Times New Roman" w:hAnsi="Times New Roman" w:cs="Times New Roman"/>
          <w:sz w:val="24"/>
          <w:szCs w:val="24"/>
        </w:rPr>
        <w:t>o</w:t>
      </w:r>
      <w:r w:rsidRPr="00BC68C4">
        <w:rPr>
          <w:rFonts w:ascii="Times New Roman" w:hAnsi="Times New Roman" w:cs="Times New Roman"/>
          <w:sz w:val="24"/>
          <w:szCs w:val="24"/>
        </w:rPr>
        <w:t xml:space="preserve"> are active </w:t>
      </w:r>
      <w:proofErr w:type="spellStart"/>
      <w:r w:rsidRPr="00BC68C4">
        <w:rPr>
          <w:rFonts w:ascii="Times New Roman" w:hAnsi="Times New Roman" w:cs="Times New Roman"/>
          <w:sz w:val="24"/>
          <w:szCs w:val="24"/>
        </w:rPr>
        <w:t>blockholders</w:t>
      </w:r>
      <w:proofErr w:type="spellEnd"/>
      <w:r w:rsidR="001360F6" w:rsidRPr="00BC68C4">
        <w:rPr>
          <w:rFonts w:ascii="Times New Roman" w:hAnsi="Times New Roman" w:cs="Times New Roman"/>
          <w:sz w:val="24"/>
          <w:szCs w:val="24"/>
        </w:rPr>
        <w:t xml:space="preserve"> (</w:t>
      </w:r>
      <w:proofErr w:type="spellStart"/>
      <w:r w:rsidR="00311531" w:rsidRPr="00BC68C4">
        <w:rPr>
          <w:rFonts w:ascii="Times New Roman" w:hAnsi="Times New Roman" w:cs="Times New Roman"/>
          <w:i/>
          <w:sz w:val="24"/>
          <w:szCs w:val="24"/>
        </w:rPr>
        <w:t>PropDir</w:t>
      </w:r>
      <w:r w:rsidR="001360F6" w:rsidRPr="00BC68C4">
        <w:rPr>
          <w:rFonts w:ascii="Times New Roman" w:hAnsi="Times New Roman" w:cs="Times New Roman"/>
          <w:i/>
          <w:sz w:val="24"/>
          <w:szCs w:val="24"/>
        </w:rPr>
        <w:t>Block</w:t>
      </w:r>
      <w:proofErr w:type="spellEnd"/>
      <w:r w:rsidR="001360F6" w:rsidRPr="00BC68C4">
        <w:rPr>
          <w:rFonts w:ascii="Times New Roman" w:hAnsi="Times New Roman" w:cs="Times New Roman"/>
          <w:sz w:val="24"/>
          <w:szCs w:val="24"/>
        </w:rPr>
        <w:t>)</w:t>
      </w:r>
      <w:r w:rsidRPr="00BC68C4">
        <w:rPr>
          <w:rFonts w:ascii="Times New Roman" w:hAnsi="Times New Roman" w:cs="Times New Roman"/>
          <w:sz w:val="24"/>
          <w:szCs w:val="24"/>
        </w:rPr>
        <w:t xml:space="preserve">. This approach may suffer from a multi-collinearity problem </w:t>
      </w:r>
      <w:r w:rsidR="001360F6" w:rsidRPr="00BC68C4">
        <w:rPr>
          <w:rFonts w:ascii="Times New Roman" w:hAnsi="Times New Roman" w:cs="Times New Roman"/>
          <w:sz w:val="24"/>
          <w:szCs w:val="24"/>
        </w:rPr>
        <w:t xml:space="preserve">as </w:t>
      </w:r>
      <w:r w:rsidR="00DE0851">
        <w:rPr>
          <w:rFonts w:ascii="Times New Roman" w:hAnsi="Times New Roman" w:cs="Times New Roman"/>
          <w:sz w:val="24"/>
          <w:szCs w:val="24"/>
        </w:rPr>
        <w:t xml:space="preserve">the </w:t>
      </w:r>
      <w:r w:rsidRPr="00BC68C4">
        <w:rPr>
          <w:rFonts w:ascii="Times New Roman" w:hAnsi="Times New Roman" w:cs="Times New Roman"/>
          <w:sz w:val="24"/>
          <w:szCs w:val="24"/>
        </w:rPr>
        <w:t xml:space="preserve">correlation between </w:t>
      </w:r>
      <w:proofErr w:type="spellStart"/>
      <w:r w:rsidRPr="00BC68C4">
        <w:rPr>
          <w:rFonts w:ascii="Times New Roman" w:hAnsi="Times New Roman" w:cs="Times New Roman"/>
          <w:i/>
          <w:sz w:val="24"/>
          <w:szCs w:val="24"/>
        </w:rPr>
        <w:t>ActiveBlock</w:t>
      </w:r>
      <w:proofErr w:type="spellEnd"/>
      <w:r w:rsidRPr="00BC68C4">
        <w:rPr>
          <w:rFonts w:ascii="Times New Roman" w:hAnsi="Times New Roman" w:cs="Times New Roman"/>
          <w:sz w:val="24"/>
          <w:szCs w:val="24"/>
        </w:rPr>
        <w:t xml:space="preserve"> and</w:t>
      </w:r>
      <w:r w:rsidR="001360F6" w:rsidRPr="00BC68C4">
        <w:rPr>
          <w:rFonts w:ascii="Times New Roman" w:hAnsi="Times New Roman" w:cs="Times New Roman"/>
          <w:sz w:val="24"/>
          <w:szCs w:val="24"/>
        </w:rPr>
        <w:t xml:space="preserve"> </w:t>
      </w:r>
      <w:proofErr w:type="spellStart"/>
      <w:r w:rsidR="00311531" w:rsidRPr="00E205C6">
        <w:rPr>
          <w:rFonts w:ascii="Times New Roman" w:hAnsi="Times New Roman" w:cs="Times New Roman"/>
          <w:i/>
          <w:sz w:val="24"/>
          <w:szCs w:val="24"/>
        </w:rPr>
        <w:t>PropDir</w:t>
      </w:r>
      <w:r w:rsidR="00E205C6" w:rsidRPr="00E205C6">
        <w:rPr>
          <w:rFonts w:ascii="Times New Roman" w:hAnsi="Times New Roman" w:cs="Times New Roman"/>
          <w:i/>
          <w:sz w:val="24"/>
          <w:szCs w:val="24"/>
        </w:rPr>
        <w:t>ectors</w:t>
      </w:r>
      <w:r w:rsidR="001360F6" w:rsidRPr="00E205C6">
        <w:rPr>
          <w:rFonts w:ascii="Times New Roman" w:hAnsi="Times New Roman" w:cs="Times New Roman"/>
          <w:i/>
          <w:sz w:val="24"/>
          <w:szCs w:val="24"/>
        </w:rPr>
        <w:t>Block</w:t>
      </w:r>
      <w:proofErr w:type="spellEnd"/>
      <w:r w:rsidR="00DE0851" w:rsidRPr="00C254B2">
        <w:rPr>
          <w:rFonts w:ascii="Times New Roman" w:hAnsi="Times New Roman" w:cs="Times New Roman"/>
          <w:sz w:val="24"/>
          <w:szCs w:val="24"/>
        </w:rPr>
        <w:t xml:space="preserve"> is 0.857</w:t>
      </w:r>
      <w:r w:rsidR="00DE0851" w:rsidRPr="00E205C6">
        <w:rPr>
          <w:rFonts w:ascii="Times New Roman" w:hAnsi="Times New Roman" w:cs="Times New Roman"/>
          <w:sz w:val="24"/>
          <w:szCs w:val="24"/>
        </w:rPr>
        <w:t>.</w:t>
      </w:r>
      <w:r w:rsidRPr="00BC68C4">
        <w:rPr>
          <w:rFonts w:ascii="Times New Roman" w:hAnsi="Times New Roman" w:cs="Times New Roman"/>
          <w:sz w:val="24"/>
          <w:szCs w:val="24"/>
        </w:rPr>
        <w:t xml:space="preserve"> The iss</w:t>
      </w:r>
      <w:r w:rsidR="001360F6" w:rsidRPr="00BC68C4">
        <w:rPr>
          <w:rFonts w:ascii="Times New Roman" w:hAnsi="Times New Roman" w:cs="Times New Roman"/>
          <w:sz w:val="24"/>
          <w:szCs w:val="24"/>
        </w:rPr>
        <w:t xml:space="preserve">ue </w:t>
      </w:r>
      <w:r w:rsidR="00DE0851">
        <w:rPr>
          <w:rFonts w:ascii="Times New Roman" w:hAnsi="Times New Roman" w:cs="Times New Roman"/>
          <w:sz w:val="24"/>
          <w:szCs w:val="24"/>
        </w:rPr>
        <w:t xml:space="preserve">is similar </w:t>
      </w:r>
      <w:r w:rsidR="001360F6" w:rsidRPr="00BC68C4">
        <w:rPr>
          <w:rFonts w:ascii="Times New Roman" w:hAnsi="Times New Roman" w:cs="Times New Roman"/>
          <w:sz w:val="24"/>
          <w:szCs w:val="24"/>
        </w:rPr>
        <w:t xml:space="preserve">if we </w:t>
      </w:r>
      <w:r w:rsidR="00DE0851">
        <w:rPr>
          <w:rFonts w:ascii="Times New Roman" w:hAnsi="Times New Roman" w:cs="Times New Roman"/>
          <w:sz w:val="24"/>
          <w:szCs w:val="24"/>
        </w:rPr>
        <w:t xml:space="preserve">use </w:t>
      </w:r>
      <w:r w:rsidR="001360F6" w:rsidRPr="00BC68C4">
        <w:rPr>
          <w:rFonts w:ascii="Times New Roman" w:hAnsi="Times New Roman" w:cs="Times New Roman"/>
          <w:sz w:val="24"/>
          <w:szCs w:val="24"/>
        </w:rPr>
        <w:t>the p</w:t>
      </w:r>
      <w:r w:rsidRPr="00BC68C4">
        <w:rPr>
          <w:rFonts w:ascii="Times New Roman" w:hAnsi="Times New Roman" w:cs="Times New Roman"/>
          <w:sz w:val="24"/>
          <w:szCs w:val="24"/>
        </w:rPr>
        <w:t>roportion of dir</w:t>
      </w:r>
      <w:r w:rsidR="001360F6" w:rsidRPr="00BC68C4">
        <w:rPr>
          <w:rFonts w:ascii="Times New Roman" w:hAnsi="Times New Roman" w:cs="Times New Roman"/>
          <w:sz w:val="24"/>
          <w:szCs w:val="24"/>
        </w:rPr>
        <w:t xml:space="preserve">ectors who are not </w:t>
      </w:r>
      <w:proofErr w:type="spellStart"/>
      <w:r w:rsidR="001360F6" w:rsidRPr="00BC68C4">
        <w:rPr>
          <w:rFonts w:ascii="Times New Roman" w:hAnsi="Times New Roman" w:cs="Times New Roman"/>
          <w:sz w:val="24"/>
          <w:szCs w:val="24"/>
        </w:rPr>
        <w:t>blockholders</w:t>
      </w:r>
      <w:proofErr w:type="spellEnd"/>
      <w:r w:rsidRPr="00BC68C4">
        <w:rPr>
          <w:rFonts w:ascii="Times New Roman" w:hAnsi="Times New Roman" w:cs="Times New Roman"/>
          <w:sz w:val="24"/>
          <w:szCs w:val="24"/>
        </w:rPr>
        <w:t>, just the direct</w:t>
      </w:r>
      <w:r w:rsidR="001360F6" w:rsidRPr="00BC68C4">
        <w:rPr>
          <w:rFonts w:ascii="Times New Roman" w:hAnsi="Times New Roman" w:cs="Times New Roman"/>
          <w:sz w:val="24"/>
          <w:szCs w:val="24"/>
        </w:rPr>
        <w:t xml:space="preserve">ion of correlation is reversed. The results suggest </w:t>
      </w:r>
      <w:r w:rsidR="00DE0851">
        <w:rPr>
          <w:rFonts w:ascii="Times New Roman" w:hAnsi="Times New Roman" w:cs="Times New Roman"/>
          <w:sz w:val="24"/>
          <w:szCs w:val="24"/>
        </w:rPr>
        <w:t xml:space="preserve">again </w:t>
      </w:r>
      <w:r w:rsidR="001360F6" w:rsidRPr="00BC68C4">
        <w:rPr>
          <w:rFonts w:ascii="Times New Roman" w:hAnsi="Times New Roman" w:cs="Times New Roman"/>
          <w:sz w:val="24"/>
          <w:szCs w:val="24"/>
        </w:rPr>
        <w:t>that having a great</w:t>
      </w:r>
      <w:r w:rsidR="00A35DF4" w:rsidRPr="00BC68C4">
        <w:rPr>
          <w:rFonts w:ascii="Times New Roman" w:hAnsi="Times New Roman" w:cs="Times New Roman"/>
          <w:sz w:val="24"/>
          <w:szCs w:val="24"/>
        </w:rPr>
        <w:t>er</w:t>
      </w:r>
      <w:r w:rsidR="001360F6" w:rsidRPr="00BC68C4">
        <w:rPr>
          <w:rFonts w:ascii="Times New Roman" w:hAnsi="Times New Roman" w:cs="Times New Roman"/>
          <w:sz w:val="24"/>
          <w:szCs w:val="24"/>
        </w:rPr>
        <w:t xml:space="preserve"> number of directors is significantly and positively related to Tobin’s Q</w:t>
      </w:r>
      <w:r w:rsidR="00DE0851">
        <w:rPr>
          <w:rFonts w:ascii="Times New Roman" w:hAnsi="Times New Roman" w:cs="Times New Roman"/>
          <w:sz w:val="24"/>
          <w:szCs w:val="24"/>
        </w:rPr>
        <w:t xml:space="preserve"> (</w:t>
      </w:r>
      <w:r w:rsidR="008348A1">
        <w:rPr>
          <w:rFonts w:ascii="Times New Roman" w:hAnsi="Times New Roman" w:cs="Times New Roman"/>
          <w:sz w:val="24"/>
          <w:szCs w:val="24"/>
        </w:rPr>
        <w:t xml:space="preserve">see </w:t>
      </w:r>
      <w:r w:rsidR="00DE0851">
        <w:rPr>
          <w:rFonts w:ascii="Times New Roman" w:hAnsi="Times New Roman" w:cs="Times New Roman"/>
          <w:sz w:val="24"/>
          <w:szCs w:val="24"/>
        </w:rPr>
        <w:t>c</w:t>
      </w:r>
      <w:r w:rsidR="00541D48" w:rsidRPr="00BC68C4">
        <w:rPr>
          <w:rFonts w:ascii="Times New Roman" w:hAnsi="Times New Roman" w:cs="Times New Roman"/>
          <w:sz w:val="24"/>
          <w:szCs w:val="24"/>
        </w:rPr>
        <w:t>olumn 8</w:t>
      </w:r>
      <w:r w:rsidR="00C309AD">
        <w:rPr>
          <w:rFonts w:ascii="Times New Roman" w:hAnsi="Times New Roman" w:cs="Times New Roman"/>
          <w:sz w:val="24"/>
          <w:szCs w:val="24"/>
        </w:rPr>
        <w:t xml:space="preserve"> of Table 7</w:t>
      </w:r>
      <w:r w:rsidR="00DE0851">
        <w:rPr>
          <w:rFonts w:ascii="Times New Roman" w:hAnsi="Times New Roman" w:cs="Times New Roman"/>
          <w:sz w:val="24"/>
          <w:szCs w:val="24"/>
        </w:rPr>
        <w:t xml:space="preserve">) which </w:t>
      </w:r>
      <w:r w:rsidR="001360F6" w:rsidRPr="00BC68C4">
        <w:rPr>
          <w:rFonts w:ascii="Times New Roman" w:hAnsi="Times New Roman" w:cs="Times New Roman"/>
          <w:sz w:val="24"/>
          <w:szCs w:val="24"/>
        </w:rPr>
        <w:t>is consistent with the view that collusion is more difficult in larger groups</w:t>
      </w:r>
      <w:r w:rsidR="000A0023">
        <w:rPr>
          <w:rFonts w:ascii="Times New Roman" w:hAnsi="Times New Roman" w:cs="Times New Roman"/>
          <w:sz w:val="24"/>
          <w:szCs w:val="24"/>
        </w:rPr>
        <w:t>.</w:t>
      </w:r>
      <w:r w:rsidR="001360F6" w:rsidRPr="00BC68C4">
        <w:rPr>
          <w:rFonts w:ascii="Times New Roman" w:hAnsi="Times New Roman" w:cs="Times New Roman"/>
          <w:sz w:val="24"/>
          <w:szCs w:val="24"/>
        </w:rPr>
        <w:t xml:space="preserve"> </w:t>
      </w:r>
      <w:r w:rsidR="000A0023">
        <w:rPr>
          <w:rFonts w:ascii="Times New Roman" w:hAnsi="Times New Roman" w:cs="Times New Roman"/>
          <w:sz w:val="24"/>
          <w:szCs w:val="24"/>
        </w:rPr>
        <w:t>H</w:t>
      </w:r>
      <w:r w:rsidR="001360F6" w:rsidRPr="00BC68C4">
        <w:rPr>
          <w:rFonts w:ascii="Times New Roman" w:hAnsi="Times New Roman" w:cs="Times New Roman"/>
          <w:sz w:val="24"/>
          <w:szCs w:val="24"/>
        </w:rPr>
        <w:t xml:space="preserve">aving a larger board </w:t>
      </w:r>
      <w:r w:rsidR="000A0023">
        <w:rPr>
          <w:rFonts w:ascii="Times New Roman" w:hAnsi="Times New Roman" w:cs="Times New Roman"/>
          <w:sz w:val="24"/>
          <w:szCs w:val="24"/>
        </w:rPr>
        <w:t xml:space="preserve">appears to </w:t>
      </w:r>
      <w:r w:rsidR="001360F6" w:rsidRPr="00BC68C4">
        <w:rPr>
          <w:rFonts w:ascii="Times New Roman" w:hAnsi="Times New Roman" w:cs="Times New Roman"/>
          <w:sz w:val="24"/>
          <w:szCs w:val="24"/>
        </w:rPr>
        <w:t>make it more challenging to expropriate shareholders.</w:t>
      </w:r>
    </w:p>
    <w:p w14:paraId="7DBC943C" w14:textId="05CF238C" w:rsidR="00541D48" w:rsidRPr="00BC68C4" w:rsidRDefault="00541D48" w:rsidP="00380EAC">
      <w:pPr>
        <w:spacing w:line="480" w:lineRule="auto"/>
        <w:rPr>
          <w:rFonts w:ascii="Times New Roman" w:hAnsi="Times New Roman" w:cs="Times New Roman"/>
          <w:sz w:val="24"/>
          <w:szCs w:val="24"/>
        </w:rPr>
      </w:pPr>
      <w:r w:rsidRPr="00BC68C4">
        <w:rPr>
          <w:rFonts w:ascii="Times New Roman" w:hAnsi="Times New Roman" w:cs="Times New Roman"/>
          <w:sz w:val="24"/>
          <w:szCs w:val="24"/>
        </w:rPr>
        <w:tab/>
        <w:t xml:space="preserve">The </w:t>
      </w:r>
      <w:proofErr w:type="spellStart"/>
      <w:r w:rsidRPr="00BC68C4">
        <w:rPr>
          <w:rFonts w:ascii="Times New Roman" w:hAnsi="Times New Roman" w:cs="Times New Roman"/>
          <w:i/>
          <w:sz w:val="24"/>
          <w:szCs w:val="24"/>
        </w:rPr>
        <w:t>ActiveCashWedge</w:t>
      </w:r>
      <w:proofErr w:type="spellEnd"/>
      <w:r w:rsidRPr="00BC68C4">
        <w:rPr>
          <w:rFonts w:ascii="Times New Roman" w:hAnsi="Times New Roman" w:cs="Times New Roman"/>
          <w:sz w:val="24"/>
          <w:szCs w:val="24"/>
        </w:rPr>
        <w:t xml:space="preserve"> variable, which had no effect on ROA, does not have a significant impact on</w:t>
      </w:r>
      <w:r w:rsidR="00811730">
        <w:rPr>
          <w:rFonts w:ascii="Times New Roman" w:hAnsi="Times New Roman" w:cs="Times New Roman"/>
          <w:sz w:val="24"/>
          <w:szCs w:val="24"/>
        </w:rPr>
        <w:t xml:space="preserve"> </w:t>
      </w:r>
      <w:r w:rsidR="000A0023">
        <w:rPr>
          <w:rFonts w:ascii="Times New Roman" w:hAnsi="Times New Roman" w:cs="Times New Roman"/>
          <w:sz w:val="24"/>
          <w:szCs w:val="24"/>
        </w:rPr>
        <w:t>Tobin’s Q</w:t>
      </w:r>
      <w:r w:rsidR="002D1646" w:rsidRPr="00BC68C4">
        <w:rPr>
          <w:rFonts w:ascii="Times New Roman" w:hAnsi="Times New Roman" w:cs="Times New Roman"/>
          <w:sz w:val="24"/>
          <w:szCs w:val="24"/>
        </w:rPr>
        <w:t>.</w:t>
      </w:r>
      <w:r w:rsidRPr="00BC68C4">
        <w:rPr>
          <w:rFonts w:ascii="Times New Roman" w:hAnsi="Times New Roman" w:cs="Times New Roman"/>
          <w:sz w:val="24"/>
          <w:szCs w:val="24"/>
        </w:rPr>
        <w:t xml:space="preserve"> These results are interesting because they suggest that voting rights that limited the power of large shareholders </w:t>
      </w:r>
      <w:r w:rsidR="000A0023">
        <w:rPr>
          <w:rFonts w:ascii="Times New Roman" w:hAnsi="Times New Roman" w:cs="Times New Roman"/>
          <w:sz w:val="24"/>
          <w:szCs w:val="24"/>
        </w:rPr>
        <w:t xml:space="preserve">might </w:t>
      </w:r>
      <w:r w:rsidRPr="00BC68C4">
        <w:rPr>
          <w:rFonts w:ascii="Times New Roman" w:hAnsi="Times New Roman" w:cs="Times New Roman"/>
          <w:sz w:val="24"/>
          <w:szCs w:val="24"/>
        </w:rPr>
        <w:t>not</w:t>
      </w:r>
      <w:r w:rsidR="000A0023">
        <w:rPr>
          <w:rFonts w:ascii="Times New Roman" w:hAnsi="Times New Roman" w:cs="Times New Roman"/>
          <w:sz w:val="24"/>
          <w:szCs w:val="24"/>
        </w:rPr>
        <w:t xml:space="preserve"> have been</w:t>
      </w:r>
      <w:r w:rsidRPr="00BC68C4">
        <w:rPr>
          <w:rFonts w:ascii="Times New Roman" w:hAnsi="Times New Roman" w:cs="Times New Roman"/>
          <w:sz w:val="24"/>
          <w:szCs w:val="24"/>
        </w:rPr>
        <w:t xml:space="preserve"> important covariates of valuation. One potential explanation is that </w:t>
      </w:r>
      <w:r w:rsidR="00C254B2">
        <w:rPr>
          <w:rFonts w:ascii="Times New Roman" w:hAnsi="Times New Roman" w:cs="Times New Roman"/>
          <w:sz w:val="24"/>
          <w:szCs w:val="24"/>
        </w:rPr>
        <w:t xml:space="preserve">most </w:t>
      </w:r>
      <w:r w:rsidRPr="00BC68C4">
        <w:rPr>
          <w:rFonts w:ascii="Times New Roman" w:hAnsi="Times New Roman" w:cs="Times New Roman"/>
          <w:sz w:val="24"/>
          <w:szCs w:val="24"/>
        </w:rPr>
        <w:t xml:space="preserve">company constitutions permitted voting at AGMs to be by a show of hands and the complicated voting weights would only be applied if specifically requested, which may have somewhat </w:t>
      </w:r>
      <w:r w:rsidR="00FC6A44">
        <w:rPr>
          <w:rFonts w:ascii="Times New Roman" w:hAnsi="Times New Roman" w:cs="Times New Roman"/>
          <w:sz w:val="24"/>
          <w:szCs w:val="24"/>
        </w:rPr>
        <w:t xml:space="preserve">attenuated </w:t>
      </w:r>
      <w:r w:rsidRPr="00BC68C4">
        <w:rPr>
          <w:rFonts w:ascii="Times New Roman" w:hAnsi="Times New Roman" w:cs="Times New Roman"/>
          <w:sz w:val="24"/>
          <w:szCs w:val="24"/>
        </w:rPr>
        <w:t>the power of voting schemes which limited the power of large shareholders. In addition, there was a rapid decline in AGM attendance in Victorian Britain (</w:t>
      </w:r>
      <w:proofErr w:type="spellStart"/>
      <w:r w:rsidRPr="00BC68C4">
        <w:rPr>
          <w:rFonts w:ascii="Times New Roman" w:hAnsi="Times New Roman" w:cs="Times New Roman"/>
          <w:sz w:val="24"/>
          <w:szCs w:val="24"/>
        </w:rPr>
        <w:t>Jefferys</w:t>
      </w:r>
      <w:proofErr w:type="spellEnd"/>
      <w:r w:rsidRPr="00BC68C4">
        <w:rPr>
          <w:rFonts w:ascii="Times New Roman" w:hAnsi="Times New Roman" w:cs="Times New Roman"/>
          <w:sz w:val="24"/>
          <w:szCs w:val="24"/>
        </w:rPr>
        <w:t xml:space="preserve"> 1977, p. 396), which may have further blunted the power of voting schemes. The lack of influence of voting powers stands in contrast to the positive impact of independent directors. This is likely because it was the directors who were responsible for making almost all strategic decisions, with a vote at a company meeting usually only called to ratify what the directors had suggested.  </w:t>
      </w:r>
    </w:p>
    <w:p w14:paraId="7B50D2A7" w14:textId="303C38AE" w:rsidR="00F57852" w:rsidRDefault="00C337B8" w:rsidP="0034483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carry out a series of robustness checks using </w:t>
      </w:r>
      <w:r w:rsidR="00F57852" w:rsidRPr="00BC68C4">
        <w:rPr>
          <w:rFonts w:ascii="Times New Roman" w:hAnsi="Times New Roman" w:cs="Times New Roman"/>
          <w:sz w:val="24"/>
          <w:szCs w:val="24"/>
        </w:rPr>
        <w:t xml:space="preserve">alternative </w:t>
      </w:r>
      <w:proofErr w:type="spellStart"/>
      <w:r w:rsidR="00F57852" w:rsidRPr="00BC68C4">
        <w:rPr>
          <w:rFonts w:ascii="Times New Roman" w:hAnsi="Times New Roman" w:cs="Times New Roman"/>
          <w:sz w:val="24"/>
          <w:szCs w:val="24"/>
        </w:rPr>
        <w:t>cutoff</w:t>
      </w:r>
      <w:proofErr w:type="spellEnd"/>
      <w:r w:rsidR="00F57852" w:rsidRPr="00BC68C4">
        <w:rPr>
          <w:rFonts w:ascii="Times New Roman" w:hAnsi="Times New Roman" w:cs="Times New Roman"/>
          <w:sz w:val="24"/>
          <w:szCs w:val="24"/>
        </w:rPr>
        <w:t xml:space="preserve"> levels for a large </w:t>
      </w:r>
      <w:proofErr w:type="spellStart"/>
      <w:r w:rsidR="00F57852" w:rsidRPr="00BC68C4">
        <w:rPr>
          <w:rFonts w:ascii="Times New Roman" w:hAnsi="Times New Roman" w:cs="Times New Roman"/>
          <w:sz w:val="24"/>
          <w:szCs w:val="24"/>
        </w:rPr>
        <w:t>blockholder</w:t>
      </w:r>
      <w:proofErr w:type="spellEnd"/>
      <w:r w:rsidR="00F57852" w:rsidRPr="00BC68C4">
        <w:rPr>
          <w:rFonts w:ascii="Times New Roman" w:hAnsi="Times New Roman" w:cs="Times New Roman"/>
          <w:sz w:val="24"/>
          <w:szCs w:val="24"/>
        </w:rPr>
        <w:t xml:space="preserve">. </w:t>
      </w:r>
      <w:r w:rsidR="00DC45F3" w:rsidRPr="00BC68C4">
        <w:rPr>
          <w:rFonts w:ascii="Times New Roman" w:hAnsi="Times New Roman" w:cs="Times New Roman"/>
          <w:sz w:val="24"/>
          <w:szCs w:val="24"/>
        </w:rPr>
        <w:t xml:space="preserve">We </w:t>
      </w:r>
      <w:r w:rsidR="00D7094E" w:rsidRPr="00BC68C4">
        <w:rPr>
          <w:rFonts w:ascii="Times New Roman" w:hAnsi="Times New Roman" w:cs="Times New Roman"/>
          <w:sz w:val="24"/>
          <w:szCs w:val="24"/>
        </w:rPr>
        <w:t xml:space="preserve">consider </w:t>
      </w:r>
      <w:proofErr w:type="spellStart"/>
      <w:r w:rsidR="00D7094E" w:rsidRPr="00BC68C4">
        <w:rPr>
          <w:rFonts w:ascii="Times New Roman" w:hAnsi="Times New Roman" w:cs="Times New Roman"/>
          <w:sz w:val="24"/>
          <w:szCs w:val="24"/>
        </w:rPr>
        <w:t>cutoff</w:t>
      </w:r>
      <w:proofErr w:type="spellEnd"/>
      <w:r w:rsidR="00D7094E" w:rsidRPr="00BC68C4">
        <w:rPr>
          <w:rFonts w:ascii="Times New Roman" w:hAnsi="Times New Roman" w:cs="Times New Roman"/>
          <w:sz w:val="24"/>
          <w:szCs w:val="24"/>
        </w:rPr>
        <w:t xml:space="preserve"> points at the 5, 10 and 20 per cent</w:t>
      </w:r>
      <w:r w:rsidR="00DC45F3" w:rsidRPr="00BC68C4">
        <w:rPr>
          <w:rFonts w:ascii="Times New Roman" w:hAnsi="Times New Roman" w:cs="Times New Roman"/>
          <w:sz w:val="24"/>
          <w:szCs w:val="24"/>
        </w:rPr>
        <w:t xml:space="preserve"> levels, using both voting concentration and capital concentration measures. </w:t>
      </w:r>
      <w:r w:rsidR="00F57852" w:rsidRPr="00BC68C4">
        <w:rPr>
          <w:rFonts w:ascii="Times New Roman" w:hAnsi="Times New Roman" w:cs="Times New Roman"/>
          <w:sz w:val="24"/>
          <w:szCs w:val="24"/>
        </w:rPr>
        <w:t xml:space="preserve">In </w:t>
      </w:r>
      <w:r w:rsidR="00DC45F3" w:rsidRPr="00BC68C4">
        <w:rPr>
          <w:rFonts w:ascii="Times New Roman" w:hAnsi="Times New Roman" w:cs="Times New Roman"/>
          <w:sz w:val="24"/>
          <w:szCs w:val="24"/>
        </w:rPr>
        <w:t xml:space="preserve">Table </w:t>
      </w:r>
      <w:r w:rsidR="00670FD8">
        <w:rPr>
          <w:rFonts w:ascii="Times New Roman" w:hAnsi="Times New Roman" w:cs="Times New Roman"/>
          <w:sz w:val="24"/>
          <w:szCs w:val="24"/>
        </w:rPr>
        <w:t>8</w:t>
      </w:r>
      <w:r w:rsidR="00F57852" w:rsidRPr="00BC68C4">
        <w:rPr>
          <w:rFonts w:ascii="Times New Roman" w:hAnsi="Times New Roman" w:cs="Times New Roman"/>
          <w:sz w:val="24"/>
          <w:szCs w:val="24"/>
        </w:rPr>
        <w:t xml:space="preserve"> where ROA is the dependent variable, there are positive and statistically significant coefficients on </w:t>
      </w:r>
      <w:proofErr w:type="spellStart"/>
      <w:r w:rsidR="00F57852" w:rsidRPr="00BC68C4">
        <w:rPr>
          <w:rFonts w:ascii="Times New Roman" w:hAnsi="Times New Roman" w:cs="Times New Roman"/>
          <w:i/>
          <w:sz w:val="24"/>
          <w:szCs w:val="24"/>
        </w:rPr>
        <w:t>ActiveBlock</w:t>
      </w:r>
      <w:proofErr w:type="spellEnd"/>
      <w:r w:rsidR="00E958AC">
        <w:rPr>
          <w:rFonts w:ascii="Times New Roman" w:hAnsi="Times New Roman" w:cs="Times New Roman"/>
          <w:sz w:val="24"/>
          <w:szCs w:val="24"/>
        </w:rPr>
        <w:t>. This</w:t>
      </w:r>
      <w:r w:rsidR="00F57852" w:rsidRPr="00BC68C4">
        <w:rPr>
          <w:rFonts w:ascii="Times New Roman" w:hAnsi="Times New Roman" w:cs="Times New Roman"/>
          <w:sz w:val="24"/>
          <w:szCs w:val="24"/>
        </w:rPr>
        <w:t xml:space="preserve"> </w:t>
      </w:r>
      <w:r w:rsidR="00E958AC">
        <w:rPr>
          <w:rFonts w:ascii="Times New Roman" w:hAnsi="Times New Roman" w:cs="Times New Roman"/>
          <w:sz w:val="24"/>
          <w:szCs w:val="24"/>
        </w:rPr>
        <w:t>confirms</w:t>
      </w:r>
      <w:r w:rsidR="00F57852" w:rsidRPr="00BC68C4">
        <w:rPr>
          <w:rFonts w:ascii="Times New Roman" w:hAnsi="Times New Roman" w:cs="Times New Roman"/>
          <w:sz w:val="24"/>
          <w:szCs w:val="24"/>
        </w:rPr>
        <w:t xml:space="preserve"> that large </w:t>
      </w:r>
      <w:proofErr w:type="spellStart"/>
      <w:r w:rsidR="00F57852" w:rsidRPr="00BC68C4">
        <w:rPr>
          <w:rFonts w:ascii="Times New Roman" w:hAnsi="Times New Roman" w:cs="Times New Roman"/>
          <w:sz w:val="24"/>
          <w:szCs w:val="24"/>
        </w:rPr>
        <w:t>blockholders</w:t>
      </w:r>
      <w:proofErr w:type="spellEnd"/>
      <w:r w:rsidR="00F57852" w:rsidRPr="00BC68C4">
        <w:rPr>
          <w:rFonts w:ascii="Times New Roman" w:hAnsi="Times New Roman" w:cs="Times New Roman"/>
          <w:sz w:val="24"/>
          <w:szCs w:val="24"/>
        </w:rPr>
        <w:t xml:space="preserve"> who are also directors ha</w:t>
      </w:r>
      <w:r w:rsidR="00E958AC">
        <w:rPr>
          <w:rFonts w:ascii="Times New Roman" w:hAnsi="Times New Roman" w:cs="Times New Roman"/>
          <w:sz w:val="24"/>
          <w:szCs w:val="24"/>
        </w:rPr>
        <w:t>ve</w:t>
      </w:r>
      <w:r w:rsidR="00F57852" w:rsidRPr="00BC68C4">
        <w:rPr>
          <w:rFonts w:ascii="Times New Roman" w:hAnsi="Times New Roman" w:cs="Times New Roman"/>
          <w:sz w:val="24"/>
          <w:szCs w:val="24"/>
        </w:rPr>
        <w:t xml:space="preserve"> a positive effect on operating performance</w:t>
      </w:r>
      <w:r w:rsidR="00E958AC">
        <w:rPr>
          <w:rFonts w:ascii="Times New Roman" w:hAnsi="Times New Roman" w:cs="Times New Roman"/>
          <w:sz w:val="24"/>
          <w:szCs w:val="24"/>
        </w:rPr>
        <w:t>, and this finding</w:t>
      </w:r>
      <w:r w:rsidR="00F57852" w:rsidRPr="00BC68C4">
        <w:rPr>
          <w:rFonts w:ascii="Times New Roman" w:hAnsi="Times New Roman" w:cs="Times New Roman"/>
          <w:sz w:val="24"/>
          <w:szCs w:val="24"/>
        </w:rPr>
        <w:t xml:space="preserve"> is robust to alternative definitions of what constitutes a large </w:t>
      </w:r>
      <w:proofErr w:type="spellStart"/>
      <w:r w:rsidR="00F57852" w:rsidRPr="00BC68C4">
        <w:rPr>
          <w:rFonts w:ascii="Times New Roman" w:hAnsi="Times New Roman" w:cs="Times New Roman"/>
          <w:sz w:val="24"/>
          <w:szCs w:val="24"/>
        </w:rPr>
        <w:t>blockholder</w:t>
      </w:r>
      <w:proofErr w:type="spellEnd"/>
      <w:r w:rsidR="00F57852" w:rsidRPr="00BC68C4">
        <w:rPr>
          <w:rFonts w:ascii="Times New Roman" w:hAnsi="Times New Roman" w:cs="Times New Roman"/>
          <w:sz w:val="24"/>
          <w:szCs w:val="24"/>
        </w:rPr>
        <w:t xml:space="preserve">. </w:t>
      </w:r>
      <w:r w:rsidR="00DC45F3" w:rsidRPr="00BC68C4">
        <w:rPr>
          <w:rFonts w:ascii="Times New Roman" w:hAnsi="Times New Roman" w:cs="Times New Roman"/>
          <w:sz w:val="24"/>
          <w:szCs w:val="24"/>
        </w:rPr>
        <w:t xml:space="preserve">Table </w:t>
      </w:r>
      <w:r w:rsidR="00670FD8">
        <w:rPr>
          <w:rFonts w:ascii="Times New Roman" w:hAnsi="Times New Roman" w:cs="Times New Roman"/>
          <w:sz w:val="24"/>
          <w:szCs w:val="24"/>
        </w:rPr>
        <w:t>9</w:t>
      </w:r>
      <w:r w:rsidR="00DC45F3" w:rsidRPr="00BC68C4">
        <w:rPr>
          <w:rFonts w:ascii="Times New Roman" w:hAnsi="Times New Roman" w:cs="Times New Roman"/>
          <w:sz w:val="24"/>
          <w:szCs w:val="24"/>
        </w:rPr>
        <w:t xml:space="preserve"> reveals that the relationship between the </w:t>
      </w:r>
      <w:proofErr w:type="spellStart"/>
      <w:r w:rsidR="00DC45F3" w:rsidRPr="00BC68C4">
        <w:rPr>
          <w:rFonts w:ascii="Times New Roman" w:hAnsi="Times New Roman" w:cs="Times New Roman"/>
          <w:i/>
          <w:sz w:val="24"/>
          <w:szCs w:val="24"/>
        </w:rPr>
        <w:t>DirOnlyNum</w:t>
      </w:r>
      <w:proofErr w:type="spellEnd"/>
      <w:r w:rsidR="00DC45F3" w:rsidRPr="00BC68C4">
        <w:rPr>
          <w:rFonts w:ascii="Times New Roman" w:hAnsi="Times New Roman" w:cs="Times New Roman"/>
          <w:sz w:val="24"/>
          <w:szCs w:val="24"/>
        </w:rPr>
        <w:t xml:space="preserve"> variable and Tobin’s Q is not affected by changing the definition</w:t>
      </w:r>
      <w:r w:rsidR="00670FD8">
        <w:rPr>
          <w:rFonts w:ascii="Times New Roman" w:hAnsi="Times New Roman" w:cs="Times New Roman"/>
          <w:sz w:val="24"/>
          <w:szCs w:val="24"/>
        </w:rPr>
        <w:t xml:space="preserve">. </w:t>
      </w:r>
      <w:r w:rsidR="00DC45F3" w:rsidRPr="00BC68C4">
        <w:rPr>
          <w:rFonts w:ascii="Times New Roman" w:hAnsi="Times New Roman" w:cs="Times New Roman"/>
          <w:sz w:val="24"/>
          <w:szCs w:val="24"/>
        </w:rPr>
        <w:t xml:space="preserve"> </w:t>
      </w:r>
    </w:p>
    <w:p w14:paraId="621F899D" w14:textId="77777777" w:rsidR="00AD4EBB" w:rsidRDefault="00AD4EBB" w:rsidP="00344833">
      <w:pPr>
        <w:spacing w:line="480" w:lineRule="auto"/>
        <w:ind w:firstLine="720"/>
        <w:rPr>
          <w:rFonts w:ascii="Times New Roman" w:hAnsi="Times New Roman" w:cs="Times New Roman"/>
          <w:sz w:val="24"/>
          <w:szCs w:val="24"/>
        </w:rPr>
      </w:pPr>
    </w:p>
    <w:p w14:paraId="0AAECAB1" w14:textId="4C544587" w:rsidR="006658C5" w:rsidRDefault="00F57852" w:rsidP="00F66996">
      <w:pPr>
        <w:spacing w:line="480" w:lineRule="auto"/>
        <w:jc w:val="center"/>
        <w:rPr>
          <w:rFonts w:ascii="Times New Roman" w:hAnsi="Times New Roman" w:cs="Times New Roman"/>
          <w:sz w:val="24"/>
          <w:szCs w:val="24"/>
        </w:rPr>
      </w:pPr>
      <w:r w:rsidRPr="00BC68C4">
        <w:rPr>
          <w:rFonts w:ascii="Times New Roman" w:hAnsi="Times New Roman" w:cs="Times New Roman"/>
          <w:sz w:val="24"/>
          <w:szCs w:val="24"/>
        </w:rPr>
        <w:t>&lt;&lt;</w:t>
      </w:r>
      <w:r w:rsidR="00787D24" w:rsidRPr="00BC68C4">
        <w:rPr>
          <w:rFonts w:ascii="Times New Roman" w:hAnsi="Times New Roman" w:cs="Times New Roman"/>
          <w:sz w:val="24"/>
          <w:szCs w:val="24"/>
        </w:rPr>
        <w:t>Insert</w:t>
      </w:r>
      <w:r w:rsidRPr="00BC68C4">
        <w:rPr>
          <w:rFonts w:ascii="Times New Roman" w:hAnsi="Times New Roman" w:cs="Times New Roman"/>
          <w:sz w:val="24"/>
          <w:szCs w:val="24"/>
        </w:rPr>
        <w:t xml:space="preserve"> Table</w:t>
      </w:r>
      <w:r w:rsidR="00A205FC" w:rsidRPr="00BC68C4">
        <w:rPr>
          <w:rFonts w:ascii="Times New Roman" w:hAnsi="Times New Roman" w:cs="Times New Roman"/>
          <w:sz w:val="24"/>
          <w:szCs w:val="24"/>
        </w:rPr>
        <w:t>s</w:t>
      </w:r>
      <w:r w:rsidRPr="00BC68C4">
        <w:rPr>
          <w:rFonts w:ascii="Times New Roman" w:hAnsi="Times New Roman" w:cs="Times New Roman"/>
          <w:sz w:val="24"/>
          <w:szCs w:val="24"/>
        </w:rPr>
        <w:t xml:space="preserve"> </w:t>
      </w:r>
      <w:r w:rsidR="00982467">
        <w:rPr>
          <w:rFonts w:ascii="Times New Roman" w:hAnsi="Times New Roman" w:cs="Times New Roman"/>
          <w:sz w:val="24"/>
          <w:szCs w:val="24"/>
        </w:rPr>
        <w:t>8 &amp; 9</w:t>
      </w:r>
      <w:r w:rsidRPr="00BC68C4">
        <w:rPr>
          <w:rFonts w:ascii="Times New Roman" w:hAnsi="Times New Roman" w:cs="Times New Roman"/>
          <w:sz w:val="24"/>
          <w:szCs w:val="24"/>
        </w:rPr>
        <w:t>&gt;&gt;</w:t>
      </w:r>
    </w:p>
    <w:p w14:paraId="60431162" w14:textId="77777777" w:rsidR="00F66996" w:rsidRPr="00BC68C4" w:rsidRDefault="00F66996" w:rsidP="00F66996">
      <w:pPr>
        <w:spacing w:line="480" w:lineRule="auto"/>
        <w:jc w:val="center"/>
        <w:rPr>
          <w:rFonts w:ascii="Times New Roman" w:hAnsi="Times New Roman" w:cs="Times New Roman"/>
          <w:sz w:val="24"/>
          <w:szCs w:val="24"/>
        </w:rPr>
      </w:pPr>
    </w:p>
    <w:p w14:paraId="39F96DCF" w14:textId="2B8FD3DA" w:rsidR="002241BE" w:rsidRPr="00BC68C4" w:rsidRDefault="00A9024D" w:rsidP="0034511D">
      <w:pPr>
        <w:spacing w:line="480" w:lineRule="auto"/>
        <w:ind w:firstLine="720"/>
        <w:rPr>
          <w:rFonts w:ascii="Times New Roman" w:hAnsi="Times New Roman" w:cs="Times New Roman"/>
          <w:sz w:val="24"/>
          <w:szCs w:val="24"/>
        </w:rPr>
      </w:pPr>
      <w:r w:rsidRPr="00BC68C4">
        <w:rPr>
          <w:rFonts w:ascii="Times New Roman" w:hAnsi="Times New Roman" w:cs="Times New Roman"/>
          <w:sz w:val="24"/>
          <w:szCs w:val="24"/>
        </w:rPr>
        <w:t xml:space="preserve">As a further robustness check, we consider whether large passive </w:t>
      </w:r>
      <w:proofErr w:type="spellStart"/>
      <w:r w:rsidRPr="00BC68C4">
        <w:rPr>
          <w:rFonts w:ascii="Times New Roman" w:hAnsi="Times New Roman" w:cs="Times New Roman"/>
          <w:sz w:val="24"/>
          <w:szCs w:val="24"/>
        </w:rPr>
        <w:t>blockholders</w:t>
      </w:r>
      <w:proofErr w:type="spellEnd"/>
      <w:r w:rsidRPr="00BC68C4">
        <w:rPr>
          <w:rFonts w:ascii="Times New Roman" w:hAnsi="Times New Roman" w:cs="Times New Roman"/>
          <w:sz w:val="24"/>
          <w:szCs w:val="24"/>
        </w:rPr>
        <w:t xml:space="preserve"> in this study may have been rotating in and out of a directorship and therefore may have actually been active </w:t>
      </w:r>
      <w:proofErr w:type="spellStart"/>
      <w:r w:rsidRPr="00BC68C4">
        <w:rPr>
          <w:rFonts w:ascii="Times New Roman" w:hAnsi="Times New Roman" w:cs="Times New Roman"/>
          <w:sz w:val="24"/>
          <w:szCs w:val="24"/>
        </w:rPr>
        <w:t>blockholders</w:t>
      </w:r>
      <w:proofErr w:type="spellEnd"/>
      <w:r w:rsidRPr="00BC68C4">
        <w:rPr>
          <w:rFonts w:ascii="Times New Roman" w:hAnsi="Times New Roman" w:cs="Times New Roman"/>
          <w:sz w:val="24"/>
          <w:szCs w:val="24"/>
        </w:rPr>
        <w:t xml:space="preserve">. To ensure this is not the case, we check all such </w:t>
      </w:r>
      <w:proofErr w:type="spellStart"/>
      <w:r w:rsidRPr="00BC68C4">
        <w:rPr>
          <w:rFonts w:ascii="Times New Roman" w:hAnsi="Times New Roman" w:cs="Times New Roman"/>
          <w:sz w:val="24"/>
          <w:szCs w:val="24"/>
        </w:rPr>
        <w:t>blockholders</w:t>
      </w:r>
      <w:proofErr w:type="spellEnd"/>
      <w:r w:rsidRPr="00BC68C4">
        <w:rPr>
          <w:rFonts w:ascii="Times New Roman" w:hAnsi="Times New Roman" w:cs="Times New Roman"/>
          <w:sz w:val="24"/>
          <w:szCs w:val="24"/>
        </w:rPr>
        <w:t xml:space="preserve"> for two years either side of each observation, using the </w:t>
      </w:r>
      <w:r w:rsidRPr="00BC68C4">
        <w:rPr>
          <w:rFonts w:ascii="Times New Roman" w:hAnsi="Times New Roman" w:cs="Times New Roman"/>
          <w:i/>
          <w:sz w:val="24"/>
          <w:szCs w:val="24"/>
        </w:rPr>
        <w:t>Stock Exchange Yearbook</w:t>
      </w:r>
      <w:r w:rsidRPr="00BC68C4">
        <w:rPr>
          <w:rFonts w:ascii="Times New Roman" w:hAnsi="Times New Roman" w:cs="Times New Roman"/>
          <w:sz w:val="24"/>
          <w:szCs w:val="24"/>
        </w:rPr>
        <w:t xml:space="preserve"> and </w:t>
      </w:r>
      <w:r w:rsidRPr="00BC68C4">
        <w:rPr>
          <w:rFonts w:ascii="Times New Roman" w:hAnsi="Times New Roman" w:cs="Times New Roman"/>
          <w:i/>
          <w:sz w:val="24"/>
          <w:szCs w:val="24"/>
        </w:rPr>
        <w:t>Directory of Directors</w:t>
      </w:r>
      <w:r w:rsidRPr="00BC68C4">
        <w:rPr>
          <w:rFonts w:ascii="Times New Roman" w:hAnsi="Times New Roman" w:cs="Times New Roman"/>
          <w:sz w:val="24"/>
          <w:szCs w:val="24"/>
        </w:rPr>
        <w:t xml:space="preserve">, and find only three examples of a large passive </w:t>
      </w:r>
      <w:proofErr w:type="spellStart"/>
      <w:r w:rsidRPr="00BC68C4">
        <w:rPr>
          <w:rFonts w:ascii="Times New Roman" w:hAnsi="Times New Roman" w:cs="Times New Roman"/>
          <w:sz w:val="24"/>
          <w:szCs w:val="24"/>
        </w:rPr>
        <w:t>blockholder</w:t>
      </w:r>
      <w:proofErr w:type="spellEnd"/>
      <w:r w:rsidRPr="00BC68C4">
        <w:rPr>
          <w:rFonts w:ascii="Times New Roman" w:hAnsi="Times New Roman" w:cs="Times New Roman"/>
          <w:sz w:val="24"/>
          <w:szCs w:val="24"/>
        </w:rPr>
        <w:t xml:space="preserve"> being a director in this </w:t>
      </w:r>
      <w:r w:rsidRPr="006658C5">
        <w:rPr>
          <w:rFonts w:ascii="Times New Roman" w:hAnsi="Times New Roman" w:cs="Times New Roman"/>
          <w:sz w:val="24"/>
          <w:szCs w:val="24"/>
        </w:rPr>
        <w:t xml:space="preserve">window. </w:t>
      </w:r>
      <w:r w:rsidR="00EA348E" w:rsidRPr="006658C5">
        <w:rPr>
          <w:rFonts w:ascii="Times New Roman" w:hAnsi="Times New Roman" w:cs="Times New Roman"/>
          <w:sz w:val="24"/>
          <w:szCs w:val="24"/>
        </w:rPr>
        <w:t>W</w:t>
      </w:r>
      <w:r w:rsidR="00670FD8" w:rsidRPr="006658C5">
        <w:rPr>
          <w:rFonts w:ascii="Times New Roman" w:hAnsi="Times New Roman" w:cs="Times New Roman"/>
          <w:sz w:val="24"/>
          <w:szCs w:val="24"/>
        </w:rPr>
        <w:t>here we have</w:t>
      </w:r>
      <w:r w:rsidR="00670FD8" w:rsidRPr="00BC68C4">
        <w:rPr>
          <w:rFonts w:ascii="Times New Roman" w:hAnsi="Times New Roman" w:cs="Times New Roman"/>
          <w:sz w:val="24"/>
          <w:szCs w:val="24"/>
        </w:rPr>
        <w:t xml:space="preserve"> multiple observations</w:t>
      </w:r>
      <w:r w:rsidR="00670FD8">
        <w:rPr>
          <w:rFonts w:ascii="Times New Roman" w:hAnsi="Times New Roman" w:cs="Times New Roman"/>
          <w:sz w:val="24"/>
          <w:szCs w:val="24"/>
        </w:rPr>
        <w:t>,</w:t>
      </w:r>
      <w:r w:rsidR="00670FD8" w:rsidRPr="00BC68C4">
        <w:rPr>
          <w:rFonts w:ascii="Times New Roman" w:hAnsi="Times New Roman" w:cs="Times New Roman"/>
          <w:sz w:val="24"/>
          <w:szCs w:val="24"/>
        </w:rPr>
        <w:t xml:space="preserve"> </w:t>
      </w:r>
      <w:r w:rsidR="00670FD8">
        <w:rPr>
          <w:rFonts w:ascii="Times New Roman" w:hAnsi="Times New Roman" w:cs="Times New Roman"/>
          <w:sz w:val="24"/>
          <w:szCs w:val="24"/>
        </w:rPr>
        <w:t>w</w:t>
      </w:r>
      <w:r w:rsidR="00EA348E" w:rsidRPr="00BC68C4">
        <w:rPr>
          <w:rFonts w:ascii="Times New Roman" w:hAnsi="Times New Roman" w:cs="Times New Roman"/>
          <w:sz w:val="24"/>
          <w:szCs w:val="24"/>
        </w:rPr>
        <w:t xml:space="preserve">e also conducted analysis </w:t>
      </w:r>
      <w:r w:rsidR="00C672B6" w:rsidRPr="00BC68C4">
        <w:rPr>
          <w:rFonts w:ascii="Times New Roman" w:hAnsi="Times New Roman" w:cs="Times New Roman"/>
          <w:sz w:val="24"/>
          <w:szCs w:val="24"/>
        </w:rPr>
        <w:t xml:space="preserve">for those companies, which either gained or lost an active </w:t>
      </w:r>
      <w:proofErr w:type="spellStart"/>
      <w:r w:rsidR="00C672B6" w:rsidRPr="00BC68C4">
        <w:rPr>
          <w:rFonts w:ascii="Times New Roman" w:hAnsi="Times New Roman" w:cs="Times New Roman"/>
          <w:sz w:val="24"/>
          <w:szCs w:val="24"/>
        </w:rPr>
        <w:t>blockholder</w:t>
      </w:r>
      <w:proofErr w:type="spellEnd"/>
      <w:r w:rsidR="00C672B6" w:rsidRPr="00BC68C4">
        <w:rPr>
          <w:rFonts w:ascii="Times New Roman" w:hAnsi="Times New Roman" w:cs="Times New Roman"/>
          <w:sz w:val="24"/>
          <w:szCs w:val="24"/>
        </w:rPr>
        <w:t>. W</w:t>
      </w:r>
      <w:r w:rsidR="00C40649" w:rsidRPr="00BC68C4">
        <w:rPr>
          <w:rFonts w:ascii="Times New Roman" w:hAnsi="Times New Roman" w:cs="Times New Roman"/>
          <w:sz w:val="24"/>
          <w:szCs w:val="24"/>
        </w:rPr>
        <w:t>e have three</w:t>
      </w:r>
      <w:r w:rsidR="00EA348E" w:rsidRPr="00BC68C4">
        <w:rPr>
          <w:rFonts w:ascii="Times New Roman" w:hAnsi="Times New Roman" w:cs="Times New Roman"/>
          <w:sz w:val="24"/>
          <w:szCs w:val="24"/>
        </w:rPr>
        <w:t xml:space="preserve"> occasi</w:t>
      </w:r>
      <w:r w:rsidR="0094159D" w:rsidRPr="00BC68C4">
        <w:rPr>
          <w:rFonts w:ascii="Times New Roman" w:hAnsi="Times New Roman" w:cs="Times New Roman"/>
          <w:sz w:val="24"/>
          <w:szCs w:val="24"/>
        </w:rPr>
        <w:t xml:space="preserve">ons where the company gains an active </w:t>
      </w:r>
      <w:proofErr w:type="spellStart"/>
      <w:r w:rsidR="0094159D" w:rsidRPr="00BC68C4">
        <w:rPr>
          <w:rFonts w:ascii="Times New Roman" w:hAnsi="Times New Roman" w:cs="Times New Roman"/>
          <w:sz w:val="24"/>
          <w:szCs w:val="24"/>
        </w:rPr>
        <w:t>b</w:t>
      </w:r>
      <w:r w:rsidR="00EA348E" w:rsidRPr="00BC68C4">
        <w:rPr>
          <w:rFonts w:ascii="Times New Roman" w:hAnsi="Times New Roman" w:cs="Times New Roman"/>
          <w:sz w:val="24"/>
          <w:szCs w:val="24"/>
        </w:rPr>
        <w:t>lockholder</w:t>
      </w:r>
      <w:proofErr w:type="spellEnd"/>
      <w:r w:rsidR="00EA348E" w:rsidRPr="00BC68C4">
        <w:rPr>
          <w:rFonts w:ascii="Times New Roman" w:hAnsi="Times New Roman" w:cs="Times New Roman"/>
          <w:sz w:val="24"/>
          <w:szCs w:val="24"/>
        </w:rPr>
        <w:t>. The average increase in ROA is 7.9 percentage points</w:t>
      </w:r>
      <w:r w:rsidR="00670FD8">
        <w:rPr>
          <w:rFonts w:ascii="Times New Roman" w:hAnsi="Times New Roman" w:cs="Times New Roman"/>
          <w:sz w:val="24"/>
          <w:szCs w:val="24"/>
        </w:rPr>
        <w:t>. At the same time</w:t>
      </w:r>
      <w:r w:rsidR="00EA348E" w:rsidRPr="00BC68C4">
        <w:rPr>
          <w:rFonts w:ascii="Times New Roman" w:hAnsi="Times New Roman" w:cs="Times New Roman"/>
          <w:sz w:val="24"/>
          <w:szCs w:val="24"/>
        </w:rPr>
        <w:t xml:space="preserve">, </w:t>
      </w:r>
      <w:r w:rsidR="00C40649" w:rsidRPr="00BC68C4">
        <w:rPr>
          <w:rFonts w:ascii="Times New Roman" w:hAnsi="Times New Roman" w:cs="Times New Roman"/>
          <w:sz w:val="24"/>
          <w:szCs w:val="24"/>
        </w:rPr>
        <w:t xml:space="preserve">Tobin’s Q </w:t>
      </w:r>
      <w:r w:rsidR="00670FD8">
        <w:rPr>
          <w:rFonts w:ascii="Times New Roman" w:hAnsi="Times New Roman" w:cs="Times New Roman"/>
          <w:sz w:val="24"/>
          <w:szCs w:val="24"/>
        </w:rPr>
        <w:t xml:space="preserve">declines </w:t>
      </w:r>
      <w:r w:rsidR="00C40649" w:rsidRPr="00BC68C4">
        <w:rPr>
          <w:rFonts w:ascii="Times New Roman" w:hAnsi="Times New Roman" w:cs="Times New Roman"/>
          <w:sz w:val="24"/>
          <w:szCs w:val="24"/>
        </w:rPr>
        <w:t>0.18. We have five</w:t>
      </w:r>
      <w:r w:rsidR="00EA348E" w:rsidRPr="00BC68C4">
        <w:rPr>
          <w:rFonts w:ascii="Times New Roman" w:hAnsi="Times New Roman" w:cs="Times New Roman"/>
          <w:sz w:val="24"/>
          <w:szCs w:val="24"/>
        </w:rPr>
        <w:t xml:space="preserve"> occasi</w:t>
      </w:r>
      <w:r w:rsidR="0094159D" w:rsidRPr="00BC68C4">
        <w:rPr>
          <w:rFonts w:ascii="Times New Roman" w:hAnsi="Times New Roman" w:cs="Times New Roman"/>
          <w:sz w:val="24"/>
          <w:szCs w:val="24"/>
        </w:rPr>
        <w:t xml:space="preserve">ons where the company loses an active </w:t>
      </w:r>
      <w:proofErr w:type="spellStart"/>
      <w:r w:rsidR="0094159D" w:rsidRPr="00BC68C4">
        <w:rPr>
          <w:rFonts w:ascii="Times New Roman" w:hAnsi="Times New Roman" w:cs="Times New Roman"/>
          <w:sz w:val="24"/>
          <w:szCs w:val="24"/>
        </w:rPr>
        <w:t>b</w:t>
      </w:r>
      <w:r w:rsidR="00EA348E" w:rsidRPr="00BC68C4">
        <w:rPr>
          <w:rFonts w:ascii="Times New Roman" w:hAnsi="Times New Roman" w:cs="Times New Roman"/>
          <w:sz w:val="24"/>
          <w:szCs w:val="24"/>
        </w:rPr>
        <w:t>lockholder</w:t>
      </w:r>
      <w:proofErr w:type="spellEnd"/>
      <w:r w:rsidR="00EA348E" w:rsidRPr="00BC68C4">
        <w:rPr>
          <w:rFonts w:ascii="Times New Roman" w:hAnsi="Times New Roman" w:cs="Times New Roman"/>
          <w:sz w:val="24"/>
          <w:szCs w:val="24"/>
        </w:rPr>
        <w:t xml:space="preserve">. The average decline in ROA is 4.2 percentage points, </w:t>
      </w:r>
      <w:r w:rsidR="00670FD8">
        <w:rPr>
          <w:rFonts w:ascii="Times New Roman" w:hAnsi="Times New Roman" w:cs="Times New Roman"/>
          <w:sz w:val="24"/>
          <w:szCs w:val="24"/>
        </w:rPr>
        <w:t xml:space="preserve">and an </w:t>
      </w:r>
      <w:r w:rsidR="00EA348E" w:rsidRPr="00BC68C4">
        <w:rPr>
          <w:rFonts w:ascii="Times New Roman" w:hAnsi="Times New Roman" w:cs="Times New Roman"/>
          <w:sz w:val="24"/>
          <w:szCs w:val="24"/>
        </w:rPr>
        <w:t xml:space="preserve">average increase in Tobin’s Q of 0.10. These results are exactly in line with our </w:t>
      </w:r>
      <w:r w:rsidR="00670FD8">
        <w:rPr>
          <w:rFonts w:ascii="Times New Roman" w:hAnsi="Times New Roman" w:cs="Times New Roman"/>
          <w:sz w:val="24"/>
          <w:szCs w:val="24"/>
        </w:rPr>
        <w:t xml:space="preserve">hypotheses </w:t>
      </w:r>
      <w:r w:rsidR="00EA348E" w:rsidRPr="00BC68C4">
        <w:rPr>
          <w:rFonts w:ascii="Times New Roman" w:hAnsi="Times New Roman" w:cs="Times New Roman"/>
          <w:sz w:val="24"/>
          <w:szCs w:val="24"/>
        </w:rPr>
        <w:t>and our empirical results. However, given the small sample sizes</w:t>
      </w:r>
      <w:r w:rsidR="002241BE" w:rsidRPr="00BC68C4">
        <w:rPr>
          <w:rFonts w:ascii="Times New Roman" w:hAnsi="Times New Roman" w:cs="Times New Roman"/>
          <w:sz w:val="24"/>
          <w:szCs w:val="24"/>
        </w:rPr>
        <w:t>,</w:t>
      </w:r>
      <w:r w:rsidR="00EA348E" w:rsidRPr="00BC68C4">
        <w:rPr>
          <w:rFonts w:ascii="Times New Roman" w:hAnsi="Times New Roman" w:cs="Times New Roman"/>
          <w:sz w:val="24"/>
          <w:szCs w:val="24"/>
        </w:rPr>
        <w:t xml:space="preserve"> we do not want </w:t>
      </w:r>
      <w:r w:rsidR="00C40649" w:rsidRPr="00BC68C4">
        <w:rPr>
          <w:rFonts w:ascii="Times New Roman" w:hAnsi="Times New Roman" w:cs="Times New Roman"/>
          <w:sz w:val="24"/>
          <w:szCs w:val="24"/>
        </w:rPr>
        <w:t>to put too much emphasis on these findings</w:t>
      </w:r>
      <w:r w:rsidR="00EA348E" w:rsidRPr="00BC68C4">
        <w:rPr>
          <w:rFonts w:ascii="Times New Roman" w:hAnsi="Times New Roman" w:cs="Times New Roman"/>
          <w:sz w:val="24"/>
          <w:szCs w:val="24"/>
        </w:rPr>
        <w:t>.</w:t>
      </w:r>
      <w:r w:rsidR="00F57852" w:rsidRPr="00BC68C4">
        <w:rPr>
          <w:rFonts w:ascii="Times New Roman" w:hAnsi="Times New Roman" w:cs="Times New Roman"/>
          <w:sz w:val="24"/>
          <w:szCs w:val="24"/>
        </w:rPr>
        <w:t xml:space="preserve"> </w:t>
      </w:r>
      <w:r w:rsidR="00670FD8">
        <w:rPr>
          <w:rFonts w:ascii="Times New Roman" w:hAnsi="Times New Roman" w:cs="Times New Roman"/>
          <w:sz w:val="24"/>
          <w:szCs w:val="24"/>
        </w:rPr>
        <w:t xml:space="preserve">Our results are </w:t>
      </w:r>
      <w:r w:rsidR="001B4909">
        <w:rPr>
          <w:rFonts w:ascii="Times New Roman" w:hAnsi="Times New Roman" w:cs="Times New Roman"/>
          <w:sz w:val="24"/>
          <w:szCs w:val="24"/>
        </w:rPr>
        <w:t xml:space="preserve">also </w:t>
      </w:r>
      <w:r w:rsidR="00670FD8">
        <w:rPr>
          <w:rFonts w:ascii="Times New Roman" w:hAnsi="Times New Roman" w:cs="Times New Roman"/>
          <w:sz w:val="24"/>
          <w:szCs w:val="24"/>
        </w:rPr>
        <w:t>robust to the exclusion of banks and insurance companies.</w:t>
      </w:r>
      <w:r w:rsidR="00670FD8">
        <w:rPr>
          <w:rStyle w:val="FootnoteReference"/>
          <w:rFonts w:ascii="Times New Roman" w:hAnsi="Times New Roman" w:cs="Times New Roman"/>
          <w:sz w:val="24"/>
          <w:szCs w:val="24"/>
        </w:rPr>
        <w:footnoteReference w:id="27"/>
      </w:r>
      <w:r w:rsidR="00F57852" w:rsidRPr="00BC68C4">
        <w:rPr>
          <w:rFonts w:ascii="Times New Roman" w:hAnsi="Times New Roman" w:cs="Times New Roman"/>
          <w:sz w:val="24"/>
          <w:szCs w:val="24"/>
        </w:rPr>
        <w:t xml:space="preserve">   </w:t>
      </w:r>
    </w:p>
    <w:p w14:paraId="2F6AA8C2" w14:textId="09B061F9" w:rsidR="002E35AC" w:rsidRPr="002E35AC" w:rsidRDefault="004A2C70" w:rsidP="002D1646">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noted earlier, we use the</w:t>
      </w:r>
      <w:r w:rsidR="00165A44">
        <w:rPr>
          <w:rFonts w:ascii="Times New Roman" w:hAnsi="Times New Roman" w:cs="Times New Roman"/>
          <w:sz w:val="24"/>
          <w:szCs w:val="24"/>
        </w:rPr>
        <w:t xml:space="preserve"> final status of the company a</w:t>
      </w:r>
      <w:r w:rsidR="0010060A" w:rsidRPr="002E35AC">
        <w:rPr>
          <w:rFonts w:ascii="Times New Roman" w:hAnsi="Times New Roman" w:cs="Times New Roman"/>
          <w:sz w:val="24"/>
          <w:szCs w:val="24"/>
        </w:rPr>
        <w:t>s a dependent variable</w:t>
      </w:r>
      <w:r>
        <w:rPr>
          <w:rFonts w:ascii="Times New Roman" w:hAnsi="Times New Roman" w:cs="Times New Roman"/>
          <w:sz w:val="24"/>
          <w:szCs w:val="24"/>
        </w:rPr>
        <w:t xml:space="preserve"> </w:t>
      </w:r>
      <w:r w:rsidR="00165A44">
        <w:rPr>
          <w:rFonts w:ascii="Times New Roman" w:hAnsi="Times New Roman" w:cs="Times New Roman"/>
          <w:sz w:val="24"/>
          <w:szCs w:val="24"/>
        </w:rPr>
        <w:t xml:space="preserve">to carry out </w:t>
      </w:r>
      <w:r>
        <w:rPr>
          <w:rFonts w:ascii="Times New Roman" w:hAnsi="Times New Roman" w:cs="Times New Roman"/>
          <w:sz w:val="24"/>
          <w:szCs w:val="24"/>
        </w:rPr>
        <w:t>a further robustness check.</w:t>
      </w:r>
      <w:r w:rsidR="0010060A" w:rsidRPr="002E35AC">
        <w:rPr>
          <w:rFonts w:ascii="Times New Roman" w:hAnsi="Times New Roman" w:cs="Times New Roman"/>
          <w:sz w:val="24"/>
          <w:szCs w:val="24"/>
        </w:rPr>
        <w:t xml:space="preserve"> </w:t>
      </w:r>
      <w:r w:rsidR="002E35AC" w:rsidRPr="001344F0">
        <w:rPr>
          <w:rFonts w:ascii="Times New Roman" w:hAnsi="Times New Roman" w:cs="Times New Roman"/>
          <w:sz w:val="24"/>
          <w:szCs w:val="24"/>
        </w:rPr>
        <w:t xml:space="preserve">We use multinomial logit regressions to examine how ownership affects the ultimate fate of the company. The results </w:t>
      </w:r>
      <w:r w:rsidRPr="001344F0">
        <w:rPr>
          <w:rFonts w:ascii="Times New Roman" w:hAnsi="Times New Roman" w:cs="Times New Roman"/>
          <w:sz w:val="24"/>
          <w:szCs w:val="24"/>
        </w:rPr>
        <w:t xml:space="preserve">shown in Tables </w:t>
      </w:r>
      <w:r w:rsidR="00C309AD">
        <w:rPr>
          <w:rFonts w:ascii="Times New Roman" w:hAnsi="Times New Roman" w:cs="Times New Roman"/>
          <w:sz w:val="24"/>
          <w:szCs w:val="24"/>
        </w:rPr>
        <w:t>10</w:t>
      </w:r>
      <w:r w:rsidRPr="001344F0">
        <w:rPr>
          <w:rFonts w:ascii="Times New Roman" w:hAnsi="Times New Roman" w:cs="Times New Roman"/>
          <w:sz w:val="24"/>
          <w:szCs w:val="24"/>
        </w:rPr>
        <w:t xml:space="preserve"> and </w:t>
      </w:r>
      <w:r w:rsidR="00C309AD">
        <w:rPr>
          <w:rFonts w:ascii="Times New Roman" w:hAnsi="Times New Roman" w:cs="Times New Roman"/>
          <w:sz w:val="24"/>
          <w:szCs w:val="24"/>
        </w:rPr>
        <w:t>11</w:t>
      </w:r>
      <w:r w:rsidRPr="001344F0">
        <w:rPr>
          <w:rFonts w:ascii="Times New Roman" w:hAnsi="Times New Roman" w:cs="Times New Roman"/>
          <w:sz w:val="24"/>
          <w:szCs w:val="24"/>
        </w:rPr>
        <w:t xml:space="preserve"> </w:t>
      </w:r>
      <w:r w:rsidR="002E35AC" w:rsidRPr="001344F0">
        <w:rPr>
          <w:rFonts w:ascii="Times New Roman" w:hAnsi="Times New Roman" w:cs="Times New Roman"/>
          <w:sz w:val="24"/>
          <w:szCs w:val="24"/>
        </w:rPr>
        <w:t xml:space="preserve">reveal whether ownership </w:t>
      </w:r>
      <w:r w:rsidRPr="001344F0">
        <w:rPr>
          <w:rFonts w:ascii="Times New Roman" w:hAnsi="Times New Roman" w:cs="Times New Roman"/>
          <w:sz w:val="24"/>
          <w:szCs w:val="24"/>
        </w:rPr>
        <w:t xml:space="preserve">structure </w:t>
      </w:r>
      <w:r w:rsidR="002E35AC" w:rsidRPr="001344F0">
        <w:rPr>
          <w:rFonts w:ascii="Times New Roman" w:hAnsi="Times New Roman" w:cs="Times New Roman"/>
          <w:sz w:val="24"/>
          <w:szCs w:val="24"/>
        </w:rPr>
        <w:t>made a company more or less likely to experience a particular outcome, relative to the base outcome which we have chosen as merging with another firm.</w:t>
      </w:r>
    </w:p>
    <w:p w14:paraId="256DF50F" w14:textId="4EAB51CB" w:rsidR="00D44182" w:rsidRPr="00BC68C4" w:rsidRDefault="0010060A" w:rsidP="002E35AC">
      <w:pPr>
        <w:spacing w:line="480" w:lineRule="auto"/>
        <w:ind w:firstLine="720"/>
        <w:rPr>
          <w:rFonts w:ascii="Times New Roman" w:hAnsi="Times New Roman" w:cs="Times New Roman"/>
          <w:sz w:val="24"/>
          <w:szCs w:val="24"/>
        </w:rPr>
      </w:pPr>
      <w:r w:rsidRPr="00BC68C4">
        <w:rPr>
          <w:rFonts w:ascii="Times New Roman" w:hAnsi="Times New Roman" w:cs="Times New Roman"/>
          <w:sz w:val="24"/>
          <w:szCs w:val="24"/>
        </w:rPr>
        <w:t>The f</w:t>
      </w:r>
      <w:r w:rsidR="00F57852" w:rsidRPr="00BC68C4">
        <w:rPr>
          <w:rFonts w:ascii="Times New Roman" w:hAnsi="Times New Roman" w:cs="Times New Roman"/>
          <w:sz w:val="24"/>
          <w:szCs w:val="24"/>
        </w:rPr>
        <w:t xml:space="preserve">irst thing to note from Table </w:t>
      </w:r>
      <w:r w:rsidR="00C309AD">
        <w:rPr>
          <w:rFonts w:ascii="Times New Roman" w:hAnsi="Times New Roman" w:cs="Times New Roman"/>
          <w:sz w:val="24"/>
          <w:szCs w:val="24"/>
        </w:rPr>
        <w:t xml:space="preserve">10 </w:t>
      </w:r>
      <w:r w:rsidR="00C309AD" w:rsidRPr="00BC68C4">
        <w:rPr>
          <w:rFonts w:ascii="Times New Roman" w:hAnsi="Times New Roman" w:cs="Times New Roman"/>
          <w:sz w:val="24"/>
          <w:szCs w:val="24"/>
        </w:rPr>
        <w:t xml:space="preserve"> </w:t>
      </w:r>
      <w:r w:rsidRPr="00BC68C4">
        <w:rPr>
          <w:rFonts w:ascii="Times New Roman" w:hAnsi="Times New Roman" w:cs="Times New Roman"/>
          <w:sz w:val="24"/>
          <w:szCs w:val="24"/>
        </w:rPr>
        <w:t>is t</w:t>
      </w:r>
      <w:r w:rsidR="00A13B5D" w:rsidRPr="00BC68C4">
        <w:rPr>
          <w:rFonts w:ascii="Times New Roman" w:hAnsi="Times New Roman" w:cs="Times New Roman"/>
          <w:sz w:val="24"/>
          <w:szCs w:val="24"/>
        </w:rPr>
        <w:t>hat there is little</w:t>
      </w:r>
      <w:r w:rsidRPr="00BC68C4">
        <w:rPr>
          <w:rFonts w:ascii="Times New Roman" w:hAnsi="Times New Roman" w:cs="Times New Roman"/>
          <w:sz w:val="24"/>
          <w:szCs w:val="24"/>
        </w:rPr>
        <w:t xml:space="preserve"> statistical</w:t>
      </w:r>
      <w:r w:rsidR="00A13B5D" w:rsidRPr="00BC68C4">
        <w:rPr>
          <w:rFonts w:ascii="Times New Roman" w:hAnsi="Times New Roman" w:cs="Times New Roman"/>
          <w:sz w:val="24"/>
          <w:szCs w:val="24"/>
        </w:rPr>
        <w:t xml:space="preserve"> or economic</w:t>
      </w:r>
      <w:r w:rsidRPr="00BC68C4">
        <w:rPr>
          <w:rFonts w:ascii="Times New Roman" w:hAnsi="Times New Roman" w:cs="Times New Roman"/>
          <w:sz w:val="24"/>
          <w:szCs w:val="24"/>
        </w:rPr>
        <w:t xml:space="preserve"> relationship between broad ownership structure, as measured by </w:t>
      </w:r>
      <w:proofErr w:type="spellStart"/>
      <w:r w:rsidRPr="00BC68C4">
        <w:rPr>
          <w:rFonts w:ascii="Times New Roman" w:hAnsi="Times New Roman" w:cs="Times New Roman"/>
          <w:i/>
          <w:sz w:val="24"/>
          <w:szCs w:val="24"/>
        </w:rPr>
        <w:t>VoteHHI</w:t>
      </w:r>
      <w:proofErr w:type="spellEnd"/>
      <w:r w:rsidRPr="00BC68C4">
        <w:rPr>
          <w:rFonts w:ascii="Times New Roman" w:hAnsi="Times New Roman" w:cs="Times New Roman"/>
          <w:sz w:val="24"/>
          <w:szCs w:val="24"/>
        </w:rPr>
        <w:t>, and the final status of the company</w:t>
      </w:r>
      <w:r w:rsidR="00F87AB3" w:rsidRPr="00BC68C4">
        <w:rPr>
          <w:rFonts w:ascii="Times New Roman" w:hAnsi="Times New Roman" w:cs="Times New Roman"/>
          <w:sz w:val="24"/>
          <w:szCs w:val="24"/>
        </w:rPr>
        <w:t>; o</w:t>
      </w:r>
      <w:r w:rsidR="00497773" w:rsidRPr="00BC68C4">
        <w:rPr>
          <w:rFonts w:ascii="Times New Roman" w:hAnsi="Times New Roman" w:cs="Times New Roman"/>
          <w:sz w:val="24"/>
          <w:szCs w:val="24"/>
        </w:rPr>
        <w:t xml:space="preserve">nly </w:t>
      </w:r>
      <w:proofErr w:type="spellStart"/>
      <w:r w:rsidR="00497773" w:rsidRPr="00BC68C4">
        <w:rPr>
          <w:rFonts w:ascii="Times New Roman" w:hAnsi="Times New Roman" w:cs="Times New Roman"/>
          <w:i/>
          <w:sz w:val="24"/>
          <w:szCs w:val="24"/>
        </w:rPr>
        <w:t>VolWoundUp</w:t>
      </w:r>
      <w:proofErr w:type="spellEnd"/>
      <w:r w:rsidR="00497773" w:rsidRPr="00BC68C4">
        <w:rPr>
          <w:rFonts w:ascii="Times New Roman" w:hAnsi="Times New Roman" w:cs="Times New Roman"/>
          <w:sz w:val="24"/>
          <w:szCs w:val="24"/>
        </w:rPr>
        <w:t xml:space="preserve"> </w:t>
      </w:r>
      <w:r w:rsidR="00F87AB3" w:rsidRPr="00BC68C4">
        <w:rPr>
          <w:rFonts w:ascii="Times New Roman" w:hAnsi="Times New Roman" w:cs="Times New Roman"/>
          <w:sz w:val="24"/>
          <w:szCs w:val="24"/>
        </w:rPr>
        <w:t>is significant and only</w:t>
      </w:r>
      <w:r w:rsidR="00497773" w:rsidRPr="00BC68C4">
        <w:rPr>
          <w:rFonts w:ascii="Times New Roman" w:hAnsi="Times New Roman" w:cs="Times New Roman"/>
          <w:sz w:val="24"/>
          <w:szCs w:val="24"/>
        </w:rPr>
        <w:t xml:space="preserve"> at the 10 per cent level</w:t>
      </w:r>
      <w:r w:rsidRPr="00BC68C4">
        <w:rPr>
          <w:rFonts w:ascii="Times New Roman" w:hAnsi="Times New Roman" w:cs="Times New Roman"/>
          <w:sz w:val="24"/>
          <w:szCs w:val="24"/>
        </w:rPr>
        <w:t xml:space="preserve">. </w:t>
      </w:r>
      <w:r w:rsidR="00D44182" w:rsidRPr="00BC68C4">
        <w:rPr>
          <w:rFonts w:ascii="Times New Roman" w:hAnsi="Times New Roman" w:cs="Times New Roman"/>
          <w:sz w:val="24"/>
          <w:szCs w:val="24"/>
        </w:rPr>
        <w:t xml:space="preserve">Using different measures of ownership structure, give similar results </w:t>
      </w:r>
      <w:r w:rsidR="004A2C70">
        <w:rPr>
          <w:rFonts w:ascii="Times New Roman" w:hAnsi="Times New Roman" w:cs="Times New Roman"/>
          <w:sz w:val="24"/>
          <w:szCs w:val="24"/>
        </w:rPr>
        <w:t xml:space="preserve">and </w:t>
      </w:r>
      <w:r w:rsidR="00D44182" w:rsidRPr="00BC68C4">
        <w:rPr>
          <w:rFonts w:ascii="Times New Roman" w:hAnsi="Times New Roman" w:cs="Times New Roman"/>
          <w:sz w:val="24"/>
          <w:szCs w:val="24"/>
        </w:rPr>
        <w:t>are not reported sepa</w:t>
      </w:r>
      <w:r w:rsidR="00C40649" w:rsidRPr="00BC68C4">
        <w:rPr>
          <w:rFonts w:ascii="Times New Roman" w:hAnsi="Times New Roman" w:cs="Times New Roman"/>
          <w:sz w:val="24"/>
          <w:szCs w:val="24"/>
        </w:rPr>
        <w:t>rately. The proportion held by i</w:t>
      </w:r>
      <w:r w:rsidR="00D44182" w:rsidRPr="00BC68C4">
        <w:rPr>
          <w:rFonts w:ascii="Times New Roman" w:hAnsi="Times New Roman" w:cs="Times New Roman"/>
          <w:sz w:val="24"/>
          <w:szCs w:val="24"/>
        </w:rPr>
        <w:t>nsiders</w:t>
      </w:r>
      <w:r w:rsidR="001C011C" w:rsidRPr="00BC68C4">
        <w:rPr>
          <w:rFonts w:ascii="Times New Roman" w:hAnsi="Times New Roman" w:cs="Times New Roman"/>
          <w:sz w:val="24"/>
          <w:szCs w:val="24"/>
        </w:rPr>
        <w:t xml:space="preserve"> (</w:t>
      </w:r>
      <w:proofErr w:type="spellStart"/>
      <w:r w:rsidR="001C011C" w:rsidRPr="00BC68C4">
        <w:rPr>
          <w:rFonts w:ascii="Times New Roman" w:hAnsi="Times New Roman" w:cs="Times New Roman"/>
          <w:i/>
          <w:sz w:val="24"/>
          <w:szCs w:val="24"/>
        </w:rPr>
        <w:t>VoteInsiders</w:t>
      </w:r>
      <w:proofErr w:type="spellEnd"/>
      <w:r w:rsidR="001C011C" w:rsidRPr="00BC68C4">
        <w:rPr>
          <w:rFonts w:ascii="Times New Roman" w:hAnsi="Times New Roman" w:cs="Times New Roman"/>
          <w:sz w:val="24"/>
          <w:szCs w:val="24"/>
        </w:rPr>
        <w:t>)</w:t>
      </w:r>
      <w:r w:rsidR="00D44182" w:rsidRPr="00BC68C4">
        <w:rPr>
          <w:rFonts w:ascii="Times New Roman" w:hAnsi="Times New Roman" w:cs="Times New Roman"/>
          <w:sz w:val="24"/>
          <w:szCs w:val="24"/>
        </w:rPr>
        <w:t xml:space="preserve"> </w:t>
      </w:r>
      <w:r w:rsidR="001C011C" w:rsidRPr="00BC68C4">
        <w:rPr>
          <w:rFonts w:ascii="Times New Roman" w:hAnsi="Times New Roman" w:cs="Times New Roman"/>
          <w:sz w:val="24"/>
          <w:szCs w:val="24"/>
        </w:rPr>
        <w:t xml:space="preserve">is only significant against </w:t>
      </w:r>
      <w:proofErr w:type="spellStart"/>
      <w:r w:rsidR="001C011C" w:rsidRPr="00BC68C4">
        <w:rPr>
          <w:rFonts w:ascii="Times New Roman" w:hAnsi="Times New Roman" w:cs="Times New Roman"/>
          <w:i/>
          <w:sz w:val="24"/>
          <w:szCs w:val="24"/>
        </w:rPr>
        <w:t>VolWoundUp</w:t>
      </w:r>
      <w:proofErr w:type="spellEnd"/>
      <w:r w:rsidR="001C011C" w:rsidRPr="00BC68C4">
        <w:rPr>
          <w:rFonts w:ascii="Times New Roman" w:hAnsi="Times New Roman" w:cs="Times New Roman"/>
          <w:sz w:val="24"/>
          <w:szCs w:val="24"/>
        </w:rPr>
        <w:t xml:space="preserve">, whilst the proportion held by the </w:t>
      </w:r>
      <w:r w:rsidR="00A35DF4" w:rsidRPr="00BC68C4">
        <w:rPr>
          <w:rFonts w:ascii="Times New Roman" w:hAnsi="Times New Roman" w:cs="Times New Roman"/>
          <w:sz w:val="24"/>
          <w:szCs w:val="24"/>
        </w:rPr>
        <w:t>five</w:t>
      </w:r>
      <w:r w:rsidR="001C011C" w:rsidRPr="00BC68C4">
        <w:rPr>
          <w:rFonts w:ascii="Times New Roman" w:hAnsi="Times New Roman" w:cs="Times New Roman"/>
          <w:sz w:val="24"/>
          <w:szCs w:val="24"/>
        </w:rPr>
        <w:t xml:space="preserve"> largest shareholders (</w:t>
      </w:r>
      <w:r w:rsidR="001C011C" w:rsidRPr="00BC68C4">
        <w:rPr>
          <w:rFonts w:ascii="Times New Roman" w:hAnsi="Times New Roman" w:cs="Times New Roman"/>
          <w:i/>
          <w:sz w:val="24"/>
          <w:szCs w:val="24"/>
        </w:rPr>
        <w:t>VoteLargest5</w:t>
      </w:r>
      <w:r w:rsidR="001C011C" w:rsidRPr="00BC68C4">
        <w:rPr>
          <w:rFonts w:ascii="Times New Roman" w:hAnsi="Times New Roman" w:cs="Times New Roman"/>
          <w:sz w:val="24"/>
          <w:szCs w:val="24"/>
        </w:rPr>
        <w:t>), or by directors (</w:t>
      </w:r>
      <w:proofErr w:type="spellStart"/>
      <w:r w:rsidR="001C011C" w:rsidRPr="00BC68C4">
        <w:rPr>
          <w:rFonts w:ascii="Times New Roman" w:hAnsi="Times New Roman" w:cs="Times New Roman"/>
          <w:i/>
          <w:sz w:val="24"/>
          <w:szCs w:val="24"/>
        </w:rPr>
        <w:t>VoteDir</w:t>
      </w:r>
      <w:proofErr w:type="spellEnd"/>
      <w:r w:rsidR="001C011C" w:rsidRPr="00BC68C4">
        <w:rPr>
          <w:rFonts w:ascii="Times New Roman" w:hAnsi="Times New Roman" w:cs="Times New Roman"/>
          <w:sz w:val="24"/>
          <w:szCs w:val="24"/>
        </w:rPr>
        <w:t xml:space="preserve">), are not significant predictors of any outcome. </w:t>
      </w:r>
      <w:r w:rsidR="004A2C70">
        <w:rPr>
          <w:rFonts w:ascii="Times New Roman" w:hAnsi="Times New Roman" w:cs="Times New Roman"/>
          <w:sz w:val="24"/>
          <w:szCs w:val="24"/>
        </w:rPr>
        <w:t>T</w:t>
      </w:r>
      <w:r w:rsidRPr="00BC68C4">
        <w:rPr>
          <w:rFonts w:ascii="Times New Roman" w:hAnsi="Times New Roman" w:cs="Times New Roman"/>
          <w:sz w:val="24"/>
          <w:szCs w:val="24"/>
        </w:rPr>
        <w:t>he negative coefficie</w:t>
      </w:r>
      <w:r w:rsidR="00A13B5D" w:rsidRPr="00BC68C4">
        <w:rPr>
          <w:rFonts w:ascii="Times New Roman" w:hAnsi="Times New Roman" w:cs="Times New Roman"/>
          <w:sz w:val="24"/>
          <w:szCs w:val="24"/>
        </w:rPr>
        <w:t xml:space="preserve">nt on </w:t>
      </w:r>
      <w:proofErr w:type="spellStart"/>
      <w:r w:rsidR="00A13B5D" w:rsidRPr="00BC68C4">
        <w:rPr>
          <w:rFonts w:ascii="Times New Roman" w:hAnsi="Times New Roman" w:cs="Times New Roman"/>
          <w:i/>
          <w:sz w:val="24"/>
          <w:szCs w:val="24"/>
        </w:rPr>
        <w:t>NumDir</w:t>
      </w:r>
      <w:proofErr w:type="spellEnd"/>
      <w:r w:rsidR="00A13B5D" w:rsidRPr="00BC68C4">
        <w:rPr>
          <w:rFonts w:ascii="Times New Roman" w:hAnsi="Times New Roman" w:cs="Times New Roman"/>
          <w:sz w:val="24"/>
          <w:szCs w:val="24"/>
        </w:rPr>
        <w:t xml:space="preserve"> in specifications 2 and </w:t>
      </w:r>
      <w:r w:rsidR="004C69F6" w:rsidRPr="00BC68C4">
        <w:rPr>
          <w:rFonts w:ascii="Times New Roman" w:hAnsi="Times New Roman" w:cs="Times New Roman"/>
          <w:sz w:val="24"/>
          <w:szCs w:val="24"/>
        </w:rPr>
        <w:t>3</w:t>
      </w:r>
      <w:r w:rsidR="008272D9" w:rsidRPr="00BC68C4">
        <w:rPr>
          <w:rFonts w:ascii="Times New Roman" w:hAnsi="Times New Roman" w:cs="Times New Roman"/>
          <w:sz w:val="24"/>
          <w:szCs w:val="24"/>
        </w:rPr>
        <w:t xml:space="preserve"> suggests that the greater the number of directors a company had, the less likely they were to be wound up by a court, </w:t>
      </w:r>
      <w:r w:rsidR="00952574" w:rsidRPr="00BC68C4">
        <w:rPr>
          <w:rFonts w:ascii="Times New Roman" w:hAnsi="Times New Roman" w:cs="Times New Roman"/>
          <w:sz w:val="24"/>
          <w:szCs w:val="24"/>
        </w:rPr>
        <w:t xml:space="preserve">or to be removed from the stock exchange.  </w:t>
      </w:r>
    </w:p>
    <w:p w14:paraId="07FECDE6" w14:textId="77777777" w:rsidR="00F66996" w:rsidRDefault="00F66996" w:rsidP="0066603F">
      <w:pPr>
        <w:spacing w:line="480" w:lineRule="auto"/>
        <w:jc w:val="center"/>
        <w:rPr>
          <w:rFonts w:ascii="Times New Roman" w:hAnsi="Times New Roman" w:cs="Times New Roman"/>
          <w:sz w:val="24"/>
          <w:szCs w:val="24"/>
        </w:rPr>
      </w:pPr>
    </w:p>
    <w:p w14:paraId="4C25BE4E" w14:textId="4708E41C" w:rsidR="0066603F" w:rsidRDefault="0066603F" w:rsidP="0066603F">
      <w:pPr>
        <w:spacing w:line="480" w:lineRule="auto"/>
        <w:jc w:val="center"/>
        <w:rPr>
          <w:rFonts w:ascii="Times New Roman" w:hAnsi="Times New Roman" w:cs="Times New Roman"/>
          <w:sz w:val="24"/>
          <w:szCs w:val="24"/>
        </w:rPr>
      </w:pPr>
      <w:r w:rsidRPr="001344F0">
        <w:rPr>
          <w:rFonts w:ascii="Times New Roman" w:hAnsi="Times New Roman" w:cs="Times New Roman"/>
          <w:sz w:val="24"/>
          <w:szCs w:val="24"/>
        </w:rPr>
        <w:t>&lt;&lt;</w:t>
      </w:r>
      <w:r w:rsidR="00787D24" w:rsidRPr="001344F0">
        <w:rPr>
          <w:rFonts w:ascii="Times New Roman" w:hAnsi="Times New Roman" w:cs="Times New Roman"/>
          <w:sz w:val="24"/>
          <w:szCs w:val="24"/>
        </w:rPr>
        <w:t>Insert</w:t>
      </w:r>
      <w:r w:rsidR="00F57852" w:rsidRPr="001344F0">
        <w:rPr>
          <w:rFonts w:ascii="Times New Roman" w:hAnsi="Times New Roman" w:cs="Times New Roman"/>
          <w:sz w:val="24"/>
          <w:szCs w:val="24"/>
        </w:rPr>
        <w:t xml:space="preserve"> Tables 1</w:t>
      </w:r>
      <w:r w:rsidR="00C309AD">
        <w:rPr>
          <w:rFonts w:ascii="Times New Roman" w:hAnsi="Times New Roman" w:cs="Times New Roman"/>
          <w:sz w:val="24"/>
          <w:szCs w:val="24"/>
        </w:rPr>
        <w:t>0</w:t>
      </w:r>
      <w:r w:rsidR="00F57852" w:rsidRPr="001344F0">
        <w:rPr>
          <w:rFonts w:ascii="Times New Roman" w:hAnsi="Times New Roman" w:cs="Times New Roman"/>
          <w:sz w:val="24"/>
          <w:szCs w:val="24"/>
        </w:rPr>
        <w:t xml:space="preserve"> &amp; 1</w:t>
      </w:r>
      <w:r w:rsidR="00C309AD">
        <w:rPr>
          <w:rFonts w:ascii="Times New Roman" w:hAnsi="Times New Roman" w:cs="Times New Roman"/>
          <w:sz w:val="24"/>
          <w:szCs w:val="24"/>
        </w:rPr>
        <w:t>1</w:t>
      </w:r>
      <w:r w:rsidRPr="001344F0">
        <w:rPr>
          <w:rFonts w:ascii="Times New Roman" w:hAnsi="Times New Roman" w:cs="Times New Roman"/>
          <w:sz w:val="24"/>
          <w:szCs w:val="24"/>
        </w:rPr>
        <w:t>&gt;&gt;</w:t>
      </w:r>
    </w:p>
    <w:p w14:paraId="552D963E" w14:textId="77777777" w:rsidR="00F66996" w:rsidRPr="001344F0" w:rsidRDefault="00F66996" w:rsidP="0066603F">
      <w:pPr>
        <w:spacing w:line="480" w:lineRule="auto"/>
        <w:jc w:val="center"/>
        <w:rPr>
          <w:rFonts w:ascii="Times New Roman" w:hAnsi="Times New Roman" w:cs="Times New Roman"/>
          <w:sz w:val="24"/>
          <w:szCs w:val="24"/>
        </w:rPr>
      </w:pPr>
    </w:p>
    <w:p w14:paraId="4550B00E" w14:textId="1201C4D9" w:rsidR="00A35DF4" w:rsidRPr="001344F0" w:rsidRDefault="00F57852" w:rsidP="002028F1">
      <w:pPr>
        <w:spacing w:line="480" w:lineRule="auto"/>
        <w:ind w:firstLine="720"/>
        <w:rPr>
          <w:rFonts w:ascii="Times New Roman" w:hAnsi="Times New Roman" w:cs="Times New Roman"/>
          <w:sz w:val="24"/>
          <w:szCs w:val="24"/>
        </w:rPr>
      </w:pPr>
      <w:r w:rsidRPr="001344F0">
        <w:rPr>
          <w:rFonts w:ascii="Times New Roman" w:hAnsi="Times New Roman" w:cs="Times New Roman"/>
          <w:sz w:val="24"/>
          <w:szCs w:val="24"/>
        </w:rPr>
        <w:t>In Table 1</w:t>
      </w:r>
      <w:r w:rsidR="00C309AD">
        <w:rPr>
          <w:rFonts w:ascii="Times New Roman" w:hAnsi="Times New Roman" w:cs="Times New Roman"/>
          <w:sz w:val="24"/>
          <w:szCs w:val="24"/>
        </w:rPr>
        <w:t>1</w:t>
      </w:r>
      <w:r w:rsidR="004A2C70" w:rsidRPr="001344F0">
        <w:rPr>
          <w:rFonts w:ascii="Times New Roman" w:hAnsi="Times New Roman" w:cs="Times New Roman"/>
          <w:sz w:val="24"/>
          <w:szCs w:val="24"/>
        </w:rPr>
        <w:t xml:space="preserve"> we</w:t>
      </w:r>
      <w:r w:rsidR="004A2C70">
        <w:rPr>
          <w:rFonts w:ascii="Times New Roman" w:hAnsi="Times New Roman" w:cs="Times New Roman"/>
          <w:sz w:val="24"/>
          <w:szCs w:val="24"/>
        </w:rPr>
        <w:t xml:space="preserve"> examine the interaction of final status and director/</w:t>
      </w:r>
      <w:proofErr w:type="spellStart"/>
      <w:r w:rsidR="004A2C70">
        <w:rPr>
          <w:rFonts w:ascii="Times New Roman" w:hAnsi="Times New Roman" w:cs="Times New Roman"/>
          <w:sz w:val="24"/>
          <w:szCs w:val="24"/>
        </w:rPr>
        <w:t>blockholder</w:t>
      </w:r>
      <w:proofErr w:type="spellEnd"/>
      <w:r w:rsidR="004A2C70">
        <w:rPr>
          <w:rFonts w:ascii="Times New Roman" w:hAnsi="Times New Roman" w:cs="Times New Roman"/>
          <w:sz w:val="24"/>
          <w:szCs w:val="24"/>
        </w:rPr>
        <w:t xml:space="preserve"> interactions.  We find</w:t>
      </w:r>
      <w:r w:rsidR="00F8052D" w:rsidRPr="00BC68C4">
        <w:rPr>
          <w:rFonts w:ascii="Times New Roman" w:hAnsi="Times New Roman" w:cs="Times New Roman"/>
          <w:sz w:val="24"/>
          <w:szCs w:val="24"/>
        </w:rPr>
        <w:t xml:space="preserve"> negative coefficients on the </w:t>
      </w:r>
      <w:proofErr w:type="spellStart"/>
      <w:r w:rsidR="004A56B4" w:rsidRPr="00BC68C4">
        <w:rPr>
          <w:rFonts w:ascii="Times New Roman" w:hAnsi="Times New Roman" w:cs="Times New Roman"/>
          <w:i/>
          <w:sz w:val="24"/>
          <w:szCs w:val="24"/>
        </w:rPr>
        <w:t>DirOnlyNum</w:t>
      </w:r>
      <w:proofErr w:type="spellEnd"/>
      <w:r w:rsidR="00F8052D" w:rsidRPr="00BC68C4">
        <w:rPr>
          <w:rFonts w:ascii="Times New Roman" w:hAnsi="Times New Roman" w:cs="Times New Roman"/>
          <w:sz w:val="24"/>
          <w:szCs w:val="24"/>
        </w:rPr>
        <w:t xml:space="preserve"> variable for those companies whose ultimate fate was to be wound up by a court or removed</w:t>
      </w:r>
      <w:r w:rsidR="004A2C70">
        <w:rPr>
          <w:rFonts w:ascii="Times New Roman" w:hAnsi="Times New Roman" w:cs="Times New Roman"/>
          <w:sz w:val="24"/>
          <w:szCs w:val="24"/>
        </w:rPr>
        <w:t xml:space="preserve"> from </w:t>
      </w:r>
      <w:r w:rsidR="00165A44">
        <w:rPr>
          <w:rFonts w:ascii="Times New Roman" w:hAnsi="Times New Roman" w:cs="Times New Roman"/>
          <w:sz w:val="24"/>
          <w:szCs w:val="24"/>
        </w:rPr>
        <w:t xml:space="preserve">the </w:t>
      </w:r>
      <w:r w:rsidR="00482955">
        <w:rPr>
          <w:rFonts w:ascii="Times New Roman" w:hAnsi="Times New Roman" w:cs="Times New Roman"/>
          <w:sz w:val="24"/>
          <w:szCs w:val="24"/>
        </w:rPr>
        <w:t>S</w:t>
      </w:r>
      <w:r w:rsidR="00165A44">
        <w:rPr>
          <w:rFonts w:ascii="Times New Roman" w:hAnsi="Times New Roman" w:cs="Times New Roman"/>
          <w:sz w:val="24"/>
          <w:szCs w:val="24"/>
        </w:rPr>
        <w:t xml:space="preserve">tock </w:t>
      </w:r>
      <w:r w:rsidR="00482955">
        <w:rPr>
          <w:rFonts w:ascii="Times New Roman" w:hAnsi="Times New Roman" w:cs="Times New Roman"/>
          <w:sz w:val="24"/>
          <w:szCs w:val="24"/>
        </w:rPr>
        <w:t>E</w:t>
      </w:r>
      <w:r w:rsidR="00165A44">
        <w:rPr>
          <w:rFonts w:ascii="Times New Roman" w:hAnsi="Times New Roman" w:cs="Times New Roman"/>
          <w:sz w:val="24"/>
          <w:szCs w:val="24"/>
        </w:rPr>
        <w:t xml:space="preserve">xchange </w:t>
      </w:r>
      <w:r w:rsidR="00482955">
        <w:rPr>
          <w:rFonts w:ascii="Times New Roman" w:hAnsi="Times New Roman" w:cs="Times New Roman"/>
          <w:sz w:val="24"/>
          <w:szCs w:val="24"/>
        </w:rPr>
        <w:t>Y</w:t>
      </w:r>
      <w:r w:rsidR="00165A44">
        <w:rPr>
          <w:rFonts w:ascii="Times New Roman" w:hAnsi="Times New Roman" w:cs="Times New Roman"/>
          <w:sz w:val="24"/>
          <w:szCs w:val="24"/>
        </w:rPr>
        <w:t>earbook</w:t>
      </w:r>
      <w:r w:rsidR="00F8052D" w:rsidRPr="00BC68C4">
        <w:rPr>
          <w:rFonts w:ascii="Times New Roman" w:hAnsi="Times New Roman" w:cs="Times New Roman"/>
          <w:sz w:val="24"/>
          <w:szCs w:val="24"/>
        </w:rPr>
        <w:t>, implying that the</w:t>
      </w:r>
      <w:r w:rsidR="0066603F" w:rsidRPr="00BC68C4">
        <w:rPr>
          <w:rFonts w:ascii="Times New Roman" w:hAnsi="Times New Roman" w:cs="Times New Roman"/>
          <w:sz w:val="24"/>
          <w:szCs w:val="24"/>
        </w:rPr>
        <w:t xml:space="preserve"> greater the number of directors who were not large </w:t>
      </w:r>
      <w:proofErr w:type="spellStart"/>
      <w:r w:rsidR="00E236F2" w:rsidRPr="00BC68C4">
        <w:rPr>
          <w:rFonts w:ascii="Times New Roman" w:hAnsi="Times New Roman" w:cs="Times New Roman"/>
          <w:sz w:val="24"/>
          <w:szCs w:val="24"/>
        </w:rPr>
        <w:t>block</w:t>
      </w:r>
      <w:r w:rsidR="0066603F" w:rsidRPr="00BC68C4">
        <w:rPr>
          <w:rFonts w:ascii="Times New Roman" w:hAnsi="Times New Roman" w:cs="Times New Roman"/>
          <w:sz w:val="24"/>
          <w:szCs w:val="24"/>
        </w:rPr>
        <w:t>holders</w:t>
      </w:r>
      <w:proofErr w:type="spellEnd"/>
      <w:r w:rsidR="0066603F" w:rsidRPr="00BC68C4">
        <w:rPr>
          <w:rFonts w:ascii="Times New Roman" w:hAnsi="Times New Roman" w:cs="Times New Roman"/>
          <w:sz w:val="24"/>
          <w:szCs w:val="24"/>
        </w:rPr>
        <w:t xml:space="preserve">, the less likely that the company was to experience failure. </w:t>
      </w:r>
      <w:r w:rsidR="00E236F2" w:rsidRPr="00BC68C4">
        <w:rPr>
          <w:rFonts w:ascii="Times New Roman" w:hAnsi="Times New Roman" w:cs="Times New Roman"/>
          <w:sz w:val="24"/>
          <w:szCs w:val="24"/>
        </w:rPr>
        <w:t xml:space="preserve"> In addition, the presence of large active </w:t>
      </w:r>
      <w:proofErr w:type="spellStart"/>
      <w:r w:rsidR="00E236F2" w:rsidRPr="00BC68C4">
        <w:rPr>
          <w:rFonts w:ascii="Times New Roman" w:hAnsi="Times New Roman" w:cs="Times New Roman"/>
          <w:sz w:val="24"/>
          <w:szCs w:val="24"/>
        </w:rPr>
        <w:t>blockholders</w:t>
      </w:r>
      <w:proofErr w:type="spellEnd"/>
      <w:r w:rsidR="00E236F2" w:rsidRPr="00BC68C4">
        <w:rPr>
          <w:rFonts w:ascii="Times New Roman" w:hAnsi="Times New Roman" w:cs="Times New Roman"/>
          <w:sz w:val="24"/>
          <w:szCs w:val="24"/>
        </w:rPr>
        <w:t xml:space="preserve"> is correlated with a lower probability of a company experiencing a negative ultimate outcome, </w:t>
      </w:r>
      <w:r w:rsidR="00E236F2" w:rsidRPr="001344F0">
        <w:rPr>
          <w:rFonts w:ascii="Times New Roman" w:hAnsi="Times New Roman" w:cs="Times New Roman"/>
          <w:sz w:val="24"/>
          <w:szCs w:val="24"/>
        </w:rPr>
        <w:t xml:space="preserve">although the coefficient on the </w:t>
      </w:r>
      <w:proofErr w:type="spellStart"/>
      <w:r w:rsidRPr="001344F0">
        <w:rPr>
          <w:rFonts w:ascii="Times New Roman" w:hAnsi="Times New Roman" w:cs="Times New Roman"/>
          <w:i/>
          <w:sz w:val="24"/>
          <w:szCs w:val="24"/>
        </w:rPr>
        <w:t>ActiveBlock</w:t>
      </w:r>
      <w:proofErr w:type="spellEnd"/>
      <w:r w:rsidR="00E236F2" w:rsidRPr="001344F0">
        <w:rPr>
          <w:rFonts w:ascii="Times New Roman" w:hAnsi="Times New Roman" w:cs="Times New Roman"/>
          <w:sz w:val="24"/>
          <w:szCs w:val="24"/>
        </w:rPr>
        <w:t xml:space="preserve"> variable is only significant at the 10 per cent level. </w:t>
      </w:r>
      <w:r w:rsidR="00AF0ADE" w:rsidRPr="001344F0">
        <w:rPr>
          <w:rFonts w:ascii="Times New Roman" w:hAnsi="Times New Roman" w:cs="Times New Roman"/>
          <w:sz w:val="24"/>
          <w:szCs w:val="24"/>
        </w:rPr>
        <w:t xml:space="preserve">This would again suggest, consistent with the previous results, that the presence of a large active </w:t>
      </w:r>
      <w:proofErr w:type="spellStart"/>
      <w:r w:rsidR="00AF0ADE" w:rsidRPr="001344F0">
        <w:rPr>
          <w:rFonts w:ascii="Times New Roman" w:hAnsi="Times New Roman" w:cs="Times New Roman"/>
          <w:sz w:val="24"/>
          <w:szCs w:val="24"/>
        </w:rPr>
        <w:t>blockholder</w:t>
      </w:r>
      <w:proofErr w:type="spellEnd"/>
      <w:r w:rsidR="00AF0ADE" w:rsidRPr="001344F0">
        <w:rPr>
          <w:rFonts w:ascii="Times New Roman" w:hAnsi="Times New Roman" w:cs="Times New Roman"/>
          <w:sz w:val="24"/>
          <w:szCs w:val="24"/>
        </w:rPr>
        <w:t xml:space="preserve"> may have a positive influence on </w:t>
      </w:r>
      <w:r w:rsidR="007E1E30" w:rsidRPr="001344F0">
        <w:rPr>
          <w:rFonts w:ascii="Times New Roman" w:hAnsi="Times New Roman" w:cs="Times New Roman"/>
          <w:sz w:val="24"/>
          <w:szCs w:val="24"/>
        </w:rPr>
        <w:t>how the firm operates</w:t>
      </w:r>
      <w:r w:rsidR="00AF0ADE" w:rsidRPr="001344F0">
        <w:rPr>
          <w:rFonts w:ascii="Times New Roman" w:hAnsi="Times New Roman" w:cs="Times New Roman"/>
          <w:sz w:val="24"/>
          <w:szCs w:val="24"/>
        </w:rPr>
        <w:t>.</w:t>
      </w:r>
    </w:p>
    <w:p w14:paraId="604C2153" w14:textId="39AB9424" w:rsidR="00112A36" w:rsidRPr="00BC68C4" w:rsidRDefault="002028F1" w:rsidP="002028F1">
      <w:pPr>
        <w:spacing w:line="480" w:lineRule="auto"/>
        <w:ind w:firstLine="720"/>
        <w:rPr>
          <w:rFonts w:ascii="Times New Roman" w:hAnsi="Times New Roman" w:cs="Times New Roman"/>
          <w:sz w:val="24"/>
          <w:szCs w:val="24"/>
        </w:rPr>
      </w:pPr>
      <w:r w:rsidRPr="001344F0">
        <w:rPr>
          <w:rFonts w:ascii="Times New Roman" w:hAnsi="Times New Roman" w:cs="Times New Roman"/>
          <w:sz w:val="24"/>
          <w:szCs w:val="24"/>
        </w:rPr>
        <w:t xml:space="preserve">We </w:t>
      </w:r>
      <w:r w:rsidR="004A56B2">
        <w:rPr>
          <w:rFonts w:ascii="Times New Roman" w:hAnsi="Times New Roman" w:cs="Times New Roman"/>
          <w:sz w:val="24"/>
          <w:szCs w:val="24"/>
        </w:rPr>
        <w:t xml:space="preserve">also </w:t>
      </w:r>
      <w:r w:rsidRPr="001344F0">
        <w:rPr>
          <w:rFonts w:ascii="Times New Roman" w:hAnsi="Times New Roman" w:cs="Times New Roman"/>
          <w:sz w:val="24"/>
          <w:szCs w:val="24"/>
        </w:rPr>
        <w:t>conducted a survival analysis to examine if</w:t>
      </w:r>
      <w:r w:rsidRPr="00BC68C4">
        <w:rPr>
          <w:rFonts w:ascii="Times New Roman" w:hAnsi="Times New Roman" w:cs="Times New Roman"/>
          <w:sz w:val="24"/>
          <w:szCs w:val="24"/>
        </w:rPr>
        <w:t xml:space="preserve"> any of the governance variables had an impact on how long the company survived independently. However, none of the </w:t>
      </w:r>
      <w:r w:rsidR="0094159D" w:rsidRPr="00BC68C4">
        <w:rPr>
          <w:rFonts w:ascii="Times New Roman" w:hAnsi="Times New Roman" w:cs="Times New Roman"/>
          <w:sz w:val="24"/>
          <w:szCs w:val="24"/>
        </w:rPr>
        <w:t xml:space="preserve">governance </w:t>
      </w:r>
      <w:r w:rsidRPr="00BC68C4">
        <w:rPr>
          <w:rFonts w:ascii="Times New Roman" w:hAnsi="Times New Roman" w:cs="Times New Roman"/>
          <w:sz w:val="24"/>
          <w:szCs w:val="24"/>
        </w:rPr>
        <w:t xml:space="preserve">variables were significant, possibly because a large proportion of our sample companies ended by merging with another firm, or being acquired. This makes it difficult to interpret survival time, as companies which merged quite early did not necessarily have poor performance.  </w:t>
      </w:r>
    </w:p>
    <w:p w14:paraId="13F703E3" w14:textId="5CB67256" w:rsidR="00737B80" w:rsidRPr="00BC68C4" w:rsidRDefault="00C54403" w:rsidP="00A35DF4">
      <w:pPr>
        <w:spacing w:after="200" w:line="480" w:lineRule="auto"/>
        <w:rPr>
          <w:rFonts w:ascii="Times New Roman" w:hAnsi="Times New Roman" w:cs="Times New Roman"/>
          <w:sz w:val="24"/>
          <w:szCs w:val="24"/>
        </w:rPr>
      </w:pPr>
      <w:r w:rsidRPr="00BC68C4">
        <w:rPr>
          <w:rFonts w:ascii="Times New Roman" w:hAnsi="Times New Roman" w:cs="Times New Roman"/>
          <w:sz w:val="24"/>
          <w:szCs w:val="24"/>
        </w:rPr>
        <w:tab/>
      </w:r>
      <w:r w:rsidR="004A2C70">
        <w:rPr>
          <w:rFonts w:ascii="Times New Roman" w:hAnsi="Times New Roman" w:cs="Times New Roman"/>
          <w:sz w:val="24"/>
          <w:szCs w:val="24"/>
        </w:rPr>
        <w:t xml:space="preserve">In summary, the results suggest that </w:t>
      </w:r>
      <w:r w:rsidR="007D2657" w:rsidRPr="00BC68C4">
        <w:rPr>
          <w:rFonts w:ascii="Times New Roman" w:hAnsi="Times New Roman" w:cs="Times New Roman"/>
          <w:sz w:val="24"/>
          <w:szCs w:val="24"/>
        </w:rPr>
        <w:t>the presence of someone</w:t>
      </w:r>
      <w:r w:rsidR="00D81EFF" w:rsidRPr="00BC68C4">
        <w:rPr>
          <w:rFonts w:ascii="Times New Roman" w:hAnsi="Times New Roman" w:cs="Times New Roman"/>
          <w:sz w:val="24"/>
          <w:szCs w:val="24"/>
        </w:rPr>
        <w:t xml:space="preserve"> who</w:t>
      </w:r>
      <w:r w:rsidR="007D2657" w:rsidRPr="00BC68C4">
        <w:rPr>
          <w:rFonts w:ascii="Times New Roman" w:hAnsi="Times New Roman" w:cs="Times New Roman"/>
          <w:sz w:val="24"/>
          <w:szCs w:val="24"/>
        </w:rPr>
        <w:t xml:space="preserve"> is both a large shareholder and a director is associated with a higher ROA</w:t>
      </w:r>
      <w:r w:rsidR="00E236F2" w:rsidRPr="00BC68C4">
        <w:rPr>
          <w:rFonts w:ascii="Times New Roman" w:hAnsi="Times New Roman" w:cs="Times New Roman"/>
          <w:sz w:val="24"/>
          <w:szCs w:val="24"/>
        </w:rPr>
        <w:t xml:space="preserve"> and less likelihood of experiencing a negative future state</w:t>
      </w:r>
      <w:r w:rsidR="007D2657" w:rsidRPr="00BC68C4">
        <w:rPr>
          <w:rFonts w:ascii="Times New Roman" w:hAnsi="Times New Roman" w:cs="Times New Roman"/>
          <w:sz w:val="24"/>
          <w:szCs w:val="24"/>
        </w:rPr>
        <w:t xml:space="preserve">, but it does not result in a higher </w:t>
      </w:r>
      <w:r w:rsidR="00D7094E" w:rsidRPr="00BC68C4">
        <w:rPr>
          <w:rFonts w:ascii="Times New Roman" w:hAnsi="Times New Roman" w:cs="Times New Roman"/>
          <w:sz w:val="24"/>
          <w:szCs w:val="24"/>
        </w:rPr>
        <w:t xml:space="preserve">Tobin’s </w:t>
      </w:r>
      <w:r w:rsidR="007D2657" w:rsidRPr="00BC68C4">
        <w:rPr>
          <w:rFonts w:ascii="Times New Roman" w:hAnsi="Times New Roman" w:cs="Times New Roman"/>
          <w:sz w:val="24"/>
          <w:szCs w:val="24"/>
        </w:rPr>
        <w:t>Q.</w:t>
      </w:r>
      <w:r w:rsidR="00E236F2" w:rsidRPr="00BC68C4">
        <w:rPr>
          <w:rFonts w:ascii="Times New Roman" w:hAnsi="Times New Roman" w:cs="Times New Roman"/>
          <w:sz w:val="24"/>
          <w:szCs w:val="24"/>
        </w:rPr>
        <w:t xml:space="preserve"> </w:t>
      </w:r>
      <w:r w:rsidR="00E721A7" w:rsidRPr="00BC68C4">
        <w:rPr>
          <w:rFonts w:ascii="Times New Roman" w:hAnsi="Times New Roman" w:cs="Times New Roman"/>
          <w:sz w:val="24"/>
          <w:szCs w:val="24"/>
        </w:rPr>
        <w:t xml:space="preserve"> This implies that large active </w:t>
      </w:r>
      <w:proofErr w:type="spellStart"/>
      <w:r w:rsidR="00E721A7" w:rsidRPr="00BC68C4">
        <w:rPr>
          <w:rFonts w:ascii="Times New Roman" w:hAnsi="Times New Roman" w:cs="Times New Roman"/>
          <w:sz w:val="24"/>
          <w:szCs w:val="24"/>
        </w:rPr>
        <w:t>blockholders</w:t>
      </w:r>
      <w:proofErr w:type="spellEnd"/>
      <w:r w:rsidR="00E721A7" w:rsidRPr="00BC68C4">
        <w:rPr>
          <w:rFonts w:ascii="Times New Roman" w:hAnsi="Times New Roman" w:cs="Times New Roman"/>
          <w:sz w:val="24"/>
          <w:szCs w:val="24"/>
        </w:rPr>
        <w:t xml:space="preserve"> alleviate </w:t>
      </w:r>
      <w:r w:rsidR="004C69F6" w:rsidRPr="00BC68C4">
        <w:rPr>
          <w:rFonts w:ascii="Times New Roman" w:hAnsi="Times New Roman" w:cs="Times New Roman"/>
          <w:sz w:val="24"/>
          <w:szCs w:val="24"/>
        </w:rPr>
        <w:t xml:space="preserve">managerial </w:t>
      </w:r>
      <w:r w:rsidR="00E721A7" w:rsidRPr="00BC68C4">
        <w:rPr>
          <w:rFonts w:ascii="Times New Roman" w:hAnsi="Times New Roman" w:cs="Times New Roman"/>
          <w:sz w:val="24"/>
          <w:szCs w:val="24"/>
        </w:rPr>
        <w:t xml:space="preserve">agency problems and have a desire for survival in the long run, but their presence is not necessarily valued by other shareholders. </w:t>
      </w:r>
      <w:r w:rsidR="00E236F2" w:rsidRPr="00BC68C4">
        <w:rPr>
          <w:rFonts w:ascii="Times New Roman" w:hAnsi="Times New Roman" w:cs="Times New Roman"/>
          <w:sz w:val="24"/>
          <w:szCs w:val="24"/>
        </w:rPr>
        <w:t xml:space="preserve"> </w:t>
      </w:r>
      <w:r w:rsidR="004A56B2">
        <w:rPr>
          <w:rFonts w:ascii="Times New Roman" w:hAnsi="Times New Roman" w:cs="Times New Roman"/>
          <w:sz w:val="24"/>
          <w:szCs w:val="24"/>
        </w:rPr>
        <w:t>T</w:t>
      </w:r>
      <w:r w:rsidR="007D2657" w:rsidRPr="00BC68C4">
        <w:rPr>
          <w:rFonts w:ascii="Times New Roman" w:hAnsi="Times New Roman" w:cs="Times New Roman"/>
          <w:sz w:val="24"/>
          <w:szCs w:val="24"/>
        </w:rPr>
        <w:t xml:space="preserve">he number of directors who are not large shareholders </w:t>
      </w:r>
      <w:r w:rsidR="001D6560" w:rsidRPr="00BC68C4">
        <w:rPr>
          <w:rFonts w:ascii="Times New Roman" w:hAnsi="Times New Roman" w:cs="Times New Roman"/>
          <w:sz w:val="24"/>
          <w:szCs w:val="24"/>
        </w:rPr>
        <w:t xml:space="preserve">is </w:t>
      </w:r>
      <w:r w:rsidR="00D81EFF" w:rsidRPr="00BC68C4">
        <w:rPr>
          <w:rFonts w:ascii="Times New Roman" w:hAnsi="Times New Roman" w:cs="Times New Roman"/>
          <w:sz w:val="24"/>
          <w:szCs w:val="24"/>
        </w:rPr>
        <w:t>positively correlated</w:t>
      </w:r>
      <w:r w:rsidR="001D6560" w:rsidRPr="00BC68C4">
        <w:rPr>
          <w:rFonts w:ascii="Times New Roman" w:hAnsi="Times New Roman" w:cs="Times New Roman"/>
          <w:sz w:val="24"/>
          <w:szCs w:val="24"/>
        </w:rPr>
        <w:t xml:space="preserve"> with a higher Tobin’s Q and </w:t>
      </w:r>
      <w:r w:rsidR="00D81EFF" w:rsidRPr="00BC68C4">
        <w:rPr>
          <w:rFonts w:ascii="Times New Roman" w:hAnsi="Times New Roman" w:cs="Times New Roman"/>
          <w:sz w:val="24"/>
          <w:szCs w:val="24"/>
        </w:rPr>
        <w:t xml:space="preserve">a </w:t>
      </w:r>
      <w:r w:rsidR="004775DD" w:rsidRPr="00BC68C4">
        <w:rPr>
          <w:rFonts w:ascii="Times New Roman" w:hAnsi="Times New Roman" w:cs="Times New Roman"/>
          <w:sz w:val="24"/>
          <w:szCs w:val="24"/>
        </w:rPr>
        <w:t xml:space="preserve">lower </w:t>
      </w:r>
      <w:r w:rsidR="001D6560" w:rsidRPr="00BC68C4">
        <w:rPr>
          <w:rFonts w:ascii="Times New Roman" w:hAnsi="Times New Roman" w:cs="Times New Roman"/>
          <w:sz w:val="24"/>
          <w:szCs w:val="24"/>
        </w:rPr>
        <w:t xml:space="preserve">probability of failure in the </w:t>
      </w:r>
      <w:r w:rsidR="00D81EFF" w:rsidRPr="00BC68C4">
        <w:rPr>
          <w:rFonts w:ascii="Times New Roman" w:hAnsi="Times New Roman" w:cs="Times New Roman"/>
          <w:sz w:val="24"/>
          <w:szCs w:val="24"/>
        </w:rPr>
        <w:t>long run</w:t>
      </w:r>
      <w:r w:rsidR="004C69F6" w:rsidRPr="00BC68C4">
        <w:rPr>
          <w:rFonts w:ascii="Times New Roman" w:hAnsi="Times New Roman" w:cs="Times New Roman"/>
          <w:sz w:val="24"/>
          <w:szCs w:val="24"/>
        </w:rPr>
        <w:t>, which may imply</w:t>
      </w:r>
      <w:r w:rsidR="000661EA" w:rsidRPr="00BC68C4">
        <w:rPr>
          <w:rFonts w:ascii="Times New Roman" w:hAnsi="Times New Roman" w:cs="Times New Roman"/>
          <w:sz w:val="24"/>
          <w:szCs w:val="24"/>
        </w:rPr>
        <w:t xml:space="preserve"> that</w:t>
      </w:r>
      <w:r w:rsidR="004C69F6" w:rsidRPr="00BC68C4">
        <w:rPr>
          <w:rFonts w:ascii="Times New Roman" w:hAnsi="Times New Roman" w:cs="Times New Roman"/>
          <w:sz w:val="24"/>
          <w:szCs w:val="24"/>
        </w:rPr>
        <w:t xml:space="preserve"> they were effective at preventing expropriation by large shareholders.</w:t>
      </w:r>
    </w:p>
    <w:p w14:paraId="1BB17AFC" w14:textId="5A4F6DFD" w:rsidR="001D6560" w:rsidRPr="00BE1C32" w:rsidRDefault="00BE1C32" w:rsidP="00BE1C32">
      <w:pPr>
        <w:spacing w:line="480" w:lineRule="auto"/>
        <w:jc w:val="center"/>
        <w:rPr>
          <w:rFonts w:ascii="Times New Roman" w:hAnsi="Times New Roman" w:cs="Times New Roman"/>
          <w:sz w:val="24"/>
          <w:szCs w:val="24"/>
        </w:rPr>
      </w:pPr>
      <w:r w:rsidRPr="00BE1C32">
        <w:rPr>
          <w:rFonts w:ascii="Times New Roman" w:hAnsi="Times New Roman" w:cs="Times New Roman"/>
          <w:sz w:val="24"/>
          <w:szCs w:val="24"/>
        </w:rPr>
        <w:t>CONCLUSION</w:t>
      </w:r>
    </w:p>
    <w:p w14:paraId="1598970C" w14:textId="5E4D3DB5" w:rsidR="0079342F" w:rsidRPr="00BC68C4" w:rsidRDefault="00D0248F" w:rsidP="0079342F">
      <w:pPr>
        <w:spacing w:line="480" w:lineRule="auto"/>
        <w:rPr>
          <w:rFonts w:ascii="Times New Roman" w:hAnsi="Times New Roman" w:cs="Times New Roman"/>
          <w:sz w:val="24"/>
          <w:szCs w:val="24"/>
        </w:rPr>
      </w:pPr>
      <w:r w:rsidRPr="00BC68C4">
        <w:rPr>
          <w:rFonts w:ascii="Times New Roman" w:hAnsi="Times New Roman" w:cs="Times New Roman"/>
          <w:sz w:val="24"/>
          <w:szCs w:val="24"/>
        </w:rPr>
        <w:t xml:space="preserve">This paper has addressed the debate of whether ownership structure mattered for firm performance in Victorian Britain. </w:t>
      </w:r>
      <w:r w:rsidR="0079342F" w:rsidRPr="00BC68C4">
        <w:rPr>
          <w:rFonts w:ascii="Times New Roman" w:hAnsi="Times New Roman" w:cs="Times New Roman"/>
          <w:sz w:val="24"/>
          <w:szCs w:val="24"/>
        </w:rPr>
        <w:t>O</w:t>
      </w:r>
      <w:r w:rsidR="00046609" w:rsidRPr="00BC68C4">
        <w:rPr>
          <w:rFonts w:ascii="Times New Roman" w:hAnsi="Times New Roman" w:cs="Times New Roman"/>
          <w:sz w:val="24"/>
          <w:szCs w:val="24"/>
        </w:rPr>
        <w:t xml:space="preserve">ur basic </w:t>
      </w:r>
      <w:r w:rsidR="0079342F" w:rsidRPr="00BC68C4">
        <w:rPr>
          <w:rFonts w:ascii="Times New Roman" w:hAnsi="Times New Roman" w:cs="Times New Roman"/>
          <w:sz w:val="24"/>
          <w:szCs w:val="24"/>
        </w:rPr>
        <w:t xml:space="preserve">finding </w:t>
      </w:r>
      <w:r w:rsidR="00EB7E7A" w:rsidRPr="00BC68C4">
        <w:rPr>
          <w:rFonts w:ascii="Times New Roman" w:hAnsi="Times New Roman" w:cs="Times New Roman"/>
          <w:sz w:val="24"/>
          <w:szCs w:val="24"/>
        </w:rPr>
        <w:t>is that it wa</w:t>
      </w:r>
      <w:r w:rsidR="00046609" w:rsidRPr="00BC68C4">
        <w:rPr>
          <w:rFonts w:ascii="Times New Roman" w:hAnsi="Times New Roman" w:cs="Times New Roman"/>
          <w:sz w:val="24"/>
          <w:szCs w:val="24"/>
        </w:rPr>
        <w:t>s not the broad structure of c</w:t>
      </w:r>
      <w:r w:rsidR="0079342F" w:rsidRPr="00BC68C4">
        <w:rPr>
          <w:rFonts w:ascii="Times New Roman" w:hAnsi="Times New Roman" w:cs="Times New Roman"/>
          <w:sz w:val="24"/>
          <w:szCs w:val="24"/>
        </w:rPr>
        <w:t>orporate ownership which mattered</w:t>
      </w:r>
      <w:r w:rsidR="00046609" w:rsidRPr="00BC68C4">
        <w:rPr>
          <w:rFonts w:ascii="Times New Roman" w:hAnsi="Times New Roman" w:cs="Times New Roman"/>
          <w:sz w:val="24"/>
          <w:szCs w:val="24"/>
        </w:rPr>
        <w:t xml:space="preserve"> for </w:t>
      </w:r>
      <w:r w:rsidR="0079342F" w:rsidRPr="00BC68C4">
        <w:rPr>
          <w:rFonts w:ascii="Times New Roman" w:hAnsi="Times New Roman" w:cs="Times New Roman"/>
          <w:sz w:val="24"/>
          <w:szCs w:val="24"/>
        </w:rPr>
        <w:t xml:space="preserve">the </w:t>
      </w:r>
      <w:r w:rsidR="00046609" w:rsidRPr="00BC68C4">
        <w:rPr>
          <w:rFonts w:ascii="Times New Roman" w:hAnsi="Times New Roman" w:cs="Times New Roman"/>
          <w:sz w:val="24"/>
          <w:szCs w:val="24"/>
        </w:rPr>
        <w:t>performance</w:t>
      </w:r>
      <w:r w:rsidR="0079342F" w:rsidRPr="00BC68C4">
        <w:rPr>
          <w:rFonts w:ascii="Times New Roman" w:hAnsi="Times New Roman" w:cs="Times New Roman"/>
          <w:sz w:val="24"/>
          <w:szCs w:val="24"/>
        </w:rPr>
        <w:t xml:space="preserve"> of Victorian public companies</w:t>
      </w:r>
      <w:r w:rsidR="00BF7428" w:rsidRPr="00BC68C4">
        <w:rPr>
          <w:rFonts w:ascii="Times New Roman" w:hAnsi="Times New Roman" w:cs="Times New Roman"/>
          <w:sz w:val="24"/>
          <w:szCs w:val="24"/>
        </w:rPr>
        <w:t>,</w:t>
      </w:r>
      <w:r w:rsidR="00046609" w:rsidRPr="00BC68C4">
        <w:rPr>
          <w:rFonts w:ascii="Times New Roman" w:hAnsi="Times New Roman" w:cs="Times New Roman"/>
          <w:sz w:val="24"/>
          <w:szCs w:val="24"/>
        </w:rPr>
        <w:t xml:space="preserve"> but whether </w:t>
      </w:r>
      <w:r w:rsidR="004A2C70">
        <w:rPr>
          <w:rFonts w:ascii="Times New Roman" w:hAnsi="Times New Roman" w:cs="Times New Roman"/>
          <w:sz w:val="24"/>
          <w:szCs w:val="24"/>
        </w:rPr>
        <w:t xml:space="preserve">a </w:t>
      </w:r>
      <w:r w:rsidR="00737B80" w:rsidRPr="00BC68C4">
        <w:rPr>
          <w:rFonts w:ascii="Times New Roman" w:hAnsi="Times New Roman" w:cs="Times New Roman"/>
          <w:sz w:val="24"/>
          <w:szCs w:val="24"/>
        </w:rPr>
        <w:t xml:space="preserve">family </w:t>
      </w:r>
      <w:proofErr w:type="spellStart"/>
      <w:r w:rsidR="00737B80" w:rsidRPr="00BC68C4">
        <w:rPr>
          <w:rFonts w:ascii="Times New Roman" w:hAnsi="Times New Roman" w:cs="Times New Roman"/>
          <w:sz w:val="24"/>
          <w:szCs w:val="24"/>
        </w:rPr>
        <w:t>blockholder</w:t>
      </w:r>
      <w:proofErr w:type="spellEnd"/>
      <w:r w:rsidR="0079342F" w:rsidRPr="00BC68C4">
        <w:rPr>
          <w:rFonts w:ascii="Times New Roman" w:hAnsi="Times New Roman" w:cs="Times New Roman"/>
          <w:sz w:val="24"/>
          <w:szCs w:val="24"/>
        </w:rPr>
        <w:t xml:space="preserve"> had</w:t>
      </w:r>
      <w:r w:rsidR="00046609" w:rsidRPr="00BC68C4">
        <w:rPr>
          <w:rFonts w:ascii="Times New Roman" w:hAnsi="Times New Roman" w:cs="Times New Roman"/>
          <w:sz w:val="24"/>
          <w:szCs w:val="24"/>
        </w:rPr>
        <w:t xml:space="preserve"> a governance role.</w:t>
      </w:r>
      <w:r w:rsidR="0079342F" w:rsidRPr="00BC68C4">
        <w:rPr>
          <w:rFonts w:ascii="Times New Roman" w:hAnsi="Times New Roman" w:cs="Times New Roman"/>
          <w:sz w:val="24"/>
          <w:szCs w:val="24"/>
        </w:rPr>
        <w:t xml:space="preserve"> Our results suggest that l</w:t>
      </w:r>
      <w:r w:rsidR="00BF7428" w:rsidRPr="00BC68C4">
        <w:rPr>
          <w:rFonts w:ascii="Times New Roman" w:hAnsi="Times New Roman" w:cs="Times New Roman"/>
          <w:sz w:val="24"/>
          <w:szCs w:val="24"/>
        </w:rPr>
        <w:t xml:space="preserve">arge </w:t>
      </w:r>
      <w:r w:rsidR="00737B80" w:rsidRPr="00BC68C4">
        <w:rPr>
          <w:rFonts w:ascii="Times New Roman" w:hAnsi="Times New Roman" w:cs="Times New Roman"/>
          <w:sz w:val="24"/>
          <w:szCs w:val="24"/>
        </w:rPr>
        <w:t xml:space="preserve">family </w:t>
      </w:r>
      <w:proofErr w:type="spellStart"/>
      <w:r w:rsidR="007D3E56" w:rsidRPr="00BC68C4">
        <w:rPr>
          <w:rFonts w:ascii="Times New Roman" w:hAnsi="Times New Roman" w:cs="Times New Roman"/>
          <w:sz w:val="24"/>
          <w:szCs w:val="24"/>
        </w:rPr>
        <w:t>block</w:t>
      </w:r>
      <w:r w:rsidR="0079342F" w:rsidRPr="00BC68C4">
        <w:rPr>
          <w:rFonts w:ascii="Times New Roman" w:hAnsi="Times New Roman" w:cs="Times New Roman"/>
          <w:sz w:val="24"/>
          <w:szCs w:val="24"/>
        </w:rPr>
        <w:t>holders</w:t>
      </w:r>
      <w:proofErr w:type="spellEnd"/>
      <w:r w:rsidR="0079342F" w:rsidRPr="00BC68C4">
        <w:rPr>
          <w:rFonts w:ascii="Times New Roman" w:hAnsi="Times New Roman" w:cs="Times New Roman"/>
          <w:sz w:val="24"/>
          <w:szCs w:val="24"/>
        </w:rPr>
        <w:t xml:space="preserve"> who we</w:t>
      </w:r>
      <w:r w:rsidR="00BF7428" w:rsidRPr="00BC68C4">
        <w:rPr>
          <w:rFonts w:ascii="Times New Roman" w:hAnsi="Times New Roman" w:cs="Times New Roman"/>
          <w:sz w:val="24"/>
          <w:szCs w:val="24"/>
        </w:rPr>
        <w:t>re directors ensure</w:t>
      </w:r>
      <w:r w:rsidR="0079342F" w:rsidRPr="00BC68C4">
        <w:rPr>
          <w:rFonts w:ascii="Times New Roman" w:hAnsi="Times New Roman" w:cs="Times New Roman"/>
          <w:sz w:val="24"/>
          <w:szCs w:val="24"/>
        </w:rPr>
        <w:t>d that firms we</w:t>
      </w:r>
      <w:r w:rsidR="00BF7428" w:rsidRPr="00BC68C4">
        <w:rPr>
          <w:rFonts w:ascii="Times New Roman" w:hAnsi="Times New Roman" w:cs="Times New Roman"/>
          <w:sz w:val="24"/>
          <w:szCs w:val="24"/>
        </w:rPr>
        <w:t>re well run and alleviate</w:t>
      </w:r>
      <w:r w:rsidR="0079342F" w:rsidRPr="00BC68C4">
        <w:rPr>
          <w:rFonts w:ascii="Times New Roman" w:hAnsi="Times New Roman" w:cs="Times New Roman"/>
          <w:sz w:val="24"/>
          <w:szCs w:val="24"/>
        </w:rPr>
        <w:t>d</w:t>
      </w:r>
      <w:r w:rsidR="00BF7428" w:rsidRPr="00BC68C4">
        <w:rPr>
          <w:rFonts w:ascii="Times New Roman" w:hAnsi="Times New Roman" w:cs="Times New Roman"/>
          <w:sz w:val="24"/>
          <w:szCs w:val="24"/>
        </w:rPr>
        <w:t xml:space="preserve"> </w:t>
      </w:r>
      <w:r w:rsidR="00C20E77" w:rsidRPr="00BC68C4">
        <w:rPr>
          <w:rFonts w:ascii="Times New Roman" w:hAnsi="Times New Roman" w:cs="Times New Roman"/>
          <w:sz w:val="24"/>
          <w:szCs w:val="24"/>
        </w:rPr>
        <w:t xml:space="preserve">managerial </w:t>
      </w:r>
      <w:r w:rsidR="00BF7428" w:rsidRPr="00BC68C4">
        <w:rPr>
          <w:rFonts w:ascii="Times New Roman" w:hAnsi="Times New Roman" w:cs="Times New Roman"/>
          <w:sz w:val="24"/>
          <w:szCs w:val="24"/>
        </w:rPr>
        <w:t xml:space="preserve">agency problems. However, minority shareholders </w:t>
      </w:r>
      <w:r w:rsidR="0079342F" w:rsidRPr="00BC68C4">
        <w:rPr>
          <w:rFonts w:ascii="Times New Roman" w:hAnsi="Times New Roman" w:cs="Times New Roman"/>
          <w:sz w:val="24"/>
          <w:szCs w:val="24"/>
        </w:rPr>
        <w:t>in Victorian Britain appear</w:t>
      </w:r>
      <w:r w:rsidR="00BF7428" w:rsidRPr="00BC68C4">
        <w:rPr>
          <w:rFonts w:ascii="Times New Roman" w:hAnsi="Times New Roman" w:cs="Times New Roman"/>
          <w:sz w:val="24"/>
          <w:szCs w:val="24"/>
        </w:rPr>
        <w:t xml:space="preserve"> not</w:t>
      </w:r>
      <w:r w:rsidR="0079342F" w:rsidRPr="00BC68C4">
        <w:rPr>
          <w:rFonts w:ascii="Times New Roman" w:hAnsi="Times New Roman" w:cs="Times New Roman"/>
          <w:sz w:val="24"/>
          <w:szCs w:val="24"/>
        </w:rPr>
        <w:t xml:space="preserve"> to have</w:t>
      </w:r>
      <w:r w:rsidR="00BF7428" w:rsidRPr="00BC68C4">
        <w:rPr>
          <w:rFonts w:ascii="Times New Roman" w:hAnsi="Times New Roman" w:cs="Times New Roman"/>
          <w:sz w:val="24"/>
          <w:szCs w:val="24"/>
        </w:rPr>
        <w:t xml:space="preserve"> place</w:t>
      </w:r>
      <w:r w:rsidR="0079342F" w:rsidRPr="00BC68C4">
        <w:rPr>
          <w:rFonts w:ascii="Times New Roman" w:hAnsi="Times New Roman" w:cs="Times New Roman"/>
          <w:sz w:val="24"/>
          <w:szCs w:val="24"/>
        </w:rPr>
        <w:t>d</w:t>
      </w:r>
      <w:r w:rsidR="00BF7428" w:rsidRPr="00BC68C4">
        <w:rPr>
          <w:rFonts w:ascii="Times New Roman" w:hAnsi="Times New Roman" w:cs="Times New Roman"/>
          <w:sz w:val="24"/>
          <w:szCs w:val="24"/>
        </w:rPr>
        <w:t xml:space="preserve"> a high value on such firms</w:t>
      </w:r>
      <w:r w:rsidR="0079342F" w:rsidRPr="00BC68C4">
        <w:rPr>
          <w:rFonts w:ascii="Times New Roman" w:hAnsi="Times New Roman" w:cs="Times New Roman"/>
          <w:sz w:val="24"/>
          <w:szCs w:val="24"/>
        </w:rPr>
        <w:t>, possibly</w:t>
      </w:r>
      <w:r w:rsidR="00BF7428" w:rsidRPr="00BC68C4">
        <w:rPr>
          <w:rFonts w:ascii="Times New Roman" w:hAnsi="Times New Roman" w:cs="Times New Roman"/>
          <w:sz w:val="24"/>
          <w:szCs w:val="24"/>
        </w:rPr>
        <w:t xml:space="preserve"> because of the potential threat of expropriation</w:t>
      </w:r>
      <w:r w:rsidRPr="00BC68C4">
        <w:rPr>
          <w:rFonts w:ascii="Times New Roman" w:hAnsi="Times New Roman" w:cs="Times New Roman"/>
          <w:sz w:val="24"/>
          <w:szCs w:val="24"/>
        </w:rPr>
        <w:t xml:space="preserve">. </w:t>
      </w:r>
      <w:r w:rsidR="0079342F" w:rsidRPr="00BC68C4">
        <w:rPr>
          <w:rFonts w:ascii="Times New Roman" w:hAnsi="Times New Roman" w:cs="Times New Roman"/>
          <w:sz w:val="24"/>
          <w:szCs w:val="24"/>
        </w:rPr>
        <w:t xml:space="preserve">Indeed, minority shareholders seemed to </w:t>
      </w:r>
      <w:r w:rsidR="00F45F4F" w:rsidRPr="00BC68C4">
        <w:rPr>
          <w:rFonts w:ascii="Times New Roman" w:hAnsi="Times New Roman" w:cs="Times New Roman"/>
          <w:sz w:val="24"/>
          <w:szCs w:val="24"/>
        </w:rPr>
        <w:t>pre</w:t>
      </w:r>
      <w:r w:rsidR="0079342F" w:rsidRPr="00BC68C4">
        <w:rPr>
          <w:rFonts w:ascii="Times New Roman" w:hAnsi="Times New Roman" w:cs="Times New Roman"/>
          <w:sz w:val="24"/>
          <w:szCs w:val="24"/>
        </w:rPr>
        <w:t xml:space="preserve">fer boards </w:t>
      </w:r>
      <w:r w:rsidR="00F45F4F" w:rsidRPr="00BC68C4">
        <w:rPr>
          <w:rFonts w:ascii="Times New Roman" w:hAnsi="Times New Roman" w:cs="Times New Roman"/>
          <w:sz w:val="24"/>
          <w:szCs w:val="24"/>
        </w:rPr>
        <w:t>dominated</w:t>
      </w:r>
      <w:r w:rsidR="00E657DD" w:rsidRPr="00BC68C4">
        <w:rPr>
          <w:rFonts w:ascii="Times New Roman" w:hAnsi="Times New Roman" w:cs="Times New Roman"/>
          <w:sz w:val="24"/>
          <w:szCs w:val="24"/>
        </w:rPr>
        <w:t xml:space="preserve"> by</w:t>
      </w:r>
      <w:r w:rsidR="0079342F" w:rsidRPr="00BC68C4">
        <w:rPr>
          <w:rFonts w:ascii="Times New Roman" w:hAnsi="Times New Roman" w:cs="Times New Roman"/>
          <w:sz w:val="24"/>
          <w:szCs w:val="24"/>
        </w:rPr>
        <w:t xml:space="preserve"> independent directors and not</w:t>
      </w:r>
      <w:r w:rsidR="00F45F4F" w:rsidRPr="00BC68C4">
        <w:rPr>
          <w:rFonts w:ascii="Times New Roman" w:hAnsi="Times New Roman" w:cs="Times New Roman"/>
          <w:sz w:val="24"/>
          <w:szCs w:val="24"/>
        </w:rPr>
        <w:t xml:space="preserve"> by large shareholders.</w:t>
      </w:r>
      <w:r w:rsidRPr="00BC68C4">
        <w:rPr>
          <w:rFonts w:ascii="Times New Roman" w:hAnsi="Times New Roman" w:cs="Times New Roman"/>
          <w:sz w:val="24"/>
          <w:szCs w:val="24"/>
        </w:rPr>
        <w:t xml:space="preserve"> </w:t>
      </w:r>
      <w:r w:rsidR="0079342F" w:rsidRPr="00BC68C4">
        <w:rPr>
          <w:rFonts w:ascii="Times New Roman" w:hAnsi="Times New Roman" w:cs="Times New Roman"/>
          <w:sz w:val="24"/>
          <w:szCs w:val="24"/>
        </w:rPr>
        <w:t>This implies that independent directors played a useful economic</w:t>
      </w:r>
      <w:r w:rsidR="000661EA" w:rsidRPr="00BC68C4">
        <w:rPr>
          <w:rFonts w:ascii="Times New Roman" w:hAnsi="Times New Roman" w:cs="Times New Roman"/>
          <w:sz w:val="24"/>
          <w:szCs w:val="24"/>
        </w:rPr>
        <w:t xml:space="preserve"> function</w:t>
      </w:r>
      <w:r w:rsidR="0079342F" w:rsidRPr="00BC68C4">
        <w:rPr>
          <w:rFonts w:ascii="Times New Roman" w:hAnsi="Times New Roman" w:cs="Times New Roman"/>
          <w:sz w:val="24"/>
          <w:szCs w:val="24"/>
        </w:rPr>
        <w:t xml:space="preserve"> in Victorian Britain and were not just ornamental.</w:t>
      </w:r>
    </w:p>
    <w:p w14:paraId="690DD705" w14:textId="6705EC26" w:rsidR="00CE761F" w:rsidRPr="00BC68C4" w:rsidRDefault="00E961EE" w:rsidP="00E961EE">
      <w:pPr>
        <w:spacing w:line="480" w:lineRule="auto"/>
        <w:ind w:firstLine="720"/>
        <w:rPr>
          <w:rFonts w:ascii="Times New Roman" w:hAnsi="Times New Roman" w:cs="Times New Roman"/>
          <w:sz w:val="24"/>
          <w:szCs w:val="24"/>
        </w:rPr>
      </w:pPr>
      <w:r w:rsidRPr="00BC68C4">
        <w:rPr>
          <w:rFonts w:ascii="Times New Roman" w:hAnsi="Times New Roman" w:cs="Times New Roman"/>
          <w:sz w:val="24"/>
          <w:szCs w:val="24"/>
        </w:rPr>
        <w:t>F</w:t>
      </w:r>
      <w:r w:rsidR="001663E2" w:rsidRPr="00BC68C4">
        <w:rPr>
          <w:rFonts w:ascii="Times New Roman" w:hAnsi="Times New Roman" w:cs="Times New Roman"/>
          <w:sz w:val="24"/>
          <w:szCs w:val="24"/>
        </w:rPr>
        <w:t xml:space="preserve">irms dominated by </w:t>
      </w:r>
      <w:r w:rsidR="00A82C29" w:rsidRPr="00BC68C4">
        <w:rPr>
          <w:rFonts w:ascii="Times New Roman" w:hAnsi="Times New Roman" w:cs="Times New Roman"/>
          <w:sz w:val="24"/>
          <w:szCs w:val="24"/>
        </w:rPr>
        <w:t xml:space="preserve">family </w:t>
      </w:r>
      <w:proofErr w:type="spellStart"/>
      <w:r w:rsidR="001663E2" w:rsidRPr="00BC68C4">
        <w:rPr>
          <w:rFonts w:ascii="Times New Roman" w:hAnsi="Times New Roman" w:cs="Times New Roman"/>
          <w:sz w:val="24"/>
          <w:szCs w:val="24"/>
        </w:rPr>
        <w:t>blockholders</w:t>
      </w:r>
      <w:proofErr w:type="spellEnd"/>
      <w:r w:rsidR="001663E2" w:rsidRPr="00BC68C4">
        <w:rPr>
          <w:rFonts w:ascii="Times New Roman" w:hAnsi="Times New Roman" w:cs="Times New Roman"/>
          <w:sz w:val="24"/>
          <w:szCs w:val="24"/>
        </w:rPr>
        <w:t xml:space="preserve"> were relatively uncommon before the 1890s, </w:t>
      </w:r>
      <w:r w:rsidRPr="00BC68C4">
        <w:rPr>
          <w:rFonts w:ascii="Times New Roman" w:hAnsi="Times New Roman" w:cs="Times New Roman"/>
          <w:sz w:val="24"/>
          <w:szCs w:val="24"/>
        </w:rPr>
        <w:t xml:space="preserve">as </w:t>
      </w:r>
      <w:r w:rsidR="00EB7E7A" w:rsidRPr="00BC68C4">
        <w:rPr>
          <w:rFonts w:ascii="Times New Roman" w:hAnsi="Times New Roman" w:cs="Times New Roman"/>
          <w:sz w:val="24"/>
          <w:szCs w:val="24"/>
        </w:rPr>
        <w:t>many</w:t>
      </w:r>
      <w:r w:rsidR="00A66480" w:rsidRPr="00BC68C4">
        <w:rPr>
          <w:rFonts w:ascii="Times New Roman" w:hAnsi="Times New Roman" w:cs="Times New Roman"/>
          <w:sz w:val="24"/>
          <w:szCs w:val="24"/>
        </w:rPr>
        <w:t xml:space="preserve"> public companies launched on the stock market from scratch</w:t>
      </w:r>
      <w:r w:rsidRPr="00BC68C4">
        <w:rPr>
          <w:rFonts w:ascii="Times New Roman" w:hAnsi="Times New Roman" w:cs="Times New Roman"/>
          <w:sz w:val="24"/>
          <w:szCs w:val="24"/>
        </w:rPr>
        <w:t xml:space="preserve"> before that time. However, </w:t>
      </w:r>
      <w:proofErr w:type="spellStart"/>
      <w:r w:rsidRPr="00BC68C4">
        <w:rPr>
          <w:rFonts w:ascii="Times New Roman" w:hAnsi="Times New Roman" w:cs="Times New Roman"/>
          <w:sz w:val="24"/>
          <w:szCs w:val="24"/>
        </w:rPr>
        <w:t>blockholders</w:t>
      </w:r>
      <w:proofErr w:type="spellEnd"/>
      <w:r w:rsidRPr="00BC68C4">
        <w:rPr>
          <w:rFonts w:ascii="Times New Roman" w:hAnsi="Times New Roman" w:cs="Times New Roman"/>
          <w:sz w:val="24"/>
          <w:szCs w:val="24"/>
        </w:rPr>
        <w:t xml:space="preserve"> became much more common from the 1890s onwards as </w:t>
      </w:r>
      <w:r w:rsidR="00A66480" w:rsidRPr="00BC68C4">
        <w:rPr>
          <w:rFonts w:ascii="Times New Roman" w:hAnsi="Times New Roman" w:cs="Times New Roman"/>
          <w:sz w:val="24"/>
          <w:szCs w:val="24"/>
        </w:rPr>
        <w:t>the</w:t>
      </w:r>
      <w:r w:rsidR="000661EA" w:rsidRPr="00BC68C4">
        <w:rPr>
          <w:rFonts w:ascii="Times New Roman" w:hAnsi="Times New Roman" w:cs="Times New Roman"/>
          <w:sz w:val="24"/>
          <w:szCs w:val="24"/>
        </w:rPr>
        <w:t xml:space="preserve"> newly-</w:t>
      </w:r>
      <w:r w:rsidRPr="00BC68C4">
        <w:rPr>
          <w:rFonts w:ascii="Times New Roman" w:hAnsi="Times New Roman" w:cs="Times New Roman"/>
          <w:sz w:val="24"/>
          <w:szCs w:val="24"/>
        </w:rPr>
        <w:t>listed firms in this era were</w:t>
      </w:r>
      <w:r w:rsidR="00A66480" w:rsidRPr="00BC68C4">
        <w:rPr>
          <w:rFonts w:ascii="Times New Roman" w:hAnsi="Times New Roman" w:cs="Times New Roman"/>
          <w:sz w:val="24"/>
          <w:szCs w:val="24"/>
        </w:rPr>
        <w:t xml:space="preserve"> typical</w:t>
      </w:r>
      <w:r w:rsidRPr="00BC68C4">
        <w:rPr>
          <w:rFonts w:ascii="Times New Roman" w:hAnsi="Times New Roman" w:cs="Times New Roman"/>
          <w:sz w:val="24"/>
          <w:szCs w:val="24"/>
        </w:rPr>
        <w:t>ly</w:t>
      </w:r>
      <w:r w:rsidR="00A66480" w:rsidRPr="00BC68C4">
        <w:rPr>
          <w:rFonts w:ascii="Times New Roman" w:hAnsi="Times New Roman" w:cs="Times New Roman"/>
          <w:sz w:val="24"/>
          <w:szCs w:val="24"/>
        </w:rPr>
        <w:t xml:space="preserve"> </w:t>
      </w:r>
      <w:r w:rsidR="00640BA1" w:rsidRPr="00BC68C4">
        <w:rPr>
          <w:rFonts w:ascii="Times New Roman" w:hAnsi="Times New Roman" w:cs="Times New Roman"/>
          <w:sz w:val="24"/>
          <w:szCs w:val="24"/>
        </w:rPr>
        <w:t>conversion</w:t>
      </w:r>
      <w:r w:rsidRPr="00BC68C4">
        <w:rPr>
          <w:rFonts w:ascii="Times New Roman" w:hAnsi="Times New Roman" w:cs="Times New Roman"/>
          <w:sz w:val="24"/>
          <w:szCs w:val="24"/>
        </w:rPr>
        <w:t>s</w:t>
      </w:r>
      <w:r w:rsidR="00A66480" w:rsidRPr="00BC68C4">
        <w:rPr>
          <w:rFonts w:ascii="Times New Roman" w:hAnsi="Times New Roman" w:cs="Times New Roman"/>
          <w:sz w:val="24"/>
          <w:szCs w:val="24"/>
        </w:rPr>
        <w:t xml:space="preserve"> of long-</w:t>
      </w:r>
      <w:r w:rsidR="00640BA1" w:rsidRPr="00BC68C4">
        <w:rPr>
          <w:rFonts w:ascii="Times New Roman" w:hAnsi="Times New Roman" w:cs="Times New Roman"/>
          <w:sz w:val="24"/>
          <w:szCs w:val="24"/>
        </w:rPr>
        <w:t>established firm</w:t>
      </w:r>
      <w:r w:rsidR="00C40649" w:rsidRPr="00BC68C4">
        <w:rPr>
          <w:rFonts w:ascii="Times New Roman" w:hAnsi="Times New Roman" w:cs="Times New Roman"/>
          <w:sz w:val="24"/>
          <w:szCs w:val="24"/>
        </w:rPr>
        <w:t>s</w:t>
      </w:r>
      <w:r w:rsidR="00A66480" w:rsidRPr="00BC68C4">
        <w:rPr>
          <w:rFonts w:ascii="Times New Roman" w:hAnsi="Times New Roman" w:cs="Times New Roman"/>
          <w:sz w:val="24"/>
          <w:szCs w:val="24"/>
        </w:rPr>
        <w:t xml:space="preserve">, which had previously been </w:t>
      </w:r>
      <w:r w:rsidR="00640BA1" w:rsidRPr="00BC68C4">
        <w:rPr>
          <w:rFonts w:ascii="Times New Roman" w:hAnsi="Times New Roman" w:cs="Times New Roman"/>
          <w:sz w:val="24"/>
          <w:szCs w:val="24"/>
        </w:rPr>
        <w:t>partnership</w:t>
      </w:r>
      <w:r w:rsidR="00C40649" w:rsidRPr="00BC68C4">
        <w:rPr>
          <w:rFonts w:ascii="Times New Roman" w:hAnsi="Times New Roman" w:cs="Times New Roman"/>
          <w:sz w:val="24"/>
          <w:szCs w:val="24"/>
        </w:rPr>
        <w:t>s (Acheson et al., 2015</w:t>
      </w:r>
      <w:r w:rsidR="00A66480" w:rsidRPr="00BC68C4">
        <w:rPr>
          <w:rFonts w:ascii="Times New Roman" w:hAnsi="Times New Roman" w:cs="Times New Roman"/>
          <w:sz w:val="24"/>
          <w:szCs w:val="24"/>
        </w:rPr>
        <w:t xml:space="preserve">; </w:t>
      </w:r>
      <w:proofErr w:type="spellStart"/>
      <w:r w:rsidR="00A66480" w:rsidRPr="00BC68C4">
        <w:rPr>
          <w:rFonts w:ascii="Times New Roman" w:hAnsi="Times New Roman" w:cs="Times New Roman"/>
          <w:sz w:val="24"/>
          <w:szCs w:val="24"/>
        </w:rPr>
        <w:t>Cheffins</w:t>
      </w:r>
      <w:proofErr w:type="spellEnd"/>
      <w:r w:rsidR="00A66480" w:rsidRPr="00BC68C4">
        <w:rPr>
          <w:rFonts w:ascii="Times New Roman" w:hAnsi="Times New Roman" w:cs="Times New Roman"/>
          <w:sz w:val="24"/>
          <w:szCs w:val="24"/>
        </w:rPr>
        <w:t>, 2008, p. 181)</w:t>
      </w:r>
      <w:r w:rsidR="00EB7E7A" w:rsidRPr="00BC68C4">
        <w:rPr>
          <w:rFonts w:ascii="Times New Roman" w:hAnsi="Times New Roman" w:cs="Times New Roman"/>
          <w:sz w:val="24"/>
          <w:szCs w:val="24"/>
        </w:rPr>
        <w:t xml:space="preserve">. </w:t>
      </w:r>
      <w:r w:rsidR="00BB21A4" w:rsidRPr="00BC68C4">
        <w:rPr>
          <w:rFonts w:ascii="Times New Roman" w:hAnsi="Times New Roman" w:cs="Times New Roman"/>
          <w:sz w:val="24"/>
          <w:szCs w:val="24"/>
        </w:rPr>
        <w:t xml:space="preserve">The implications of this change in the nature of stock-market flotation for British capital markets and economic development are something to be addressed in future research.  </w:t>
      </w:r>
      <w:r w:rsidR="00640BA1" w:rsidRPr="00BC68C4">
        <w:rPr>
          <w:rFonts w:ascii="Times New Roman" w:hAnsi="Times New Roman" w:cs="Times New Roman"/>
          <w:sz w:val="24"/>
          <w:szCs w:val="24"/>
        </w:rPr>
        <w:t xml:space="preserve">  </w:t>
      </w:r>
      <w:r w:rsidR="00CE761F" w:rsidRPr="00BC68C4">
        <w:rPr>
          <w:rFonts w:ascii="Times New Roman" w:hAnsi="Times New Roman" w:cs="Times New Roman"/>
          <w:sz w:val="24"/>
          <w:szCs w:val="24"/>
        </w:rPr>
        <w:t xml:space="preserve">          </w:t>
      </w:r>
    </w:p>
    <w:p w14:paraId="1CB2BEE4" w14:textId="77777777" w:rsidR="00F83CDE" w:rsidRDefault="0009746B" w:rsidP="00DD5F0B">
      <w:pPr>
        <w:spacing w:line="480" w:lineRule="auto"/>
        <w:rPr>
          <w:rFonts w:ascii="Times New Roman" w:hAnsi="Times New Roman" w:cs="Times New Roman"/>
          <w:sz w:val="24"/>
          <w:szCs w:val="24"/>
        </w:rPr>
      </w:pPr>
      <w:r w:rsidRPr="00BC68C4">
        <w:rPr>
          <w:rFonts w:ascii="Times New Roman" w:hAnsi="Times New Roman" w:cs="Times New Roman"/>
          <w:sz w:val="24"/>
          <w:szCs w:val="24"/>
        </w:rPr>
        <w:t xml:space="preserve"> </w:t>
      </w:r>
    </w:p>
    <w:p w14:paraId="18A6B228" w14:textId="1051E3C9" w:rsidR="00780593" w:rsidRPr="00BC68C4" w:rsidRDefault="00716FF7" w:rsidP="00DD5F0B">
      <w:pPr>
        <w:spacing w:line="480" w:lineRule="auto"/>
        <w:rPr>
          <w:rFonts w:ascii="Times New Roman" w:hAnsi="Times New Roman" w:cs="Times New Roman"/>
          <w:sz w:val="24"/>
          <w:szCs w:val="24"/>
        </w:rPr>
      </w:pPr>
      <w:r w:rsidRPr="00BC68C4">
        <w:rPr>
          <w:rFonts w:ascii="Times New Roman" w:hAnsi="Times New Roman" w:cs="Times New Roman"/>
          <w:b/>
          <w:sz w:val="24"/>
          <w:szCs w:val="24"/>
        </w:rPr>
        <w:t>References</w:t>
      </w:r>
    </w:p>
    <w:p w14:paraId="199C7E9D" w14:textId="77777777" w:rsidR="00A95977" w:rsidRPr="00BC68C4" w:rsidRDefault="00A95977" w:rsidP="00A95977">
      <w:pPr>
        <w:rPr>
          <w:rFonts w:ascii="Times New Roman" w:hAnsi="Times New Roman" w:cs="Times New Roman"/>
          <w:sz w:val="24"/>
          <w:szCs w:val="24"/>
        </w:rPr>
      </w:pPr>
      <w:r w:rsidRPr="00BC68C4">
        <w:rPr>
          <w:rFonts w:ascii="Times New Roman" w:hAnsi="Times New Roman" w:cs="Times New Roman"/>
          <w:sz w:val="24"/>
          <w:szCs w:val="24"/>
        </w:rPr>
        <w:t xml:space="preserve">Acheson, Graeme G. and John D. Turner. “The Secondary Market for Bank Shares in Nineteenth-Century Britain.” </w:t>
      </w:r>
      <w:r w:rsidRPr="00BC68C4">
        <w:rPr>
          <w:rFonts w:ascii="Times New Roman" w:hAnsi="Times New Roman" w:cs="Times New Roman"/>
          <w:i/>
          <w:sz w:val="24"/>
          <w:szCs w:val="24"/>
        </w:rPr>
        <w:t>Financial History Review</w:t>
      </w:r>
      <w:r w:rsidRPr="00BC68C4">
        <w:rPr>
          <w:rFonts w:ascii="Times New Roman" w:hAnsi="Times New Roman" w:cs="Times New Roman"/>
          <w:sz w:val="24"/>
          <w:szCs w:val="24"/>
        </w:rPr>
        <w:t xml:space="preserve"> 15, no. 2 (2008): 123-51.</w:t>
      </w:r>
    </w:p>
    <w:p w14:paraId="6EE87943" w14:textId="77777777" w:rsidR="00A95977" w:rsidRPr="00EE7D2F" w:rsidRDefault="00A95977" w:rsidP="00C00EDC">
      <w:pPr>
        <w:rPr>
          <w:rFonts w:ascii="Times New Roman" w:hAnsi="Times New Roman" w:cs="Times New Roman"/>
          <w:sz w:val="24"/>
          <w:szCs w:val="24"/>
        </w:rPr>
      </w:pPr>
    </w:p>
    <w:p w14:paraId="5E04B6C3" w14:textId="699EE6E3" w:rsidR="00EE7D2F" w:rsidRPr="00EE7D2F" w:rsidRDefault="00A66480" w:rsidP="00EE7D2F">
      <w:pPr>
        <w:ind w:right="-43"/>
        <w:rPr>
          <w:rFonts w:ascii="Times New Roman" w:hAnsi="Times New Roman" w:cs="Times New Roman"/>
          <w:sz w:val="24"/>
          <w:szCs w:val="24"/>
        </w:rPr>
      </w:pPr>
      <w:r w:rsidRPr="00EE7D2F">
        <w:rPr>
          <w:rFonts w:ascii="Times New Roman" w:hAnsi="Times New Roman" w:cs="Times New Roman"/>
          <w:sz w:val="24"/>
          <w:szCs w:val="24"/>
        </w:rPr>
        <w:t xml:space="preserve">Acheson, Graeme G., Gareth Campbell, John D. Turner and Nadia Vanteeva. “Corporate Ownership and Control in Victorian Britain.” </w:t>
      </w:r>
      <w:r w:rsidR="00EE7D2F" w:rsidRPr="00EE7D2F">
        <w:rPr>
          <w:rFonts w:ascii="Times New Roman" w:hAnsi="Times New Roman" w:cs="Times New Roman"/>
          <w:i/>
          <w:sz w:val="24"/>
          <w:szCs w:val="24"/>
        </w:rPr>
        <w:t>Economic History Review</w:t>
      </w:r>
      <w:r w:rsidR="00EE7D2F">
        <w:rPr>
          <w:rFonts w:ascii="Times New Roman" w:hAnsi="Times New Roman" w:cs="Times New Roman"/>
          <w:sz w:val="24"/>
          <w:szCs w:val="24"/>
        </w:rPr>
        <w:t xml:space="preserve"> 68, no. 3 (2015): 911-36</w:t>
      </w:r>
      <w:r w:rsidR="00EE7D2F" w:rsidRPr="00EE7D2F">
        <w:rPr>
          <w:rFonts w:ascii="Times New Roman" w:hAnsi="Times New Roman" w:cs="Times New Roman"/>
          <w:sz w:val="24"/>
          <w:szCs w:val="24"/>
        </w:rPr>
        <w:t>.</w:t>
      </w:r>
    </w:p>
    <w:p w14:paraId="50626A1F" w14:textId="77777777" w:rsidR="00A66480" w:rsidRPr="00BC68C4" w:rsidRDefault="00A66480" w:rsidP="00BC153E">
      <w:pPr>
        <w:pStyle w:val="EndnoteText"/>
        <w:jc w:val="both"/>
        <w:rPr>
          <w:sz w:val="24"/>
          <w:szCs w:val="24"/>
        </w:rPr>
      </w:pPr>
    </w:p>
    <w:p w14:paraId="2429FBC4" w14:textId="77777777" w:rsidR="003D2603" w:rsidRPr="00BC68C4" w:rsidRDefault="003D2603" w:rsidP="00BC153E">
      <w:pPr>
        <w:pStyle w:val="EndnoteText"/>
        <w:jc w:val="both"/>
        <w:rPr>
          <w:sz w:val="24"/>
          <w:szCs w:val="24"/>
        </w:rPr>
      </w:pPr>
      <w:proofErr w:type="spellStart"/>
      <w:r w:rsidRPr="00BC68C4">
        <w:rPr>
          <w:sz w:val="24"/>
          <w:szCs w:val="24"/>
        </w:rPr>
        <w:t>Alchian</w:t>
      </w:r>
      <w:proofErr w:type="spellEnd"/>
      <w:r w:rsidRPr="00BC68C4">
        <w:rPr>
          <w:sz w:val="24"/>
          <w:szCs w:val="24"/>
        </w:rPr>
        <w:t xml:space="preserve">, Armen A. “Uncertainty, Evolution, and Economic Theory.” </w:t>
      </w:r>
      <w:r w:rsidRPr="00BC68C4">
        <w:rPr>
          <w:i/>
          <w:sz w:val="24"/>
          <w:szCs w:val="24"/>
        </w:rPr>
        <w:t>Journal of Political Economy</w:t>
      </w:r>
      <w:r w:rsidRPr="00BC68C4">
        <w:rPr>
          <w:sz w:val="24"/>
          <w:szCs w:val="24"/>
        </w:rPr>
        <w:t xml:space="preserve"> 58, no. 3 (1950): 211-21.</w:t>
      </w:r>
    </w:p>
    <w:p w14:paraId="47810D70" w14:textId="77777777" w:rsidR="003876AA" w:rsidRPr="00BC68C4" w:rsidRDefault="003876AA" w:rsidP="00BC153E">
      <w:pPr>
        <w:pStyle w:val="EndnoteText"/>
        <w:jc w:val="both"/>
        <w:rPr>
          <w:sz w:val="24"/>
          <w:szCs w:val="24"/>
        </w:rPr>
      </w:pPr>
    </w:p>
    <w:p w14:paraId="27D3A1DE" w14:textId="166A7487" w:rsidR="00094508" w:rsidRPr="00BC68C4" w:rsidRDefault="00094508" w:rsidP="00A23C39">
      <w:pPr>
        <w:rPr>
          <w:rFonts w:ascii="Times New Roman" w:hAnsi="Times New Roman" w:cs="Times New Roman"/>
          <w:sz w:val="24"/>
          <w:szCs w:val="24"/>
        </w:rPr>
      </w:pPr>
      <w:r w:rsidRPr="00BC68C4">
        <w:rPr>
          <w:rFonts w:ascii="Times New Roman" w:hAnsi="Times New Roman" w:cs="Times New Roman"/>
          <w:sz w:val="24"/>
          <w:szCs w:val="24"/>
        </w:rPr>
        <w:t xml:space="preserve">Arnold, A. J. “Should Historians Trust Late Nineteenth-Century Company Financial Statements?” </w:t>
      </w:r>
      <w:r w:rsidRPr="00BC68C4">
        <w:rPr>
          <w:rFonts w:ascii="Times New Roman" w:hAnsi="Times New Roman" w:cs="Times New Roman"/>
          <w:i/>
          <w:sz w:val="24"/>
          <w:szCs w:val="24"/>
        </w:rPr>
        <w:t>Business History</w:t>
      </w:r>
      <w:r w:rsidRPr="00BC68C4">
        <w:rPr>
          <w:rFonts w:ascii="Times New Roman" w:hAnsi="Times New Roman" w:cs="Times New Roman"/>
          <w:sz w:val="24"/>
          <w:szCs w:val="24"/>
        </w:rPr>
        <w:t xml:space="preserve"> 38, no. 2 (1996): 40-54.</w:t>
      </w:r>
    </w:p>
    <w:p w14:paraId="215EE7A0" w14:textId="77777777" w:rsidR="00094508" w:rsidRPr="00BC68C4" w:rsidRDefault="00094508" w:rsidP="00A23C39">
      <w:pPr>
        <w:rPr>
          <w:rFonts w:ascii="Times New Roman" w:hAnsi="Times New Roman" w:cs="Times New Roman"/>
          <w:sz w:val="24"/>
          <w:szCs w:val="24"/>
        </w:rPr>
      </w:pPr>
    </w:p>
    <w:p w14:paraId="278276B4" w14:textId="32F214B7" w:rsidR="00BF3880" w:rsidRPr="00BC68C4" w:rsidRDefault="00BF3880" w:rsidP="00A23C39">
      <w:pPr>
        <w:rPr>
          <w:rFonts w:ascii="Times New Roman" w:hAnsi="Times New Roman" w:cs="Times New Roman"/>
          <w:color w:val="222222"/>
          <w:sz w:val="24"/>
          <w:szCs w:val="24"/>
          <w:shd w:val="clear" w:color="auto" w:fill="FFFFFF"/>
        </w:rPr>
      </w:pPr>
      <w:r w:rsidRPr="00BC68C4">
        <w:rPr>
          <w:rFonts w:ascii="Times New Roman" w:hAnsi="Times New Roman" w:cs="Times New Roman"/>
          <w:color w:val="222222"/>
          <w:sz w:val="24"/>
          <w:szCs w:val="24"/>
          <w:shd w:val="clear" w:color="auto" w:fill="FFFFFF"/>
        </w:rPr>
        <w:t>Arnold, A. J., and Sea</w:t>
      </w:r>
      <w:r w:rsidR="00A35DF4" w:rsidRPr="00BC68C4">
        <w:rPr>
          <w:rFonts w:ascii="Times New Roman" w:hAnsi="Times New Roman" w:cs="Times New Roman"/>
          <w:color w:val="222222"/>
          <w:sz w:val="24"/>
          <w:szCs w:val="24"/>
          <w:shd w:val="clear" w:color="auto" w:fill="FFFFFF"/>
        </w:rPr>
        <w:t>n McCartney. “</w:t>
      </w:r>
      <w:r w:rsidRPr="00BC68C4">
        <w:rPr>
          <w:rFonts w:ascii="Times New Roman" w:hAnsi="Times New Roman" w:cs="Times New Roman"/>
          <w:color w:val="222222"/>
          <w:sz w:val="24"/>
          <w:szCs w:val="24"/>
          <w:shd w:val="clear" w:color="auto" w:fill="FFFFFF"/>
        </w:rPr>
        <w:t>Rates of return, Concentration Levels and Strategic Change in the British Railway I</w:t>
      </w:r>
      <w:r w:rsidR="00A35DF4" w:rsidRPr="00BC68C4">
        <w:rPr>
          <w:rFonts w:ascii="Times New Roman" w:hAnsi="Times New Roman" w:cs="Times New Roman"/>
          <w:color w:val="222222"/>
          <w:sz w:val="24"/>
          <w:szCs w:val="24"/>
          <w:shd w:val="clear" w:color="auto" w:fill="FFFFFF"/>
        </w:rPr>
        <w:t>ndustry, 1830-1912.”</w:t>
      </w:r>
      <w:r w:rsidRPr="00BC68C4">
        <w:rPr>
          <w:rStyle w:val="apple-converted-space"/>
          <w:rFonts w:ascii="Times New Roman" w:hAnsi="Times New Roman" w:cs="Times New Roman"/>
          <w:color w:val="222222"/>
          <w:sz w:val="24"/>
          <w:szCs w:val="24"/>
          <w:shd w:val="clear" w:color="auto" w:fill="FFFFFF"/>
        </w:rPr>
        <w:t> </w:t>
      </w:r>
      <w:r w:rsidRPr="00BC68C4">
        <w:rPr>
          <w:rFonts w:ascii="Times New Roman" w:hAnsi="Times New Roman" w:cs="Times New Roman"/>
          <w:i/>
          <w:iCs/>
          <w:color w:val="222222"/>
          <w:sz w:val="24"/>
          <w:szCs w:val="24"/>
          <w:shd w:val="clear" w:color="auto" w:fill="FFFFFF"/>
        </w:rPr>
        <w:t xml:space="preserve"> Journal of Transport History</w:t>
      </w:r>
      <w:r w:rsidRPr="00BC68C4">
        <w:rPr>
          <w:rStyle w:val="apple-converted-space"/>
          <w:rFonts w:ascii="Times New Roman" w:hAnsi="Times New Roman" w:cs="Times New Roman"/>
          <w:color w:val="222222"/>
          <w:sz w:val="24"/>
          <w:szCs w:val="24"/>
          <w:shd w:val="clear" w:color="auto" w:fill="FFFFFF"/>
        </w:rPr>
        <w:t> </w:t>
      </w:r>
      <w:r w:rsidRPr="00BC68C4">
        <w:rPr>
          <w:rFonts w:ascii="Times New Roman" w:hAnsi="Times New Roman" w:cs="Times New Roman"/>
          <w:color w:val="222222"/>
          <w:sz w:val="24"/>
          <w:szCs w:val="24"/>
          <w:shd w:val="clear" w:color="auto" w:fill="FFFFFF"/>
        </w:rPr>
        <w:t>26, no. 1 (2005): 41-60.</w:t>
      </w:r>
    </w:p>
    <w:p w14:paraId="5A9A835B" w14:textId="77777777" w:rsidR="00BF3880" w:rsidRPr="00BC68C4" w:rsidRDefault="00BF3880" w:rsidP="00A23C39">
      <w:pPr>
        <w:rPr>
          <w:rFonts w:ascii="Times New Roman" w:hAnsi="Times New Roman" w:cs="Times New Roman"/>
          <w:sz w:val="24"/>
          <w:szCs w:val="24"/>
        </w:rPr>
      </w:pPr>
    </w:p>
    <w:p w14:paraId="70A77503" w14:textId="1990759A" w:rsidR="00A23C39" w:rsidRPr="00BC68C4" w:rsidRDefault="00094508" w:rsidP="00A23C39">
      <w:pPr>
        <w:rPr>
          <w:rFonts w:ascii="Times New Roman" w:hAnsi="Times New Roman" w:cs="Times New Roman"/>
          <w:sz w:val="24"/>
          <w:szCs w:val="24"/>
        </w:rPr>
      </w:pPr>
      <w:proofErr w:type="spellStart"/>
      <w:r w:rsidRPr="00BC68C4">
        <w:rPr>
          <w:rFonts w:ascii="Times New Roman" w:hAnsi="Times New Roman" w:cs="Times New Roman"/>
          <w:sz w:val="24"/>
          <w:szCs w:val="24"/>
        </w:rPr>
        <w:t>Atanasov</w:t>
      </w:r>
      <w:proofErr w:type="spellEnd"/>
      <w:r w:rsidRPr="00BC68C4">
        <w:rPr>
          <w:rFonts w:ascii="Times New Roman" w:hAnsi="Times New Roman" w:cs="Times New Roman"/>
          <w:sz w:val="24"/>
          <w:szCs w:val="24"/>
        </w:rPr>
        <w:t>, Vladimir. “</w:t>
      </w:r>
      <w:r w:rsidR="00A23C39" w:rsidRPr="00BC68C4">
        <w:rPr>
          <w:rFonts w:ascii="Times New Roman" w:hAnsi="Times New Roman" w:cs="Times New Roman"/>
          <w:sz w:val="24"/>
          <w:szCs w:val="24"/>
        </w:rPr>
        <w:t xml:space="preserve">How </w:t>
      </w:r>
      <w:r w:rsidR="00750FBA" w:rsidRPr="00BC68C4">
        <w:rPr>
          <w:rFonts w:ascii="Times New Roman" w:hAnsi="Times New Roman" w:cs="Times New Roman"/>
          <w:sz w:val="24"/>
          <w:szCs w:val="24"/>
        </w:rPr>
        <w:t xml:space="preserve">Much Value Can </w:t>
      </w:r>
      <w:proofErr w:type="spellStart"/>
      <w:r w:rsidR="00750FBA" w:rsidRPr="00BC68C4">
        <w:rPr>
          <w:rFonts w:ascii="Times New Roman" w:hAnsi="Times New Roman" w:cs="Times New Roman"/>
          <w:sz w:val="24"/>
          <w:szCs w:val="24"/>
        </w:rPr>
        <w:t>Blockholders</w:t>
      </w:r>
      <w:proofErr w:type="spellEnd"/>
      <w:r w:rsidR="00750FBA" w:rsidRPr="00BC68C4">
        <w:rPr>
          <w:rFonts w:ascii="Times New Roman" w:hAnsi="Times New Roman" w:cs="Times New Roman"/>
          <w:sz w:val="24"/>
          <w:szCs w:val="24"/>
        </w:rPr>
        <w:t xml:space="preserve"> Tunnel? Evidence from the Bulgarian Mass Privatization Auctions.</w:t>
      </w:r>
      <w:r w:rsidRPr="00BC68C4">
        <w:rPr>
          <w:rFonts w:ascii="Times New Roman" w:hAnsi="Times New Roman" w:cs="Times New Roman"/>
          <w:sz w:val="24"/>
          <w:szCs w:val="24"/>
        </w:rPr>
        <w:t>”</w:t>
      </w:r>
      <w:r w:rsidR="00A23C39" w:rsidRPr="00BC68C4">
        <w:rPr>
          <w:rFonts w:ascii="Times New Roman" w:hAnsi="Times New Roman" w:cs="Times New Roman"/>
          <w:sz w:val="24"/>
          <w:szCs w:val="24"/>
        </w:rPr>
        <w:t xml:space="preserve"> </w:t>
      </w:r>
      <w:r w:rsidR="00A23C39" w:rsidRPr="00BC68C4">
        <w:rPr>
          <w:rFonts w:ascii="Times New Roman" w:hAnsi="Times New Roman" w:cs="Times New Roman"/>
          <w:i/>
          <w:sz w:val="24"/>
          <w:szCs w:val="24"/>
        </w:rPr>
        <w:t>Journal of Financial Economics</w:t>
      </w:r>
      <w:r w:rsidR="00A23C39" w:rsidRPr="00BC68C4">
        <w:rPr>
          <w:rFonts w:ascii="Times New Roman" w:hAnsi="Times New Roman" w:cs="Times New Roman"/>
          <w:sz w:val="24"/>
          <w:szCs w:val="24"/>
        </w:rPr>
        <w:t xml:space="preserve"> 76, no. 1 (2005): 191-234</w:t>
      </w:r>
      <w:r w:rsidR="00F55E13" w:rsidRPr="00BC68C4">
        <w:rPr>
          <w:rFonts w:ascii="Times New Roman" w:hAnsi="Times New Roman" w:cs="Times New Roman"/>
          <w:sz w:val="24"/>
          <w:szCs w:val="24"/>
        </w:rPr>
        <w:t>.</w:t>
      </w:r>
    </w:p>
    <w:p w14:paraId="1BCD5A99" w14:textId="77777777" w:rsidR="00A23C39" w:rsidRPr="00BC68C4" w:rsidRDefault="00A23C39" w:rsidP="00243C40">
      <w:pPr>
        <w:pStyle w:val="EndnoteText"/>
        <w:tabs>
          <w:tab w:val="left" w:pos="0"/>
        </w:tabs>
        <w:jc w:val="both"/>
        <w:rPr>
          <w:sz w:val="24"/>
          <w:szCs w:val="24"/>
        </w:rPr>
      </w:pPr>
    </w:p>
    <w:p w14:paraId="77BA18D6" w14:textId="77777777" w:rsidR="0007504B" w:rsidRPr="00BC68C4" w:rsidRDefault="0007504B" w:rsidP="00243C40">
      <w:pPr>
        <w:pStyle w:val="EndnoteText"/>
        <w:tabs>
          <w:tab w:val="left" w:pos="0"/>
        </w:tabs>
        <w:jc w:val="both"/>
        <w:rPr>
          <w:sz w:val="24"/>
          <w:szCs w:val="24"/>
        </w:rPr>
      </w:pPr>
      <w:proofErr w:type="spellStart"/>
      <w:r w:rsidRPr="00BC68C4">
        <w:rPr>
          <w:sz w:val="24"/>
          <w:szCs w:val="24"/>
        </w:rPr>
        <w:t>Bebchuk</w:t>
      </w:r>
      <w:proofErr w:type="spellEnd"/>
      <w:r w:rsidRPr="00BC68C4">
        <w:rPr>
          <w:sz w:val="24"/>
          <w:szCs w:val="24"/>
        </w:rPr>
        <w:t xml:space="preserve">, Lucian A., </w:t>
      </w:r>
      <w:proofErr w:type="spellStart"/>
      <w:r w:rsidR="00893AB3" w:rsidRPr="00BC68C4">
        <w:rPr>
          <w:sz w:val="24"/>
          <w:szCs w:val="24"/>
        </w:rPr>
        <w:t>Martijn</w:t>
      </w:r>
      <w:proofErr w:type="spellEnd"/>
      <w:r w:rsidR="00893AB3" w:rsidRPr="00BC68C4">
        <w:rPr>
          <w:sz w:val="24"/>
          <w:szCs w:val="24"/>
        </w:rPr>
        <w:t xml:space="preserve"> </w:t>
      </w:r>
      <w:proofErr w:type="spellStart"/>
      <w:r w:rsidR="007D3E56" w:rsidRPr="00BC68C4">
        <w:rPr>
          <w:sz w:val="24"/>
          <w:szCs w:val="24"/>
        </w:rPr>
        <w:t>Cremers</w:t>
      </w:r>
      <w:proofErr w:type="spellEnd"/>
      <w:r w:rsidRPr="00BC68C4">
        <w:rPr>
          <w:sz w:val="24"/>
          <w:szCs w:val="24"/>
        </w:rPr>
        <w:t xml:space="preserve"> and </w:t>
      </w:r>
      <w:proofErr w:type="spellStart"/>
      <w:r w:rsidR="00893AB3" w:rsidRPr="00BC68C4">
        <w:rPr>
          <w:sz w:val="24"/>
          <w:szCs w:val="24"/>
        </w:rPr>
        <w:t>Urs</w:t>
      </w:r>
      <w:proofErr w:type="spellEnd"/>
      <w:r w:rsidR="00893AB3" w:rsidRPr="00BC68C4">
        <w:rPr>
          <w:sz w:val="24"/>
          <w:szCs w:val="24"/>
        </w:rPr>
        <w:t xml:space="preserve"> </w:t>
      </w:r>
      <w:proofErr w:type="spellStart"/>
      <w:r w:rsidR="00893AB3" w:rsidRPr="00BC68C4">
        <w:rPr>
          <w:sz w:val="24"/>
          <w:szCs w:val="24"/>
        </w:rPr>
        <w:t>Peyers</w:t>
      </w:r>
      <w:proofErr w:type="spellEnd"/>
      <w:r w:rsidRPr="00BC68C4">
        <w:rPr>
          <w:sz w:val="24"/>
          <w:szCs w:val="24"/>
        </w:rPr>
        <w:t xml:space="preserve">. “The CEO Pay Slice.” </w:t>
      </w:r>
      <w:r w:rsidRPr="00BC68C4">
        <w:rPr>
          <w:i/>
          <w:sz w:val="24"/>
          <w:szCs w:val="24"/>
        </w:rPr>
        <w:t>Journal of Financial Economics</w:t>
      </w:r>
      <w:r w:rsidR="007D3E56" w:rsidRPr="00BC68C4">
        <w:rPr>
          <w:sz w:val="24"/>
          <w:szCs w:val="24"/>
        </w:rPr>
        <w:t xml:space="preserve"> 102</w:t>
      </w:r>
      <w:r w:rsidRPr="00BC68C4">
        <w:rPr>
          <w:sz w:val="24"/>
          <w:szCs w:val="24"/>
        </w:rPr>
        <w:t>,</w:t>
      </w:r>
      <w:r w:rsidR="007D3E56" w:rsidRPr="00BC68C4">
        <w:rPr>
          <w:sz w:val="24"/>
          <w:szCs w:val="24"/>
        </w:rPr>
        <w:t xml:space="preserve"> no.1</w:t>
      </w:r>
      <w:r w:rsidRPr="00BC68C4">
        <w:rPr>
          <w:sz w:val="24"/>
          <w:szCs w:val="24"/>
        </w:rPr>
        <w:t xml:space="preserve"> </w:t>
      </w:r>
      <w:r w:rsidR="007D3E56" w:rsidRPr="00BC68C4">
        <w:rPr>
          <w:sz w:val="24"/>
          <w:szCs w:val="24"/>
        </w:rPr>
        <w:t>(2011)</w:t>
      </w:r>
      <w:r w:rsidRPr="00BC68C4">
        <w:rPr>
          <w:sz w:val="24"/>
          <w:szCs w:val="24"/>
        </w:rPr>
        <w:t>: 199-221</w:t>
      </w:r>
      <w:r w:rsidR="007D3E56" w:rsidRPr="00BC68C4">
        <w:rPr>
          <w:sz w:val="24"/>
          <w:szCs w:val="24"/>
        </w:rPr>
        <w:t>.</w:t>
      </w:r>
      <w:r w:rsidRPr="00BC68C4">
        <w:rPr>
          <w:sz w:val="24"/>
          <w:szCs w:val="24"/>
        </w:rPr>
        <w:t xml:space="preserve"> </w:t>
      </w:r>
    </w:p>
    <w:p w14:paraId="3957D170" w14:textId="77777777" w:rsidR="00107D72" w:rsidRPr="00BC68C4" w:rsidRDefault="00107D72" w:rsidP="00243C40">
      <w:pPr>
        <w:pStyle w:val="EndnoteText"/>
        <w:tabs>
          <w:tab w:val="left" w:pos="0"/>
        </w:tabs>
        <w:jc w:val="both"/>
        <w:rPr>
          <w:sz w:val="24"/>
          <w:szCs w:val="24"/>
        </w:rPr>
      </w:pPr>
    </w:p>
    <w:p w14:paraId="790A8DBA" w14:textId="77777777" w:rsidR="00243C40" w:rsidRPr="00BC68C4" w:rsidRDefault="00243C40" w:rsidP="00243C40">
      <w:pPr>
        <w:pStyle w:val="EndnoteText"/>
        <w:tabs>
          <w:tab w:val="left" w:pos="0"/>
        </w:tabs>
        <w:jc w:val="both"/>
        <w:rPr>
          <w:sz w:val="24"/>
          <w:szCs w:val="24"/>
        </w:rPr>
      </w:pPr>
      <w:proofErr w:type="spellStart"/>
      <w:r w:rsidRPr="00BC68C4">
        <w:rPr>
          <w:sz w:val="24"/>
          <w:szCs w:val="24"/>
        </w:rPr>
        <w:t>Berle</w:t>
      </w:r>
      <w:proofErr w:type="spellEnd"/>
      <w:r w:rsidRPr="00BC68C4">
        <w:rPr>
          <w:sz w:val="24"/>
          <w:szCs w:val="24"/>
        </w:rPr>
        <w:t xml:space="preserve">, Adolf A. and Gardiner C. Means. </w:t>
      </w:r>
      <w:r w:rsidRPr="00BC68C4">
        <w:rPr>
          <w:i/>
          <w:sz w:val="24"/>
          <w:szCs w:val="24"/>
        </w:rPr>
        <w:t>The Modern Corporation and Private Property</w:t>
      </w:r>
      <w:r w:rsidRPr="00BC68C4">
        <w:rPr>
          <w:sz w:val="24"/>
          <w:szCs w:val="24"/>
        </w:rPr>
        <w:t>. New York: Macmillan, 1932.</w:t>
      </w:r>
    </w:p>
    <w:p w14:paraId="24EC02D2" w14:textId="77777777" w:rsidR="00243C40" w:rsidRPr="00BC68C4" w:rsidRDefault="00243C40" w:rsidP="00243C40">
      <w:pPr>
        <w:tabs>
          <w:tab w:val="left" w:pos="0"/>
        </w:tabs>
        <w:ind w:left="540" w:hanging="540"/>
        <w:rPr>
          <w:rFonts w:ascii="Times New Roman" w:hAnsi="Times New Roman" w:cs="Times New Roman"/>
          <w:sz w:val="24"/>
          <w:szCs w:val="24"/>
        </w:rPr>
      </w:pPr>
    </w:p>
    <w:p w14:paraId="6EFE9C0E" w14:textId="77777777" w:rsidR="00503FFF" w:rsidRPr="00BC68C4" w:rsidRDefault="00503FFF" w:rsidP="00503FFF">
      <w:pPr>
        <w:tabs>
          <w:tab w:val="left" w:pos="0"/>
        </w:tabs>
        <w:rPr>
          <w:rFonts w:ascii="Times New Roman" w:hAnsi="Times New Roman" w:cs="Times New Roman"/>
          <w:sz w:val="24"/>
          <w:szCs w:val="24"/>
        </w:rPr>
      </w:pPr>
      <w:proofErr w:type="spellStart"/>
      <w:r w:rsidRPr="00BC68C4">
        <w:rPr>
          <w:rFonts w:ascii="Times New Roman" w:hAnsi="Times New Roman" w:cs="Times New Roman"/>
          <w:sz w:val="24"/>
          <w:szCs w:val="24"/>
        </w:rPr>
        <w:t>Braggion</w:t>
      </w:r>
      <w:proofErr w:type="spellEnd"/>
      <w:r w:rsidRPr="00BC68C4">
        <w:rPr>
          <w:rFonts w:ascii="Times New Roman" w:hAnsi="Times New Roman" w:cs="Times New Roman"/>
          <w:sz w:val="24"/>
          <w:szCs w:val="24"/>
        </w:rPr>
        <w:t xml:space="preserve">, Fabio and Lyndon Moore. “How Insiders Traded Before Rules.” </w:t>
      </w:r>
      <w:r w:rsidRPr="00BC68C4">
        <w:rPr>
          <w:rFonts w:ascii="Times New Roman" w:hAnsi="Times New Roman" w:cs="Times New Roman"/>
          <w:i/>
          <w:sz w:val="24"/>
          <w:szCs w:val="24"/>
        </w:rPr>
        <w:t>Business History</w:t>
      </w:r>
      <w:r w:rsidRPr="00BC68C4">
        <w:rPr>
          <w:rFonts w:ascii="Times New Roman" w:hAnsi="Times New Roman" w:cs="Times New Roman"/>
          <w:sz w:val="24"/>
          <w:szCs w:val="24"/>
        </w:rPr>
        <w:t xml:space="preserve"> 55, no. 4 (2013): 565-84.</w:t>
      </w:r>
    </w:p>
    <w:p w14:paraId="38B5B33B" w14:textId="77777777" w:rsidR="00503FFF" w:rsidRPr="00BC68C4" w:rsidRDefault="00503FFF" w:rsidP="00243C40">
      <w:pPr>
        <w:tabs>
          <w:tab w:val="left" w:pos="0"/>
        </w:tabs>
        <w:ind w:left="540" w:hanging="540"/>
        <w:rPr>
          <w:rFonts w:ascii="Times New Roman" w:hAnsi="Times New Roman" w:cs="Times New Roman"/>
          <w:sz w:val="24"/>
          <w:szCs w:val="24"/>
        </w:rPr>
      </w:pPr>
    </w:p>
    <w:p w14:paraId="2DA9B8B9" w14:textId="77777777" w:rsidR="00B31EE5" w:rsidRPr="00BC68C4" w:rsidRDefault="00B31EE5" w:rsidP="00243C40">
      <w:pPr>
        <w:tabs>
          <w:tab w:val="left" w:pos="0"/>
        </w:tabs>
        <w:ind w:left="540" w:hanging="540"/>
        <w:rPr>
          <w:rFonts w:ascii="Times New Roman" w:hAnsi="Times New Roman" w:cs="Times New Roman"/>
          <w:sz w:val="24"/>
          <w:szCs w:val="24"/>
        </w:rPr>
      </w:pPr>
      <w:r w:rsidRPr="00BC68C4">
        <w:rPr>
          <w:rFonts w:ascii="Times New Roman" w:hAnsi="Times New Roman" w:cs="Times New Roman"/>
          <w:i/>
          <w:sz w:val="24"/>
          <w:szCs w:val="24"/>
        </w:rPr>
        <w:t>Burdett’s Official Intelligence</w:t>
      </w:r>
      <w:r w:rsidR="00FF5027" w:rsidRPr="00BC68C4">
        <w:rPr>
          <w:rFonts w:ascii="Times New Roman" w:hAnsi="Times New Roman" w:cs="Times New Roman"/>
          <w:sz w:val="24"/>
          <w:szCs w:val="24"/>
        </w:rPr>
        <w:t xml:space="preserve"> (1882-1902</w:t>
      </w:r>
      <w:r w:rsidRPr="00BC68C4">
        <w:rPr>
          <w:rFonts w:ascii="Times New Roman" w:hAnsi="Times New Roman" w:cs="Times New Roman"/>
          <w:sz w:val="24"/>
          <w:szCs w:val="24"/>
        </w:rPr>
        <w:t>).</w:t>
      </w:r>
    </w:p>
    <w:p w14:paraId="63206653" w14:textId="77777777" w:rsidR="00B31EE5" w:rsidRPr="00BC68C4" w:rsidRDefault="00B31EE5" w:rsidP="00243C40">
      <w:pPr>
        <w:tabs>
          <w:tab w:val="left" w:pos="0"/>
        </w:tabs>
        <w:ind w:left="540" w:hanging="540"/>
        <w:rPr>
          <w:rFonts w:ascii="Times New Roman" w:hAnsi="Times New Roman" w:cs="Times New Roman"/>
          <w:sz w:val="24"/>
          <w:szCs w:val="24"/>
        </w:rPr>
      </w:pPr>
    </w:p>
    <w:p w14:paraId="6D02652D" w14:textId="77777777" w:rsidR="00243C40" w:rsidRPr="00BC68C4" w:rsidRDefault="00243C40" w:rsidP="00243C40">
      <w:pPr>
        <w:ind w:right="-43"/>
        <w:rPr>
          <w:rFonts w:ascii="Times New Roman" w:hAnsi="Times New Roman" w:cs="Times New Roman"/>
          <w:sz w:val="24"/>
          <w:szCs w:val="24"/>
        </w:rPr>
      </w:pPr>
      <w:r w:rsidRPr="00BC68C4">
        <w:rPr>
          <w:rFonts w:ascii="Times New Roman" w:hAnsi="Times New Roman" w:cs="Times New Roman"/>
          <w:sz w:val="24"/>
          <w:szCs w:val="24"/>
        </w:rPr>
        <w:t xml:space="preserve">Campbell, Gareth and John D. Turner. “Substitutes for Legal Protection: Corporate Governance and Dividends in Victorian Britain.” </w:t>
      </w:r>
      <w:r w:rsidRPr="00BC68C4">
        <w:rPr>
          <w:rFonts w:ascii="Times New Roman" w:hAnsi="Times New Roman" w:cs="Times New Roman"/>
          <w:i/>
          <w:sz w:val="24"/>
          <w:szCs w:val="24"/>
        </w:rPr>
        <w:t>Economic History Review</w:t>
      </w:r>
      <w:r w:rsidRPr="00BC68C4">
        <w:rPr>
          <w:rFonts w:ascii="Times New Roman" w:hAnsi="Times New Roman" w:cs="Times New Roman"/>
          <w:sz w:val="24"/>
          <w:szCs w:val="24"/>
        </w:rPr>
        <w:t xml:space="preserve"> 64, no. 2 (2011): 571-97.</w:t>
      </w:r>
    </w:p>
    <w:p w14:paraId="0FF06630" w14:textId="77777777" w:rsidR="00243C40" w:rsidRPr="00BC68C4" w:rsidRDefault="00243C40" w:rsidP="00243C40">
      <w:pPr>
        <w:pStyle w:val="EndnoteText"/>
        <w:tabs>
          <w:tab w:val="left" w:pos="0"/>
        </w:tabs>
        <w:jc w:val="both"/>
        <w:rPr>
          <w:sz w:val="24"/>
          <w:szCs w:val="24"/>
          <w:lang w:val="en-GB"/>
        </w:rPr>
      </w:pPr>
    </w:p>
    <w:p w14:paraId="144142CA" w14:textId="2FAB190C" w:rsidR="00A3017B" w:rsidRPr="00BC68C4" w:rsidRDefault="00A3017B" w:rsidP="00A3017B">
      <w:pPr>
        <w:pStyle w:val="BodyText"/>
        <w:jc w:val="both"/>
      </w:pPr>
      <w:proofErr w:type="spellStart"/>
      <w:r w:rsidRPr="00BC68C4">
        <w:t>Chadwyck</w:t>
      </w:r>
      <w:proofErr w:type="spellEnd"/>
      <w:r w:rsidRPr="00BC68C4">
        <w:t xml:space="preserve">-Healey, C. E. H. </w:t>
      </w:r>
      <w:r w:rsidRPr="00BC68C4">
        <w:rPr>
          <w:i/>
        </w:rPr>
        <w:t>A Treatise on the Law and Practice Relating to Joint Stock Companies Under the Acts of 1862-1883</w:t>
      </w:r>
      <w:r w:rsidRPr="00BC68C4">
        <w:t xml:space="preserve">.  London: W. Maxwell &amp; Son, 1884. </w:t>
      </w:r>
    </w:p>
    <w:p w14:paraId="5F45CFC9" w14:textId="77777777" w:rsidR="00A3017B" w:rsidRPr="00BC68C4" w:rsidRDefault="00A3017B" w:rsidP="00243C40">
      <w:pPr>
        <w:pStyle w:val="EndnoteText"/>
        <w:tabs>
          <w:tab w:val="left" w:pos="0"/>
        </w:tabs>
        <w:jc w:val="both"/>
        <w:rPr>
          <w:sz w:val="24"/>
          <w:szCs w:val="24"/>
          <w:lang w:val="en-GB"/>
        </w:rPr>
      </w:pPr>
    </w:p>
    <w:p w14:paraId="148CF610" w14:textId="1784DE03" w:rsidR="00243C40" w:rsidRPr="00BC68C4" w:rsidRDefault="00A3017B" w:rsidP="00243C40">
      <w:pPr>
        <w:pStyle w:val="EndnoteText"/>
        <w:tabs>
          <w:tab w:val="left" w:pos="0"/>
        </w:tabs>
        <w:jc w:val="both"/>
        <w:rPr>
          <w:sz w:val="24"/>
          <w:szCs w:val="24"/>
          <w:lang w:val="en-GB"/>
        </w:rPr>
      </w:pPr>
      <w:r w:rsidRPr="00BC68C4">
        <w:rPr>
          <w:sz w:val="24"/>
          <w:szCs w:val="24"/>
          <w:lang w:val="en-GB"/>
        </w:rPr>
        <w:t>C</w:t>
      </w:r>
      <w:r w:rsidR="00243C40" w:rsidRPr="00BC68C4">
        <w:rPr>
          <w:sz w:val="24"/>
          <w:szCs w:val="24"/>
          <w:lang w:val="en-GB"/>
        </w:rPr>
        <w:t xml:space="preserve">handler, Alfred D. </w:t>
      </w:r>
      <w:r w:rsidR="00243C40" w:rsidRPr="00BC68C4">
        <w:rPr>
          <w:i/>
          <w:sz w:val="24"/>
          <w:szCs w:val="24"/>
          <w:lang w:val="en-GB"/>
        </w:rPr>
        <w:t>Scale and Scope: The Dynamics of Industrial Capitalism</w:t>
      </w:r>
      <w:r w:rsidR="00243C40" w:rsidRPr="00BC68C4">
        <w:rPr>
          <w:sz w:val="24"/>
          <w:szCs w:val="24"/>
          <w:lang w:val="en-GB"/>
        </w:rPr>
        <w:t xml:space="preserve">. Cambridge, MA: </w:t>
      </w:r>
      <w:proofErr w:type="spellStart"/>
      <w:r w:rsidR="00243C40" w:rsidRPr="00BC68C4">
        <w:rPr>
          <w:sz w:val="24"/>
          <w:szCs w:val="24"/>
          <w:lang w:val="en-GB"/>
        </w:rPr>
        <w:t>Belknap</w:t>
      </w:r>
      <w:proofErr w:type="spellEnd"/>
      <w:r w:rsidR="00243C40" w:rsidRPr="00BC68C4">
        <w:rPr>
          <w:sz w:val="24"/>
          <w:szCs w:val="24"/>
          <w:lang w:val="en-GB"/>
        </w:rPr>
        <w:t xml:space="preserve"> Press, 1990.</w:t>
      </w:r>
    </w:p>
    <w:p w14:paraId="7EC8873F" w14:textId="77777777" w:rsidR="00243C40" w:rsidRPr="00BC68C4" w:rsidRDefault="00243C40" w:rsidP="00243C40">
      <w:pPr>
        <w:pStyle w:val="EndnoteText"/>
        <w:tabs>
          <w:tab w:val="left" w:pos="0"/>
        </w:tabs>
        <w:jc w:val="both"/>
        <w:rPr>
          <w:sz w:val="24"/>
          <w:szCs w:val="24"/>
        </w:rPr>
      </w:pPr>
    </w:p>
    <w:p w14:paraId="6DF96801" w14:textId="77777777" w:rsidR="00E60913" w:rsidRPr="00BC68C4" w:rsidRDefault="00E60913" w:rsidP="00E60913">
      <w:pPr>
        <w:pStyle w:val="BodyText"/>
        <w:jc w:val="both"/>
        <w:rPr>
          <w:szCs w:val="24"/>
        </w:rPr>
      </w:pPr>
      <w:proofErr w:type="spellStart"/>
      <w:r w:rsidRPr="00BC68C4">
        <w:rPr>
          <w:szCs w:val="24"/>
        </w:rPr>
        <w:t>Cheffins</w:t>
      </w:r>
      <w:proofErr w:type="spellEnd"/>
      <w:r w:rsidRPr="00BC68C4">
        <w:rPr>
          <w:szCs w:val="24"/>
        </w:rPr>
        <w:t xml:space="preserve">, Brian R. </w:t>
      </w:r>
      <w:r w:rsidRPr="00BC68C4">
        <w:rPr>
          <w:i/>
          <w:szCs w:val="24"/>
        </w:rPr>
        <w:t>Corporate Ownership and Control: British Business Transformed</w:t>
      </w:r>
      <w:r w:rsidRPr="00BC68C4">
        <w:rPr>
          <w:szCs w:val="24"/>
        </w:rPr>
        <w:t>. Oxford: Oxford University Press, 2008.</w:t>
      </w:r>
    </w:p>
    <w:p w14:paraId="2F01687A" w14:textId="77777777" w:rsidR="00A23C39" w:rsidRPr="00BC68C4" w:rsidRDefault="00A23C39" w:rsidP="00E60913">
      <w:pPr>
        <w:pStyle w:val="BodyText"/>
        <w:jc w:val="both"/>
        <w:rPr>
          <w:szCs w:val="24"/>
        </w:rPr>
      </w:pPr>
    </w:p>
    <w:p w14:paraId="1417F2C4" w14:textId="7E4B43A2" w:rsidR="00E60913" w:rsidRPr="001344F0" w:rsidRDefault="00A23C39" w:rsidP="00243C40">
      <w:pPr>
        <w:pStyle w:val="EndnoteText"/>
        <w:tabs>
          <w:tab w:val="left" w:pos="0"/>
        </w:tabs>
        <w:jc w:val="both"/>
        <w:rPr>
          <w:sz w:val="24"/>
          <w:szCs w:val="24"/>
        </w:rPr>
      </w:pPr>
      <w:r w:rsidRPr="001344F0">
        <w:rPr>
          <w:sz w:val="24"/>
          <w:szCs w:val="24"/>
        </w:rPr>
        <w:t xml:space="preserve">Cheung, Yan-Leung, P. </w:t>
      </w:r>
      <w:proofErr w:type="spellStart"/>
      <w:r w:rsidRPr="001344F0">
        <w:rPr>
          <w:sz w:val="24"/>
          <w:szCs w:val="24"/>
        </w:rPr>
        <w:t>Raghav</w:t>
      </w:r>
      <w:r w:rsidR="00D7094E" w:rsidRPr="001344F0">
        <w:rPr>
          <w:sz w:val="24"/>
          <w:szCs w:val="24"/>
        </w:rPr>
        <w:t>endra</w:t>
      </w:r>
      <w:proofErr w:type="spellEnd"/>
      <w:r w:rsidR="00D7094E" w:rsidRPr="001344F0">
        <w:rPr>
          <w:sz w:val="24"/>
          <w:szCs w:val="24"/>
        </w:rPr>
        <w:t xml:space="preserve"> Rau and </w:t>
      </w:r>
      <w:proofErr w:type="spellStart"/>
      <w:r w:rsidR="00D7094E" w:rsidRPr="001344F0">
        <w:rPr>
          <w:sz w:val="24"/>
          <w:szCs w:val="24"/>
        </w:rPr>
        <w:t>Aris</w:t>
      </w:r>
      <w:proofErr w:type="spellEnd"/>
      <w:r w:rsidR="00D7094E" w:rsidRPr="001344F0">
        <w:rPr>
          <w:sz w:val="24"/>
          <w:szCs w:val="24"/>
        </w:rPr>
        <w:t xml:space="preserve"> </w:t>
      </w:r>
      <w:proofErr w:type="spellStart"/>
      <w:r w:rsidR="00D7094E" w:rsidRPr="001344F0">
        <w:rPr>
          <w:sz w:val="24"/>
          <w:szCs w:val="24"/>
        </w:rPr>
        <w:t>Stouraitis</w:t>
      </w:r>
      <w:proofErr w:type="spellEnd"/>
      <w:r w:rsidR="00D7094E" w:rsidRPr="001344F0">
        <w:rPr>
          <w:sz w:val="24"/>
          <w:szCs w:val="24"/>
        </w:rPr>
        <w:t>. “</w:t>
      </w:r>
      <w:r w:rsidR="00750FBA" w:rsidRPr="001344F0">
        <w:rPr>
          <w:sz w:val="24"/>
          <w:szCs w:val="24"/>
        </w:rPr>
        <w:t>Tunneling, Propping, and E</w:t>
      </w:r>
      <w:r w:rsidRPr="001344F0">
        <w:rPr>
          <w:sz w:val="24"/>
          <w:szCs w:val="24"/>
        </w:rPr>
        <w:t xml:space="preserve">xpropriation: </w:t>
      </w:r>
      <w:r w:rsidR="00750FBA" w:rsidRPr="001344F0">
        <w:rPr>
          <w:sz w:val="24"/>
          <w:szCs w:val="24"/>
        </w:rPr>
        <w:t>Evidence from Connected Party Transactions in Hong Kong.</w:t>
      </w:r>
      <w:r w:rsidR="00D7094E" w:rsidRPr="001344F0">
        <w:rPr>
          <w:sz w:val="24"/>
          <w:szCs w:val="24"/>
        </w:rPr>
        <w:t>”</w:t>
      </w:r>
      <w:r w:rsidRPr="001344F0">
        <w:rPr>
          <w:sz w:val="24"/>
          <w:szCs w:val="24"/>
        </w:rPr>
        <w:t xml:space="preserve"> </w:t>
      </w:r>
      <w:r w:rsidRPr="001344F0">
        <w:rPr>
          <w:i/>
          <w:sz w:val="24"/>
          <w:szCs w:val="24"/>
        </w:rPr>
        <w:t xml:space="preserve">Journal of Financial Economics </w:t>
      </w:r>
      <w:r w:rsidRPr="001344F0">
        <w:rPr>
          <w:sz w:val="24"/>
          <w:szCs w:val="24"/>
        </w:rPr>
        <w:t>82, no. 2 (2006): 343-386</w:t>
      </w:r>
      <w:r w:rsidR="00F55E13" w:rsidRPr="001344F0">
        <w:rPr>
          <w:sz w:val="24"/>
          <w:szCs w:val="24"/>
        </w:rPr>
        <w:t>.</w:t>
      </w:r>
    </w:p>
    <w:p w14:paraId="484E1C7A" w14:textId="77777777" w:rsidR="00620DD7" w:rsidRPr="001344F0" w:rsidRDefault="00620DD7" w:rsidP="00243C40">
      <w:pPr>
        <w:pStyle w:val="EndnoteText"/>
        <w:tabs>
          <w:tab w:val="left" w:pos="0"/>
        </w:tabs>
        <w:jc w:val="both"/>
        <w:rPr>
          <w:sz w:val="24"/>
          <w:szCs w:val="24"/>
        </w:rPr>
      </w:pPr>
    </w:p>
    <w:p w14:paraId="77A75F9D" w14:textId="4D9CCEA4" w:rsidR="00620DD7" w:rsidRPr="001344F0" w:rsidRDefault="00620DD7" w:rsidP="00243C40">
      <w:pPr>
        <w:pStyle w:val="EndnoteText"/>
        <w:tabs>
          <w:tab w:val="left" w:pos="0"/>
        </w:tabs>
        <w:jc w:val="both"/>
        <w:rPr>
          <w:sz w:val="24"/>
          <w:szCs w:val="24"/>
        </w:rPr>
      </w:pPr>
      <w:r w:rsidRPr="001344F0">
        <w:rPr>
          <w:sz w:val="24"/>
          <w:szCs w:val="24"/>
        </w:rPr>
        <w:t xml:space="preserve">Cheung, Yan-Leung, </w:t>
      </w:r>
      <w:proofErr w:type="spellStart"/>
      <w:r w:rsidRPr="001344F0">
        <w:rPr>
          <w:sz w:val="24"/>
          <w:szCs w:val="24"/>
        </w:rPr>
        <w:t>Yuehua</w:t>
      </w:r>
      <w:proofErr w:type="spellEnd"/>
      <w:r w:rsidRPr="001344F0">
        <w:rPr>
          <w:sz w:val="24"/>
          <w:szCs w:val="24"/>
        </w:rPr>
        <w:t xml:space="preserve"> Qi, P. </w:t>
      </w:r>
      <w:proofErr w:type="spellStart"/>
      <w:r w:rsidRPr="001344F0">
        <w:rPr>
          <w:sz w:val="24"/>
          <w:szCs w:val="24"/>
        </w:rPr>
        <w:t>Raghavendra</w:t>
      </w:r>
      <w:proofErr w:type="spellEnd"/>
      <w:r w:rsidRPr="001344F0">
        <w:rPr>
          <w:sz w:val="24"/>
          <w:szCs w:val="24"/>
        </w:rPr>
        <w:t xml:space="preserve"> </w:t>
      </w:r>
      <w:r w:rsidR="00491831" w:rsidRPr="001344F0">
        <w:rPr>
          <w:sz w:val="24"/>
          <w:szCs w:val="24"/>
        </w:rPr>
        <w:t xml:space="preserve">Rau, and </w:t>
      </w:r>
      <w:proofErr w:type="spellStart"/>
      <w:r w:rsidR="00491831" w:rsidRPr="001344F0">
        <w:rPr>
          <w:sz w:val="24"/>
          <w:szCs w:val="24"/>
        </w:rPr>
        <w:t>Aris</w:t>
      </w:r>
      <w:proofErr w:type="spellEnd"/>
      <w:r w:rsidR="00491831" w:rsidRPr="001344F0">
        <w:rPr>
          <w:sz w:val="24"/>
          <w:szCs w:val="24"/>
        </w:rPr>
        <w:t xml:space="preserve"> </w:t>
      </w:r>
      <w:proofErr w:type="spellStart"/>
      <w:r w:rsidR="00491831" w:rsidRPr="001344F0">
        <w:rPr>
          <w:sz w:val="24"/>
          <w:szCs w:val="24"/>
        </w:rPr>
        <w:t>Stouraitis</w:t>
      </w:r>
      <w:proofErr w:type="spellEnd"/>
      <w:r w:rsidR="00491831" w:rsidRPr="001344F0">
        <w:rPr>
          <w:sz w:val="24"/>
          <w:szCs w:val="24"/>
        </w:rPr>
        <w:t>. “</w:t>
      </w:r>
      <w:r w:rsidRPr="001344F0">
        <w:rPr>
          <w:sz w:val="24"/>
          <w:szCs w:val="24"/>
        </w:rPr>
        <w:t>Buy High, Sell Low: How Listed Firms Price Asset Transfers in Related Party T</w:t>
      </w:r>
      <w:r w:rsidR="00491831" w:rsidRPr="001344F0">
        <w:rPr>
          <w:sz w:val="24"/>
          <w:szCs w:val="24"/>
        </w:rPr>
        <w:t>ransactions.”</w:t>
      </w:r>
      <w:r w:rsidRPr="001344F0">
        <w:rPr>
          <w:sz w:val="24"/>
          <w:szCs w:val="24"/>
        </w:rPr>
        <w:t xml:space="preserve"> </w:t>
      </w:r>
      <w:r w:rsidRPr="001344F0">
        <w:rPr>
          <w:i/>
          <w:sz w:val="24"/>
          <w:szCs w:val="24"/>
        </w:rPr>
        <w:t>Journal of Banking and</w:t>
      </w:r>
      <w:r w:rsidRPr="001344F0">
        <w:rPr>
          <w:sz w:val="24"/>
          <w:szCs w:val="24"/>
        </w:rPr>
        <w:t xml:space="preserve"> Finance 33, no. 5 (2009): 914-924.</w:t>
      </w:r>
    </w:p>
    <w:p w14:paraId="780156B5" w14:textId="77777777" w:rsidR="00D7094E" w:rsidRPr="001344F0" w:rsidRDefault="00D7094E" w:rsidP="00243C40">
      <w:pPr>
        <w:pStyle w:val="EndnoteText"/>
        <w:tabs>
          <w:tab w:val="left" w:pos="0"/>
        </w:tabs>
        <w:jc w:val="both"/>
        <w:rPr>
          <w:sz w:val="24"/>
          <w:szCs w:val="24"/>
        </w:rPr>
      </w:pPr>
    </w:p>
    <w:p w14:paraId="75C8FB2D" w14:textId="77777777" w:rsidR="00DA501D" w:rsidRPr="00BC68C4" w:rsidRDefault="00DA501D" w:rsidP="00243C40">
      <w:pPr>
        <w:pStyle w:val="EndnoteText"/>
        <w:tabs>
          <w:tab w:val="left" w:pos="0"/>
        </w:tabs>
        <w:jc w:val="both"/>
        <w:rPr>
          <w:sz w:val="24"/>
          <w:szCs w:val="24"/>
        </w:rPr>
      </w:pPr>
      <w:r w:rsidRPr="001344F0">
        <w:rPr>
          <w:sz w:val="24"/>
          <w:szCs w:val="24"/>
        </w:rPr>
        <w:t xml:space="preserve">Cho, </w:t>
      </w:r>
      <w:proofErr w:type="spellStart"/>
      <w:r w:rsidRPr="001344F0">
        <w:rPr>
          <w:sz w:val="24"/>
          <w:szCs w:val="24"/>
        </w:rPr>
        <w:t>Myeong-Hyeon</w:t>
      </w:r>
      <w:proofErr w:type="spellEnd"/>
      <w:r w:rsidRPr="001344F0">
        <w:rPr>
          <w:sz w:val="24"/>
          <w:szCs w:val="24"/>
        </w:rPr>
        <w:t>. “Ownership Structure, Investment and the</w:t>
      </w:r>
      <w:r w:rsidRPr="00BC68C4">
        <w:rPr>
          <w:sz w:val="24"/>
          <w:szCs w:val="24"/>
        </w:rPr>
        <w:t xml:space="preserve"> Corporate Value: An Empirical Analysis.” </w:t>
      </w:r>
      <w:r w:rsidRPr="00BC68C4">
        <w:rPr>
          <w:i/>
          <w:sz w:val="24"/>
          <w:szCs w:val="24"/>
        </w:rPr>
        <w:t>Journal of Financial Economics</w:t>
      </w:r>
      <w:r w:rsidRPr="00BC68C4">
        <w:rPr>
          <w:sz w:val="24"/>
          <w:szCs w:val="24"/>
        </w:rPr>
        <w:t xml:space="preserve"> 47, no. 1 (1998): 103-21.</w:t>
      </w:r>
    </w:p>
    <w:p w14:paraId="50370FA3" w14:textId="77777777" w:rsidR="00F55E13" w:rsidRPr="00BC68C4" w:rsidRDefault="00F55E13" w:rsidP="00243C40">
      <w:pPr>
        <w:pStyle w:val="EndnoteText"/>
        <w:tabs>
          <w:tab w:val="left" w:pos="0"/>
        </w:tabs>
        <w:jc w:val="both"/>
        <w:rPr>
          <w:sz w:val="24"/>
          <w:szCs w:val="24"/>
        </w:rPr>
      </w:pPr>
    </w:p>
    <w:p w14:paraId="6B5FCF2E" w14:textId="50676999" w:rsidR="00F55E13" w:rsidRPr="00BC68C4" w:rsidRDefault="00F55E13" w:rsidP="00810620">
      <w:pPr>
        <w:rPr>
          <w:sz w:val="24"/>
          <w:szCs w:val="24"/>
        </w:rPr>
      </w:pPr>
      <w:proofErr w:type="spellStart"/>
      <w:r w:rsidRPr="00BC68C4">
        <w:rPr>
          <w:rFonts w:ascii="Times New Roman" w:hAnsi="Times New Roman" w:cs="Times New Roman"/>
          <w:sz w:val="24"/>
          <w:szCs w:val="24"/>
        </w:rPr>
        <w:t>Claessens</w:t>
      </w:r>
      <w:proofErr w:type="spellEnd"/>
      <w:r w:rsidRPr="00BC68C4">
        <w:rPr>
          <w:rFonts w:ascii="Times New Roman" w:hAnsi="Times New Roman" w:cs="Times New Roman"/>
          <w:sz w:val="24"/>
          <w:szCs w:val="24"/>
        </w:rPr>
        <w:t xml:space="preserve">, </w:t>
      </w:r>
      <w:proofErr w:type="spellStart"/>
      <w:r w:rsidRPr="00BC68C4">
        <w:rPr>
          <w:rFonts w:ascii="Times New Roman" w:hAnsi="Times New Roman" w:cs="Times New Roman"/>
          <w:sz w:val="24"/>
          <w:szCs w:val="24"/>
        </w:rPr>
        <w:t>Stijn</w:t>
      </w:r>
      <w:proofErr w:type="spellEnd"/>
      <w:r w:rsidRPr="00BC68C4">
        <w:rPr>
          <w:rFonts w:ascii="Times New Roman" w:hAnsi="Times New Roman" w:cs="Times New Roman"/>
          <w:sz w:val="24"/>
          <w:szCs w:val="24"/>
        </w:rPr>
        <w:t xml:space="preserve">, Simeon </w:t>
      </w:r>
      <w:proofErr w:type="spellStart"/>
      <w:r w:rsidRPr="00BC68C4">
        <w:rPr>
          <w:rFonts w:ascii="Times New Roman" w:hAnsi="Times New Roman" w:cs="Times New Roman"/>
          <w:sz w:val="24"/>
          <w:szCs w:val="24"/>
        </w:rPr>
        <w:t>Djankov</w:t>
      </w:r>
      <w:proofErr w:type="spellEnd"/>
      <w:r w:rsidRPr="00BC68C4">
        <w:rPr>
          <w:rFonts w:ascii="Times New Roman" w:hAnsi="Times New Roman" w:cs="Times New Roman"/>
          <w:sz w:val="24"/>
          <w:szCs w:val="24"/>
        </w:rPr>
        <w:t xml:space="preserve">, Joseph P. H. Fan and Larry H. P. </w:t>
      </w:r>
      <w:r w:rsidR="00D7094E" w:rsidRPr="00BC68C4">
        <w:rPr>
          <w:rFonts w:ascii="Times New Roman" w:hAnsi="Times New Roman" w:cs="Times New Roman"/>
          <w:sz w:val="24"/>
          <w:szCs w:val="24"/>
        </w:rPr>
        <w:t>Lang. “</w:t>
      </w:r>
      <w:r w:rsidRPr="00BC68C4">
        <w:rPr>
          <w:rFonts w:ascii="Times New Roman" w:hAnsi="Times New Roman" w:cs="Times New Roman"/>
          <w:sz w:val="24"/>
          <w:szCs w:val="24"/>
        </w:rPr>
        <w:t xml:space="preserve">Disentangling the Incentive and Entrenchment </w:t>
      </w:r>
      <w:r w:rsidR="003C202E" w:rsidRPr="00BC68C4">
        <w:rPr>
          <w:rFonts w:ascii="Times New Roman" w:hAnsi="Times New Roman" w:cs="Times New Roman"/>
          <w:sz w:val="24"/>
          <w:szCs w:val="24"/>
        </w:rPr>
        <w:t>Effects of Large Shareholdings.</w:t>
      </w:r>
      <w:r w:rsidR="00D7094E" w:rsidRPr="00BC68C4">
        <w:rPr>
          <w:rFonts w:ascii="Times New Roman" w:hAnsi="Times New Roman" w:cs="Times New Roman"/>
          <w:sz w:val="24"/>
          <w:szCs w:val="24"/>
        </w:rPr>
        <w:t>”</w:t>
      </w:r>
      <w:r w:rsidRPr="00BC68C4">
        <w:rPr>
          <w:rFonts w:ascii="Times New Roman" w:hAnsi="Times New Roman" w:cs="Times New Roman"/>
          <w:sz w:val="24"/>
          <w:szCs w:val="24"/>
        </w:rPr>
        <w:t xml:space="preserve"> </w:t>
      </w:r>
      <w:r w:rsidRPr="00BC68C4">
        <w:rPr>
          <w:rFonts w:ascii="Times New Roman" w:hAnsi="Times New Roman" w:cs="Times New Roman"/>
          <w:i/>
          <w:sz w:val="24"/>
          <w:szCs w:val="24"/>
        </w:rPr>
        <w:t>Journal of Finance</w:t>
      </w:r>
      <w:r w:rsidRPr="00BC68C4">
        <w:rPr>
          <w:rFonts w:ascii="Times New Roman" w:hAnsi="Times New Roman" w:cs="Times New Roman"/>
          <w:sz w:val="24"/>
          <w:szCs w:val="24"/>
        </w:rPr>
        <w:t xml:space="preserve"> 57, no. 6 (2002): 2741-2771.</w:t>
      </w:r>
    </w:p>
    <w:p w14:paraId="3A58F378" w14:textId="77777777" w:rsidR="00DA501D" w:rsidRPr="00BC68C4" w:rsidRDefault="00DA501D" w:rsidP="00243C40">
      <w:pPr>
        <w:pStyle w:val="EndnoteText"/>
        <w:tabs>
          <w:tab w:val="left" w:pos="0"/>
        </w:tabs>
        <w:jc w:val="both"/>
        <w:rPr>
          <w:sz w:val="24"/>
          <w:szCs w:val="24"/>
        </w:rPr>
      </w:pPr>
    </w:p>
    <w:p w14:paraId="5F43C75F" w14:textId="77777777" w:rsidR="00503FFF" w:rsidRPr="00BC68C4" w:rsidRDefault="00503FFF" w:rsidP="00243C40">
      <w:pPr>
        <w:pStyle w:val="EndnoteText"/>
        <w:tabs>
          <w:tab w:val="left" w:pos="0"/>
        </w:tabs>
        <w:jc w:val="both"/>
        <w:rPr>
          <w:sz w:val="24"/>
          <w:szCs w:val="24"/>
        </w:rPr>
      </w:pPr>
      <w:r w:rsidRPr="00BC68C4">
        <w:rPr>
          <w:sz w:val="24"/>
          <w:szCs w:val="24"/>
        </w:rPr>
        <w:t xml:space="preserve">Coles, Jeffrey L., Michael L. Lemmon and J. Felix </w:t>
      </w:r>
      <w:proofErr w:type="spellStart"/>
      <w:r w:rsidRPr="00BC68C4">
        <w:rPr>
          <w:sz w:val="24"/>
          <w:szCs w:val="24"/>
        </w:rPr>
        <w:t>Meschke</w:t>
      </w:r>
      <w:proofErr w:type="spellEnd"/>
      <w:r w:rsidRPr="00BC68C4">
        <w:rPr>
          <w:sz w:val="24"/>
          <w:szCs w:val="24"/>
        </w:rPr>
        <w:t xml:space="preserve">. “Structural Models and Endogeneity in Corporate Finance: The Link between Managerial Ownership and Corporate Performance.”  </w:t>
      </w:r>
      <w:r w:rsidRPr="00BC68C4">
        <w:rPr>
          <w:i/>
          <w:sz w:val="24"/>
          <w:szCs w:val="24"/>
        </w:rPr>
        <w:t>Journal of Financial Economics</w:t>
      </w:r>
      <w:r w:rsidRPr="00BC68C4">
        <w:rPr>
          <w:sz w:val="24"/>
          <w:szCs w:val="24"/>
        </w:rPr>
        <w:t xml:space="preserve"> 103, no. 21 (2012): 149-68.</w:t>
      </w:r>
    </w:p>
    <w:p w14:paraId="46447B6D" w14:textId="77777777" w:rsidR="00503FFF" w:rsidRPr="00BC68C4" w:rsidRDefault="00503FFF" w:rsidP="00243C40">
      <w:pPr>
        <w:pStyle w:val="EndnoteText"/>
        <w:tabs>
          <w:tab w:val="left" w:pos="0"/>
        </w:tabs>
        <w:jc w:val="both"/>
        <w:rPr>
          <w:sz w:val="24"/>
          <w:szCs w:val="24"/>
        </w:rPr>
      </w:pPr>
    </w:p>
    <w:p w14:paraId="64E2FE13" w14:textId="1618F3E2" w:rsidR="00B139AB" w:rsidRPr="00BC68C4" w:rsidRDefault="00B139AB" w:rsidP="00B139AB">
      <w:pPr>
        <w:rPr>
          <w:rFonts w:ascii="Times New Roman" w:eastAsia="Times New Roman" w:hAnsi="Times New Roman" w:cs="Times New Roman"/>
          <w:sz w:val="24"/>
        </w:rPr>
      </w:pPr>
      <w:r w:rsidRPr="00BC68C4">
        <w:rPr>
          <w:rFonts w:ascii="Times New Roman" w:eastAsia="Times New Roman" w:hAnsi="Times New Roman" w:cs="Times New Roman"/>
          <w:sz w:val="24"/>
        </w:rPr>
        <w:t xml:space="preserve">Cottrell, Philip L., </w:t>
      </w:r>
      <w:r w:rsidRPr="00BC68C4">
        <w:rPr>
          <w:rFonts w:ascii="Times New Roman" w:eastAsia="Times New Roman" w:hAnsi="Times New Roman" w:cs="Times New Roman"/>
          <w:i/>
          <w:sz w:val="24"/>
        </w:rPr>
        <w:t>Industrial Finance, 1830-1914</w:t>
      </w:r>
      <w:r w:rsidRPr="00BC68C4">
        <w:rPr>
          <w:rFonts w:ascii="Times New Roman" w:eastAsia="Times New Roman" w:hAnsi="Times New Roman" w:cs="Times New Roman"/>
          <w:sz w:val="24"/>
        </w:rPr>
        <w:t>. London: Methuen, 1980.</w:t>
      </w:r>
    </w:p>
    <w:p w14:paraId="061EC11C" w14:textId="77777777" w:rsidR="00B139AB" w:rsidRPr="00BC68C4" w:rsidRDefault="00B139AB" w:rsidP="00243C40">
      <w:pPr>
        <w:pStyle w:val="EndnoteText"/>
        <w:tabs>
          <w:tab w:val="left" w:pos="0"/>
        </w:tabs>
        <w:jc w:val="both"/>
        <w:rPr>
          <w:sz w:val="24"/>
          <w:szCs w:val="24"/>
        </w:rPr>
      </w:pPr>
    </w:p>
    <w:p w14:paraId="127C78EC" w14:textId="77777777" w:rsidR="00C47EF0" w:rsidRPr="00BC68C4" w:rsidRDefault="00C47EF0" w:rsidP="00243C40">
      <w:pPr>
        <w:pStyle w:val="EndnoteText"/>
        <w:tabs>
          <w:tab w:val="left" w:pos="0"/>
        </w:tabs>
        <w:jc w:val="both"/>
        <w:rPr>
          <w:sz w:val="24"/>
          <w:szCs w:val="24"/>
        </w:rPr>
      </w:pPr>
      <w:r w:rsidRPr="00BC68C4">
        <w:rPr>
          <w:i/>
          <w:sz w:val="24"/>
          <w:szCs w:val="24"/>
        </w:rPr>
        <w:t>Course of the Exchange</w:t>
      </w:r>
      <w:r w:rsidRPr="00BC68C4">
        <w:rPr>
          <w:sz w:val="24"/>
          <w:szCs w:val="24"/>
        </w:rPr>
        <w:t xml:space="preserve"> (1856-70).</w:t>
      </w:r>
    </w:p>
    <w:p w14:paraId="4C37C396" w14:textId="77777777" w:rsidR="00C47EF0" w:rsidRPr="00BC68C4" w:rsidRDefault="00C47EF0" w:rsidP="00243C40">
      <w:pPr>
        <w:pStyle w:val="EndnoteText"/>
        <w:tabs>
          <w:tab w:val="left" w:pos="0"/>
        </w:tabs>
        <w:jc w:val="both"/>
        <w:rPr>
          <w:sz w:val="24"/>
          <w:szCs w:val="24"/>
        </w:rPr>
      </w:pPr>
    </w:p>
    <w:p w14:paraId="490756F2" w14:textId="39044AB7" w:rsidR="002E07DF" w:rsidRPr="00BC68C4" w:rsidRDefault="002E07DF" w:rsidP="002E07DF">
      <w:pPr>
        <w:autoSpaceDE w:val="0"/>
        <w:autoSpaceDN w:val="0"/>
        <w:adjustRightInd w:val="0"/>
        <w:rPr>
          <w:rFonts w:ascii="Times New Roman" w:hAnsi="Times New Roman" w:cs="Times New Roman"/>
          <w:sz w:val="24"/>
          <w:szCs w:val="24"/>
          <w:lang w:eastAsia="en-GB"/>
        </w:rPr>
      </w:pPr>
      <w:r w:rsidRPr="00BC68C4">
        <w:rPr>
          <w:rFonts w:ascii="Times New Roman" w:hAnsi="Times New Roman" w:cs="Times New Roman"/>
          <w:sz w:val="24"/>
          <w:szCs w:val="24"/>
          <w:lang w:eastAsia="en-GB"/>
        </w:rPr>
        <w:t xml:space="preserve">Crafts, Nicholas, Terence C. Mills, T. C., and </w:t>
      </w:r>
      <w:proofErr w:type="spellStart"/>
      <w:r w:rsidRPr="00BC68C4">
        <w:rPr>
          <w:rFonts w:ascii="Times New Roman" w:hAnsi="Times New Roman" w:cs="Times New Roman"/>
          <w:sz w:val="24"/>
          <w:szCs w:val="24"/>
          <w:lang w:eastAsia="en-GB"/>
        </w:rPr>
        <w:t>Abay</w:t>
      </w:r>
      <w:proofErr w:type="spellEnd"/>
      <w:r w:rsidRPr="00BC68C4">
        <w:rPr>
          <w:rFonts w:ascii="Times New Roman" w:hAnsi="Times New Roman" w:cs="Times New Roman"/>
          <w:sz w:val="24"/>
          <w:szCs w:val="24"/>
          <w:lang w:eastAsia="en-GB"/>
        </w:rPr>
        <w:t xml:space="preserve"> </w:t>
      </w:r>
      <w:proofErr w:type="spellStart"/>
      <w:r w:rsidRPr="00BC68C4">
        <w:rPr>
          <w:rFonts w:ascii="Times New Roman" w:hAnsi="Times New Roman" w:cs="Times New Roman"/>
          <w:sz w:val="24"/>
          <w:szCs w:val="24"/>
          <w:lang w:eastAsia="en-GB"/>
        </w:rPr>
        <w:t>Mulatu</w:t>
      </w:r>
      <w:proofErr w:type="spellEnd"/>
      <w:r w:rsidRPr="00BC68C4">
        <w:rPr>
          <w:rFonts w:ascii="Times New Roman" w:hAnsi="Times New Roman" w:cs="Times New Roman"/>
          <w:sz w:val="24"/>
          <w:szCs w:val="24"/>
          <w:lang w:eastAsia="en-GB"/>
        </w:rPr>
        <w:t xml:space="preserve">. “Total Factor Productivity Growth on Britain’s Railways, 1852–1912: A Reappraisal of the Evidence.” </w:t>
      </w:r>
      <w:r w:rsidRPr="00BC68C4">
        <w:rPr>
          <w:rFonts w:ascii="Times New Roman" w:hAnsi="Times New Roman" w:cs="Times New Roman"/>
          <w:i/>
          <w:iCs/>
          <w:sz w:val="24"/>
          <w:szCs w:val="24"/>
          <w:lang w:eastAsia="en-GB"/>
        </w:rPr>
        <w:t>Explorations in Economic History</w:t>
      </w:r>
      <w:r w:rsidRPr="00BC68C4">
        <w:rPr>
          <w:rFonts w:ascii="Times New Roman" w:hAnsi="Times New Roman" w:cs="Times New Roman"/>
          <w:sz w:val="24"/>
          <w:szCs w:val="24"/>
          <w:lang w:eastAsia="en-GB"/>
        </w:rPr>
        <w:t xml:space="preserve"> 44</w:t>
      </w:r>
      <w:r w:rsidR="003C202E" w:rsidRPr="00BC68C4">
        <w:rPr>
          <w:rFonts w:ascii="Times New Roman" w:hAnsi="Times New Roman" w:cs="Times New Roman"/>
          <w:sz w:val="24"/>
          <w:szCs w:val="24"/>
          <w:lang w:eastAsia="en-GB"/>
        </w:rPr>
        <w:t>,</w:t>
      </w:r>
      <w:r w:rsidR="00F67787" w:rsidRPr="00BC68C4">
        <w:rPr>
          <w:rFonts w:ascii="Times New Roman" w:hAnsi="Times New Roman" w:cs="Times New Roman"/>
          <w:sz w:val="24"/>
          <w:szCs w:val="24"/>
          <w:lang w:eastAsia="en-GB"/>
        </w:rPr>
        <w:t xml:space="preserve"> no.4</w:t>
      </w:r>
      <w:r w:rsidRPr="00BC68C4">
        <w:rPr>
          <w:rFonts w:ascii="Times New Roman" w:hAnsi="Times New Roman" w:cs="Times New Roman"/>
          <w:sz w:val="24"/>
          <w:szCs w:val="24"/>
          <w:lang w:eastAsia="en-GB"/>
        </w:rPr>
        <w:t xml:space="preserve"> (2007):</w:t>
      </w:r>
      <w:r w:rsidR="003C202E" w:rsidRPr="00BC68C4">
        <w:rPr>
          <w:rFonts w:ascii="Times New Roman" w:hAnsi="Times New Roman" w:cs="Times New Roman"/>
          <w:sz w:val="24"/>
          <w:szCs w:val="24"/>
          <w:lang w:eastAsia="en-GB"/>
        </w:rPr>
        <w:t xml:space="preserve"> </w:t>
      </w:r>
      <w:r w:rsidRPr="00BC68C4">
        <w:rPr>
          <w:rFonts w:ascii="Times New Roman" w:hAnsi="Times New Roman" w:cs="Times New Roman"/>
          <w:sz w:val="24"/>
          <w:szCs w:val="24"/>
          <w:lang w:eastAsia="en-GB"/>
        </w:rPr>
        <w:t>608–34.</w:t>
      </w:r>
    </w:p>
    <w:p w14:paraId="399F5B61" w14:textId="77777777" w:rsidR="002E07DF" w:rsidRPr="00BC68C4" w:rsidRDefault="002E07DF" w:rsidP="002E07DF">
      <w:pPr>
        <w:autoSpaceDE w:val="0"/>
        <w:autoSpaceDN w:val="0"/>
        <w:adjustRightInd w:val="0"/>
        <w:rPr>
          <w:rFonts w:ascii="Times New Roman" w:hAnsi="Times New Roman" w:cs="Times New Roman"/>
          <w:sz w:val="24"/>
          <w:szCs w:val="24"/>
          <w:lang w:eastAsia="en-GB"/>
        </w:rPr>
      </w:pPr>
    </w:p>
    <w:p w14:paraId="31816D6F" w14:textId="1943D646" w:rsidR="002E07DF" w:rsidRPr="00BC68C4" w:rsidRDefault="002E07DF" w:rsidP="002E07DF">
      <w:pPr>
        <w:autoSpaceDE w:val="0"/>
        <w:autoSpaceDN w:val="0"/>
        <w:adjustRightInd w:val="0"/>
        <w:rPr>
          <w:rFonts w:ascii="Times New Roman" w:hAnsi="Times New Roman" w:cs="Times New Roman"/>
          <w:sz w:val="24"/>
          <w:szCs w:val="24"/>
          <w:lang w:eastAsia="en-GB"/>
        </w:rPr>
      </w:pPr>
      <w:r w:rsidRPr="00BC68C4">
        <w:rPr>
          <w:rFonts w:ascii="Times New Roman" w:hAnsi="Times New Roman" w:cs="Times New Roman"/>
          <w:sz w:val="24"/>
          <w:szCs w:val="24"/>
          <w:lang w:eastAsia="en-GB"/>
        </w:rPr>
        <w:t>Crafts, Nicholas, T</w:t>
      </w:r>
      <w:r w:rsidR="003C202E" w:rsidRPr="00BC68C4">
        <w:rPr>
          <w:rFonts w:ascii="Times New Roman" w:hAnsi="Times New Roman" w:cs="Times New Roman"/>
          <w:sz w:val="24"/>
          <w:szCs w:val="24"/>
          <w:lang w:eastAsia="en-GB"/>
        </w:rPr>
        <w:t xml:space="preserve">imothy Leunig, and </w:t>
      </w:r>
      <w:proofErr w:type="spellStart"/>
      <w:r w:rsidR="003C202E" w:rsidRPr="00BC68C4">
        <w:rPr>
          <w:rFonts w:ascii="Times New Roman" w:hAnsi="Times New Roman" w:cs="Times New Roman"/>
          <w:sz w:val="24"/>
          <w:szCs w:val="24"/>
          <w:lang w:eastAsia="en-GB"/>
        </w:rPr>
        <w:t>Abay</w:t>
      </w:r>
      <w:proofErr w:type="spellEnd"/>
      <w:r w:rsidR="003C202E" w:rsidRPr="00BC68C4">
        <w:rPr>
          <w:rFonts w:ascii="Times New Roman" w:hAnsi="Times New Roman" w:cs="Times New Roman"/>
          <w:sz w:val="24"/>
          <w:szCs w:val="24"/>
          <w:lang w:eastAsia="en-GB"/>
        </w:rPr>
        <w:t xml:space="preserve"> </w:t>
      </w:r>
      <w:proofErr w:type="spellStart"/>
      <w:r w:rsidR="003C202E" w:rsidRPr="00BC68C4">
        <w:rPr>
          <w:rFonts w:ascii="Times New Roman" w:hAnsi="Times New Roman" w:cs="Times New Roman"/>
          <w:sz w:val="24"/>
          <w:szCs w:val="24"/>
          <w:lang w:eastAsia="en-GB"/>
        </w:rPr>
        <w:t>Mulatu</w:t>
      </w:r>
      <w:proofErr w:type="spellEnd"/>
      <w:r w:rsidR="003C202E" w:rsidRPr="00BC68C4">
        <w:rPr>
          <w:rFonts w:ascii="Times New Roman" w:hAnsi="Times New Roman" w:cs="Times New Roman"/>
          <w:sz w:val="24"/>
          <w:szCs w:val="24"/>
          <w:lang w:eastAsia="en-GB"/>
        </w:rPr>
        <w:t>.</w:t>
      </w:r>
      <w:r w:rsidRPr="00BC68C4">
        <w:rPr>
          <w:rFonts w:ascii="Times New Roman" w:hAnsi="Times New Roman" w:cs="Times New Roman"/>
          <w:sz w:val="24"/>
          <w:szCs w:val="24"/>
          <w:lang w:eastAsia="en-GB"/>
        </w:rPr>
        <w:t xml:space="preserve"> “Were British Railway Companies Well Managed in the Early Twentieth Century?’ </w:t>
      </w:r>
      <w:r w:rsidRPr="00BC68C4">
        <w:rPr>
          <w:rFonts w:ascii="Times New Roman" w:hAnsi="Times New Roman" w:cs="Times New Roman"/>
          <w:i/>
          <w:sz w:val="24"/>
          <w:szCs w:val="24"/>
          <w:lang w:eastAsia="en-GB"/>
        </w:rPr>
        <w:t>Economic History Review</w:t>
      </w:r>
      <w:r w:rsidR="003C202E" w:rsidRPr="00BC68C4">
        <w:rPr>
          <w:rFonts w:ascii="Times New Roman" w:hAnsi="Times New Roman" w:cs="Times New Roman"/>
          <w:i/>
          <w:sz w:val="24"/>
          <w:szCs w:val="24"/>
          <w:lang w:eastAsia="en-GB"/>
        </w:rPr>
        <w:t xml:space="preserve"> </w:t>
      </w:r>
      <w:r w:rsidRPr="00BC68C4">
        <w:rPr>
          <w:rFonts w:ascii="Times New Roman" w:hAnsi="Times New Roman" w:cs="Times New Roman"/>
          <w:sz w:val="24"/>
          <w:szCs w:val="24"/>
          <w:lang w:eastAsia="en-GB"/>
        </w:rPr>
        <w:t>61</w:t>
      </w:r>
      <w:r w:rsidR="003C202E" w:rsidRPr="00BC68C4">
        <w:rPr>
          <w:rFonts w:ascii="Times New Roman" w:hAnsi="Times New Roman" w:cs="Times New Roman"/>
          <w:sz w:val="24"/>
          <w:szCs w:val="24"/>
          <w:lang w:eastAsia="en-GB"/>
        </w:rPr>
        <w:t>,</w:t>
      </w:r>
      <w:r w:rsidR="00F67787" w:rsidRPr="00BC68C4">
        <w:rPr>
          <w:rFonts w:ascii="Times New Roman" w:hAnsi="Times New Roman" w:cs="Times New Roman"/>
          <w:sz w:val="24"/>
          <w:szCs w:val="24"/>
          <w:lang w:eastAsia="en-GB"/>
        </w:rPr>
        <w:t xml:space="preserve"> no. 4</w:t>
      </w:r>
      <w:r w:rsidRPr="00BC68C4">
        <w:rPr>
          <w:rFonts w:ascii="Times New Roman" w:hAnsi="Times New Roman" w:cs="Times New Roman"/>
          <w:sz w:val="24"/>
          <w:szCs w:val="24"/>
          <w:lang w:eastAsia="en-GB"/>
        </w:rPr>
        <w:t xml:space="preserve"> (2008): 842-66.</w:t>
      </w:r>
    </w:p>
    <w:p w14:paraId="3D7EEAED" w14:textId="77777777" w:rsidR="002E07DF" w:rsidRPr="00BC68C4" w:rsidRDefault="002E07DF" w:rsidP="00243C40">
      <w:pPr>
        <w:pStyle w:val="EndnoteText"/>
        <w:tabs>
          <w:tab w:val="left" w:pos="0"/>
        </w:tabs>
        <w:jc w:val="both"/>
        <w:rPr>
          <w:sz w:val="24"/>
          <w:szCs w:val="24"/>
        </w:rPr>
      </w:pPr>
    </w:p>
    <w:p w14:paraId="198DBB95" w14:textId="6AB1F08D" w:rsidR="00F55E13" w:rsidRPr="00BC68C4" w:rsidRDefault="00F55E13" w:rsidP="00810620">
      <w:pPr>
        <w:rPr>
          <w:sz w:val="24"/>
          <w:szCs w:val="24"/>
        </w:rPr>
      </w:pPr>
      <w:proofErr w:type="spellStart"/>
      <w:r w:rsidRPr="00BC68C4">
        <w:rPr>
          <w:rFonts w:ascii="Times New Roman" w:hAnsi="Times New Roman" w:cs="Times New Roman"/>
          <w:sz w:val="24"/>
          <w:szCs w:val="24"/>
        </w:rPr>
        <w:t>Dahya</w:t>
      </w:r>
      <w:proofErr w:type="spellEnd"/>
      <w:r w:rsidRPr="00BC68C4">
        <w:rPr>
          <w:rFonts w:ascii="Times New Roman" w:hAnsi="Times New Roman" w:cs="Times New Roman"/>
          <w:sz w:val="24"/>
          <w:szCs w:val="24"/>
        </w:rPr>
        <w:t xml:space="preserve">, Jay, </w:t>
      </w:r>
      <w:proofErr w:type="spellStart"/>
      <w:r w:rsidRPr="00BC68C4">
        <w:rPr>
          <w:rFonts w:ascii="Times New Roman" w:hAnsi="Times New Roman" w:cs="Times New Roman"/>
          <w:sz w:val="24"/>
          <w:szCs w:val="24"/>
        </w:rPr>
        <w:t>Orlin</w:t>
      </w:r>
      <w:proofErr w:type="spellEnd"/>
      <w:r w:rsidRPr="00BC68C4">
        <w:rPr>
          <w:rFonts w:ascii="Times New Roman" w:hAnsi="Times New Roman" w:cs="Times New Roman"/>
          <w:sz w:val="24"/>
          <w:szCs w:val="24"/>
        </w:rPr>
        <w:t xml:space="preserve"> </w:t>
      </w:r>
      <w:proofErr w:type="spellStart"/>
      <w:r w:rsidRPr="00BC68C4">
        <w:rPr>
          <w:rFonts w:ascii="Times New Roman" w:hAnsi="Times New Roman" w:cs="Times New Roman"/>
          <w:sz w:val="24"/>
          <w:szCs w:val="24"/>
        </w:rPr>
        <w:t>Dimitrov</w:t>
      </w:r>
      <w:proofErr w:type="spellEnd"/>
      <w:r w:rsidRPr="00BC68C4">
        <w:rPr>
          <w:rFonts w:ascii="Times New Roman" w:hAnsi="Times New Roman" w:cs="Times New Roman"/>
          <w:sz w:val="24"/>
          <w:szCs w:val="24"/>
        </w:rPr>
        <w:t xml:space="preserve"> and John J. McConnell. </w:t>
      </w:r>
      <w:r w:rsidR="00D7094E" w:rsidRPr="00BC68C4">
        <w:rPr>
          <w:rFonts w:ascii="Times New Roman" w:hAnsi="Times New Roman" w:cs="Times New Roman"/>
          <w:sz w:val="24"/>
          <w:szCs w:val="24"/>
        </w:rPr>
        <w:t>“</w:t>
      </w:r>
      <w:r w:rsidRPr="00BC68C4">
        <w:rPr>
          <w:rFonts w:ascii="Times New Roman" w:hAnsi="Times New Roman" w:cs="Times New Roman"/>
          <w:sz w:val="24"/>
          <w:szCs w:val="24"/>
        </w:rPr>
        <w:t xml:space="preserve">Dominant </w:t>
      </w:r>
      <w:r w:rsidR="00750FBA" w:rsidRPr="00BC68C4">
        <w:rPr>
          <w:rFonts w:ascii="Times New Roman" w:hAnsi="Times New Roman" w:cs="Times New Roman"/>
          <w:sz w:val="24"/>
          <w:szCs w:val="24"/>
        </w:rPr>
        <w:t>Shareholders, Corporate Boards, and Corporate Value</w:t>
      </w:r>
      <w:r w:rsidRPr="00BC68C4">
        <w:rPr>
          <w:rFonts w:ascii="Times New Roman" w:hAnsi="Times New Roman" w:cs="Times New Roman"/>
          <w:sz w:val="24"/>
          <w:szCs w:val="24"/>
        </w:rPr>
        <w:t xml:space="preserve">: A </w:t>
      </w:r>
      <w:r w:rsidR="00750FBA" w:rsidRPr="00BC68C4">
        <w:rPr>
          <w:rFonts w:ascii="Times New Roman" w:hAnsi="Times New Roman" w:cs="Times New Roman"/>
          <w:sz w:val="24"/>
          <w:szCs w:val="24"/>
        </w:rPr>
        <w:t>Cross-Country Analysis.</w:t>
      </w:r>
      <w:r w:rsidR="00D7094E" w:rsidRPr="00BC68C4">
        <w:rPr>
          <w:rFonts w:ascii="Times New Roman" w:hAnsi="Times New Roman" w:cs="Times New Roman"/>
          <w:sz w:val="24"/>
          <w:szCs w:val="24"/>
        </w:rPr>
        <w:t>”</w:t>
      </w:r>
      <w:r w:rsidRPr="00BC68C4">
        <w:rPr>
          <w:rFonts w:ascii="Times New Roman" w:hAnsi="Times New Roman" w:cs="Times New Roman"/>
          <w:sz w:val="24"/>
          <w:szCs w:val="24"/>
        </w:rPr>
        <w:t xml:space="preserve"> </w:t>
      </w:r>
      <w:r w:rsidRPr="00BC68C4">
        <w:rPr>
          <w:rFonts w:ascii="Times New Roman" w:hAnsi="Times New Roman" w:cs="Times New Roman"/>
          <w:i/>
          <w:sz w:val="24"/>
          <w:szCs w:val="24"/>
        </w:rPr>
        <w:t>Journal of Financial Economics</w:t>
      </w:r>
      <w:r w:rsidRPr="00BC68C4">
        <w:rPr>
          <w:rFonts w:ascii="Times New Roman" w:hAnsi="Times New Roman" w:cs="Times New Roman"/>
          <w:sz w:val="24"/>
          <w:szCs w:val="24"/>
        </w:rPr>
        <w:t xml:space="preserve"> 87, no. 1 (2008): 73-100.</w:t>
      </w:r>
    </w:p>
    <w:p w14:paraId="6D61F04F" w14:textId="77777777" w:rsidR="00F55E13" w:rsidRPr="00BC68C4" w:rsidRDefault="00F55E13" w:rsidP="00243C40">
      <w:pPr>
        <w:pStyle w:val="EndnoteText"/>
        <w:tabs>
          <w:tab w:val="left" w:pos="0"/>
        </w:tabs>
        <w:jc w:val="both"/>
        <w:rPr>
          <w:sz w:val="24"/>
          <w:szCs w:val="24"/>
        </w:rPr>
      </w:pPr>
    </w:p>
    <w:p w14:paraId="57E60107" w14:textId="77777777" w:rsidR="00D01A5C" w:rsidRPr="00BC68C4" w:rsidRDefault="00D01A5C" w:rsidP="00243C40">
      <w:pPr>
        <w:pStyle w:val="EndnoteText"/>
        <w:tabs>
          <w:tab w:val="left" w:pos="0"/>
        </w:tabs>
        <w:jc w:val="both"/>
        <w:rPr>
          <w:sz w:val="24"/>
          <w:szCs w:val="24"/>
        </w:rPr>
      </w:pPr>
      <w:r w:rsidRPr="00BC68C4">
        <w:rPr>
          <w:sz w:val="24"/>
          <w:szCs w:val="24"/>
        </w:rPr>
        <w:t xml:space="preserve">Davies, J. R., David Hillier and Patrick </w:t>
      </w:r>
      <w:proofErr w:type="spellStart"/>
      <w:r w:rsidRPr="00BC68C4">
        <w:rPr>
          <w:sz w:val="24"/>
          <w:szCs w:val="24"/>
        </w:rPr>
        <w:t>McColgan</w:t>
      </w:r>
      <w:proofErr w:type="spellEnd"/>
      <w:r w:rsidRPr="00BC68C4">
        <w:rPr>
          <w:sz w:val="24"/>
          <w:szCs w:val="24"/>
        </w:rPr>
        <w:t xml:space="preserve">. “Ownership Structure, Managerial Behavior and Corporate Value.” </w:t>
      </w:r>
      <w:r w:rsidRPr="00BC68C4">
        <w:rPr>
          <w:i/>
          <w:sz w:val="24"/>
          <w:szCs w:val="24"/>
        </w:rPr>
        <w:t>Journal of Corporate Finance</w:t>
      </w:r>
      <w:r w:rsidR="000819BB" w:rsidRPr="00BC68C4">
        <w:rPr>
          <w:sz w:val="24"/>
          <w:szCs w:val="24"/>
        </w:rPr>
        <w:t xml:space="preserve"> 11, no. 4 (2005): 645-60.</w:t>
      </w:r>
    </w:p>
    <w:p w14:paraId="2DC24FAC" w14:textId="77777777" w:rsidR="000819BB" w:rsidRPr="00BC68C4" w:rsidRDefault="000819BB" w:rsidP="000819BB">
      <w:pPr>
        <w:pStyle w:val="EndnoteText"/>
        <w:jc w:val="both"/>
        <w:rPr>
          <w:sz w:val="24"/>
          <w:szCs w:val="24"/>
        </w:rPr>
      </w:pPr>
    </w:p>
    <w:p w14:paraId="3E467DC5" w14:textId="77777777" w:rsidR="00243C40" w:rsidRPr="00BC68C4" w:rsidRDefault="00243C40" w:rsidP="00243C40">
      <w:pPr>
        <w:pStyle w:val="EndnoteText"/>
        <w:jc w:val="both"/>
        <w:rPr>
          <w:sz w:val="24"/>
          <w:szCs w:val="24"/>
        </w:rPr>
      </w:pPr>
      <w:proofErr w:type="spellStart"/>
      <w:r w:rsidRPr="00BC68C4">
        <w:rPr>
          <w:sz w:val="24"/>
          <w:szCs w:val="24"/>
        </w:rPr>
        <w:t>Demsetz</w:t>
      </w:r>
      <w:proofErr w:type="spellEnd"/>
      <w:r w:rsidRPr="00BC68C4">
        <w:rPr>
          <w:sz w:val="24"/>
          <w:szCs w:val="24"/>
        </w:rPr>
        <w:t xml:space="preserve">, Harold and Kenneth Lehn. “The Structure of Corporate Ownership: Causes and Consequences.” </w:t>
      </w:r>
      <w:r w:rsidRPr="00BC68C4">
        <w:rPr>
          <w:i/>
          <w:sz w:val="24"/>
          <w:szCs w:val="24"/>
        </w:rPr>
        <w:t>Journal of Political Economy</w:t>
      </w:r>
      <w:r w:rsidRPr="00BC68C4">
        <w:rPr>
          <w:sz w:val="24"/>
          <w:szCs w:val="24"/>
        </w:rPr>
        <w:t xml:space="preserve"> 93, no. 6 (1985): 1155-77. </w:t>
      </w:r>
    </w:p>
    <w:p w14:paraId="3153B839" w14:textId="77777777" w:rsidR="00243C40" w:rsidRPr="00BC68C4" w:rsidRDefault="00243C40" w:rsidP="00243C40">
      <w:pPr>
        <w:pStyle w:val="EndnoteText"/>
        <w:tabs>
          <w:tab w:val="left" w:pos="0"/>
        </w:tabs>
        <w:jc w:val="both"/>
        <w:rPr>
          <w:sz w:val="24"/>
          <w:szCs w:val="24"/>
          <w:lang w:val="en-GB"/>
        </w:rPr>
      </w:pPr>
    </w:p>
    <w:p w14:paraId="73CF2B62" w14:textId="77777777" w:rsidR="00503FFF" w:rsidRPr="00BC68C4" w:rsidRDefault="00DA501D" w:rsidP="00243C40">
      <w:pPr>
        <w:pStyle w:val="EndnoteText"/>
        <w:tabs>
          <w:tab w:val="left" w:pos="0"/>
        </w:tabs>
        <w:jc w:val="both"/>
        <w:rPr>
          <w:sz w:val="24"/>
          <w:szCs w:val="24"/>
        </w:rPr>
      </w:pPr>
      <w:proofErr w:type="spellStart"/>
      <w:r w:rsidRPr="00BC68C4">
        <w:rPr>
          <w:sz w:val="24"/>
          <w:szCs w:val="24"/>
        </w:rPr>
        <w:t>Demsetz</w:t>
      </w:r>
      <w:proofErr w:type="spellEnd"/>
      <w:r w:rsidRPr="00BC68C4">
        <w:rPr>
          <w:sz w:val="24"/>
          <w:szCs w:val="24"/>
        </w:rPr>
        <w:t xml:space="preserve">, Harold and </w:t>
      </w:r>
      <w:proofErr w:type="spellStart"/>
      <w:r w:rsidRPr="00BC68C4">
        <w:rPr>
          <w:sz w:val="24"/>
          <w:szCs w:val="24"/>
        </w:rPr>
        <w:t>Belén</w:t>
      </w:r>
      <w:proofErr w:type="spellEnd"/>
      <w:r w:rsidRPr="00BC68C4">
        <w:rPr>
          <w:sz w:val="24"/>
          <w:szCs w:val="24"/>
        </w:rPr>
        <w:t xml:space="preserve"> </w:t>
      </w:r>
      <w:proofErr w:type="spellStart"/>
      <w:r w:rsidRPr="00BC68C4">
        <w:rPr>
          <w:sz w:val="24"/>
          <w:szCs w:val="24"/>
        </w:rPr>
        <w:t>Villalonga</w:t>
      </w:r>
      <w:proofErr w:type="spellEnd"/>
      <w:r w:rsidRPr="00BC68C4">
        <w:rPr>
          <w:sz w:val="24"/>
          <w:szCs w:val="24"/>
        </w:rPr>
        <w:t xml:space="preserve">. “Ownership Structure and Corporate Performance.” </w:t>
      </w:r>
      <w:r w:rsidRPr="00BC68C4">
        <w:rPr>
          <w:i/>
          <w:sz w:val="24"/>
          <w:szCs w:val="24"/>
        </w:rPr>
        <w:t>Journal of Corporate Finance</w:t>
      </w:r>
      <w:r w:rsidRPr="00BC68C4">
        <w:rPr>
          <w:sz w:val="24"/>
          <w:szCs w:val="24"/>
        </w:rPr>
        <w:t xml:space="preserve"> 7</w:t>
      </w:r>
      <w:r w:rsidR="00503FFF" w:rsidRPr="00BC68C4">
        <w:rPr>
          <w:sz w:val="24"/>
          <w:szCs w:val="24"/>
        </w:rPr>
        <w:t>, no. 3 (2001): 209-33.</w:t>
      </w:r>
    </w:p>
    <w:p w14:paraId="6DC05625" w14:textId="77777777" w:rsidR="003D2603" w:rsidRPr="00BC68C4" w:rsidRDefault="003D2603" w:rsidP="00243C40">
      <w:pPr>
        <w:pStyle w:val="EndnoteText"/>
        <w:tabs>
          <w:tab w:val="left" w:pos="0"/>
        </w:tabs>
        <w:jc w:val="both"/>
        <w:rPr>
          <w:sz w:val="24"/>
          <w:szCs w:val="24"/>
        </w:rPr>
      </w:pPr>
    </w:p>
    <w:p w14:paraId="06B5B9EA" w14:textId="77777777" w:rsidR="00947C30" w:rsidRPr="00BC68C4" w:rsidRDefault="00947C30" w:rsidP="00243C40">
      <w:pPr>
        <w:pStyle w:val="EndnoteText"/>
        <w:tabs>
          <w:tab w:val="left" w:pos="0"/>
        </w:tabs>
        <w:jc w:val="both"/>
        <w:rPr>
          <w:sz w:val="24"/>
          <w:szCs w:val="24"/>
        </w:rPr>
      </w:pPr>
      <w:r w:rsidRPr="00BC68C4">
        <w:rPr>
          <w:i/>
          <w:sz w:val="24"/>
          <w:szCs w:val="24"/>
        </w:rPr>
        <w:t>Directory of Directors</w:t>
      </w:r>
      <w:r w:rsidRPr="00BC68C4">
        <w:rPr>
          <w:sz w:val="24"/>
          <w:szCs w:val="24"/>
        </w:rPr>
        <w:t xml:space="preserve"> (1880-1904).</w:t>
      </w:r>
    </w:p>
    <w:p w14:paraId="04A9EBDA" w14:textId="77777777" w:rsidR="00947C30" w:rsidRPr="00BC68C4" w:rsidRDefault="00947C30" w:rsidP="00243C40">
      <w:pPr>
        <w:pStyle w:val="EndnoteText"/>
        <w:tabs>
          <w:tab w:val="left" w:pos="0"/>
        </w:tabs>
        <w:jc w:val="both"/>
        <w:rPr>
          <w:sz w:val="24"/>
          <w:szCs w:val="24"/>
        </w:rPr>
      </w:pPr>
    </w:p>
    <w:p w14:paraId="05C9B343" w14:textId="77777777" w:rsidR="003D2603" w:rsidRPr="00BC68C4" w:rsidRDefault="003D2603" w:rsidP="00243C40">
      <w:pPr>
        <w:pStyle w:val="EndnoteText"/>
        <w:tabs>
          <w:tab w:val="left" w:pos="0"/>
        </w:tabs>
        <w:jc w:val="both"/>
        <w:rPr>
          <w:sz w:val="24"/>
          <w:szCs w:val="24"/>
        </w:rPr>
      </w:pPr>
      <w:proofErr w:type="spellStart"/>
      <w:r w:rsidRPr="00BC68C4">
        <w:rPr>
          <w:sz w:val="24"/>
          <w:szCs w:val="24"/>
        </w:rPr>
        <w:t>Dybvig</w:t>
      </w:r>
      <w:proofErr w:type="spellEnd"/>
      <w:r w:rsidRPr="00BC68C4">
        <w:rPr>
          <w:sz w:val="24"/>
          <w:szCs w:val="24"/>
        </w:rPr>
        <w:t xml:space="preserve">, Philip H. and Mitch </w:t>
      </w:r>
      <w:proofErr w:type="spellStart"/>
      <w:r w:rsidRPr="00BC68C4">
        <w:rPr>
          <w:sz w:val="24"/>
          <w:szCs w:val="24"/>
        </w:rPr>
        <w:t>Warachka</w:t>
      </w:r>
      <w:proofErr w:type="spellEnd"/>
      <w:r w:rsidRPr="00BC68C4">
        <w:rPr>
          <w:sz w:val="24"/>
          <w:szCs w:val="24"/>
        </w:rPr>
        <w:t>. “Tobin’s Q Does Not Measure Firm Performance: Theory, Empirics, and Alternative Measures.”</w:t>
      </w:r>
      <w:r w:rsidR="00072EA0" w:rsidRPr="00BC68C4">
        <w:rPr>
          <w:sz w:val="24"/>
          <w:szCs w:val="24"/>
        </w:rPr>
        <w:t xml:space="preserve"> Working paper (2012), a</w:t>
      </w:r>
      <w:r w:rsidRPr="00BC68C4">
        <w:rPr>
          <w:sz w:val="24"/>
          <w:szCs w:val="24"/>
        </w:rPr>
        <w:t xml:space="preserve">vailable at </w:t>
      </w:r>
      <w:hyperlink r:id="rId9" w:history="1">
        <w:r w:rsidRPr="00BC68C4">
          <w:rPr>
            <w:rStyle w:val="Hyperlink"/>
            <w:sz w:val="24"/>
            <w:szCs w:val="24"/>
          </w:rPr>
          <w:t>http://ssrn.com/abstract=1562444</w:t>
        </w:r>
      </w:hyperlink>
      <w:r w:rsidRPr="00BC68C4">
        <w:rPr>
          <w:sz w:val="24"/>
          <w:szCs w:val="24"/>
        </w:rPr>
        <w:t>.</w:t>
      </w:r>
    </w:p>
    <w:p w14:paraId="25EEB322" w14:textId="77777777" w:rsidR="00ED7D9B" w:rsidRPr="00BC68C4" w:rsidRDefault="00ED7D9B" w:rsidP="00243C40">
      <w:pPr>
        <w:pStyle w:val="EndnoteText"/>
        <w:tabs>
          <w:tab w:val="left" w:pos="0"/>
        </w:tabs>
        <w:jc w:val="both"/>
        <w:rPr>
          <w:sz w:val="24"/>
          <w:szCs w:val="24"/>
        </w:rPr>
      </w:pPr>
    </w:p>
    <w:p w14:paraId="515AF61E" w14:textId="77777777" w:rsidR="00ED7D9B" w:rsidRPr="00BC68C4" w:rsidRDefault="00ED7D9B" w:rsidP="00ED7D9B">
      <w:pPr>
        <w:rPr>
          <w:rFonts w:ascii="Times New Roman" w:hAnsi="Times New Roman" w:cs="Times New Roman"/>
          <w:sz w:val="24"/>
          <w:szCs w:val="24"/>
        </w:rPr>
      </w:pPr>
      <w:r w:rsidRPr="00BC68C4">
        <w:rPr>
          <w:rFonts w:ascii="Times New Roman" w:hAnsi="Times New Roman" w:cs="Times New Roman"/>
          <w:i/>
          <w:sz w:val="24"/>
          <w:szCs w:val="24"/>
        </w:rPr>
        <w:t>Edinburgh Gazette</w:t>
      </w:r>
      <w:r w:rsidRPr="00BC68C4">
        <w:rPr>
          <w:rFonts w:ascii="Times New Roman" w:hAnsi="Times New Roman" w:cs="Times New Roman"/>
          <w:sz w:val="24"/>
          <w:szCs w:val="24"/>
        </w:rPr>
        <w:t xml:space="preserve"> (1862-1979).</w:t>
      </w:r>
    </w:p>
    <w:p w14:paraId="48F3226F" w14:textId="77777777" w:rsidR="00F55E13" w:rsidRPr="00BC68C4" w:rsidRDefault="00F55E13" w:rsidP="00ED7D9B">
      <w:pPr>
        <w:rPr>
          <w:rFonts w:ascii="Times New Roman" w:hAnsi="Times New Roman" w:cs="Times New Roman"/>
          <w:sz w:val="24"/>
          <w:szCs w:val="24"/>
        </w:rPr>
      </w:pPr>
    </w:p>
    <w:p w14:paraId="327CE048" w14:textId="09E3BCD4" w:rsidR="00F55E13" w:rsidRPr="00BC68C4" w:rsidRDefault="00D7094E" w:rsidP="00ED7D9B">
      <w:pPr>
        <w:rPr>
          <w:rFonts w:ascii="Times New Roman" w:hAnsi="Times New Roman" w:cs="Times New Roman"/>
          <w:sz w:val="24"/>
          <w:szCs w:val="24"/>
        </w:rPr>
      </w:pPr>
      <w:r w:rsidRPr="00BC68C4">
        <w:rPr>
          <w:rFonts w:ascii="Times New Roman" w:hAnsi="Times New Roman" w:cs="Times New Roman"/>
          <w:sz w:val="24"/>
          <w:szCs w:val="24"/>
        </w:rPr>
        <w:t>Edmans, Alex. “</w:t>
      </w:r>
      <w:proofErr w:type="spellStart"/>
      <w:r w:rsidR="00F55E13" w:rsidRPr="00BC68C4">
        <w:rPr>
          <w:rFonts w:ascii="Times New Roman" w:hAnsi="Times New Roman" w:cs="Times New Roman"/>
          <w:sz w:val="24"/>
          <w:szCs w:val="24"/>
        </w:rPr>
        <w:t>Blockholder</w:t>
      </w:r>
      <w:proofErr w:type="spellEnd"/>
      <w:r w:rsidR="00F55E13" w:rsidRPr="00BC68C4">
        <w:rPr>
          <w:rFonts w:ascii="Times New Roman" w:hAnsi="Times New Roman" w:cs="Times New Roman"/>
          <w:sz w:val="24"/>
          <w:szCs w:val="24"/>
        </w:rPr>
        <w:t xml:space="preserve"> Trading, Market Eff</w:t>
      </w:r>
      <w:r w:rsidRPr="00BC68C4">
        <w:rPr>
          <w:rFonts w:ascii="Times New Roman" w:hAnsi="Times New Roman" w:cs="Times New Roman"/>
          <w:sz w:val="24"/>
          <w:szCs w:val="24"/>
        </w:rPr>
        <w:t>iciency, and Managerial Myopia,”</w:t>
      </w:r>
      <w:r w:rsidR="00F55E13" w:rsidRPr="00BC68C4">
        <w:rPr>
          <w:rFonts w:ascii="Times New Roman" w:hAnsi="Times New Roman" w:cs="Times New Roman"/>
          <w:sz w:val="24"/>
          <w:szCs w:val="24"/>
        </w:rPr>
        <w:t xml:space="preserve"> </w:t>
      </w:r>
      <w:r w:rsidR="00F55E13" w:rsidRPr="00BC68C4">
        <w:rPr>
          <w:rFonts w:ascii="Times New Roman" w:hAnsi="Times New Roman" w:cs="Times New Roman"/>
          <w:i/>
          <w:sz w:val="24"/>
          <w:szCs w:val="24"/>
        </w:rPr>
        <w:t xml:space="preserve">Journal of Finance </w:t>
      </w:r>
      <w:r w:rsidR="00F55E13" w:rsidRPr="00BC68C4">
        <w:rPr>
          <w:rFonts w:ascii="Times New Roman" w:hAnsi="Times New Roman" w:cs="Times New Roman"/>
          <w:sz w:val="24"/>
          <w:szCs w:val="24"/>
        </w:rPr>
        <w:t>64, no. 6</w:t>
      </w:r>
      <w:r w:rsidRPr="00BC68C4">
        <w:rPr>
          <w:rFonts w:ascii="Times New Roman" w:hAnsi="Times New Roman" w:cs="Times New Roman"/>
          <w:sz w:val="24"/>
          <w:szCs w:val="24"/>
        </w:rPr>
        <w:t xml:space="preserve"> (2009)</w:t>
      </w:r>
      <w:r w:rsidR="00F55E13" w:rsidRPr="00BC68C4">
        <w:rPr>
          <w:rFonts w:ascii="Times New Roman" w:hAnsi="Times New Roman" w:cs="Times New Roman"/>
          <w:sz w:val="24"/>
          <w:szCs w:val="24"/>
        </w:rPr>
        <w:t>: 2481-2513.</w:t>
      </w:r>
    </w:p>
    <w:p w14:paraId="29A0C3C7" w14:textId="77777777" w:rsidR="00DA501D" w:rsidRPr="00BC68C4" w:rsidRDefault="00DA501D" w:rsidP="00243C40">
      <w:pPr>
        <w:pStyle w:val="EndnoteText"/>
        <w:tabs>
          <w:tab w:val="left" w:pos="0"/>
        </w:tabs>
        <w:jc w:val="both"/>
        <w:rPr>
          <w:sz w:val="24"/>
          <w:szCs w:val="24"/>
          <w:lang w:val="en-GB"/>
        </w:rPr>
      </w:pPr>
      <w:r w:rsidRPr="00BC68C4">
        <w:rPr>
          <w:sz w:val="24"/>
          <w:szCs w:val="24"/>
        </w:rPr>
        <w:t xml:space="preserve"> </w:t>
      </w:r>
    </w:p>
    <w:p w14:paraId="17836BD5" w14:textId="77777777" w:rsidR="00243C40" w:rsidRPr="00BC68C4" w:rsidRDefault="008D0943" w:rsidP="00243C40">
      <w:pPr>
        <w:pStyle w:val="EndnoteText"/>
        <w:tabs>
          <w:tab w:val="left" w:pos="0"/>
        </w:tabs>
        <w:jc w:val="both"/>
        <w:rPr>
          <w:sz w:val="24"/>
          <w:szCs w:val="24"/>
        </w:rPr>
      </w:pPr>
      <w:proofErr w:type="spellStart"/>
      <w:r w:rsidRPr="00BC68C4">
        <w:rPr>
          <w:sz w:val="24"/>
          <w:szCs w:val="24"/>
          <w:lang w:val="en-GB"/>
        </w:rPr>
        <w:t>Elbaum</w:t>
      </w:r>
      <w:proofErr w:type="spellEnd"/>
      <w:r w:rsidRPr="00BC68C4">
        <w:rPr>
          <w:sz w:val="24"/>
          <w:szCs w:val="24"/>
          <w:lang w:val="en-GB"/>
        </w:rPr>
        <w:t>, Bernard</w:t>
      </w:r>
      <w:r w:rsidR="00243C40" w:rsidRPr="00BC68C4">
        <w:rPr>
          <w:sz w:val="24"/>
          <w:szCs w:val="24"/>
          <w:lang w:val="en-GB"/>
        </w:rPr>
        <w:t xml:space="preserve"> and </w:t>
      </w:r>
      <w:r w:rsidRPr="00BC68C4">
        <w:rPr>
          <w:sz w:val="24"/>
          <w:szCs w:val="24"/>
          <w:lang w:val="en-GB"/>
        </w:rPr>
        <w:t xml:space="preserve">William </w:t>
      </w:r>
      <w:proofErr w:type="spellStart"/>
      <w:r w:rsidRPr="00BC68C4">
        <w:rPr>
          <w:sz w:val="24"/>
          <w:szCs w:val="24"/>
          <w:lang w:val="en-GB"/>
        </w:rPr>
        <w:t>Lazonick</w:t>
      </w:r>
      <w:proofErr w:type="spellEnd"/>
      <w:r w:rsidR="00243C40" w:rsidRPr="00BC68C4">
        <w:rPr>
          <w:sz w:val="24"/>
          <w:szCs w:val="24"/>
          <w:lang w:val="en-GB"/>
        </w:rPr>
        <w:t>. “The Decline of the British Economy: An Institutional Perspective</w:t>
      </w:r>
      <w:r w:rsidRPr="00BC68C4">
        <w:rPr>
          <w:sz w:val="24"/>
          <w:szCs w:val="24"/>
          <w:lang w:val="en-GB"/>
        </w:rPr>
        <w:t>.”</w:t>
      </w:r>
      <w:r w:rsidR="00243C40" w:rsidRPr="00BC68C4">
        <w:rPr>
          <w:sz w:val="24"/>
          <w:szCs w:val="24"/>
          <w:lang w:val="en-GB"/>
        </w:rPr>
        <w:t xml:space="preserve"> </w:t>
      </w:r>
      <w:r w:rsidR="00243C40" w:rsidRPr="00BC68C4">
        <w:rPr>
          <w:i/>
          <w:sz w:val="24"/>
          <w:szCs w:val="24"/>
          <w:lang w:val="en-GB"/>
        </w:rPr>
        <w:t>Journal of Economic History</w:t>
      </w:r>
      <w:r w:rsidR="00243C40" w:rsidRPr="00BC68C4">
        <w:rPr>
          <w:sz w:val="24"/>
          <w:szCs w:val="24"/>
          <w:lang w:val="en-GB"/>
        </w:rPr>
        <w:t xml:space="preserve"> 44</w:t>
      </w:r>
      <w:r w:rsidRPr="00BC68C4">
        <w:rPr>
          <w:sz w:val="24"/>
          <w:szCs w:val="24"/>
          <w:lang w:val="en-GB"/>
        </w:rPr>
        <w:t xml:space="preserve">, no. 2 (1984): </w:t>
      </w:r>
      <w:r w:rsidR="00243C40" w:rsidRPr="00BC68C4">
        <w:rPr>
          <w:sz w:val="24"/>
          <w:szCs w:val="24"/>
          <w:lang w:val="en-GB"/>
        </w:rPr>
        <w:t>567-83.</w:t>
      </w:r>
    </w:p>
    <w:p w14:paraId="27CC893F" w14:textId="77777777" w:rsidR="00DA501D" w:rsidRPr="00BC68C4" w:rsidRDefault="00DA501D" w:rsidP="00DA501D">
      <w:pPr>
        <w:tabs>
          <w:tab w:val="left" w:pos="0"/>
        </w:tabs>
        <w:rPr>
          <w:rFonts w:ascii="Times New Roman" w:hAnsi="Times New Roman" w:cs="Times New Roman"/>
          <w:sz w:val="24"/>
          <w:szCs w:val="24"/>
        </w:rPr>
      </w:pPr>
    </w:p>
    <w:p w14:paraId="6CB9F892" w14:textId="77777777" w:rsidR="00F57B48" w:rsidRPr="00BC68C4" w:rsidRDefault="00F57B48" w:rsidP="00F57B48">
      <w:pPr>
        <w:rPr>
          <w:rFonts w:ascii="Times New Roman" w:hAnsi="Times New Roman" w:cs="Times New Roman"/>
          <w:sz w:val="24"/>
          <w:szCs w:val="24"/>
        </w:rPr>
      </w:pPr>
      <w:proofErr w:type="spellStart"/>
      <w:r w:rsidRPr="00BC68C4">
        <w:rPr>
          <w:rFonts w:ascii="Times New Roman" w:hAnsi="Times New Roman" w:cs="Times New Roman"/>
          <w:sz w:val="24"/>
          <w:szCs w:val="24"/>
        </w:rPr>
        <w:t>Fama</w:t>
      </w:r>
      <w:proofErr w:type="spellEnd"/>
      <w:r w:rsidRPr="00BC68C4">
        <w:rPr>
          <w:rFonts w:ascii="Times New Roman" w:hAnsi="Times New Roman" w:cs="Times New Roman"/>
          <w:sz w:val="24"/>
          <w:szCs w:val="24"/>
        </w:rPr>
        <w:t xml:space="preserve">, Eugene F. and Michael C. Jensen. “Separation of Ownership and Control.” </w:t>
      </w:r>
      <w:r w:rsidRPr="00BC68C4">
        <w:rPr>
          <w:rFonts w:ascii="Times New Roman" w:hAnsi="Times New Roman" w:cs="Times New Roman"/>
          <w:i/>
          <w:sz w:val="24"/>
          <w:szCs w:val="24"/>
        </w:rPr>
        <w:t>Journal of Law and Economics</w:t>
      </w:r>
      <w:r w:rsidRPr="00BC68C4">
        <w:rPr>
          <w:rFonts w:ascii="Times New Roman" w:hAnsi="Times New Roman" w:cs="Times New Roman"/>
          <w:sz w:val="24"/>
          <w:szCs w:val="24"/>
        </w:rPr>
        <w:t xml:space="preserve"> 24, no. 2 (1983): 301-25.   </w:t>
      </w:r>
    </w:p>
    <w:p w14:paraId="3581EC34" w14:textId="77777777" w:rsidR="00F57B48" w:rsidRPr="00BC68C4" w:rsidRDefault="00F57B48" w:rsidP="00DA501D">
      <w:pPr>
        <w:tabs>
          <w:tab w:val="left" w:pos="0"/>
        </w:tabs>
        <w:rPr>
          <w:rFonts w:ascii="Times New Roman" w:hAnsi="Times New Roman" w:cs="Times New Roman"/>
          <w:sz w:val="24"/>
          <w:szCs w:val="24"/>
        </w:rPr>
      </w:pPr>
    </w:p>
    <w:p w14:paraId="5A6269B7" w14:textId="43D4645D" w:rsidR="00844BAA" w:rsidRPr="00BC68C4" w:rsidRDefault="00844BAA" w:rsidP="00844BAA">
      <w:pPr>
        <w:rPr>
          <w:rFonts w:ascii="Times New Roman" w:hAnsi="Times New Roman" w:cs="Times New Roman"/>
          <w:sz w:val="24"/>
          <w:szCs w:val="24"/>
        </w:rPr>
      </w:pPr>
      <w:r w:rsidRPr="00BC68C4">
        <w:rPr>
          <w:rFonts w:ascii="Times New Roman" w:hAnsi="Times New Roman" w:cs="Times New Roman"/>
          <w:sz w:val="24"/>
          <w:szCs w:val="24"/>
        </w:rPr>
        <w:t xml:space="preserve">Foreman-Peck, James and Leslie Hannah. “Extreme Divorce: The Managerial Revolution in UK Companies before 1914.” </w:t>
      </w:r>
      <w:r w:rsidRPr="00BC68C4">
        <w:rPr>
          <w:rFonts w:ascii="Times New Roman" w:hAnsi="Times New Roman" w:cs="Times New Roman"/>
          <w:i/>
          <w:sz w:val="24"/>
          <w:szCs w:val="24"/>
        </w:rPr>
        <w:t xml:space="preserve">Economic History Review </w:t>
      </w:r>
      <w:r w:rsidRPr="00BC68C4">
        <w:rPr>
          <w:rFonts w:ascii="Times New Roman" w:hAnsi="Times New Roman" w:cs="Times New Roman"/>
          <w:sz w:val="24"/>
          <w:szCs w:val="24"/>
        </w:rPr>
        <w:t>65, no. 4 (2012): 1217-38.</w:t>
      </w:r>
    </w:p>
    <w:p w14:paraId="662FFF4F" w14:textId="77777777" w:rsidR="00844BAA" w:rsidRPr="00BC68C4" w:rsidRDefault="00844BAA" w:rsidP="00DA501D">
      <w:pPr>
        <w:tabs>
          <w:tab w:val="left" w:pos="0"/>
        </w:tabs>
        <w:rPr>
          <w:rFonts w:ascii="Times New Roman" w:hAnsi="Times New Roman" w:cs="Times New Roman"/>
          <w:sz w:val="24"/>
          <w:szCs w:val="24"/>
        </w:rPr>
      </w:pPr>
    </w:p>
    <w:p w14:paraId="544F67C6" w14:textId="77777777" w:rsidR="00DA501D" w:rsidRPr="00BC68C4" w:rsidRDefault="00DA501D" w:rsidP="00DA501D">
      <w:pPr>
        <w:tabs>
          <w:tab w:val="left" w:pos="0"/>
        </w:tabs>
        <w:rPr>
          <w:rFonts w:ascii="Times New Roman" w:hAnsi="Times New Roman" w:cs="Times New Roman"/>
          <w:sz w:val="24"/>
          <w:szCs w:val="24"/>
        </w:rPr>
      </w:pPr>
      <w:r w:rsidRPr="00BC68C4">
        <w:rPr>
          <w:rFonts w:ascii="Times New Roman" w:hAnsi="Times New Roman" w:cs="Times New Roman"/>
          <w:sz w:val="24"/>
          <w:szCs w:val="24"/>
        </w:rPr>
        <w:t xml:space="preserve">Foreman-Peck, James and Leslie Hannah. “Some Consequences of the Early Twentieth-Century British Divorce of Ownership from Control.” </w:t>
      </w:r>
      <w:r w:rsidRPr="00BC68C4">
        <w:rPr>
          <w:rFonts w:ascii="Times New Roman" w:hAnsi="Times New Roman" w:cs="Times New Roman"/>
          <w:i/>
          <w:sz w:val="24"/>
          <w:szCs w:val="24"/>
        </w:rPr>
        <w:t>Business History</w:t>
      </w:r>
      <w:r w:rsidRPr="00BC68C4">
        <w:rPr>
          <w:rFonts w:ascii="Times New Roman" w:hAnsi="Times New Roman" w:cs="Times New Roman"/>
          <w:sz w:val="24"/>
          <w:szCs w:val="24"/>
        </w:rPr>
        <w:t xml:space="preserve"> 55, no. 4 (2013): 543-64. </w:t>
      </w:r>
    </w:p>
    <w:p w14:paraId="30AE5A42" w14:textId="77777777" w:rsidR="00F55E13" w:rsidRPr="00BC68C4" w:rsidRDefault="00F55E13" w:rsidP="00DA501D">
      <w:pPr>
        <w:tabs>
          <w:tab w:val="left" w:pos="0"/>
        </w:tabs>
        <w:rPr>
          <w:rFonts w:ascii="Times New Roman" w:hAnsi="Times New Roman" w:cs="Times New Roman"/>
          <w:sz w:val="24"/>
          <w:szCs w:val="24"/>
        </w:rPr>
      </w:pPr>
    </w:p>
    <w:p w14:paraId="6359C878" w14:textId="339EB51B" w:rsidR="00A7161C" w:rsidRPr="00BC68C4" w:rsidRDefault="00A7161C" w:rsidP="00DA501D">
      <w:pPr>
        <w:tabs>
          <w:tab w:val="left" w:pos="0"/>
        </w:tabs>
        <w:rPr>
          <w:rFonts w:ascii="Times New Roman" w:hAnsi="Times New Roman" w:cs="Times New Roman"/>
          <w:sz w:val="24"/>
          <w:szCs w:val="24"/>
        </w:rPr>
      </w:pPr>
      <w:r w:rsidRPr="00BC68C4">
        <w:rPr>
          <w:rFonts w:ascii="Times New Roman" w:hAnsi="Times New Roman" w:cs="Times New Roman"/>
          <w:sz w:val="24"/>
          <w:szCs w:val="24"/>
        </w:rPr>
        <w:t xml:space="preserve">Foreman-Peck, James and Leslie Hannah. “UK Corporate Law and Corporate Governance before 1914: A Re-interpretation.” </w:t>
      </w:r>
      <w:r w:rsidRPr="00BC68C4">
        <w:rPr>
          <w:rFonts w:ascii="Times New Roman" w:hAnsi="Times New Roman" w:cs="Times New Roman"/>
          <w:i/>
          <w:sz w:val="24"/>
          <w:szCs w:val="24"/>
        </w:rPr>
        <w:t>EHES Working Papers in Economic History</w:t>
      </w:r>
      <w:r w:rsidRPr="00BC68C4">
        <w:rPr>
          <w:rFonts w:ascii="Times New Roman" w:hAnsi="Times New Roman" w:cs="Times New Roman"/>
          <w:sz w:val="24"/>
          <w:szCs w:val="24"/>
        </w:rPr>
        <w:t xml:space="preserve"> 72 (2015).</w:t>
      </w:r>
    </w:p>
    <w:p w14:paraId="0DACDF20" w14:textId="77777777" w:rsidR="00A7161C" w:rsidRPr="00BC68C4" w:rsidRDefault="00A7161C" w:rsidP="00DA501D">
      <w:pPr>
        <w:tabs>
          <w:tab w:val="left" w:pos="0"/>
        </w:tabs>
        <w:rPr>
          <w:rFonts w:ascii="Times New Roman" w:hAnsi="Times New Roman" w:cs="Times New Roman"/>
          <w:sz w:val="24"/>
          <w:szCs w:val="24"/>
        </w:rPr>
      </w:pPr>
    </w:p>
    <w:p w14:paraId="19339183" w14:textId="0B820546" w:rsidR="00D9265B" w:rsidRPr="00BC68C4" w:rsidRDefault="00D9265B" w:rsidP="00D9265B">
      <w:pPr>
        <w:rPr>
          <w:rFonts w:ascii="Times New Roman" w:hAnsi="Times New Roman" w:cs="Times New Roman"/>
          <w:sz w:val="24"/>
          <w:szCs w:val="24"/>
        </w:rPr>
      </w:pPr>
      <w:r w:rsidRPr="00BC68C4">
        <w:rPr>
          <w:rFonts w:ascii="Times New Roman" w:hAnsi="Times New Roman" w:cs="Times New Roman"/>
          <w:sz w:val="24"/>
          <w:szCs w:val="24"/>
        </w:rPr>
        <w:t>Freeman, M</w:t>
      </w:r>
      <w:r w:rsidR="003C202E" w:rsidRPr="00BC68C4">
        <w:rPr>
          <w:rFonts w:ascii="Times New Roman" w:hAnsi="Times New Roman" w:cs="Times New Roman"/>
          <w:sz w:val="24"/>
          <w:szCs w:val="24"/>
        </w:rPr>
        <w:t xml:space="preserve">ark, Robin Pearson </w:t>
      </w:r>
      <w:r w:rsidRPr="00BC68C4">
        <w:rPr>
          <w:rFonts w:ascii="Times New Roman" w:hAnsi="Times New Roman" w:cs="Times New Roman"/>
          <w:sz w:val="24"/>
          <w:szCs w:val="24"/>
        </w:rPr>
        <w:t xml:space="preserve">and </w:t>
      </w:r>
      <w:r w:rsidR="003C202E" w:rsidRPr="00BC68C4">
        <w:rPr>
          <w:rFonts w:ascii="Times New Roman" w:hAnsi="Times New Roman" w:cs="Times New Roman"/>
          <w:sz w:val="24"/>
          <w:szCs w:val="24"/>
        </w:rPr>
        <w:t>James Taylor.</w:t>
      </w:r>
      <w:r w:rsidRPr="00BC68C4">
        <w:rPr>
          <w:rFonts w:ascii="Times New Roman" w:hAnsi="Times New Roman" w:cs="Times New Roman"/>
          <w:sz w:val="24"/>
          <w:szCs w:val="24"/>
        </w:rPr>
        <w:t xml:space="preserve"> </w:t>
      </w:r>
      <w:r w:rsidR="003C202E" w:rsidRPr="00BC68C4">
        <w:rPr>
          <w:rFonts w:ascii="Times New Roman" w:hAnsi="Times New Roman" w:cs="Times New Roman"/>
          <w:i/>
          <w:sz w:val="24"/>
          <w:szCs w:val="24"/>
        </w:rPr>
        <w:t>Shareholder Democracies? Corporate G</w:t>
      </w:r>
      <w:r w:rsidRPr="00BC68C4">
        <w:rPr>
          <w:rFonts w:ascii="Times New Roman" w:hAnsi="Times New Roman" w:cs="Times New Roman"/>
          <w:i/>
          <w:sz w:val="24"/>
          <w:szCs w:val="24"/>
        </w:rPr>
        <w:t>overnance in Britain and Ireland before 1850</w:t>
      </w:r>
      <w:r w:rsidR="003C202E" w:rsidRPr="00BC68C4">
        <w:rPr>
          <w:rFonts w:ascii="Times New Roman" w:hAnsi="Times New Roman" w:cs="Times New Roman"/>
          <w:sz w:val="24"/>
          <w:szCs w:val="24"/>
        </w:rPr>
        <w:t xml:space="preserve">. </w:t>
      </w:r>
      <w:r w:rsidRPr="00BC68C4">
        <w:rPr>
          <w:rFonts w:ascii="Times New Roman" w:hAnsi="Times New Roman" w:cs="Times New Roman"/>
          <w:sz w:val="24"/>
          <w:szCs w:val="24"/>
        </w:rPr>
        <w:t>Chicago</w:t>
      </w:r>
      <w:r w:rsidR="003C202E" w:rsidRPr="00BC68C4">
        <w:rPr>
          <w:rFonts w:ascii="Times New Roman" w:hAnsi="Times New Roman" w:cs="Times New Roman"/>
          <w:sz w:val="24"/>
          <w:szCs w:val="24"/>
        </w:rPr>
        <w:t>: University of Chicago Press, 2012</w:t>
      </w:r>
      <w:r w:rsidRPr="00BC68C4">
        <w:rPr>
          <w:rFonts w:ascii="Times New Roman" w:hAnsi="Times New Roman" w:cs="Times New Roman"/>
          <w:sz w:val="24"/>
          <w:szCs w:val="24"/>
        </w:rPr>
        <w:t>.</w:t>
      </w:r>
    </w:p>
    <w:p w14:paraId="40EE8365" w14:textId="77777777" w:rsidR="00D9265B" w:rsidRPr="00BC68C4" w:rsidRDefault="00D9265B" w:rsidP="00DA501D">
      <w:pPr>
        <w:tabs>
          <w:tab w:val="left" w:pos="0"/>
        </w:tabs>
        <w:rPr>
          <w:rFonts w:ascii="Times New Roman" w:hAnsi="Times New Roman" w:cs="Times New Roman"/>
          <w:sz w:val="24"/>
          <w:szCs w:val="24"/>
        </w:rPr>
      </w:pPr>
    </w:p>
    <w:p w14:paraId="2BC96733" w14:textId="4F9143D1" w:rsidR="00F55E13" w:rsidRDefault="00F55E13" w:rsidP="00810620">
      <w:pPr>
        <w:rPr>
          <w:rFonts w:ascii="Times New Roman" w:hAnsi="Times New Roman" w:cs="Times New Roman"/>
          <w:sz w:val="24"/>
          <w:szCs w:val="24"/>
        </w:rPr>
      </w:pPr>
      <w:r w:rsidRPr="00BC68C4">
        <w:rPr>
          <w:rFonts w:ascii="Times New Roman" w:hAnsi="Times New Roman" w:cs="Times New Roman"/>
          <w:sz w:val="24"/>
          <w:szCs w:val="24"/>
        </w:rPr>
        <w:t>Gompers, Paul A.</w:t>
      </w:r>
      <w:r w:rsidR="00CF3EB9" w:rsidRPr="00BC68C4">
        <w:rPr>
          <w:rFonts w:ascii="Times New Roman" w:hAnsi="Times New Roman" w:cs="Times New Roman"/>
          <w:sz w:val="24"/>
          <w:szCs w:val="24"/>
        </w:rPr>
        <w:t xml:space="preserve">, Joy Ishii and Andrew </w:t>
      </w:r>
      <w:proofErr w:type="spellStart"/>
      <w:r w:rsidR="00CF3EB9" w:rsidRPr="00BC68C4">
        <w:rPr>
          <w:rFonts w:ascii="Times New Roman" w:hAnsi="Times New Roman" w:cs="Times New Roman"/>
          <w:sz w:val="24"/>
          <w:szCs w:val="24"/>
        </w:rPr>
        <w:t>Metrick</w:t>
      </w:r>
      <w:proofErr w:type="spellEnd"/>
      <w:r w:rsidR="00CF3EB9" w:rsidRPr="00BC68C4">
        <w:rPr>
          <w:rFonts w:ascii="Times New Roman" w:hAnsi="Times New Roman" w:cs="Times New Roman"/>
          <w:sz w:val="24"/>
          <w:szCs w:val="24"/>
        </w:rPr>
        <w:t>. “</w:t>
      </w:r>
      <w:r w:rsidRPr="00BC68C4">
        <w:rPr>
          <w:rFonts w:ascii="Times New Roman" w:hAnsi="Times New Roman" w:cs="Times New Roman"/>
          <w:sz w:val="24"/>
          <w:szCs w:val="24"/>
        </w:rPr>
        <w:t>Extreme Governance: An Analysis of Dual-Class Firms in the United State</w:t>
      </w:r>
      <w:r w:rsidR="00CF3EB9" w:rsidRPr="00BC68C4">
        <w:rPr>
          <w:rFonts w:ascii="Times New Roman" w:hAnsi="Times New Roman" w:cs="Times New Roman"/>
          <w:sz w:val="24"/>
          <w:szCs w:val="24"/>
        </w:rPr>
        <w:t>s,”</w:t>
      </w:r>
      <w:r w:rsidRPr="00BC68C4">
        <w:rPr>
          <w:rFonts w:ascii="Times New Roman" w:hAnsi="Times New Roman" w:cs="Times New Roman"/>
          <w:sz w:val="24"/>
          <w:szCs w:val="24"/>
        </w:rPr>
        <w:t xml:space="preserve"> </w:t>
      </w:r>
      <w:r w:rsidRPr="00BC68C4">
        <w:rPr>
          <w:rFonts w:ascii="Times New Roman" w:hAnsi="Times New Roman" w:cs="Times New Roman"/>
          <w:i/>
          <w:sz w:val="24"/>
          <w:szCs w:val="24"/>
        </w:rPr>
        <w:t>Review of Financial Studies</w:t>
      </w:r>
      <w:r w:rsidRPr="00BC68C4">
        <w:rPr>
          <w:rFonts w:ascii="Times New Roman" w:hAnsi="Times New Roman" w:cs="Times New Roman"/>
          <w:sz w:val="24"/>
          <w:szCs w:val="24"/>
        </w:rPr>
        <w:t>, 23, no. 3 (2010): 1051-1088.</w:t>
      </w:r>
    </w:p>
    <w:p w14:paraId="09C53CA3" w14:textId="77777777" w:rsidR="00620DD7" w:rsidRDefault="00620DD7" w:rsidP="00810620">
      <w:pPr>
        <w:rPr>
          <w:rFonts w:ascii="Times New Roman" w:hAnsi="Times New Roman" w:cs="Times New Roman"/>
          <w:sz w:val="24"/>
          <w:szCs w:val="24"/>
        </w:rPr>
      </w:pPr>
    </w:p>
    <w:p w14:paraId="6EB3E5CB" w14:textId="7D8A7E8F" w:rsidR="00620DD7" w:rsidRPr="001344F0" w:rsidRDefault="00620DD7" w:rsidP="00810620">
      <w:pPr>
        <w:rPr>
          <w:rFonts w:ascii="Times New Roman" w:hAnsi="Times New Roman" w:cs="Times New Roman"/>
          <w:sz w:val="24"/>
          <w:szCs w:val="24"/>
        </w:rPr>
      </w:pPr>
      <w:r w:rsidRPr="001344F0">
        <w:rPr>
          <w:rFonts w:ascii="Times New Roman" w:hAnsi="Times New Roman" w:cs="Times New Roman"/>
          <w:sz w:val="24"/>
          <w:szCs w:val="24"/>
        </w:rPr>
        <w:t>Gordon, Elizabeth A., E</w:t>
      </w:r>
      <w:r w:rsidR="00491831" w:rsidRPr="001344F0">
        <w:rPr>
          <w:rFonts w:ascii="Times New Roman" w:hAnsi="Times New Roman" w:cs="Times New Roman"/>
          <w:sz w:val="24"/>
          <w:szCs w:val="24"/>
        </w:rPr>
        <w:t xml:space="preserve">laine Henry, and Darius </w:t>
      </w:r>
      <w:proofErr w:type="spellStart"/>
      <w:r w:rsidR="00491831" w:rsidRPr="001344F0">
        <w:rPr>
          <w:rFonts w:ascii="Times New Roman" w:hAnsi="Times New Roman" w:cs="Times New Roman"/>
          <w:sz w:val="24"/>
          <w:szCs w:val="24"/>
        </w:rPr>
        <w:t>Palia</w:t>
      </w:r>
      <w:proofErr w:type="spellEnd"/>
      <w:r w:rsidR="00491831" w:rsidRPr="001344F0">
        <w:rPr>
          <w:rFonts w:ascii="Times New Roman" w:hAnsi="Times New Roman" w:cs="Times New Roman"/>
          <w:sz w:val="24"/>
          <w:szCs w:val="24"/>
        </w:rPr>
        <w:t>. “Related P</w:t>
      </w:r>
      <w:r w:rsidRPr="001344F0">
        <w:rPr>
          <w:rFonts w:ascii="Times New Roman" w:hAnsi="Times New Roman" w:cs="Times New Roman"/>
          <w:sz w:val="24"/>
          <w:szCs w:val="24"/>
        </w:rPr>
        <w:t>arty</w:t>
      </w:r>
      <w:r w:rsidR="00491831" w:rsidRPr="001344F0">
        <w:rPr>
          <w:rFonts w:ascii="Times New Roman" w:hAnsi="Times New Roman" w:cs="Times New Roman"/>
          <w:sz w:val="24"/>
          <w:szCs w:val="24"/>
        </w:rPr>
        <w:t xml:space="preserve"> T</w:t>
      </w:r>
      <w:r w:rsidRPr="001344F0">
        <w:rPr>
          <w:rFonts w:ascii="Times New Roman" w:hAnsi="Times New Roman" w:cs="Times New Roman"/>
          <w:sz w:val="24"/>
          <w:szCs w:val="24"/>
        </w:rPr>
        <w:t>ransac</w:t>
      </w:r>
      <w:r w:rsidR="00491831" w:rsidRPr="001344F0">
        <w:rPr>
          <w:rFonts w:ascii="Times New Roman" w:hAnsi="Times New Roman" w:cs="Times New Roman"/>
          <w:sz w:val="24"/>
          <w:szCs w:val="24"/>
        </w:rPr>
        <w:t>tions and Corporate Governance.”</w:t>
      </w:r>
      <w:r w:rsidRPr="001344F0">
        <w:rPr>
          <w:rFonts w:ascii="Times New Roman" w:hAnsi="Times New Roman" w:cs="Times New Roman"/>
          <w:sz w:val="24"/>
          <w:szCs w:val="24"/>
        </w:rPr>
        <w:t xml:space="preserve"> </w:t>
      </w:r>
      <w:r w:rsidRPr="001344F0">
        <w:rPr>
          <w:rFonts w:ascii="Times New Roman" w:hAnsi="Times New Roman" w:cs="Times New Roman"/>
          <w:i/>
          <w:sz w:val="24"/>
          <w:szCs w:val="24"/>
        </w:rPr>
        <w:t>Advances in Financial Economics</w:t>
      </w:r>
      <w:r w:rsidRPr="001344F0">
        <w:rPr>
          <w:rFonts w:ascii="Times New Roman" w:hAnsi="Times New Roman" w:cs="Times New Roman"/>
          <w:sz w:val="24"/>
          <w:szCs w:val="24"/>
        </w:rPr>
        <w:t xml:space="preserve"> 9, no. 1 (2004): 1-27.</w:t>
      </w:r>
    </w:p>
    <w:p w14:paraId="054CEB74" w14:textId="77777777" w:rsidR="00743631" w:rsidRPr="001344F0" w:rsidRDefault="00743631" w:rsidP="00243C40">
      <w:pPr>
        <w:pStyle w:val="BodyText"/>
        <w:tabs>
          <w:tab w:val="left" w:pos="0"/>
        </w:tabs>
        <w:jc w:val="both"/>
        <w:rPr>
          <w:szCs w:val="24"/>
        </w:rPr>
      </w:pPr>
    </w:p>
    <w:p w14:paraId="68D78D8E" w14:textId="03B64A75" w:rsidR="009463C4" w:rsidRPr="001344F0" w:rsidRDefault="009463C4" w:rsidP="009463C4">
      <w:pPr>
        <w:rPr>
          <w:rFonts w:ascii="Times New Roman" w:hAnsi="Times New Roman" w:cs="Times New Roman"/>
          <w:sz w:val="24"/>
          <w:szCs w:val="24"/>
        </w:rPr>
      </w:pPr>
      <w:r w:rsidRPr="001344F0">
        <w:rPr>
          <w:rFonts w:ascii="Times New Roman" w:hAnsi="Times New Roman" w:cs="Times New Roman"/>
          <w:sz w:val="24"/>
          <w:szCs w:val="24"/>
        </w:rPr>
        <w:t xml:space="preserve">Grossman, Richard S. “New Indices of British Equity Prices, 1870-1913.” </w:t>
      </w:r>
      <w:r w:rsidRPr="001344F0">
        <w:rPr>
          <w:rFonts w:ascii="Times New Roman" w:hAnsi="Times New Roman" w:cs="Times New Roman"/>
          <w:i/>
          <w:iCs/>
          <w:sz w:val="24"/>
          <w:szCs w:val="24"/>
        </w:rPr>
        <w:t>Journal of Economic History</w:t>
      </w:r>
      <w:r w:rsidRPr="001344F0">
        <w:rPr>
          <w:rFonts w:ascii="Times New Roman" w:hAnsi="Times New Roman" w:cs="Times New Roman"/>
          <w:iCs/>
          <w:sz w:val="24"/>
          <w:szCs w:val="24"/>
        </w:rPr>
        <w:t xml:space="preserve"> </w:t>
      </w:r>
      <w:r w:rsidRPr="001344F0">
        <w:rPr>
          <w:rFonts w:ascii="Times New Roman" w:hAnsi="Times New Roman" w:cs="Times New Roman"/>
          <w:bCs/>
          <w:sz w:val="24"/>
          <w:szCs w:val="24"/>
        </w:rPr>
        <w:t>62, no. 1</w:t>
      </w:r>
      <w:r w:rsidRPr="001344F0">
        <w:rPr>
          <w:rFonts w:ascii="Times New Roman" w:hAnsi="Times New Roman" w:cs="Times New Roman"/>
          <w:sz w:val="24"/>
          <w:szCs w:val="24"/>
        </w:rPr>
        <w:t xml:space="preserve"> (2002): 121-46.</w:t>
      </w:r>
    </w:p>
    <w:p w14:paraId="0135E4F8" w14:textId="77777777" w:rsidR="00BF3880" w:rsidRPr="001344F0" w:rsidRDefault="00BF3880" w:rsidP="009463C4">
      <w:pPr>
        <w:rPr>
          <w:rFonts w:ascii="Times New Roman" w:hAnsi="Times New Roman" w:cs="Times New Roman"/>
          <w:sz w:val="24"/>
          <w:szCs w:val="24"/>
        </w:rPr>
      </w:pPr>
    </w:p>
    <w:p w14:paraId="50A39E33" w14:textId="446DF3E5" w:rsidR="004C53F8" w:rsidRPr="001344F0" w:rsidRDefault="004C53F8" w:rsidP="004C53F8">
      <w:pPr>
        <w:rPr>
          <w:rFonts w:ascii="Times New Roman" w:hAnsi="Times New Roman" w:cs="Times New Roman"/>
          <w:sz w:val="24"/>
          <w:szCs w:val="24"/>
        </w:rPr>
      </w:pPr>
      <w:proofErr w:type="spellStart"/>
      <w:r w:rsidRPr="001344F0">
        <w:rPr>
          <w:rFonts w:ascii="Times New Roman" w:hAnsi="Times New Roman" w:cs="Times New Roman"/>
          <w:color w:val="222222"/>
          <w:sz w:val="24"/>
          <w:szCs w:val="24"/>
          <w:shd w:val="clear" w:color="auto" w:fill="FFFFFF"/>
        </w:rPr>
        <w:t>Guinnane</w:t>
      </w:r>
      <w:proofErr w:type="spellEnd"/>
      <w:r w:rsidRPr="001344F0">
        <w:rPr>
          <w:rFonts w:ascii="Times New Roman" w:hAnsi="Times New Roman" w:cs="Times New Roman"/>
          <w:color w:val="222222"/>
          <w:sz w:val="24"/>
          <w:szCs w:val="24"/>
          <w:shd w:val="clear" w:color="auto" w:fill="FFFFFF"/>
        </w:rPr>
        <w:t>, Timothy W., Ron Harris</w:t>
      </w:r>
      <w:r w:rsidR="00491831" w:rsidRPr="001344F0">
        <w:rPr>
          <w:rFonts w:ascii="Times New Roman" w:hAnsi="Times New Roman" w:cs="Times New Roman"/>
          <w:color w:val="222222"/>
          <w:sz w:val="24"/>
          <w:szCs w:val="24"/>
          <w:shd w:val="clear" w:color="auto" w:fill="FFFFFF"/>
        </w:rPr>
        <w:t xml:space="preserve">, and Naomi R. </w:t>
      </w:r>
      <w:proofErr w:type="spellStart"/>
      <w:r w:rsidR="00491831" w:rsidRPr="001344F0">
        <w:rPr>
          <w:rFonts w:ascii="Times New Roman" w:hAnsi="Times New Roman" w:cs="Times New Roman"/>
          <w:color w:val="222222"/>
          <w:sz w:val="24"/>
          <w:szCs w:val="24"/>
          <w:shd w:val="clear" w:color="auto" w:fill="FFFFFF"/>
        </w:rPr>
        <w:t>Lamoreaux</w:t>
      </w:r>
      <w:proofErr w:type="spellEnd"/>
      <w:r w:rsidR="00491831" w:rsidRPr="001344F0">
        <w:rPr>
          <w:rFonts w:ascii="Times New Roman" w:hAnsi="Times New Roman" w:cs="Times New Roman"/>
          <w:color w:val="222222"/>
          <w:sz w:val="24"/>
          <w:szCs w:val="24"/>
          <w:shd w:val="clear" w:color="auto" w:fill="FFFFFF"/>
        </w:rPr>
        <w:t>. “</w:t>
      </w:r>
      <w:r w:rsidRPr="001344F0">
        <w:rPr>
          <w:rFonts w:ascii="Times New Roman" w:hAnsi="Times New Roman" w:cs="Times New Roman"/>
          <w:color w:val="222222"/>
          <w:sz w:val="24"/>
          <w:szCs w:val="24"/>
          <w:shd w:val="clear" w:color="auto" w:fill="FFFFFF"/>
        </w:rPr>
        <w:t>Contractual Freedom and the Evolution of Corporate Gover</w:t>
      </w:r>
      <w:r w:rsidR="00491831" w:rsidRPr="001344F0">
        <w:rPr>
          <w:rFonts w:ascii="Times New Roman" w:hAnsi="Times New Roman" w:cs="Times New Roman"/>
          <w:color w:val="222222"/>
          <w:sz w:val="24"/>
          <w:szCs w:val="24"/>
          <w:shd w:val="clear" w:color="auto" w:fill="FFFFFF"/>
        </w:rPr>
        <w:t xml:space="preserve">nance in Britain, 1862 to 1929.” </w:t>
      </w:r>
      <w:r w:rsidRPr="001344F0">
        <w:rPr>
          <w:rFonts w:ascii="Times New Roman" w:hAnsi="Times New Roman" w:cs="Times New Roman"/>
          <w:i/>
          <w:iCs/>
          <w:color w:val="222222"/>
          <w:sz w:val="24"/>
          <w:szCs w:val="24"/>
          <w:shd w:val="clear" w:color="auto" w:fill="FFFFFF"/>
        </w:rPr>
        <w:t>NBER Working Paper</w:t>
      </w:r>
      <w:r w:rsidRPr="001344F0">
        <w:rPr>
          <w:rFonts w:ascii="Times New Roman" w:hAnsi="Times New Roman" w:cs="Times New Roman"/>
          <w:color w:val="222222"/>
          <w:sz w:val="24"/>
          <w:szCs w:val="24"/>
          <w:shd w:val="clear" w:color="auto" w:fill="FFFFFF"/>
        </w:rPr>
        <w:t xml:space="preserve"> (2014).</w:t>
      </w:r>
    </w:p>
    <w:p w14:paraId="036B90EE" w14:textId="77777777" w:rsidR="004C53F8" w:rsidRPr="001344F0" w:rsidRDefault="004C53F8" w:rsidP="00243C40">
      <w:pPr>
        <w:pStyle w:val="BodyText"/>
        <w:tabs>
          <w:tab w:val="left" w:pos="0"/>
        </w:tabs>
        <w:jc w:val="both"/>
        <w:rPr>
          <w:szCs w:val="24"/>
        </w:rPr>
      </w:pPr>
    </w:p>
    <w:p w14:paraId="72F1706B" w14:textId="77777777" w:rsidR="00243C40" w:rsidRPr="00BC68C4" w:rsidRDefault="00743631" w:rsidP="00243C40">
      <w:pPr>
        <w:pStyle w:val="BodyText"/>
        <w:tabs>
          <w:tab w:val="left" w:pos="0"/>
        </w:tabs>
        <w:jc w:val="both"/>
        <w:rPr>
          <w:szCs w:val="24"/>
        </w:rPr>
      </w:pPr>
      <w:r w:rsidRPr="001344F0">
        <w:rPr>
          <w:szCs w:val="24"/>
        </w:rPr>
        <w:t xml:space="preserve">Hannah, Leslie. “Takeover Bids in Britain </w:t>
      </w:r>
      <w:proofErr w:type="gramStart"/>
      <w:r w:rsidRPr="001344F0">
        <w:rPr>
          <w:szCs w:val="24"/>
        </w:rPr>
        <w:t>Before</w:t>
      </w:r>
      <w:proofErr w:type="gramEnd"/>
      <w:r w:rsidRPr="001344F0">
        <w:rPr>
          <w:szCs w:val="24"/>
        </w:rPr>
        <w:t xml:space="preserve"> 1950: An Exercise in Business Pre-History.” </w:t>
      </w:r>
      <w:r w:rsidRPr="001344F0">
        <w:rPr>
          <w:i/>
          <w:szCs w:val="24"/>
        </w:rPr>
        <w:t>Business History</w:t>
      </w:r>
      <w:r w:rsidRPr="001344F0">
        <w:rPr>
          <w:szCs w:val="24"/>
        </w:rPr>
        <w:t xml:space="preserve"> 16, no. 1 (1974): 65-77.</w:t>
      </w:r>
    </w:p>
    <w:p w14:paraId="3372AA50" w14:textId="77777777" w:rsidR="00743631" w:rsidRPr="00BC68C4" w:rsidRDefault="00743631" w:rsidP="00243C40">
      <w:pPr>
        <w:pStyle w:val="BodyText"/>
        <w:tabs>
          <w:tab w:val="left" w:pos="0"/>
        </w:tabs>
        <w:jc w:val="both"/>
        <w:rPr>
          <w:szCs w:val="24"/>
        </w:rPr>
      </w:pPr>
    </w:p>
    <w:p w14:paraId="50FC990D" w14:textId="77777777" w:rsidR="00E60913" w:rsidRPr="00BC68C4" w:rsidRDefault="00E60913" w:rsidP="00E60913">
      <w:pPr>
        <w:pStyle w:val="BodyText"/>
      </w:pPr>
      <w:r w:rsidRPr="00BC68C4">
        <w:t xml:space="preserve">Hannah, Leslie. </w:t>
      </w:r>
      <w:r w:rsidRPr="00BC68C4">
        <w:rPr>
          <w:i/>
        </w:rPr>
        <w:t>The Rise of the Corporate Economy</w:t>
      </w:r>
      <w:r w:rsidRPr="00BC68C4">
        <w:t>.  London: Methuen, 1976.</w:t>
      </w:r>
    </w:p>
    <w:p w14:paraId="5317C513" w14:textId="77777777" w:rsidR="00CF1958" w:rsidRPr="00BC68C4" w:rsidRDefault="00CF1958" w:rsidP="00243C40">
      <w:pPr>
        <w:pStyle w:val="BodyText"/>
        <w:tabs>
          <w:tab w:val="left" w:pos="0"/>
        </w:tabs>
        <w:jc w:val="both"/>
        <w:rPr>
          <w:szCs w:val="24"/>
        </w:rPr>
      </w:pPr>
    </w:p>
    <w:p w14:paraId="09074D24" w14:textId="78271C57" w:rsidR="00CF1958" w:rsidRPr="00BC68C4" w:rsidRDefault="00CF1958" w:rsidP="00CF1958">
      <w:pPr>
        <w:pStyle w:val="BodyText"/>
        <w:jc w:val="both"/>
      </w:pPr>
      <w:r w:rsidRPr="00BC68C4">
        <w:t xml:space="preserve">Hannah, Leslie. “The Divorce of Ownership from Control from 1900: Re-calibrating Imagined Global Historical Trends.” </w:t>
      </w:r>
      <w:r w:rsidRPr="00BC68C4">
        <w:rPr>
          <w:i/>
        </w:rPr>
        <w:t>Business History</w:t>
      </w:r>
      <w:r w:rsidRPr="00BC68C4">
        <w:t xml:space="preserve"> 49 (2007): 404-38.</w:t>
      </w:r>
    </w:p>
    <w:p w14:paraId="3D022051" w14:textId="77777777" w:rsidR="004F31F0" w:rsidRPr="00BC68C4" w:rsidRDefault="004F31F0" w:rsidP="00CF1958">
      <w:pPr>
        <w:pStyle w:val="BodyText"/>
        <w:jc w:val="both"/>
      </w:pPr>
    </w:p>
    <w:p w14:paraId="159E8AFC" w14:textId="2D51937C" w:rsidR="004F31F0" w:rsidRPr="00BC68C4" w:rsidRDefault="004F31F0" w:rsidP="004F31F0">
      <w:pPr>
        <w:rPr>
          <w:rFonts w:ascii="Times New Roman" w:hAnsi="Times New Roman" w:cs="Times New Roman"/>
          <w:sz w:val="24"/>
          <w:szCs w:val="24"/>
        </w:rPr>
      </w:pPr>
      <w:r w:rsidRPr="00BC68C4">
        <w:rPr>
          <w:rFonts w:ascii="Times New Roman" w:hAnsi="Times New Roman" w:cs="Times New Roman"/>
          <w:sz w:val="24"/>
          <w:szCs w:val="24"/>
        </w:rPr>
        <w:t>Hannah, Leslie. “The Shareholders’ ‘Dog’ That Did Not Bark: Contested Takeover Bids in Long-Run Comparative Perspective</w:t>
      </w:r>
      <w:r w:rsidR="003C202E" w:rsidRPr="00BC68C4">
        <w:rPr>
          <w:rFonts w:ascii="Times New Roman" w:hAnsi="Times New Roman" w:cs="Times New Roman"/>
          <w:sz w:val="24"/>
          <w:szCs w:val="24"/>
        </w:rPr>
        <w:t>.</w:t>
      </w:r>
      <w:r w:rsidRPr="00BC68C4">
        <w:rPr>
          <w:rFonts w:ascii="Times New Roman" w:hAnsi="Times New Roman" w:cs="Times New Roman"/>
          <w:sz w:val="24"/>
          <w:szCs w:val="24"/>
        </w:rPr>
        <w:t xml:space="preserve">” In </w:t>
      </w:r>
      <w:r w:rsidRPr="00BC68C4">
        <w:rPr>
          <w:rFonts w:ascii="Times New Roman" w:hAnsi="Times New Roman" w:cs="Times New Roman"/>
          <w:i/>
          <w:sz w:val="24"/>
          <w:szCs w:val="24"/>
        </w:rPr>
        <w:t>Men, Women, And Money: Perspectives on Gender, Wealth, and Investment 1850-1930</w:t>
      </w:r>
      <w:r w:rsidR="003C202E" w:rsidRPr="00BC68C4">
        <w:rPr>
          <w:rFonts w:ascii="Times New Roman" w:hAnsi="Times New Roman" w:cs="Times New Roman"/>
          <w:sz w:val="24"/>
          <w:szCs w:val="24"/>
        </w:rPr>
        <w:t xml:space="preserve">, edited by David R. Green, Alasdair Owens, Josephine </w:t>
      </w:r>
      <w:proofErr w:type="spellStart"/>
      <w:r w:rsidR="003C202E" w:rsidRPr="00BC68C4">
        <w:rPr>
          <w:rFonts w:ascii="Times New Roman" w:hAnsi="Times New Roman" w:cs="Times New Roman"/>
          <w:sz w:val="24"/>
          <w:szCs w:val="24"/>
        </w:rPr>
        <w:t>Maltby</w:t>
      </w:r>
      <w:proofErr w:type="spellEnd"/>
      <w:r w:rsidR="003C202E" w:rsidRPr="00BC68C4">
        <w:rPr>
          <w:rFonts w:ascii="Times New Roman" w:hAnsi="Times New Roman" w:cs="Times New Roman"/>
          <w:sz w:val="24"/>
          <w:szCs w:val="24"/>
        </w:rPr>
        <w:t xml:space="preserve"> and Janette</w:t>
      </w:r>
      <w:r w:rsidRPr="00BC68C4">
        <w:rPr>
          <w:rFonts w:ascii="Times New Roman" w:hAnsi="Times New Roman" w:cs="Times New Roman"/>
          <w:sz w:val="24"/>
          <w:szCs w:val="24"/>
        </w:rPr>
        <w:t xml:space="preserve"> </w:t>
      </w:r>
      <w:proofErr w:type="spellStart"/>
      <w:r w:rsidRPr="00BC68C4">
        <w:rPr>
          <w:rFonts w:ascii="Times New Roman" w:hAnsi="Times New Roman" w:cs="Times New Roman"/>
          <w:sz w:val="24"/>
          <w:szCs w:val="24"/>
        </w:rPr>
        <w:t>Rutterford</w:t>
      </w:r>
      <w:proofErr w:type="spellEnd"/>
      <w:r w:rsidRPr="00BC68C4">
        <w:rPr>
          <w:rFonts w:ascii="Times New Roman" w:hAnsi="Times New Roman" w:cs="Times New Roman"/>
          <w:sz w:val="24"/>
          <w:szCs w:val="24"/>
        </w:rPr>
        <w:t>, 228-47. Oxford: Oxford University Press, 2011.</w:t>
      </w:r>
    </w:p>
    <w:p w14:paraId="30780FEA" w14:textId="77777777" w:rsidR="00CF1958" w:rsidRPr="00BC68C4" w:rsidRDefault="00CF1958" w:rsidP="00243C40">
      <w:pPr>
        <w:pStyle w:val="BodyText"/>
        <w:tabs>
          <w:tab w:val="left" w:pos="0"/>
        </w:tabs>
        <w:jc w:val="both"/>
        <w:rPr>
          <w:szCs w:val="24"/>
        </w:rPr>
      </w:pPr>
    </w:p>
    <w:p w14:paraId="7C711069" w14:textId="439D8BF0" w:rsidR="00D9265B" w:rsidRPr="00BC68C4" w:rsidRDefault="00D9265B" w:rsidP="00D9265B">
      <w:pPr>
        <w:rPr>
          <w:rFonts w:ascii="Times New Roman" w:hAnsi="Times New Roman" w:cs="Times New Roman"/>
          <w:sz w:val="24"/>
          <w:szCs w:val="24"/>
        </w:rPr>
      </w:pPr>
      <w:r w:rsidRPr="00BC68C4">
        <w:rPr>
          <w:rFonts w:ascii="Times New Roman" w:hAnsi="Times New Roman" w:cs="Times New Roman"/>
          <w:sz w:val="24"/>
          <w:szCs w:val="24"/>
        </w:rPr>
        <w:t>Harris, R</w:t>
      </w:r>
      <w:r w:rsidR="003C202E" w:rsidRPr="00BC68C4">
        <w:rPr>
          <w:rFonts w:ascii="Times New Roman" w:hAnsi="Times New Roman" w:cs="Times New Roman"/>
          <w:sz w:val="24"/>
          <w:szCs w:val="24"/>
        </w:rPr>
        <w:t>on.</w:t>
      </w:r>
      <w:r w:rsidRPr="00BC68C4">
        <w:rPr>
          <w:rFonts w:ascii="Times New Roman" w:hAnsi="Times New Roman" w:cs="Times New Roman"/>
          <w:sz w:val="24"/>
          <w:szCs w:val="24"/>
        </w:rPr>
        <w:t xml:space="preserve"> </w:t>
      </w:r>
      <w:r w:rsidRPr="00BC68C4">
        <w:rPr>
          <w:rFonts w:ascii="Times New Roman" w:hAnsi="Times New Roman" w:cs="Times New Roman"/>
          <w:i/>
          <w:sz w:val="24"/>
          <w:szCs w:val="24"/>
        </w:rPr>
        <w:t xml:space="preserve">Industrializing English </w:t>
      </w:r>
      <w:r w:rsidR="003C202E" w:rsidRPr="00BC68C4">
        <w:rPr>
          <w:rFonts w:ascii="Times New Roman" w:hAnsi="Times New Roman" w:cs="Times New Roman"/>
          <w:i/>
          <w:sz w:val="24"/>
          <w:szCs w:val="24"/>
        </w:rPr>
        <w:t>Law: Entrepreneurship and Business Organization</w:t>
      </w:r>
      <w:r w:rsidR="003C202E" w:rsidRPr="00BC68C4">
        <w:rPr>
          <w:rFonts w:ascii="Times New Roman" w:hAnsi="Times New Roman" w:cs="Times New Roman"/>
          <w:sz w:val="24"/>
          <w:szCs w:val="24"/>
        </w:rPr>
        <w:t xml:space="preserve">. </w:t>
      </w:r>
      <w:r w:rsidRPr="00BC68C4">
        <w:rPr>
          <w:rFonts w:ascii="Times New Roman" w:hAnsi="Times New Roman" w:cs="Times New Roman"/>
          <w:sz w:val="24"/>
          <w:szCs w:val="24"/>
        </w:rPr>
        <w:t>Cambridge</w:t>
      </w:r>
      <w:r w:rsidR="003C202E" w:rsidRPr="00BC68C4">
        <w:rPr>
          <w:rFonts w:ascii="Times New Roman" w:hAnsi="Times New Roman" w:cs="Times New Roman"/>
          <w:sz w:val="24"/>
          <w:szCs w:val="24"/>
        </w:rPr>
        <w:t>: Cambridge University Press, 2000</w:t>
      </w:r>
      <w:r w:rsidRPr="00BC68C4">
        <w:rPr>
          <w:rFonts w:ascii="Times New Roman" w:hAnsi="Times New Roman" w:cs="Times New Roman"/>
          <w:sz w:val="24"/>
          <w:szCs w:val="24"/>
        </w:rPr>
        <w:t>.</w:t>
      </w:r>
    </w:p>
    <w:p w14:paraId="6620FA0C" w14:textId="77777777" w:rsidR="004F31F0" w:rsidRPr="00BC68C4" w:rsidRDefault="004F31F0" w:rsidP="00BD74B3">
      <w:pPr>
        <w:autoSpaceDE w:val="0"/>
        <w:autoSpaceDN w:val="0"/>
        <w:adjustRightInd w:val="0"/>
        <w:rPr>
          <w:rFonts w:ascii="Times New Roman" w:hAnsi="Times New Roman" w:cs="Times New Roman"/>
          <w:sz w:val="24"/>
          <w:szCs w:val="24"/>
        </w:rPr>
      </w:pPr>
    </w:p>
    <w:p w14:paraId="2C4186D4" w14:textId="4E5F8B39" w:rsidR="00A10159" w:rsidRPr="00BC68C4" w:rsidRDefault="00A10159" w:rsidP="00A10159">
      <w:pPr>
        <w:pStyle w:val="BodyText"/>
        <w:jc w:val="both"/>
        <w:rPr>
          <w:szCs w:val="24"/>
        </w:rPr>
      </w:pPr>
      <w:r w:rsidRPr="00BC68C4">
        <w:rPr>
          <w:szCs w:val="24"/>
        </w:rPr>
        <w:t xml:space="preserve">Hilt, Eric. “When Did Ownership Separate from Control?  Corporate Governance in the Early Nineteenth Century.” </w:t>
      </w:r>
      <w:r w:rsidRPr="00BC68C4">
        <w:rPr>
          <w:i/>
          <w:szCs w:val="24"/>
        </w:rPr>
        <w:t>Journal of Economic History</w:t>
      </w:r>
      <w:r w:rsidRPr="00BC68C4">
        <w:rPr>
          <w:szCs w:val="24"/>
        </w:rPr>
        <w:t xml:space="preserve"> 68, no. 3 (2008), pp. 645-85.</w:t>
      </w:r>
    </w:p>
    <w:p w14:paraId="15E9251D" w14:textId="77777777" w:rsidR="00A10159" w:rsidRPr="00BC68C4" w:rsidRDefault="00A10159" w:rsidP="00BD74B3">
      <w:pPr>
        <w:pStyle w:val="BodyText"/>
        <w:tabs>
          <w:tab w:val="left" w:pos="0"/>
        </w:tabs>
        <w:jc w:val="both"/>
        <w:rPr>
          <w:szCs w:val="24"/>
        </w:rPr>
      </w:pPr>
    </w:p>
    <w:p w14:paraId="5CDC580C" w14:textId="353A9079" w:rsidR="002A518F" w:rsidRPr="00BC68C4" w:rsidRDefault="002A518F" w:rsidP="00BD74B3">
      <w:pPr>
        <w:pStyle w:val="BodyText"/>
        <w:tabs>
          <w:tab w:val="left" w:pos="0"/>
        </w:tabs>
        <w:jc w:val="both"/>
        <w:rPr>
          <w:szCs w:val="24"/>
        </w:rPr>
      </w:pPr>
      <w:r w:rsidRPr="00BC68C4">
        <w:rPr>
          <w:szCs w:val="24"/>
        </w:rPr>
        <w:t xml:space="preserve">Hilt, Eric. “Shareholder Voting Rights in Early American Corporations.” </w:t>
      </w:r>
      <w:r w:rsidRPr="00BC68C4">
        <w:rPr>
          <w:i/>
          <w:szCs w:val="24"/>
        </w:rPr>
        <w:t>Business History</w:t>
      </w:r>
      <w:r w:rsidRPr="00BC68C4">
        <w:rPr>
          <w:szCs w:val="24"/>
        </w:rPr>
        <w:t xml:space="preserve"> 55, no.4 (2013): 620-635.</w:t>
      </w:r>
    </w:p>
    <w:p w14:paraId="50F72B07" w14:textId="77777777" w:rsidR="002A518F" w:rsidRPr="00BC68C4" w:rsidRDefault="002A518F" w:rsidP="00BD74B3">
      <w:pPr>
        <w:pStyle w:val="BodyText"/>
        <w:tabs>
          <w:tab w:val="left" w:pos="0"/>
        </w:tabs>
        <w:jc w:val="both"/>
        <w:rPr>
          <w:szCs w:val="24"/>
        </w:rPr>
      </w:pPr>
    </w:p>
    <w:p w14:paraId="4FF5812B" w14:textId="77777777" w:rsidR="00C66C40" w:rsidRPr="00BC68C4" w:rsidRDefault="00C66C40" w:rsidP="00C66C40">
      <w:pPr>
        <w:rPr>
          <w:rFonts w:ascii="Times New Roman" w:hAnsi="Times New Roman" w:cs="Times New Roman"/>
          <w:sz w:val="24"/>
          <w:szCs w:val="24"/>
        </w:rPr>
      </w:pPr>
      <w:r w:rsidRPr="00BC68C4">
        <w:rPr>
          <w:rFonts w:ascii="Times New Roman" w:hAnsi="Times New Roman" w:cs="Times New Roman"/>
          <w:sz w:val="24"/>
          <w:szCs w:val="24"/>
        </w:rPr>
        <w:t xml:space="preserve">Holderness, Clifford G. “The Myth of Diffuse Ownership in the United States.” </w:t>
      </w:r>
      <w:r w:rsidRPr="00BC68C4">
        <w:rPr>
          <w:rFonts w:ascii="Times New Roman" w:hAnsi="Times New Roman" w:cs="Times New Roman"/>
          <w:i/>
          <w:sz w:val="24"/>
          <w:szCs w:val="24"/>
        </w:rPr>
        <w:t>Review of Financial Studies</w:t>
      </w:r>
      <w:r w:rsidRPr="00BC68C4">
        <w:rPr>
          <w:rFonts w:ascii="Times New Roman" w:hAnsi="Times New Roman" w:cs="Times New Roman"/>
          <w:sz w:val="24"/>
          <w:szCs w:val="24"/>
        </w:rPr>
        <w:t xml:space="preserve"> 22, no. 4 (2009): 1377-408. </w:t>
      </w:r>
    </w:p>
    <w:p w14:paraId="18692850" w14:textId="77777777" w:rsidR="00C66C40" w:rsidRPr="00BC68C4" w:rsidRDefault="00C66C40" w:rsidP="00BD74B3">
      <w:pPr>
        <w:autoSpaceDE w:val="0"/>
        <w:autoSpaceDN w:val="0"/>
        <w:adjustRightInd w:val="0"/>
        <w:rPr>
          <w:rFonts w:ascii="Times New Roman" w:hAnsi="Times New Roman" w:cs="Times New Roman"/>
          <w:sz w:val="24"/>
          <w:szCs w:val="24"/>
        </w:rPr>
      </w:pPr>
    </w:p>
    <w:p w14:paraId="153C48CD" w14:textId="77777777" w:rsidR="00FF5027" w:rsidRPr="00BC68C4" w:rsidRDefault="00FF5027" w:rsidP="00D47CC1">
      <w:pPr>
        <w:autoSpaceDE w:val="0"/>
        <w:autoSpaceDN w:val="0"/>
        <w:adjustRightInd w:val="0"/>
        <w:rPr>
          <w:rFonts w:ascii="Times New Roman" w:hAnsi="Times New Roman" w:cs="Times New Roman"/>
          <w:sz w:val="24"/>
          <w:szCs w:val="24"/>
          <w:lang w:val="en-US"/>
        </w:rPr>
      </w:pPr>
      <w:r w:rsidRPr="00BC68C4">
        <w:rPr>
          <w:rFonts w:ascii="Times New Roman" w:hAnsi="Times New Roman" w:cs="Times New Roman"/>
          <w:i/>
          <w:sz w:val="24"/>
          <w:szCs w:val="24"/>
        </w:rPr>
        <w:t>Investor’s Monthly Manual</w:t>
      </w:r>
      <w:r w:rsidRPr="00BC68C4">
        <w:rPr>
          <w:rFonts w:ascii="Times New Roman" w:hAnsi="Times New Roman" w:cs="Times New Roman"/>
          <w:sz w:val="24"/>
          <w:szCs w:val="24"/>
        </w:rPr>
        <w:t xml:space="preserve"> (1880-1902).</w:t>
      </w:r>
    </w:p>
    <w:p w14:paraId="44C19BBE" w14:textId="77777777" w:rsidR="00FF5027" w:rsidRPr="00BC68C4" w:rsidRDefault="00FF5027" w:rsidP="00D47CC1">
      <w:pPr>
        <w:autoSpaceDE w:val="0"/>
        <w:autoSpaceDN w:val="0"/>
        <w:adjustRightInd w:val="0"/>
        <w:rPr>
          <w:rFonts w:ascii="Times New Roman" w:hAnsi="Times New Roman" w:cs="Times New Roman"/>
          <w:sz w:val="24"/>
          <w:szCs w:val="24"/>
          <w:lang w:val="en-US"/>
        </w:rPr>
      </w:pPr>
    </w:p>
    <w:p w14:paraId="27C2500D" w14:textId="29DF1CE1" w:rsidR="009A1EFC" w:rsidRPr="00BC68C4" w:rsidRDefault="003C202E" w:rsidP="009A1EFC">
      <w:pPr>
        <w:rPr>
          <w:rFonts w:ascii="Times New Roman" w:hAnsi="Times New Roman" w:cs="Times New Roman"/>
          <w:sz w:val="24"/>
          <w:szCs w:val="24"/>
        </w:rPr>
      </w:pPr>
      <w:proofErr w:type="spellStart"/>
      <w:r w:rsidRPr="00BC68C4">
        <w:rPr>
          <w:rFonts w:ascii="Times New Roman" w:hAnsi="Times New Roman" w:cs="Times New Roman"/>
          <w:sz w:val="24"/>
          <w:szCs w:val="24"/>
        </w:rPr>
        <w:t>Jefferys</w:t>
      </w:r>
      <w:proofErr w:type="spellEnd"/>
      <w:r w:rsidRPr="00BC68C4">
        <w:rPr>
          <w:rFonts w:ascii="Times New Roman" w:hAnsi="Times New Roman" w:cs="Times New Roman"/>
          <w:sz w:val="24"/>
          <w:szCs w:val="24"/>
        </w:rPr>
        <w:t>, J. B.</w:t>
      </w:r>
      <w:r w:rsidR="009A1EFC" w:rsidRPr="00BC68C4">
        <w:rPr>
          <w:rFonts w:ascii="Times New Roman" w:hAnsi="Times New Roman" w:cs="Times New Roman"/>
          <w:sz w:val="24"/>
          <w:szCs w:val="24"/>
        </w:rPr>
        <w:t xml:space="preserve"> </w:t>
      </w:r>
      <w:r w:rsidR="009A1EFC" w:rsidRPr="00BC68C4">
        <w:rPr>
          <w:rFonts w:ascii="Times New Roman" w:hAnsi="Times New Roman" w:cs="Times New Roman"/>
          <w:i/>
          <w:sz w:val="24"/>
          <w:szCs w:val="24"/>
        </w:rPr>
        <w:t xml:space="preserve">Business </w:t>
      </w:r>
      <w:r w:rsidRPr="00BC68C4">
        <w:rPr>
          <w:rFonts w:ascii="Times New Roman" w:hAnsi="Times New Roman" w:cs="Times New Roman"/>
          <w:i/>
          <w:sz w:val="24"/>
          <w:szCs w:val="24"/>
        </w:rPr>
        <w:t>O</w:t>
      </w:r>
      <w:r w:rsidR="009A1EFC" w:rsidRPr="00BC68C4">
        <w:rPr>
          <w:rFonts w:ascii="Times New Roman" w:hAnsi="Times New Roman" w:cs="Times New Roman"/>
          <w:i/>
          <w:sz w:val="24"/>
          <w:szCs w:val="24"/>
        </w:rPr>
        <w:t>rganisation in Great Britain 1856-1914</w:t>
      </w:r>
      <w:r w:rsidRPr="00BC68C4">
        <w:rPr>
          <w:rFonts w:ascii="Times New Roman" w:hAnsi="Times New Roman" w:cs="Times New Roman"/>
          <w:sz w:val="24"/>
          <w:szCs w:val="24"/>
        </w:rPr>
        <w:t xml:space="preserve">. </w:t>
      </w:r>
      <w:r w:rsidR="009A1EFC" w:rsidRPr="00BC68C4">
        <w:rPr>
          <w:rFonts w:ascii="Times New Roman" w:hAnsi="Times New Roman" w:cs="Times New Roman"/>
          <w:sz w:val="24"/>
          <w:szCs w:val="24"/>
        </w:rPr>
        <w:t>New York</w:t>
      </w:r>
      <w:r w:rsidRPr="00BC68C4">
        <w:rPr>
          <w:rFonts w:ascii="Times New Roman" w:hAnsi="Times New Roman" w:cs="Times New Roman"/>
          <w:sz w:val="24"/>
          <w:szCs w:val="24"/>
        </w:rPr>
        <w:t>: Arno Press, 1977</w:t>
      </w:r>
      <w:r w:rsidR="009A1EFC" w:rsidRPr="00BC68C4">
        <w:rPr>
          <w:rFonts w:ascii="Times New Roman" w:hAnsi="Times New Roman" w:cs="Times New Roman"/>
          <w:sz w:val="24"/>
          <w:szCs w:val="24"/>
        </w:rPr>
        <w:t>.</w:t>
      </w:r>
    </w:p>
    <w:p w14:paraId="6ACBCE9D" w14:textId="77777777" w:rsidR="009A1EFC" w:rsidRPr="00BC68C4" w:rsidRDefault="009A1EFC" w:rsidP="00D47CC1">
      <w:pPr>
        <w:autoSpaceDE w:val="0"/>
        <w:autoSpaceDN w:val="0"/>
        <w:adjustRightInd w:val="0"/>
        <w:rPr>
          <w:rFonts w:ascii="Times New Roman" w:hAnsi="Times New Roman" w:cs="Times New Roman"/>
          <w:sz w:val="24"/>
          <w:szCs w:val="24"/>
          <w:lang w:val="en-US"/>
        </w:rPr>
      </w:pPr>
    </w:p>
    <w:p w14:paraId="52809580" w14:textId="77777777" w:rsidR="00D47CC1" w:rsidRPr="00BC68C4" w:rsidRDefault="00D47CC1" w:rsidP="00D47CC1">
      <w:pPr>
        <w:autoSpaceDE w:val="0"/>
        <w:autoSpaceDN w:val="0"/>
        <w:adjustRightInd w:val="0"/>
        <w:rPr>
          <w:rFonts w:ascii="Times New Roman" w:hAnsi="Times New Roman" w:cs="Times New Roman"/>
          <w:sz w:val="24"/>
          <w:szCs w:val="24"/>
          <w:lang w:val="en-US"/>
        </w:rPr>
      </w:pPr>
      <w:r w:rsidRPr="00BC68C4">
        <w:rPr>
          <w:rFonts w:ascii="Times New Roman" w:hAnsi="Times New Roman" w:cs="Times New Roman"/>
          <w:sz w:val="24"/>
          <w:szCs w:val="24"/>
          <w:lang w:val="en-US"/>
        </w:rPr>
        <w:t xml:space="preserve">Jensen, Michael C. and William H. </w:t>
      </w:r>
      <w:proofErr w:type="spellStart"/>
      <w:r w:rsidRPr="00BC68C4">
        <w:rPr>
          <w:rFonts w:ascii="Times New Roman" w:hAnsi="Times New Roman" w:cs="Times New Roman"/>
          <w:sz w:val="24"/>
          <w:szCs w:val="24"/>
          <w:lang w:val="en-US"/>
        </w:rPr>
        <w:t>Meckling</w:t>
      </w:r>
      <w:proofErr w:type="spellEnd"/>
      <w:r w:rsidRPr="00BC68C4">
        <w:rPr>
          <w:rFonts w:ascii="Times New Roman" w:hAnsi="Times New Roman" w:cs="Times New Roman"/>
          <w:sz w:val="24"/>
          <w:szCs w:val="24"/>
          <w:lang w:val="en-US"/>
        </w:rPr>
        <w:t xml:space="preserve">. “Theory of the Firm: Managerial Behavior, Agency Costs and Ownership Structure.” </w:t>
      </w:r>
      <w:r w:rsidRPr="00BC68C4">
        <w:rPr>
          <w:rFonts w:ascii="Times New Roman" w:hAnsi="Times New Roman" w:cs="Times New Roman"/>
          <w:i/>
          <w:iCs/>
          <w:sz w:val="24"/>
          <w:szCs w:val="24"/>
          <w:lang w:val="en-US"/>
        </w:rPr>
        <w:t xml:space="preserve">Journal of Financial Economics </w:t>
      </w:r>
      <w:r w:rsidRPr="00BC68C4">
        <w:rPr>
          <w:rFonts w:ascii="Times New Roman" w:hAnsi="Times New Roman" w:cs="Times New Roman"/>
          <w:sz w:val="24"/>
          <w:szCs w:val="24"/>
          <w:lang w:val="en-US"/>
        </w:rPr>
        <w:t xml:space="preserve">3, no. </w:t>
      </w:r>
      <w:r w:rsidR="00293DEE" w:rsidRPr="00BC68C4">
        <w:rPr>
          <w:rFonts w:ascii="Times New Roman" w:hAnsi="Times New Roman" w:cs="Times New Roman"/>
          <w:sz w:val="24"/>
          <w:szCs w:val="24"/>
          <w:lang w:val="en-US"/>
        </w:rPr>
        <w:t>4</w:t>
      </w:r>
      <w:r w:rsidRPr="00BC68C4">
        <w:rPr>
          <w:rFonts w:ascii="Times New Roman" w:hAnsi="Times New Roman" w:cs="Times New Roman"/>
          <w:sz w:val="24"/>
          <w:szCs w:val="24"/>
          <w:lang w:val="en-US"/>
        </w:rPr>
        <w:t xml:space="preserve"> (1976)</w:t>
      </w:r>
      <w:r w:rsidR="00293DEE" w:rsidRPr="00BC68C4">
        <w:rPr>
          <w:rFonts w:ascii="Times New Roman" w:hAnsi="Times New Roman" w:cs="Times New Roman"/>
          <w:sz w:val="24"/>
          <w:szCs w:val="24"/>
          <w:lang w:val="en-US"/>
        </w:rPr>
        <w:t xml:space="preserve">: </w:t>
      </w:r>
      <w:r w:rsidRPr="00BC68C4">
        <w:rPr>
          <w:rFonts w:ascii="Times New Roman" w:hAnsi="Times New Roman" w:cs="Times New Roman"/>
          <w:sz w:val="24"/>
          <w:szCs w:val="24"/>
          <w:lang w:val="en-US"/>
        </w:rPr>
        <w:t>305–360.</w:t>
      </w:r>
    </w:p>
    <w:p w14:paraId="2E62B1CC" w14:textId="77777777" w:rsidR="00671AFD" w:rsidRPr="00BC68C4" w:rsidRDefault="00671AFD" w:rsidP="00D47CC1">
      <w:pPr>
        <w:autoSpaceDE w:val="0"/>
        <w:autoSpaceDN w:val="0"/>
        <w:adjustRightInd w:val="0"/>
        <w:rPr>
          <w:rFonts w:ascii="Times New Roman" w:hAnsi="Times New Roman" w:cs="Times New Roman"/>
          <w:sz w:val="24"/>
          <w:szCs w:val="24"/>
        </w:rPr>
      </w:pPr>
    </w:p>
    <w:p w14:paraId="29F4224C" w14:textId="0BE20E61" w:rsidR="00893AB3" w:rsidRPr="00BC68C4" w:rsidRDefault="00AC10DA" w:rsidP="00D47CC1">
      <w:pPr>
        <w:autoSpaceDE w:val="0"/>
        <w:autoSpaceDN w:val="0"/>
        <w:adjustRightInd w:val="0"/>
        <w:rPr>
          <w:rFonts w:ascii="Times New Roman" w:hAnsi="Times New Roman" w:cs="Times New Roman"/>
          <w:sz w:val="24"/>
          <w:szCs w:val="24"/>
        </w:rPr>
      </w:pPr>
      <w:r w:rsidRPr="00BC68C4">
        <w:rPr>
          <w:rFonts w:ascii="Times New Roman" w:hAnsi="Times New Roman" w:cs="Times New Roman"/>
          <w:sz w:val="24"/>
          <w:szCs w:val="24"/>
        </w:rPr>
        <w:t xml:space="preserve">Kennedy, William P. </w:t>
      </w:r>
      <w:r w:rsidRPr="00BC68C4">
        <w:rPr>
          <w:rFonts w:ascii="Times New Roman" w:hAnsi="Times New Roman" w:cs="Times New Roman"/>
          <w:i/>
          <w:sz w:val="24"/>
          <w:szCs w:val="24"/>
        </w:rPr>
        <w:t>Industrial Structure, Capital Markets and the Origins of British Economic Decline</w:t>
      </w:r>
      <w:r w:rsidRPr="00BC68C4">
        <w:rPr>
          <w:rFonts w:ascii="Times New Roman" w:hAnsi="Times New Roman" w:cs="Times New Roman"/>
          <w:sz w:val="24"/>
          <w:szCs w:val="24"/>
        </w:rPr>
        <w:t>. Cambridge: Cambridge University Press, 1987.</w:t>
      </w:r>
    </w:p>
    <w:p w14:paraId="2EFC4D47" w14:textId="77777777" w:rsidR="00AC10DA" w:rsidRPr="00BC68C4" w:rsidRDefault="00AC10DA" w:rsidP="00F55E13">
      <w:pPr>
        <w:rPr>
          <w:rFonts w:ascii="Times New Roman" w:hAnsi="Times New Roman" w:cs="Times New Roman"/>
          <w:sz w:val="24"/>
          <w:szCs w:val="24"/>
        </w:rPr>
      </w:pPr>
    </w:p>
    <w:p w14:paraId="5E7B11D6" w14:textId="7B5D8285" w:rsidR="00F55E13" w:rsidRPr="00BC68C4" w:rsidRDefault="00F55E13" w:rsidP="00F55E13">
      <w:pPr>
        <w:rPr>
          <w:rFonts w:ascii="Times New Roman" w:hAnsi="Times New Roman" w:cs="Times New Roman"/>
          <w:sz w:val="24"/>
          <w:szCs w:val="24"/>
        </w:rPr>
      </w:pPr>
      <w:r w:rsidRPr="00BC68C4">
        <w:rPr>
          <w:rFonts w:ascii="Times New Roman" w:hAnsi="Times New Roman" w:cs="Times New Roman"/>
          <w:sz w:val="24"/>
          <w:szCs w:val="24"/>
        </w:rPr>
        <w:t xml:space="preserve">Kim, Kenneth A., P. </w:t>
      </w:r>
      <w:proofErr w:type="spellStart"/>
      <w:r w:rsidRPr="00BC68C4">
        <w:rPr>
          <w:rFonts w:ascii="Times New Roman" w:hAnsi="Times New Roman" w:cs="Times New Roman"/>
          <w:sz w:val="24"/>
          <w:szCs w:val="24"/>
        </w:rPr>
        <w:t>Kitsabunnarat-Chatjut</w:t>
      </w:r>
      <w:r w:rsidR="00CF3EB9" w:rsidRPr="00BC68C4">
        <w:rPr>
          <w:rFonts w:ascii="Times New Roman" w:hAnsi="Times New Roman" w:cs="Times New Roman"/>
          <w:sz w:val="24"/>
          <w:szCs w:val="24"/>
        </w:rPr>
        <w:t>hamard</w:t>
      </w:r>
      <w:proofErr w:type="spellEnd"/>
      <w:r w:rsidR="00CF3EB9" w:rsidRPr="00BC68C4">
        <w:rPr>
          <w:rFonts w:ascii="Times New Roman" w:hAnsi="Times New Roman" w:cs="Times New Roman"/>
          <w:sz w:val="24"/>
          <w:szCs w:val="24"/>
        </w:rPr>
        <w:t xml:space="preserve">, and John R. </w:t>
      </w:r>
      <w:proofErr w:type="spellStart"/>
      <w:r w:rsidR="00CF3EB9" w:rsidRPr="00BC68C4">
        <w:rPr>
          <w:rFonts w:ascii="Times New Roman" w:hAnsi="Times New Roman" w:cs="Times New Roman"/>
          <w:sz w:val="24"/>
          <w:szCs w:val="24"/>
        </w:rPr>
        <w:t>Nofsinger</w:t>
      </w:r>
      <w:proofErr w:type="spellEnd"/>
      <w:r w:rsidR="00CF3EB9" w:rsidRPr="00BC68C4">
        <w:rPr>
          <w:rFonts w:ascii="Times New Roman" w:hAnsi="Times New Roman" w:cs="Times New Roman"/>
          <w:sz w:val="24"/>
          <w:szCs w:val="24"/>
        </w:rPr>
        <w:t>. “</w:t>
      </w:r>
      <w:r w:rsidRPr="00BC68C4">
        <w:rPr>
          <w:rFonts w:ascii="Times New Roman" w:hAnsi="Times New Roman" w:cs="Times New Roman"/>
          <w:sz w:val="24"/>
          <w:szCs w:val="24"/>
        </w:rPr>
        <w:t xml:space="preserve">Large </w:t>
      </w:r>
      <w:r w:rsidR="00750FBA" w:rsidRPr="00BC68C4">
        <w:rPr>
          <w:rFonts w:ascii="Times New Roman" w:hAnsi="Times New Roman" w:cs="Times New Roman"/>
          <w:sz w:val="24"/>
          <w:szCs w:val="24"/>
        </w:rPr>
        <w:t>Shareholders, Board Independence, and Minority Shareholder Righ</w:t>
      </w:r>
      <w:r w:rsidR="00CF3EB9" w:rsidRPr="00BC68C4">
        <w:rPr>
          <w:rFonts w:ascii="Times New Roman" w:hAnsi="Times New Roman" w:cs="Times New Roman"/>
          <w:sz w:val="24"/>
          <w:szCs w:val="24"/>
        </w:rPr>
        <w:t>ts: Evidence from Europe,”</w:t>
      </w:r>
      <w:r w:rsidRPr="00BC68C4">
        <w:rPr>
          <w:rFonts w:ascii="Times New Roman" w:hAnsi="Times New Roman" w:cs="Times New Roman"/>
          <w:sz w:val="24"/>
          <w:szCs w:val="24"/>
        </w:rPr>
        <w:t xml:space="preserve"> </w:t>
      </w:r>
      <w:r w:rsidRPr="00BC68C4">
        <w:rPr>
          <w:rFonts w:ascii="Times New Roman" w:hAnsi="Times New Roman" w:cs="Times New Roman"/>
          <w:i/>
          <w:sz w:val="24"/>
          <w:szCs w:val="24"/>
        </w:rPr>
        <w:t>Journal of Corporate Finance</w:t>
      </w:r>
      <w:r w:rsidRPr="00BC68C4">
        <w:rPr>
          <w:rFonts w:ascii="Times New Roman" w:hAnsi="Times New Roman" w:cs="Times New Roman"/>
          <w:sz w:val="24"/>
          <w:szCs w:val="24"/>
        </w:rPr>
        <w:t xml:space="preserve"> 13, no. 5 (2007): 859-880.</w:t>
      </w:r>
    </w:p>
    <w:p w14:paraId="46176AFA" w14:textId="77777777" w:rsidR="00F55E13" w:rsidRPr="00BC68C4" w:rsidRDefault="00F55E13" w:rsidP="00D47CC1">
      <w:pPr>
        <w:autoSpaceDE w:val="0"/>
        <w:autoSpaceDN w:val="0"/>
        <w:adjustRightInd w:val="0"/>
        <w:rPr>
          <w:rFonts w:ascii="Times New Roman" w:hAnsi="Times New Roman" w:cs="Times New Roman"/>
          <w:sz w:val="24"/>
          <w:szCs w:val="24"/>
          <w:lang w:val="en-US"/>
        </w:rPr>
      </w:pPr>
    </w:p>
    <w:p w14:paraId="15D48C70" w14:textId="22DA4ED3" w:rsidR="00893AB3" w:rsidRPr="00BC68C4" w:rsidRDefault="00893AB3" w:rsidP="00D47CC1">
      <w:pPr>
        <w:autoSpaceDE w:val="0"/>
        <w:autoSpaceDN w:val="0"/>
        <w:adjustRightInd w:val="0"/>
        <w:rPr>
          <w:rFonts w:ascii="Times New Roman" w:hAnsi="Times New Roman" w:cs="Times New Roman"/>
          <w:sz w:val="24"/>
          <w:szCs w:val="24"/>
        </w:rPr>
      </w:pPr>
      <w:r w:rsidRPr="00BC68C4">
        <w:rPr>
          <w:rFonts w:ascii="Times New Roman" w:hAnsi="Times New Roman" w:cs="Times New Roman"/>
          <w:sz w:val="24"/>
          <w:szCs w:val="24"/>
          <w:lang w:val="en-US"/>
        </w:rPr>
        <w:t xml:space="preserve">Kim, E. Han and Yao Lu. “CEO </w:t>
      </w:r>
      <w:r w:rsidR="00750FBA" w:rsidRPr="00BC68C4">
        <w:rPr>
          <w:rFonts w:ascii="Times New Roman" w:hAnsi="Times New Roman" w:cs="Times New Roman"/>
          <w:sz w:val="24"/>
          <w:szCs w:val="24"/>
          <w:lang w:val="en-US"/>
        </w:rPr>
        <w:t>Ownership, External Governance, and Risk-Taking</w:t>
      </w:r>
      <w:r w:rsidRPr="00BC68C4">
        <w:rPr>
          <w:rFonts w:ascii="Times New Roman" w:hAnsi="Times New Roman" w:cs="Times New Roman"/>
          <w:sz w:val="24"/>
          <w:szCs w:val="24"/>
          <w:lang w:val="en-US"/>
        </w:rPr>
        <w:t xml:space="preserve">.” </w:t>
      </w:r>
      <w:r w:rsidRPr="00BC68C4">
        <w:rPr>
          <w:rFonts w:ascii="Times New Roman" w:hAnsi="Times New Roman" w:cs="Times New Roman"/>
          <w:i/>
          <w:sz w:val="24"/>
          <w:szCs w:val="24"/>
          <w:lang w:val="en-US"/>
        </w:rPr>
        <w:t>Journal of Financial Economics</w:t>
      </w:r>
      <w:r w:rsidR="006469E4" w:rsidRPr="00BC68C4">
        <w:rPr>
          <w:rFonts w:ascii="Times New Roman" w:hAnsi="Times New Roman" w:cs="Times New Roman"/>
          <w:sz w:val="24"/>
          <w:szCs w:val="24"/>
          <w:lang w:val="en-US"/>
        </w:rPr>
        <w:t xml:space="preserve"> 102, no. 2</w:t>
      </w:r>
      <w:r w:rsidRPr="00BC68C4">
        <w:rPr>
          <w:rFonts w:ascii="Times New Roman" w:hAnsi="Times New Roman" w:cs="Times New Roman"/>
          <w:sz w:val="24"/>
          <w:szCs w:val="24"/>
          <w:lang w:val="en-US"/>
        </w:rPr>
        <w:t xml:space="preserve"> (2011): 272-92.</w:t>
      </w:r>
    </w:p>
    <w:p w14:paraId="161C5B77" w14:textId="77777777" w:rsidR="00D47CC1" w:rsidRPr="00BC68C4" w:rsidRDefault="00D47CC1" w:rsidP="00BD74B3">
      <w:pPr>
        <w:autoSpaceDE w:val="0"/>
        <w:autoSpaceDN w:val="0"/>
        <w:adjustRightInd w:val="0"/>
        <w:rPr>
          <w:rFonts w:ascii="Times New Roman" w:hAnsi="Times New Roman" w:cs="Times New Roman"/>
          <w:sz w:val="24"/>
          <w:szCs w:val="24"/>
        </w:rPr>
      </w:pPr>
    </w:p>
    <w:p w14:paraId="58ED8F3D" w14:textId="77777777" w:rsidR="00D94416" w:rsidRPr="00BC68C4" w:rsidRDefault="00D94416" w:rsidP="00D94416">
      <w:pPr>
        <w:pStyle w:val="BodyText"/>
        <w:jc w:val="both"/>
        <w:rPr>
          <w:szCs w:val="24"/>
        </w:rPr>
      </w:pPr>
      <w:r w:rsidRPr="00BC68C4">
        <w:t>La Porta, Rafael, Florencio Lopez-De-</w:t>
      </w:r>
      <w:proofErr w:type="spellStart"/>
      <w:r w:rsidRPr="00BC68C4">
        <w:t>Silanes</w:t>
      </w:r>
      <w:proofErr w:type="spellEnd"/>
      <w:r w:rsidRPr="00BC68C4">
        <w:t xml:space="preserve">, Andrei Shleifer, and Robert W. </w:t>
      </w:r>
      <w:proofErr w:type="spellStart"/>
      <w:r w:rsidRPr="00BC68C4">
        <w:t>Vishny</w:t>
      </w:r>
      <w:proofErr w:type="spellEnd"/>
      <w:r w:rsidRPr="00BC68C4">
        <w:t>. “</w:t>
      </w:r>
      <w:r w:rsidRPr="00BC68C4">
        <w:rPr>
          <w:szCs w:val="24"/>
        </w:rPr>
        <w:t xml:space="preserve">Law and Finance.” </w:t>
      </w:r>
      <w:r w:rsidRPr="00BC68C4">
        <w:rPr>
          <w:i/>
          <w:szCs w:val="24"/>
        </w:rPr>
        <w:t>Journal of Political Economy</w:t>
      </w:r>
      <w:r w:rsidRPr="00BC68C4">
        <w:rPr>
          <w:szCs w:val="24"/>
        </w:rPr>
        <w:t xml:space="preserve"> 106, no. 6 (1998): 1113-55.</w:t>
      </w:r>
      <w:r w:rsidRPr="00BC68C4">
        <w:rPr>
          <w:b/>
          <w:bCs/>
          <w:szCs w:val="24"/>
        </w:rPr>
        <w:t xml:space="preserve"> </w:t>
      </w:r>
    </w:p>
    <w:p w14:paraId="2C9CFB0B" w14:textId="77777777" w:rsidR="00D94416" w:rsidRPr="00BC68C4" w:rsidRDefault="00D94416" w:rsidP="00D94416">
      <w:pPr>
        <w:pStyle w:val="BodyText"/>
        <w:jc w:val="both"/>
      </w:pPr>
    </w:p>
    <w:p w14:paraId="1D578D58" w14:textId="77777777" w:rsidR="00D94416" w:rsidRPr="00BC68C4" w:rsidRDefault="00D94416" w:rsidP="00D94416">
      <w:pPr>
        <w:pStyle w:val="BodyText"/>
        <w:jc w:val="both"/>
      </w:pPr>
      <w:r w:rsidRPr="00BC68C4">
        <w:rPr>
          <w:szCs w:val="24"/>
        </w:rPr>
        <w:t>La Porta, Rafael, Florencio Lopez-De-</w:t>
      </w:r>
      <w:proofErr w:type="spellStart"/>
      <w:r w:rsidRPr="00BC68C4">
        <w:rPr>
          <w:szCs w:val="24"/>
        </w:rPr>
        <w:t>Silanes</w:t>
      </w:r>
      <w:proofErr w:type="spellEnd"/>
      <w:r w:rsidRPr="00BC68C4">
        <w:rPr>
          <w:szCs w:val="24"/>
        </w:rPr>
        <w:t>, and Andrei Shleifer.</w:t>
      </w:r>
      <w:r w:rsidRPr="00BC68C4">
        <w:t xml:space="preserve"> “Corporate Ownership </w:t>
      </w:r>
      <w:proofErr w:type="gramStart"/>
      <w:r w:rsidRPr="00BC68C4">
        <w:t>Around</w:t>
      </w:r>
      <w:proofErr w:type="gramEnd"/>
      <w:r w:rsidRPr="00BC68C4">
        <w:t xml:space="preserve"> the World.” </w:t>
      </w:r>
      <w:r w:rsidRPr="00BC68C4">
        <w:rPr>
          <w:i/>
        </w:rPr>
        <w:t>Journal of Finance</w:t>
      </w:r>
      <w:r w:rsidRPr="00BC68C4">
        <w:t xml:space="preserve"> 54, no. 2 (1999): 471-517.</w:t>
      </w:r>
    </w:p>
    <w:p w14:paraId="42D63339" w14:textId="77777777" w:rsidR="008D0943" w:rsidRPr="00BC68C4" w:rsidRDefault="008D0943" w:rsidP="008D0943">
      <w:pPr>
        <w:rPr>
          <w:rFonts w:ascii="Times New Roman" w:hAnsi="Times New Roman" w:cs="Times New Roman"/>
          <w:sz w:val="24"/>
          <w:szCs w:val="24"/>
        </w:rPr>
      </w:pPr>
    </w:p>
    <w:p w14:paraId="21C9F0F5" w14:textId="2B004C03" w:rsidR="005134DD" w:rsidRPr="00BC68C4" w:rsidRDefault="005134DD" w:rsidP="005134DD">
      <w:pPr>
        <w:rPr>
          <w:rFonts w:ascii="Times New Roman" w:hAnsi="Times New Roman" w:cs="Times New Roman"/>
          <w:sz w:val="24"/>
          <w:szCs w:val="24"/>
        </w:rPr>
      </w:pPr>
      <w:proofErr w:type="spellStart"/>
      <w:r w:rsidRPr="00BC68C4">
        <w:rPr>
          <w:rFonts w:ascii="Times New Roman" w:hAnsi="Times New Roman" w:cs="Times New Roman"/>
          <w:sz w:val="24"/>
          <w:szCs w:val="24"/>
        </w:rPr>
        <w:t>Lipartito</w:t>
      </w:r>
      <w:proofErr w:type="spellEnd"/>
      <w:r w:rsidRPr="00BC68C4">
        <w:rPr>
          <w:rFonts w:ascii="Times New Roman" w:hAnsi="Times New Roman" w:cs="Times New Roman"/>
          <w:sz w:val="24"/>
          <w:szCs w:val="24"/>
        </w:rPr>
        <w:t xml:space="preserve">, Kenneth and Yumiko </w:t>
      </w:r>
      <w:proofErr w:type="spellStart"/>
      <w:r w:rsidRPr="00BC68C4">
        <w:rPr>
          <w:rFonts w:ascii="Times New Roman" w:hAnsi="Times New Roman" w:cs="Times New Roman"/>
          <w:sz w:val="24"/>
          <w:szCs w:val="24"/>
        </w:rPr>
        <w:t>Morii</w:t>
      </w:r>
      <w:proofErr w:type="spellEnd"/>
      <w:r w:rsidRPr="00BC68C4">
        <w:rPr>
          <w:rFonts w:ascii="Times New Roman" w:hAnsi="Times New Roman" w:cs="Times New Roman"/>
          <w:sz w:val="24"/>
          <w:szCs w:val="24"/>
        </w:rPr>
        <w:t xml:space="preserve">. “Rethinking the Separation of Ownership from Management in American History.” </w:t>
      </w:r>
      <w:r w:rsidRPr="00BC68C4">
        <w:rPr>
          <w:rFonts w:ascii="Times New Roman" w:hAnsi="Times New Roman" w:cs="Times New Roman"/>
          <w:i/>
          <w:sz w:val="24"/>
          <w:szCs w:val="24"/>
        </w:rPr>
        <w:t>Seattle University Law Review</w:t>
      </w:r>
      <w:r w:rsidRPr="00BC68C4">
        <w:rPr>
          <w:rFonts w:ascii="Times New Roman" w:hAnsi="Times New Roman" w:cs="Times New Roman"/>
          <w:sz w:val="24"/>
          <w:szCs w:val="24"/>
        </w:rPr>
        <w:t xml:space="preserve"> 33</w:t>
      </w:r>
      <w:r w:rsidR="00F67787" w:rsidRPr="00BC68C4">
        <w:rPr>
          <w:rFonts w:ascii="Times New Roman" w:hAnsi="Times New Roman" w:cs="Times New Roman"/>
          <w:sz w:val="24"/>
          <w:szCs w:val="24"/>
        </w:rPr>
        <w:t xml:space="preserve">, </w:t>
      </w:r>
      <w:r w:rsidRPr="00BC68C4">
        <w:rPr>
          <w:rFonts w:ascii="Times New Roman" w:hAnsi="Times New Roman" w:cs="Times New Roman"/>
          <w:sz w:val="24"/>
          <w:szCs w:val="24"/>
        </w:rPr>
        <w:t>(2010): 1025-63.</w:t>
      </w:r>
    </w:p>
    <w:p w14:paraId="1F15C8ED" w14:textId="77777777" w:rsidR="005134DD" w:rsidRPr="00BC68C4" w:rsidRDefault="005134DD" w:rsidP="006076AD">
      <w:pPr>
        <w:autoSpaceDE w:val="0"/>
        <w:autoSpaceDN w:val="0"/>
        <w:adjustRightInd w:val="0"/>
        <w:rPr>
          <w:rFonts w:ascii="Times New Roman" w:hAnsi="Times New Roman" w:cs="Times New Roman"/>
          <w:sz w:val="24"/>
          <w:szCs w:val="24"/>
        </w:rPr>
      </w:pPr>
    </w:p>
    <w:p w14:paraId="3B63761A" w14:textId="77777777" w:rsidR="00ED7D9B" w:rsidRPr="00BC68C4" w:rsidRDefault="00ED7D9B" w:rsidP="006076AD">
      <w:pPr>
        <w:rPr>
          <w:rFonts w:ascii="Times New Roman" w:hAnsi="Times New Roman" w:cs="Times New Roman"/>
          <w:sz w:val="24"/>
          <w:szCs w:val="24"/>
        </w:rPr>
      </w:pPr>
      <w:r w:rsidRPr="00BC68C4">
        <w:rPr>
          <w:rFonts w:ascii="Times New Roman" w:hAnsi="Times New Roman" w:cs="Times New Roman"/>
          <w:i/>
          <w:sz w:val="24"/>
          <w:szCs w:val="24"/>
        </w:rPr>
        <w:t>London Gazette</w:t>
      </w:r>
      <w:r w:rsidRPr="00BC68C4">
        <w:rPr>
          <w:rFonts w:ascii="Times New Roman" w:hAnsi="Times New Roman" w:cs="Times New Roman"/>
          <w:sz w:val="24"/>
          <w:szCs w:val="24"/>
        </w:rPr>
        <w:t xml:space="preserve"> (1862-1979).</w:t>
      </w:r>
    </w:p>
    <w:p w14:paraId="71B69E55" w14:textId="77777777" w:rsidR="00ED7D9B" w:rsidRPr="00BC68C4" w:rsidRDefault="00ED7D9B" w:rsidP="006076AD">
      <w:pPr>
        <w:rPr>
          <w:rFonts w:ascii="Times New Roman" w:hAnsi="Times New Roman" w:cs="Times New Roman"/>
          <w:sz w:val="24"/>
          <w:szCs w:val="24"/>
        </w:rPr>
      </w:pPr>
    </w:p>
    <w:p w14:paraId="05E50962" w14:textId="77777777" w:rsidR="00BC153E" w:rsidRPr="00BC68C4" w:rsidRDefault="00BC153E" w:rsidP="006076AD">
      <w:pPr>
        <w:rPr>
          <w:rFonts w:ascii="Times New Roman" w:hAnsi="Times New Roman" w:cs="Times New Roman"/>
          <w:sz w:val="24"/>
          <w:szCs w:val="24"/>
        </w:rPr>
      </w:pPr>
      <w:proofErr w:type="spellStart"/>
      <w:r w:rsidRPr="00BC68C4">
        <w:rPr>
          <w:rFonts w:ascii="Times New Roman" w:hAnsi="Times New Roman" w:cs="Times New Roman"/>
          <w:sz w:val="24"/>
          <w:szCs w:val="24"/>
        </w:rPr>
        <w:t>Maury</w:t>
      </w:r>
      <w:proofErr w:type="spellEnd"/>
      <w:r w:rsidRPr="00BC68C4">
        <w:rPr>
          <w:rFonts w:ascii="Times New Roman" w:hAnsi="Times New Roman" w:cs="Times New Roman"/>
          <w:sz w:val="24"/>
          <w:szCs w:val="24"/>
        </w:rPr>
        <w:t xml:space="preserve">, Benjamin. “Family Ownership and Firm Performance: Empirical Evidence from Western European Corporations.” </w:t>
      </w:r>
      <w:r w:rsidRPr="00BC68C4">
        <w:rPr>
          <w:rFonts w:ascii="Times New Roman" w:hAnsi="Times New Roman" w:cs="Times New Roman"/>
          <w:i/>
          <w:sz w:val="24"/>
          <w:szCs w:val="24"/>
        </w:rPr>
        <w:t>Journal of Corporate Finance</w:t>
      </w:r>
      <w:r w:rsidRPr="00BC68C4">
        <w:rPr>
          <w:rFonts w:ascii="Times New Roman" w:hAnsi="Times New Roman" w:cs="Times New Roman"/>
          <w:sz w:val="24"/>
          <w:szCs w:val="24"/>
        </w:rPr>
        <w:t xml:space="preserve"> 12, no. 2 (2006), 321-41.</w:t>
      </w:r>
    </w:p>
    <w:p w14:paraId="3EA5BAA9" w14:textId="77777777" w:rsidR="00BC153E" w:rsidRPr="00BC68C4" w:rsidRDefault="00BC153E" w:rsidP="006076AD">
      <w:pPr>
        <w:rPr>
          <w:rFonts w:ascii="Times New Roman" w:hAnsi="Times New Roman" w:cs="Times New Roman"/>
          <w:sz w:val="24"/>
          <w:szCs w:val="24"/>
        </w:rPr>
      </w:pPr>
    </w:p>
    <w:p w14:paraId="76F6B8DD" w14:textId="77777777" w:rsidR="00481A0E" w:rsidRPr="00BC68C4" w:rsidRDefault="00481A0E" w:rsidP="006076AD">
      <w:pPr>
        <w:rPr>
          <w:rFonts w:ascii="Times New Roman" w:hAnsi="Times New Roman" w:cs="Times New Roman"/>
          <w:sz w:val="24"/>
          <w:szCs w:val="24"/>
        </w:rPr>
      </w:pPr>
      <w:r w:rsidRPr="00BC68C4">
        <w:rPr>
          <w:rFonts w:ascii="Times New Roman" w:hAnsi="Times New Roman" w:cs="Times New Roman"/>
          <w:sz w:val="24"/>
          <w:szCs w:val="24"/>
        </w:rPr>
        <w:t xml:space="preserve">Mayer, Colin. </w:t>
      </w:r>
      <w:r w:rsidRPr="00BC68C4">
        <w:rPr>
          <w:rFonts w:ascii="Times New Roman" w:hAnsi="Times New Roman" w:cs="Times New Roman"/>
          <w:i/>
          <w:sz w:val="24"/>
          <w:szCs w:val="24"/>
        </w:rPr>
        <w:t xml:space="preserve">Firm Commitment: Why the Corporation is Failing Us and How to Restore Trust </w:t>
      </w:r>
      <w:proofErr w:type="gramStart"/>
      <w:r w:rsidRPr="00BC68C4">
        <w:rPr>
          <w:rFonts w:ascii="Times New Roman" w:hAnsi="Times New Roman" w:cs="Times New Roman"/>
          <w:i/>
          <w:sz w:val="24"/>
          <w:szCs w:val="24"/>
        </w:rPr>
        <w:t>In</w:t>
      </w:r>
      <w:proofErr w:type="gramEnd"/>
      <w:r w:rsidRPr="00BC68C4">
        <w:rPr>
          <w:rFonts w:ascii="Times New Roman" w:hAnsi="Times New Roman" w:cs="Times New Roman"/>
          <w:i/>
          <w:sz w:val="24"/>
          <w:szCs w:val="24"/>
        </w:rPr>
        <w:t xml:space="preserve"> It</w:t>
      </w:r>
      <w:r w:rsidRPr="00BC68C4">
        <w:rPr>
          <w:rFonts w:ascii="Times New Roman" w:hAnsi="Times New Roman" w:cs="Times New Roman"/>
          <w:sz w:val="24"/>
          <w:szCs w:val="24"/>
        </w:rPr>
        <w:t>. Oxford: Oxford University Press, 2013.</w:t>
      </w:r>
    </w:p>
    <w:p w14:paraId="721EDD75" w14:textId="77777777" w:rsidR="00481A0E" w:rsidRPr="00BC68C4" w:rsidRDefault="00481A0E" w:rsidP="006076AD">
      <w:pPr>
        <w:rPr>
          <w:rFonts w:ascii="Times New Roman" w:hAnsi="Times New Roman" w:cs="Times New Roman"/>
          <w:sz w:val="24"/>
          <w:szCs w:val="24"/>
        </w:rPr>
      </w:pPr>
    </w:p>
    <w:p w14:paraId="1B4C87F3" w14:textId="77777777" w:rsidR="009463C4" w:rsidRPr="00BC68C4" w:rsidRDefault="009463C4" w:rsidP="009463C4">
      <w:pPr>
        <w:rPr>
          <w:rFonts w:ascii="Times New Roman" w:hAnsi="Times New Roman" w:cs="Times New Roman"/>
          <w:sz w:val="24"/>
          <w:szCs w:val="24"/>
        </w:rPr>
      </w:pPr>
      <w:proofErr w:type="spellStart"/>
      <w:r w:rsidRPr="00BC68C4">
        <w:rPr>
          <w:rFonts w:ascii="Times New Roman" w:hAnsi="Times New Roman" w:cs="Times New Roman"/>
          <w:sz w:val="24"/>
          <w:szCs w:val="24"/>
        </w:rPr>
        <w:t>Michie</w:t>
      </w:r>
      <w:proofErr w:type="spellEnd"/>
      <w:r w:rsidRPr="00BC68C4">
        <w:rPr>
          <w:rFonts w:ascii="Times New Roman" w:hAnsi="Times New Roman" w:cs="Times New Roman"/>
          <w:sz w:val="24"/>
          <w:szCs w:val="24"/>
        </w:rPr>
        <w:t xml:space="preserve">, Ranald C. </w:t>
      </w:r>
      <w:r w:rsidRPr="00BC68C4">
        <w:rPr>
          <w:rFonts w:ascii="Times New Roman" w:hAnsi="Times New Roman" w:cs="Times New Roman"/>
          <w:i/>
          <w:sz w:val="24"/>
          <w:szCs w:val="24"/>
        </w:rPr>
        <w:t>The London Stock Exchange</w:t>
      </w:r>
      <w:r w:rsidRPr="00BC68C4">
        <w:rPr>
          <w:rFonts w:ascii="Times New Roman" w:hAnsi="Times New Roman" w:cs="Times New Roman"/>
          <w:sz w:val="24"/>
          <w:szCs w:val="24"/>
        </w:rPr>
        <w:t>. Oxford: Oxford University Press, 1999.</w:t>
      </w:r>
    </w:p>
    <w:p w14:paraId="322046E5" w14:textId="77777777" w:rsidR="009463C4" w:rsidRPr="00BC68C4" w:rsidRDefault="009463C4" w:rsidP="006076AD">
      <w:pPr>
        <w:rPr>
          <w:rFonts w:ascii="Times New Roman" w:hAnsi="Times New Roman" w:cs="Times New Roman"/>
          <w:sz w:val="24"/>
          <w:szCs w:val="24"/>
        </w:rPr>
      </w:pPr>
    </w:p>
    <w:p w14:paraId="647467E6" w14:textId="4570DF90" w:rsidR="002E07DF" w:rsidRPr="00BC68C4" w:rsidRDefault="002E07DF" w:rsidP="002E07DF">
      <w:pPr>
        <w:rPr>
          <w:rFonts w:ascii="Times New Roman" w:hAnsi="Times New Roman" w:cs="Times New Roman"/>
          <w:sz w:val="24"/>
          <w:szCs w:val="24"/>
          <w:lang w:eastAsia="zh-CN"/>
        </w:rPr>
      </w:pPr>
      <w:r w:rsidRPr="00BC68C4">
        <w:rPr>
          <w:rFonts w:ascii="Times New Roman" w:hAnsi="Times New Roman" w:cs="Times New Roman"/>
          <w:sz w:val="24"/>
          <w:szCs w:val="24"/>
          <w:lang w:eastAsia="zh-CN"/>
        </w:rPr>
        <w:t xml:space="preserve">Mitchell, Brian R., David Chambers and N. F. R. Crafts. “How Good Was the Profitability of British Railways, 1870-1912?” </w:t>
      </w:r>
      <w:r w:rsidRPr="00BC68C4">
        <w:rPr>
          <w:rFonts w:ascii="Times New Roman" w:hAnsi="Times New Roman" w:cs="Times New Roman"/>
          <w:i/>
          <w:sz w:val="24"/>
          <w:szCs w:val="24"/>
          <w:lang w:eastAsia="zh-CN"/>
        </w:rPr>
        <w:t>Economic History Review</w:t>
      </w:r>
      <w:r w:rsidRPr="00BC68C4">
        <w:rPr>
          <w:rFonts w:ascii="Times New Roman" w:hAnsi="Times New Roman" w:cs="Times New Roman"/>
          <w:sz w:val="24"/>
          <w:szCs w:val="24"/>
          <w:lang w:eastAsia="zh-CN"/>
        </w:rPr>
        <w:t xml:space="preserve"> 64</w:t>
      </w:r>
      <w:r w:rsidR="003C202E" w:rsidRPr="00BC68C4">
        <w:rPr>
          <w:rFonts w:ascii="Times New Roman" w:hAnsi="Times New Roman" w:cs="Times New Roman"/>
          <w:sz w:val="24"/>
          <w:szCs w:val="24"/>
          <w:lang w:eastAsia="zh-CN"/>
        </w:rPr>
        <w:t>,</w:t>
      </w:r>
      <w:r w:rsidR="00F67787" w:rsidRPr="00BC68C4">
        <w:rPr>
          <w:rFonts w:ascii="Times New Roman" w:hAnsi="Times New Roman" w:cs="Times New Roman"/>
          <w:sz w:val="24"/>
          <w:szCs w:val="24"/>
          <w:lang w:eastAsia="zh-CN"/>
        </w:rPr>
        <w:t xml:space="preserve"> no. 4</w:t>
      </w:r>
      <w:r w:rsidRPr="00BC68C4">
        <w:rPr>
          <w:rFonts w:ascii="Times New Roman" w:hAnsi="Times New Roman" w:cs="Times New Roman"/>
          <w:sz w:val="24"/>
          <w:szCs w:val="24"/>
          <w:lang w:eastAsia="zh-CN"/>
        </w:rPr>
        <w:t xml:space="preserve"> (2011): 798-831.</w:t>
      </w:r>
    </w:p>
    <w:p w14:paraId="711597FB" w14:textId="77777777" w:rsidR="002E07DF" w:rsidRPr="00BC68C4" w:rsidRDefault="002E07DF" w:rsidP="006076AD">
      <w:pPr>
        <w:rPr>
          <w:rFonts w:ascii="Times New Roman" w:hAnsi="Times New Roman" w:cs="Times New Roman"/>
          <w:sz w:val="24"/>
          <w:szCs w:val="24"/>
        </w:rPr>
      </w:pPr>
    </w:p>
    <w:p w14:paraId="2522D65B" w14:textId="77777777" w:rsidR="00243C40" w:rsidRPr="00BC68C4" w:rsidRDefault="00D94416" w:rsidP="00243C40">
      <w:pPr>
        <w:pStyle w:val="EndnoteText"/>
        <w:tabs>
          <w:tab w:val="left" w:pos="0"/>
        </w:tabs>
        <w:jc w:val="both"/>
        <w:rPr>
          <w:sz w:val="24"/>
          <w:szCs w:val="24"/>
          <w:lang w:val="en-GB"/>
        </w:rPr>
      </w:pPr>
      <w:r w:rsidRPr="00BC68C4">
        <w:rPr>
          <w:sz w:val="24"/>
          <w:szCs w:val="24"/>
        </w:rPr>
        <w:t xml:space="preserve">McConnell, John J. and Henri </w:t>
      </w:r>
      <w:proofErr w:type="spellStart"/>
      <w:r w:rsidRPr="00BC68C4">
        <w:rPr>
          <w:sz w:val="24"/>
          <w:szCs w:val="24"/>
        </w:rPr>
        <w:t>Servaes</w:t>
      </w:r>
      <w:proofErr w:type="spellEnd"/>
      <w:r w:rsidRPr="00BC68C4">
        <w:rPr>
          <w:sz w:val="24"/>
          <w:szCs w:val="24"/>
        </w:rPr>
        <w:t>.</w:t>
      </w:r>
      <w:r w:rsidR="00243C40" w:rsidRPr="00BC68C4">
        <w:rPr>
          <w:sz w:val="24"/>
          <w:szCs w:val="24"/>
        </w:rPr>
        <w:t xml:space="preserve"> “Additional Evidence on Equity Ownership and Corporate Value</w:t>
      </w:r>
      <w:r w:rsidRPr="00BC68C4">
        <w:rPr>
          <w:sz w:val="24"/>
          <w:szCs w:val="24"/>
        </w:rPr>
        <w:t>.”</w:t>
      </w:r>
      <w:r w:rsidR="00243C40" w:rsidRPr="00BC68C4">
        <w:rPr>
          <w:sz w:val="24"/>
          <w:szCs w:val="24"/>
        </w:rPr>
        <w:t xml:space="preserve"> </w:t>
      </w:r>
      <w:r w:rsidR="00243C40" w:rsidRPr="00BC68C4">
        <w:rPr>
          <w:i/>
          <w:sz w:val="24"/>
          <w:szCs w:val="24"/>
        </w:rPr>
        <w:t>Journal of Financial Economics</w:t>
      </w:r>
      <w:r w:rsidR="00243C40" w:rsidRPr="00BC68C4">
        <w:rPr>
          <w:sz w:val="24"/>
          <w:szCs w:val="24"/>
        </w:rPr>
        <w:t xml:space="preserve"> 27</w:t>
      </w:r>
      <w:r w:rsidRPr="00BC68C4">
        <w:rPr>
          <w:sz w:val="24"/>
          <w:szCs w:val="24"/>
        </w:rPr>
        <w:t>, no. 2 (1990)</w:t>
      </w:r>
      <w:r w:rsidR="00243C40" w:rsidRPr="00BC68C4">
        <w:rPr>
          <w:sz w:val="24"/>
          <w:szCs w:val="24"/>
        </w:rPr>
        <w:t xml:space="preserve">: 595-612. </w:t>
      </w:r>
    </w:p>
    <w:p w14:paraId="4486167C" w14:textId="77777777" w:rsidR="00D94416" w:rsidRPr="00BC68C4" w:rsidRDefault="00D94416" w:rsidP="00243C40">
      <w:pPr>
        <w:pStyle w:val="EndnoteText"/>
        <w:tabs>
          <w:tab w:val="left" w:pos="0"/>
        </w:tabs>
        <w:jc w:val="both"/>
        <w:rPr>
          <w:sz w:val="24"/>
          <w:szCs w:val="24"/>
        </w:rPr>
      </w:pPr>
    </w:p>
    <w:p w14:paraId="1B81CF8D" w14:textId="77777777" w:rsidR="005071B2" w:rsidRPr="00BC68C4" w:rsidRDefault="00B23FF0" w:rsidP="005071B2">
      <w:pPr>
        <w:autoSpaceDE w:val="0"/>
        <w:autoSpaceDN w:val="0"/>
        <w:adjustRightInd w:val="0"/>
        <w:rPr>
          <w:rFonts w:ascii="Times New Roman" w:hAnsi="Times New Roman" w:cs="Times New Roman"/>
          <w:sz w:val="24"/>
          <w:szCs w:val="24"/>
        </w:rPr>
      </w:pPr>
      <w:proofErr w:type="spellStart"/>
      <w:r w:rsidRPr="00BC68C4">
        <w:rPr>
          <w:rFonts w:ascii="Times New Roman" w:hAnsi="Times New Roman" w:cs="Times New Roman"/>
          <w:sz w:val="24"/>
          <w:szCs w:val="24"/>
        </w:rPr>
        <w:t>Morck</w:t>
      </w:r>
      <w:proofErr w:type="spellEnd"/>
      <w:r w:rsidRPr="00BC68C4">
        <w:rPr>
          <w:rFonts w:ascii="Times New Roman" w:hAnsi="Times New Roman" w:cs="Times New Roman"/>
          <w:sz w:val="24"/>
          <w:szCs w:val="24"/>
        </w:rPr>
        <w:t xml:space="preserve">, Randall, Andrei Shleifer and Robert W. </w:t>
      </w:r>
      <w:proofErr w:type="spellStart"/>
      <w:r w:rsidRPr="00BC68C4">
        <w:rPr>
          <w:rFonts w:ascii="Times New Roman" w:hAnsi="Times New Roman" w:cs="Times New Roman"/>
          <w:sz w:val="24"/>
          <w:szCs w:val="24"/>
        </w:rPr>
        <w:t>Vishny</w:t>
      </w:r>
      <w:proofErr w:type="spellEnd"/>
      <w:r w:rsidR="00D01A5C" w:rsidRPr="00BC68C4">
        <w:rPr>
          <w:rFonts w:ascii="Times New Roman" w:hAnsi="Times New Roman" w:cs="Times New Roman"/>
          <w:sz w:val="24"/>
          <w:szCs w:val="24"/>
        </w:rPr>
        <w:t xml:space="preserve">. </w:t>
      </w:r>
      <w:r w:rsidRPr="00BC68C4">
        <w:rPr>
          <w:rFonts w:ascii="Times New Roman" w:hAnsi="Times New Roman" w:cs="Times New Roman"/>
          <w:sz w:val="24"/>
          <w:szCs w:val="24"/>
        </w:rPr>
        <w:t>“Management Ownership and Market Valuation: An E</w:t>
      </w:r>
      <w:r w:rsidR="005071B2" w:rsidRPr="00BC68C4">
        <w:rPr>
          <w:rFonts w:ascii="Times New Roman" w:hAnsi="Times New Roman" w:cs="Times New Roman"/>
          <w:sz w:val="24"/>
          <w:szCs w:val="24"/>
        </w:rPr>
        <w:t xml:space="preserve">mpirical </w:t>
      </w:r>
      <w:r w:rsidRPr="00BC68C4">
        <w:rPr>
          <w:rFonts w:ascii="Times New Roman" w:hAnsi="Times New Roman" w:cs="Times New Roman"/>
          <w:sz w:val="24"/>
          <w:szCs w:val="24"/>
        </w:rPr>
        <w:t>A</w:t>
      </w:r>
      <w:r w:rsidR="005071B2" w:rsidRPr="00BC68C4">
        <w:rPr>
          <w:rFonts w:ascii="Times New Roman" w:hAnsi="Times New Roman" w:cs="Times New Roman"/>
          <w:sz w:val="24"/>
          <w:szCs w:val="24"/>
        </w:rPr>
        <w:t>nalysis.</w:t>
      </w:r>
      <w:r w:rsidRPr="00BC68C4">
        <w:rPr>
          <w:rFonts w:ascii="Times New Roman" w:hAnsi="Times New Roman" w:cs="Times New Roman"/>
          <w:sz w:val="24"/>
          <w:szCs w:val="24"/>
        </w:rPr>
        <w:t>”</w:t>
      </w:r>
      <w:r w:rsidR="005071B2" w:rsidRPr="00BC68C4">
        <w:rPr>
          <w:rFonts w:ascii="Times New Roman" w:hAnsi="Times New Roman" w:cs="Times New Roman"/>
          <w:sz w:val="24"/>
          <w:szCs w:val="24"/>
        </w:rPr>
        <w:t xml:space="preserve"> </w:t>
      </w:r>
      <w:r w:rsidR="005071B2" w:rsidRPr="00BC68C4">
        <w:rPr>
          <w:rFonts w:ascii="Times New Roman" w:hAnsi="Times New Roman" w:cs="Times New Roman"/>
          <w:i/>
          <w:sz w:val="24"/>
          <w:szCs w:val="24"/>
        </w:rPr>
        <w:t>Journal of Financial Economics</w:t>
      </w:r>
      <w:r w:rsidR="005071B2" w:rsidRPr="00BC68C4">
        <w:rPr>
          <w:rFonts w:ascii="Times New Roman" w:hAnsi="Times New Roman" w:cs="Times New Roman"/>
          <w:sz w:val="24"/>
          <w:szCs w:val="24"/>
        </w:rPr>
        <w:t xml:space="preserve"> 20, </w:t>
      </w:r>
      <w:r w:rsidRPr="00BC68C4">
        <w:rPr>
          <w:rFonts w:ascii="Times New Roman" w:hAnsi="Times New Roman" w:cs="Times New Roman"/>
          <w:sz w:val="24"/>
          <w:szCs w:val="24"/>
        </w:rPr>
        <w:t xml:space="preserve">no. 1 (1988): </w:t>
      </w:r>
      <w:r w:rsidR="005071B2" w:rsidRPr="00BC68C4">
        <w:rPr>
          <w:rFonts w:ascii="Times New Roman" w:hAnsi="Times New Roman" w:cs="Times New Roman"/>
          <w:sz w:val="24"/>
          <w:szCs w:val="24"/>
        </w:rPr>
        <w:t>293–315.</w:t>
      </w:r>
    </w:p>
    <w:p w14:paraId="5E041123" w14:textId="77777777" w:rsidR="00B8740F" w:rsidRPr="00BC68C4" w:rsidRDefault="00B8740F" w:rsidP="00243C40">
      <w:pPr>
        <w:pStyle w:val="EndnoteText"/>
        <w:tabs>
          <w:tab w:val="left" w:pos="0"/>
        </w:tabs>
        <w:jc w:val="both"/>
        <w:rPr>
          <w:sz w:val="24"/>
          <w:szCs w:val="24"/>
        </w:rPr>
      </w:pPr>
    </w:p>
    <w:p w14:paraId="4B3DF646" w14:textId="4507F204" w:rsidR="002A518F" w:rsidRPr="00BC68C4" w:rsidRDefault="002A518F" w:rsidP="002A518F">
      <w:pPr>
        <w:rPr>
          <w:rFonts w:ascii="Times New Roman" w:hAnsi="Times New Roman" w:cs="Times New Roman"/>
          <w:sz w:val="24"/>
          <w:szCs w:val="24"/>
        </w:rPr>
      </w:pPr>
      <w:proofErr w:type="spellStart"/>
      <w:r w:rsidRPr="00BC68C4">
        <w:rPr>
          <w:rFonts w:ascii="Times New Roman" w:hAnsi="Times New Roman" w:cs="Times New Roman"/>
          <w:sz w:val="24"/>
          <w:szCs w:val="24"/>
        </w:rPr>
        <w:t>Musacchio</w:t>
      </w:r>
      <w:proofErr w:type="spellEnd"/>
      <w:r w:rsidRPr="00BC68C4">
        <w:rPr>
          <w:rFonts w:ascii="Times New Roman" w:hAnsi="Times New Roman" w:cs="Times New Roman"/>
          <w:sz w:val="24"/>
          <w:szCs w:val="24"/>
        </w:rPr>
        <w:t xml:space="preserve">, Aldo. </w:t>
      </w:r>
      <w:r w:rsidRPr="00BC68C4">
        <w:rPr>
          <w:rFonts w:ascii="Times New Roman" w:hAnsi="Times New Roman" w:cs="Times New Roman"/>
          <w:i/>
          <w:sz w:val="24"/>
          <w:szCs w:val="24"/>
        </w:rPr>
        <w:t>Experiments in Financial Democracy: Corporate Governance and Financial Development in Brazil, 1882-1950</w:t>
      </w:r>
      <w:r w:rsidRPr="00BC68C4">
        <w:rPr>
          <w:rFonts w:ascii="Times New Roman" w:hAnsi="Times New Roman" w:cs="Times New Roman"/>
          <w:sz w:val="24"/>
          <w:szCs w:val="24"/>
        </w:rPr>
        <w:t>. Cambridge: Cambridge University Press, 2009.</w:t>
      </w:r>
    </w:p>
    <w:p w14:paraId="2D7A633D" w14:textId="77777777" w:rsidR="002A518F" w:rsidRPr="00BC68C4" w:rsidRDefault="002A518F" w:rsidP="00243C40">
      <w:pPr>
        <w:pStyle w:val="EndnoteText"/>
        <w:tabs>
          <w:tab w:val="left" w:pos="0"/>
        </w:tabs>
        <w:jc w:val="both"/>
        <w:rPr>
          <w:sz w:val="24"/>
          <w:szCs w:val="24"/>
        </w:rPr>
      </w:pPr>
    </w:p>
    <w:p w14:paraId="086AC487" w14:textId="6CEB1E3C" w:rsidR="002A518F" w:rsidRPr="00BC68C4" w:rsidRDefault="002A518F" w:rsidP="002A518F">
      <w:pPr>
        <w:pStyle w:val="BodyText"/>
        <w:tabs>
          <w:tab w:val="left" w:pos="0"/>
        </w:tabs>
        <w:jc w:val="both"/>
        <w:rPr>
          <w:szCs w:val="24"/>
        </w:rPr>
      </w:pPr>
      <w:proofErr w:type="spellStart"/>
      <w:r w:rsidRPr="00BC68C4">
        <w:rPr>
          <w:szCs w:val="24"/>
        </w:rPr>
        <w:t>Pargendler</w:t>
      </w:r>
      <w:proofErr w:type="spellEnd"/>
      <w:r w:rsidRPr="00BC68C4">
        <w:rPr>
          <w:szCs w:val="24"/>
        </w:rPr>
        <w:t xml:space="preserve">, Mariana and Henry </w:t>
      </w:r>
      <w:proofErr w:type="spellStart"/>
      <w:r w:rsidRPr="00BC68C4">
        <w:rPr>
          <w:szCs w:val="24"/>
        </w:rPr>
        <w:t>Hansmann</w:t>
      </w:r>
      <w:proofErr w:type="spellEnd"/>
      <w:r w:rsidRPr="00BC68C4">
        <w:rPr>
          <w:szCs w:val="24"/>
        </w:rPr>
        <w:t>. “</w:t>
      </w:r>
      <w:r w:rsidR="00B139AB" w:rsidRPr="00BC68C4">
        <w:rPr>
          <w:szCs w:val="24"/>
        </w:rPr>
        <w:t xml:space="preserve">A New View of </w:t>
      </w:r>
      <w:r w:rsidRPr="00BC68C4">
        <w:rPr>
          <w:szCs w:val="24"/>
        </w:rPr>
        <w:t xml:space="preserve">Shareholder Voting </w:t>
      </w:r>
      <w:r w:rsidR="00B139AB" w:rsidRPr="00BC68C4">
        <w:rPr>
          <w:szCs w:val="24"/>
        </w:rPr>
        <w:t>in the Nineteenth Century: Evidence from Brazil, England and France</w:t>
      </w:r>
      <w:r w:rsidRPr="00BC68C4">
        <w:rPr>
          <w:szCs w:val="24"/>
        </w:rPr>
        <w:t xml:space="preserve">.” </w:t>
      </w:r>
      <w:r w:rsidRPr="00BC68C4">
        <w:rPr>
          <w:i/>
          <w:szCs w:val="24"/>
        </w:rPr>
        <w:t>Business History</w:t>
      </w:r>
      <w:r w:rsidRPr="00BC68C4">
        <w:rPr>
          <w:szCs w:val="24"/>
        </w:rPr>
        <w:t xml:space="preserve"> 55, no.4 (2013): </w:t>
      </w:r>
      <w:r w:rsidR="00B139AB" w:rsidRPr="00BC68C4">
        <w:rPr>
          <w:szCs w:val="24"/>
        </w:rPr>
        <w:t>585-600.</w:t>
      </w:r>
    </w:p>
    <w:p w14:paraId="0413D8A4" w14:textId="77777777" w:rsidR="002A518F" w:rsidRPr="00BC68C4" w:rsidRDefault="002A518F" w:rsidP="00243C40">
      <w:pPr>
        <w:pStyle w:val="EndnoteText"/>
        <w:tabs>
          <w:tab w:val="left" w:pos="0"/>
        </w:tabs>
        <w:jc w:val="both"/>
        <w:rPr>
          <w:sz w:val="24"/>
          <w:szCs w:val="24"/>
        </w:rPr>
      </w:pPr>
    </w:p>
    <w:p w14:paraId="3126906A" w14:textId="680A05EA" w:rsidR="00F55E13" w:rsidRPr="00BC68C4" w:rsidRDefault="00F55E13" w:rsidP="00F55E13">
      <w:pPr>
        <w:rPr>
          <w:rFonts w:ascii="Times New Roman" w:hAnsi="Times New Roman" w:cs="Times New Roman"/>
          <w:sz w:val="24"/>
          <w:szCs w:val="24"/>
        </w:rPr>
      </w:pPr>
      <w:r w:rsidRPr="00BC68C4">
        <w:rPr>
          <w:rFonts w:ascii="Times New Roman" w:hAnsi="Times New Roman" w:cs="Times New Roman"/>
          <w:sz w:val="24"/>
          <w:szCs w:val="24"/>
        </w:rPr>
        <w:t>Peng, Winnie Qian and We</w:t>
      </w:r>
      <w:r w:rsidR="00CF3EB9" w:rsidRPr="00BC68C4">
        <w:rPr>
          <w:rFonts w:ascii="Times New Roman" w:hAnsi="Times New Roman" w:cs="Times New Roman"/>
          <w:sz w:val="24"/>
          <w:szCs w:val="24"/>
        </w:rPr>
        <w:t xml:space="preserve">i, K.C. John and Yang, </w:t>
      </w:r>
      <w:proofErr w:type="spellStart"/>
      <w:r w:rsidR="00CF3EB9" w:rsidRPr="00BC68C4">
        <w:rPr>
          <w:rFonts w:ascii="Times New Roman" w:hAnsi="Times New Roman" w:cs="Times New Roman"/>
          <w:sz w:val="24"/>
          <w:szCs w:val="24"/>
        </w:rPr>
        <w:t>Zhishu</w:t>
      </w:r>
      <w:proofErr w:type="spellEnd"/>
      <w:r w:rsidR="00CF3EB9" w:rsidRPr="00BC68C4">
        <w:rPr>
          <w:rFonts w:ascii="Times New Roman" w:hAnsi="Times New Roman" w:cs="Times New Roman"/>
          <w:sz w:val="24"/>
          <w:szCs w:val="24"/>
        </w:rPr>
        <w:t>. “</w:t>
      </w:r>
      <w:proofErr w:type="spellStart"/>
      <w:r w:rsidRPr="00BC68C4">
        <w:rPr>
          <w:rFonts w:ascii="Times New Roman" w:hAnsi="Times New Roman" w:cs="Times New Roman"/>
          <w:sz w:val="24"/>
          <w:szCs w:val="24"/>
        </w:rPr>
        <w:t>Tunne</w:t>
      </w:r>
      <w:r w:rsidR="00750FBA" w:rsidRPr="00BC68C4">
        <w:rPr>
          <w:rFonts w:ascii="Times New Roman" w:hAnsi="Times New Roman" w:cs="Times New Roman"/>
          <w:sz w:val="24"/>
          <w:szCs w:val="24"/>
        </w:rPr>
        <w:t>ling</w:t>
      </w:r>
      <w:proofErr w:type="spellEnd"/>
      <w:r w:rsidR="00750FBA" w:rsidRPr="00BC68C4">
        <w:rPr>
          <w:rFonts w:ascii="Times New Roman" w:hAnsi="Times New Roman" w:cs="Times New Roman"/>
          <w:sz w:val="24"/>
          <w:szCs w:val="24"/>
        </w:rPr>
        <w:t xml:space="preserve"> or P</w:t>
      </w:r>
      <w:r w:rsidRPr="00BC68C4">
        <w:rPr>
          <w:rFonts w:ascii="Times New Roman" w:hAnsi="Times New Roman" w:cs="Times New Roman"/>
          <w:sz w:val="24"/>
          <w:szCs w:val="24"/>
        </w:rPr>
        <w:t xml:space="preserve">ropping: Evidence from </w:t>
      </w:r>
      <w:r w:rsidR="00750FBA" w:rsidRPr="00BC68C4">
        <w:rPr>
          <w:rFonts w:ascii="Times New Roman" w:hAnsi="Times New Roman" w:cs="Times New Roman"/>
          <w:sz w:val="24"/>
          <w:szCs w:val="24"/>
        </w:rPr>
        <w:t>Connected Transactions</w:t>
      </w:r>
      <w:r w:rsidR="00CF3EB9" w:rsidRPr="00BC68C4">
        <w:rPr>
          <w:rFonts w:ascii="Times New Roman" w:hAnsi="Times New Roman" w:cs="Times New Roman"/>
          <w:sz w:val="24"/>
          <w:szCs w:val="24"/>
        </w:rPr>
        <w:t xml:space="preserve"> in China,”</w:t>
      </w:r>
      <w:r w:rsidRPr="00BC68C4">
        <w:rPr>
          <w:rFonts w:ascii="Times New Roman" w:hAnsi="Times New Roman" w:cs="Times New Roman"/>
          <w:sz w:val="24"/>
          <w:szCs w:val="24"/>
        </w:rPr>
        <w:t xml:space="preserve"> </w:t>
      </w:r>
      <w:r w:rsidRPr="00BC68C4">
        <w:rPr>
          <w:rFonts w:ascii="Times New Roman" w:hAnsi="Times New Roman" w:cs="Times New Roman"/>
          <w:i/>
          <w:sz w:val="24"/>
          <w:szCs w:val="24"/>
        </w:rPr>
        <w:t>Journal of Corporate Finance</w:t>
      </w:r>
      <w:r w:rsidRPr="00BC68C4">
        <w:rPr>
          <w:rFonts w:ascii="Times New Roman" w:hAnsi="Times New Roman" w:cs="Times New Roman"/>
          <w:sz w:val="24"/>
          <w:szCs w:val="24"/>
        </w:rPr>
        <w:t xml:space="preserve"> 17, no. 2 (2011): 306-325.</w:t>
      </w:r>
    </w:p>
    <w:p w14:paraId="7DDA0CB6" w14:textId="77777777" w:rsidR="00F55E13" w:rsidRPr="00BC68C4" w:rsidRDefault="00F55E13" w:rsidP="00DA79BC">
      <w:pPr>
        <w:shd w:val="clear" w:color="auto" w:fill="FFFFFF"/>
        <w:spacing w:line="220" w:lineRule="atLeast"/>
        <w:rPr>
          <w:rFonts w:ascii="Times New Roman" w:hAnsi="Times New Roman" w:cs="Times New Roman"/>
          <w:sz w:val="24"/>
          <w:szCs w:val="24"/>
        </w:rPr>
      </w:pPr>
    </w:p>
    <w:p w14:paraId="2E5DB3A5" w14:textId="77777777" w:rsidR="00DA79BC" w:rsidRPr="00BC68C4" w:rsidRDefault="00DA79BC" w:rsidP="00DA79BC">
      <w:pPr>
        <w:shd w:val="clear" w:color="auto" w:fill="FFFFFF"/>
        <w:spacing w:line="220" w:lineRule="atLeast"/>
        <w:rPr>
          <w:rFonts w:ascii="Times New Roman" w:hAnsi="Times New Roman" w:cs="Times New Roman"/>
          <w:sz w:val="24"/>
          <w:szCs w:val="24"/>
        </w:rPr>
      </w:pPr>
      <w:proofErr w:type="spellStart"/>
      <w:r w:rsidRPr="00BC68C4">
        <w:rPr>
          <w:rFonts w:ascii="Times New Roman" w:hAnsi="Times New Roman" w:cs="Times New Roman"/>
          <w:sz w:val="24"/>
          <w:szCs w:val="24"/>
        </w:rPr>
        <w:t>Raynes</w:t>
      </w:r>
      <w:proofErr w:type="spellEnd"/>
      <w:r w:rsidRPr="00BC68C4">
        <w:rPr>
          <w:rFonts w:ascii="Times New Roman" w:hAnsi="Times New Roman" w:cs="Times New Roman"/>
          <w:sz w:val="24"/>
          <w:szCs w:val="24"/>
        </w:rPr>
        <w:t xml:space="preserve">, H. E. “The Place of Ordinary Stocks and Shares in the Investment of Life Assurance Funds.” </w:t>
      </w:r>
      <w:r w:rsidRPr="00BC68C4">
        <w:rPr>
          <w:rFonts w:ascii="Times New Roman" w:hAnsi="Times New Roman" w:cs="Times New Roman"/>
          <w:i/>
          <w:sz w:val="24"/>
          <w:szCs w:val="24"/>
        </w:rPr>
        <w:t>Journal of the Institute of Actuaries</w:t>
      </w:r>
      <w:r w:rsidRPr="00BC68C4">
        <w:rPr>
          <w:rFonts w:ascii="Times New Roman" w:hAnsi="Times New Roman" w:cs="Times New Roman"/>
          <w:sz w:val="24"/>
          <w:szCs w:val="24"/>
        </w:rPr>
        <w:t xml:space="preserve"> 64, (1928): 21-50.</w:t>
      </w:r>
    </w:p>
    <w:p w14:paraId="5BC19D54" w14:textId="77777777" w:rsidR="00DA79BC" w:rsidRPr="00BC68C4" w:rsidRDefault="00DA79BC" w:rsidP="00243C40">
      <w:pPr>
        <w:pStyle w:val="EndnoteText"/>
        <w:tabs>
          <w:tab w:val="left" w:pos="0"/>
        </w:tabs>
        <w:jc w:val="both"/>
        <w:rPr>
          <w:sz w:val="24"/>
          <w:szCs w:val="24"/>
        </w:rPr>
      </w:pPr>
    </w:p>
    <w:p w14:paraId="2DBD77EF" w14:textId="77777777" w:rsidR="00192FF2" w:rsidRPr="00BC68C4" w:rsidRDefault="00192FF2" w:rsidP="00243C40">
      <w:pPr>
        <w:pStyle w:val="EndnoteText"/>
        <w:tabs>
          <w:tab w:val="left" w:pos="0"/>
        </w:tabs>
        <w:jc w:val="both"/>
        <w:rPr>
          <w:sz w:val="24"/>
          <w:szCs w:val="24"/>
        </w:rPr>
      </w:pPr>
      <w:r w:rsidRPr="00BC68C4">
        <w:rPr>
          <w:i/>
          <w:sz w:val="24"/>
          <w:szCs w:val="24"/>
        </w:rPr>
        <w:t>Register of Defunct Companies</w:t>
      </w:r>
      <w:r w:rsidRPr="00BC68C4">
        <w:rPr>
          <w:sz w:val="24"/>
          <w:szCs w:val="24"/>
        </w:rPr>
        <w:t>, 1979.</w:t>
      </w:r>
    </w:p>
    <w:p w14:paraId="58AECC30" w14:textId="77777777" w:rsidR="00192FF2" w:rsidRPr="00BC68C4" w:rsidRDefault="00192FF2" w:rsidP="00243C40">
      <w:pPr>
        <w:pStyle w:val="EndnoteText"/>
        <w:tabs>
          <w:tab w:val="left" w:pos="0"/>
        </w:tabs>
        <w:jc w:val="both"/>
        <w:rPr>
          <w:sz w:val="24"/>
          <w:szCs w:val="24"/>
        </w:rPr>
      </w:pPr>
    </w:p>
    <w:p w14:paraId="08D6D35B" w14:textId="03038CDC" w:rsidR="009463C4" w:rsidRPr="00BC68C4" w:rsidRDefault="009463C4" w:rsidP="009463C4">
      <w:pPr>
        <w:shd w:val="clear" w:color="auto" w:fill="FFFFFF"/>
        <w:spacing w:line="220" w:lineRule="atLeast"/>
        <w:rPr>
          <w:rFonts w:ascii="Times New Roman" w:hAnsi="Times New Roman" w:cs="Times New Roman"/>
          <w:sz w:val="24"/>
          <w:szCs w:val="24"/>
        </w:rPr>
      </w:pPr>
      <w:proofErr w:type="spellStart"/>
      <w:r w:rsidRPr="00BC68C4">
        <w:rPr>
          <w:rFonts w:ascii="Times New Roman" w:hAnsi="Times New Roman" w:cs="Times New Roman"/>
          <w:sz w:val="24"/>
          <w:szCs w:val="24"/>
        </w:rPr>
        <w:t>Rutterford</w:t>
      </w:r>
      <w:proofErr w:type="spellEnd"/>
      <w:r w:rsidRPr="00BC68C4">
        <w:rPr>
          <w:rFonts w:ascii="Times New Roman" w:hAnsi="Times New Roman" w:cs="Times New Roman"/>
          <w:sz w:val="24"/>
          <w:szCs w:val="24"/>
        </w:rPr>
        <w:t xml:space="preserve">, Janette, David R. Green, Josephine </w:t>
      </w:r>
      <w:proofErr w:type="spellStart"/>
      <w:r w:rsidRPr="00BC68C4">
        <w:rPr>
          <w:rFonts w:ascii="Times New Roman" w:hAnsi="Times New Roman" w:cs="Times New Roman"/>
          <w:sz w:val="24"/>
          <w:szCs w:val="24"/>
        </w:rPr>
        <w:t>Maltby</w:t>
      </w:r>
      <w:proofErr w:type="spellEnd"/>
      <w:r w:rsidRPr="00BC68C4">
        <w:rPr>
          <w:rFonts w:ascii="Times New Roman" w:hAnsi="Times New Roman" w:cs="Times New Roman"/>
          <w:sz w:val="24"/>
          <w:szCs w:val="24"/>
        </w:rPr>
        <w:t xml:space="preserve">, and Alastair Owens. “Who Comprised the Nation of Shareholders? Gender and Investment in Great Britain, c.1870-1935.” </w:t>
      </w:r>
      <w:r w:rsidRPr="00BC68C4">
        <w:rPr>
          <w:rFonts w:ascii="Times New Roman" w:hAnsi="Times New Roman" w:cs="Times New Roman"/>
          <w:i/>
          <w:sz w:val="24"/>
          <w:szCs w:val="24"/>
        </w:rPr>
        <w:t>Economic History Review</w:t>
      </w:r>
      <w:r w:rsidRPr="00BC68C4">
        <w:rPr>
          <w:rFonts w:ascii="Times New Roman" w:hAnsi="Times New Roman" w:cs="Times New Roman"/>
          <w:sz w:val="24"/>
          <w:szCs w:val="24"/>
        </w:rPr>
        <w:t xml:space="preserve"> 64 no. 1 (2011): 157-87.</w:t>
      </w:r>
    </w:p>
    <w:p w14:paraId="25BAC2FB" w14:textId="77777777" w:rsidR="009463C4" w:rsidRPr="00BC68C4" w:rsidRDefault="009463C4" w:rsidP="00243C40">
      <w:pPr>
        <w:pStyle w:val="EndnoteText"/>
        <w:tabs>
          <w:tab w:val="left" w:pos="0"/>
        </w:tabs>
        <w:jc w:val="both"/>
        <w:rPr>
          <w:sz w:val="24"/>
          <w:szCs w:val="24"/>
        </w:rPr>
      </w:pPr>
    </w:p>
    <w:p w14:paraId="44DC2867" w14:textId="77777777" w:rsidR="00E35783" w:rsidRPr="00BC68C4" w:rsidRDefault="00E35783" w:rsidP="00243C40">
      <w:pPr>
        <w:pStyle w:val="EndnoteText"/>
        <w:tabs>
          <w:tab w:val="left" w:pos="0"/>
        </w:tabs>
        <w:jc w:val="both"/>
        <w:rPr>
          <w:sz w:val="24"/>
          <w:szCs w:val="24"/>
        </w:rPr>
      </w:pPr>
      <w:r w:rsidRPr="00BC68C4">
        <w:rPr>
          <w:sz w:val="24"/>
          <w:szCs w:val="24"/>
        </w:rPr>
        <w:t xml:space="preserve">Shleifer, Andrei and Robert W. </w:t>
      </w:r>
      <w:proofErr w:type="spellStart"/>
      <w:r w:rsidRPr="00BC68C4">
        <w:rPr>
          <w:sz w:val="24"/>
          <w:szCs w:val="24"/>
        </w:rPr>
        <w:t>Vishny</w:t>
      </w:r>
      <w:proofErr w:type="spellEnd"/>
      <w:r w:rsidRPr="00BC68C4">
        <w:rPr>
          <w:sz w:val="24"/>
          <w:szCs w:val="24"/>
        </w:rPr>
        <w:t xml:space="preserve">. “Large Shareholders and Corporate Control.” </w:t>
      </w:r>
      <w:r w:rsidRPr="00BC68C4">
        <w:rPr>
          <w:i/>
          <w:sz w:val="24"/>
          <w:szCs w:val="24"/>
        </w:rPr>
        <w:t>Journal of Political Economy</w:t>
      </w:r>
      <w:r w:rsidRPr="00BC68C4">
        <w:rPr>
          <w:sz w:val="24"/>
          <w:szCs w:val="24"/>
        </w:rPr>
        <w:t xml:space="preserve"> 94, no. 3 (1986): 461-88.</w:t>
      </w:r>
    </w:p>
    <w:p w14:paraId="081596BF" w14:textId="77777777" w:rsidR="00F55E13" w:rsidRPr="00BC68C4" w:rsidRDefault="00F55E13" w:rsidP="00243C40">
      <w:pPr>
        <w:pStyle w:val="EndnoteText"/>
        <w:tabs>
          <w:tab w:val="left" w:pos="0"/>
        </w:tabs>
        <w:jc w:val="both"/>
        <w:rPr>
          <w:sz w:val="24"/>
          <w:szCs w:val="24"/>
        </w:rPr>
      </w:pPr>
    </w:p>
    <w:p w14:paraId="3F44C074" w14:textId="15C29F53" w:rsidR="00F55E13" w:rsidRPr="00BC68C4" w:rsidRDefault="00F55E13" w:rsidP="00810620">
      <w:pPr>
        <w:rPr>
          <w:sz w:val="24"/>
          <w:szCs w:val="24"/>
        </w:rPr>
      </w:pPr>
      <w:r w:rsidRPr="00BC68C4">
        <w:rPr>
          <w:rFonts w:ascii="Times New Roman" w:hAnsi="Times New Roman" w:cs="Times New Roman"/>
          <w:sz w:val="24"/>
          <w:szCs w:val="24"/>
        </w:rPr>
        <w:t>Shleifer</w:t>
      </w:r>
      <w:r w:rsidR="00CF3EB9" w:rsidRPr="00BC68C4">
        <w:rPr>
          <w:rFonts w:ascii="Times New Roman" w:hAnsi="Times New Roman" w:cs="Times New Roman"/>
          <w:sz w:val="24"/>
          <w:szCs w:val="24"/>
        </w:rPr>
        <w:t xml:space="preserve">, Andrei and Robert W. </w:t>
      </w:r>
      <w:proofErr w:type="spellStart"/>
      <w:r w:rsidR="00CF3EB9" w:rsidRPr="00BC68C4">
        <w:rPr>
          <w:rFonts w:ascii="Times New Roman" w:hAnsi="Times New Roman" w:cs="Times New Roman"/>
          <w:sz w:val="24"/>
          <w:szCs w:val="24"/>
        </w:rPr>
        <w:t>Vishny</w:t>
      </w:r>
      <w:proofErr w:type="spellEnd"/>
      <w:r w:rsidR="00CF3EB9" w:rsidRPr="00BC68C4">
        <w:rPr>
          <w:rFonts w:ascii="Times New Roman" w:hAnsi="Times New Roman" w:cs="Times New Roman"/>
          <w:sz w:val="24"/>
          <w:szCs w:val="24"/>
        </w:rPr>
        <w:t>. “</w:t>
      </w:r>
      <w:r w:rsidRPr="00BC68C4">
        <w:rPr>
          <w:rFonts w:ascii="Times New Roman" w:hAnsi="Times New Roman" w:cs="Times New Roman"/>
          <w:sz w:val="24"/>
          <w:szCs w:val="24"/>
        </w:rPr>
        <w:t>A Survey of Corpor</w:t>
      </w:r>
      <w:r w:rsidR="00CF3EB9" w:rsidRPr="00BC68C4">
        <w:rPr>
          <w:rFonts w:ascii="Times New Roman" w:hAnsi="Times New Roman" w:cs="Times New Roman"/>
          <w:sz w:val="24"/>
          <w:szCs w:val="24"/>
        </w:rPr>
        <w:t>ate Governance,”</w:t>
      </w:r>
      <w:r w:rsidRPr="00BC68C4">
        <w:rPr>
          <w:rFonts w:ascii="Times New Roman" w:hAnsi="Times New Roman" w:cs="Times New Roman"/>
          <w:sz w:val="24"/>
          <w:szCs w:val="24"/>
        </w:rPr>
        <w:t xml:space="preserve"> </w:t>
      </w:r>
      <w:r w:rsidRPr="00BC68C4">
        <w:rPr>
          <w:rFonts w:ascii="Times New Roman" w:hAnsi="Times New Roman" w:cs="Times New Roman"/>
          <w:i/>
          <w:sz w:val="24"/>
          <w:szCs w:val="24"/>
        </w:rPr>
        <w:t>Journal of Finance</w:t>
      </w:r>
      <w:r w:rsidRPr="00BC68C4">
        <w:rPr>
          <w:rFonts w:ascii="Times New Roman" w:hAnsi="Times New Roman" w:cs="Times New Roman"/>
          <w:sz w:val="24"/>
          <w:szCs w:val="24"/>
        </w:rPr>
        <w:t xml:space="preserve"> 52, no. 2 (1997): 737-83.</w:t>
      </w:r>
    </w:p>
    <w:p w14:paraId="4D06BE86" w14:textId="77777777" w:rsidR="00E35783" w:rsidRPr="00BC68C4" w:rsidRDefault="00E35783" w:rsidP="00243C40">
      <w:pPr>
        <w:pStyle w:val="EndnoteText"/>
        <w:tabs>
          <w:tab w:val="left" w:pos="0"/>
        </w:tabs>
        <w:jc w:val="both"/>
        <w:rPr>
          <w:sz w:val="24"/>
          <w:szCs w:val="24"/>
        </w:rPr>
      </w:pPr>
    </w:p>
    <w:p w14:paraId="03AA8F34" w14:textId="77777777" w:rsidR="00B8740F" w:rsidRPr="00BC68C4" w:rsidRDefault="00B8740F" w:rsidP="00243C40">
      <w:pPr>
        <w:pStyle w:val="EndnoteText"/>
        <w:tabs>
          <w:tab w:val="left" w:pos="0"/>
        </w:tabs>
        <w:jc w:val="both"/>
        <w:rPr>
          <w:sz w:val="24"/>
          <w:szCs w:val="24"/>
        </w:rPr>
      </w:pPr>
      <w:r w:rsidRPr="00BC68C4">
        <w:rPr>
          <w:i/>
          <w:sz w:val="24"/>
          <w:szCs w:val="24"/>
        </w:rPr>
        <w:t>Stock Exchange Official Intelligence</w:t>
      </w:r>
      <w:r w:rsidRPr="00BC68C4">
        <w:rPr>
          <w:sz w:val="24"/>
          <w:szCs w:val="24"/>
        </w:rPr>
        <w:t xml:space="preserve"> (1885-1902).</w:t>
      </w:r>
    </w:p>
    <w:p w14:paraId="41446155" w14:textId="77777777" w:rsidR="00B8740F" w:rsidRPr="00BC68C4" w:rsidRDefault="00B8740F" w:rsidP="00243C40">
      <w:pPr>
        <w:pStyle w:val="EndnoteText"/>
        <w:tabs>
          <w:tab w:val="left" w:pos="0"/>
        </w:tabs>
        <w:jc w:val="both"/>
        <w:rPr>
          <w:sz w:val="24"/>
          <w:szCs w:val="24"/>
        </w:rPr>
      </w:pPr>
    </w:p>
    <w:p w14:paraId="7756D07E" w14:textId="77777777" w:rsidR="00B8740F" w:rsidRPr="00BC68C4" w:rsidRDefault="00B8740F" w:rsidP="00B8740F">
      <w:pPr>
        <w:pStyle w:val="EndnoteText"/>
        <w:tabs>
          <w:tab w:val="left" w:pos="0"/>
        </w:tabs>
        <w:jc w:val="both"/>
        <w:rPr>
          <w:sz w:val="24"/>
          <w:szCs w:val="24"/>
        </w:rPr>
      </w:pPr>
      <w:r w:rsidRPr="00BC68C4">
        <w:rPr>
          <w:i/>
          <w:sz w:val="24"/>
          <w:szCs w:val="24"/>
        </w:rPr>
        <w:t>Stock Exchange Yearbook</w:t>
      </w:r>
      <w:r w:rsidRPr="00BC68C4">
        <w:rPr>
          <w:sz w:val="24"/>
          <w:szCs w:val="24"/>
        </w:rPr>
        <w:t xml:space="preserve"> (1880-1902).</w:t>
      </w:r>
    </w:p>
    <w:p w14:paraId="58897113" w14:textId="77777777" w:rsidR="00B8740F" w:rsidRPr="00BC68C4" w:rsidRDefault="00B8740F" w:rsidP="00243C40">
      <w:pPr>
        <w:pStyle w:val="EndnoteText"/>
        <w:tabs>
          <w:tab w:val="left" w:pos="0"/>
        </w:tabs>
        <w:jc w:val="both"/>
        <w:rPr>
          <w:sz w:val="24"/>
          <w:szCs w:val="24"/>
        </w:rPr>
      </w:pPr>
    </w:p>
    <w:p w14:paraId="2BC3D71F" w14:textId="77777777" w:rsidR="00E50E8E" w:rsidRPr="00BC68C4" w:rsidRDefault="00E50E8E" w:rsidP="00243C40">
      <w:pPr>
        <w:pStyle w:val="EndnoteText"/>
        <w:tabs>
          <w:tab w:val="left" w:pos="0"/>
        </w:tabs>
        <w:jc w:val="both"/>
        <w:rPr>
          <w:sz w:val="24"/>
          <w:szCs w:val="24"/>
        </w:rPr>
      </w:pPr>
      <w:r w:rsidRPr="00BC68C4">
        <w:rPr>
          <w:sz w:val="24"/>
          <w:szCs w:val="24"/>
        </w:rPr>
        <w:t xml:space="preserve">Supple, Barry. </w:t>
      </w:r>
      <w:r w:rsidRPr="00BC68C4">
        <w:rPr>
          <w:i/>
          <w:sz w:val="24"/>
          <w:szCs w:val="24"/>
        </w:rPr>
        <w:t>The Royal Exchange Assurance: A History of British Insurance 1720-1970</w:t>
      </w:r>
      <w:r w:rsidRPr="00BC68C4">
        <w:rPr>
          <w:sz w:val="24"/>
          <w:szCs w:val="24"/>
        </w:rPr>
        <w:t>.  Cambridge: Cambridge University Press, 1970.</w:t>
      </w:r>
    </w:p>
    <w:p w14:paraId="13208559" w14:textId="77777777" w:rsidR="00E50E8E" w:rsidRPr="00BC68C4" w:rsidRDefault="00E50E8E" w:rsidP="00243C40">
      <w:pPr>
        <w:pStyle w:val="EndnoteText"/>
        <w:tabs>
          <w:tab w:val="left" w:pos="0"/>
        </w:tabs>
        <w:jc w:val="both"/>
        <w:rPr>
          <w:sz w:val="24"/>
          <w:szCs w:val="24"/>
        </w:rPr>
      </w:pPr>
    </w:p>
    <w:p w14:paraId="61A86CF0" w14:textId="77777777" w:rsidR="00E50E8E" w:rsidRPr="00BC68C4" w:rsidRDefault="00E50E8E" w:rsidP="00E50E8E">
      <w:pPr>
        <w:pStyle w:val="BodyText2"/>
        <w:spacing w:after="0" w:line="240" w:lineRule="auto"/>
        <w:rPr>
          <w:rFonts w:ascii="Times New Roman" w:hAnsi="Times New Roman" w:cs="Times New Roman"/>
          <w:sz w:val="24"/>
          <w:szCs w:val="24"/>
        </w:rPr>
      </w:pPr>
      <w:r w:rsidRPr="00BC68C4">
        <w:rPr>
          <w:rFonts w:ascii="Times New Roman" w:hAnsi="Times New Roman" w:cs="Times New Roman"/>
          <w:sz w:val="24"/>
          <w:szCs w:val="24"/>
        </w:rPr>
        <w:t xml:space="preserve">Sykes, Joseph. </w:t>
      </w:r>
      <w:r w:rsidRPr="00BC68C4">
        <w:rPr>
          <w:rFonts w:ascii="Times New Roman" w:hAnsi="Times New Roman" w:cs="Times New Roman"/>
          <w:i/>
          <w:iCs/>
          <w:sz w:val="24"/>
          <w:szCs w:val="24"/>
        </w:rPr>
        <w:t>The Amalgamation Movement in English Banking, 1825-1924</w:t>
      </w:r>
      <w:r w:rsidRPr="00BC68C4">
        <w:rPr>
          <w:rFonts w:ascii="Times New Roman" w:hAnsi="Times New Roman" w:cs="Times New Roman"/>
          <w:sz w:val="24"/>
          <w:szCs w:val="24"/>
        </w:rPr>
        <w:t xml:space="preserve">. London: P.S. </w:t>
      </w:r>
      <w:proofErr w:type="gramStart"/>
      <w:r w:rsidRPr="00BC68C4">
        <w:rPr>
          <w:rFonts w:ascii="Times New Roman" w:hAnsi="Times New Roman" w:cs="Times New Roman"/>
          <w:sz w:val="24"/>
          <w:szCs w:val="24"/>
        </w:rPr>
        <w:t>King &amp;</w:t>
      </w:r>
      <w:proofErr w:type="gramEnd"/>
      <w:r w:rsidRPr="00BC68C4">
        <w:rPr>
          <w:rFonts w:ascii="Times New Roman" w:hAnsi="Times New Roman" w:cs="Times New Roman"/>
          <w:sz w:val="24"/>
          <w:szCs w:val="24"/>
        </w:rPr>
        <w:t xml:space="preserve"> Son, 1926.</w:t>
      </w:r>
    </w:p>
    <w:p w14:paraId="15682994" w14:textId="77777777" w:rsidR="00E50E8E" w:rsidRPr="00BC68C4" w:rsidRDefault="00E50E8E" w:rsidP="00243C40">
      <w:pPr>
        <w:pStyle w:val="EndnoteText"/>
        <w:tabs>
          <w:tab w:val="left" w:pos="0"/>
        </w:tabs>
        <w:jc w:val="both"/>
        <w:rPr>
          <w:sz w:val="24"/>
          <w:szCs w:val="24"/>
        </w:rPr>
      </w:pPr>
    </w:p>
    <w:p w14:paraId="720752F3" w14:textId="5AC5054D" w:rsidR="00B139AB" w:rsidRPr="00BC68C4" w:rsidRDefault="00B139AB" w:rsidP="00B139AB">
      <w:pPr>
        <w:rPr>
          <w:rFonts w:ascii="Times New Roman" w:hAnsi="Times New Roman" w:cs="Times New Roman"/>
          <w:sz w:val="24"/>
          <w:szCs w:val="24"/>
        </w:rPr>
      </w:pPr>
      <w:r w:rsidRPr="00BC68C4">
        <w:rPr>
          <w:rFonts w:ascii="Times New Roman" w:hAnsi="Times New Roman" w:cs="Times New Roman"/>
          <w:sz w:val="24"/>
          <w:szCs w:val="24"/>
        </w:rPr>
        <w:t xml:space="preserve">Taylor, James. </w:t>
      </w:r>
      <w:r w:rsidRPr="00BC68C4">
        <w:rPr>
          <w:rFonts w:ascii="Times New Roman" w:hAnsi="Times New Roman" w:cs="Times New Roman"/>
          <w:i/>
          <w:sz w:val="24"/>
          <w:szCs w:val="24"/>
        </w:rPr>
        <w:t>Creating Capitalism: Joint-Stock Enterprise in British Politics and Culture 1800-1870</w:t>
      </w:r>
      <w:r w:rsidRPr="00BC68C4">
        <w:rPr>
          <w:rFonts w:ascii="Times New Roman" w:hAnsi="Times New Roman" w:cs="Times New Roman"/>
          <w:sz w:val="24"/>
          <w:szCs w:val="24"/>
        </w:rPr>
        <w:t>.  London: Royal Historical Society, 2006.</w:t>
      </w:r>
    </w:p>
    <w:p w14:paraId="2AD0E8E4" w14:textId="77777777" w:rsidR="00BF3880" w:rsidRPr="00BC68C4" w:rsidRDefault="00BF3880" w:rsidP="00B139AB">
      <w:pPr>
        <w:rPr>
          <w:rFonts w:ascii="Times New Roman" w:hAnsi="Times New Roman" w:cs="Times New Roman"/>
          <w:sz w:val="24"/>
          <w:szCs w:val="24"/>
        </w:rPr>
      </w:pPr>
    </w:p>
    <w:p w14:paraId="2B833F42" w14:textId="2EF90BFC" w:rsidR="00BF3880" w:rsidRPr="00BC68C4" w:rsidRDefault="00BF3880" w:rsidP="00B139AB">
      <w:pPr>
        <w:rPr>
          <w:rFonts w:ascii="Times New Roman" w:hAnsi="Times New Roman" w:cs="Times New Roman"/>
          <w:sz w:val="24"/>
          <w:szCs w:val="24"/>
        </w:rPr>
      </w:pPr>
      <w:r w:rsidRPr="00BC68C4">
        <w:rPr>
          <w:rFonts w:ascii="Times New Roman" w:hAnsi="Times New Roman" w:cs="Times New Roman"/>
          <w:sz w:val="24"/>
          <w:szCs w:val="24"/>
          <w:shd w:val="clear" w:color="auto" w:fill="FFFFFF"/>
        </w:rPr>
        <w:t>Taylor, James.</w:t>
      </w:r>
      <w:r w:rsidRPr="00BC68C4">
        <w:rPr>
          <w:rStyle w:val="apple-converted-space"/>
          <w:rFonts w:ascii="Times New Roman" w:hAnsi="Times New Roman" w:cs="Times New Roman"/>
          <w:sz w:val="24"/>
          <w:szCs w:val="24"/>
          <w:shd w:val="clear" w:color="auto" w:fill="FFFFFF"/>
        </w:rPr>
        <w:t> </w:t>
      </w:r>
      <w:r w:rsidRPr="00BC68C4">
        <w:rPr>
          <w:rFonts w:ascii="Times New Roman" w:hAnsi="Times New Roman" w:cs="Times New Roman"/>
          <w:i/>
          <w:iCs/>
          <w:sz w:val="24"/>
          <w:szCs w:val="24"/>
          <w:shd w:val="clear" w:color="auto" w:fill="FFFFFF"/>
        </w:rPr>
        <w:t>Boardroom Scandal: the Criminalization of Company Fraud in Nineteenth-Century Britain</w:t>
      </w:r>
      <w:r w:rsidRPr="00BC68C4">
        <w:rPr>
          <w:rFonts w:ascii="Times New Roman" w:hAnsi="Times New Roman" w:cs="Times New Roman"/>
          <w:sz w:val="24"/>
          <w:szCs w:val="24"/>
          <w:shd w:val="clear" w:color="auto" w:fill="FFFFFF"/>
        </w:rPr>
        <w:t>. Oxford University Press, 2013.</w:t>
      </w:r>
    </w:p>
    <w:p w14:paraId="673AD77C" w14:textId="77777777" w:rsidR="00B139AB" w:rsidRPr="00BC68C4" w:rsidRDefault="00B139AB" w:rsidP="00B139AB">
      <w:pPr>
        <w:rPr>
          <w:rFonts w:ascii="Times New Roman" w:hAnsi="Times New Roman" w:cs="Times New Roman"/>
          <w:sz w:val="24"/>
          <w:szCs w:val="24"/>
        </w:rPr>
      </w:pPr>
    </w:p>
    <w:p w14:paraId="5F11A8F9" w14:textId="0D1835D4" w:rsidR="009463C4" w:rsidRPr="00BC68C4" w:rsidRDefault="009463C4" w:rsidP="009463C4">
      <w:pPr>
        <w:rPr>
          <w:rFonts w:ascii="Times New Roman" w:hAnsi="Times New Roman" w:cs="Times New Roman"/>
          <w:i/>
          <w:sz w:val="24"/>
          <w:szCs w:val="24"/>
        </w:rPr>
      </w:pPr>
      <w:r w:rsidRPr="00BC68C4">
        <w:rPr>
          <w:rFonts w:ascii="Times New Roman" w:hAnsi="Times New Roman" w:cs="Times New Roman"/>
          <w:sz w:val="24"/>
          <w:szCs w:val="24"/>
        </w:rPr>
        <w:t xml:space="preserve">Thomas, W. A. </w:t>
      </w:r>
      <w:r w:rsidRPr="00BC68C4">
        <w:rPr>
          <w:rFonts w:ascii="Times New Roman" w:hAnsi="Times New Roman" w:cs="Times New Roman"/>
          <w:i/>
          <w:sz w:val="24"/>
          <w:szCs w:val="24"/>
        </w:rPr>
        <w:t>The Provincial Stock Exchanges</w:t>
      </w:r>
      <w:r w:rsidRPr="00BC68C4">
        <w:rPr>
          <w:rFonts w:ascii="Times New Roman" w:hAnsi="Times New Roman" w:cs="Times New Roman"/>
          <w:sz w:val="24"/>
          <w:szCs w:val="24"/>
        </w:rPr>
        <w:t>.</w:t>
      </w:r>
      <w:r w:rsidRPr="00BC68C4">
        <w:rPr>
          <w:rFonts w:ascii="Times New Roman" w:hAnsi="Times New Roman" w:cs="Times New Roman"/>
          <w:i/>
          <w:sz w:val="24"/>
          <w:szCs w:val="24"/>
        </w:rPr>
        <w:t xml:space="preserve"> </w:t>
      </w:r>
      <w:r w:rsidRPr="00BC68C4">
        <w:rPr>
          <w:rFonts w:ascii="Times New Roman" w:hAnsi="Times New Roman" w:cs="Times New Roman"/>
          <w:sz w:val="24"/>
          <w:szCs w:val="24"/>
        </w:rPr>
        <w:t>London: Frank Cass: London, 1973.</w:t>
      </w:r>
    </w:p>
    <w:p w14:paraId="4B10D03E" w14:textId="77777777" w:rsidR="009463C4" w:rsidRPr="00BC68C4" w:rsidRDefault="009463C4" w:rsidP="00243C40">
      <w:pPr>
        <w:pStyle w:val="EndnoteText"/>
        <w:tabs>
          <w:tab w:val="left" w:pos="0"/>
        </w:tabs>
        <w:jc w:val="both"/>
        <w:rPr>
          <w:sz w:val="24"/>
          <w:szCs w:val="24"/>
        </w:rPr>
      </w:pPr>
    </w:p>
    <w:p w14:paraId="04BB51FF" w14:textId="31AFB6BC" w:rsidR="006D2F90" w:rsidRPr="00BC68C4" w:rsidRDefault="006D2F90" w:rsidP="00243C40">
      <w:pPr>
        <w:pStyle w:val="EndnoteText"/>
        <w:tabs>
          <w:tab w:val="left" w:pos="0"/>
        </w:tabs>
        <w:jc w:val="both"/>
        <w:rPr>
          <w:sz w:val="24"/>
          <w:szCs w:val="24"/>
        </w:rPr>
      </w:pPr>
      <w:r w:rsidRPr="00BC68C4">
        <w:rPr>
          <w:sz w:val="24"/>
          <w:szCs w:val="24"/>
        </w:rPr>
        <w:t>Turner, Joh</w:t>
      </w:r>
      <w:r w:rsidR="007B5737" w:rsidRPr="00BC68C4">
        <w:rPr>
          <w:sz w:val="24"/>
          <w:szCs w:val="24"/>
        </w:rPr>
        <w:t xml:space="preserve">n D., Qing Ye and </w:t>
      </w:r>
      <w:proofErr w:type="spellStart"/>
      <w:r w:rsidR="007B5737" w:rsidRPr="00BC68C4">
        <w:rPr>
          <w:sz w:val="24"/>
          <w:szCs w:val="24"/>
        </w:rPr>
        <w:t>Wenwen</w:t>
      </w:r>
      <w:proofErr w:type="spellEnd"/>
      <w:r w:rsidR="007B5737" w:rsidRPr="00BC68C4">
        <w:rPr>
          <w:sz w:val="24"/>
          <w:szCs w:val="24"/>
        </w:rPr>
        <w:t xml:space="preserve"> Zhan. </w:t>
      </w:r>
      <w:r w:rsidRPr="00BC68C4">
        <w:rPr>
          <w:sz w:val="24"/>
          <w:szCs w:val="24"/>
        </w:rPr>
        <w:t>“Why Do Firms Pay Dividends</w:t>
      </w:r>
      <w:proofErr w:type="gramStart"/>
      <w:r w:rsidRPr="00BC68C4">
        <w:rPr>
          <w:sz w:val="24"/>
          <w:szCs w:val="24"/>
        </w:rPr>
        <w:t>?:</w:t>
      </w:r>
      <w:proofErr w:type="gramEnd"/>
      <w:r w:rsidRPr="00BC68C4">
        <w:rPr>
          <w:sz w:val="24"/>
          <w:szCs w:val="24"/>
        </w:rPr>
        <w:t xml:space="preserve"> Evidence from an Early and Unregulated Capital Market.” </w:t>
      </w:r>
      <w:r w:rsidRPr="00BC68C4">
        <w:rPr>
          <w:i/>
          <w:sz w:val="24"/>
          <w:szCs w:val="24"/>
        </w:rPr>
        <w:t>Review of Finance</w:t>
      </w:r>
      <w:r w:rsidRPr="00BC68C4">
        <w:rPr>
          <w:sz w:val="24"/>
          <w:szCs w:val="24"/>
        </w:rPr>
        <w:t xml:space="preserve"> </w:t>
      </w:r>
      <w:r w:rsidR="004F31F0" w:rsidRPr="00BC68C4">
        <w:rPr>
          <w:sz w:val="24"/>
          <w:szCs w:val="24"/>
        </w:rPr>
        <w:t>17,</w:t>
      </w:r>
      <w:r w:rsidRPr="00BC68C4">
        <w:rPr>
          <w:sz w:val="24"/>
          <w:szCs w:val="24"/>
        </w:rPr>
        <w:t xml:space="preserve"> (2013)</w:t>
      </w:r>
      <w:r w:rsidR="004F31F0" w:rsidRPr="00BC68C4">
        <w:rPr>
          <w:sz w:val="24"/>
          <w:szCs w:val="24"/>
        </w:rPr>
        <w:t>: 1787-1826</w:t>
      </w:r>
      <w:r w:rsidRPr="00BC68C4">
        <w:rPr>
          <w:sz w:val="24"/>
          <w:szCs w:val="24"/>
        </w:rPr>
        <w:t>.</w:t>
      </w:r>
    </w:p>
    <w:p w14:paraId="21454A14" w14:textId="77777777" w:rsidR="006D2F90" w:rsidRPr="00BC68C4" w:rsidRDefault="006D2F90" w:rsidP="00243C40">
      <w:pPr>
        <w:pStyle w:val="EndnoteText"/>
        <w:tabs>
          <w:tab w:val="left" w:pos="0"/>
        </w:tabs>
        <w:jc w:val="both"/>
        <w:rPr>
          <w:sz w:val="24"/>
          <w:szCs w:val="24"/>
        </w:rPr>
      </w:pPr>
    </w:p>
    <w:p w14:paraId="48C93EBB" w14:textId="1ADDC9A7" w:rsidR="006D5236" w:rsidRPr="00DC5523" w:rsidRDefault="009A53CF" w:rsidP="002A749E">
      <w:pPr>
        <w:jc w:val="left"/>
        <w:rPr>
          <w:sz w:val="24"/>
          <w:szCs w:val="24"/>
        </w:rPr>
        <w:sectPr w:rsidR="006D5236" w:rsidRPr="00DC5523" w:rsidSect="00856319">
          <w:footerReference w:type="default" r:id="rId10"/>
          <w:pgSz w:w="11906" w:h="16838"/>
          <w:pgMar w:top="1440" w:right="1440" w:bottom="1440" w:left="1440" w:header="708" w:footer="708" w:gutter="0"/>
          <w:cols w:space="708"/>
          <w:docGrid w:linePitch="360"/>
        </w:sectPr>
      </w:pPr>
      <w:r w:rsidRPr="00BC68C4">
        <w:rPr>
          <w:rFonts w:ascii="Times New Roman" w:hAnsi="Times New Roman" w:cs="Times New Roman"/>
          <w:sz w:val="24"/>
          <w:szCs w:val="24"/>
        </w:rPr>
        <w:t xml:space="preserve">Wilson, John F. </w:t>
      </w:r>
      <w:r w:rsidRPr="00BC68C4">
        <w:rPr>
          <w:rFonts w:ascii="Times New Roman" w:hAnsi="Times New Roman" w:cs="Times New Roman"/>
          <w:i/>
          <w:sz w:val="24"/>
          <w:szCs w:val="24"/>
        </w:rPr>
        <w:t>British Business History, 1720-1994</w:t>
      </w:r>
      <w:r w:rsidRPr="00BC68C4">
        <w:rPr>
          <w:rFonts w:ascii="Times New Roman" w:hAnsi="Times New Roman" w:cs="Times New Roman"/>
          <w:sz w:val="24"/>
          <w:szCs w:val="24"/>
        </w:rPr>
        <w:t xml:space="preserve">. Manchester: Manchester University Press, 1995. </w:t>
      </w:r>
      <w:r w:rsidR="00856319" w:rsidRPr="00BC68C4">
        <w:rPr>
          <w:b/>
          <w:sz w:val="24"/>
          <w:szCs w:val="24"/>
        </w:rPr>
        <w:br w:type="page"/>
      </w:r>
    </w:p>
    <w:p w14:paraId="1E245EB5" w14:textId="40E180EB" w:rsidR="00703AC0" w:rsidRPr="00703AC0" w:rsidRDefault="00703AC0" w:rsidP="00703AC0">
      <w:pPr>
        <w:jc w:val="center"/>
        <w:rPr>
          <w:rFonts w:ascii="Times New Roman" w:hAnsi="Times New Roman" w:cs="Times New Roman"/>
          <w:sz w:val="20"/>
          <w:szCs w:val="20"/>
        </w:rPr>
      </w:pPr>
      <w:r w:rsidRPr="00703AC0">
        <w:rPr>
          <w:rFonts w:ascii="Times New Roman" w:hAnsi="Times New Roman" w:cs="Times New Roman"/>
          <w:sz w:val="20"/>
          <w:szCs w:val="20"/>
        </w:rPr>
        <w:t xml:space="preserve">TABLE </w:t>
      </w:r>
      <w:r w:rsidR="00635C6E">
        <w:rPr>
          <w:rFonts w:ascii="Times New Roman" w:hAnsi="Times New Roman" w:cs="Times New Roman"/>
          <w:sz w:val="20"/>
          <w:szCs w:val="20"/>
        </w:rPr>
        <w:t>1</w:t>
      </w:r>
    </w:p>
    <w:p w14:paraId="6B787727" w14:textId="6911509C" w:rsidR="006D5236" w:rsidRPr="00703AC0" w:rsidRDefault="00703AC0" w:rsidP="00703AC0">
      <w:pPr>
        <w:jc w:val="center"/>
        <w:rPr>
          <w:rFonts w:ascii="Times New Roman" w:hAnsi="Times New Roman" w:cs="Times New Roman"/>
          <w:sz w:val="24"/>
          <w:szCs w:val="24"/>
        </w:rPr>
      </w:pPr>
      <w:r w:rsidRPr="00703AC0">
        <w:rPr>
          <w:rFonts w:ascii="Times New Roman" w:hAnsi="Times New Roman" w:cs="Times New Roman"/>
          <w:sz w:val="24"/>
          <w:szCs w:val="24"/>
        </w:rPr>
        <w:t>SUMMARY STATISTICS</w:t>
      </w:r>
    </w:p>
    <w:tbl>
      <w:tblPr>
        <w:tblW w:w="4922" w:type="pct"/>
        <w:tblLook w:val="04A0" w:firstRow="1" w:lastRow="0" w:firstColumn="1" w:lastColumn="0" w:noHBand="0" w:noVBand="1"/>
      </w:tblPr>
      <w:tblGrid>
        <w:gridCol w:w="731"/>
        <w:gridCol w:w="1892"/>
        <w:gridCol w:w="642"/>
        <w:gridCol w:w="1189"/>
        <w:gridCol w:w="1046"/>
        <w:gridCol w:w="1058"/>
        <w:gridCol w:w="1183"/>
        <w:gridCol w:w="1111"/>
        <w:gridCol w:w="260"/>
        <w:gridCol w:w="460"/>
        <w:gridCol w:w="664"/>
        <w:gridCol w:w="1046"/>
        <w:gridCol w:w="779"/>
        <w:gridCol w:w="1139"/>
        <w:gridCol w:w="753"/>
      </w:tblGrid>
      <w:tr w:rsidR="008C3762" w:rsidRPr="00BC68C4" w14:paraId="2FF1FC6B" w14:textId="77777777" w:rsidTr="00703AC0">
        <w:trPr>
          <w:trHeight w:hRule="exact" w:val="251"/>
        </w:trPr>
        <w:tc>
          <w:tcPr>
            <w:tcW w:w="262" w:type="pct"/>
            <w:tcBorders>
              <w:top w:val="double" w:sz="6" w:space="0" w:color="auto"/>
              <w:left w:val="nil"/>
              <w:bottom w:val="nil"/>
              <w:right w:val="nil"/>
            </w:tcBorders>
            <w:shd w:val="clear" w:color="auto" w:fill="auto"/>
            <w:noWrap/>
            <w:vAlign w:val="bottom"/>
          </w:tcPr>
          <w:p w14:paraId="0780109A" w14:textId="77777777" w:rsidR="008C3762" w:rsidRPr="00BC68C4" w:rsidRDefault="008C3762" w:rsidP="001613C8">
            <w:pPr>
              <w:jc w:val="left"/>
              <w:rPr>
                <w:rFonts w:ascii="Times New Roman" w:eastAsia="Times New Roman" w:hAnsi="Times New Roman" w:cs="Times New Roman"/>
                <w:color w:val="000000"/>
                <w:sz w:val="16"/>
                <w:szCs w:val="16"/>
                <w:lang w:eastAsia="en-GB"/>
              </w:rPr>
            </w:pPr>
          </w:p>
        </w:tc>
        <w:tc>
          <w:tcPr>
            <w:tcW w:w="678" w:type="pct"/>
            <w:tcBorders>
              <w:top w:val="double" w:sz="6" w:space="0" w:color="auto"/>
              <w:left w:val="nil"/>
              <w:bottom w:val="nil"/>
              <w:right w:val="nil"/>
            </w:tcBorders>
            <w:shd w:val="clear" w:color="auto" w:fill="auto"/>
            <w:noWrap/>
            <w:vAlign w:val="bottom"/>
          </w:tcPr>
          <w:p w14:paraId="570999F8" w14:textId="77777777" w:rsidR="008C3762" w:rsidRPr="00BC68C4" w:rsidRDefault="008C3762" w:rsidP="001613C8">
            <w:pPr>
              <w:jc w:val="left"/>
              <w:rPr>
                <w:rFonts w:ascii="Times New Roman" w:eastAsia="Times New Roman" w:hAnsi="Times New Roman" w:cs="Times New Roman"/>
                <w:color w:val="000000"/>
                <w:sz w:val="16"/>
                <w:szCs w:val="16"/>
                <w:lang w:eastAsia="en-GB"/>
              </w:rPr>
            </w:pPr>
          </w:p>
        </w:tc>
        <w:tc>
          <w:tcPr>
            <w:tcW w:w="2231" w:type="pct"/>
            <w:gridSpan w:val="6"/>
            <w:tcBorders>
              <w:top w:val="double" w:sz="6" w:space="0" w:color="auto"/>
              <w:left w:val="nil"/>
              <w:bottom w:val="single" w:sz="8" w:space="0" w:color="auto"/>
              <w:right w:val="nil"/>
            </w:tcBorders>
            <w:shd w:val="clear" w:color="auto" w:fill="auto"/>
            <w:noWrap/>
            <w:vAlign w:val="center"/>
          </w:tcPr>
          <w:p w14:paraId="26649783" w14:textId="77777777" w:rsidR="008C3762" w:rsidRPr="00BC68C4" w:rsidRDefault="008C3762" w:rsidP="001613C8">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Performance Data</w:t>
            </w:r>
          </w:p>
        </w:tc>
        <w:tc>
          <w:tcPr>
            <w:tcW w:w="93" w:type="pct"/>
            <w:tcBorders>
              <w:top w:val="double" w:sz="6" w:space="0" w:color="auto"/>
              <w:left w:val="nil"/>
              <w:right w:val="nil"/>
            </w:tcBorders>
            <w:shd w:val="clear" w:color="auto" w:fill="auto"/>
            <w:noWrap/>
            <w:vAlign w:val="center"/>
          </w:tcPr>
          <w:p w14:paraId="7C153CF3" w14:textId="77777777" w:rsidR="008C3762" w:rsidRPr="00BC68C4" w:rsidRDefault="008C3762" w:rsidP="001613C8">
            <w:pPr>
              <w:jc w:val="center"/>
              <w:rPr>
                <w:rFonts w:ascii="Times New Roman" w:eastAsia="Times New Roman" w:hAnsi="Times New Roman" w:cs="Times New Roman"/>
                <w:color w:val="000000"/>
                <w:sz w:val="16"/>
                <w:szCs w:val="16"/>
                <w:lang w:eastAsia="en-GB"/>
              </w:rPr>
            </w:pPr>
          </w:p>
        </w:tc>
        <w:tc>
          <w:tcPr>
            <w:tcW w:w="1734" w:type="pct"/>
            <w:gridSpan w:val="6"/>
            <w:tcBorders>
              <w:top w:val="double" w:sz="6" w:space="0" w:color="auto"/>
              <w:left w:val="nil"/>
              <w:bottom w:val="single" w:sz="8" w:space="0" w:color="auto"/>
              <w:right w:val="nil"/>
            </w:tcBorders>
            <w:shd w:val="clear" w:color="auto" w:fill="auto"/>
            <w:noWrap/>
            <w:vAlign w:val="center"/>
          </w:tcPr>
          <w:p w14:paraId="55D0379A" w14:textId="77777777" w:rsidR="008C3762" w:rsidRPr="00BC68C4" w:rsidRDefault="008C3762" w:rsidP="001613C8">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Final Status Data</w:t>
            </w:r>
          </w:p>
        </w:tc>
      </w:tr>
      <w:tr w:rsidR="009A0F0B" w:rsidRPr="00BC68C4" w14:paraId="5B2233F9" w14:textId="77777777" w:rsidTr="009A0F0B">
        <w:trPr>
          <w:trHeight w:hRule="exact" w:val="234"/>
        </w:trPr>
        <w:tc>
          <w:tcPr>
            <w:tcW w:w="262" w:type="pct"/>
            <w:tcBorders>
              <w:left w:val="nil"/>
              <w:bottom w:val="nil"/>
              <w:right w:val="nil"/>
            </w:tcBorders>
            <w:shd w:val="clear" w:color="auto" w:fill="auto"/>
            <w:noWrap/>
            <w:vAlign w:val="bottom"/>
            <w:hideMark/>
          </w:tcPr>
          <w:p w14:paraId="716D56CE" w14:textId="77777777" w:rsidR="008B5C9F" w:rsidRPr="00BC68C4" w:rsidRDefault="008B5C9F" w:rsidP="001613C8">
            <w:pPr>
              <w:jc w:val="left"/>
              <w:rPr>
                <w:rFonts w:ascii="Times New Roman" w:hAnsi="Times New Roman" w:cs="Times New Roman"/>
                <w:color w:val="000000"/>
                <w:sz w:val="16"/>
                <w:szCs w:val="16"/>
              </w:rPr>
            </w:pPr>
            <w:r w:rsidRPr="00BC68C4">
              <w:rPr>
                <w:rFonts w:ascii="Times New Roman" w:eastAsia="Times New Roman" w:hAnsi="Times New Roman" w:cs="Times New Roman"/>
                <w:color w:val="000000"/>
                <w:sz w:val="16"/>
                <w:szCs w:val="16"/>
                <w:lang w:eastAsia="en-GB"/>
              </w:rPr>
              <w:t> </w:t>
            </w:r>
          </w:p>
        </w:tc>
        <w:tc>
          <w:tcPr>
            <w:tcW w:w="678" w:type="pct"/>
            <w:tcBorders>
              <w:left w:val="nil"/>
              <w:bottom w:val="nil"/>
              <w:right w:val="nil"/>
            </w:tcBorders>
            <w:shd w:val="clear" w:color="auto" w:fill="auto"/>
            <w:noWrap/>
            <w:vAlign w:val="bottom"/>
            <w:hideMark/>
          </w:tcPr>
          <w:p w14:paraId="0AA8170C" w14:textId="77777777" w:rsidR="008B5C9F" w:rsidRPr="00BC68C4" w:rsidRDefault="008B5C9F" w:rsidP="00AE0FA6">
            <w:pPr>
              <w:jc w:val="left"/>
              <w:rPr>
                <w:rFonts w:ascii="Times New Roman" w:hAnsi="Times New Roman" w:cs="Times New Roman"/>
                <w:color w:val="000000"/>
                <w:sz w:val="16"/>
                <w:szCs w:val="16"/>
              </w:rPr>
            </w:pPr>
            <w:r w:rsidRPr="00BC68C4">
              <w:rPr>
                <w:rFonts w:ascii="Times New Roman" w:eastAsia="Times New Roman" w:hAnsi="Times New Roman" w:cs="Times New Roman"/>
                <w:color w:val="000000"/>
                <w:sz w:val="16"/>
                <w:szCs w:val="16"/>
                <w:lang w:eastAsia="en-GB"/>
              </w:rPr>
              <w:t> </w:t>
            </w:r>
          </w:p>
        </w:tc>
        <w:tc>
          <w:tcPr>
            <w:tcW w:w="230" w:type="pct"/>
            <w:tcBorders>
              <w:top w:val="single" w:sz="8" w:space="0" w:color="auto"/>
              <w:left w:val="nil"/>
              <w:bottom w:val="single" w:sz="8" w:space="0" w:color="auto"/>
              <w:right w:val="nil"/>
            </w:tcBorders>
            <w:shd w:val="clear" w:color="auto" w:fill="auto"/>
            <w:noWrap/>
            <w:vAlign w:val="center"/>
            <w:hideMark/>
          </w:tcPr>
          <w:p w14:paraId="6D88E4B9" w14:textId="77777777" w:rsidR="008B5C9F" w:rsidRPr="00BC68C4" w:rsidRDefault="008B5C9F"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N</w:t>
            </w:r>
          </w:p>
        </w:tc>
        <w:tc>
          <w:tcPr>
            <w:tcW w:w="426" w:type="pct"/>
            <w:tcBorders>
              <w:top w:val="single" w:sz="8" w:space="0" w:color="auto"/>
              <w:left w:val="nil"/>
              <w:bottom w:val="single" w:sz="8" w:space="0" w:color="auto"/>
              <w:right w:val="nil"/>
            </w:tcBorders>
            <w:shd w:val="clear" w:color="auto" w:fill="auto"/>
            <w:noWrap/>
            <w:vAlign w:val="center"/>
            <w:hideMark/>
          </w:tcPr>
          <w:p w14:paraId="37BB8458" w14:textId="77777777" w:rsidR="008B5C9F" w:rsidRPr="00BC68C4" w:rsidRDefault="008B5C9F"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Mean</w:t>
            </w:r>
          </w:p>
        </w:tc>
        <w:tc>
          <w:tcPr>
            <w:tcW w:w="375" w:type="pct"/>
            <w:tcBorders>
              <w:top w:val="single" w:sz="8" w:space="0" w:color="auto"/>
              <w:left w:val="nil"/>
              <w:bottom w:val="single" w:sz="8" w:space="0" w:color="auto"/>
              <w:right w:val="nil"/>
            </w:tcBorders>
            <w:shd w:val="clear" w:color="auto" w:fill="auto"/>
            <w:noWrap/>
            <w:vAlign w:val="center"/>
            <w:hideMark/>
          </w:tcPr>
          <w:p w14:paraId="2FD0F677" w14:textId="75E050C7" w:rsidR="008B5C9F" w:rsidRPr="00BC68C4" w:rsidRDefault="008B5C9F" w:rsidP="008B5C9F">
            <w:pPr>
              <w:rPr>
                <w:rFonts w:ascii="Times New Roman" w:hAnsi="Times New Roman" w:cs="Times New Roman"/>
                <w:color w:val="000000"/>
                <w:sz w:val="16"/>
                <w:szCs w:val="16"/>
              </w:rPr>
            </w:pPr>
            <w:r w:rsidRPr="00BC68C4">
              <w:rPr>
                <w:rFonts w:ascii="Times New Roman" w:hAnsi="Times New Roman" w:cs="Times New Roman"/>
                <w:color w:val="000000"/>
                <w:sz w:val="16"/>
                <w:szCs w:val="16"/>
              </w:rPr>
              <w:t>1</w:t>
            </w:r>
            <w:r w:rsidRPr="00BC68C4">
              <w:rPr>
                <w:rFonts w:ascii="Times New Roman" w:hAnsi="Times New Roman" w:cs="Times New Roman"/>
                <w:color w:val="000000"/>
                <w:sz w:val="16"/>
                <w:szCs w:val="16"/>
                <w:vertAlign w:val="superscript"/>
              </w:rPr>
              <w:t>st</w:t>
            </w:r>
            <w:r w:rsidRPr="00BC68C4">
              <w:rPr>
                <w:rFonts w:ascii="Times New Roman" w:hAnsi="Times New Roman" w:cs="Times New Roman"/>
                <w:color w:val="000000"/>
                <w:sz w:val="16"/>
                <w:szCs w:val="16"/>
              </w:rPr>
              <w:t xml:space="preserve"> percentile</w:t>
            </w:r>
          </w:p>
        </w:tc>
        <w:tc>
          <w:tcPr>
            <w:tcW w:w="379" w:type="pct"/>
            <w:tcBorders>
              <w:top w:val="single" w:sz="8" w:space="0" w:color="auto"/>
              <w:left w:val="nil"/>
              <w:bottom w:val="single" w:sz="8" w:space="0" w:color="auto"/>
              <w:right w:val="nil"/>
            </w:tcBorders>
            <w:shd w:val="clear" w:color="auto" w:fill="auto"/>
            <w:noWrap/>
            <w:vAlign w:val="center"/>
            <w:hideMark/>
          </w:tcPr>
          <w:p w14:paraId="7E8C0C8B" w14:textId="77777777" w:rsidR="008B5C9F" w:rsidRPr="00BC68C4" w:rsidRDefault="008B5C9F"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Median</w:t>
            </w:r>
          </w:p>
        </w:tc>
        <w:tc>
          <w:tcPr>
            <w:tcW w:w="424" w:type="pct"/>
            <w:tcBorders>
              <w:top w:val="single" w:sz="8" w:space="0" w:color="auto"/>
              <w:left w:val="nil"/>
              <w:bottom w:val="single" w:sz="8" w:space="0" w:color="auto"/>
              <w:right w:val="nil"/>
            </w:tcBorders>
            <w:shd w:val="clear" w:color="auto" w:fill="auto"/>
            <w:noWrap/>
            <w:vAlign w:val="center"/>
            <w:hideMark/>
          </w:tcPr>
          <w:p w14:paraId="5DCA1E1D" w14:textId="33A7D215" w:rsidR="008B5C9F" w:rsidRPr="00BC68C4" w:rsidRDefault="008B5C9F"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99</w:t>
            </w:r>
            <w:r w:rsidRPr="00BC68C4">
              <w:rPr>
                <w:rFonts w:ascii="Times New Roman" w:hAnsi="Times New Roman" w:cs="Times New Roman"/>
                <w:color w:val="000000"/>
                <w:sz w:val="16"/>
                <w:szCs w:val="16"/>
                <w:vertAlign w:val="superscript"/>
              </w:rPr>
              <w:t>th</w:t>
            </w:r>
            <w:r w:rsidRPr="00BC68C4">
              <w:rPr>
                <w:rFonts w:ascii="Times New Roman" w:hAnsi="Times New Roman" w:cs="Times New Roman"/>
                <w:color w:val="000000"/>
                <w:sz w:val="16"/>
                <w:szCs w:val="16"/>
              </w:rPr>
              <w:t xml:space="preserve"> percentile</w:t>
            </w:r>
          </w:p>
        </w:tc>
        <w:tc>
          <w:tcPr>
            <w:tcW w:w="398" w:type="pct"/>
            <w:tcBorders>
              <w:top w:val="single" w:sz="8" w:space="0" w:color="auto"/>
              <w:left w:val="nil"/>
              <w:bottom w:val="single" w:sz="8" w:space="0" w:color="auto"/>
              <w:right w:val="nil"/>
            </w:tcBorders>
            <w:shd w:val="clear" w:color="auto" w:fill="auto"/>
            <w:noWrap/>
            <w:vAlign w:val="center"/>
            <w:hideMark/>
          </w:tcPr>
          <w:p w14:paraId="2DF234D9" w14:textId="77777777" w:rsidR="008B5C9F" w:rsidRPr="00BC68C4" w:rsidRDefault="008B5C9F"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St. Dev</w:t>
            </w:r>
          </w:p>
        </w:tc>
        <w:tc>
          <w:tcPr>
            <w:tcW w:w="93" w:type="pct"/>
            <w:tcBorders>
              <w:left w:val="nil"/>
              <w:bottom w:val="single" w:sz="8" w:space="0" w:color="auto"/>
              <w:right w:val="nil"/>
            </w:tcBorders>
            <w:shd w:val="clear" w:color="auto" w:fill="auto"/>
            <w:noWrap/>
            <w:vAlign w:val="center"/>
            <w:hideMark/>
          </w:tcPr>
          <w:p w14:paraId="3FE23B67" w14:textId="77777777" w:rsidR="008B5C9F" w:rsidRPr="00BC68C4" w:rsidRDefault="008B5C9F" w:rsidP="001613C8">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 </w:t>
            </w:r>
          </w:p>
        </w:tc>
        <w:tc>
          <w:tcPr>
            <w:tcW w:w="165" w:type="pct"/>
            <w:tcBorders>
              <w:top w:val="single" w:sz="8" w:space="0" w:color="auto"/>
              <w:left w:val="nil"/>
              <w:bottom w:val="single" w:sz="8" w:space="0" w:color="auto"/>
              <w:right w:val="nil"/>
            </w:tcBorders>
            <w:shd w:val="clear" w:color="auto" w:fill="auto"/>
            <w:noWrap/>
            <w:vAlign w:val="center"/>
            <w:hideMark/>
          </w:tcPr>
          <w:p w14:paraId="650DBEB3" w14:textId="77777777" w:rsidR="008B5C9F" w:rsidRPr="00BC68C4" w:rsidRDefault="008B5C9F" w:rsidP="001613C8">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N</w:t>
            </w:r>
          </w:p>
        </w:tc>
        <w:tc>
          <w:tcPr>
            <w:tcW w:w="238" w:type="pct"/>
            <w:tcBorders>
              <w:top w:val="single" w:sz="8" w:space="0" w:color="auto"/>
              <w:left w:val="nil"/>
              <w:bottom w:val="single" w:sz="8" w:space="0" w:color="auto"/>
              <w:right w:val="nil"/>
            </w:tcBorders>
            <w:shd w:val="clear" w:color="auto" w:fill="auto"/>
            <w:noWrap/>
            <w:vAlign w:val="center"/>
            <w:hideMark/>
          </w:tcPr>
          <w:p w14:paraId="5B59C286" w14:textId="77777777" w:rsidR="008B5C9F" w:rsidRPr="00BC68C4" w:rsidRDefault="008B5C9F" w:rsidP="001613C8">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Mean</w:t>
            </w:r>
          </w:p>
        </w:tc>
        <w:tc>
          <w:tcPr>
            <w:tcW w:w="375" w:type="pct"/>
            <w:tcBorders>
              <w:top w:val="single" w:sz="8" w:space="0" w:color="auto"/>
              <w:left w:val="nil"/>
              <w:bottom w:val="single" w:sz="8" w:space="0" w:color="auto"/>
              <w:right w:val="nil"/>
            </w:tcBorders>
            <w:shd w:val="clear" w:color="auto" w:fill="auto"/>
            <w:noWrap/>
            <w:vAlign w:val="center"/>
            <w:hideMark/>
          </w:tcPr>
          <w:p w14:paraId="1D88854B" w14:textId="4A47F555" w:rsidR="008B5C9F" w:rsidRPr="00BC68C4" w:rsidRDefault="008B5C9F"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1</w:t>
            </w:r>
            <w:r w:rsidRPr="00BC68C4">
              <w:rPr>
                <w:rFonts w:ascii="Times New Roman" w:hAnsi="Times New Roman" w:cs="Times New Roman"/>
                <w:color w:val="000000"/>
                <w:sz w:val="16"/>
                <w:szCs w:val="16"/>
                <w:vertAlign w:val="superscript"/>
              </w:rPr>
              <w:t>st</w:t>
            </w:r>
            <w:r w:rsidRPr="00BC68C4">
              <w:rPr>
                <w:rFonts w:ascii="Times New Roman" w:hAnsi="Times New Roman" w:cs="Times New Roman"/>
                <w:color w:val="000000"/>
                <w:sz w:val="16"/>
                <w:szCs w:val="16"/>
              </w:rPr>
              <w:t xml:space="preserve"> percentile</w:t>
            </w:r>
          </w:p>
        </w:tc>
        <w:tc>
          <w:tcPr>
            <w:tcW w:w="279" w:type="pct"/>
            <w:tcBorders>
              <w:top w:val="single" w:sz="8" w:space="0" w:color="auto"/>
              <w:left w:val="nil"/>
              <w:bottom w:val="single" w:sz="8" w:space="0" w:color="auto"/>
              <w:right w:val="nil"/>
            </w:tcBorders>
            <w:shd w:val="clear" w:color="auto" w:fill="auto"/>
            <w:noWrap/>
            <w:vAlign w:val="center"/>
            <w:hideMark/>
          </w:tcPr>
          <w:p w14:paraId="196E5654" w14:textId="7D435D93" w:rsidR="008B5C9F" w:rsidRPr="00BC68C4" w:rsidRDefault="008B5C9F"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Median</w:t>
            </w:r>
          </w:p>
        </w:tc>
        <w:tc>
          <w:tcPr>
            <w:tcW w:w="408" w:type="pct"/>
            <w:tcBorders>
              <w:top w:val="single" w:sz="8" w:space="0" w:color="auto"/>
              <w:left w:val="nil"/>
              <w:bottom w:val="single" w:sz="8" w:space="0" w:color="auto"/>
              <w:right w:val="nil"/>
            </w:tcBorders>
            <w:shd w:val="clear" w:color="auto" w:fill="auto"/>
            <w:noWrap/>
            <w:vAlign w:val="center"/>
            <w:hideMark/>
          </w:tcPr>
          <w:p w14:paraId="38F2A451" w14:textId="1EDFA53D" w:rsidR="008B5C9F" w:rsidRPr="00BC68C4" w:rsidRDefault="008B5C9F"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99</w:t>
            </w:r>
            <w:r w:rsidRPr="00BC68C4">
              <w:rPr>
                <w:rFonts w:ascii="Times New Roman" w:hAnsi="Times New Roman" w:cs="Times New Roman"/>
                <w:color w:val="000000"/>
                <w:sz w:val="16"/>
                <w:szCs w:val="16"/>
                <w:vertAlign w:val="superscript"/>
              </w:rPr>
              <w:t>th</w:t>
            </w:r>
            <w:r w:rsidRPr="00BC68C4">
              <w:rPr>
                <w:rFonts w:ascii="Times New Roman" w:hAnsi="Times New Roman" w:cs="Times New Roman"/>
                <w:color w:val="000000"/>
                <w:sz w:val="16"/>
                <w:szCs w:val="16"/>
              </w:rPr>
              <w:t xml:space="preserve"> percentile</w:t>
            </w:r>
          </w:p>
        </w:tc>
        <w:tc>
          <w:tcPr>
            <w:tcW w:w="270" w:type="pct"/>
            <w:tcBorders>
              <w:top w:val="single" w:sz="8" w:space="0" w:color="auto"/>
              <w:left w:val="nil"/>
              <w:bottom w:val="single" w:sz="8" w:space="0" w:color="auto"/>
              <w:right w:val="nil"/>
            </w:tcBorders>
            <w:shd w:val="clear" w:color="auto" w:fill="auto"/>
            <w:noWrap/>
            <w:vAlign w:val="center"/>
            <w:hideMark/>
          </w:tcPr>
          <w:p w14:paraId="4F967C0F" w14:textId="77777777" w:rsidR="008B5C9F" w:rsidRPr="00BC68C4" w:rsidRDefault="008B5C9F" w:rsidP="001613C8">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St. Dev</w:t>
            </w:r>
          </w:p>
        </w:tc>
      </w:tr>
      <w:tr w:rsidR="009A0F0B" w:rsidRPr="00BC68C4" w14:paraId="03394396" w14:textId="77777777" w:rsidTr="009A0F0B">
        <w:trPr>
          <w:trHeight w:hRule="exact" w:val="181"/>
        </w:trPr>
        <w:tc>
          <w:tcPr>
            <w:tcW w:w="940" w:type="pct"/>
            <w:gridSpan w:val="2"/>
            <w:tcBorders>
              <w:top w:val="nil"/>
              <w:left w:val="nil"/>
              <w:bottom w:val="nil"/>
              <w:right w:val="nil"/>
            </w:tcBorders>
            <w:shd w:val="clear" w:color="auto" w:fill="auto"/>
            <w:noWrap/>
            <w:vAlign w:val="center"/>
            <w:hideMark/>
          </w:tcPr>
          <w:p w14:paraId="4A30C035" w14:textId="3FF3BAD8" w:rsidR="008C3762" w:rsidRPr="00BC68C4" w:rsidRDefault="008C3762" w:rsidP="001613C8">
            <w:pPr>
              <w:jc w:val="left"/>
              <w:rPr>
                <w:rFonts w:ascii="Times New Roman" w:hAnsi="Times New Roman" w:cs="Times New Roman"/>
                <w:color w:val="000000"/>
                <w:sz w:val="16"/>
                <w:szCs w:val="16"/>
              </w:rPr>
            </w:pPr>
          </w:p>
        </w:tc>
        <w:tc>
          <w:tcPr>
            <w:tcW w:w="230" w:type="pct"/>
            <w:tcBorders>
              <w:top w:val="nil"/>
              <w:left w:val="nil"/>
              <w:bottom w:val="nil"/>
              <w:right w:val="nil"/>
            </w:tcBorders>
            <w:shd w:val="clear" w:color="auto" w:fill="auto"/>
            <w:noWrap/>
            <w:vAlign w:val="center"/>
            <w:hideMark/>
          </w:tcPr>
          <w:p w14:paraId="4B4A888C" w14:textId="77777777" w:rsidR="008C3762" w:rsidRPr="00BC68C4" w:rsidRDefault="008C3762" w:rsidP="00AE0FA6">
            <w:pPr>
              <w:jc w:val="left"/>
              <w:rPr>
                <w:rFonts w:ascii="Times New Roman" w:hAnsi="Times New Roman" w:cs="Times New Roman"/>
                <w:color w:val="000000"/>
                <w:sz w:val="16"/>
                <w:szCs w:val="16"/>
              </w:rPr>
            </w:pPr>
          </w:p>
        </w:tc>
        <w:tc>
          <w:tcPr>
            <w:tcW w:w="426" w:type="pct"/>
            <w:tcBorders>
              <w:top w:val="nil"/>
              <w:left w:val="nil"/>
              <w:bottom w:val="nil"/>
              <w:right w:val="nil"/>
            </w:tcBorders>
            <w:shd w:val="clear" w:color="auto" w:fill="auto"/>
            <w:noWrap/>
            <w:vAlign w:val="center"/>
            <w:hideMark/>
          </w:tcPr>
          <w:p w14:paraId="05652DCB" w14:textId="77777777" w:rsidR="008C3762" w:rsidRPr="00BC68C4" w:rsidRDefault="008C3762" w:rsidP="00AE0FA6">
            <w:pPr>
              <w:jc w:val="left"/>
              <w:rPr>
                <w:rFonts w:ascii="Times New Roman" w:hAnsi="Times New Roman" w:cs="Times New Roman"/>
                <w:color w:val="000000"/>
                <w:sz w:val="16"/>
                <w:szCs w:val="16"/>
              </w:rPr>
            </w:pPr>
          </w:p>
        </w:tc>
        <w:tc>
          <w:tcPr>
            <w:tcW w:w="375" w:type="pct"/>
            <w:tcBorders>
              <w:top w:val="nil"/>
              <w:left w:val="nil"/>
              <w:bottom w:val="nil"/>
              <w:right w:val="nil"/>
            </w:tcBorders>
            <w:shd w:val="clear" w:color="auto" w:fill="auto"/>
            <w:noWrap/>
            <w:vAlign w:val="center"/>
            <w:hideMark/>
          </w:tcPr>
          <w:p w14:paraId="159A6A70" w14:textId="77777777" w:rsidR="008C3762" w:rsidRPr="00BC68C4" w:rsidRDefault="008C3762" w:rsidP="00AE0FA6">
            <w:pPr>
              <w:jc w:val="left"/>
              <w:rPr>
                <w:rFonts w:ascii="Times New Roman" w:hAnsi="Times New Roman" w:cs="Times New Roman"/>
                <w:color w:val="000000"/>
                <w:sz w:val="16"/>
                <w:szCs w:val="16"/>
              </w:rPr>
            </w:pPr>
          </w:p>
        </w:tc>
        <w:tc>
          <w:tcPr>
            <w:tcW w:w="379" w:type="pct"/>
            <w:tcBorders>
              <w:top w:val="nil"/>
              <w:left w:val="nil"/>
              <w:bottom w:val="nil"/>
              <w:right w:val="nil"/>
            </w:tcBorders>
            <w:shd w:val="clear" w:color="auto" w:fill="auto"/>
            <w:noWrap/>
            <w:vAlign w:val="center"/>
            <w:hideMark/>
          </w:tcPr>
          <w:p w14:paraId="5FF20C2C" w14:textId="77777777" w:rsidR="008C3762" w:rsidRPr="00BC68C4" w:rsidRDefault="008C3762" w:rsidP="00AE0FA6">
            <w:pPr>
              <w:jc w:val="left"/>
              <w:rPr>
                <w:rFonts w:ascii="Times New Roman" w:hAnsi="Times New Roman" w:cs="Times New Roman"/>
                <w:color w:val="000000"/>
                <w:sz w:val="16"/>
                <w:szCs w:val="16"/>
              </w:rPr>
            </w:pPr>
          </w:p>
        </w:tc>
        <w:tc>
          <w:tcPr>
            <w:tcW w:w="424" w:type="pct"/>
            <w:tcBorders>
              <w:top w:val="nil"/>
              <w:left w:val="nil"/>
              <w:bottom w:val="nil"/>
              <w:right w:val="nil"/>
            </w:tcBorders>
            <w:shd w:val="clear" w:color="auto" w:fill="auto"/>
            <w:noWrap/>
            <w:vAlign w:val="center"/>
            <w:hideMark/>
          </w:tcPr>
          <w:p w14:paraId="63C9EABE" w14:textId="77777777" w:rsidR="008C3762" w:rsidRPr="00BC68C4" w:rsidRDefault="008C3762" w:rsidP="00AE0FA6">
            <w:pPr>
              <w:jc w:val="left"/>
              <w:rPr>
                <w:rFonts w:ascii="Times New Roman" w:hAnsi="Times New Roman" w:cs="Times New Roman"/>
                <w:color w:val="000000"/>
                <w:sz w:val="16"/>
                <w:szCs w:val="16"/>
              </w:rPr>
            </w:pPr>
          </w:p>
        </w:tc>
        <w:tc>
          <w:tcPr>
            <w:tcW w:w="398" w:type="pct"/>
            <w:tcBorders>
              <w:top w:val="nil"/>
              <w:left w:val="nil"/>
              <w:bottom w:val="nil"/>
              <w:right w:val="nil"/>
            </w:tcBorders>
            <w:shd w:val="clear" w:color="auto" w:fill="auto"/>
            <w:noWrap/>
            <w:vAlign w:val="center"/>
            <w:hideMark/>
          </w:tcPr>
          <w:p w14:paraId="543F7767" w14:textId="77777777" w:rsidR="008C3762" w:rsidRPr="00BC68C4" w:rsidRDefault="008C3762" w:rsidP="00AE0FA6">
            <w:pPr>
              <w:jc w:val="left"/>
              <w:rPr>
                <w:rFonts w:ascii="Times New Roman" w:hAnsi="Times New Roman" w:cs="Times New Roman"/>
                <w:color w:val="000000"/>
                <w:sz w:val="16"/>
                <w:szCs w:val="16"/>
              </w:rPr>
            </w:pPr>
          </w:p>
        </w:tc>
        <w:tc>
          <w:tcPr>
            <w:tcW w:w="93" w:type="pct"/>
            <w:tcBorders>
              <w:top w:val="nil"/>
              <w:left w:val="nil"/>
              <w:bottom w:val="nil"/>
              <w:right w:val="nil"/>
            </w:tcBorders>
            <w:shd w:val="clear" w:color="auto" w:fill="auto"/>
            <w:noWrap/>
            <w:vAlign w:val="center"/>
            <w:hideMark/>
          </w:tcPr>
          <w:p w14:paraId="21D49857" w14:textId="77777777" w:rsidR="008C3762" w:rsidRPr="00BC68C4" w:rsidRDefault="008C3762" w:rsidP="001613C8">
            <w:pPr>
              <w:jc w:val="left"/>
              <w:rPr>
                <w:rFonts w:ascii="Times New Roman" w:eastAsia="Times New Roman" w:hAnsi="Times New Roman" w:cs="Times New Roman"/>
                <w:color w:val="000000"/>
                <w:sz w:val="16"/>
                <w:szCs w:val="16"/>
                <w:lang w:eastAsia="en-GB"/>
              </w:rPr>
            </w:pPr>
          </w:p>
        </w:tc>
        <w:tc>
          <w:tcPr>
            <w:tcW w:w="165" w:type="pct"/>
            <w:tcBorders>
              <w:top w:val="nil"/>
              <w:left w:val="nil"/>
              <w:bottom w:val="nil"/>
              <w:right w:val="nil"/>
            </w:tcBorders>
            <w:shd w:val="clear" w:color="auto" w:fill="auto"/>
            <w:noWrap/>
            <w:vAlign w:val="bottom"/>
            <w:hideMark/>
          </w:tcPr>
          <w:p w14:paraId="73E506FC" w14:textId="77777777" w:rsidR="008C3762" w:rsidRPr="00BC68C4" w:rsidRDefault="008C3762" w:rsidP="001613C8">
            <w:pPr>
              <w:jc w:val="left"/>
              <w:rPr>
                <w:rFonts w:ascii="Times New Roman" w:eastAsia="Times New Roman" w:hAnsi="Times New Roman" w:cs="Times New Roman"/>
                <w:color w:val="000000"/>
                <w:sz w:val="16"/>
                <w:szCs w:val="16"/>
                <w:lang w:eastAsia="en-GB"/>
              </w:rPr>
            </w:pPr>
          </w:p>
        </w:tc>
        <w:tc>
          <w:tcPr>
            <w:tcW w:w="238" w:type="pct"/>
            <w:tcBorders>
              <w:top w:val="nil"/>
              <w:left w:val="nil"/>
              <w:bottom w:val="nil"/>
              <w:right w:val="nil"/>
            </w:tcBorders>
            <w:shd w:val="clear" w:color="auto" w:fill="auto"/>
            <w:noWrap/>
            <w:vAlign w:val="bottom"/>
            <w:hideMark/>
          </w:tcPr>
          <w:p w14:paraId="3449F965" w14:textId="77777777" w:rsidR="008C3762" w:rsidRPr="00BC68C4" w:rsidRDefault="008C3762" w:rsidP="001613C8">
            <w:pPr>
              <w:jc w:val="left"/>
              <w:rPr>
                <w:rFonts w:ascii="Times New Roman" w:eastAsia="Times New Roman" w:hAnsi="Times New Roman" w:cs="Times New Roman"/>
                <w:color w:val="000000"/>
                <w:sz w:val="16"/>
                <w:szCs w:val="16"/>
                <w:lang w:eastAsia="en-GB"/>
              </w:rPr>
            </w:pPr>
          </w:p>
        </w:tc>
        <w:tc>
          <w:tcPr>
            <w:tcW w:w="375" w:type="pct"/>
            <w:tcBorders>
              <w:top w:val="nil"/>
              <w:left w:val="nil"/>
              <w:bottom w:val="nil"/>
              <w:right w:val="nil"/>
            </w:tcBorders>
            <w:shd w:val="clear" w:color="auto" w:fill="auto"/>
            <w:noWrap/>
            <w:vAlign w:val="bottom"/>
            <w:hideMark/>
          </w:tcPr>
          <w:p w14:paraId="14F1574F" w14:textId="77777777" w:rsidR="008C3762" w:rsidRPr="00BC68C4" w:rsidRDefault="008C3762" w:rsidP="001613C8">
            <w:pPr>
              <w:jc w:val="left"/>
              <w:rPr>
                <w:rFonts w:ascii="Times New Roman" w:eastAsia="Times New Roman" w:hAnsi="Times New Roman" w:cs="Times New Roman"/>
                <w:color w:val="000000"/>
                <w:sz w:val="16"/>
                <w:szCs w:val="16"/>
                <w:lang w:eastAsia="en-GB"/>
              </w:rPr>
            </w:pPr>
          </w:p>
        </w:tc>
        <w:tc>
          <w:tcPr>
            <w:tcW w:w="279" w:type="pct"/>
            <w:tcBorders>
              <w:top w:val="nil"/>
              <w:left w:val="nil"/>
              <w:bottom w:val="nil"/>
              <w:right w:val="nil"/>
            </w:tcBorders>
            <w:shd w:val="clear" w:color="auto" w:fill="auto"/>
            <w:noWrap/>
            <w:vAlign w:val="bottom"/>
            <w:hideMark/>
          </w:tcPr>
          <w:p w14:paraId="09AF2D59" w14:textId="77777777" w:rsidR="008C3762" w:rsidRPr="00BC68C4" w:rsidRDefault="008C3762" w:rsidP="001613C8">
            <w:pPr>
              <w:jc w:val="left"/>
              <w:rPr>
                <w:rFonts w:ascii="Times New Roman" w:eastAsia="Times New Roman" w:hAnsi="Times New Roman" w:cs="Times New Roman"/>
                <w:color w:val="000000"/>
                <w:sz w:val="16"/>
                <w:szCs w:val="16"/>
                <w:lang w:eastAsia="en-GB"/>
              </w:rPr>
            </w:pPr>
          </w:p>
        </w:tc>
        <w:tc>
          <w:tcPr>
            <w:tcW w:w="408" w:type="pct"/>
            <w:tcBorders>
              <w:top w:val="nil"/>
              <w:left w:val="nil"/>
              <w:bottom w:val="nil"/>
              <w:right w:val="nil"/>
            </w:tcBorders>
            <w:shd w:val="clear" w:color="auto" w:fill="auto"/>
            <w:noWrap/>
            <w:vAlign w:val="bottom"/>
            <w:hideMark/>
          </w:tcPr>
          <w:p w14:paraId="206B52ED" w14:textId="77777777" w:rsidR="008C3762" w:rsidRPr="00BC68C4" w:rsidRDefault="008C3762" w:rsidP="001613C8">
            <w:pPr>
              <w:jc w:val="left"/>
              <w:rPr>
                <w:rFonts w:ascii="Times New Roman" w:eastAsia="Times New Roman" w:hAnsi="Times New Roman" w:cs="Times New Roman"/>
                <w:color w:val="000000"/>
                <w:sz w:val="16"/>
                <w:szCs w:val="16"/>
                <w:lang w:eastAsia="en-GB"/>
              </w:rPr>
            </w:pPr>
          </w:p>
        </w:tc>
        <w:tc>
          <w:tcPr>
            <w:tcW w:w="270" w:type="pct"/>
            <w:tcBorders>
              <w:top w:val="nil"/>
              <w:left w:val="nil"/>
              <w:bottom w:val="nil"/>
              <w:right w:val="nil"/>
            </w:tcBorders>
            <w:shd w:val="clear" w:color="auto" w:fill="auto"/>
            <w:noWrap/>
            <w:vAlign w:val="bottom"/>
            <w:hideMark/>
          </w:tcPr>
          <w:p w14:paraId="50590C4A" w14:textId="77777777" w:rsidR="008C3762" w:rsidRPr="00BC68C4" w:rsidRDefault="008C3762" w:rsidP="001613C8">
            <w:pPr>
              <w:jc w:val="left"/>
              <w:rPr>
                <w:rFonts w:ascii="Times New Roman" w:eastAsia="Times New Roman" w:hAnsi="Times New Roman" w:cs="Times New Roman"/>
                <w:color w:val="000000"/>
                <w:sz w:val="16"/>
                <w:szCs w:val="16"/>
                <w:lang w:eastAsia="en-GB"/>
              </w:rPr>
            </w:pPr>
          </w:p>
        </w:tc>
      </w:tr>
      <w:tr w:rsidR="009A0F0B" w:rsidRPr="00BC68C4" w14:paraId="2FE29DCC" w14:textId="77777777" w:rsidTr="009A0F0B">
        <w:trPr>
          <w:trHeight w:hRule="exact" w:val="181"/>
        </w:trPr>
        <w:tc>
          <w:tcPr>
            <w:tcW w:w="940" w:type="pct"/>
            <w:gridSpan w:val="2"/>
            <w:tcBorders>
              <w:top w:val="nil"/>
              <w:left w:val="nil"/>
              <w:bottom w:val="nil"/>
              <w:right w:val="nil"/>
            </w:tcBorders>
            <w:shd w:val="clear" w:color="auto" w:fill="auto"/>
            <w:noWrap/>
            <w:vAlign w:val="center"/>
            <w:hideMark/>
          </w:tcPr>
          <w:p w14:paraId="46E276A8" w14:textId="77777777" w:rsidR="008C3762" w:rsidRPr="00BC68C4" w:rsidRDefault="008C3762" w:rsidP="001613C8">
            <w:pPr>
              <w:jc w:val="left"/>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Voting Concentration</w:t>
            </w:r>
          </w:p>
        </w:tc>
        <w:tc>
          <w:tcPr>
            <w:tcW w:w="230" w:type="pct"/>
            <w:tcBorders>
              <w:top w:val="nil"/>
              <w:left w:val="nil"/>
              <w:bottom w:val="nil"/>
              <w:right w:val="nil"/>
            </w:tcBorders>
            <w:shd w:val="clear" w:color="auto" w:fill="auto"/>
            <w:noWrap/>
            <w:vAlign w:val="center"/>
            <w:hideMark/>
          </w:tcPr>
          <w:p w14:paraId="78EEE877" w14:textId="77777777" w:rsidR="008C3762" w:rsidRPr="00BC68C4" w:rsidRDefault="008C3762" w:rsidP="001613C8">
            <w:pPr>
              <w:jc w:val="left"/>
              <w:rPr>
                <w:rFonts w:ascii="Times New Roman" w:eastAsia="Times New Roman" w:hAnsi="Times New Roman" w:cs="Times New Roman"/>
                <w:color w:val="000000"/>
                <w:sz w:val="16"/>
                <w:szCs w:val="16"/>
                <w:lang w:eastAsia="en-GB"/>
              </w:rPr>
            </w:pPr>
          </w:p>
        </w:tc>
        <w:tc>
          <w:tcPr>
            <w:tcW w:w="426" w:type="pct"/>
            <w:tcBorders>
              <w:top w:val="nil"/>
              <w:left w:val="nil"/>
              <w:bottom w:val="nil"/>
              <w:right w:val="nil"/>
            </w:tcBorders>
            <w:shd w:val="clear" w:color="auto" w:fill="auto"/>
            <w:noWrap/>
            <w:vAlign w:val="center"/>
            <w:hideMark/>
          </w:tcPr>
          <w:p w14:paraId="0059217C" w14:textId="77777777" w:rsidR="008C3762" w:rsidRPr="00BC68C4" w:rsidRDefault="008C3762" w:rsidP="001613C8">
            <w:pPr>
              <w:jc w:val="left"/>
              <w:rPr>
                <w:rFonts w:ascii="Times New Roman" w:eastAsia="Times New Roman" w:hAnsi="Times New Roman" w:cs="Times New Roman"/>
                <w:color w:val="000000"/>
                <w:sz w:val="16"/>
                <w:szCs w:val="16"/>
                <w:lang w:eastAsia="en-GB"/>
              </w:rPr>
            </w:pPr>
          </w:p>
        </w:tc>
        <w:tc>
          <w:tcPr>
            <w:tcW w:w="375" w:type="pct"/>
            <w:tcBorders>
              <w:top w:val="nil"/>
              <w:left w:val="nil"/>
              <w:bottom w:val="nil"/>
              <w:right w:val="nil"/>
            </w:tcBorders>
            <w:shd w:val="clear" w:color="auto" w:fill="auto"/>
            <w:noWrap/>
            <w:vAlign w:val="center"/>
            <w:hideMark/>
          </w:tcPr>
          <w:p w14:paraId="76663616" w14:textId="77777777" w:rsidR="008C3762" w:rsidRPr="00BC68C4" w:rsidRDefault="008C3762" w:rsidP="001613C8">
            <w:pPr>
              <w:jc w:val="left"/>
              <w:rPr>
                <w:rFonts w:ascii="Times New Roman" w:eastAsia="Times New Roman" w:hAnsi="Times New Roman" w:cs="Times New Roman"/>
                <w:color w:val="000000"/>
                <w:sz w:val="16"/>
                <w:szCs w:val="16"/>
                <w:lang w:eastAsia="en-GB"/>
              </w:rPr>
            </w:pPr>
          </w:p>
        </w:tc>
        <w:tc>
          <w:tcPr>
            <w:tcW w:w="379" w:type="pct"/>
            <w:tcBorders>
              <w:top w:val="nil"/>
              <w:left w:val="nil"/>
              <w:bottom w:val="nil"/>
              <w:right w:val="nil"/>
            </w:tcBorders>
            <w:shd w:val="clear" w:color="auto" w:fill="auto"/>
            <w:noWrap/>
            <w:vAlign w:val="center"/>
            <w:hideMark/>
          </w:tcPr>
          <w:p w14:paraId="4A35D1FE" w14:textId="77777777" w:rsidR="008C3762" w:rsidRPr="00BC68C4" w:rsidRDefault="008C3762" w:rsidP="001613C8">
            <w:pPr>
              <w:jc w:val="left"/>
              <w:rPr>
                <w:rFonts w:ascii="Times New Roman" w:eastAsia="Times New Roman" w:hAnsi="Times New Roman" w:cs="Times New Roman"/>
                <w:color w:val="000000"/>
                <w:sz w:val="16"/>
                <w:szCs w:val="16"/>
                <w:lang w:eastAsia="en-GB"/>
              </w:rPr>
            </w:pPr>
          </w:p>
        </w:tc>
        <w:tc>
          <w:tcPr>
            <w:tcW w:w="424" w:type="pct"/>
            <w:tcBorders>
              <w:top w:val="nil"/>
              <w:left w:val="nil"/>
              <w:bottom w:val="nil"/>
              <w:right w:val="nil"/>
            </w:tcBorders>
            <w:shd w:val="clear" w:color="auto" w:fill="auto"/>
            <w:noWrap/>
            <w:vAlign w:val="center"/>
            <w:hideMark/>
          </w:tcPr>
          <w:p w14:paraId="0DC5E9FF" w14:textId="77777777" w:rsidR="008C3762" w:rsidRPr="00BC68C4" w:rsidRDefault="008C3762" w:rsidP="001613C8">
            <w:pPr>
              <w:jc w:val="left"/>
              <w:rPr>
                <w:rFonts w:ascii="Times New Roman" w:eastAsia="Times New Roman" w:hAnsi="Times New Roman" w:cs="Times New Roman"/>
                <w:color w:val="000000"/>
                <w:sz w:val="16"/>
                <w:szCs w:val="16"/>
                <w:lang w:eastAsia="en-GB"/>
              </w:rPr>
            </w:pPr>
          </w:p>
        </w:tc>
        <w:tc>
          <w:tcPr>
            <w:tcW w:w="398" w:type="pct"/>
            <w:tcBorders>
              <w:top w:val="nil"/>
              <w:left w:val="nil"/>
              <w:bottom w:val="nil"/>
              <w:right w:val="nil"/>
            </w:tcBorders>
            <w:shd w:val="clear" w:color="auto" w:fill="auto"/>
            <w:noWrap/>
            <w:vAlign w:val="center"/>
            <w:hideMark/>
          </w:tcPr>
          <w:p w14:paraId="7CAEA49D" w14:textId="77777777" w:rsidR="008C3762" w:rsidRPr="00BC68C4" w:rsidRDefault="008C3762" w:rsidP="001613C8">
            <w:pPr>
              <w:jc w:val="left"/>
              <w:rPr>
                <w:rFonts w:ascii="Times New Roman" w:eastAsia="Times New Roman" w:hAnsi="Times New Roman" w:cs="Times New Roman"/>
                <w:color w:val="000000"/>
                <w:sz w:val="16"/>
                <w:szCs w:val="16"/>
                <w:lang w:eastAsia="en-GB"/>
              </w:rPr>
            </w:pPr>
          </w:p>
        </w:tc>
        <w:tc>
          <w:tcPr>
            <w:tcW w:w="93" w:type="pct"/>
            <w:tcBorders>
              <w:top w:val="nil"/>
              <w:left w:val="nil"/>
              <w:bottom w:val="nil"/>
              <w:right w:val="nil"/>
            </w:tcBorders>
            <w:shd w:val="clear" w:color="auto" w:fill="auto"/>
            <w:noWrap/>
            <w:vAlign w:val="center"/>
            <w:hideMark/>
          </w:tcPr>
          <w:p w14:paraId="52EE1817" w14:textId="77777777" w:rsidR="008C3762" w:rsidRPr="00BC68C4" w:rsidRDefault="008C3762" w:rsidP="001613C8">
            <w:pPr>
              <w:jc w:val="left"/>
              <w:rPr>
                <w:rFonts w:ascii="Times New Roman" w:eastAsia="Times New Roman" w:hAnsi="Times New Roman" w:cs="Times New Roman"/>
                <w:color w:val="000000"/>
                <w:sz w:val="16"/>
                <w:szCs w:val="16"/>
                <w:lang w:eastAsia="en-GB"/>
              </w:rPr>
            </w:pPr>
          </w:p>
        </w:tc>
        <w:tc>
          <w:tcPr>
            <w:tcW w:w="165" w:type="pct"/>
            <w:tcBorders>
              <w:top w:val="nil"/>
              <w:left w:val="nil"/>
              <w:bottom w:val="nil"/>
              <w:right w:val="nil"/>
            </w:tcBorders>
            <w:shd w:val="clear" w:color="auto" w:fill="auto"/>
            <w:noWrap/>
            <w:vAlign w:val="center"/>
            <w:hideMark/>
          </w:tcPr>
          <w:p w14:paraId="131F0A57" w14:textId="77777777" w:rsidR="008C3762" w:rsidRPr="00BC68C4" w:rsidRDefault="008C3762" w:rsidP="001613C8">
            <w:pPr>
              <w:jc w:val="center"/>
              <w:rPr>
                <w:rFonts w:ascii="Times New Roman" w:eastAsia="Times New Roman" w:hAnsi="Times New Roman" w:cs="Times New Roman"/>
                <w:color w:val="000000"/>
                <w:sz w:val="16"/>
                <w:szCs w:val="16"/>
                <w:lang w:eastAsia="en-GB"/>
              </w:rPr>
            </w:pPr>
          </w:p>
        </w:tc>
        <w:tc>
          <w:tcPr>
            <w:tcW w:w="238" w:type="pct"/>
            <w:tcBorders>
              <w:top w:val="nil"/>
              <w:left w:val="nil"/>
              <w:bottom w:val="nil"/>
              <w:right w:val="nil"/>
            </w:tcBorders>
            <w:shd w:val="clear" w:color="auto" w:fill="auto"/>
            <w:noWrap/>
            <w:vAlign w:val="center"/>
            <w:hideMark/>
          </w:tcPr>
          <w:p w14:paraId="28DC793C" w14:textId="77777777" w:rsidR="008C3762" w:rsidRPr="00BC68C4" w:rsidRDefault="008C3762" w:rsidP="001613C8">
            <w:pPr>
              <w:jc w:val="center"/>
              <w:rPr>
                <w:rFonts w:ascii="Times New Roman" w:eastAsia="Times New Roman" w:hAnsi="Times New Roman" w:cs="Times New Roman"/>
                <w:color w:val="000000"/>
                <w:sz w:val="16"/>
                <w:szCs w:val="16"/>
                <w:lang w:eastAsia="en-GB"/>
              </w:rPr>
            </w:pPr>
          </w:p>
        </w:tc>
        <w:tc>
          <w:tcPr>
            <w:tcW w:w="375" w:type="pct"/>
            <w:tcBorders>
              <w:top w:val="nil"/>
              <w:left w:val="nil"/>
              <w:bottom w:val="nil"/>
              <w:right w:val="nil"/>
            </w:tcBorders>
            <w:shd w:val="clear" w:color="auto" w:fill="auto"/>
            <w:noWrap/>
            <w:vAlign w:val="center"/>
            <w:hideMark/>
          </w:tcPr>
          <w:p w14:paraId="2D23AD2B" w14:textId="77777777" w:rsidR="008C3762" w:rsidRPr="00BC68C4" w:rsidRDefault="008C3762" w:rsidP="001613C8">
            <w:pPr>
              <w:jc w:val="center"/>
              <w:rPr>
                <w:rFonts w:ascii="Times New Roman" w:eastAsia="Times New Roman" w:hAnsi="Times New Roman" w:cs="Times New Roman"/>
                <w:color w:val="000000"/>
                <w:sz w:val="16"/>
                <w:szCs w:val="16"/>
                <w:lang w:eastAsia="en-GB"/>
              </w:rPr>
            </w:pPr>
          </w:p>
        </w:tc>
        <w:tc>
          <w:tcPr>
            <w:tcW w:w="279" w:type="pct"/>
            <w:tcBorders>
              <w:top w:val="nil"/>
              <w:left w:val="nil"/>
              <w:bottom w:val="nil"/>
              <w:right w:val="nil"/>
            </w:tcBorders>
            <w:shd w:val="clear" w:color="auto" w:fill="auto"/>
            <w:noWrap/>
            <w:vAlign w:val="center"/>
            <w:hideMark/>
          </w:tcPr>
          <w:p w14:paraId="4CB71134" w14:textId="77777777" w:rsidR="008C3762" w:rsidRPr="00BC68C4" w:rsidRDefault="008C3762" w:rsidP="001613C8">
            <w:pPr>
              <w:jc w:val="center"/>
              <w:rPr>
                <w:rFonts w:ascii="Times New Roman" w:eastAsia="Times New Roman" w:hAnsi="Times New Roman" w:cs="Times New Roman"/>
                <w:color w:val="000000"/>
                <w:sz w:val="16"/>
                <w:szCs w:val="16"/>
                <w:lang w:eastAsia="en-GB"/>
              </w:rPr>
            </w:pPr>
          </w:p>
        </w:tc>
        <w:tc>
          <w:tcPr>
            <w:tcW w:w="408" w:type="pct"/>
            <w:tcBorders>
              <w:top w:val="nil"/>
              <w:left w:val="nil"/>
              <w:bottom w:val="nil"/>
              <w:right w:val="nil"/>
            </w:tcBorders>
            <w:shd w:val="clear" w:color="auto" w:fill="auto"/>
            <w:noWrap/>
            <w:vAlign w:val="center"/>
            <w:hideMark/>
          </w:tcPr>
          <w:p w14:paraId="261BD5C7" w14:textId="77777777" w:rsidR="008C3762" w:rsidRPr="00BC68C4" w:rsidRDefault="008C3762" w:rsidP="001613C8">
            <w:pPr>
              <w:jc w:val="center"/>
              <w:rPr>
                <w:rFonts w:ascii="Times New Roman" w:eastAsia="Times New Roman" w:hAnsi="Times New Roman" w:cs="Times New Roman"/>
                <w:color w:val="000000"/>
                <w:sz w:val="16"/>
                <w:szCs w:val="16"/>
                <w:lang w:eastAsia="en-GB"/>
              </w:rPr>
            </w:pPr>
          </w:p>
        </w:tc>
        <w:tc>
          <w:tcPr>
            <w:tcW w:w="270" w:type="pct"/>
            <w:tcBorders>
              <w:top w:val="nil"/>
              <w:left w:val="nil"/>
              <w:bottom w:val="nil"/>
              <w:right w:val="nil"/>
            </w:tcBorders>
            <w:shd w:val="clear" w:color="auto" w:fill="auto"/>
            <w:noWrap/>
            <w:vAlign w:val="center"/>
            <w:hideMark/>
          </w:tcPr>
          <w:p w14:paraId="14E4FDA0" w14:textId="77777777" w:rsidR="008C3762" w:rsidRPr="00BC68C4" w:rsidRDefault="008C3762" w:rsidP="001613C8">
            <w:pPr>
              <w:jc w:val="center"/>
              <w:rPr>
                <w:rFonts w:ascii="Times New Roman" w:eastAsia="Times New Roman" w:hAnsi="Times New Roman" w:cs="Times New Roman"/>
                <w:color w:val="000000"/>
                <w:sz w:val="16"/>
                <w:szCs w:val="16"/>
                <w:lang w:eastAsia="en-GB"/>
              </w:rPr>
            </w:pPr>
          </w:p>
        </w:tc>
      </w:tr>
      <w:tr w:rsidR="009A0F0B" w:rsidRPr="00BC68C4" w14:paraId="3578C4CA" w14:textId="77777777" w:rsidTr="009A0F0B">
        <w:trPr>
          <w:trHeight w:hRule="exact" w:val="181"/>
        </w:trPr>
        <w:tc>
          <w:tcPr>
            <w:tcW w:w="262" w:type="pct"/>
            <w:tcBorders>
              <w:top w:val="nil"/>
              <w:left w:val="nil"/>
              <w:bottom w:val="nil"/>
              <w:right w:val="nil"/>
            </w:tcBorders>
            <w:shd w:val="clear" w:color="auto" w:fill="auto"/>
            <w:noWrap/>
            <w:vAlign w:val="center"/>
          </w:tcPr>
          <w:p w14:paraId="23CC5734" w14:textId="77777777" w:rsidR="0044062C" w:rsidRPr="00BC68C4" w:rsidRDefault="0044062C" w:rsidP="00AE0FA6">
            <w:pPr>
              <w:jc w:val="left"/>
              <w:rPr>
                <w:rFonts w:ascii="Times New Roman" w:hAnsi="Times New Roman" w:cs="Times New Roman"/>
                <w:color w:val="000000"/>
                <w:sz w:val="16"/>
                <w:szCs w:val="16"/>
              </w:rPr>
            </w:pPr>
          </w:p>
        </w:tc>
        <w:tc>
          <w:tcPr>
            <w:tcW w:w="678" w:type="pct"/>
            <w:tcBorders>
              <w:top w:val="nil"/>
              <w:left w:val="nil"/>
              <w:bottom w:val="nil"/>
              <w:right w:val="nil"/>
            </w:tcBorders>
            <w:shd w:val="clear" w:color="auto" w:fill="auto"/>
            <w:noWrap/>
            <w:vAlign w:val="center"/>
          </w:tcPr>
          <w:p w14:paraId="713A334A" w14:textId="0453B852" w:rsidR="0044062C" w:rsidRPr="00BC68C4" w:rsidRDefault="0044062C" w:rsidP="009912BC">
            <w:pPr>
              <w:jc w:val="left"/>
              <w:rPr>
                <w:rFonts w:ascii="Times New Roman" w:hAnsi="Times New Roman" w:cs="Times New Roman"/>
                <w:color w:val="000000"/>
                <w:sz w:val="16"/>
                <w:szCs w:val="16"/>
              </w:rPr>
            </w:pPr>
            <w:r w:rsidRPr="00BC68C4">
              <w:rPr>
                <w:rFonts w:ascii="Times New Roman" w:eastAsia="Times New Roman" w:hAnsi="Times New Roman" w:cs="Times New Roman"/>
                <w:color w:val="000000"/>
                <w:sz w:val="16"/>
                <w:szCs w:val="16"/>
                <w:lang w:eastAsia="en-GB"/>
              </w:rPr>
              <w:t>VoteLargest5</w:t>
            </w:r>
            <w:r w:rsidRPr="00BC68C4">
              <w:rPr>
                <w:rFonts w:ascii="Times New Roman" w:hAnsi="Times New Roman" w:cs="Times New Roman"/>
                <w:color w:val="000000"/>
                <w:sz w:val="16"/>
                <w:szCs w:val="16"/>
              </w:rPr>
              <w:t xml:space="preserve"> (%)</w:t>
            </w:r>
          </w:p>
        </w:tc>
        <w:tc>
          <w:tcPr>
            <w:tcW w:w="230" w:type="pct"/>
            <w:tcBorders>
              <w:top w:val="nil"/>
              <w:left w:val="nil"/>
              <w:bottom w:val="nil"/>
              <w:right w:val="nil"/>
            </w:tcBorders>
            <w:shd w:val="clear" w:color="auto" w:fill="auto"/>
            <w:noWrap/>
            <w:vAlign w:val="bottom"/>
          </w:tcPr>
          <w:p w14:paraId="60CE9012" w14:textId="7D1119DF" w:rsidR="0044062C" w:rsidRPr="00BC68C4" w:rsidRDefault="0044062C" w:rsidP="009912BC">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245</w:t>
            </w:r>
          </w:p>
        </w:tc>
        <w:tc>
          <w:tcPr>
            <w:tcW w:w="426" w:type="pct"/>
            <w:tcBorders>
              <w:top w:val="nil"/>
              <w:left w:val="nil"/>
              <w:bottom w:val="nil"/>
              <w:right w:val="nil"/>
            </w:tcBorders>
            <w:shd w:val="clear" w:color="auto" w:fill="auto"/>
            <w:noWrap/>
            <w:vAlign w:val="bottom"/>
          </w:tcPr>
          <w:p w14:paraId="6F79FBD8" w14:textId="141A8A08" w:rsidR="0044062C" w:rsidRPr="00BC68C4" w:rsidRDefault="0044062C" w:rsidP="009912BC">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21.44</w:t>
            </w:r>
          </w:p>
        </w:tc>
        <w:tc>
          <w:tcPr>
            <w:tcW w:w="375" w:type="pct"/>
            <w:tcBorders>
              <w:top w:val="nil"/>
              <w:left w:val="nil"/>
              <w:bottom w:val="nil"/>
              <w:right w:val="nil"/>
            </w:tcBorders>
            <w:shd w:val="clear" w:color="auto" w:fill="auto"/>
            <w:noWrap/>
            <w:vAlign w:val="bottom"/>
          </w:tcPr>
          <w:p w14:paraId="35BF9098" w14:textId="592E1EB6" w:rsidR="0044062C" w:rsidRPr="00BC68C4" w:rsidRDefault="0044062C" w:rsidP="009912BC">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1.21</w:t>
            </w:r>
          </w:p>
        </w:tc>
        <w:tc>
          <w:tcPr>
            <w:tcW w:w="379" w:type="pct"/>
            <w:tcBorders>
              <w:top w:val="nil"/>
              <w:left w:val="nil"/>
              <w:bottom w:val="nil"/>
              <w:right w:val="nil"/>
            </w:tcBorders>
            <w:shd w:val="clear" w:color="auto" w:fill="auto"/>
            <w:noWrap/>
            <w:vAlign w:val="bottom"/>
          </w:tcPr>
          <w:p w14:paraId="111AEC1E" w14:textId="595D02BC" w:rsidR="0044062C" w:rsidRPr="00BC68C4" w:rsidRDefault="0044062C" w:rsidP="009912BC">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17.28</w:t>
            </w:r>
          </w:p>
        </w:tc>
        <w:tc>
          <w:tcPr>
            <w:tcW w:w="424" w:type="pct"/>
            <w:tcBorders>
              <w:top w:val="nil"/>
              <w:left w:val="nil"/>
              <w:bottom w:val="nil"/>
              <w:right w:val="nil"/>
            </w:tcBorders>
            <w:shd w:val="clear" w:color="auto" w:fill="auto"/>
            <w:noWrap/>
            <w:vAlign w:val="bottom"/>
          </w:tcPr>
          <w:p w14:paraId="50E0E6A8" w14:textId="603EBF3C" w:rsidR="0044062C" w:rsidRPr="00BC68C4" w:rsidRDefault="0044062C" w:rsidP="009912BC">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89.40</w:t>
            </w:r>
          </w:p>
        </w:tc>
        <w:tc>
          <w:tcPr>
            <w:tcW w:w="398" w:type="pct"/>
            <w:tcBorders>
              <w:top w:val="nil"/>
              <w:left w:val="nil"/>
              <w:bottom w:val="nil"/>
              <w:right w:val="nil"/>
            </w:tcBorders>
            <w:shd w:val="clear" w:color="auto" w:fill="auto"/>
            <w:noWrap/>
            <w:vAlign w:val="bottom"/>
          </w:tcPr>
          <w:p w14:paraId="5EFD97DE" w14:textId="623B51F0" w:rsidR="0044062C" w:rsidRPr="00BC68C4" w:rsidRDefault="0044062C" w:rsidP="009912BC">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16.70</w:t>
            </w:r>
          </w:p>
        </w:tc>
        <w:tc>
          <w:tcPr>
            <w:tcW w:w="93" w:type="pct"/>
            <w:tcBorders>
              <w:top w:val="nil"/>
              <w:left w:val="nil"/>
              <w:bottom w:val="nil"/>
              <w:right w:val="nil"/>
            </w:tcBorders>
            <w:shd w:val="clear" w:color="auto" w:fill="auto"/>
            <w:noWrap/>
            <w:vAlign w:val="center"/>
          </w:tcPr>
          <w:p w14:paraId="41B7FB83" w14:textId="77777777" w:rsidR="0044062C" w:rsidRPr="00BC68C4" w:rsidRDefault="0044062C" w:rsidP="009912BC">
            <w:pPr>
              <w:jc w:val="center"/>
              <w:rPr>
                <w:rFonts w:ascii="Times New Roman" w:eastAsia="Times New Roman" w:hAnsi="Times New Roman" w:cs="Times New Roman"/>
                <w:color w:val="000000"/>
                <w:sz w:val="16"/>
                <w:szCs w:val="16"/>
                <w:lang w:eastAsia="en-GB"/>
              </w:rPr>
            </w:pPr>
          </w:p>
        </w:tc>
        <w:tc>
          <w:tcPr>
            <w:tcW w:w="165" w:type="pct"/>
            <w:tcBorders>
              <w:top w:val="nil"/>
              <w:left w:val="nil"/>
              <w:bottom w:val="nil"/>
              <w:right w:val="nil"/>
            </w:tcBorders>
            <w:shd w:val="clear" w:color="auto" w:fill="auto"/>
            <w:noWrap/>
            <w:vAlign w:val="bottom"/>
          </w:tcPr>
          <w:p w14:paraId="4A389E97" w14:textId="18C348AB"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344</w:t>
            </w:r>
          </w:p>
        </w:tc>
        <w:tc>
          <w:tcPr>
            <w:tcW w:w="238" w:type="pct"/>
            <w:tcBorders>
              <w:top w:val="nil"/>
              <w:left w:val="nil"/>
              <w:bottom w:val="nil"/>
              <w:right w:val="nil"/>
            </w:tcBorders>
            <w:shd w:val="clear" w:color="auto" w:fill="auto"/>
            <w:noWrap/>
            <w:vAlign w:val="bottom"/>
          </w:tcPr>
          <w:p w14:paraId="7928E410" w14:textId="16C791DA"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24.73</w:t>
            </w:r>
          </w:p>
        </w:tc>
        <w:tc>
          <w:tcPr>
            <w:tcW w:w="375" w:type="pct"/>
            <w:tcBorders>
              <w:top w:val="nil"/>
              <w:left w:val="nil"/>
              <w:bottom w:val="nil"/>
              <w:right w:val="nil"/>
            </w:tcBorders>
            <w:shd w:val="clear" w:color="auto" w:fill="auto"/>
            <w:noWrap/>
            <w:vAlign w:val="bottom"/>
          </w:tcPr>
          <w:p w14:paraId="30C23884" w14:textId="013327D9"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1.06</w:t>
            </w:r>
          </w:p>
        </w:tc>
        <w:tc>
          <w:tcPr>
            <w:tcW w:w="279" w:type="pct"/>
            <w:tcBorders>
              <w:top w:val="nil"/>
              <w:left w:val="nil"/>
              <w:bottom w:val="nil"/>
              <w:right w:val="nil"/>
            </w:tcBorders>
            <w:shd w:val="clear" w:color="auto" w:fill="auto"/>
            <w:noWrap/>
            <w:vAlign w:val="bottom"/>
          </w:tcPr>
          <w:p w14:paraId="25FEFFCA" w14:textId="228C6688"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18.36</w:t>
            </w:r>
          </w:p>
        </w:tc>
        <w:tc>
          <w:tcPr>
            <w:tcW w:w="408" w:type="pct"/>
            <w:tcBorders>
              <w:top w:val="nil"/>
              <w:left w:val="nil"/>
              <w:bottom w:val="nil"/>
              <w:right w:val="nil"/>
            </w:tcBorders>
            <w:shd w:val="clear" w:color="auto" w:fill="auto"/>
            <w:noWrap/>
            <w:vAlign w:val="bottom"/>
          </w:tcPr>
          <w:p w14:paraId="42A7A812" w14:textId="7F4639CF"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98.67</w:t>
            </w:r>
          </w:p>
        </w:tc>
        <w:tc>
          <w:tcPr>
            <w:tcW w:w="270" w:type="pct"/>
            <w:tcBorders>
              <w:top w:val="nil"/>
              <w:left w:val="nil"/>
              <w:bottom w:val="nil"/>
              <w:right w:val="nil"/>
            </w:tcBorders>
            <w:shd w:val="clear" w:color="auto" w:fill="auto"/>
            <w:noWrap/>
            <w:vAlign w:val="bottom"/>
          </w:tcPr>
          <w:p w14:paraId="34E7A384" w14:textId="4424ADB4"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20.81</w:t>
            </w:r>
          </w:p>
        </w:tc>
      </w:tr>
      <w:tr w:rsidR="009A0F0B" w:rsidRPr="00BC68C4" w14:paraId="639ACAD0" w14:textId="77777777" w:rsidTr="009A0F0B">
        <w:trPr>
          <w:trHeight w:hRule="exact" w:val="181"/>
        </w:trPr>
        <w:tc>
          <w:tcPr>
            <w:tcW w:w="262" w:type="pct"/>
            <w:tcBorders>
              <w:top w:val="nil"/>
              <w:left w:val="nil"/>
              <w:bottom w:val="nil"/>
              <w:right w:val="nil"/>
            </w:tcBorders>
            <w:shd w:val="clear" w:color="auto" w:fill="auto"/>
            <w:noWrap/>
            <w:vAlign w:val="center"/>
          </w:tcPr>
          <w:p w14:paraId="752237F2" w14:textId="77777777" w:rsidR="0044062C" w:rsidRPr="00BC68C4" w:rsidRDefault="0044062C" w:rsidP="00AE0FA6">
            <w:pPr>
              <w:jc w:val="left"/>
              <w:rPr>
                <w:rFonts w:ascii="Times New Roman" w:hAnsi="Times New Roman" w:cs="Times New Roman"/>
                <w:color w:val="000000"/>
                <w:sz w:val="16"/>
                <w:szCs w:val="16"/>
              </w:rPr>
            </w:pPr>
          </w:p>
        </w:tc>
        <w:tc>
          <w:tcPr>
            <w:tcW w:w="678" w:type="pct"/>
            <w:tcBorders>
              <w:top w:val="nil"/>
              <w:left w:val="nil"/>
              <w:bottom w:val="nil"/>
              <w:right w:val="nil"/>
            </w:tcBorders>
            <w:shd w:val="clear" w:color="auto" w:fill="auto"/>
            <w:noWrap/>
            <w:vAlign w:val="center"/>
          </w:tcPr>
          <w:p w14:paraId="3CC93274" w14:textId="131E036C" w:rsidR="0044062C" w:rsidRPr="00BC68C4" w:rsidRDefault="0044062C" w:rsidP="009912BC">
            <w:pPr>
              <w:jc w:val="left"/>
              <w:rPr>
                <w:rFonts w:ascii="Times New Roman" w:hAnsi="Times New Roman" w:cs="Times New Roman"/>
                <w:color w:val="000000"/>
                <w:sz w:val="16"/>
                <w:szCs w:val="16"/>
              </w:rPr>
            </w:pPr>
            <w:proofErr w:type="spellStart"/>
            <w:r w:rsidRPr="00BC68C4">
              <w:rPr>
                <w:rFonts w:ascii="Times New Roman" w:eastAsia="Times New Roman" w:hAnsi="Times New Roman" w:cs="Times New Roman"/>
                <w:color w:val="000000"/>
                <w:sz w:val="16"/>
                <w:szCs w:val="16"/>
                <w:lang w:eastAsia="en-GB"/>
              </w:rPr>
              <w:t>VoteHHI</w:t>
            </w:r>
            <w:proofErr w:type="spellEnd"/>
            <w:r w:rsidRPr="00BC68C4">
              <w:rPr>
                <w:rFonts w:ascii="Times New Roman" w:eastAsia="Times New Roman" w:hAnsi="Times New Roman" w:cs="Times New Roman"/>
                <w:color w:val="000000"/>
                <w:sz w:val="16"/>
                <w:szCs w:val="16"/>
                <w:lang w:eastAsia="en-GB"/>
              </w:rPr>
              <w:t xml:space="preserve"> (%)</w:t>
            </w:r>
          </w:p>
        </w:tc>
        <w:tc>
          <w:tcPr>
            <w:tcW w:w="230" w:type="pct"/>
            <w:tcBorders>
              <w:top w:val="nil"/>
              <w:left w:val="nil"/>
              <w:bottom w:val="nil"/>
              <w:right w:val="nil"/>
            </w:tcBorders>
            <w:shd w:val="clear" w:color="auto" w:fill="auto"/>
            <w:noWrap/>
            <w:vAlign w:val="bottom"/>
          </w:tcPr>
          <w:p w14:paraId="0DA1696E" w14:textId="4E28990C" w:rsidR="0044062C" w:rsidRPr="00BC68C4" w:rsidRDefault="0044062C" w:rsidP="009912BC">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245</w:t>
            </w:r>
          </w:p>
        </w:tc>
        <w:tc>
          <w:tcPr>
            <w:tcW w:w="426" w:type="pct"/>
            <w:tcBorders>
              <w:top w:val="nil"/>
              <w:left w:val="nil"/>
              <w:bottom w:val="nil"/>
              <w:right w:val="nil"/>
            </w:tcBorders>
            <w:shd w:val="clear" w:color="auto" w:fill="auto"/>
            <w:noWrap/>
            <w:vAlign w:val="bottom"/>
          </w:tcPr>
          <w:p w14:paraId="045659E9" w14:textId="06844637" w:rsidR="0044062C" w:rsidRPr="00BC68C4" w:rsidRDefault="0044062C" w:rsidP="009912BC">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3.08</w:t>
            </w:r>
          </w:p>
        </w:tc>
        <w:tc>
          <w:tcPr>
            <w:tcW w:w="375" w:type="pct"/>
            <w:tcBorders>
              <w:top w:val="nil"/>
              <w:left w:val="nil"/>
              <w:bottom w:val="nil"/>
              <w:right w:val="nil"/>
            </w:tcBorders>
            <w:shd w:val="clear" w:color="auto" w:fill="auto"/>
            <w:noWrap/>
            <w:vAlign w:val="bottom"/>
          </w:tcPr>
          <w:p w14:paraId="7FC3F4EA" w14:textId="1B867231" w:rsidR="0044062C" w:rsidRPr="00BC68C4" w:rsidRDefault="0044062C" w:rsidP="009912BC">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0.14</w:t>
            </w:r>
          </w:p>
        </w:tc>
        <w:tc>
          <w:tcPr>
            <w:tcW w:w="379" w:type="pct"/>
            <w:tcBorders>
              <w:top w:val="nil"/>
              <w:left w:val="nil"/>
              <w:bottom w:val="nil"/>
              <w:right w:val="nil"/>
            </w:tcBorders>
            <w:shd w:val="clear" w:color="auto" w:fill="auto"/>
            <w:noWrap/>
            <w:vAlign w:val="bottom"/>
          </w:tcPr>
          <w:p w14:paraId="1B97BAD5" w14:textId="0FD77CD9"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1.36</w:t>
            </w:r>
          </w:p>
        </w:tc>
        <w:tc>
          <w:tcPr>
            <w:tcW w:w="424" w:type="pct"/>
            <w:tcBorders>
              <w:top w:val="nil"/>
              <w:left w:val="nil"/>
              <w:bottom w:val="nil"/>
              <w:right w:val="nil"/>
            </w:tcBorders>
            <w:shd w:val="clear" w:color="auto" w:fill="auto"/>
            <w:noWrap/>
            <w:vAlign w:val="bottom"/>
          </w:tcPr>
          <w:p w14:paraId="26E74097" w14:textId="58DD4967"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35.00</w:t>
            </w:r>
          </w:p>
        </w:tc>
        <w:tc>
          <w:tcPr>
            <w:tcW w:w="398" w:type="pct"/>
            <w:tcBorders>
              <w:top w:val="nil"/>
              <w:left w:val="nil"/>
              <w:bottom w:val="nil"/>
              <w:right w:val="nil"/>
            </w:tcBorders>
            <w:shd w:val="clear" w:color="auto" w:fill="auto"/>
            <w:noWrap/>
            <w:vAlign w:val="bottom"/>
          </w:tcPr>
          <w:p w14:paraId="10A5B813" w14:textId="3C55D394"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5.89</w:t>
            </w:r>
          </w:p>
        </w:tc>
        <w:tc>
          <w:tcPr>
            <w:tcW w:w="93" w:type="pct"/>
            <w:tcBorders>
              <w:top w:val="nil"/>
              <w:left w:val="nil"/>
              <w:bottom w:val="nil"/>
              <w:right w:val="nil"/>
            </w:tcBorders>
            <w:shd w:val="clear" w:color="auto" w:fill="auto"/>
            <w:noWrap/>
            <w:vAlign w:val="center"/>
          </w:tcPr>
          <w:p w14:paraId="409374DD" w14:textId="77777777" w:rsidR="0044062C" w:rsidRPr="00BC68C4" w:rsidRDefault="0044062C" w:rsidP="009912BC">
            <w:pPr>
              <w:jc w:val="center"/>
              <w:rPr>
                <w:rFonts w:ascii="Times New Roman" w:eastAsia="Times New Roman" w:hAnsi="Times New Roman" w:cs="Times New Roman"/>
                <w:color w:val="000000"/>
                <w:sz w:val="16"/>
                <w:szCs w:val="16"/>
                <w:lang w:eastAsia="en-GB"/>
              </w:rPr>
            </w:pPr>
          </w:p>
        </w:tc>
        <w:tc>
          <w:tcPr>
            <w:tcW w:w="165" w:type="pct"/>
            <w:tcBorders>
              <w:top w:val="nil"/>
              <w:left w:val="nil"/>
              <w:bottom w:val="nil"/>
              <w:right w:val="nil"/>
            </w:tcBorders>
            <w:shd w:val="clear" w:color="auto" w:fill="auto"/>
            <w:noWrap/>
            <w:vAlign w:val="bottom"/>
          </w:tcPr>
          <w:p w14:paraId="73F71275" w14:textId="43A2A277"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344</w:t>
            </w:r>
          </w:p>
        </w:tc>
        <w:tc>
          <w:tcPr>
            <w:tcW w:w="238" w:type="pct"/>
            <w:tcBorders>
              <w:top w:val="nil"/>
              <w:left w:val="nil"/>
              <w:bottom w:val="nil"/>
              <w:right w:val="nil"/>
            </w:tcBorders>
            <w:shd w:val="clear" w:color="auto" w:fill="auto"/>
            <w:noWrap/>
            <w:vAlign w:val="bottom"/>
          </w:tcPr>
          <w:p w14:paraId="688BF9FA" w14:textId="513F96EE"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4.19</w:t>
            </w:r>
          </w:p>
        </w:tc>
        <w:tc>
          <w:tcPr>
            <w:tcW w:w="375" w:type="pct"/>
            <w:tcBorders>
              <w:top w:val="nil"/>
              <w:left w:val="nil"/>
              <w:bottom w:val="nil"/>
              <w:right w:val="nil"/>
            </w:tcBorders>
            <w:shd w:val="clear" w:color="auto" w:fill="auto"/>
            <w:noWrap/>
            <w:vAlign w:val="bottom"/>
          </w:tcPr>
          <w:p w14:paraId="5D01E62D" w14:textId="0F8E114A" w:rsidR="0044062C" w:rsidRPr="00BC68C4" w:rsidRDefault="0044062C" w:rsidP="009912BC">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0.13</w:t>
            </w:r>
          </w:p>
        </w:tc>
        <w:tc>
          <w:tcPr>
            <w:tcW w:w="279" w:type="pct"/>
            <w:tcBorders>
              <w:top w:val="nil"/>
              <w:left w:val="nil"/>
              <w:bottom w:val="nil"/>
              <w:right w:val="nil"/>
            </w:tcBorders>
            <w:shd w:val="clear" w:color="auto" w:fill="auto"/>
            <w:noWrap/>
            <w:vAlign w:val="bottom"/>
          </w:tcPr>
          <w:p w14:paraId="2CE83DF1" w14:textId="5839FBC7" w:rsidR="0044062C" w:rsidRPr="00BC68C4" w:rsidRDefault="0044062C" w:rsidP="009912BC">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1.52</w:t>
            </w:r>
          </w:p>
        </w:tc>
        <w:tc>
          <w:tcPr>
            <w:tcW w:w="408" w:type="pct"/>
            <w:tcBorders>
              <w:top w:val="nil"/>
              <w:left w:val="nil"/>
              <w:bottom w:val="nil"/>
              <w:right w:val="nil"/>
            </w:tcBorders>
            <w:shd w:val="clear" w:color="auto" w:fill="auto"/>
            <w:noWrap/>
            <w:vAlign w:val="bottom"/>
          </w:tcPr>
          <w:p w14:paraId="649D081C" w14:textId="437CEE77" w:rsidR="0044062C" w:rsidRPr="00BC68C4" w:rsidRDefault="0044062C" w:rsidP="009912BC">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54.40</w:t>
            </w:r>
          </w:p>
        </w:tc>
        <w:tc>
          <w:tcPr>
            <w:tcW w:w="270" w:type="pct"/>
            <w:tcBorders>
              <w:top w:val="nil"/>
              <w:left w:val="nil"/>
              <w:bottom w:val="nil"/>
              <w:right w:val="nil"/>
            </w:tcBorders>
            <w:shd w:val="clear" w:color="auto" w:fill="auto"/>
            <w:noWrap/>
            <w:vAlign w:val="bottom"/>
          </w:tcPr>
          <w:p w14:paraId="774D17E6" w14:textId="2AD517A9"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8.17</w:t>
            </w:r>
          </w:p>
        </w:tc>
      </w:tr>
      <w:tr w:rsidR="009A0F0B" w:rsidRPr="00BC68C4" w14:paraId="68E55187" w14:textId="77777777" w:rsidTr="009A0F0B">
        <w:trPr>
          <w:trHeight w:hRule="exact" w:val="181"/>
        </w:trPr>
        <w:tc>
          <w:tcPr>
            <w:tcW w:w="262" w:type="pct"/>
            <w:tcBorders>
              <w:top w:val="nil"/>
              <w:left w:val="nil"/>
              <w:bottom w:val="nil"/>
              <w:right w:val="nil"/>
            </w:tcBorders>
            <w:shd w:val="clear" w:color="auto" w:fill="auto"/>
            <w:noWrap/>
            <w:vAlign w:val="center"/>
            <w:hideMark/>
          </w:tcPr>
          <w:p w14:paraId="44637BEF" w14:textId="77777777" w:rsidR="0044062C" w:rsidRPr="00BC68C4" w:rsidRDefault="0044062C" w:rsidP="00AE0FA6">
            <w:pPr>
              <w:jc w:val="left"/>
              <w:rPr>
                <w:rFonts w:ascii="Times New Roman" w:hAnsi="Times New Roman" w:cs="Times New Roman"/>
                <w:color w:val="000000"/>
                <w:sz w:val="16"/>
                <w:szCs w:val="16"/>
              </w:rPr>
            </w:pPr>
          </w:p>
        </w:tc>
        <w:tc>
          <w:tcPr>
            <w:tcW w:w="678" w:type="pct"/>
            <w:tcBorders>
              <w:top w:val="nil"/>
              <w:left w:val="nil"/>
              <w:bottom w:val="nil"/>
              <w:right w:val="nil"/>
            </w:tcBorders>
            <w:shd w:val="clear" w:color="auto" w:fill="auto"/>
            <w:noWrap/>
            <w:vAlign w:val="center"/>
            <w:hideMark/>
          </w:tcPr>
          <w:p w14:paraId="379648A8" w14:textId="77777777" w:rsidR="0044062C" w:rsidRPr="00BC68C4" w:rsidRDefault="0044062C" w:rsidP="001613C8">
            <w:pPr>
              <w:jc w:val="left"/>
              <w:rPr>
                <w:rFonts w:ascii="Times New Roman" w:hAnsi="Times New Roman" w:cs="Times New Roman"/>
                <w:color w:val="000000"/>
                <w:sz w:val="16"/>
                <w:szCs w:val="16"/>
              </w:rPr>
            </w:pPr>
            <w:proofErr w:type="spellStart"/>
            <w:r w:rsidRPr="00BC68C4">
              <w:rPr>
                <w:rFonts w:ascii="Times New Roman" w:hAnsi="Times New Roman" w:cs="Times New Roman"/>
                <w:color w:val="000000"/>
                <w:sz w:val="16"/>
                <w:szCs w:val="16"/>
              </w:rPr>
              <w:t>VoteDir</w:t>
            </w:r>
            <w:proofErr w:type="spellEnd"/>
            <w:r w:rsidRPr="00BC68C4">
              <w:rPr>
                <w:rFonts w:ascii="Times New Roman" w:hAnsi="Times New Roman" w:cs="Times New Roman"/>
                <w:color w:val="000000"/>
                <w:sz w:val="16"/>
                <w:szCs w:val="16"/>
              </w:rPr>
              <w:t xml:space="preserve"> (%)</w:t>
            </w:r>
          </w:p>
        </w:tc>
        <w:tc>
          <w:tcPr>
            <w:tcW w:w="230" w:type="pct"/>
            <w:tcBorders>
              <w:top w:val="nil"/>
              <w:left w:val="nil"/>
              <w:bottom w:val="nil"/>
              <w:right w:val="nil"/>
            </w:tcBorders>
            <w:shd w:val="clear" w:color="auto" w:fill="auto"/>
            <w:noWrap/>
            <w:vAlign w:val="bottom"/>
            <w:hideMark/>
          </w:tcPr>
          <w:p w14:paraId="1B6E1DCA" w14:textId="4BF96C5C"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245</w:t>
            </w:r>
          </w:p>
        </w:tc>
        <w:tc>
          <w:tcPr>
            <w:tcW w:w="426" w:type="pct"/>
            <w:tcBorders>
              <w:top w:val="nil"/>
              <w:left w:val="nil"/>
              <w:bottom w:val="nil"/>
              <w:right w:val="nil"/>
            </w:tcBorders>
            <w:shd w:val="clear" w:color="auto" w:fill="auto"/>
            <w:noWrap/>
            <w:vAlign w:val="bottom"/>
            <w:hideMark/>
          </w:tcPr>
          <w:p w14:paraId="6A79902B" w14:textId="3ABEE794"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11.53</w:t>
            </w:r>
          </w:p>
        </w:tc>
        <w:tc>
          <w:tcPr>
            <w:tcW w:w="375" w:type="pct"/>
            <w:tcBorders>
              <w:top w:val="nil"/>
              <w:left w:val="nil"/>
              <w:bottom w:val="nil"/>
              <w:right w:val="nil"/>
            </w:tcBorders>
            <w:shd w:val="clear" w:color="auto" w:fill="auto"/>
            <w:noWrap/>
            <w:vAlign w:val="bottom"/>
            <w:hideMark/>
          </w:tcPr>
          <w:p w14:paraId="549CADE4" w14:textId="48C6F0A8"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0.00</w:t>
            </w:r>
          </w:p>
        </w:tc>
        <w:tc>
          <w:tcPr>
            <w:tcW w:w="379" w:type="pct"/>
            <w:tcBorders>
              <w:top w:val="nil"/>
              <w:left w:val="nil"/>
              <w:bottom w:val="nil"/>
              <w:right w:val="nil"/>
            </w:tcBorders>
            <w:shd w:val="clear" w:color="auto" w:fill="auto"/>
            <w:noWrap/>
            <w:vAlign w:val="bottom"/>
            <w:hideMark/>
          </w:tcPr>
          <w:p w14:paraId="19C7EFBA" w14:textId="130B3959"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6.99</w:t>
            </w:r>
          </w:p>
        </w:tc>
        <w:tc>
          <w:tcPr>
            <w:tcW w:w="424" w:type="pct"/>
            <w:tcBorders>
              <w:top w:val="nil"/>
              <w:left w:val="nil"/>
              <w:bottom w:val="nil"/>
              <w:right w:val="nil"/>
            </w:tcBorders>
            <w:shd w:val="clear" w:color="auto" w:fill="auto"/>
            <w:noWrap/>
            <w:vAlign w:val="bottom"/>
            <w:hideMark/>
          </w:tcPr>
          <w:p w14:paraId="26447BA1" w14:textId="30A3B66B"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69.04</w:t>
            </w:r>
          </w:p>
        </w:tc>
        <w:tc>
          <w:tcPr>
            <w:tcW w:w="398" w:type="pct"/>
            <w:tcBorders>
              <w:top w:val="nil"/>
              <w:left w:val="nil"/>
              <w:bottom w:val="nil"/>
              <w:right w:val="nil"/>
            </w:tcBorders>
            <w:shd w:val="clear" w:color="auto" w:fill="auto"/>
            <w:noWrap/>
            <w:vAlign w:val="bottom"/>
            <w:hideMark/>
          </w:tcPr>
          <w:p w14:paraId="2C4786C9" w14:textId="1399EB5C"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12.00</w:t>
            </w:r>
          </w:p>
        </w:tc>
        <w:tc>
          <w:tcPr>
            <w:tcW w:w="93" w:type="pct"/>
            <w:tcBorders>
              <w:top w:val="nil"/>
              <w:left w:val="nil"/>
              <w:bottom w:val="nil"/>
              <w:right w:val="nil"/>
            </w:tcBorders>
            <w:shd w:val="clear" w:color="auto" w:fill="auto"/>
            <w:noWrap/>
            <w:vAlign w:val="center"/>
            <w:hideMark/>
          </w:tcPr>
          <w:p w14:paraId="4F0AA8CE" w14:textId="77777777" w:rsidR="0044062C" w:rsidRPr="00BC68C4" w:rsidRDefault="0044062C" w:rsidP="001613C8">
            <w:pPr>
              <w:jc w:val="center"/>
              <w:rPr>
                <w:rFonts w:ascii="Times New Roman" w:eastAsia="Times New Roman" w:hAnsi="Times New Roman" w:cs="Times New Roman"/>
                <w:color w:val="000000"/>
                <w:sz w:val="16"/>
                <w:szCs w:val="16"/>
                <w:lang w:eastAsia="en-GB"/>
              </w:rPr>
            </w:pPr>
          </w:p>
        </w:tc>
        <w:tc>
          <w:tcPr>
            <w:tcW w:w="165" w:type="pct"/>
            <w:tcBorders>
              <w:top w:val="nil"/>
              <w:left w:val="nil"/>
              <w:bottom w:val="nil"/>
              <w:right w:val="nil"/>
            </w:tcBorders>
            <w:shd w:val="clear" w:color="auto" w:fill="auto"/>
            <w:noWrap/>
            <w:vAlign w:val="bottom"/>
            <w:hideMark/>
          </w:tcPr>
          <w:p w14:paraId="66FAD43B" w14:textId="12E6DCA6"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344</w:t>
            </w:r>
          </w:p>
        </w:tc>
        <w:tc>
          <w:tcPr>
            <w:tcW w:w="238" w:type="pct"/>
            <w:tcBorders>
              <w:top w:val="nil"/>
              <w:left w:val="nil"/>
              <w:bottom w:val="nil"/>
              <w:right w:val="nil"/>
            </w:tcBorders>
            <w:shd w:val="clear" w:color="auto" w:fill="auto"/>
            <w:noWrap/>
            <w:vAlign w:val="bottom"/>
            <w:hideMark/>
          </w:tcPr>
          <w:p w14:paraId="3FACBCC4" w14:textId="3DAB96EF"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13.82</w:t>
            </w:r>
          </w:p>
        </w:tc>
        <w:tc>
          <w:tcPr>
            <w:tcW w:w="375" w:type="pct"/>
            <w:tcBorders>
              <w:top w:val="nil"/>
              <w:left w:val="nil"/>
              <w:bottom w:val="nil"/>
              <w:right w:val="nil"/>
            </w:tcBorders>
            <w:shd w:val="clear" w:color="auto" w:fill="auto"/>
            <w:noWrap/>
            <w:vAlign w:val="bottom"/>
            <w:hideMark/>
          </w:tcPr>
          <w:p w14:paraId="60D2832B" w14:textId="7ACA255D"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0.55</w:t>
            </w:r>
          </w:p>
        </w:tc>
        <w:tc>
          <w:tcPr>
            <w:tcW w:w="279" w:type="pct"/>
            <w:tcBorders>
              <w:top w:val="nil"/>
              <w:left w:val="nil"/>
              <w:bottom w:val="nil"/>
              <w:right w:val="nil"/>
            </w:tcBorders>
            <w:shd w:val="clear" w:color="auto" w:fill="auto"/>
            <w:noWrap/>
            <w:vAlign w:val="bottom"/>
            <w:hideMark/>
          </w:tcPr>
          <w:p w14:paraId="06FEEBE8" w14:textId="3808591F"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8.26</w:t>
            </w:r>
          </w:p>
        </w:tc>
        <w:tc>
          <w:tcPr>
            <w:tcW w:w="408" w:type="pct"/>
            <w:tcBorders>
              <w:top w:val="nil"/>
              <w:left w:val="nil"/>
              <w:bottom w:val="nil"/>
              <w:right w:val="nil"/>
            </w:tcBorders>
            <w:shd w:val="clear" w:color="auto" w:fill="auto"/>
            <w:noWrap/>
            <w:vAlign w:val="bottom"/>
            <w:hideMark/>
          </w:tcPr>
          <w:p w14:paraId="7CACCA3E" w14:textId="334FC92A"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85.31</w:t>
            </w:r>
          </w:p>
        </w:tc>
        <w:tc>
          <w:tcPr>
            <w:tcW w:w="270" w:type="pct"/>
            <w:tcBorders>
              <w:top w:val="nil"/>
              <w:left w:val="nil"/>
              <w:bottom w:val="nil"/>
              <w:right w:val="nil"/>
            </w:tcBorders>
            <w:shd w:val="clear" w:color="auto" w:fill="auto"/>
            <w:noWrap/>
            <w:vAlign w:val="bottom"/>
            <w:hideMark/>
          </w:tcPr>
          <w:p w14:paraId="0BD797C0" w14:textId="16E50E00"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16.12</w:t>
            </w:r>
          </w:p>
        </w:tc>
      </w:tr>
      <w:tr w:rsidR="009A0F0B" w:rsidRPr="00BC68C4" w14:paraId="2E5E6005" w14:textId="77777777" w:rsidTr="009A0F0B">
        <w:trPr>
          <w:trHeight w:hRule="exact" w:val="181"/>
        </w:trPr>
        <w:tc>
          <w:tcPr>
            <w:tcW w:w="262" w:type="pct"/>
            <w:tcBorders>
              <w:top w:val="nil"/>
              <w:left w:val="nil"/>
              <w:bottom w:val="nil"/>
              <w:right w:val="nil"/>
            </w:tcBorders>
            <w:shd w:val="clear" w:color="auto" w:fill="auto"/>
            <w:noWrap/>
            <w:vAlign w:val="center"/>
            <w:hideMark/>
          </w:tcPr>
          <w:p w14:paraId="40758B66" w14:textId="77777777" w:rsidR="0044062C" w:rsidRPr="00BC68C4" w:rsidRDefault="0044062C" w:rsidP="00AE0FA6">
            <w:pPr>
              <w:jc w:val="left"/>
              <w:rPr>
                <w:rFonts w:ascii="Times New Roman" w:hAnsi="Times New Roman" w:cs="Times New Roman"/>
                <w:color w:val="000000"/>
                <w:sz w:val="16"/>
                <w:szCs w:val="16"/>
              </w:rPr>
            </w:pPr>
          </w:p>
        </w:tc>
        <w:tc>
          <w:tcPr>
            <w:tcW w:w="678" w:type="pct"/>
            <w:tcBorders>
              <w:top w:val="nil"/>
              <w:left w:val="nil"/>
              <w:bottom w:val="nil"/>
              <w:right w:val="nil"/>
            </w:tcBorders>
            <w:shd w:val="clear" w:color="auto" w:fill="auto"/>
            <w:noWrap/>
            <w:vAlign w:val="center"/>
            <w:hideMark/>
          </w:tcPr>
          <w:p w14:paraId="78719C59" w14:textId="77777777" w:rsidR="0044062C" w:rsidRPr="00BC68C4" w:rsidRDefault="0044062C" w:rsidP="001613C8">
            <w:pPr>
              <w:jc w:val="left"/>
              <w:rPr>
                <w:rFonts w:ascii="Times New Roman" w:hAnsi="Times New Roman" w:cs="Times New Roman"/>
                <w:color w:val="000000"/>
                <w:sz w:val="16"/>
                <w:szCs w:val="16"/>
              </w:rPr>
            </w:pPr>
            <w:proofErr w:type="spellStart"/>
            <w:r w:rsidRPr="00BC68C4">
              <w:rPr>
                <w:rFonts w:ascii="Times New Roman" w:hAnsi="Times New Roman" w:cs="Times New Roman"/>
                <w:color w:val="000000"/>
                <w:sz w:val="16"/>
                <w:szCs w:val="16"/>
              </w:rPr>
              <w:t>VoteInsiders</w:t>
            </w:r>
            <w:proofErr w:type="spellEnd"/>
            <w:r w:rsidRPr="00BC68C4">
              <w:rPr>
                <w:rFonts w:ascii="Times New Roman" w:hAnsi="Times New Roman" w:cs="Times New Roman"/>
                <w:color w:val="000000"/>
                <w:sz w:val="16"/>
                <w:szCs w:val="16"/>
              </w:rPr>
              <w:t xml:space="preserve"> (%)</w:t>
            </w:r>
          </w:p>
        </w:tc>
        <w:tc>
          <w:tcPr>
            <w:tcW w:w="230" w:type="pct"/>
            <w:tcBorders>
              <w:top w:val="nil"/>
              <w:left w:val="nil"/>
              <w:bottom w:val="nil"/>
              <w:right w:val="nil"/>
            </w:tcBorders>
            <w:shd w:val="clear" w:color="auto" w:fill="auto"/>
            <w:noWrap/>
            <w:vAlign w:val="bottom"/>
            <w:hideMark/>
          </w:tcPr>
          <w:p w14:paraId="3987E96F" w14:textId="6C56E340"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245</w:t>
            </w:r>
          </w:p>
        </w:tc>
        <w:tc>
          <w:tcPr>
            <w:tcW w:w="426" w:type="pct"/>
            <w:tcBorders>
              <w:top w:val="nil"/>
              <w:left w:val="nil"/>
              <w:bottom w:val="nil"/>
              <w:right w:val="nil"/>
            </w:tcBorders>
            <w:shd w:val="clear" w:color="auto" w:fill="auto"/>
            <w:noWrap/>
            <w:vAlign w:val="bottom"/>
            <w:hideMark/>
          </w:tcPr>
          <w:p w14:paraId="2E131EC4" w14:textId="5C58F281"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14.38</w:t>
            </w:r>
          </w:p>
        </w:tc>
        <w:tc>
          <w:tcPr>
            <w:tcW w:w="375" w:type="pct"/>
            <w:tcBorders>
              <w:top w:val="nil"/>
              <w:left w:val="nil"/>
              <w:bottom w:val="nil"/>
              <w:right w:val="nil"/>
            </w:tcBorders>
            <w:shd w:val="clear" w:color="auto" w:fill="auto"/>
            <w:noWrap/>
            <w:vAlign w:val="bottom"/>
            <w:hideMark/>
          </w:tcPr>
          <w:p w14:paraId="2E901E12" w14:textId="5B5C1A0D"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1.17</w:t>
            </w:r>
          </w:p>
        </w:tc>
        <w:tc>
          <w:tcPr>
            <w:tcW w:w="379" w:type="pct"/>
            <w:tcBorders>
              <w:top w:val="nil"/>
              <w:left w:val="nil"/>
              <w:bottom w:val="nil"/>
              <w:right w:val="nil"/>
            </w:tcBorders>
            <w:shd w:val="clear" w:color="auto" w:fill="auto"/>
            <w:noWrap/>
            <w:vAlign w:val="bottom"/>
            <w:hideMark/>
          </w:tcPr>
          <w:p w14:paraId="69DE5C59" w14:textId="776040BB"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9.06</w:t>
            </w:r>
          </w:p>
        </w:tc>
        <w:tc>
          <w:tcPr>
            <w:tcW w:w="424" w:type="pct"/>
            <w:tcBorders>
              <w:top w:val="nil"/>
              <w:left w:val="nil"/>
              <w:bottom w:val="nil"/>
              <w:right w:val="nil"/>
            </w:tcBorders>
            <w:shd w:val="clear" w:color="auto" w:fill="auto"/>
            <w:noWrap/>
            <w:vAlign w:val="bottom"/>
            <w:hideMark/>
          </w:tcPr>
          <w:p w14:paraId="1289AAEF" w14:textId="42A0483C"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82.89</w:t>
            </w:r>
          </w:p>
        </w:tc>
        <w:tc>
          <w:tcPr>
            <w:tcW w:w="398" w:type="pct"/>
            <w:tcBorders>
              <w:top w:val="nil"/>
              <w:left w:val="nil"/>
              <w:bottom w:val="nil"/>
              <w:right w:val="nil"/>
            </w:tcBorders>
            <w:shd w:val="clear" w:color="auto" w:fill="auto"/>
            <w:noWrap/>
            <w:vAlign w:val="bottom"/>
            <w:hideMark/>
          </w:tcPr>
          <w:p w14:paraId="466F5C2E" w14:textId="19FFFAD8"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14.73</w:t>
            </w:r>
          </w:p>
        </w:tc>
        <w:tc>
          <w:tcPr>
            <w:tcW w:w="93" w:type="pct"/>
            <w:tcBorders>
              <w:top w:val="nil"/>
              <w:left w:val="nil"/>
              <w:bottom w:val="nil"/>
              <w:right w:val="nil"/>
            </w:tcBorders>
            <w:shd w:val="clear" w:color="auto" w:fill="auto"/>
            <w:noWrap/>
            <w:vAlign w:val="center"/>
            <w:hideMark/>
          </w:tcPr>
          <w:p w14:paraId="393023E2" w14:textId="77777777" w:rsidR="0044062C" w:rsidRPr="00BC68C4" w:rsidRDefault="0044062C" w:rsidP="001613C8">
            <w:pPr>
              <w:jc w:val="center"/>
              <w:rPr>
                <w:rFonts w:ascii="Times New Roman" w:eastAsia="Times New Roman" w:hAnsi="Times New Roman" w:cs="Times New Roman"/>
                <w:color w:val="000000"/>
                <w:sz w:val="16"/>
                <w:szCs w:val="16"/>
                <w:lang w:eastAsia="en-GB"/>
              </w:rPr>
            </w:pPr>
          </w:p>
        </w:tc>
        <w:tc>
          <w:tcPr>
            <w:tcW w:w="165" w:type="pct"/>
            <w:tcBorders>
              <w:top w:val="nil"/>
              <w:left w:val="nil"/>
              <w:bottom w:val="nil"/>
              <w:right w:val="nil"/>
            </w:tcBorders>
            <w:shd w:val="clear" w:color="auto" w:fill="auto"/>
            <w:noWrap/>
            <w:vAlign w:val="bottom"/>
            <w:hideMark/>
          </w:tcPr>
          <w:p w14:paraId="06DD6069" w14:textId="0C46EA2B"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344</w:t>
            </w:r>
          </w:p>
        </w:tc>
        <w:tc>
          <w:tcPr>
            <w:tcW w:w="238" w:type="pct"/>
            <w:tcBorders>
              <w:top w:val="nil"/>
              <w:left w:val="nil"/>
              <w:bottom w:val="nil"/>
              <w:right w:val="nil"/>
            </w:tcBorders>
            <w:shd w:val="clear" w:color="auto" w:fill="auto"/>
            <w:noWrap/>
            <w:vAlign w:val="bottom"/>
            <w:hideMark/>
          </w:tcPr>
          <w:p w14:paraId="75C83E4F" w14:textId="179221DB"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18.85</w:t>
            </w:r>
          </w:p>
        </w:tc>
        <w:tc>
          <w:tcPr>
            <w:tcW w:w="375" w:type="pct"/>
            <w:tcBorders>
              <w:top w:val="nil"/>
              <w:left w:val="nil"/>
              <w:bottom w:val="nil"/>
              <w:right w:val="nil"/>
            </w:tcBorders>
            <w:shd w:val="clear" w:color="auto" w:fill="auto"/>
            <w:noWrap/>
            <w:vAlign w:val="bottom"/>
            <w:hideMark/>
          </w:tcPr>
          <w:p w14:paraId="1E0B564F" w14:textId="5C2984CE"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0.88</w:t>
            </w:r>
          </w:p>
        </w:tc>
        <w:tc>
          <w:tcPr>
            <w:tcW w:w="279" w:type="pct"/>
            <w:tcBorders>
              <w:top w:val="nil"/>
              <w:left w:val="nil"/>
              <w:bottom w:val="nil"/>
              <w:right w:val="nil"/>
            </w:tcBorders>
            <w:shd w:val="clear" w:color="auto" w:fill="auto"/>
            <w:noWrap/>
            <w:vAlign w:val="bottom"/>
            <w:hideMark/>
          </w:tcPr>
          <w:p w14:paraId="33FAE70C" w14:textId="3FD8C028"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10.45</w:t>
            </w:r>
          </w:p>
        </w:tc>
        <w:tc>
          <w:tcPr>
            <w:tcW w:w="408" w:type="pct"/>
            <w:tcBorders>
              <w:top w:val="nil"/>
              <w:left w:val="nil"/>
              <w:bottom w:val="nil"/>
              <w:right w:val="nil"/>
            </w:tcBorders>
            <w:shd w:val="clear" w:color="auto" w:fill="auto"/>
            <w:noWrap/>
            <w:vAlign w:val="bottom"/>
            <w:hideMark/>
          </w:tcPr>
          <w:p w14:paraId="3B7E82BD" w14:textId="795098E4"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98.00</w:t>
            </w:r>
          </w:p>
        </w:tc>
        <w:tc>
          <w:tcPr>
            <w:tcW w:w="270" w:type="pct"/>
            <w:tcBorders>
              <w:top w:val="nil"/>
              <w:left w:val="nil"/>
              <w:bottom w:val="nil"/>
              <w:right w:val="nil"/>
            </w:tcBorders>
            <w:shd w:val="clear" w:color="auto" w:fill="auto"/>
            <w:noWrap/>
            <w:vAlign w:val="bottom"/>
            <w:hideMark/>
          </w:tcPr>
          <w:p w14:paraId="7F6A5C28" w14:textId="24066548"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20.97</w:t>
            </w:r>
          </w:p>
        </w:tc>
      </w:tr>
      <w:tr w:rsidR="009A0F0B" w:rsidRPr="00BC68C4" w14:paraId="4835B159" w14:textId="77777777" w:rsidTr="009A0F0B">
        <w:trPr>
          <w:trHeight w:hRule="exact" w:val="181"/>
        </w:trPr>
        <w:tc>
          <w:tcPr>
            <w:tcW w:w="262" w:type="pct"/>
            <w:tcBorders>
              <w:top w:val="nil"/>
              <w:left w:val="nil"/>
              <w:bottom w:val="nil"/>
              <w:right w:val="nil"/>
            </w:tcBorders>
            <w:shd w:val="clear" w:color="auto" w:fill="auto"/>
            <w:noWrap/>
            <w:vAlign w:val="center"/>
            <w:hideMark/>
          </w:tcPr>
          <w:p w14:paraId="75967276" w14:textId="77777777" w:rsidR="0044062C" w:rsidRPr="00BC68C4" w:rsidRDefault="0044062C" w:rsidP="00AE0FA6">
            <w:pPr>
              <w:jc w:val="left"/>
              <w:rPr>
                <w:rFonts w:ascii="Times New Roman" w:hAnsi="Times New Roman" w:cs="Times New Roman"/>
                <w:color w:val="000000"/>
                <w:sz w:val="16"/>
                <w:szCs w:val="16"/>
              </w:rPr>
            </w:pPr>
          </w:p>
        </w:tc>
        <w:tc>
          <w:tcPr>
            <w:tcW w:w="678" w:type="pct"/>
            <w:tcBorders>
              <w:top w:val="nil"/>
              <w:left w:val="nil"/>
              <w:bottom w:val="nil"/>
              <w:right w:val="nil"/>
            </w:tcBorders>
            <w:shd w:val="clear" w:color="auto" w:fill="auto"/>
            <w:noWrap/>
            <w:vAlign w:val="center"/>
          </w:tcPr>
          <w:p w14:paraId="27B2001F" w14:textId="758AAC25" w:rsidR="0044062C" w:rsidRPr="00BC68C4" w:rsidRDefault="0044062C" w:rsidP="009912BC">
            <w:pPr>
              <w:jc w:val="left"/>
              <w:rPr>
                <w:rFonts w:ascii="Times New Roman" w:hAnsi="Times New Roman" w:cs="Times New Roman"/>
                <w:color w:val="000000"/>
                <w:sz w:val="16"/>
                <w:szCs w:val="16"/>
              </w:rPr>
            </w:pPr>
            <w:proofErr w:type="spellStart"/>
            <w:r w:rsidRPr="00BC68C4">
              <w:rPr>
                <w:rFonts w:ascii="Times New Roman" w:eastAsia="Times New Roman" w:hAnsi="Times New Roman" w:cs="Times New Roman"/>
                <w:color w:val="000000"/>
                <w:sz w:val="16"/>
                <w:szCs w:val="16"/>
                <w:lang w:eastAsia="en-GB"/>
              </w:rPr>
              <w:t>ActiveBlock</w:t>
            </w:r>
            <w:proofErr w:type="spellEnd"/>
            <w:r w:rsidRPr="00BC68C4">
              <w:rPr>
                <w:rFonts w:ascii="Times New Roman" w:hAnsi="Times New Roman" w:cs="Times New Roman"/>
                <w:color w:val="000000"/>
                <w:sz w:val="16"/>
                <w:szCs w:val="16"/>
              </w:rPr>
              <w:t xml:space="preserve"> (%)</w:t>
            </w:r>
          </w:p>
        </w:tc>
        <w:tc>
          <w:tcPr>
            <w:tcW w:w="230" w:type="pct"/>
            <w:tcBorders>
              <w:top w:val="nil"/>
              <w:left w:val="nil"/>
              <w:bottom w:val="nil"/>
              <w:right w:val="nil"/>
            </w:tcBorders>
            <w:shd w:val="clear" w:color="auto" w:fill="auto"/>
            <w:noWrap/>
            <w:vAlign w:val="bottom"/>
          </w:tcPr>
          <w:p w14:paraId="72BB6446" w14:textId="246837C6" w:rsidR="0044062C" w:rsidRPr="00BC68C4" w:rsidRDefault="0044062C" w:rsidP="009912BC">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245</w:t>
            </w:r>
          </w:p>
        </w:tc>
        <w:tc>
          <w:tcPr>
            <w:tcW w:w="426" w:type="pct"/>
            <w:tcBorders>
              <w:top w:val="nil"/>
              <w:left w:val="nil"/>
              <w:bottom w:val="nil"/>
              <w:right w:val="nil"/>
            </w:tcBorders>
            <w:shd w:val="clear" w:color="auto" w:fill="auto"/>
            <w:noWrap/>
            <w:vAlign w:val="bottom"/>
          </w:tcPr>
          <w:p w14:paraId="1A02C86B" w14:textId="4D307EBF" w:rsidR="0044062C" w:rsidRPr="00BC68C4" w:rsidRDefault="0044062C" w:rsidP="009912BC">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3.76</w:t>
            </w:r>
          </w:p>
        </w:tc>
        <w:tc>
          <w:tcPr>
            <w:tcW w:w="375" w:type="pct"/>
            <w:tcBorders>
              <w:top w:val="nil"/>
              <w:left w:val="nil"/>
              <w:bottom w:val="nil"/>
              <w:right w:val="nil"/>
            </w:tcBorders>
            <w:shd w:val="clear" w:color="auto" w:fill="auto"/>
            <w:noWrap/>
            <w:vAlign w:val="bottom"/>
          </w:tcPr>
          <w:p w14:paraId="77CF756D" w14:textId="587B3ABB"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0.00</w:t>
            </w:r>
          </w:p>
        </w:tc>
        <w:tc>
          <w:tcPr>
            <w:tcW w:w="379" w:type="pct"/>
            <w:tcBorders>
              <w:top w:val="nil"/>
              <w:left w:val="nil"/>
              <w:bottom w:val="nil"/>
              <w:right w:val="nil"/>
            </w:tcBorders>
            <w:shd w:val="clear" w:color="auto" w:fill="auto"/>
            <w:noWrap/>
            <w:vAlign w:val="bottom"/>
          </w:tcPr>
          <w:p w14:paraId="6CD8DE84" w14:textId="0A88ED81"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0.00</w:t>
            </w:r>
          </w:p>
        </w:tc>
        <w:tc>
          <w:tcPr>
            <w:tcW w:w="424" w:type="pct"/>
            <w:tcBorders>
              <w:top w:val="nil"/>
              <w:left w:val="nil"/>
              <w:bottom w:val="nil"/>
              <w:right w:val="nil"/>
            </w:tcBorders>
            <w:shd w:val="clear" w:color="auto" w:fill="auto"/>
            <w:noWrap/>
            <w:vAlign w:val="bottom"/>
          </w:tcPr>
          <w:p w14:paraId="56DD5AD3" w14:textId="420C31F9"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57.31</w:t>
            </w:r>
          </w:p>
        </w:tc>
        <w:tc>
          <w:tcPr>
            <w:tcW w:w="398" w:type="pct"/>
            <w:tcBorders>
              <w:top w:val="nil"/>
              <w:left w:val="nil"/>
              <w:bottom w:val="nil"/>
              <w:right w:val="nil"/>
            </w:tcBorders>
            <w:shd w:val="clear" w:color="auto" w:fill="auto"/>
            <w:noWrap/>
            <w:vAlign w:val="bottom"/>
          </w:tcPr>
          <w:p w14:paraId="04F227A6" w14:textId="68E5FB91" w:rsidR="0044062C" w:rsidRPr="00BC68C4" w:rsidRDefault="0044062C" w:rsidP="009912BC">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10.50</w:t>
            </w:r>
          </w:p>
        </w:tc>
        <w:tc>
          <w:tcPr>
            <w:tcW w:w="93" w:type="pct"/>
            <w:tcBorders>
              <w:top w:val="nil"/>
              <w:left w:val="nil"/>
              <w:bottom w:val="nil"/>
              <w:right w:val="nil"/>
            </w:tcBorders>
            <w:shd w:val="clear" w:color="auto" w:fill="auto"/>
            <w:noWrap/>
            <w:vAlign w:val="center"/>
          </w:tcPr>
          <w:p w14:paraId="58E7BA5C" w14:textId="486FA3C3" w:rsidR="0044062C" w:rsidRPr="00BC68C4" w:rsidRDefault="0044062C" w:rsidP="009912BC">
            <w:pPr>
              <w:jc w:val="center"/>
              <w:rPr>
                <w:rFonts w:ascii="Times New Roman" w:hAnsi="Times New Roman" w:cs="Times New Roman"/>
                <w:color w:val="000000"/>
                <w:sz w:val="16"/>
                <w:szCs w:val="16"/>
              </w:rPr>
            </w:pPr>
          </w:p>
        </w:tc>
        <w:tc>
          <w:tcPr>
            <w:tcW w:w="165" w:type="pct"/>
            <w:tcBorders>
              <w:top w:val="nil"/>
              <w:left w:val="nil"/>
              <w:bottom w:val="nil"/>
              <w:right w:val="nil"/>
            </w:tcBorders>
            <w:shd w:val="clear" w:color="auto" w:fill="auto"/>
            <w:noWrap/>
            <w:vAlign w:val="bottom"/>
          </w:tcPr>
          <w:p w14:paraId="4CE537F5" w14:textId="59F0C8E9"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344</w:t>
            </w:r>
          </w:p>
        </w:tc>
        <w:tc>
          <w:tcPr>
            <w:tcW w:w="238" w:type="pct"/>
            <w:tcBorders>
              <w:top w:val="nil"/>
              <w:left w:val="nil"/>
              <w:bottom w:val="nil"/>
              <w:right w:val="nil"/>
            </w:tcBorders>
            <w:shd w:val="clear" w:color="auto" w:fill="auto"/>
            <w:noWrap/>
            <w:vAlign w:val="bottom"/>
          </w:tcPr>
          <w:p w14:paraId="10A0985C" w14:textId="05586751"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5.43</w:t>
            </w:r>
          </w:p>
        </w:tc>
        <w:tc>
          <w:tcPr>
            <w:tcW w:w="375" w:type="pct"/>
            <w:tcBorders>
              <w:top w:val="nil"/>
              <w:left w:val="nil"/>
              <w:bottom w:val="nil"/>
              <w:right w:val="nil"/>
            </w:tcBorders>
            <w:shd w:val="clear" w:color="auto" w:fill="auto"/>
            <w:noWrap/>
            <w:vAlign w:val="bottom"/>
          </w:tcPr>
          <w:p w14:paraId="7C01B98A" w14:textId="2B804BA5" w:rsidR="0044062C" w:rsidRPr="00BC68C4" w:rsidRDefault="0044062C" w:rsidP="009912BC">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0.00</w:t>
            </w:r>
          </w:p>
        </w:tc>
        <w:tc>
          <w:tcPr>
            <w:tcW w:w="279" w:type="pct"/>
            <w:tcBorders>
              <w:top w:val="nil"/>
              <w:left w:val="nil"/>
              <w:bottom w:val="nil"/>
              <w:right w:val="nil"/>
            </w:tcBorders>
            <w:shd w:val="clear" w:color="auto" w:fill="auto"/>
            <w:noWrap/>
            <w:vAlign w:val="bottom"/>
          </w:tcPr>
          <w:p w14:paraId="6937E535" w14:textId="73E2BBC6" w:rsidR="0044062C" w:rsidRPr="00BC68C4" w:rsidRDefault="0044062C" w:rsidP="009912BC">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0.00</w:t>
            </w:r>
          </w:p>
        </w:tc>
        <w:tc>
          <w:tcPr>
            <w:tcW w:w="408" w:type="pct"/>
            <w:tcBorders>
              <w:top w:val="nil"/>
              <w:left w:val="nil"/>
              <w:bottom w:val="nil"/>
              <w:right w:val="nil"/>
            </w:tcBorders>
            <w:shd w:val="clear" w:color="auto" w:fill="auto"/>
            <w:noWrap/>
            <w:vAlign w:val="bottom"/>
          </w:tcPr>
          <w:p w14:paraId="206108AF" w14:textId="5C4A9C08"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84.11</w:t>
            </w:r>
          </w:p>
        </w:tc>
        <w:tc>
          <w:tcPr>
            <w:tcW w:w="270" w:type="pct"/>
            <w:tcBorders>
              <w:top w:val="nil"/>
              <w:left w:val="nil"/>
              <w:bottom w:val="nil"/>
              <w:right w:val="nil"/>
            </w:tcBorders>
            <w:shd w:val="clear" w:color="auto" w:fill="auto"/>
            <w:noWrap/>
            <w:vAlign w:val="bottom"/>
          </w:tcPr>
          <w:p w14:paraId="4596E0AA" w14:textId="3550B78C"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15.44</w:t>
            </w:r>
          </w:p>
        </w:tc>
      </w:tr>
      <w:tr w:rsidR="009A0F0B" w:rsidRPr="00BC68C4" w14:paraId="0B1D2FA9" w14:textId="77777777" w:rsidTr="009A0F0B">
        <w:trPr>
          <w:trHeight w:hRule="exact" w:val="181"/>
        </w:trPr>
        <w:tc>
          <w:tcPr>
            <w:tcW w:w="262" w:type="pct"/>
            <w:tcBorders>
              <w:top w:val="nil"/>
              <w:left w:val="nil"/>
              <w:bottom w:val="nil"/>
              <w:right w:val="nil"/>
            </w:tcBorders>
            <w:shd w:val="clear" w:color="auto" w:fill="auto"/>
            <w:noWrap/>
            <w:vAlign w:val="center"/>
            <w:hideMark/>
          </w:tcPr>
          <w:p w14:paraId="4EE18A22" w14:textId="77777777" w:rsidR="0044062C" w:rsidRPr="00BC68C4" w:rsidRDefault="0044062C" w:rsidP="00AE0FA6">
            <w:pPr>
              <w:jc w:val="left"/>
              <w:rPr>
                <w:rFonts w:ascii="Times New Roman" w:hAnsi="Times New Roman" w:cs="Times New Roman"/>
                <w:color w:val="000000"/>
                <w:sz w:val="16"/>
                <w:szCs w:val="16"/>
              </w:rPr>
            </w:pPr>
          </w:p>
        </w:tc>
        <w:tc>
          <w:tcPr>
            <w:tcW w:w="678" w:type="pct"/>
            <w:tcBorders>
              <w:top w:val="nil"/>
              <w:left w:val="nil"/>
              <w:bottom w:val="nil"/>
              <w:right w:val="nil"/>
            </w:tcBorders>
            <w:shd w:val="clear" w:color="auto" w:fill="auto"/>
            <w:noWrap/>
            <w:vAlign w:val="center"/>
          </w:tcPr>
          <w:p w14:paraId="3D7D1C49" w14:textId="411A8636" w:rsidR="0044062C" w:rsidRPr="00BC68C4" w:rsidRDefault="0044062C" w:rsidP="00AE0FA6">
            <w:pPr>
              <w:jc w:val="left"/>
              <w:rPr>
                <w:rFonts w:ascii="Times New Roman" w:hAnsi="Times New Roman" w:cs="Times New Roman"/>
                <w:color w:val="000000"/>
                <w:sz w:val="16"/>
                <w:szCs w:val="16"/>
              </w:rPr>
            </w:pPr>
            <w:proofErr w:type="spellStart"/>
            <w:r w:rsidRPr="00BC68C4">
              <w:rPr>
                <w:rFonts w:ascii="Times New Roman" w:eastAsia="Times New Roman" w:hAnsi="Times New Roman" w:cs="Times New Roman"/>
                <w:color w:val="000000"/>
                <w:sz w:val="16"/>
                <w:szCs w:val="16"/>
                <w:lang w:eastAsia="en-GB"/>
              </w:rPr>
              <w:t>PassiveBlock</w:t>
            </w:r>
            <w:proofErr w:type="spellEnd"/>
            <w:r w:rsidRPr="00BC68C4">
              <w:rPr>
                <w:rFonts w:ascii="Times New Roman" w:hAnsi="Times New Roman" w:cs="Times New Roman"/>
                <w:color w:val="000000"/>
                <w:sz w:val="16"/>
                <w:szCs w:val="16"/>
              </w:rPr>
              <w:t xml:space="preserve"> (%)</w:t>
            </w:r>
          </w:p>
        </w:tc>
        <w:tc>
          <w:tcPr>
            <w:tcW w:w="230" w:type="pct"/>
            <w:tcBorders>
              <w:top w:val="nil"/>
              <w:left w:val="nil"/>
              <w:bottom w:val="nil"/>
              <w:right w:val="nil"/>
            </w:tcBorders>
            <w:shd w:val="clear" w:color="auto" w:fill="auto"/>
            <w:noWrap/>
            <w:vAlign w:val="bottom"/>
          </w:tcPr>
          <w:p w14:paraId="03B2DF82" w14:textId="749E4B20" w:rsidR="0044062C" w:rsidRPr="00BC68C4" w:rsidRDefault="0044062C" w:rsidP="009912BC">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245</w:t>
            </w:r>
          </w:p>
        </w:tc>
        <w:tc>
          <w:tcPr>
            <w:tcW w:w="426" w:type="pct"/>
            <w:tcBorders>
              <w:top w:val="nil"/>
              <w:left w:val="nil"/>
              <w:bottom w:val="nil"/>
              <w:right w:val="nil"/>
            </w:tcBorders>
            <w:shd w:val="clear" w:color="auto" w:fill="auto"/>
            <w:noWrap/>
            <w:vAlign w:val="bottom"/>
          </w:tcPr>
          <w:p w14:paraId="0035408B" w14:textId="77B4FF96" w:rsidR="0044062C" w:rsidRPr="00BC68C4" w:rsidRDefault="0044062C" w:rsidP="009912BC">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2.85</w:t>
            </w:r>
          </w:p>
        </w:tc>
        <w:tc>
          <w:tcPr>
            <w:tcW w:w="375" w:type="pct"/>
            <w:tcBorders>
              <w:top w:val="nil"/>
              <w:left w:val="nil"/>
              <w:bottom w:val="nil"/>
              <w:right w:val="nil"/>
            </w:tcBorders>
            <w:shd w:val="clear" w:color="auto" w:fill="auto"/>
            <w:noWrap/>
            <w:vAlign w:val="bottom"/>
          </w:tcPr>
          <w:p w14:paraId="15F9BE75" w14:textId="75BE0C29" w:rsidR="0044062C" w:rsidRPr="00BC68C4" w:rsidRDefault="0044062C" w:rsidP="009912BC">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0.00</w:t>
            </w:r>
          </w:p>
        </w:tc>
        <w:tc>
          <w:tcPr>
            <w:tcW w:w="379" w:type="pct"/>
            <w:tcBorders>
              <w:top w:val="nil"/>
              <w:left w:val="nil"/>
              <w:bottom w:val="nil"/>
              <w:right w:val="nil"/>
            </w:tcBorders>
            <w:shd w:val="clear" w:color="auto" w:fill="auto"/>
            <w:noWrap/>
            <w:vAlign w:val="bottom"/>
          </w:tcPr>
          <w:p w14:paraId="290C5D8E" w14:textId="16E565AD" w:rsidR="0044062C" w:rsidRPr="00BC68C4" w:rsidRDefault="0044062C" w:rsidP="009912BC">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0.00</w:t>
            </w:r>
          </w:p>
        </w:tc>
        <w:tc>
          <w:tcPr>
            <w:tcW w:w="424" w:type="pct"/>
            <w:tcBorders>
              <w:top w:val="nil"/>
              <w:left w:val="nil"/>
              <w:bottom w:val="nil"/>
              <w:right w:val="nil"/>
            </w:tcBorders>
            <w:shd w:val="clear" w:color="auto" w:fill="auto"/>
            <w:noWrap/>
            <w:vAlign w:val="bottom"/>
          </w:tcPr>
          <w:p w14:paraId="5A6DEAA1" w14:textId="797A5D29" w:rsidR="0044062C" w:rsidRPr="00BC68C4" w:rsidRDefault="0044062C" w:rsidP="009912BC">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57.72</w:t>
            </w:r>
          </w:p>
        </w:tc>
        <w:tc>
          <w:tcPr>
            <w:tcW w:w="398" w:type="pct"/>
            <w:tcBorders>
              <w:top w:val="nil"/>
              <w:left w:val="nil"/>
              <w:bottom w:val="nil"/>
              <w:right w:val="nil"/>
            </w:tcBorders>
            <w:shd w:val="clear" w:color="auto" w:fill="auto"/>
            <w:noWrap/>
            <w:vAlign w:val="bottom"/>
          </w:tcPr>
          <w:p w14:paraId="45CF10EF" w14:textId="6654DA64" w:rsidR="0044062C" w:rsidRPr="00BC68C4" w:rsidRDefault="0044062C" w:rsidP="009912BC">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9.62</w:t>
            </w:r>
          </w:p>
        </w:tc>
        <w:tc>
          <w:tcPr>
            <w:tcW w:w="93" w:type="pct"/>
            <w:tcBorders>
              <w:top w:val="nil"/>
              <w:left w:val="nil"/>
              <w:bottom w:val="nil"/>
              <w:right w:val="nil"/>
            </w:tcBorders>
            <w:shd w:val="clear" w:color="auto" w:fill="auto"/>
            <w:noWrap/>
            <w:vAlign w:val="center"/>
          </w:tcPr>
          <w:p w14:paraId="33C970A0" w14:textId="77777777" w:rsidR="0044062C" w:rsidRPr="00BC68C4" w:rsidRDefault="0044062C" w:rsidP="009912BC">
            <w:pPr>
              <w:jc w:val="center"/>
              <w:rPr>
                <w:rFonts w:ascii="Times New Roman" w:eastAsia="Times New Roman" w:hAnsi="Times New Roman" w:cs="Times New Roman"/>
                <w:color w:val="000000"/>
                <w:sz w:val="16"/>
                <w:szCs w:val="16"/>
                <w:lang w:eastAsia="en-GB"/>
              </w:rPr>
            </w:pPr>
          </w:p>
        </w:tc>
        <w:tc>
          <w:tcPr>
            <w:tcW w:w="165" w:type="pct"/>
            <w:tcBorders>
              <w:top w:val="nil"/>
              <w:left w:val="nil"/>
              <w:bottom w:val="nil"/>
              <w:right w:val="nil"/>
            </w:tcBorders>
            <w:shd w:val="clear" w:color="auto" w:fill="auto"/>
            <w:noWrap/>
            <w:vAlign w:val="bottom"/>
          </w:tcPr>
          <w:p w14:paraId="51F26EC2" w14:textId="604B08C4"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344</w:t>
            </w:r>
          </w:p>
        </w:tc>
        <w:tc>
          <w:tcPr>
            <w:tcW w:w="238" w:type="pct"/>
            <w:tcBorders>
              <w:top w:val="nil"/>
              <w:left w:val="nil"/>
              <w:bottom w:val="nil"/>
              <w:right w:val="nil"/>
            </w:tcBorders>
            <w:shd w:val="clear" w:color="auto" w:fill="auto"/>
            <w:noWrap/>
            <w:vAlign w:val="bottom"/>
          </w:tcPr>
          <w:p w14:paraId="5C8FF100" w14:textId="399C2A42"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4.69</w:t>
            </w:r>
          </w:p>
        </w:tc>
        <w:tc>
          <w:tcPr>
            <w:tcW w:w="375" w:type="pct"/>
            <w:tcBorders>
              <w:top w:val="nil"/>
              <w:left w:val="nil"/>
              <w:bottom w:val="nil"/>
              <w:right w:val="nil"/>
            </w:tcBorders>
            <w:shd w:val="clear" w:color="auto" w:fill="auto"/>
            <w:noWrap/>
            <w:vAlign w:val="bottom"/>
          </w:tcPr>
          <w:p w14:paraId="191D75C1" w14:textId="370E04C3"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0.00</w:t>
            </w:r>
          </w:p>
        </w:tc>
        <w:tc>
          <w:tcPr>
            <w:tcW w:w="279" w:type="pct"/>
            <w:tcBorders>
              <w:top w:val="nil"/>
              <w:left w:val="nil"/>
              <w:bottom w:val="nil"/>
              <w:right w:val="nil"/>
            </w:tcBorders>
            <w:shd w:val="clear" w:color="auto" w:fill="auto"/>
            <w:noWrap/>
            <w:vAlign w:val="bottom"/>
          </w:tcPr>
          <w:p w14:paraId="1A3B1E0B" w14:textId="2FD97E10"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0.00</w:t>
            </w:r>
          </w:p>
        </w:tc>
        <w:tc>
          <w:tcPr>
            <w:tcW w:w="408" w:type="pct"/>
            <w:tcBorders>
              <w:top w:val="nil"/>
              <w:left w:val="nil"/>
              <w:bottom w:val="nil"/>
              <w:right w:val="nil"/>
            </w:tcBorders>
            <w:shd w:val="clear" w:color="auto" w:fill="auto"/>
            <w:noWrap/>
            <w:vAlign w:val="bottom"/>
          </w:tcPr>
          <w:p w14:paraId="68FC56EC" w14:textId="45C601C1"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63.28</w:t>
            </w:r>
          </w:p>
        </w:tc>
        <w:tc>
          <w:tcPr>
            <w:tcW w:w="270" w:type="pct"/>
            <w:tcBorders>
              <w:top w:val="nil"/>
              <w:left w:val="nil"/>
              <w:bottom w:val="nil"/>
              <w:right w:val="nil"/>
            </w:tcBorders>
            <w:shd w:val="clear" w:color="auto" w:fill="auto"/>
            <w:noWrap/>
            <w:vAlign w:val="bottom"/>
          </w:tcPr>
          <w:p w14:paraId="339F8E27" w14:textId="583E3010"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11.83</w:t>
            </w:r>
          </w:p>
        </w:tc>
      </w:tr>
      <w:tr w:rsidR="009A0F0B" w:rsidRPr="00BC68C4" w14:paraId="2276050D" w14:textId="77777777" w:rsidTr="009A0F0B">
        <w:trPr>
          <w:trHeight w:hRule="exact" w:val="181"/>
        </w:trPr>
        <w:tc>
          <w:tcPr>
            <w:tcW w:w="262" w:type="pct"/>
            <w:tcBorders>
              <w:top w:val="nil"/>
              <w:left w:val="nil"/>
              <w:bottom w:val="nil"/>
              <w:right w:val="nil"/>
            </w:tcBorders>
            <w:shd w:val="clear" w:color="auto" w:fill="auto"/>
            <w:noWrap/>
            <w:vAlign w:val="center"/>
            <w:hideMark/>
          </w:tcPr>
          <w:p w14:paraId="79BA106D" w14:textId="77777777" w:rsidR="0044062C" w:rsidRPr="00BC68C4" w:rsidRDefault="0044062C" w:rsidP="00AE0FA6">
            <w:pPr>
              <w:jc w:val="left"/>
              <w:rPr>
                <w:rFonts w:ascii="Times New Roman" w:hAnsi="Times New Roman" w:cs="Times New Roman"/>
                <w:color w:val="000000"/>
                <w:sz w:val="16"/>
                <w:szCs w:val="16"/>
              </w:rPr>
            </w:pPr>
          </w:p>
        </w:tc>
        <w:tc>
          <w:tcPr>
            <w:tcW w:w="678" w:type="pct"/>
            <w:tcBorders>
              <w:top w:val="nil"/>
              <w:left w:val="nil"/>
              <w:bottom w:val="nil"/>
              <w:right w:val="nil"/>
            </w:tcBorders>
            <w:shd w:val="clear" w:color="auto" w:fill="auto"/>
            <w:noWrap/>
            <w:vAlign w:val="center"/>
            <w:hideMark/>
          </w:tcPr>
          <w:p w14:paraId="721521FA" w14:textId="3866D284" w:rsidR="0044062C" w:rsidRPr="00BC68C4" w:rsidRDefault="0044062C" w:rsidP="00AE0FA6">
            <w:pPr>
              <w:jc w:val="left"/>
              <w:rPr>
                <w:rFonts w:ascii="Times New Roman" w:hAnsi="Times New Roman" w:cs="Times New Roman"/>
                <w:color w:val="000000"/>
                <w:sz w:val="16"/>
                <w:szCs w:val="16"/>
              </w:rPr>
            </w:pPr>
            <w:proofErr w:type="spellStart"/>
            <w:r w:rsidRPr="00BC68C4">
              <w:rPr>
                <w:rFonts w:ascii="Times New Roman" w:eastAsia="Times New Roman" w:hAnsi="Times New Roman" w:cs="Times New Roman"/>
                <w:color w:val="000000"/>
                <w:sz w:val="16"/>
                <w:szCs w:val="16"/>
                <w:lang w:eastAsia="en-GB"/>
              </w:rPr>
              <w:t>DirOnlyVote</w:t>
            </w:r>
            <w:proofErr w:type="spellEnd"/>
            <w:r w:rsidRPr="00BC68C4">
              <w:rPr>
                <w:rFonts w:ascii="Times New Roman" w:hAnsi="Times New Roman" w:cs="Times New Roman"/>
                <w:color w:val="000000"/>
                <w:sz w:val="16"/>
                <w:szCs w:val="16"/>
              </w:rPr>
              <w:t xml:space="preserve"> (%)</w:t>
            </w:r>
          </w:p>
        </w:tc>
        <w:tc>
          <w:tcPr>
            <w:tcW w:w="230" w:type="pct"/>
            <w:tcBorders>
              <w:top w:val="nil"/>
              <w:left w:val="nil"/>
              <w:bottom w:val="nil"/>
              <w:right w:val="nil"/>
            </w:tcBorders>
            <w:shd w:val="clear" w:color="auto" w:fill="auto"/>
            <w:noWrap/>
            <w:vAlign w:val="bottom"/>
            <w:hideMark/>
          </w:tcPr>
          <w:p w14:paraId="2FC561BE" w14:textId="64C6C5AE"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245</w:t>
            </w:r>
          </w:p>
        </w:tc>
        <w:tc>
          <w:tcPr>
            <w:tcW w:w="426" w:type="pct"/>
            <w:tcBorders>
              <w:top w:val="nil"/>
              <w:left w:val="nil"/>
              <w:bottom w:val="nil"/>
              <w:right w:val="nil"/>
            </w:tcBorders>
            <w:shd w:val="clear" w:color="auto" w:fill="auto"/>
            <w:noWrap/>
            <w:vAlign w:val="bottom"/>
            <w:hideMark/>
          </w:tcPr>
          <w:p w14:paraId="42437B7B" w14:textId="1AF95DDA"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7.78</w:t>
            </w:r>
          </w:p>
        </w:tc>
        <w:tc>
          <w:tcPr>
            <w:tcW w:w="375" w:type="pct"/>
            <w:tcBorders>
              <w:top w:val="nil"/>
              <w:left w:val="nil"/>
              <w:bottom w:val="nil"/>
              <w:right w:val="nil"/>
            </w:tcBorders>
            <w:shd w:val="clear" w:color="auto" w:fill="auto"/>
            <w:noWrap/>
            <w:vAlign w:val="bottom"/>
            <w:hideMark/>
          </w:tcPr>
          <w:p w14:paraId="31E50623" w14:textId="6B923D79"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0.00</w:t>
            </w:r>
          </w:p>
        </w:tc>
        <w:tc>
          <w:tcPr>
            <w:tcW w:w="379" w:type="pct"/>
            <w:tcBorders>
              <w:top w:val="nil"/>
              <w:left w:val="nil"/>
              <w:bottom w:val="nil"/>
              <w:right w:val="nil"/>
            </w:tcBorders>
            <w:shd w:val="clear" w:color="auto" w:fill="auto"/>
            <w:noWrap/>
            <w:vAlign w:val="bottom"/>
            <w:hideMark/>
          </w:tcPr>
          <w:p w14:paraId="3A292822" w14:textId="644D3D85"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5.91</w:t>
            </w:r>
          </w:p>
        </w:tc>
        <w:tc>
          <w:tcPr>
            <w:tcW w:w="424" w:type="pct"/>
            <w:tcBorders>
              <w:top w:val="nil"/>
              <w:left w:val="nil"/>
              <w:bottom w:val="nil"/>
              <w:right w:val="nil"/>
            </w:tcBorders>
            <w:shd w:val="clear" w:color="auto" w:fill="auto"/>
            <w:noWrap/>
            <w:vAlign w:val="bottom"/>
            <w:hideMark/>
          </w:tcPr>
          <w:p w14:paraId="57F57BC3" w14:textId="023E0D2F"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25.33</w:t>
            </w:r>
          </w:p>
        </w:tc>
        <w:tc>
          <w:tcPr>
            <w:tcW w:w="398" w:type="pct"/>
            <w:tcBorders>
              <w:top w:val="nil"/>
              <w:left w:val="nil"/>
              <w:bottom w:val="nil"/>
              <w:right w:val="nil"/>
            </w:tcBorders>
            <w:shd w:val="clear" w:color="auto" w:fill="auto"/>
            <w:noWrap/>
            <w:vAlign w:val="bottom"/>
            <w:hideMark/>
          </w:tcPr>
          <w:p w14:paraId="7F99D8C1" w14:textId="218C6CD6"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5.72</w:t>
            </w:r>
          </w:p>
        </w:tc>
        <w:tc>
          <w:tcPr>
            <w:tcW w:w="93" w:type="pct"/>
            <w:tcBorders>
              <w:top w:val="nil"/>
              <w:left w:val="nil"/>
              <w:bottom w:val="nil"/>
              <w:right w:val="nil"/>
            </w:tcBorders>
            <w:shd w:val="clear" w:color="auto" w:fill="auto"/>
            <w:noWrap/>
            <w:vAlign w:val="center"/>
            <w:hideMark/>
          </w:tcPr>
          <w:p w14:paraId="4C1D5A0D" w14:textId="77777777" w:rsidR="0044062C" w:rsidRPr="00BC68C4" w:rsidRDefault="0044062C" w:rsidP="001613C8">
            <w:pPr>
              <w:jc w:val="center"/>
              <w:rPr>
                <w:rFonts w:ascii="Times New Roman" w:eastAsia="Times New Roman" w:hAnsi="Times New Roman" w:cs="Times New Roman"/>
                <w:color w:val="000000"/>
                <w:sz w:val="16"/>
                <w:szCs w:val="16"/>
                <w:lang w:eastAsia="en-GB"/>
              </w:rPr>
            </w:pPr>
          </w:p>
        </w:tc>
        <w:tc>
          <w:tcPr>
            <w:tcW w:w="165" w:type="pct"/>
            <w:tcBorders>
              <w:top w:val="nil"/>
              <w:left w:val="nil"/>
              <w:bottom w:val="nil"/>
              <w:right w:val="nil"/>
            </w:tcBorders>
            <w:shd w:val="clear" w:color="auto" w:fill="auto"/>
            <w:noWrap/>
            <w:vAlign w:val="bottom"/>
            <w:hideMark/>
          </w:tcPr>
          <w:p w14:paraId="1D147AD1" w14:textId="23382064"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344</w:t>
            </w:r>
          </w:p>
        </w:tc>
        <w:tc>
          <w:tcPr>
            <w:tcW w:w="238" w:type="pct"/>
            <w:tcBorders>
              <w:top w:val="nil"/>
              <w:left w:val="nil"/>
              <w:bottom w:val="nil"/>
              <w:right w:val="nil"/>
            </w:tcBorders>
            <w:shd w:val="clear" w:color="auto" w:fill="auto"/>
            <w:noWrap/>
            <w:vAlign w:val="bottom"/>
            <w:hideMark/>
          </w:tcPr>
          <w:p w14:paraId="35B87274" w14:textId="3B3F7438"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8.40</w:t>
            </w:r>
          </w:p>
        </w:tc>
        <w:tc>
          <w:tcPr>
            <w:tcW w:w="375" w:type="pct"/>
            <w:tcBorders>
              <w:top w:val="nil"/>
              <w:left w:val="nil"/>
              <w:bottom w:val="nil"/>
              <w:right w:val="nil"/>
            </w:tcBorders>
            <w:shd w:val="clear" w:color="auto" w:fill="auto"/>
            <w:noWrap/>
            <w:vAlign w:val="bottom"/>
            <w:hideMark/>
          </w:tcPr>
          <w:p w14:paraId="000B8D68" w14:textId="0C5A64A9"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0.00</w:t>
            </w:r>
          </w:p>
        </w:tc>
        <w:tc>
          <w:tcPr>
            <w:tcW w:w="279" w:type="pct"/>
            <w:tcBorders>
              <w:top w:val="nil"/>
              <w:left w:val="nil"/>
              <w:bottom w:val="nil"/>
              <w:right w:val="nil"/>
            </w:tcBorders>
            <w:shd w:val="clear" w:color="auto" w:fill="auto"/>
            <w:noWrap/>
            <w:vAlign w:val="bottom"/>
            <w:hideMark/>
          </w:tcPr>
          <w:p w14:paraId="563C8A46" w14:textId="02D4527B"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6.67</w:t>
            </w:r>
          </w:p>
        </w:tc>
        <w:tc>
          <w:tcPr>
            <w:tcW w:w="408" w:type="pct"/>
            <w:tcBorders>
              <w:top w:val="nil"/>
              <w:left w:val="nil"/>
              <w:bottom w:val="nil"/>
              <w:right w:val="nil"/>
            </w:tcBorders>
            <w:shd w:val="clear" w:color="auto" w:fill="auto"/>
            <w:noWrap/>
            <w:vAlign w:val="bottom"/>
            <w:hideMark/>
          </w:tcPr>
          <w:p w14:paraId="6B9181CF" w14:textId="266CFD2C"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30.79</w:t>
            </w:r>
          </w:p>
        </w:tc>
        <w:tc>
          <w:tcPr>
            <w:tcW w:w="270" w:type="pct"/>
            <w:tcBorders>
              <w:top w:val="nil"/>
              <w:left w:val="nil"/>
              <w:bottom w:val="nil"/>
              <w:right w:val="nil"/>
            </w:tcBorders>
            <w:shd w:val="clear" w:color="auto" w:fill="auto"/>
            <w:noWrap/>
            <w:vAlign w:val="bottom"/>
            <w:hideMark/>
          </w:tcPr>
          <w:p w14:paraId="482DDCA2" w14:textId="3E393536"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6.55</w:t>
            </w:r>
          </w:p>
        </w:tc>
      </w:tr>
      <w:tr w:rsidR="009A0F0B" w:rsidRPr="00BC68C4" w14:paraId="5DB4D84D" w14:textId="77777777" w:rsidTr="009A0F0B">
        <w:trPr>
          <w:trHeight w:hRule="exact" w:val="181"/>
        </w:trPr>
        <w:tc>
          <w:tcPr>
            <w:tcW w:w="262" w:type="pct"/>
            <w:tcBorders>
              <w:top w:val="nil"/>
              <w:left w:val="nil"/>
              <w:bottom w:val="nil"/>
              <w:right w:val="nil"/>
            </w:tcBorders>
            <w:shd w:val="clear" w:color="auto" w:fill="auto"/>
            <w:noWrap/>
            <w:vAlign w:val="center"/>
          </w:tcPr>
          <w:p w14:paraId="7F1C43B1" w14:textId="77777777" w:rsidR="00F50337" w:rsidRPr="00BC68C4" w:rsidRDefault="00F50337" w:rsidP="00AE0FA6">
            <w:pPr>
              <w:jc w:val="left"/>
              <w:rPr>
                <w:rFonts w:ascii="Times New Roman" w:hAnsi="Times New Roman" w:cs="Times New Roman"/>
                <w:color w:val="000000"/>
                <w:sz w:val="16"/>
                <w:szCs w:val="16"/>
              </w:rPr>
            </w:pPr>
          </w:p>
        </w:tc>
        <w:tc>
          <w:tcPr>
            <w:tcW w:w="678" w:type="pct"/>
            <w:tcBorders>
              <w:top w:val="nil"/>
              <w:left w:val="nil"/>
              <w:bottom w:val="nil"/>
              <w:right w:val="nil"/>
            </w:tcBorders>
            <w:shd w:val="clear" w:color="auto" w:fill="auto"/>
            <w:noWrap/>
            <w:vAlign w:val="center"/>
          </w:tcPr>
          <w:p w14:paraId="7A5DE5AB" w14:textId="0C1B15D2" w:rsidR="00F50337" w:rsidRPr="00BC68C4" w:rsidRDefault="00F50337" w:rsidP="00AE0FA6">
            <w:pPr>
              <w:jc w:val="left"/>
              <w:rPr>
                <w:rFonts w:ascii="Times New Roman" w:eastAsia="Times New Roman" w:hAnsi="Times New Roman" w:cs="Times New Roman"/>
                <w:color w:val="000000"/>
                <w:sz w:val="16"/>
                <w:szCs w:val="16"/>
                <w:lang w:eastAsia="en-GB"/>
              </w:rPr>
            </w:pPr>
            <w:proofErr w:type="spellStart"/>
            <w:r w:rsidRPr="00BC68C4">
              <w:rPr>
                <w:rFonts w:ascii="Times New Roman" w:eastAsia="Times New Roman" w:hAnsi="Times New Roman" w:cs="Times New Roman"/>
                <w:color w:val="000000"/>
                <w:sz w:val="16"/>
                <w:szCs w:val="16"/>
                <w:lang w:eastAsia="en-GB"/>
              </w:rPr>
              <w:t>ActiveCEOBlock</w:t>
            </w:r>
            <w:proofErr w:type="spellEnd"/>
            <w:r w:rsidRPr="00BC68C4">
              <w:rPr>
                <w:rFonts w:ascii="Times New Roman" w:eastAsia="Times New Roman" w:hAnsi="Times New Roman" w:cs="Times New Roman"/>
                <w:color w:val="000000"/>
                <w:sz w:val="16"/>
                <w:szCs w:val="16"/>
                <w:lang w:eastAsia="en-GB"/>
              </w:rPr>
              <w:t xml:space="preserve"> (%)</w:t>
            </w:r>
          </w:p>
        </w:tc>
        <w:tc>
          <w:tcPr>
            <w:tcW w:w="230" w:type="pct"/>
            <w:tcBorders>
              <w:top w:val="nil"/>
              <w:left w:val="nil"/>
              <w:bottom w:val="nil"/>
              <w:right w:val="nil"/>
            </w:tcBorders>
            <w:shd w:val="clear" w:color="auto" w:fill="auto"/>
            <w:noWrap/>
            <w:vAlign w:val="bottom"/>
          </w:tcPr>
          <w:p w14:paraId="7F40C16F" w14:textId="715A4B96" w:rsidR="00F50337" w:rsidRPr="00BC68C4" w:rsidRDefault="00F50337"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242</w:t>
            </w:r>
          </w:p>
        </w:tc>
        <w:tc>
          <w:tcPr>
            <w:tcW w:w="426" w:type="pct"/>
            <w:tcBorders>
              <w:top w:val="nil"/>
              <w:left w:val="nil"/>
              <w:bottom w:val="nil"/>
              <w:right w:val="nil"/>
            </w:tcBorders>
            <w:shd w:val="clear" w:color="auto" w:fill="auto"/>
            <w:noWrap/>
            <w:vAlign w:val="bottom"/>
          </w:tcPr>
          <w:p w14:paraId="7249CA50" w14:textId="08DD3EE4" w:rsidR="00F50337" w:rsidRPr="00BC68C4" w:rsidRDefault="00F50337"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1.45</w:t>
            </w:r>
          </w:p>
        </w:tc>
        <w:tc>
          <w:tcPr>
            <w:tcW w:w="375" w:type="pct"/>
            <w:tcBorders>
              <w:top w:val="nil"/>
              <w:left w:val="nil"/>
              <w:bottom w:val="nil"/>
              <w:right w:val="nil"/>
            </w:tcBorders>
            <w:shd w:val="clear" w:color="auto" w:fill="auto"/>
            <w:noWrap/>
            <w:vAlign w:val="bottom"/>
          </w:tcPr>
          <w:p w14:paraId="13E35D2B" w14:textId="2AC26CCF" w:rsidR="00F50337" w:rsidRPr="00BC68C4" w:rsidRDefault="00F50337"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0.00</w:t>
            </w:r>
          </w:p>
        </w:tc>
        <w:tc>
          <w:tcPr>
            <w:tcW w:w="379" w:type="pct"/>
            <w:tcBorders>
              <w:top w:val="nil"/>
              <w:left w:val="nil"/>
              <w:bottom w:val="nil"/>
              <w:right w:val="nil"/>
            </w:tcBorders>
            <w:shd w:val="clear" w:color="auto" w:fill="auto"/>
            <w:noWrap/>
            <w:vAlign w:val="bottom"/>
          </w:tcPr>
          <w:p w14:paraId="147A0913" w14:textId="7FD51753" w:rsidR="00F50337" w:rsidRPr="00BC68C4" w:rsidRDefault="00F50337"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0.00</w:t>
            </w:r>
          </w:p>
        </w:tc>
        <w:tc>
          <w:tcPr>
            <w:tcW w:w="424" w:type="pct"/>
            <w:tcBorders>
              <w:top w:val="nil"/>
              <w:left w:val="nil"/>
              <w:bottom w:val="nil"/>
              <w:right w:val="nil"/>
            </w:tcBorders>
            <w:shd w:val="clear" w:color="auto" w:fill="auto"/>
            <w:noWrap/>
            <w:vAlign w:val="bottom"/>
          </w:tcPr>
          <w:p w14:paraId="28BAD833" w14:textId="2CECD6B5" w:rsidR="00F50337" w:rsidRPr="00BC68C4" w:rsidRDefault="00F50337"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39.22</w:t>
            </w:r>
          </w:p>
        </w:tc>
        <w:tc>
          <w:tcPr>
            <w:tcW w:w="398" w:type="pct"/>
            <w:tcBorders>
              <w:top w:val="nil"/>
              <w:left w:val="nil"/>
              <w:bottom w:val="nil"/>
              <w:right w:val="nil"/>
            </w:tcBorders>
            <w:shd w:val="clear" w:color="auto" w:fill="auto"/>
            <w:noWrap/>
            <w:vAlign w:val="bottom"/>
          </w:tcPr>
          <w:p w14:paraId="2304DC25" w14:textId="14F5B01A" w:rsidR="00F50337" w:rsidRPr="00BC68C4" w:rsidRDefault="00F50337"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5.77</w:t>
            </w:r>
          </w:p>
        </w:tc>
        <w:tc>
          <w:tcPr>
            <w:tcW w:w="93" w:type="pct"/>
            <w:tcBorders>
              <w:top w:val="nil"/>
              <w:left w:val="nil"/>
              <w:bottom w:val="nil"/>
              <w:right w:val="nil"/>
            </w:tcBorders>
            <w:shd w:val="clear" w:color="auto" w:fill="auto"/>
            <w:noWrap/>
            <w:vAlign w:val="center"/>
          </w:tcPr>
          <w:p w14:paraId="0C7E3316" w14:textId="77777777" w:rsidR="00F50337" w:rsidRPr="00BC68C4" w:rsidRDefault="00F50337" w:rsidP="001613C8">
            <w:pPr>
              <w:jc w:val="center"/>
              <w:rPr>
                <w:rFonts w:ascii="Times New Roman" w:eastAsia="Times New Roman" w:hAnsi="Times New Roman" w:cs="Times New Roman"/>
                <w:color w:val="000000"/>
                <w:sz w:val="16"/>
                <w:szCs w:val="16"/>
                <w:lang w:eastAsia="en-GB"/>
              </w:rPr>
            </w:pPr>
          </w:p>
        </w:tc>
        <w:tc>
          <w:tcPr>
            <w:tcW w:w="165" w:type="pct"/>
            <w:tcBorders>
              <w:top w:val="nil"/>
              <w:left w:val="nil"/>
              <w:bottom w:val="nil"/>
              <w:right w:val="nil"/>
            </w:tcBorders>
            <w:shd w:val="clear" w:color="auto" w:fill="auto"/>
            <w:noWrap/>
            <w:vAlign w:val="bottom"/>
          </w:tcPr>
          <w:p w14:paraId="607A9CF2" w14:textId="77777777" w:rsidR="00F50337" w:rsidRPr="00BC68C4" w:rsidRDefault="00F50337" w:rsidP="001613C8">
            <w:pPr>
              <w:jc w:val="center"/>
              <w:rPr>
                <w:rFonts w:ascii="Times New Roman" w:hAnsi="Times New Roman" w:cs="Times New Roman"/>
                <w:color w:val="000000"/>
                <w:sz w:val="16"/>
                <w:szCs w:val="16"/>
              </w:rPr>
            </w:pPr>
          </w:p>
        </w:tc>
        <w:tc>
          <w:tcPr>
            <w:tcW w:w="238" w:type="pct"/>
            <w:tcBorders>
              <w:top w:val="nil"/>
              <w:left w:val="nil"/>
              <w:bottom w:val="nil"/>
              <w:right w:val="nil"/>
            </w:tcBorders>
            <w:shd w:val="clear" w:color="auto" w:fill="auto"/>
            <w:noWrap/>
            <w:vAlign w:val="bottom"/>
          </w:tcPr>
          <w:p w14:paraId="5AE3D477" w14:textId="77777777" w:rsidR="00F50337" w:rsidRPr="00BC68C4" w:rsidRDefault="00F50337" w:rsidP="001613C8">
            <w:pPr>
              <w:jc w:val="center"/>
              <w:rPr>
                <w:rFonts w:ascii="Times New Roman" w:hAnsi="Times New Roman" w:cs="Times New Roman"/>
                <w:color w:val="000000"/>
                <w:sz w:val="16"/>
                <w:szCs w:val="16"/>
              </w:rPr>
            </w:pPr>
          </w:p>
        </w:tc>
        <w:tc>
          <w:tcPr>
            <w:tcW w:w="375" w:type="pct"/>
            <w:tcBorders>
              <w:top w:val="nil"/>
              <w:left w:val="nil"/>
              <w:bottom w:val="nil"/>
              <w:right w:val="nil"/>
            </w:tcBorders>
            <w:shd w:val="clear" w:color="auto" w:fill="auto"/>
            <w:noWrap/>
            <w:vAlign w:val="bottom"/>
          </w:tcPr>
          <w:p w14:paraId="715AD04A" w14:textId="77777777" w:rsidR="00F50337" w:rsidRPr="00BC68C4" w:rsidRDefault="00F50337" w:rsidP="001613C8">
            <w:pPr>
              <w:jc w:val="center"/>
              <w:rPr>
                <w:rFonts w:ascii="Times New Roman" w:hAnsi="Times New Roman" w:cs="Times New Roman"/>
                <w:color w:val="000000"/>
                <w:sz w:val="16"/>
                <w:szCs w:val="16"/>
              </w:rPr>
            </w:pPr>
          </w:p>
        </w:tc>
        <w:tc>
          <w:tcPr>
            <w:tcW w:w="279" w:type="pct"/>
            <w:tcBorders>
              <w:top w:val="nil"/>
              <w:left w:val="nil"/>
              <w:bottom w:val="nil"/>
              <w:right w:val="nil"/>
            </w:tcBorders>
            <w:shd w:val="clear" w:color="auto" w:fill="auto"/>
            <w:noWrap/>
            <w:vAlign w:val="bottom"/>
          </w:tcPr>
          <w:p w14:paraId="43F598C6" w14:textId="77777777" w:rsidR="00F50337" w:rsidRPr="00BC68C4" w:rsidRDefault="00F50337" w:rsidP="001613C8">
            <w:pPr>
              <w:jc w:val="center"/>
              <w:rPr>
                <w:rFonts w:ascii="Times New Roman" w:hAnsi="Times New Roman" w:cs="Times New Roman"/>
                <w:color w:val="000000"/>
                <w:sz w:val="16"/>
                <w:szCs w:val="16"/>
              </w:rPr>
            </w:pPr>
          </w:p>
        </w:tc>
        <w:tc>
          <w:tcPr>
            <w:tcW w:w="408" w:type="pct"/>
            <w:tcBorders>
              <w:top w:val="nil"/>
              <w:left w:val="nil"/>
              <w:bottom w:val="nil"/>
              <w:right w:val="nil"/>
            </w:tcBorders>
            <w:shd w:val="clear" w:color="auto" w:fill="auto"/>
            <w:noWrap/>
            <w:vAlign w:val="bottom"/>
          </w:tcPr>
          <w:p w14:paraId="3FF2C15E" w14:textId="77777777" w:rsidR="00F50337" w:rsidRPr="00BC68C4" w:rsidRDefault="00F50337" w:rsidP="001613C8">
            <w:pPr>
              <w:jc w:val="center"/>
              <w:rPr>
                <w:rFonts w:ascii="Times New Roman" w:hAnsi="Times New Roman" w:cs="Times New Roman"/>
                <w:color w:val="000000"/>
                <w:sz w:val="16"/>
                <w:szCs w:val="16"/>
              </w:rPr>
            </w:pPr>
          </w:p>
        </w:tc>
        <w:tc>
          <w:tcPr>
            <w:tcW w:w="270" w:type="pct"/>
            <w:tcBorders>
              <w:top w:val="nil"/>
              <w:left w:val="nil"/>
              <w:bottom w:val="nil"/>
              <w:right w:val="nil"/>
            </w:tcBorders>
            <w:shd w:val="clear" w:color="auto" w:fill="auto"/>
            <w:noWrap/>
            <w:vAlign w:val="bottom"/>
          </w:tcPr>
          <w:p w14:paraId="5EF0FA07" w14:textId="77777777" w:rsidR="00F50337" w:rsidRPr="00BC68C4" w:rsidRDefault="00F50337" w:rsidP="001613C8">
            <w:pPr>
              <w:jc w:val="center"/>
              <w:rPr>
                <w:rFonts w:ascii="Times New Roman" w:hAnsi="Times New Roman" w:cs="Times New Roman"/>
                <w:color w:val="000000"/>
                <w:sz w:val="16"/>
                <w:szCs w:val="16"/>
              </w:rPr>
            </w:pPr>
          </w:p>
        </w:tc>
      </w:tr>
      <w:tr w:rsidR="009A0F0B" w:rsidRPr="00BC68C4" w14:paraId="007E65FC" w14:textId="77777777" w:rsidTr="009A0F0B">
        <w:trPr>
          <w:trHeight w:hRule="exact" w:val="181"/>
        </w:trPr>
        <w:tc>
          <w:tcPr>
            <w:tcW w:w="262" w:type="pct"/>
            <w:tcBorders>
              <w:top w:val="nil"/>
              <w:left w:val="nil"/>
              <w:bottom w:val="nil"/>
              <w:right w:val="nil"/>
            </w:tcBorders>
            <w:shd w:val="clear" w:color="auto" w:fill="auto"/>
            <w:noWrap/>
            <w:vAlign w:val="center"/>
          </w:tcPr>
          <w:p w14:paraId="37193B39" w14:textId="77777777" w:rsidR="00F50337" w:rsidRPr="00BC68C4" w:rsidRDefault="00F50337" w:rsidP="00AE0FA6">
            <w:pPr>
              <w:jc w:val="left"/>
              <w:rPr>
                <w:rFonts w:ascii="Times New Roman" w:hAnsi="Times New Roman" w:cs="Times New Roman"/>
                <w:color w:val="000000"/>
                <w:sz w:val="16"/>
                <w:szCs w:val="16"/>
              </w:rPr>
            </w:pPr>
          </w:p>
        </w:tc>
        <w:tc>
          <w:tcPr>
            <w:tcW w:w="678" w:type="pct"/>
            <w:tcBorders>
              <w:top w:val="nil"/>
              <w:left w:val="nil"/>
              <w:bottom w:val="nil"/>
              <w:right w:val="nil"/>
            </w:tcBorders>
            <w:shd w:val="clear" w:color="auto" w:fill="auto"/>
            <w:noWrap/>
            <w:vAlign w:val="center"/>
          </w:tcPr>
          <w:p w14:paraId="5E01BE31" w14:textId="0620BF48" w:rsidR="00F50337" w:rsidRPr="00BC68C4" w:rsidRDefault="00F50337" w:rsidP="00AE0FA6">
            <w:pPr>
              <w:jc w:val="left"/>
              <w:rPr>
                <w:rFonts w:ascii="Times New Roman" w:eastAsia="Times New Roman" w:hAnsi="Times New Roman" w:cs="Times New Roman"/>
                <w:color w:val="000000"/>
                <w:sz w:val="16"/>
                <w:szCs w:val="16"/>
                <w:lang w:eastAsia="en-GB"/>
              </w:rPr>
            </w:pPr>
            <w:proofErr w:type="spellStart"/>
            <w:r w:rsidRPr="00BC68C4">
              <w:rPr>
                <w:rFonts w:ascii="Times New Roman" w:eastAsia="Times New Roman" w:hAnsi="Times New Roman" w:cs="Times New Roman"/>
                <w:color w:val="000000"/>
                <w:sz w:val="16"/>
                <w:szCs w:val="16"/>
                <w:lang w:eastAsia="en-GB"/>
              </w:rPr>
              <w:t>ActiveNotCEOBlock</w:t>
            </w:r>
            <w:proofErr w:type="spellEnd"/>
            <w:r w:rsidRPr="00BC68C4">
              <w:rPr>
                <w:rFonts w:ascii="Times New Roman" w:eastAsia="Times New Roman" w:hAnsi="Times New Roman" w:cs="Times New Roman"/>
                <w:color w:val="000000"/>
                <w:sz w:val="16"/>
                <w:szCs w:val="16"/>
                <w:lang w:eastAsia="en-GB"/>
              </w:rPr>
              <w:t xml:space="preserve"> (%)</w:t>
            </w:r>
          </w:p>
        </w:tc>
        <w:tc>
          <w:tcPr>
            <w:tcW w:w="230" w:type="pct"/>
            <w:tcBorders>
              <w:top w:val="nil"/>
              <w:left w:val="nil"/>
              <w:bottom w:val="nil"/>
              <w:right w:val="nil"/>
            </w:tcBorders>
            <w:shd w:val="clear" w:color="auto" w:fill="auto"/>
            <w:noWrap/>
            <w:vAlign w:val="bottom"/>
          </w:tcPr>
          <w:p w14:paraId="03EA3865" w14:textId="344AA299" w:rsidR="00F50337" w:rsidRPr="00BC68C4" w:rsidRDefault="00F50337"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242</w:t>
            </w:r>
          </w:p>
        </w:tc>
        <w:tc>
          <w:tcPr>
            <w:tcW w:w="426" w:type="pct"/>
            <w:tcBorders>
              <w:top w:val="nil"/>
              <w:left w:val="nil"/>
              <w:bottom w:val="nil"/>
              <w:right w:val="nil"/>
            </w:tcBorders>
            <w:shd w:val="clear" w:color="auto" w:fill="auto"/>
            <w:noWrap/>
            <w:vAlign w:val="bottom"/>
          </w:tcPr>
          <w:p w14:paraId="4B821EF5" w14:textId="3071A0D3" w:rsidR="00F50337" w:rsidRPr="00BC68C4" w:rsidRDefault="00F50337"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2.02</w:t>
            </w:r>
          </w:p>
        </w:tc>
        <w:tc>
          <w:tcPr>
            <w:tcW w:w="375" w:type="pct"/>
            <w:tcBorders>
              <w:top w:val="nil"/>
              <w:left w:val="nil"/>
              <w:bottom w:val="nil"/>
              <w:right w:val="nil"/>
            </w:tcBorders>
            <w:shd w:val="clear" w:color="auto" w:fill="auto"/>
            <w:noWrap/>
            <w:vAlign w:val="bottom"/>
          </w:tcPr>
          <w:p w14:paraId="59EA738B" w14:textId="12338E28" w:rsidR="00F50337" w:rsidRPr="00BC68C4" w:rsidRDefault="00F50337"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0.00</w:t>
            </w:r>
          </w:p>
        </w:tc>
        <w:tc>
          <w:tcPr>
            <w:tcW w:w="379" w:type="pct"/>
            <w:tcBorders>
              <w:top w:val="nil"/>
              <w:left w:val="nil"/>
              <w:bottom w:val="nil"/>
              <w:right w:val="nil"/>
            </w:tcBorders>
            <w:shd w:val="clear" w:color="auto" w:fill="auto"/>
            <w:noWrap/>
            <w:vAlign w:val="bottom"/>
          </w:tcPr>
          <w:p w14:paraId="125F93D6" w14:textId="5EE13D4A" w:rsidR="00F50337" w:rsidRPr="00BC68C4" w:rsidRDefault="00F50337"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0.00</w:t>
            </w:r>
          </w:p>
        </w:tc>
        <w:tc>
          <w:tcPr>
            <w:tcW w:w="424" w:type="pct"/>
            <w:tcBorders>
              <w:top w:val="nil"/>
              <w:left w:val="nil"/>
              <w:bottom w:val="nil"/>
              <w:right w:val="nil"/>
            </w:tcBorders>
            <w:shd w:val="clear" w:color="auto" w:fill="auto"/>
            <w:noWrap/>
            <w:vAlign w:val="bottom"/>
          </w:tcPr>
          <w:p w14:paraId="77B72146" w14:textId="01F938E5" w:rsidR="00F50337" w:rsidRPr="00BC68C4" w:rsidRDefault="00F50337"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49.71</w:t>
            </w:r>
          </w:p>
        </w:tc>
        <w:tc>
          <w:tcPr>
            <w:tcW w:w="398" w:type="pct"/>
            <w:tcBorders>
              <w:top w:val="nil"/>
              <w:left w:val="nil"/>
              <w:bottom w:val="nil"/>
              <w:right w:val="nil"/>
            </w:tcBorders>
            <w:shd w:val="clear" w:color="auto" w:fill="auto"/>
            <w:noWrap/>
            <w:vAlign w:val="bottom"/>
          </w:tcPr>
          <w:p w14:paraId="478484E6" w14:textId="51086A14" w:rsidR="00F50337" w:rsidRPr="00BC68C4" w:rsidRDefault="00F50337"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7.45</w:t>
            </w:r>
          </w:p>
        </w:tc>
        <w:tc>
          <w:tcPr>
            <w:tcW w:w="93" w:type="pct"/>
            <w:tcBorders>
              <w:top w:val="nil"/>
              <w:left w:val="nil"/>
              <w:bottom w:val="nil"/>
              <w:right w:val="nil"/>
            </w:tcBorders>
            <w:shd w:val="clear" w:color="auto" w:fill="auto"/>
            <w:noWrap/>
            <w:vAlign w:val="center"/>
          </w:tcPr>
          <w:p w14:paraId="41EB38CE" w14:textId="77777777" w:rsidR="00F50337" w:rsidRPr="00BC68C4" w:rsidRDefault="00F50337" w:rsidP="001613C8">
            <w:pPr>
              <w:jc w:val="center"/>
              <w:rPr>
                <w:rFonts w:ascii="Times New Roman" w:eastAsia="Times New Roman" w:hAnsi="Times New Roman" w:cs="Times New Roman"/>
                <w:color w:val="000000"/>
                <w:sz w:val="16"/>
                <w:szCs w:val="16"/>
                <w:lang w:eastAsia="en-GB"/>
              </w:rPr>
            </w:pPr>
          </w:p>
        </w:tc>
        <w:tc>
          <w:tcPr>
            <w:tcW w:w="165" w:type="pct"/>
            <w:tcBorders>
              <w:top w:val="nil"/>
              <w:left w:val="nil"/>
              <w:bottom w:val="nil"/>
              <w:right w:val="nil"/>
            </w:tcBorders>
            <w:shd w:val="clear" w:color="auto" w:fill="auto"/>
            <w:noWrap/>
            <w:vAlign w:val="bottom"/>
          </w:tcPr>
          <w:p w14:paraId="77EF1B16" w14:textId="77777777" w:rsidR="00F50337" w:rsidRPr="00BC68C4" w:rsidRDefault="00F50337" w:rsidP="001613C8">
            <w:pPr>
              <w:jc w:val="center"/>
              <w:rPr>
                <w:rFonts w:ascii="Times New Roman" w:hAnsi="Times New Roman" w:cs="Times New Roman"/>
                <w:color w:val="000000"/>
                <w:sz w:val="16"/>
                <w:szCs w:val="16"/>
              </w:rPr>
            </w:pPr>
          </w:p>
        </w:tc>
        <w:tc>
          <w:tcPr>
            <w:tcW w:w="238" w:type="pct"/>
            <w:tcBorders>
              <w:top w:val="nil"/>
              <w:left w:val="nil"/>
              <w:bottom w:val="nil"/>
              <w:right w:val="nil"/>
            </w:tcBorders>
            <w:shd w:val="clear" w:color="auto" w:fill="auto"/>
            <w:noWrap/>
            <w:vAlign w:val="bottom"/>
          </w:tcPr>
          <w:p w14:paraId="2AEF1C8B" w14:textId="77777777" w:rsidR="00F50337" w:rsidRPr="00BC68C4" w:rsidRDefault="00F50337" w:rsidP="001613C8">
            <w:pPr>
              <w:jc w:val="center"/>
              <w:rPr>
                <w:rFonts w:ascii="Times New Roman" w:hAnsi="Times New Roman" w:cs="Times New Roman"/>
                <w:color w:val="000000"/>
                <w:sz w:val="16"/>
                <w:szCs w:val="16"/>
              </w:rPr>
            </w:pPr>
          </w:p>
        </w:tc>
        <w:tc>
          <w:tcPr>
            <w:tcW w:w="375" w:type="pct"/>
            <w:tcBorders>
              <w:top w:val="nil"/>
              <w:left w:val="nil"/>
              <w:bottom w:val="nil"/>
              <w:right w:val="nil"/>
            </w:tcBorders>
            <w:shd w:val="clear" w:color="auto" w:fill="auto"/>
            <w:noWrap/>
            <w:vAlign w:val="bottom"/>
          </w:tcPr>
          <w:p w14:paraId="3226DC96" w14:textId="77777777" w:rsidR="00F50337" w:rsidRPr="00BC68C4" w:rsidRDefault="00F50337" w:rsidP="001613C8">
            <w:pPr>
              <w:jc w:val="center"/>
              <w:rPr>
                <w:rFonts w:ascii="Times New Roman" w:hAnsi="Times New Roman" w:cs="Times New Roman"/>
                <w:color w:val="000000"/>
                <w:sz w:val="16"/>
                <w:szCs w:val="16"/>
              </w:rPr>
            </w:pPr>
          </w:p>
        </w:tc>
        <w:tc>
          <w:tcPr>
            <w:tcW w:w="279" w:type="pct"/>
            <w:tcBorders>
              <w:top w:val="nil"/>
              <w:left w:val="nil"/>
              <w:bottom w:val="nil"/>
              <w:right w:val="nil"/>
            </w:tcBorders>
            <w:shd w:val="clear" w:color="auto" w:fill="auto"/>
            <w:noWrap/>
            <w:vAlign w:val="bottom"/>
          </w:tcPr>
          <w:p w14:paraId="17E92309" w14:textId="77777777" w:rsidR="00F50337" w:rsidRPr="00BC68C4" w:rsidRDefault="00F50337" w:rsidP="001613C8">
            <w:pPr>
              <w:jc w:val="center"/>
              <w:rPr>
                <w:rFonts w:ascii="Times New Roman" w:hAnsi="Times New Roman" w:cs="Times New Roman"/>
                <w:color w:val="000000"/>
                <w:sz w:val="16"/>
                <w:szCs w:val="16"/>
              </w:rPr>
            </w:pPr>
          </w:p>
        </w:tc>
        <w:tc>
          <w:tcPr>
            <w:tcW w:w="408" w:type="pct"/>
            <w:tcBorders>
              <w:top w:val="nil"/>
              <w:left w:val="nil"/>
              <w:bottom w:val="nil"/>
              <w:right w:val="nil"/>
            </w:tcBorders>
            <w:shd w:val="clear" w:color="auto" w:fill="auto"/>
            <w:noWrap/>
            <w:vAlign w:val="bottom"/>
          </w:tcPr>
          <w:p w14:paraId="65F1E11D" w14:textId="77777777" w:rsidR="00F50337" w:rsidRPr="00BC68C4" w:rsidRDefault="00F50337" w:rsidP="001613C8">
            <w:pPr>
              <w:jc w:val="center"/>
              <w:rPr>
                <w:rFonts w:ascii="Times New Roman" w:hAnsi="Times New Roman" w:cs="Times New Roman"/>
                <w:color w:val="000000"/>
                <w:sz w:val="16"/>
                <w:szCs w:val="16"/>
              </w:rPr>
            </w:pPr>
          </w:p>
        </w:tc>
        <w:tc>
          <w:tcPr>
            <w:tcW w:w="270" w:type="pct"/>
            <w:tcBorders>
              <w:top w:val="nil"/>
              <w:left w:val="nil"/>
              <w:bottom w:val="nil"/>
              <w:right w:val="nil"/>
            </w:tcBorders>
            <w:shd w:val="clear" w:color="auto" w:fill="auto"/>
            <w:noWrap/>
            <w:vAlign w:val="bottom"/>
          </w:tcPr>
          <w:p w14:paraId="0B56155E" w14:textId="77777777" w:rsidR="00F50337" w:rsidRPr="00BC68C4" w:rsidRDefault="00F50337" w:rsidP="001613C8">
            <w:pPr>
              <w:jc w:val="center"/>
              <w:rPr>
                <w:rFonts w:ascii="Times New Roman" w:hAnsi="Times New Roman" w:cs="Times New Roman"/>
                <w:color w:val="000000"/>
                <w:sz w:val="16"/>
                <w:szCs w:val="16"/>
              </w:rPr>
            </w:pPr>
          </w:p>
        </w:tc>
      </w:tr>
      <w:tr w:rsidR="009A0F0B" w:rsidRPr="00BC68C4" w14:paraId="187A9DEA" w14:textId="77777777" w:rsidTr="009A0F0B">
        <w:trPr>
          <w:trHeight w:hRule="exact" w:val="181"/>
        </w:trPr>
        <w:tc>
          <w:tcPr>
            <w:tcW w:w="940" w:type="pct"/>
            <w:gridSpan w:val="2"/>
            <w:tcBorders>
              <w:top w:val="nil"/>
              <w:left w:val="nil"/>
              <w:bottom w:val="nil"/>
              <w:right w:val="nil"/>
            </w:tcBorders>
            <w:shd w:val="clear" w:color="auto" w:fill="auto"/>
            <w:noWrap/>
            <w:vAlign w:val="center"/>
          </w:tcPr>
          <w:p w14:paraId="2C5D92FB" w14:textId="4B83E780" w:rsidR="0044062C" w:rsidRPr="00BC68C4" w:rsidRDefault="0044062C" w:rsidP="00AE0FA6">
            <w:pPr>
              <w:jc w:val="left"/>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Number of Directors</w:t>
            </w:r>
          </w:p>
        </w:tc>
        <w:tc>
          <w:tcPr>
            <w:tcW w:w="230" w:type="pct"/>
            <w:tcBorders>
              <w:top w:val="nil"/>
              <w:left w:val="nil"/>
              <w:bottom w:val="nil"/>
              <w:right w:val="nil"/>
            </w:tcBorders>
            <w:shd w:val="clear" w:color="auto" w:fill="auto"/>
            <w:noWrap/>
            <w:vAlign w:val="center"/>
          </w:tcPr>
          <w:p w14:paraId="1CDC7BA1" w14:textId="77777777" w:rsidR="0044062C" w:rsidRPr="00BC68C4" w:rsidRDefault="0044062C" w:rsidP="001613C8">
            <w:pPr>
              <w:jc w:val="center"/>
              <w:rPr>
                <w:rFonts w:ascii="Times New Roman" w:hAnsi="Times New Roman" w:cs="Times New Roman"/>
                <w:color w:val="000000"/>
                <w:sz w:val="16"/>
                <w:szCs w:val="16"/>
              </w:rPr>
            </w:pPr>
          </w:p>
        </w:tc>
        <w:tc>
          <w:tcPr>
            <w:tcW w:w="426" w:type="pct"/>
            <w:tcBorders>
              <w:top w:val="nil"/>
              <w:left w:val="nil"/>
              <w:bottom w:val="nil"/>
              <w:right w:val="nil"/>
            </w:tcBorders>
            <w:shd w:val="clear" w:color="auto" w:fill="auto"/>
            <w:noWrap/>
            <w:vAlign w:val="bottom"/>
          </w:tcPr>
          <w:p w14:paraId="517F9E2A" w14:textId="77777777" w:rsidR="0044062C" w:rsidRPr="00BC68C4" w:rsidRDefault="0044062C" w:rsidP="001613C8">
            <w:pPr>
              <w:jc w:val="center"/>
              <w:rPr>
                <w:rFonts w:ascii="Times New Roman" w:hAnsi="Times New Roman" w:cs="Times New Roman"/>
                <w:color w:val="000000"/>
                <w:sz w:val="16"/>
                <w:szCs w:val="16"/>
              </w:rPr>
            </w:pPr>
          </w:p>
        </w:tc>
        <w:tc>
          <w:tcPr>
            <w:tcW w:w="375" w:type="pct"/>
            <w:tcBorders>
              <w:top w:val="nil"/>
              <w:left w:val="nil"/>
              <w:bottom w:val="nil"/>
              <w:right w:val="nil"/>
            </w:tcBorders>
            <w:shd w:val="clear" w:color="auto" w:fill="auto"/>
            <w:noWrap/>
            <w:vAlign w:val="bottom"/>
          </w:tcPr>
          <w:p w14:paraId="27E38075" w14:textId="77777777" w:rsidR="0044062C" w:rsidRPr="00BC68C4" w:rsidRDefault="0044062C" w:rsidP="001613C8">
            <w:pPr>
              <w:jc w:val="center"/>
              <w:rPr>
                <w:rFonts w:ascii="Times New Roman" w:hAnsi="Times New Roman" w:cs="Times New Roman"/>
                <w:color w:val="000000"/>
                <w:sz w:val="16"/>
                <w:szCs w:val="16"/>
              </w:rPr>
            </w:pPr>
          </w:p>
        </w:tc>
        <w:tc>
          <w:tcPr>
            <w:tcW w:w="379" w:type="pct"/>
            <w:tcBorders>
              <w:top w:val="nil"/>
              <w:left w:val="nil"/>
              <w:bottom w:val="nil"/>
              <w:right w:val="nil"/>
            </w:tcBorders>
            <w:shd w:val="clear" w:color="auto" w:fill="auto"/>
            <w:noWrap/>
            <w:vAlign w:val="bottom"/>
          </w:tcPr>
          <w:p w14:paraId="5DC3E21E" w14:textId="77777777" w:rsidR="0044062C" w:rsidRPr="00BC68C4" w:rsidRDefault="0044062C" w:rsidP="001613C8">
            <w:pPr>
              <w:jc w:val="center"/>
              <w:rPr>
                <w:rFonts w:ascii="Times New Roman" w:eastAsia="Times New Roman" w:hAnsi="Times New Roman" w:cs="Times New Roman"/>
                <w:color w:val="000000"/>
                <w:sz w:val="16"/>
                <w:szCs w:val="16"/>
                <w:lang w:eastAsia="en-GB"/>
              </w:rPr>
            </w:pPr>
          </w:p>
        </w:tc>
        <w:tc>
          <w:tcPr>
            <w:tcW w:w="424" w:type="pct"/>
            <w:tcBorders>
              <w:top w:val="nil"/>
              <w:left w:val="nil"/>
              <w:bottom w:val="nil"/>
              <w:right w:val="nil"/>
            </w:tcBorders>
            <w:shd w:val="clear" w:color="auto" w:fill="auto"/>
            <w:noWrap/>
            <w:vAlign w:val="bottom"/>
          </w:tcPr>
          <w:p w14:paraId="3EC67C07" w14:textId="77777777" w:rsidR="0044062C" w:rsidRPr="00BC68C4" w:rsidRDefault="0044062C" w:rsidP="001613C8">
            <w:pPr>
              <w:jc w:val="center"/>
              <w:rPr>
                <w:rFonts w:ascii="Times New Roman" w:eastAsia="Times New Roman" w:hAnsi="Times New Roman" w:cs="Times New Roman"/>
                <w:color w:val="000000"/>
                <w:sz w:val="16"/>
                <w:szCs w:val="16"/>
                <w:lang w:eastAsia="en-GB"/>
              </w:rPr>
            </w:pPr>
          </w:p>
        </w:tc>
        <w:tc>
          <w:tcPr>
            <w:tcW w:w="398" w:type="pct"/>
            <w:tcBorders>
              <w:top w:val="nil"/>
              <w:left w:val="nil"/>
              <w:bottom w:val="nil"/>
              <w:right w:val="nil"/>
            </w:tcBorders>
            <w:shd w:val="clear" w:color="auto" w:fill="auto"/>
            <w:noWrap/>
            <w:vAlign w:val="bottom"/>
          </w:tcPr>
          <w:p w14:paraId="5F90FE4B" w14:textId="77777777" w:rsidR="0044062C" w:rsidRPr="00BC68C4" w:rsidRDefault="0044062C" w:rsidP="001613C8">
            <w:pPr>
              <w:jc w:val="center"/>
              <w:rPr>
                <w:rFonts w:ascii="Times New Roman" w:eastAsia="Times New Roman" w:hAnsi="Times New Roman" w:cs="Times New Roman"/>
                <w:color w:val="000000"/>
                <w:sz w:val="16"/>
                <w:szCs w:val="16"/>
                <w:lang w:eastAsia="en-GB"/>
              </w:rPr>
            </w:pPr>
          </w:p>
        </w:tc>
        <w:tc>
          <w:tcPr>
            <w:tcW w:w="93" w:type="pct"/>
            <w:tcBorders>
              <w:top w:val="nil"/>
              <w:left w:val="nil"/>
              <w:bottom w:val="nil"/>
              <w:right w:val="nil"/>
            </w:tcBorders>
            <w:shd w:val="clear" w:color="auto" w:fill="auto"/>
            <w:noWrap/>
            <w:vAlign w:val="bottom"/>
          </w:tcPr>
          <w:p w14:paraId="587876B6" w14:textId="77777777" w:rsidR="0044062C" w:rsidRPr="00BC68C4" w:rsidRDefault="0044062C" w:rsidP="001613C8">
            <w:pPr>
              <w:jc w:val="center"/>
              <w:rPr>
                <w:rFonts w:ascii="Times New Roman" w:eastAsia="Times New Roman" w:hAnsi="Times New Roman" w:cs="Times New Roman"/>
                <w:color w:val="000000"/>
                <w:sz w:val="16"/>
                <w:szCs w:val="16"/>
                <w:lang w:eastAsia="en-GB"/>
              </w:rPr>
            </w:pPr>
          </w:p>
        </w:tc>
        <w:tc>
          <w:tcPr>
            <w:tcW w:w="165" w:type="pct"/>
            <w:tcBorders>
              <w:top w:val="nil"/>
              <w:left w:val="nil"/>
              <w:bottom w:val="nil"/>
              <w:right w:val="nil"/>
            </w:tcBorders>
            <w:shd w:val="clear" w:color="auto" w:fill="auto"/>
            <w:noWrap/>
            <w:vAlign w:val="center"/>
          </w:tcPr>
          <w:p w14:paraId="206EFA70" w14:textId="77777777" w:rsidR="0044062C" w:rsidRPr="00BC68C4" w:rsidRDefault="0044062C" w:rsidP="001613C8">
            <w:pPr>
              <w:jc w:val="center"/>
              <w:rPr>
                <w:rFonts w:ascii="Times New Roman" w:eastAsia="Times New Roman" w:hAnsi="Times New Roman" w:cs="Times New Roman"/>
                <w:color w:val="000000"/>
                <w:sz w:val="16"/>
                <w:szCs w:val="16"/>
                <w:lang w:eastAsia="en-GB"/>
              </w:rPr>
            </w:pPr>
          </w:p>
        </w:tc>
        <w:tc>
          <w:tcPr>
            <w:tcW w:w="238" w:type="pct"/>
            <w:tcBorders>
              <w:top w:val="nil"/>
              <w:left w:val="nil"/>
              <w:bottom w:val="nil"/>
              <w:right w:val="nil"/>
            </w:tcBorders>
            <w:shd w:val="clear" w:color="auto" w:fill="auto"/>
            <w:noWrap/>
            <w:vAlign w:val="bottom"/>
          </w:tcPr>
          <w:p w14:paraId="5C8A57C1" w14:textId="77777777" w:rsidR="0044062C" w:rsidRPr="00BC68C4" w:rsidRDefault="0044062C" w:rsidP="001613C8">
            <w:pPr>
              <w:jc w:val="center"/>
              <w:rPr>
                <w:rFonts w:ascii="Times New Roman" w:eastAsia="Times New Roman" w:hAnsi="Times New Roman" w:cs="Times New Roman"/>
                <w:color w:val="000000"/>
                <w:sz w:val="16"/>
                <w:szCs w:val="16"/>
                <w:lang w:eastAsia="en-GB"/>
              </w:rPr>
            </w:pPr>
          </w:p>
        </w:tc>
        <w:tc>
          <w:tcPr>
            <w:tcW w:w="375" w:type="pct"/>
            <w:tcBorders>
              <w:top w:val="nil"/>
              <w:left w:val="nil"/>
              <w:bottom w:val="nil"/>
              <w:right w:val="nil"/>
            </w:tcBorders>
            <w:shd w:val="clear" w:color="auto" w:fill="auto"/>
            <w:noWrap/>
            <w:vAlign w:val="bottom"/>
          </w:tcPr>
          <w:p w14:paraId="42556260" w14:textId="77777777" w:rsidR="0044062C" w:rsidRPr="00BC68C4" w:rsidRDefault="0044062C" w:rsidP="001613C8">
            <w:pPr>
              <w:jc w:val="center"/>
              <w:rPr>
                <w:rFonts w:ascii="Times New Roman" w:hAnsi="Times New Roman" w:cs="Times New Roman"/>
                <w:color w:val="000000"/>
                <w:sz w:val="16"/>
                <w:szCs w:val="16"/>
              </w:rPr>
            </w:pPr>
          </w:p>
        </w:tc>
        <w:tc>
          <w:tcPr>
            <w:tcW w:w="279" w:type="pct"/>
            <w:tcBorders>
              <w:top w:val="nil"/>
              <w:left w:val="nil"/>
              <w:bottom w:val="nil"/>
              <w:right w:val="nil"/>
            </w:tcBorders>
            <w:shd w:val="clear" w:color="auto" w:fill="auto"/>
            <w:noWrap/>
            <w:vAlign w:val="bottom"/>
          </w:tcPr>
          <w:p w14:paraId="60ABDFDB" w14:textId="77777777" w:rsidR="0044062C" w:rsidRPr="00BC68C4" w:rsidRDefault="0044062C" w:rsidP="001613C8">
            <w:pPr>
              <w:jc w:val="center"/>
              <w:rPr>
                <w:rFonts w:ascii="Times New Roman" w:eastAsia="Times New Roman" w:hAnsi="Times New Roman" w:cs="Times New Roman"/>
                <w:color w:val="000000"/>
                <w:sz w:val="16"/>
                <w:szCs w:val="16"/>
                <w:lang w:eastAsia="en-GB"/>
              </w:rPr>
            </w:pPr>
          </w:p>
        </w:tc>
        <w:tc>
          <w:tcPr>
            <w:tcW w:w="408" w:type="pct"/>
            <w:tcBorders>
              <w:top w:val="nil"/>
              <w:left w:val="nil"/>
              <w:bottom w:val="nil"/>
              <w:right w:val="nil"/>
            </w:tcBorders>
            <w:shd w:val="clear" w:color="auto" w:fill="auto"/>
            <w:noWrap/>
            <w:vAlign w:val="bottom"/>
          </w:tcPr>
          <w:p w14:paraId="3CB7AC60" w14:textId="77777777" w:rsidR="0044062C" w:rsidRPr="00BC68C4" w:rsidRDefault="0044062C" w:rsidP="001613C8">
            <w:pPr>
              <w:jc w:val="center"/>
              <w:rPr>
                <w:rFonts w:ascii="Times New Roman" w:eastAsia="Times New Roman" w:hAnsi="Times New Roman" w:cs="Times New Roman"/>
                <w:color w:val="000000"/>
                <w:sz w:val="16"/>
                <w:szCs w:val="16"/>
                <w:lang w:eastAsia="en-GB"/>
              </w:rPr>
            </w:pPr>
          </w:p>
        </w:tc>
        <w:tc>
          <w:tcPr>
            <w:tcW w:w="270" w:type="pct"/>
            <w:tcBorders>
              <w:top w:val="nil"/>
              <w:left w:val="nil"/>
              <w:bottom w:val="nil"/>
              <w:right w:val="nil"/>
            </w:tcBorders>
            <w:shd w:val="clear" w:color="auto" w:fill="auto"/>
            <w:noWrap/>
            <w:vAlign w:val="bottom"/>
          </w:tcPr>
          <w:p w14:paraId="6D5CB437" w14:textId="77777777" w:rsidR="0044062C" w:rsidRPr="00BC68C4" w:rsidRDefault="0044062C" w:rsidP="001613C8">
            <w:pPr>
              <w:jc w:val="center"/>
              <w:rPr>
                <w:rFonts w:ascii="Times New Roman" w:eastAsia="Times New Roman" w:hAnsi="Times New Roman" w:cs="Times New Roman"/>
                <w:color w:val="000000"/>
                <w:sz w:val="16"/>
                <w:szCs w:val="16"/>
                <w:lang w:eastAsia="en-GB"/>
              </w:rPr>
            </w:pPr>
          </w:p>
        </w:tc>
      </w:tr>
      <w:tr w:rsidR="009A0F0B" w:rsidRPr="00BC68C4" w14:paraId="3243A9E1" w14:textId="77777777" w:rsidTr="009A0F0B">
        <w:trPr>
          <w:trHeight w:hRule="exact" w:val="181"/>
        </w:trPr>
        <w:tc>
          <w:tcPr>
            <w:tcW w:w="262" w:type="pct"/>
            <w:tcBorders>
              <w:top w:val="nil"/>
              <w:left w:val="nil"/>
              <w:bottom w:val="nil"/>
              <w:right w:val="nil"/>
            </w:tcBorders>
            <w:shd w:val="clear" w:color="auto" w:fill="auto"/>
            <w:noWrap/>
            <w:vAlign w:val="center"/>
          </w:tcPr>
          <w:p w14:paraId="24E41A89" w14:textId="77777777" w:rsidR="0044062C" w:rsidRPr="00BC68C4" w:rsidRDefault="0044062C" w:rsidP="00AE0FA6">
            <w:pPr>
              <w:jc w:val="left"/>
              <w:rPr>
                <w:rFonts w:ascii="Times New Roman" w:hAnsi="Times New Roman" w:cs="Times New Roman"/>
                <w:color w:val="000000"/>
                <w:sz w:val="16"/>
                <w:szCs w:val="16"/>
              </w:rPr>
            </w:pPr>
          </w:p>
        </w:tc>
        <w:tc>
          <w:tcPr>
            <w:tcW w:w="678" w:type="pct"/>
            <w:tcBorders>
              <w:top w:val="nil"/>
              <w:left w:val="nil"/>
              <w:bottom w:val="nil"/>
              <w:right w:val="nil"/>
            </w:tcBorders>
            <w:shd w:val="clear" w:color="auto" w:fill="auto"/>
            <w:noWrap/>
            <w:vAlign w:val="center"/>
          </w:tcPr>
          <w:p w14:paraId="5DDAD33B" w14:textId="4F2EB826" w:rsidR="0044062C" w:rsidRPr="00BC68C4" w:rsidRDefault="0044062C" w:rsidP="00AE0FA6">
            <w:pPr>
              <w:jc w:val="left"/>
              <w:rPr>
                <w:rFonts w:ascii="Times New Roman" w:eastAsia="Times New Roman" w:hAnsi="Times New Roman" w:cs="Times New Roman"/>
                <w:color w:val="000000"/>
                <w:sz w:val="16"/>
                <w:szCs w:val="16"/>
                <w:lang w:eastAsia="en-GB"/>
              </w:rPr>
            </w:pPr>
            <w:proofErr w:type="spellStart"/>
            <w:r w:rsidRPr="00BC68C4">
              <w:rPr>
                <w:rFonts w:ascii="Times New Roman" w:hAnsi="Times New Roman" w:cs="Times New Roman"/>
                <w:color w:val="000000"/>
                <w:sz w:val="16"/>
                <w:szCs w:val="16"/>
              </w:rPr>
              <w:t>NumDir</w:t>
            </w:r>
            <w:proofErr w:type="spellEnd"/>
          </w:p>
        </w:tc>
        <w:tc>
          <w:tcPr>
            <w:tcW w:w="230" w:type="pct"/>
            <w:tcBorders>
              <w:top w:val="nil"/>
              <w:left w:val="nil"/>
              <w:bottom w:val="nil"/>
              <w:right w:val="nil"/>
            </w:tcBorders>
            <w:shd w:val="clear" w:color="auto" w:fill="auto"/>
            <w:noWrap/>
            <w:vAlign w:val="bottom"/>
          </w:tcPr>
          <w:p w14:paraId="2EE679FE" w14:textId="33BB3A40"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252</w:t>
            </w:r>
          </w:p>
        </w:tc>
        <w:tc>
          <w:tcPr>
            <w:tcW w:w="426" w:type="pct"/>
            <w:tcBorders>
              <w:top w:val="nil"/>
              <w:left w:val="nil"/>
              <w:bottom w:val="nil"/>
              <w:right w:val="nil"/>
            </w:tcBorders>
            <w:shd w:val="clear" w:color="auto" w:fill="auto"/>
            <w:noWrap/>
            <w:vAlign w:val="bottom"/>
          </w:tcPr>
          <w:p w14:paraId="5AE2CCE7" w14:textId="30B676BA"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6.02</w:t>
            </w:r>
          </w:p>
        </w:tc>
        <w:tc>
          <w:tcPr>
            <w:tcW w:w="375" w:type="pct"/>
            <w:tcBorders>
              <w:top w:val="nil"/>
              <w:left w:val="nil"/>
              <w:bottom w:val="nil"/>
              <w:right w:val="nil"/>
            </w:tcBorders>
            <w:shd w:val="clear" w:color="auto" w:fill="auto"/>
            <w:noWrap/>
            <w:vAlign w:val="bottom"/>
          </w:tcPr>
          <w:p w14:paraId="49DBACA2" w14:textId="62F5905D"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3.00</w:t>
            </w:r>
          </w:p>
        </w:tc>
        <w:tc>
          <w:tcPr>
            <w:tcW w:w="379" w:type="pct"/>
            <w:tcBorders>
              <w:top w:val="nil"/>
              <w:left w:val="nil"/>
              <w:bottom w:val="nil"/>
              <w:right w:val="nil"/>
            </w:tcBorders>
            <w:shd w:val="clear" w:color="auto" w:fill="auto"/>
            <w:noWrap/>
            <w:vAlign w:val="bottom"/>
          </w:tcPr>
          <w:p w14:paraId="0B7AA037" w14:textId="01B034FA"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6.00</w:t>
            </w:r>
          </w:p>
        </w:tc>
        <w:tc>
          <w:tcPr>
            <w:tcW w:w="424" w:type="pct"/>
            <w:tcBorders>
              <w:top w:val="nil"/>
              <w:left w:val="nil"/>
              <w:bottom w:val="nil"/>
              <w:right w:val="nil"/>
            </w:tcBorders>
            <w:shd w:val="clear" w:color="auto" w:fill="auto"/>
            <w:noWrap/>
            <w:vAlign w:val="bottom"/>
          </w:tcPr>
          <w:p w14:paraId="7A611DE4" w14:textId="5FED1197"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23.00</w:t>
            </w:r>
          </w:p>
        </w:tc>
        <w:tc>
          <w:tcPr>
            <w:tcW w:w="398" w:type="pct"/>
            <w:tcBorders>
              <w:top w:val="nil"/>
              <w:left w:val="nil"/>
              <w:bottom w:val="nil"/>
              <w:right w:val="nil"/>
            </w:tcBorders>
            <w:shd w:val="clear" w:color="auto" w:fill="auto"/>
            <w:noWrap/>
            <w:vAlign w:val="bottom"/>
          </w:tcPr>
          <w:p w14:paraId="7AC4B1B4" w14:textId="24C8C598"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2.75</w:t>
            </w:r>
          </w:p>
        </w:tc>
        <w:tc>
          <w:tcPr>
            <w:tcW w:w="93" w:type="pct"/>
            <w:tcBorders>
              <w:top w:val="nil"/>
              <w:left w:val="nil"/>
              <w:bottom w:val="nil"/>
              <w:right w:val="nil"/>
            </w:tcBorders>
            <w:shd w:val="clear" w:color="auto" w:fill="auto"/>
            <w:noWrap/>
            <w:vAlign w:val="center"/>
          </w:tcPr>
          <w:p w14:paraId="66E24C96" w14:textId="77777777" w:rsidR="0044062C" w:rsidRPr="00BC68C4" w:rsidRDefault="0044062C" w:rsidP="001613C8">
            <w:pPr>
              <w:jc w:val="center"/>
              <w:rPr>
                <w:rFonts w:ascii="Times New Roman" w:eastAsia="Times New Roman" w:hAnsi="Times New Roman" w:cs="Times New Roman"/>
                <w:color w:val="000000"/>
                <w:sz w:val="16"/>
                <w:szCs w:val="16"/>
                <w:lang w:eastAsia="en-GB"/>
              </w:rPr>
            </w:pPr>
          </w:p>
        </w:tc>
        <w:tc>
          <w:tcPr>
            <w:tcW w:w="165" w:type="pct"/>
            <w:tcBorders>
              <w:top w:val="nil"/>
              <w:left w:val="nil"/>
              <w:bottom w:val="nil"/>
              <w:right w:val="nil"/>
            </w:tcBorders>
            <w:shd w:val="clear" w:color="auto" w:fill="auto"/>
            <w:noWrap/>
            <w:vAlign w:val="bottom"/>
          </w:tcPr>
          <w:p w14:paraId="12A0FC9F" w14:textId="45512CBD"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344</w:t>
            </w:r>
          </w:p>
        </w:tc>
        <w:tc>
          <w:tcPr>
            <w:tcW w:w="238" w:type="pct"/>
            <w:tcBorders>
              <w:top w:val="nil"/>
              <w:left w:val="nil"/>
              <w:bottom w:val="nil"/>
              <w:right w:val="nil"/>
            </w:tcBorders>
            <w:shd w:val="clear" w:color="auto" w:fill="auto"/>
            <w:noWrap/>
            <w:vAlign w:val="bottom"/>
          </w:tcPr>
          <w:p w14:paraId="45082957" w14:textId="562E244D"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6.24</w:t>
            </w:r>
          </w:p>
        </w:tc>
        <w:tc>
          <w:tcPr>
            <w:tcW w:w="375" w:type="pct"/>
            <w:tcBorders>
              <w:top w:val="nil"/>
              <w:left w:val="nil"/>
              <w:bottom w:val="nil"/>
              <w:right w:val="nil"/>
            </w:tcBorders>
            <w:shd w:val="clear" w:color="auto" w:fill="auto"/>
            <w:noWrap/>
            <w:vAlign w:val="bottom"/>
          </w:tcPr>
          <w:p w14:paraId="6526D6AE" w14:textId="43338F6A"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3.00</w:t>
            </w:r>
          </w:p>
        </w:tc>
        <w:tc>
          <w:tcPr>
            <w:tcW w:w="279" w:type="pct"/>
            <w:tcBorders>
              <w:top w:val="nil"/>
              <w:left w:val="nil"/>
              <w:bottom w:val="nil"/>
              <w:right w:val="nil"/>
            </w:tcBorders>
            <w:shd w:val="clear" w:color="auto" w:fill="auto"/>
            <w:noWrap/>
            <w:vAlign w:val="bottom"/>
          </w:tcPr>
          <w:p w14:paraId="1E06B684" w14:textId="2C11AF80"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6.00</w:t>
            </w:r>
          </w:p>
        </w:tc>
        <w:tc>
          <w:tcPr>
            <w:tcW w:w="408" w:type="pct"/>
            <w:tcBorders>
              <w:top w:val="nil"/>
              <w:left w:val="nil"/>
              <w:bottom w:val="nil"/>
              <w:right w:val="nil"/>
            </w:tcBorders>
            <w:shd w:val="clear" w:color="auto" w:fill="auto"/>
            <w:noWrap/>
            <w:vAlign w:val="bottom"/>
          </w:tcPr>
          <w:p w14:paraId="0294AF9D" w14:textId="3D867ABF"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19.00</w:t>
            </w:r>
          </w:p>
        </w:tc>
        <w:tc>
          <w:tcPr>
            <w:tcW w:w="270" w:type="pct"/>
            <w:tcBorders>
              <w:top w:val="nil"/>
              <w:left w:val="nil"/>
              <w:bottom w:val="nil"/>
              <w:right w:val="nil"/>
            </w:tcBorders>
            <w:shd w:val="clear" w:color="auto" w:fill="auto"/>
            <w:noWrap/>
            <w:vAlign w:val="bottom"/>
          </w:tcPr>
          <w:p w14:paraId="1D21BC5B" w14:textId="6B1FC288"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2.50</w:t>
            </w:r>
          </w:p>
        </w:tc>
      </w:tr>
      <w:tr w:rsidR="009A0F0B" w:rsidRPr="00BC68C4" w14:paraId="492CDC0D" w14:textId="77777777" w:rsidTr="009A0F0B">
        <w:trPr>
          <w:trHeight w:hRule="exact" w:val="181"/>
        </w:trPr>
        <w:tc>
          <w:tcPr>
            <w:tcW w:w="262" w:type="pct"/>
            <w:tcBorders>
              <w:top w:val="nil"/>
              <w:left w:val="nil"/>
              <w:bottom w:val="nil"/>
              <w:right w:val="nil"/>
            </w:tcBorders>
            <w:shd w:val="clear" w:color="auto" w:fill="auto"/>
            <w:noWrap/>
            <w:vAlign w:val="center"/>
          </w:tcPr>
          <w:p w14:paraId="4116CA46" w14:textId="77777777" w:rsidR="0044062C" w:rsidRPr="00BC68C4" w:rsidRDefault="0044062C" w:rsidP="00AE0FA6">
            <w:pPr>
              <w:jc w:val="left"/>
              <w:rPr>
                <w:rFonts w:ascii="Times New Roman" w:hAnsi="Times New Roman" w:cs="Times New Roman"/>
                <w:color w:val="000000"/>
                <w:sz w:val="16"/>
                <w:szCs w:val="16"/>
              </w:rPr>
            </w:pPr>
          </w:p>
        </w:tc>
        <w:tc>
          <w:tcPr>
            <w:tcW w:w="678" w:type="pct"/>
            <w:tcBorders>
              <w:top w:val="nil"/>
              <w:left w:val="nil"/>
              <w:bottom w:val="nil"/>
              <w:right w:val="nil"/>
            </w:tcBorders>
            <w:shd w:val="clear" w:color="auto" w:fill="auto"/>
            <w:noWrap/>
            <w:vAlign w:val="center"/>
          </w:tcPr>
          <w:p w14:paraId="225AA544" w14:textId="6B016BE1" w:rsidR="0044062C" w:rsidRPr="00BC68C4" w:rsidRDefault="0044062C" w:rsidP="00AE0FA6">
            <w:pPr>
              <w:jc w:val="left"/>
              <w:rPr>
                <w:rFonts w:ascii="Times New Roman" w:eastAsia="Times New Roman" w:hAnsi="Times New Roman" w:cs="Times New Roman"/>
                <w:color w:val="000000"/>
                <w:sz w:val="16"/>
                <w:szCs w:val="16"/>
                <w:lang w:eastAsia="en-GB"/>
              </w:rPr>
            </w:pPr>
            <w:proofErr w:type="spellStart"/>
            <w:r w:rsidRPr="00BC68C4">
              <w:rPr>
                <w:rFonts w:ascii="Times New Roman" w:eastAsia="Times New Roman" w:hAnsi="Times New Roman" w:cs="Times New Roman"/>
                <w:color w:val="000000"/>
                <w:sz w:val="16"/>
                <w:szCs w:val="16"/>
                <w:lang w:eastAsia="en-GB"/>
              </w:rPr>
              <w:t>DirOnlyNum</w:t>
            </w:r>
            <w:proofErr w:type="spellEnd"/>
          </w:p>
        </w:tc>
        <w:tc>
          <w:tcPr>
            <w:tcW w:w="230" w:type="pct"/>
            <w:tcBorders>
              <w:top w:val="nil"/>
              <w:left w:val="nil"/>
              <w:bottom w:val="nil"/>
              <w:right w:val="nil"/>
            </w:tcBorders>
            <w:shd w:val="clear" w:color="auto" w:fill="auto"/>
            <w:noWrap/>
            <w:vAlign w:val="bottom"/>
          </w:tcPr>
          <w:p w14:paraId="0A82E046" w14:textId="3C76D0BF"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245</w:t>
            </w:r>
          </w:p>
        </w:tc>
        <w:tc>
          <w:tcPr>
            <w:tcW w:w="426" w:type="pct"/>
            <w:tcBorders>
              <w:top w:val="nil"/>
              <w:left w:val="nil"/>
              <w:bottom w:val="nil"/>
              <w:right w:val="nil"/>
            </w:tcBorders>
            <w:shd w:val="clear" w:color="auto" w:fill="auto"/>
            <w:noWrap/>
            <w:vAlign w:val="bottom"/>
          </w:tcPr>
          <w:p w14:paraId="59E2843E" w14:textId="3532F419"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5.84</w:t>
            </w:r>
          </w:p>
        </w:tc>
        <w:tc>
          <w:tcPr>
            <w:tcW w:w="375" w:type="pct"/>
            <w:tcBorders>
              <w:top w:val="nil"/>
              <w:left w:val="nil"/>
              <w:bottom w:val="nil"/>
              <w:right w:val="nil"/>
            </w:tcBorders>
            <w:shd w:val="clear" w:color="auto" w:fill="auto"/>
            <w:noWrap/>
            <w:vAlign w:val="bottom"/>
          </w:tcPr>
          <w:p w14:paraId="61F81BCF" w14:textId="7ECB2C35"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2.00</w:t>
            </w:r>
          </w:p>
        </w:tc>
        <w:tc>
          <w:tcPr>
            <w:tcW w:w="379" w:type="pct"/>
            <w:tcBorders>
              <w:top w:val="nil"/>
              <w:left w:val="nil"/>
              <w:bottom w:val="nil"/>
              <w:right w:val="nil"/>
            </w:tcBorders>
            <w:shd w:val="clear" w:color="auto" w:fill="auto"/>
            <w:noWrap/>
            <w:vAlign w:val="bottom"/>
          </w:tcPr>
          <w:p w14:paraId="064FB383" w14:textId="536BF83F"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5.00</w:t>
            </w:r>
          </w:p>
        </w:tc>
        <w:tc>
          <w:tcPr>
            <w:tcW w:w="424" w:type="pct"/>
            <w:tcBorders>
              <w:top w:val="nil"/>
              <w:left w:val="nil"/>
              <w:bottom w:val="nil"/>
              <w:right w:val="nil"/>
            </w:tcBorders>
            <w:shd w:val="clear" w:color="auto" w:fill="auto"/>
            <w:noWrap/>
            <w:vAlign w:val="bottom"/>
          </w:tcPr>
          <w:p w14:paraId="3AA65DDD" w14:textId="701F60A0"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23.00</w:t>
            </w:r>
          </w:p>
        </w:tc>
        <w:tc>
          <w:tcPr>
            <w:tcW w:w="398" w:type="pct"/>
            <w:tcBorders>
              <w:top w:val="nil"/>
              <w:left w:val="nil"/>
              <w:bottom w:val="nil"/>
              <w:right w:val="nil"/>
            </w:tcBorders>
            <w:shd w:val="clear" w:color="auto" w:fill="auto"/>
            <w:noWrap/>
            <w:vAlign w:val="bottom"/>
          </w:tcPr>
          <w:p w14:paraId="1B6BC6BF" w14:textId="7ECACEDC"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2.88</w:t>
            </w:r>
          </w:p>
        </w:tc>
        <w:tc>
          <w:tcPr>
            <w:tcW w:w="93" w:type="pct"/>
            <w:tcBorders>
              <w:top w:val="nil"/>
              <w:left w:val="nil"/>
              <w:bottom w:val="nil"/>
              <w:right w:val="nil"/>
            </w:tcBorders>
            <w:shd w:val="clear" w:color="auto" w:fill="auto"/>
            <w:noWrap/>
            <w:vAlign w:val="center"/>
          </w:tcPr>
          <w:p w14:paraId="10B4509A" w14:textId="77777777" w:rsidR="0044062C" w:rsidRPr="00BC68C4" w:rsidRDefault="0044062C" w:rsidP="001613C8">
            <w:pPr>
              <w:jc w:val="center"/>
              <w:rPr>
                <w:rFonts w:ascii="Times New Roman" w:eastAsia="Times New Roman" w:hAnsi="Times New Roman" w:cs="Times New Roman"/>
                <w:color w:val="000000"/>
                <w:sz w:val="16"/>
                <w:szCs w:val="16"/>
                <w:lang w:eastAsia="en-GB"/>
              </w:rPr>
            </w:pPr>
          </w:p>
        </w:tc>
        <w:tc>
          <w:tcPr>
            <w:tcW w:w="165" w:type="pct"/>
            <w:tcBorders>
              <w:top w:val="nil"/>
              <w:left w:val="nil"/>
              <w:bottom w:val="nil"/>
              <w:right w:val="nil"/>
            </w:tcBorders>
            <w:shd w:val="clear" w:color="auto" w:fill="auto"/>
            <w:noWrap/>
            <w:vAlign w:val="bottom"/>
          </w:tcPr>
          <w:p w14:paraId="7084D4CC" w14:textId="456ECDF9"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344</w:t>
            </w:r>
          </w:p>
        </w:tc>
        <w:tc>
          <w:tcPr>
            <w:tcW w:w="238" w:type="pct"/>
            <w:tcBorders>
              <w:top w:val="nil"/>
              <w:left w:val="nil"/>
              <w:bottom w:val="nil"/>
              <w:right w:val="nil"/>
            </w:tcBorders>
            <w:shd w:val="clear" w:color="auto" w:fill="auto"/>
            <w:noWrap/>
            <w:vAlign w:val="bottom"/>
          </w:tcPr>
          <w:p w14:paraId="32E4806F" w14:textId="46E0B3A1"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5.97</w:t>
            </w:r>
          </w:p>
        </w:tc>
        <w:tc>
          <w:tcPr>
            <w:tcW w:w="375" w:type="pct"/>
            <w:tcBorders>
              <w:top w:val="nil"/>
              <w:left w:val="nil"/>
              <w:bottom w:val="nil"/>
              <w:right w:val="nil"/>
            </w:tcBorders>
            <w:shd w:val="clear" w:color="auto" w:fill="auto"/>
            <w:noWrap/>
            <w:vAlign w:val="bottom"/>
          </w:tcPr>
          <w:p w14:paraId="031FF294" w14:textId="35581017"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1.00</w:t>
            </w:r>
          </w:p>
        </w:tc>
        <w:tc>
          <w:tcPr>
            <w:tcW w:w="279" w:type="pct"/>
            <w:tcBorders>
              <w:top w:val="nil"/>
              <w:left w:val="nil"/>
              <w:bottom w:val="nil"/>
              <w:right w:val="nil"/>
            </w:tcBorders>
            <w:shd w:val="clear" w:color="auto" w:fill="auto"/>
            <w:noWrap/>
            <w:vAlign w:val="bottom"/>
          </w:tcPr>
          <w:p w14:paraId="7BA9B97B" w14:textId="0E6E0BB7"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6.00</w:t>
            </w:r>
          </w:p>
        </w:tc>
        <w:tc>
          <w:tcPr>
            <w:tcW w:w="408" w:type="pct"/>
            <w:tcBorders>
              <w:top w:val="nil"/>
              <w:left w:val="nil"/>
              <w:bottom w:val="nil"/>
              <w:right w:val="nil"/>
            </w:tcBorders>
            <w:shd w:val="clear" w:color="auto" w:fill="auto"/>
            <w:noWrap/>
            <w:vAlign w:val="bottom"/>
          </w:tcPr>
          <w:p w14:paraId="393D99D9" w14:textId="2EC4184A"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19.00</w:t>
            </w:r>
          </w:p>
        </w:tc>
        <w:tc>
          <w:tcPr>
            <w:tcW w:w="270" w:type="pct"/>
            <w:tcBorders>
              <w:top w:val="nil"/>
              <w:left w:val="nil"/>
              <w:bottom w:val="nil"/>
              <w:right w:val="nil"/>
            </w:tcBorders>
            <w:shd w:val="clear" w:color="auto" w:fill="auto"/>
            <w:noWrap/>
            <w:vAlign w:val="bottom"/>
          </w:tcPr>
          <w:p w14:paraId="0B43F579" w14:textId="33E49A30"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2.69</w:t>
            </w:r>
          </w:p>
        </w:tc>
      </w:tr>
      <w:tr w:rsidR="009A0F0B" w:rsidRPr="00BC68C4" w14:paraId="2FFF4425" w14:textId="77777777" w:rsidTr="009A0F0B">
        <w:trPr>
          <w:trHeight w:hRule="exact" w:val="181"/>
        </w:trPr>
        <w:tc>
          <w:tcPr>
            <w:tcW w:w="262" w:type="pct"/>
            <w:tcBorders>
              <w:top w:val="nil"/>
              <w:left w:val="nil"/>
              <w:bottom w:val="nil"/>
              <w:right w:val="nil"/>
            </w:tcBorders>
            <w:shd w:val="clear" w:color="auto" w:fill="auto"/>
            <w:noWrap/>
            <w:vAlign w:val="center"/>
          </w:tcPr>
          <w:p w14:paraId="062C9E8E" w14:textId="77777777" w:rsidR="00F50337" w:rsidRPr="00BC68C4" w:rsidRDefault="00F50337" w:rsidP="00AE0FA6">
            <w:pPr>
              <w:jc w:val="left"/>
              <w:rPr>
                <w:rFonts w:ascii="Times New Roman" w:hAnsi="Times New Roman" w:cs="Times New Roman"/>
                <w:color w:val="000000"/>
                <w:sz w:val="16"/>
                <w:szCs w:val="16"/>
              </w:rPr>
            </w:pPr>
          </w:p>
        </w:tc>
        <w:tc>
          <w:tcPr>
            <w:tcW w:w="678" w:type="pct"/>
            <w:tcBorders>
              <w:top w:val="nil"/>
              <w:left w:val="nil"/>
              <w:bottom w:val="nil"/>
              <w:right w:val="nil"/>
            </w:tcBorders>
            <w:shd w:val="clear" w:color="auto" w:fill="auto"/>
            <w:noWrap/>
            <w:vAlign w:val="center"/>
          </w:tcPr>
          <w:p w14:paraId="78CB5632" w14:textId="4C2AA6E0" w:rsidR="00F50337" w:rsidRPr="00BC68C4" w:rsidRDefault="00F50337" w:rsidP="00AE0FA6">
            <w:pPr>
              <w:jc w:val="left"/>
              <w:rPr>
                <w:rFonts w:ascii="Times New Roman" w:eastAsia="Times New Roman" w:hAnsi="Times New Roman" w:cs="Times New Roman"/>
                <w:color w:val="000000"/>
                <w:sz w:val="16"/>
                <w:szCs w:val="16"/>
                <w:lang w:eastAsia="en-GB"/>
              </w:rPr>
            </w:pPr>
            <w:proofErr w:type="spellStart"/>
            <w:r w:rsidRPr="00BC68C4">
              <w:rPr>
                <w:rFonts w:ascii="Times New Roman" w:eastAsia="Times New Roman" w:hAnsi="Times New Roman" w:cs="Times New Roman"/>
                <w:color w:val="000000"/>
                <w:sz w:val="16"/>
                <w:szCs w:val="16"/>
                <w:lang w:eastAsia="en-GB"/>
              </w:rPr>
              <w:t>PropDirBlock</w:t>
            </w:r>
            <w:proofErr w:type="spellEnd"/>
            <w:r w:rsidRPr="00BC68C4">
              <w:rPr>
                <w:rFonts w:ascii="Times New Roman" w:eastAsia="Times New Roman" w:hAnsi="Times New Roman" w:cs="Times New Roman"/>
                <w:color w:val="000000"/>
                <w:sz w:val="16"/>
                <w:szCs w:val="16"/>
                <w:lang w:eastAsia="en-GB"/>
              </w:rPr>
              <w:t xml:space="preserve"> (%)</w:t>
            </w:r>
          </w:p>
        </w:tc>
        <w:tc>
          <w:tcPr>
            <w:tcW w:w="230" w:type="pct"/>
            <w:tcBorders>
              <w:top w:val="nil"/>
              <w:left w:val="nil"/>
              <w:bottom w:val="nil"/>
              <w:right w:val="nil"/>
            </w:tcBorders>
            <w:shd w:val="clear" w:color="auto" w:fill="auto"/>
            <w:noWrap/>
            <w:vAlign w:val="bottom"/>
          </w:tcPr>
          <w:p w14:paraId="2BB6A73D" w14:textId="13C191D2" w:rsidR="00F50337" w:rsidRPr="00BC68C4" w:rsidRDefault="00F50337"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245</w:t>
            </w:r>
          </w:p>
        </w:tc>
        <w:tc>
          <w:tcPr>
            <w:tcW w:w="426" w:type="pct"/>
            <w:tcBorders>
              <w:top w:val="nil"/>
              <w:left w:val="nil"/>
              <w:bottom w:val="nil"/>
              <w:right w:val="nil"/>
            </w:tcBorders>
            <w:shd w:val="clear" w:color="auto" w:fill="auto"/>
            <w:noWrap/>
            <w:vAlign w:val="bottom"/>
          </w:tcPr>
          <w:p w14:paraId="193A985E" w14:textId="4ADA66A5" w:rsidR="00F50337" w:rsidRPr="00BC68C4" w:rsidRDefault="00F50337"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4.25</w:t>
            </w:r>
          </w:p>
        </w:tc>
        <w:tc>
          <w:tcPr>
            <w:tcW w:w="375" w:type="pct"/>
            <w:tcBorders>
              <w:top w:val="nil"/>
              <w:left w:val="nil"/>
              <w:bottom w:val="nil"/>
              <w:right w:val="nil"/>
            </w:tcBorders>
            <w:shd w:val="clear" w:color="auto" w:fill="auto"/>
            <w:noWrap/>
            <w:vAlign w:val="bottom"/>
          </w:tcPr>
          <w:p w14:paraId="77F41361" w14:textId="37A0AF91" w:rsidR="00F50337" w:rsidRPr="00BC68C4" w:rsidRDefault="00F50337"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0.00</w:t>
            </w:r>
          </w:p>
        </w:tc>
        <w:tc>
          <w:tcPr>
            <w:tcW w:w="379" w:type="pct"/>
            <w:tcBorders>
              <w:top w:val="nil"/>
              <w:left w:val="nil"/>
              <w:bottom w:val="nil"/>
              <w:right w:val="nil"/>
            </w:tcBorders>
            <w:shd w:val="clear" w:color="auto" w:fill="auto"/>
            <w:noWrap/>
            <w:vAlign w:val="bottom"/>
          </w:tcPr>
          <w:p w14:paraId="69986A25" w14:textId="2A7C2F89" w:rsidR="00F50337" w:rsidRPr="00BC68C4" w:rsidRDefault="00F50337"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0.00</w:t>
            </w:r>
          </w:p>
        </w:tc>
        <w:tc>
          <w:tcPr>
            <w:tcW w:w="424" w:type="pct"/>
            <w:tcBorders>
              <w:top w:val="nil"/>
              <w:left w:val="nil"/>
              <w:bottom w:val="nil"/>
              <w:right w:val="nil"/>
            </w:tcBorders>
            <w:shd w:val="clear" w:color="auto" w:fill="auto"/>
            <w:noWrap/>
            <w:vAlign w:val="bottom"/>
          </w:tcPr>
          <w:p w14:paraId="172CFBAA" w14:textId="793856C9" w:rsidR="00F50337" w:rsidRPr="00BC68C4" w:rsidRDefault="00F50337"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100.00</w:t>
            </w:r>
          </w:p>
        </w:tc>
        <w:tc>
          <w:tcPr>
            <w:tcW w:w="398" w:type="pct"/>
            <w:tcBorders>
              <w:top w:val="nil"/>
              <w:left w:val="nil"/>
              <w:bottom w:val="nil"/>
              <w:right w:val="nil"/>
            </w:tcBorders>
            <w:shd w:val="clear" w:color="auto" w:fill="auto"/>
            <w:noWrap/>
            <w:vAlign w:val="bottom"/>
          </w:tcPr>
          <w:p w14:paraId="33BF63A7" w14:textId="016649D2" w:rsidR="00F50337" w:rsidRPr="00BC68C4" w:rsidRDefault="00F50337"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12.24</w:t>
            </w:r>
          </w:p>
        </w:tc>
        <w:tc>
          <w:tcPr>
            <w:tcW w:w="93" w:type="pct"/>
            <w:tcBorders>
              <w:top w:val="nil"/>
              <w:left w:val="nil"/>
              <w:bottom w:val="nil"/>
              <w:right w:val="nil"/>
            </w:tcBorders>
            <w:shd w:val="clear" w:color="auto" w:fill="auto"/>
            <w:noWrap/>
            <w:vAlign w:val="center"/>
          </w:tcPr>
          <w:p w14:paraId="505ECEAA" w14:textId="77777777" w:rsidR="00F50337" w:rsidRPr="00BC68C4" w:rsidRDefault="00F50337" w:rsidP="001613C8">
            <w:pPr>
              <w:jc w:val="center"/>
              <w:rPr>
                <w:rFonts w:ascii="Times New Roman" w:eastAsia="Times New Roman" w:hAnsi="Times New Roman" w:cs="Times New Roman"/>
                <w:color w:val="000000"/>
                <w:sz w:val="16"/>
                <w:szCs w:val="16"/>
                <w:lang w:eastAsia="en-GB"/>
              </w:rPr>
            </w:pPr>
          </w:p>
        </w:tc>
        <w:tc>
          <w:tcPr>
            <w:tcW w:w="165" w:type="pct"/>
            <w:tcBorders>
              <w:top w:val="nil"/>
              <w:left w:val="nil"/>
              <w:bottom w:val="nil"/>
              <w:right w:val="nil"/>
            </w:tcBorders>
            <w:shd w:val="clear" w:color="auto" w:fill="auto"/>
            <w:noWrap/>
            <w:vAlign w:val="bottom"/>
          </w:tcPr>
          <w:p w14:paraId="602B3728" w14:textId="77777777" w:rsidR="00F50337" w:rsidRPr="00BC68C4" w:rsidRDefault="00F50337" w:rsidP="001613C8">
            <w:pPr>
              <w:jc w:val="center"/>
              <w:rPr>
                <w:rFonts w:ascii="Times New Roman" w:hAnsi="Times New Roman" w:cs="Times New Roman"/>
                <w:color w:val="000000"/>
                <w:sz w:val="16"/>
                <w:szCs w:val="16"/>
              </w:rPr>
            </w:pPr>
          </w:p>
        </w:tc>
        <w:tc>
          <w:tcPr>
            <w:tcW w:w="238" w:type="pct"/>
            <w:tcBorders>
              <w:top w:val="nil"/>
              <w:left w:val="nil"/>
              <w:bottom w:val="nil"/>
              <w:right w:val="nil"/>
            </w:tcBorders>
            <w:shd w:val="clear" w:color="auto" w:fill="auto"/>
            <w:noWrap/>
            <w:vAlign w:val="bottom"/>
          </w:tcPr>
          <w:p w14:paraId="74EFECD8" w14:textId="77777777" w:rsidR="00F50337" w:rsidRPr="00BC68C4" w:rsidRDefault="00F50337" w:rsidP="001613C8">
            <w:pPr>
              <w:jc w:val="center"/>
              <w:rPr>
                <w:rFonts w:ascii="Times New Roman" w:hAnsi="Times New Roman" w:cs="Times New Roman"/>
                <w:color w:val="000000"/>
                <w:sz w:val="16"/>
                <w:szCs w:val="16"/>
              </w:rPr>
            </w:pPr>
          </w:p>
        </w:tc>
        <w:tc>
          <w:tcPr>
            <w:tcW w:w="375" w:type="pct"/>
            <w:tcBorders>
              <w:top w:val="nil"/>
              <w:left w:val="nil"/>
              <w:bottom w:val="nil"/>
              <w:right w:val="nil"/>
            </w:tcBorders>
            <w:shd w:val="clear" w:color="auto" w:fill="auto"/>
            <w:noWrap/>
            <w:vAlign w:val="bottom"/>
          </w:tcPr>
          <w:p w14:paraId="335E0937" w14:textId="77777777" w:rsidR="00F50337" w:rsidRPr="00BC68C4" w:rsidRDefault="00F50337" w:rsidP="001613C8">
            <w:pPr>
              <w:jc w:val="center"/>
              <w:rPr>
                <w:rFonts w:ascii="Times New Roman" w:hAnsi="Times New Roman" w:cs="Times New Roman"/>
                <w:color w:val="000000"/>
                <w:sz w:val="16"/>
                <w:szCs w:val="16"/>
              </w:rPr>
            </w:pPr>
          </w:p>
        </w:tc>
        <w:tc>
          <w:tcPr>
            <w:tcW w:w="279" w:type="pct"/>
            <w:tcBorders>
              <w:top w:val="nil"/>
              <w:left w:val="nil"/>
              <w:bottom w:val="nil"/>
              <w:right w:val="nil"/>
            </w:tcBorders>
            <w:shd w:val="clear" w:color="auto" w:fill="auto"/>
            <w:noWrap/>
            <w:vAlign w:val="bottom"/>
          </w:tcPr>
          <w:p w14:paraId="3994484A" w14:textId="77777777" w:rsidR="00F50337" w:rsidRPr="00BC68C4" w:rsidRDefault="00F50337" w:rsidP="001613C8">
            <w:pPr>
              <w:jc w:val="center"/>
              <w:rPr>
                <w:rFonts w:ascii="Times New Roman" w:hAnsi="Times New Roman" w:cs="Times New Roman"/>
                <w:color w:val="000000"/>
                <w:sz w:val="16"/>
                <w:szCs w:val="16"/>
              </w:rPr>
            </w:pPr>
          </w:p>
        </w:tc>
        <w:tc>
          <w:tcPr>
            <w:tcW w:w="408" w:type="pct"/>
            <w:tcBorders>
              <w:top w:val="nil"/>
              <w:left w:val="nil"/>
              <w:bottom w:val="nil"/>
              <w:right w:val="nil"/>
            </w:tcBorders>
            <w:shd w:val="clear" w:color="auto" w:fill="auto"/>
            <w:noWrap/>
            <w:vAlign w:val="bottom"/>
          </w:tcPr>
          <w:p w14:paraId="08A61966" w14:textId="77777777" w:rsidR="00F50337" w:rsidRPr="00BC68C4" w:rsidRDefault="00F50337" w:rsidP="001613C8">
            <w:pPr>
              <w:jc w:val="center"/>
              <w:rPr>
                <w:rFonts w:ascii="Times New Roman" w:hAnsi="Times New Roman" w:cs="Times New Roman"/>
                <w:color w:val="000000"/>
                <w:sz w:val="16"/>
                <w:szCs w:val="16"/>
              </w:rPr>
            </w:pPr>
          </w:p>
        </w:tc>
        <w:tc>
          <w:tcPr>
            <w:tcW w:w="270" w:type="pct"/>
            <w:tcBorders>
              <w:top w:val="nil"/>
              <w:left w:val="nil"/>
              <w:bottom w:val="nil"/>
              <w:right w:val="nil"/>
            </w:tcBorders>
            <w:shd w:val="clear" w:color="auto" w:fill="auto"/>
            <w:noWrap/>
            <w:vAlign w:val="bottom"/>
          </w:tcPr>
          <w:p w14:paraId="672921B6" w14:textId="77777777" w:rsidR="00F50337" w:rsidRPr="00BC68C4" w:rsidRDefault="00F50337" w:rsidP="001613C8">
            <w:pPr>
              <w:jc w:val="center"/>
              <w:rPr>
                <w:rFonts w:ascii="Times New Roman" w:hAnsi="Times New Roman" w:cs="Times New Roman"/>
                <w:color w:val="000000"/>
                <w:sz w:val="16"/>
                <w:szCs w:val="16"/>
              </w:rPr>
            </w:pPr>
          </w:p>
        </w:tc>
      </w:tr>
      <w:tr w:rsidR="009A0F0B" w:rsidRPr="00BC68C4" w14:paraId="023A8A2B" w14:textId="77777777" w:rsidTr="009A0F0B">
        <w:trPr>
          <w:trHeight w:hRule="exact" w:val="181"/>
        </w:trPr>
        <w:tc>
          <w:tcPr>
            <w:tcW w:w="940" w:type="pct"/>
            <w:gridSpan w:val="2"/>
            <w:tcBorders>
              <w:top w:val="nil"/>
              <w:left w:val="nil"/>
              <w:bottom w:val="nil"/>
              <w:right w:val="nil"/>
            </w:tcBorders>
            <w:shd w:val="clear" w:color="auto" w:fill="auto"/>
            <w:noWrap/>
            <w:vAlign w:val="center"/>
          </w:tcPr>
          <w:p w14:paraId="24AC812A" w14:textId="18FEC056" w:rsidR="0044062C" w:rsidRPr="00BC68C4" w:rsidRDefault="0044062C" w:rsidP="001613C8">
            <w:pPr>
              <w:jc w:val="left"/>
              <w:rPr>
                <w:rFonts w:ascii="Times New Roman" w:hAnsi="Times New Roman" w:cs="Times New Roman"/>
                <w:color w:val="000000"/>
                <w:sz w:val="16"/>
                <w:szCs w:val="16"/>
              </w:rPr>
            </w:pPr>
            <w:r w:rsidRPr="00BC68C4">
              <w:rPr>
                <w:rFonts w:ascii="Times New Roman" w:hAnsi="Times New Roman" w:cs="Times New Roman"/>
                <w:color w:val="000000"/>
                <w:sz w:val="16"/>
                <w:szCs w:val="16"/>
              </w:rPr>
              <w:t>Performance Variables</w:t>
            </w:r>
          </w:p>
        </w:tc>
        <w:tc>
          <w:tcPr>
            <w:tcW w:w="230" w:type="pct"/>
            <w:tcBorders>
              <w:top w:val="nil"/>
              <w:left w:val="nil"/>
              <w:bottom w:val="nil"/>
              <w:right w:val="nil"/>
            </w:tcBorders>
            <w:shd w:val="clear" w:color="auto" w:fill="auto"/>
            <w:noWrap/>
            <w:vAlign w:val="center"/>
          </w:tcPr>
          <w:p w14:paraId="08E40001" w14:textId="77777777" w:rsidR="0044062C" w:rsidRPr="00BC68C4" w:rsidRDefault="0044062C" w:rsidP="001613C8">
            <w:pPr>
              <w:jc w:val="center"/>
              <w:rPr>
                <w:rFonts w:ascii="Times New Roman" w:hAnsi="Times New Roman" w:cs="Times New Roman"/>
                <w:color w:val="000000"/>
                <w:sz w:val="16"/>
                <w:szCs w:val="16"/>
              </w:rPr>
            </w:pPr>
          </w:p>
        </w:tc>
        <w:tc>
          <w:tcPr>
            <w:tcW w:w="426" w:type="pct"/>
            <w:tcBorders>
              <w:top w:val="nil"/>
              <w:left w:val="nil"/>
              <w:bottom w:val="nil"/>
              <w:right w:val="nil"/>
            </w:tcBorders>
            <w:shd w:val="clear" w:color="auto" w:fill="auto"/>
            <w:noWrap/>
            <w:vAlign w:val="bottom"/>
          </w:tcPr>
          <w:p w14:paraId="2DE0CE60" w14:textId="77777777" w:rsidR="0044062C" w:rsidRPr="00BC68C4" w:rsidRDefault="0044062C" w:rsidP="00AE0FA6">
            <w:pPr>
              <w:jc w:val="center"/>
              <w:rPr>
                <w:rFonts w:ascii="Times New Roman" w:hAnsi="Times New Roman" w:cs="Times New Roman"/>
                <w:color w:val="000000"/>
                <w:sz w:val="16"/>
                <w:szCs w:val="16"/>
              </w:rPr>
            </w:pPr>
          </w:p>
        </w:tc>
        <w:tc>
          <w:tcPr>
            <w:tcW w:w="375" w:type="pct"/>
            <w:tcBorders>
              <w:top w:val="nil"/>
              <w:left w:val="nil"/>
              <w:bottom w:val="nil"/>
              <w:right w:val="nil"/>
            </w:tcBorders>
            <w:shd w:val="clear" w:color="auto" w:fill="auto"/>
            <w:noWrap/>
            <w:vAlign w:val="bottom"/>
          </w:tcPr>
          <w:p w14:paraId="245A1291" w14:textId="77777777" w:rsidR="0044062C" w:rsidRPr="00BC68C4" w:rsidRDefault="0044062C" w:rsidP="00AE0FA6">
            <w:pPr>
              <w:jc w:val="center"/>
              <w:rPr>
                <w:rFonts w:ascii="Times New Roman" w:hAnsi="Times New Roman" w:cs="Times New Roman"/>
                <w:color w:val="000000"/>
                <w:sz w:val="16"/>
                <w:szCs w:val="16"/>
              </w:rPr>
            </w:pPr>
          </w:p>
        </w:tc>
        <w:tc>
          <w:tcPr>
            <w:tcW w:w="379" w:type="pct"/>
            <w:tcBorders>
              <w:top w:val="nil"/>
              <w:left w:val="nil"/>
              <w:bottom w:val="nil"/>
              <w:right w:val="nil"/>
            </w:tcBorders>
            <w:shd w:val="clear" w:color="auto" w:fill="auto"/>
            <w:noWrap/>
            <w:vAlign w:val="bottom"/>
          </w:tcPr>
          <w:p w14:paraId="2E87086A" w14:textId="77777777" w:rsidR="0044062C" w:rsidRPr="00BC68C4" w:rsidRDefault="0044062C" w:rsidP="00AE0FA6">
            <w:pPr>
              <w:jc w:val="center"/>
              <w:rPr>
                <w:rFonts w:ascii="Times New Roman" w:hAnsi="Times New Roman" w:cs="Times New Roman"/>
                <w:color w:val="000000"/>
                <w:sz w:val="16"/>
                <w:szCs w:val="16"/>
              </w:rPr>
            </w:pPr>
          </w:p>
        </w:tc>
        <w:tc>
          <w:tcPr>
            <w:tcW w:w="424" w:type="pct"/>
            <w:tcBorders>
              <w:top w:val="nil"/>
              <w:left w:val="nil"/>
              <w:bottom w:val="nil"/>
              <w:right w:val="nil"/>
            </w:tcBorders>
            <w:shd w:val="clear" w:color="auto" w:fill="auto"/>
            <w:noWrap/>
            <w:vAlign w:val="bottom"/>
          </w:tcPr>
          <w:p w14:paraId="0D5A85C8" w14:textId="77777777" w:rsidR="0044062C" w:rsidRPr="00BC68C4" w:rsidRDefault="0044062C" w:rsidP="00AE0FA6">
            <w:pPr>
              <w:jc w:val="center"/>
              <w:rPr>
                <w:rFonts w:ascii="Times New Roman" w:hAnsi="Times New Roman" w:cs="Times New Roman"/>
                <w:color w:val="000000"/>
                <w:sz w:val="16"/>
                <w:szCs w:val="16"/>
              </w:rPr>
            </w:pPr>
          </w:p>
        </w:tc>
        <w:tc>
          <w:tcPr>
            <w:tcW w:w="398" w:type="pct"/>
            <w:tcBorders>
              <w:top w:val="nil"/>
              <w:left w:val="nil"/>
              <w:bottom w:val="nil"/>
              <w:right w:val="nil"/>
            </w:tcBorders>
            <w:shd w:val="clear" w:color="auto" w:fill="auto"/>
            <w:noWrap/>
            <w:vAlign w:val="bottom"/>
          </w:tcPr>
          <w:p w14:paraId="64CAF0C4" w14:textId="77777777" w:rsidR="0044062C" w:rsidRPr="00BC68C4" w:rsidRDefault="0044062C" w:rsidP="00AE0FA6">
            <w:pPr>
              <w:jc w:val="center"/>
              <w:rPr>
                <w:rFonts w:ascii="Times New Roman" w:hAnsi="Times New Roman" w:cs="Times New Roman"/>
                <w:color w:val="000000"/>
                <w:sz w:val="16"/>
                <w:szCs w:val="16"/>
              </w:rPr>
            </w:pPr>
          </w:p>
        </w:tc>
        <w:tc>
          <w:tcPr>
            <w:tcW w:w="93" w:type="pct"/>
            <w:tcBorders>
              <w:top w:val="nil"/>
              <w:left w:val="nil"/>
              <w:bottom w:val="nil"/>
              <w:right w:val="nil"/>
            </w:tcBorders>
            <w:shd w:val="clear" w:color="auto" w:fill="auto"/>
            <w:noWrap/>
            <w:vAlign w:val="bottom"/>
          </w:tcPr>
          <w:p w14:paraId="5883885C" w14:textId="77777777" w:rsidR="0044062C" w:rsidRPr="00BC68C4" w:rsidRDefault="0044062C" w:rsidP="001613C8">
            <w:pPr>
              <w:jc w:val="center"/>
              <w:rPr>
                <w:rFonts w:ascii="Times New Roman" w:eastAsia="Times New Roman" w:hAnsi="Times New Roman" w:cs="Times New Roman"/>
                <w:color w:val="000000"/>
                <w:sz w:val="16"/>
                <w:szCs w:val="16"/>
                <w:lang w:eastAsia="en-GB"/>
              </w:rPr>
            </w:pPr>
          </w:p>
        </w:tc>
        <w:tc>
          <w:tcPr>
            <w:tcW w:w="165" w:type="pct"/>
            <w:tcBorders>
              <w:top w:val="nil"/>
              <w:left w:val="nil"/>
              <w:bottom w:val="nil"/>
              <w:right w:val="nil"/>
            </w:tcBorders>
            <w:shd w:val="clear" w:color="auto" w:fill="auto"/>
            <w:noWrap/>
            <w:vAlign w:val="center"/>
          </w:tcPr>
          <w:p w14:paraId="4913269C" w14:textId="77777777" w:rsidR="0044062C" w:rsidRPr="00BC68C4" w:rsidRDefault="0044062C" w:rsidP="001613C8">
            <w:pPr>
              <w:jc w:val="center"/>
              <w:rPr>
                <w:rFonts w:ascii="Times New Roman" w:eastAsia="Times New Roman" w:hAnsi="Times New Roman" w:cs="Times New Roman"/>
                <w:color w:val="000000"/>
                <w:sz w:val="16"/>
                <w:szCs w:val="16"/>
                <w:lang w:eastAsia="en-GB"/>
              </w:rPr>
            </w:pPr>
          </w:p>
        </w:tc>
        <w:tc>
          <w:tcPr>
            <w:tcW w:w="238" w:type="pct"/>
            <w:tcBorders>
              <w:top w:val="nil"/>
              <w:left w:val="nil"/>
              <w:bottom w:val="nil"/>
              <w:right w:val="nil"/>
            </w:tcBorders>
            <w:shd w:val="clear" w:color="auto" w:fill="auto"/>
            <w:noWrap/>
            <w:vAlign w:val="center"/>
          </w:tcPr>
          <w:p w14:paraId="7EBD0BCE" w14:textId="77777777" w:rsidR="0044062C" w:rsidRPr="00BC68C4" w:rsidRDefault="0044062C" w:rsidP="001613C8">
            <w:pPr>
              <w:jc w:val="center"/>
              <w:rPr>
                <w:rFonts w:ascii="Times New Roman" w:eastAsia="Times New Roman" w:hAnsi="Times New Roman" w:cs="Times New Roman"/>
                <w:color w:val="000000"/>
                <w:sz w:val="16"/>
                <w:szCs w:val="16"/>
                <w:lang w:eastAsia="en-GB"/>
              </w:rPr>
            </w:pPr>
          </w:p>
        </w:tc>
        <w:tc>
          <w:tcPr>
            <w:tcW w:w="375" w:type="pct"/>
            <w:tcBorders>
              <w:top w:val="nil"/>
              <w:left w:val="nil"/>
              <w:bottom w:val="nil"/>
              <w:right w:val="nil"/>
            </w:tcBorders>
            <w:shd w:val="clear" w:color="auto" w:fill="auto"/>
            <w:noWrap/>
            <w:vAlign w:val="center"/>
          </w:tcPr>
          <w:p w14:paraId="357AD593" w14:textId="77777777" w:rsidR="0044062C" w:rsidRPr="00BC68C4" w:rsidRDefault="0044062C" w:rsidP="001613C8">
            <w:pPr>
              <w:jc w:val="center"/>
              <w:rPr>
                <w:rFonts w:ascii="Times New Roman" w:eastAsia="Times New Roman" w:hAnsi="Times New Roman" w:cs="Times New Roman"/>
                <w:color w:val="000000"/>
                <w:sz w:val="16"/>
                <w:szCs w:val="16"/>
                <w:lang w:eastAsia="en-GB"/>
              </w:rPr>
            </w:pPr>
          </w:p>
        </w:tc>
        <w:tc>
          <w:tcPr>
            <w:tcW w:w="279" w:type="pct"/>
            <w:tcBorders>
              <w:top w:val="nil"/>
              <w:left w:val="nil"/>
              <w:bottom w:val="nil"/>
              <w:right w:val="nil"/>
            </w:tcBorders>
            <w:shd w:val="clear" w:color="auto" w:fill="auto"/>
            <w:noWrap/>
            <w:vAlign w:val="center"/>
          </w:tcPr>
          <w:p w14:paraId="446025EB" w14:textId="77777777" w:rsidR="0044062C" w:rsidRPr="00BC68C4" w:rsidRDefault="0044062C" w:rsidP="001613C8">
            <w:pPr>
              <w:jc w:val="center"/>
              <w:rPr>
                <w:rFonts w:ascii="Times New Roman" w:eastAsia="Times New Roman" w:hAnsi="Times New Roman" w:cs="Times New Roman"/>
                <w:color w:val="000000"/>
                <w:sz w:val="16"/>
                <w:szCs w:val="16"/>
                <w:lang w:eastAsia="en-GB"/>
              </w:rPr>
            </w:pPr>
          </w:p>
        </w:tc>
        <w:tc>
          <w:tcPr>
            <w:tcW w:w="408" w:type="pct"/>
            <w:tcBorders>
              <w:top w:val="nil"/>
              <w:left w:val="nil"/>
              <w:bottom w:val="nil"/>
              <w:right w:val="nil"/>
            </w:tcBorders>
            <w:shd w:val="clear" w:color="auto" w:fill="auto"/>
            <w:noWrap/>
            <w:vAlign w:val="center"/>
          </w:tcPr>
          <w:p w14:paraId="379B8715" w14:textId="77777777" w:rsidR="0044062C" w:rsidRPr="00BC68C4" w:rsidRDefault="0044062C" w:rsidP="001613C8">
            <w:pPr>
              <w:jc w:val="center"/>
              <w:rPr>
                <w:rFonts w:ascii="Times New Roman" w:eastAsia="Times New Roman" w:hAnsi="Times New Roman" w:cs="Times New Roman"/>
                <w:color w:val="000000"/>
                <w:sz w:val="16"/>
                <w:szCs w:val="16"/>
                <w:lang w:eastAsia="en-GB"/>
              </w:rPr>
            </w:pPr>
          </w:p>
        </w:tc>
        <w:tc>
          <w:tcPr>
            <w:tcW w:w="270" w:type="pct"/>
            <w:tcBorders>
              <w:top w:val="nil"/>
              <w:left w:val="nil"/>
              <w:bottom w:val="nil"/>
              <w:right w:val="nil"/>
            </w:tcBorders>
            <w:shd w:val="clear" w:color="auto" w:fill="auto"/>
            <w:noWrap/>
            <w:vAlign w:val="center"/>
          </w:tcPr>
          <w:p w14:paraId="6499FAE2" w14:textId="77777777" w:rsidR="0044062C" w:rsidRPr="00BC68C4" w:rsidRDefault="0044062C" w:rsidP="001613C8">
            <w:pPr>
              <w:jc w:val="center"/>
              <w:rPr>
                <w:rFonts w:ascii="Times New Roman" w:eastAsia="Times New Roman" w:hAnsi="Times New Roman" w:cs="Times New Roman"/>
                <w:color w:val="000000"/>
                <w:sz w:val="16"/>
                <w:szCs w:val="16"/>
                <w:lang w:eastAsia="en-GB"/>
              </w:rPr>
            </w:pPr>
          </w:p>
        </w:tc>
      </w:tr>
      <w:tr w:rsidR="009A0F0B" w:rsidRPr="00BC68C4" w14:paraId="468D9469" w14:textId="77777777" w:rsidTr="009A0F0B">
        <w:trPr>
          <w:trHeight w:hRule="exact" w:val="181"/>
        </w:trPr>
        <w:tc>
          <w:tcPr>
            <w:tcW w:w="262" w:type="pct"/>
            <w:tcBorders>
              <w:top w:val="nil"/>
              <w:left w:val="nil"/>
              <w:bottom w:val="nil"/>
              <w:right w:val="nil"/>
            </w:tcBorders>
            <w:shd w:val="clear" w:color="auto" w:fill="auto"/>
            <w:noWrap/>
            <w:vAlign w:val="center"/>
          </w:tcPr>
          <w:p w14:paraId="4154A6EB" w14:textId="77777777" w:rsidR="0044062C" w:rsidRPr="00BC68C4" w:rsidRDefault="0044062C" w:rsidP="00AE0FA6">
            <w:pPr>
              <w:jc w:val="left"/>
              <w:rPr>
                <w:rFonts w:ascii="Times New Roman" w:hAnsi="Times New Roman" w:cs="Times New Roman"/>
                <w:color w:val="000000"/>
                <w:sz w:val="16"/>
                <w:szCs w:val="16"/>
              </w:rPr>
            </w:pPr>
          </w:p>
        </w:tc>
        <w:tc>
          <w:tcPr>
            <w:tcW w:w="678" w:type="pct"/>
            <w:tcBorders>
              <w:top w:val="nil"/>
              <w:left w:val="nil"/>
              <w:bottom w:val="nil"/>
              <w:right w:val="nil"/>
            </w:tcBorders>
            <w:shd w:val="clear" w:color="auto" w:fill="auto"/>
            <w:noWrap/>
            <w:vAlign w:val="center"/>
          </w:tcPr>
          <w:p w14:paraId="67945265" w14:textId="77777777" w:rsidR="0044062C" w:rsidRPr="00BC68C4" w:rsidRDefault="0044062C" w:rsidP="009912BC">
            <w:pPr>
              <w:jc w:val="left"/>
              <w:rPr>
                <w:rFonts w:ascii="Times New Roman" w:hAnsi="Times New Roman" w:cs="Times New Roman"/>
                <w:color w:val="000000"/>
                <w:sz w:val="16"/>
                <w:szCs w:val="16"/>
              </w:rPr>
            </w:pPr>
            <w:r w:rsidRPr="00BC68C4">
              <w:rPr>
                <w:rFonts w:ascii="Times New Roman" w:eastAsia="Times New Roman" w:hAnsi="Times New Roman" w:cs="Times New Roman"/>
                <w:color w:val="000000"/>
                <w:sz w:val="16"/>
                <w:szCs w:val="16"/>
                <w:lang w:eastAsia="en-GB"/>
              </w:rPr>
              <w:t>ROA</w:t>
            </w:r>
            <w:r w:rsidRPr="00BC68C4">
              <w:rPr>
                <w:rFonts w:ascii="Times New Roman" w:hAnsi="Times New Roman" w:cs="Times New Roman"/>
                <w:color w:val="000000"/>
                <w:sz w:val="16"/>
                <w:szCs w:val="16"/>
              </w:rPr>
              <w:t xml:space="preserve"> (%)</w:t>
            </w:r>
          </w:p>
        </w:tc>
        <w:tc>
          <w:tcPr>
            <w:tcW w:w="230" w:type="pct"/>
            <w:tcBorders>
              <w:top w:val="nil"/>
              <w:left w:val="nil"/>
              <w:bottom w:val="nil"/>
              <w:right w:val="nil"/>
            </w:tcBorders>
            <w:shd w:val="clear" w:color="auto" w:fill="auto"/>
            <w:noWrap/>
            <w:vAlign w:val="bottom"/>
          </w:tcPr>
          <w:p w14:paraId="4029E267" w14:textId="63FBEBF7" w:rsidR="0044062C" w:rsidRPr="00BC68C4" w:rsidRDefault="0044062C" w:rsidP="009912BC">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252</w:t>
            </w:r>
          </w:p>
        </w:tc>
        <w:tc>
          <w:tcPr>
            <w:tcW w:w="426" w:type="pct"/>
            <w:tcBorders>
              <w:top w:val="nil"/>
              <w:left w:val="nil"/>
              <w:bottom w:val="nil"/>
              <w:right w:val="nil"/>
            </w:tcBorders>
            <w:shd w:val="clear" w:color="auto" w:fill="auto"/>
            <w:noWrap/>
            <w:vAlign w:val="bottom"/>
          </w:tcPr>
          <w:p w14:paraId="21DF70F9" w14:textId="52985C57" w:rsidR="0044062C" w:rsidRPr="00BC68C4" w:rsidRDefault="0044062C" w:rsidP="009912BC">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4.97</w:t>
            </w:r>
          </w:p>
        </w:tc>
        <w:tc>
          <w:tcPr>
            <w:tcW w:w="375" w:type="pct"/>
            <w:tcBorders>
              <w:top w:val="nil"/>
              <w:left w:val="nil"/>
              <w:bottom w:val="nil"/>
              <w:right w:val="nil"/>
            </w:tcBorders>
            <w:shd w:val="clear" w:color="auto" w:fill="auto"/>
            <w:noWrap/>
            <w:vAlign w:val="bottom"/>
          </w:tcPr>
          <w:p w14:paraId="13FDB4FC" w14:textId="3A1B47E1"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-2.54</w:t>
            </w:r>
          </w:p>
        </w:tc>
        <w:tc>
          <w:tcPr>
            <w:tcW w:w="379" w:type="pct"/>
            <w:tcBorders>
              <w:top w:val="nil"/>
              <w:left w:val="nil"/>
              <w:bottom w:val="nil"/>
              <w:right w:val="nil"/>
            </w:tcBorders>
            <w:shd w:val="clear" w:color="auto" w:fill="auto"/>
            <w:noWrap/>
            <w:vAlign w:val="bottom"/>
          </w:tcPr>
          <w:p w14:paraId="0714E7B0" w14:textId="43A14726"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3.74</w:t>
            </w:r>
          </w:p>
        </w:tc>
        <w:tc>
          <w:tcPr>
            <w:tcW w:w="424" w:type="pct"/>
            <w:tcBorders>
              <w:top w:val="nil"/>
              <w:left w:val="nil"/>
              <w:bottom w:val="nil"/>
              <w:right w:val="nil"/>
            </w:tcBorders>
            <w:shd w:val="clear" w:color="auto" w:fill="auto"/>
            <w:noWrap/>
            <w:vAlign w:val="bottom"/>
          </w:tcPr>
          <w:p w14:paraId="480910FF" w14:textId="1D33506D" w:rsidR="0044062C" w:rsidRPr="00BC68C4" w:rsidRDefault="0044062C" w:rsidP="009912BC">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21.68</w:t>
            </w:r>
          </w:p>
        </w:tc>
        <w:tc>
          <w:tcPr>
            <w:tcW w:w="398" w:type="pct"/>
            <w:tcBorders>
              <w:top w:val="nil"/>
              <w:left w:val="nil"/>
              <w:bottom w:val="nil"/>
              <w:right w:val="nil"/>
            </w:tcBorders>
            <w:shd w:val="clear" w:color="auto" w:fill="auto"/>
            <w:noWrap/>
            <w:vAlign w:val="bottom"/>
          </w:tcPr>
          <w:p w14:paraId="1EDDDA1C" w14:textId="54A13459" w:rsidR="0044062C" w:rsidRPr="00BC68C4" w:rsidRDefault="0044062C" w:rsidP="009912BC">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4.66</w:t>
            </w:r>
          </w:p>
        </w:tc>
        <w:tc>
          <w:tcPr>
            <w:tcW w:w="93" w:type="pct"/>
            <w:tcBorders>
              <w:top w:val="nil"/>
              <w:left w:val="nil"/>
              <w:bottom w:val="nil"/>
              <w:right w:val="nil"/>
            </w:tcBorders>
            <w:shd w:val="clear" w:color="auto" w:fill="auto"/>
            <w:noWrap/>
            <w:vAlign w:val="center"/>
          </w:tcPr>
          <w:p w14:paraId="400524FC" w14:textId="7D9A122F" w:rsidR="0044062C" w:rsidRPr="00BC68C4" w:rsidRDefault="0044062C" w:rsidP="009912BC">
            <w:pPr>
              <w:jc w:val="center"/>
              <w:rPr>
                <w:rFonts w:ascii="Times New Roman" w:hAnsi="Times New Roman" w:cs="Times New Roman"/>
                <w:color w:val="000000"/>
                <w:sz w:val="16"/>
                <w:szCs w:val="16"/>
              </w:rPr>
            </w:pPr>
          </w:p>
        </w:tc>
        <w:tc>
          <w:tcPr>
            <w:tcW w:w="165" w:type="pct"/>
            <w:tcBorders>
              <w:top w:val="nil"/>
              <w:left w:val="nil"/>
              <w:bottom w:val="nil"/>
              <w:right w:val="nil"/>
            </w:tcBorders>
            <w:shd w:val="clear" w:color="auto" w:fill="auto"/>
            <w:noWrap/>
            <w:vAlign w:val="center"/>
          </w:tcPr>
          <w:p w14:paraId="2068B5F5" w14:textId="77777777" w:rsidR="0044062C" w:rsidRPr="00BC68C4" w:rsidRDefault="0044062C" w:rsidP="009912BC">
            <w:pPr>
              <w:jc w:val="left"/>
              <w:rPr>
                <w:rFonts w:ascii="Times New Roman" w:eastAsia="Times New Roman" w:hAnsi="Times New Roman" w:cs="Times New Roman"/>
                <w:color w:val="000000"/>
                <w:sz w:val="16"/>
                <w:szCs w:val="16"/>
                <w:lang w:eastAsia="en-GB"/>
              </w:rPr>
            </w:pPr>
          </w:p>
        </w:tc>
        <w:tc>
          <w:tcPr>
            <w:tcW w:w="238" w:type="pct"/>
            <w:tcBorders>
              <w:top w:val="nil"/>
              <w:left w:val="nil"/>
              <w:bottom w:val="nil"/>
              <w:right w:val="nil"/>
            </w:tcBorders>
            <w:shd w:val="clear" w:color="auto" w:fill="auto"/>
            <w:noWrap/>
            <w:vAlign w:val="center"/>
          </w:tcPr>
          <w:p w14:paraId="6C194CBF" w14:textId="77777777" w:rsidR="0044062C" w:rsidRPr="00BC68C4" w:rsidRDefault="0044062C" w:rsidP="009912BC">
            <w:pPr>
              <w:jc w:val="left"/>
              <w:rPr>
                <w:rFonts w:ascii="Times New Roman" w:eastAsia="Times New Roman" w:hAnsi="Times New Roman" w:cs="Times New Roman"/>
                <w:color w:val="000000"/>
                <w:sz w:val="16"/>
                <w:szCs w:val="16"/>
                <w:lang w:eastAsia="en-GB"/>
              </w:rPr>
            </w:pPr>
          </w:p>
        </w:tc>
        <w:tc>
          <w:tcPr>
            <w:tcW w:w="375" w:type="pct"/>
            <w:tcBorders>
              <w:top w:val="nil"/>
              <w:left w:val="nil"/>
              <w:bottom w:val="nil"/>
              <w:right w:val="nil"/>
            </w:tcBorders>
            <w:shd w:val="clear" w:color="auto" w:fill="auto"/>
            <w:noWrap/>
            <w:vAlign w:val="center"/>
          </w:tcPr>
          <w:p w14:paraId="21A225F0" w14:textId="77777777" w:rsidR="0044062C" w:rsidRPr="00BC68C4" w:rsidRDefault="0044062C" w:rsidP="009912BC">
            <w:pPr>
              <w:jc w:val="left"/>
              <w:rPr>
                <w:rFonts w:ascii="Times New Roman" w:eastAsia="Times New Roman" w:hAnsi="Times New Roman" w:cs="Times New Roman"/>
                <w:color w:val="000000"/>
                <w:sz w:val="16"/>
                <w:szCs w:val="16"/>
                <w:lang w:eastAsia="en-GB"/>
              </w:rPr>
            </w:pPr>
          </w:p>
        </w:tc>
        <w:tc>
          <w:tcPr>
            <w:tcW w:w="279" w:type="pct"/>
            <w:tcBorders>
              <w:top w:val="nil"/>
              <w:left w:val="nil"/>
              <w:bottom w:val="nil"/>
              <w:right w:val="nil"/>
            </w:tcBorders>
            <w:shd w:val="clear" w:color="auto" w:fill="auto"/>
            <w:noWrap/>
            <w:vAlign w:val="center"/>
          </w:tcPr>
          <w:p w14:paraId="649626E7" w14:textId="77777777" w:rsidR="0044062C" w:rsidRPr="00BC68C4" w:rsidRDefault="0044062C" w:rsidP="009912BC">
            <w:pPr>
              <w:jc w:val="left"/>
              <w:rPr>
                <w:rFonts w:ascii="Times New Roman" w:eastAsia="Times New Roman" w:hAnsi="Times New Roman" w:cs="Times New Roman"/>
                <w:color w:val="000000"/>
                <w:sz w:val="16"/>
                <w:szCs w:val="16"/>
                <w:lang w:eastAsia="en-GB"/>
              </w:rPr>
            </w:pPr>
          </w:p>
        </w:tc>
        <w:tc>
          <w:tcPr>
            <w:tcW w:w="408" w:type="pct"/>
            <w:tcBorders>
              <w:top w:val="nil"/>
              <w:left w:val="nil"/>
              <w:bottom w:val="nil"/>
              <w:right w:val="nil"/>
            </w:tcBorders>
            <w:shd w:val="clear" w:color="auto" w:fill="auto"/>
            <w:noWrap/>
            <w:vAlign w:val="center"/>
          </w:tcPr>
          <w:p w14:paraId="6F5F4707" w14:textId="77777777" w:rsidR="0044062C" w:rsidRPr="00BC68C4" w:rsidRDefault="0044062C" w:rsidP="009912BC">
            <w:pPr>
              <w:jc w:val="left"/>
              <w:rPr>
                <w:rFonts w:ascii="Times New Roman" w:eastAsia="Times New Roman" w:hAnsi="Times New Roman" w:cs="Times New Roman"/>
                <w:color w:val="000000"/>
                <w:sz w:val="16"/>
                <w:szCs w:val="16"/>
                <w:lang w:eastAsia="en-GB"/>
              </w:rPr>
            </w:pPr>
          </w:p>
        </w:tc>
        <w:tc>
          <w:tcPr>
            <w:tcW w:w="270" w:type="pct"/>
            <w:tcBorders>
              <w:top w:val="nil"/>
              <w:left w:val="nil"/>
              <w:bottom w:val="nil"/>
              <w:right w:val="nil"/>
            </w:tcBorders>
            <w:shd w:val="clear" w:color="auto" w:fill="auto"/>
            <w:noWrap/>
            <w:vAlign w:val="center"/>
          </w:tcPr>
          <w:p w14:paraId="3534D2F3" w14:textId="77777777" w:rsidR="0044062C" w:rsidRPr="00BC68C4" w:rsidRDefault="0044062C" w:rsidP="009912BC">
            <w:pPr>
              <w:jc w:val="left"/>
              <w:rPr>
                <w:rFonts w:ascii="Times New Roman" w:eastAsia="Times New Roman" w:hAnsi="Times New Roman" w:cs="Times New Roman"/>
                <w:color w:val="000000"/>
                <w:sz w:val="16"/>
                <w:szCs w:val="16"/>
                <w:lang w:eastAsia="en-GB"/>
              </w:rPr>
            </w:pPr>
          </w:p>
        </w:tc>
      </w:tr>
      <w:tr w:rsidR="009A0F0B" w:rsidRPr="00BC68C4" w14:paraId="5C6C096A" w14:textId="77777777" w:rsidTr="009A0F0B">
        <w:trPr>
          <w:trHeight w:hRule="exact" w:val="181"/>
        </w:trPr>
        <w:tc>
          <w:tcPr>
            <w:tcW w:w="262" w:type="pct"/>
            <w:tcBorders>
              <w:top w:val="nil"/>
              <w:left w:val="nil"/>
              <w:bottom w:val="nil"/>
              <w:right w:val="nil"/>
            </w:tcBorders>
            <w:shd w:val="clear" w:color="auto" w:fill="auto"/>
            <w:noWrap/>
            <w:vAlign w:val="center"/>
          </w:tcPr>
          <w:p w14:paraId="2D131065" w14:textId="77777777" w:rsidR="0044062C" w:rsidRPr="00BC68C4" w:rsidRDefault="0044062C" w:rsidP="00AE0FA6">
            <w:pPr>
              <w:jc w:val="left"/>
              <w:rPr>
                <w:rFonts w:ascii="Times New Roman" w:hAnsi="Times New Roman" w:cs="Times New Roman"/>
                <w:color w:val="000000"/>
                <w:sz w:val="16"/>
                <w:szCs w:val="16"/>
              </w:rPr>
            </w:pPr>
          </w:p>
        </w:tc>
        <w:tc>
          <w:tcPr>
            <w:tcW w:w="678" w:type="pct"/>
            <w:tcBorders>
              <w:top w:val="nil"/>
              <w:left w:val="nil"/>
              <w:bottom w:val="nil"/>
              <w:right w:val="nil"/>
            </w:tcBorders>
            <w:shd w:val="clear" w:color="auto" w:fill="auto"/>
            <w:noWrap/>
            <w:vAlign w:val="center"/>
          </w:tcPr>
          <w:p w14:paraId="4F68C69C" w14:textId="33863619" w:rsidR="0044062C" w:rsidRPr="00BC68C4" w:rsidRDefault="0044062C" w:rsidP="009912BC">
            <w:pPr>
              <w:jc w:val="left"/>
              <w:rPr>
                <w:rFonts w:ascii="Times New Roman" w:hAnsi="Times New Roman" w:cs="Times New Roman"/>
                <w:color w:val="000000"/>
                <w:sz w:val="16"/>
                <w:szCs w:val="16"/>
              </w:rPr>
            </w:pPr>
            <w:r w:rsidRPr="00BC68C4">
              <w:rPr>
                <w:rFonts w:ascii="Times New Roman" w:eastAsia="Times New Roman" w:hAnsi="Times New Roman" w:cs="Times New Roman"/>
                <w:color w:val="000000"/>
                <w:sz w:val="16"/>
                <w:szCs w:val="16"/>
                <w:lang w:eastAsia="en-GB"/>
              </w:rPr>
              <w:t>Q</w:t>
            </w:r>
          </w:p>
        </w:tc>
        <w:tc>
          <w:tcPr>
            <w:tcW w:w="230" w:type="pct"/>
            <w:tcBorders>
              <w:top w:val="nil"/>
              <w:left w:val="nil"/>
              <w:bottom w:val="nil"/>
              <w:right w:val="nil"/>
            </w:tcBorders>
            <w:shd w:val="clear" w:color="auto" w:fill="auto"/>
            <w:noWrap/>
            <w:vAlign w:val="bottom"/>
          </w:tcPr>
          <w:p w14:paraId="0198394D" w14:textId="47621080" w:rsidR="0044062C" w:rsidRPr="00BC68C4" w:rsidRDefault="0044062C" w:rsidP="009912BC">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217</w:t>
            </w:r>
          </w:p>
        </w:tc>
        <w:tc>
          <w:tcPr>
            <w:tcW w:w="426" w:type="pct"/>
            <w:tcBorders>
              <w:top w:val="nil"/>
              <w:left w:val="nil"/>
              <w:bottom w:val="nil"/>
              <w:right w:val="nil"/>
            </w:tcBorders>
            <w:shd w:val="clear" w:color="auto" w:fill="auto"/>
            <w:noWrap/>
            <w:vAlign w:val="bottom"/>
          </w:tcPr>
          <w:p w14:paraId="47DADE4B" w14:textId="181FD3FF" w:rsidR="0044062C" w:rsidRPr="00BC68C4" w:rsidRDefault="0044062C" w:rsidP="009912BC">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0.94</w:t>
            </w:r>
          </w:p>
        </w:tc>
        <w:tc>
          <w:tcPr>
            <w:tcW w:w="375" w:type="pct"/>
            <w:tcBorders>
              <w:top w:val="nil"/>
              <w:left w:val="nil"/>
              <w:bottom w:val="nil"/>
              <w:right w:val="nil"/>
            </w:tcBorders>
            <w:shd w:val="clear" w:color="auto" w:fill="auto"/>
            <w:noWrap/>
            <w:vAlign w:val="bottom"/>
          </w:tcPr>
          <w:p w14:paraId="328EBA3D" w14:textId="18149AC8" w:rsidR="0044062C" w:rsidRPr="00BC68C4" w:rsidRDefault="0044062C" w:rsidP="009912BC">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0.28</w:t>
            </w:r>
          </w:p>
        </w:tc>
        <w:tc>
          <w:tcPr>
            <w:tcW w:w="379" w:type="pct"/>
            <w:tcBorders>
              <w:top w:val="nil"/>
              <w:left w:val="nil"/>
              <w:bottom w:val="nil"/>
              <w:right w:val="nil"/>
            </w:tcBorders>
            <w:shd w:val="clear" w:color="auto" w:fill="auto"/>
            <w:noWrap/>
            <w:vAlign w:val="bottom"/>
          </w:tcPr>
          <w:p w14:paraId="288B970B" w14:textId="6982A686"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0.91</w:t>
            </w:r>
          </w:p>
        </w:tc>
        <w:tc>
          <w:tcPr>
            <w:tcW w:w="424" w:type="pct"/>
            <w:tcBorders>
              <w:top w:val="nil"/>
              <w:left w:val="nil"/>
              <w:bottom w:val="nil"/>
              <w:right w:val="nil"/>
            </w:tcBorders>
            <w:shd w:val="clear" w:color="auto" w:fill="auto"/>
            <w:noWrap/>
            <w:vAlign w:val="bottom"/>
          </w:tcPr>
          <w:p w14:paraId="0E2E5585" w14:textId="543B418A" w:rsidR="0044062C" w:rsidRPr="00BC68C4" w:rsidRDefault="0044062C" w:rsidP="009912BC">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2.49</w:t>
            </w:r>
          </w:p>
        </w:tc>
        <w:tc>
          <w:tcPr>
            <w:tcW w:w="398" w:type="pct"/>
            <w:tcBorders>
              <w:top w:val="nil"/>
              <w:left w:val="nil"/>
              <w:bottom w:val="nil"/>
              <w:right w:val="nil"/>
            </w:tcBorders>
            <w:shd w:val="clear" w:color="auto" w:fill="auto"/>
            <w:noWrap/>
            <w:vAlign w:val="bottom"/>
          </w:tcPr>
          <w:p w14:paraId="22937E99" w14:textId="004E2354" w:rsidR="0044062C" w:rsidRPr="00BC68C4" w:rsidRDefault="0044062C" w:rsidP="009912BC">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0.34</w:t>
            </w:r>
          </w:p>
        </w:tc>
        <w:tc>
          <w:tcPr>
            <w:tcW w:w="93" w:type="pct"/>
            <w:tcBorders>
              <w:top w:val="nil"/>
              <w:left w:val="nil"/>
              <w:bottom w:val="nil"/>
              <w:right w:val="nil"/>
            </w:tcBorders>
            <w:shd w:val="clear" w:color="auto" w:fill="auto"/>
            <w:noWrap/>
            <w:vAlign w:val="center"/>
          </w:tcPr>
          <w:p w14:paraId="0F6C7EAA" w14:textId="73C94425" w:rsidR="0044062C" w:rsidRPr="00BC68C4" w:rsidRDefault="0044062C" w:rsidP="009912BC">
            <w:pPr>
              <w:jc w:val="center"/>
              <w:rPr>
                <w:rFonts w:ascii="Times New Roman" w:hAnsi="Times New Roman" w:cs="Times New Roman"/>
                <w:color w:val="000000"/>
                <w:sz w:val="16"/>
                <w:szCs w:val="16"/>
              </w:rPr>
            </w:pPr>
          </w:p>
        </w:tc>
        <w:tc>
          <w:tcPr>
            <w:tcW w:w="165" w:type="pct"/>
            <w:tcBorders>
              <w:top w:val="nil"/>
              <w:left w:val="nil"/>
              <w:bottom w:val="nil"/>
              <w:right w:val="nil"/>
            </w:tcBorders>
            <w:shd w:val="clear" w:color="auto" w:fill="auto"/>
            <w:noWrap/>
            <w:vAlign w:val="center"/>
          </w:tcPr>
          <w:p w14:paraId="5043F362" w14:textId="77777777" w:rsidR="0044062C" w:rsidRPr="00BC68C4" w:rsidRDefault="0044062C" w:rsidP="009912BC">
            <w:pPr>
              <w:jc w:val="left"/>
              <w:rPr>
                <w:rFonts w:ascii="Times New Roman" w:eastAsia="Times New Roman" w:hAnsi="Times New Roman" w:cs="Times New Roman"/>
                <w:color w:val="000000"/>
                <w:sz w:val="16"/>
                <w:szCs w:val="16"/>
                <w:lang w:eastAsia="en-GB"/>
              </w:rPr>
            </w:pPr>
          </w:p>
        </w:tc>
        <w:tc>
          <w:tcPr>
            <w:tcW w:w="238" w:type="pct"/>
            <w:tcBorders>
              <w:top w:val="nil"/>
              <w:left w:val="nil"/>
              <w:bottom w:val="nil"/>
              <w:right w:val="nil"/>
            </w:tcBorders>
            <w:shd w:val="clear" w:color="auto" w:fill="auto"/>
            <w:noWrap/>
            <w:vAlign w:val="center"/>
          </w:tcPr>
          <w:p w14:paraId="59DCD635" w14:textId="77777777" w:rsidR="0044062C" w:rsidRPr="00BC68C4" w:rsidRDefault="0044062C" w:rsidP="009912BC">
            <w:pPr>
              <w:jc w:val="left"/>
              <w:rPr>
                <w:rFonts w:ascii="Times New Roman" w:eastAsia="Times New Roman" w:hAnsi="Times New Roman" w:cs="Times New Roman"/>
                <w:color w:val="000000"/>
                <w:sz w:val="16"/>
                <w:szCs w:val="16"/>
                <w:lang w:eastAsia="en-GB"/>
              </w:rPr>
            </w:pPr>
          </w:p>
        </w:tc>
        <w:tc>
          <w:tcPr>
            <w:tcW w:w="375" w:type="pct"/>
            <w:tcBorders>
              <w:top w:val="nil"/>
              <w:left w:val="nil"/>
              <w:bottom w:val="nil"/>
              <w:right w:val="nil"/>
            </w:tcBorders>
            <w:shd w:val="clear" w:color="auto" w:fill="auto"/>
            <w:noWrap/>
            <w:vAlign w:val="center"/>
          </w:tcPr>
          <w:p w14:paraId="0812A6C5" w14:textId="77777777" w:rsidR="0044062C" w:rsidRPr="00BC68C4" w:rsidRDefault="0044062C" w:rsidP="009912BC">
            <w:pPr>
              <w:jc w:val="left"/>
              <w:rPr>
                <w:rFonts w:ascii="Times New Roman" w:eastAsia="Times New Roman" w:hAnsi="Times New Roman" w:cs="Times New Roman"/>
                <w:color w:val="000000"/>
                <w:sz w:val="16"/>
                <w:szCs w:val="16"/>
                <w:lang w:eastAsia="en-GB"/>
              </w:rPr>
            </w:pPr>
          </w:p>
        </w:tc>
        <w:tc>
          <w:tcPr>
            <w:tcW w:w="279" w:type="pct"/>
            <w:tcBorders>
              <w:top w:val="nil"/>
              <w:left w:val="nil"/>
              <w:bottom w:val="nil"/>
              <w:right w:val="nil"/>
            </w:tcBorders>
            <w:shd w:val="clear" w:color="auto" w:fill="auto"/>
            <w:noWrap/>
            <w:vAlign w:val="center"/>
          </w:tcPr>
          <w:p w14:paraId="4E947C2D" w14:textId="77777777" w:rsidR="0044062C" w:rsidRPr="00BC68C4" w:rsidRDefault="0044062C" w:rsidP="009912BC">
            <w:pPr>
              <w:jc w:val="left"/>
              <w:rPr>
                <w:rFonts w:ascii="Times New Roman" w:eastAsia="Times New Roman" w:hAnsi="Times New Roman" w:cs="Times New Roman"/>
                <w:color w:val="000000"/>
                <w:sz w:val="16"/>
                <w:szCs w:val="16"/>
                <w:lang w:eastAsia="en-GB"/>
              </w:rPr>
            </w:pPr>
          </w:p>
        </w:tc>
        <w:tc>
          <w:tcPr>
            <w:tcW w:w="408" w:type="pct"/>
            <w:tcBorders>
              <w:top w:val="nil"/>
              <w:left w:val="nil"/>
              <w:bottom w:val="nil"/>
              <w:right w:val="nil"/>
            </w:tcBorders>
            <w:shd w:val="clear" w:color="auto" w:fill="auto"/>
            <w:noWrap/>
            <w:vAlign w:val="center"/>
          </w:tcPr>
          <w:p w14:paraId="316CB56C" w14:textId="77777777" w:rsidR="0044062C" w:rsidRPr="00BC68C4" w:rsidRDefault="0044062C" w:rsidP="009912BC">
            <w:pPr>
              <w:jc w:val="left"/>
              <w:rPr>
                <w:rFonts w:ascii="Times New Roman" w:eastAsia="Times New Roman" w:hAnsi="Times New Roman" w:cs="Times New Roman"/>
                <w:color w:val="000000"/>
                <w:sz w:val="16"/>
                <w:szCs w:val="16"/>
                <w:lang w:eastAsia="en-GB"/>
              </w:rPr>
            </w:pPr>
          </w:p>
        </w:tc>
        <w:tc>
          <w:tcPr>
            <w:tcW w:w="270" w:type="pct"/>
            <w:tcBorders>
              <w:top w:val="nil"/>
              <w:left w:val="nil"/>
              <w:bottom w:val="nil"/>
              <w:right w:val="nil"/>
            </w:tcBorders>
            <w:shd w:val="clear" w:color="auto" w:fill="auto"/>
            <w:noWrap/>
            <w:vAlign w:val="center"/>
          </w:tcPr>
          <w:p w14:paraId="3278B95E" w14:textId="77777777" w:rsidR="0044062C" w:rsidRPr="00BC68C4" w:rsidRDefault="0044062C" w:rsidP="009912BC">
            <w:pPr>
              <w:jc w:val="left"/>
              <w:rPr>
                <w:rFonts w:ascii="Times New Roman" w:eastAsia="Times New Roman" w:hAnsi="Times New Roman" w:cs="Times New Roman"/>
                <w:color w:val="000000"/>
                <w:sz w:val="16"/>
                <w:szCs w:val="16"/>
                <w:lang w:eastAsia="en-GB"/>
              </w:rPr>
            </w:pPr>
          </w:p>
        </w:tc>
      </w:tr>
      <w:tr w:rsidR="009A0F0B" w:rsidRPr="00BC68C4" w14:paraId="6BF7E9E6" w14:textId="77777777" w:rsidTr="009A0F0B">
        <w:trPr>
          <w:trHeight w:hRule="exact" w:val="181"/>
        </w:trPr>
        <w:tc>
          <w:tcPr>
            <w:tcW w:w="262" w:type="pct"/>
            <w:tcBorders>
              <w:top w:val="nil"/>
              <w:left w:val="nil"/>
              <w:bottom w:val="nil"/>
              <w:right w:val="nil"/>
            </w:tcBorders>
            <w:shd w:val="clear" w:color="auto" w:fill="auto"/>
            <w:noWrap/>
            <w:vAlign w:val="center"/>
          </w:tcPr>
          <w:p w14:paraId="37B1FF2D" w14:textId="77777777" w:rsidR="0044062C" w:rsidRPr="00BC68C4" w:rsidRDefault="0044062C" w:rsidP="00AE0FA6">
            <w:pPr>
              <w:jc w:val="left"/>
              <w:rPr>
                <w:rFonts w:ascii="Times New Roman" w:hAnsi="Times New Roman" w:cs="Times New Roman"/>
                <w:color w:val="000000"/>
                <w:sz w:val="16"/>
                <w:szCs w:val="16"/>
              </w:rPr>
            </w:pPr>
          </w:p>
        </w:tc>
        <w:tc>
          <w:tcPr>
            <w:tcW w:w="678" w:type="pct"/>
            <w:tcBorders>
              <w:top w:val="nil"/>
              <w:left w:val="nil"/>
              <w:bottom w:val="nil"/>
              <w:right w:val="nil"/>
            </w:tcBorders>
            <w:shd w:val="clear" w:color="auto" w:fill="auto"/>
            <w:noWrap/>
            <w:vAlign w:val="center"/>
          </w:tcPr>
          <w:p w14:paraId="429728C1" w14:textId="6C0C6224" w:rsidR="0044062C" w:rsidRPr="00BC68C4" w:rsidRDefault="0044062C" w:rsidP="00AE0FA6">
            <w:pPr>
              <w:rPr>
                <w:rFonts w:ascii="Times New Roman" w:hAnsi="Times New Roman" w:cs="Times New Roman"/>
                <w:color w:val="000000"/>
                <w:sz w:val="16"/>
                <w:szCs w:val="16"/>
              </w:rPr>
            </w:pPr>
            <w:r w:rsidRPr="00BC68C4">
              <w:rPr>
                <w:rFonts w:ascii="Times New Roman" w:eastAsia="Times New Roman" w:hAnsi="Times New Roman" w:cs="Times New Roman"/>
                <w:color w:val="000000"/>
                <w:sz w:val="16"/>
                <w:szCs w:val="16"/>
                <w:lang w:eastAsia="en-GB"/>
              </w:rPr>
              <w:t>Merged</w:t>
            </w:r>
          </w:p>
        </w:tc>
        <w:tc>
          <w:tcPr>
            <w:tcW w:w="230" w:type="pct"/>
            <w:tcBorders>
              <w:top w:val="nil"/>
              <w:left w:val="nil"/>
              <w:bottom w:val="nil"/>
              <w:right w:val="nil"/>
            </w:tcBorders>
            <w:shd w:val="clear" w:color="auto" w:fill="auto"/>
            <w:noWrap/>
            <w:vAlign w:val="center"/>
          </w:tcPr>
          <w:p w14:paraId="3C0351ED" w14:textId="321DE0F0" w:rsidR="0044062C" w:rsidRPr="00BC68C4" w:rsidRDefault="0044062C" w:rsidP="009912BC">
            <w:pPr>
              <w:jc w:val="center"/>
              <w:rPr>
                <w:rFonts w:ascii="Times New Roman" w:hAnsi="Times New Roman" w:cs="Times New Roman"/>
                <w:color w:val="000000"/>
                <w:sz w:val="16"/>
                <w:szCs w:val="16"/>
              </w:rPr>
            </w:pPr>
          </w:p>
        </w:tc>
        <w:tc>
          <w:tcPr>
            <w:tcW w:w="426" w:type="pct"/>
            <w:tcBorders>
              <w:top w:val="nil"/>
              <w:left w:val="nil"/>
              <w:bottom w:val="nil"/>
              <w:right w:val="nil"/>
            </w:tcBorders>
            <w:shd w:val="clear" w:color="auto" w:fill="auto"/>
            <w:noWrap/>
            <w:vAlign w:val="center"/>
          </w:tcPr>
          <w:p w14:paraId="666AB475" w14:textId="3F4B1335" w:rsidR="0044062C" w:rsidRPr="00BC68C4" w:rsidRDefault="0044062C" w:rsidP="009912BC">
            <w:pPr>
              <w:jc w:val="center"/>
              <w:rPr>
                <w:rFonts w:ascii="Times New Roman" w:hAnsi="Times New Roman" w:cs="Times New Roman"/>
                <w:color w:val="000000"/>
                <w:sz w:val="16"/>
                <w:szCs w:val="16"/>
              </w:rPr>
            </w:pPr>
          </w:p>
        </w:tc>
        <w:tc>
          <w:tcPr>
            <w:tcW w:w="375" w:type="pct"/>
            <w:tcBorders>
              <w:top w:val="nil"/>
              <w:left w:val="nil"/>
              <w:bottom w:val="nil"/>
              <w:right w:val="nil"/>
            </w:tcBorders>
            <w:shd w:val="clear" w:color="auto" w:fill="auto"/>
            <w:noWrap/>
            <w:vAlign w:val="center"/>
          </w:tcPr>
          <w:p w14:paraId="2699D1A9" w14:textId="3E2C9EB0" w:rsidR="0044062C" w:rsidRPr="00BC68C4" w:rsidRDefault="0044062C" w:rsidP="009912BC">
            <w:pPr>
              <w:jc w:val="center"/>
              <w:rPr>
                <w:rFonts w:ascii="Times New Roman" w:hAnsi="Times New Roman" w:cs="Times New Roman"/>
                <w:color w:val="000000"/>
                <w:sz w:val="16"/>
                <w:szCs w:val="16"/>
              </w:rPr>
            </w:pPr>
          </w:p>
        </w:tc>
        <w:tc>
          <w:tcPr>
            <w:tcW w:w="379" w:type="pct"/>
            <w:tcBorders>
              <w:top w:val="nil"/>
              <w:left w:val="nil"/>
              <w:bottom w:val="nil"/>
              <w:right w:val="nil"/>
            </w:tcBorders>
            <w:shd w:val="clear" w:color="auto" w:fill="auto"/>
            <w:noWrap/>
            <w:vAlign w:val="center"/>
          </w:tcPr>
          <w:p w14:paraId="760CFC1C" w14:textId="50D095E3" w:rsidR="0044062C" w:rsidRPr="00BC68C4" w:rsidRDefault="0044062C" w:rsidP="009912BC">
            <w:pPr>
              <w:jc w:val="center"/>
              <w:rPr>
                <w:rFonts w:ascii="Times New Roman" w:hAnsi="Times New Roman" w:cs="Times New Roman"/>
                <w:color w:val="000000"/>
                <w:sz w:val="16"/>
                <w:szCs w:val="16"/>
              </w:rPr>
            </w:pPr>
          </w:p>
        </w:tc>
        <w:tc>
          <w:tcPr>
            <w:tcW w:w="424" w:type="pct"/>
            <w:tcBorders>
              <w:top w:val="nil"/>
              <w:left w:val="nil"/>
              <w:bottom w:val="nil"/>
              <w:right w:val="nil"/>
            </w:tcBorders>
            <w:shd w:val="clear" w:color="auto" w:fill="auto"/>
            <w:noWrap/>
            <w:vAlign w:val="center"/>
          </w:tcPr>
          <w:p w14:paraId="6B30B575" w14:textId="5BA6E0C7" w:rsidR="0044062C" w:rsidRPr="00BC68C4" w:rsidRDefault="0044062C" w:rsidP="009912BC">
            <w:pPr>
              <w:jc w:val="center"/>
              <w:rPr>
                <w:rFonts w:ascii="Times New Roman" w:hAnsi="Times New Roman" w:cs="Times New Roman"/>
                <w:color w:val="000000"/>
                <w:sz w:val="16"/>
                <w:szCs w:val="16"/>
              </w:rPr>
            </w:pPr>
          </w:p>
        </w:tc>
        <w:tc>
          <w:tcPr>
            <w:tcW w:w="398" w:type="pct"/>
            <w:tcBorders>
              <w:top w:val="nil"/>
              <w:left w:val="nil"/>
              <w:bottom w:val="nil"/>
              <w:right w:val="nil"/>
            </w:tcBorders>
            <w:shd w:val="clear" w:color="auto" w:fill="auto"/>
            <w:noWrap/>
            <w:vAlign w:val="center"/>
          </w:tcPr>
          <w:p w14:paraId="46AE29F0" w14:textId="77777777" w:rsidR="0044062C" w:rsidRPr="00BC68C4" w:rsidRDefault="0044062C" w:rsidP="009912BC">
            <w:pPr>
              <w:jc w:val="center"/>
              <w:rPr>
                <w:rFonts w:ascii="Times New Roman" w:eastAsia="Times New Roman" w:hAnsi="Times New Roman" w:cs="Times New Roman"/>
                <w:color w:val="000000"/>
                <w:sz w:val="16"/>
                <w:szCs w:val="16"/>
                <w:lang w:eastAsia="en-GB"/>
              </w:rPr>
            </w:pPr>
          </w:p>
        </w:tc>
        <w:tc>
          <w:tcPr>
            <w:tcW w:w="93" w:type="pct"/>
            <w:tcBorders>
              <w:top w:val="nil"/>
              <w:left w:val="nil"/>
              <w:bottom w:val="nil"/>
              <w:right w:val="nil"/>
            </w:tcBorders>
            <w:shd w:val="clear" w:color="auto" w:fill="auto"/>
            <w:noWrap/>
            <w:vAlign w:val="center"/>
          </w:tcPr>
          <w:p w14:paraId="228BAD56" w14:textId="77777777" w:rsidR="0044062C" w:rsidRPr="00BC68C4" w:rsidRDefault="0044062C" w:rsidP="009912BC">
            <w:pPr>
              <w:jc w:val="center"/>
              <w:rPr>
                <w:rFonts w:ascii="Times New Roman" w:eastAsia="Times New Roman" w:hAnsi="Times New Roman" w:cs="Times New Roman"/>
                <w:color w:val="000000"/>
                <w:sz w:val="16"/>
                <w:szCs w:val="16"/>
                <w:lang w:eastAsia="en-GB"/>
              </w:rPr>
            </w:pPr>
          </w:p>
        </w:tc>
        <w:tc>
          <w:tcPr>
            <w:tcW w:w="165" w:type="pct"/>
            <w:tcBorders>
              <w:top w:val="nil"/>
              <w:left w:val="nil"/>
              <w:bottom w:val="nil"/>
              <w:right w:val="nil"/>
            </w:tcBorders>
            <w:shd w:val="clear" w:color="auto" w:fill="auto"/>
            <w:noWrap/>
            <w:vAlign w:val="bottom"/>
          </w:tcPr>
          <w:p w14:paraId="63858B37" w14:textId="50ADF8F9"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344</w:t>
            </w:r>
          </w:p>
        </w:tc>
        <w:tc>
          <w:tcPr>
            <w:tcW w:w="238" w:type="pct"/>
            <w:tcBorders>
              <w:top w:val="nil"/>
              <w:left w:val="nil"/>
              <w:bottom w:val="nil"/>
              <w:right w:val="nil"/>
            </w:tcBorders>
            <w:shd w:val="clear" w:color="auto" w:fill="auto"/>
            <w:noWrap/>
            <w:vAlign w:val="bottom"/>
          </w:tcPr>
          <w:p w14:paraId="153AA80E" w14:textId="3D354FC9"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0.41</w:t>
            </w:r>
          </w:p>
        </w:tc>
        <w:tc>
          <w:tcPr>
            <w:tcW w:w="375" w:type="pct"/>
            <w:tcBorders>
              <w:top w:val="nil"/>
              <w:left w:val="nil"/>
              <w:bottom w:val="nil"/>
              <w:right w:val="nil"/>
            </w:tcBorders>
            <w:shd w:val="clear" w:color="auto" w:fill="auto"/>
            <w:noWrap/>
            <w:vAlign w:val="bottom"/>
          </w:tcPr>
          <w:p w14:paraId="064DEA38" w14:textId="4142A664"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0.00</w:t>
            </w:r>
          </w:p>
        </w:tc>
        <w:tc>
          <w:tcPr>
            <w:tcW w:w="279" w:type="pct"/>
            <w:tcBorders>
              <w:top w:val="nil"/>
              <w:left w:val="nil"/>
              <w:bottom w:val="nil"/>
              <w:right w:val="nil"/>
            </w:tcBorders>
            <w:shd w:val="clear" w:color="auto" w:fill="auto"/>
            <w:noWrap/>
            <w:vAlign w:val="bottom"/>
          </w:tcPr>
          <w:p w14:paraId="761F249B" w14:textId="34F61209"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0.00</w:t>
            </w:r>
          </w:p>
        </w:tc>
        <w:tc>
          <w:tcPr>
            <w:tcW w:w="408" w:type="pct"/>
            <w:tcBorders>
              <w:top w:val="nil"/>
              <w:left w:val="nil"/>
              <w:bottom w:val="nil"/>
              <w:right w:val="nil"/>
            </w:tcBorders>
            <w:shd w:val="clear" w:color="auto" w:fill="auto"/>
            <w:noWrap/>
            <w:vAlign w:val="bottom"/>
          </w:tcPr>
          <w:p w14:paraId="23CC4C57" w14:textId="5F1EB697"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1.00</w:t>
            </w:r>
          </w:p>
        </w:tc>
        <w:tc>
          <w:tcPr>
            <w:tcW w:w="270" w:type="pct"/>
            <w:tcBorders>
              <w:top w:val="nil"/>
              <w:left w:val="nil"/>
              <w:bottom w:val="nil"/>
              <w:right w:val="nil"/>
            </w:tcBorders>
            <w:shd w:val="clear" w:color="auto" w:fill="auto"/>
            <w:noWrap/>
            <w:vAlign w:val="bottom"/>
          </w:tcPr>
          <w:p w14:paraId="6F996D02" w14:textId="384F9819" w:rsidR="0044062C" w:rsidRPr="00BC68C4" w:rsidRDefault="0044062C" w:rsidP="009912BC">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0.49</w:t>
            </w:r>
          </w:p>
        </w:tc>
      </w:tr>
      <w:tr w:rsidR="009A0F0B" w:rsidRPr="00BC68C4" w14:paraId="44007103" w14:textId="77777777" w:rsidTr="009A0F0B">
        <w:trPr>
          <w:trHeight w:hRule="exact" w:val="181"/>
        </w:trPr>
        <w:tc>
          <w:tcPr>
            <w:tcW w:w="262" w:type="pct"/>
            <w:tcBorders>
              <w:top w:val="nil"/>
              <w:left w:val="nil"/>
              <w:bottom w:val="nil"/>
              <w:right w:val="nil"/>
            </w:tcBorders>
            <w:shd w:val="clear" w:color="auto" w:fill="auto"/>
            <w:noWrap/>
            <w:vAlign w:val="center"/>
          </w:tcPr>
          <w:p w14:paraId="20D50648" w14:textId="77777777" w:rsidR="0044062C" w:rsidRPr="00BC68C4" w:rsidRDefault="0044062C" w:rsidP="001613C8">
            <w:pPr>
              <w:jc w:val="left"/>
              <w:rPr>
                <w:rFonts w:ascii="Times New Roman" w:eastAsia="Times New Roman" w:hAnsi="Times New Roman" w:cs="Times New Roman"/>
                <w:color w:val="000000"/>
                <w:sz w:val="16"/>
                <w:szCs w:val="16"/>
                <w:lang w:eastAsia="en-GB"/>
              </w:rPr>
            </w:pPr>
          </w:p>
        </w:tc>
        <w:tc>
          <w:tcPr>
            <w:tcW w:w="678" w:type="pct"/>
            <w:tcBorders>
              <w:top w:val="nil"/>
              <w:left w:val="nil"/>
              <w:bottom w:val="nil"/>
              <w:right w:val="nil"/>
            </w:tcBorders>
            <w:shd w:val="clear" w:color="auto" w:fill="auto"/>
            <w:noWrap/>
            <w:vAlign w:val="center"/>
          </w:tcPr>
          <w:p w14:paraId="275EB706" w14:textId="29518AA7" w:rsidR="0044062C" w:rsidRPr="00BC68C4" w:rsidRDefault="0044062C" w:rsidP="009912BC">
            <w:pPr>
              <w:rPr>
                <w:rFonts w:ascii="Times New Roman" w:eastAsia="Times New Roman" w:hAnsi="Times New Roman" w:cs="Times New Roman"/>
                <w:color w:val="000000"/>
                <w:sz w:val="16"/>
                <w:szCs w:val="16"/>
                <w:lang w:eastAsia="en-GB"/>
              </w:rPr>
            </w:pPr>
            <w:proofErr w:type="spellStart"/>
            <w:r w:rsidRPr="00BC68C4">
              <w:rPr>
                <w:rFonts w:ascii="Times New Roman" w:eastAsia="Times New Roman" w:hAnsi="Times New Roman" w:cs="Times New Roman"/>
                <w:color w:val="000000"/>
                <w:sz w:val="16"/>
                <w:szCs w:val="16"/>
                <w:lang w:eastAsia="en-GB"/>
              </w:rPr>
              <w:t>CourtWoundUp</w:t>
            </w:r>
            <w:proofErr w:type="spellEnd"/>
          </w:p>
        </w:tc>
        <w:tc>
          <w:tcPr>
            <w:tcW w:w="230" w:type="pct"/>
            <w:tcBorders>
              <w:top w:val="nil"/>
              <w:left w:val="nil"/>
              <w:bottom w:val="nil"/>
              <w:right w:val="nil"/>
            </w:tcBorders>
            <w:shd w:val="clear" w:color="auto" w:fill="auto"/>
            <w:noWrap/>
            <w:vAlign w:val="center"/>
          </w:tcPr>
          <w:p w14:paraId="77A023DD" w14:textId="77777777" w:rsidR="0044062C" w:rsidRPr="00BC68C4" w:rsidRDefault="0044062C" w:rsidP="009912BC">
            <w:pPr>
              <w:jc w:val="left"/>
              <w:rPr>
                <w:rFonts w:ascii="Times New Roman" w:eastAsia="Times New Roman" w:hAnsi="Times New Roman" w:cs="Times New Roman"/>
                <w:color w:val="000000"/>
                <w:sz w:val="16"/>
                <w:szCs w:val="16"/>
                <w:lang w:eastAsia="en-GB"/>
              </w:rPr>
            </w:pPr>
          </w:p>
        </w:tc>
        <w:tc>
          <w:tcPr>
            <w:tcW w:w="426" w:type="pct"/>
            <w:tcBorders>
              <w:top w:val="nil"/>
              <w:left w:val="nil"/>
              <w:bottom w:val="nil"/>
              <w:right w:val="nil"/>
            </w:tcBorders>
            <w:shd w:val="clear" w:color="auto" w:fill="auto"/>
            <w:noWrap/>
            <w:vAlign w:val="center"/>
          </w:tcPr>
          <w:p w14:paraId="558CC873" w14:textId="77777777" w:rsidR="0044062C" w:rsidRPr="00BC68C4" w:rsidRDefault="0044062C" w:rsidP="009912BC">
            <w:pPr>
              <w:jc w:val="left"/>
              <w:rPr>
                <w:rFonts w:ascii="Times New Roman" w:eastAsia="Times New Roman" w:hAnsi="Times New Roman" w:cs="Times New Roman"/>
                <w:color w:val="000000"/>
                <w:sz w:val="16"/>
                <w:szCs w:val="16"/>
                <w:lang w:eastAsia="en-GB"/>
              </w:rPr>
            </w:pPr>
          </w:p>
        </w:tc>
        <w:tc>
          <w:tcPr>
            <w:tcW w:w="375" w:type="pct"/>
            <w:tcBorders>
              <w:top w:val="nil"/>
              <w:left w:val="nil"/>
              <w:bottom w:val="nil"/>
              <w:right w:val="nil"/>
            </w:tcBorders>
            <w:shd w:val="clear" w:color="auto" w:fill="auto"/>
            <w:noWrap/>
            <w:vAlign w:val="center"/>
          </w:tcPr>
          <w:p w14:paraId="14F2C4AA" w14:textId="77777777" w:rsidR="0044062C" w:rsidRPr="00BC68C4" w:rsidRDefault="0044062C" w:rsidP="009912BC">
            <w:pPr>
              <w:jc w:val="left"/>
              <w:rPr>
                <w:rFonts w:ascii="Times New Roman" w:eastAsia="Times New Roman" w:hAnsi="Times New Roman" w:cs="Times New Roman"/>
                <w:color w:val="000000"/>
                <w:sz w:val="16"/>
                <w:szCs w:val="16"/>
                <w:lang w:eastAsia="en-GB"/>
              </w:rPr>
            </w:pPr>
          </w:p>
        </w:tc>
        <w:tc>
          <w:tcPr>
            <w:tcW w:w="379" w:type="pct"/>
            <w:tcBorders>
              <w:top w:val="nil"/>
              <w:left w:val="nil"/>
              <w:bottom w:val="nil"/>
              <w:right w:val="nil"/>
            </w:tcBorders>
            <w:shd w:val="clear" w:color="auto" w:fill="auto"/>
            <w:noWrap/>
            <w:vAlign w:val="center"/>
          </w:tcPr>
          <w:p w14:paraId="406F5BEA" w14:textId="77777777" w:rsidR="0044062C" w:rsidRPr="00BC68C4" w:rsidRDefault="0044062C" w:rsidP="009912BC">
            <w:pPr>
              <w:jc w:val="left"/>
              <w:rPr>
                <w:rFonts w:ascii="Times New Roman" w:eastAsia="Times New Roman" w:hAnsi="Times New Roman" w:cs="Times New Roman"/>
                <w:color w:val="000000"/>
                <w:sz w:val="16"/>
                <w:szCs w:val="16"/>
                <w:lang w:eastAsia="en-GB"/>
              </w:rPr>
            </w:pPr>
          </w:p>
        </w:tc>
        <w:tc>
          <w:tcPr>
            <w:tcW w:w="424" w:type="pct"/>
            <w:tcBorders>
              <w:top w:val="nil"/>
              <w:left w:val="nil"/>
              <w:bottom w:val="nil"/>
              <w:right w:val="nil"/>
            </w:tcBorders>
            <w:shd w:val="clear" w:color="auto" w:fill="auto"/>
            <w:noWrap/>
            <w:vAlign w:val="center"/>
          </w:tcPr>
          <w:p w14:paraId="0B25F5A8" w14:textId="77777777" w:rsidR="0044062C" w:rsidRPr="00BC68C4" w:rsidRDefault="0044062C" w:rsidP="009912BC">
            <w:pPr>
              <w:jc w:val="left"/>
              <w:rPr>
                <w:rFonts w:ascii="Times New Roman" w:eastAsia="Times New Roman" w:hAnsi="Times New Roman" w:cs="Times New Roman"/>
                <w:color w:val="000000"/>
                <w:sz w:val="16"/>
                <w:szCs w:val="16"/>
                <w:lang w:eastAsia="en-GB"/>
              </w:rPr>
            </w:pPr>
          </w:p>
        </w:tc>
        <w:tc>
          <w:tcPr>
            <w:tcW w:w="398" w:type="pct"/>
            <w:tcBorders>
              <w:top w:val="nil"/>
              <w:left w:val="nil"/>
              <w:bottom w:val="nil"/>
              <w:right w:val="nil"/>
            </w:tcBorders>
            <w:shd w:val="clear" w:color="auto" w:fill="auto"/>
            <w:noWrap/>
            <w:vAlign w:val="center"/>
          </w:tcPr>
          <w:p w14:paraId="4A4DD2BF" w14:textId="77777777" w:rsidR="0044062C" w:rsidRPr="00BC68C4" w:rsidRDefault="0044062C" w:rsidP="009912BC">
            <w:pPr>
              <w:jc w:val="left"/>
              <w:rPr>
                <w:rFonts w:ascii="Times New Roman" w:eastAsia="Times New Roman" w:hAnsi="Times New Roman" w:cs="Times New Roman"/>
                <w:color w:val="000000"/>
                <w:sz w:val="16"/>
                <w:szCs w:val="16"/>
                <w:lang w:eastAsia="en-GB"/>
              </w:rPr>
            </w:pPr>
          </w:p>
        </w:tc>
        <w:tc>
          <w:tcPr>
            <w:tcW w:w="93" w:type="pct"/>
            <w:tcBorders>
              <w:top w:val="nil"/>
              <w:left w:val="nil"/>
              <w:bottom w:val="nil"/>
              <w:right w:val="nil"/>
            </w:tcBorders>
            <w:shd w:val="clear" w:color="auto" w:fill="auto"/>
            <w:noWrap/>
            <w:vAlign w:val="center"/>
          </w:tcPr>
          <w:p w14:paraId="269AC361" w14:textId="77777777" w:rsidR="0044062C" w:rsidRPr="00BC68C4" w:rsidRDefault="0044062C" w:rsidP="009912BC">
            <w:pPr>
              <w:jc w:val="left"/>
              <w:rPr>
                <w:rFonts w:ascii="Times New Roman" w:eastAsia="Times New Roman" w:hAnsi="Times New Roman" w:cs="Times New Roman"/>
                <w:color w:val="000000"/>
                <w:sz w:val="16"/>
                <w:szCs w:val="16"/>
                <w:lang w:eastAsia="en-GB"/>
              </w:rPr>
            </w:pPr>
          </w:p>
        </w:tc>
        <w:tc>
          <w:tcPr>
            <w:tcW w:w="165" w:type="pct"/>
            <w:tcBorders>
              <w:top w:val="nil"/>
              <w:left w:val="nil"/>
              <w:bottom w:val="nil"/>
              <w:right w:val="nil"/>
            </w:tcBorders>
            <w:shd w:val="clear" w:color="auto" w:fill="auto"/>
            <w:noWrap/>
            <w:vAlign w:val="bottom"/>
          </w:tcPr>
          <w:p w14:paraId="1A46197C" w14:textId="608AB75E"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344</w:t>
            </w:r>
          </w:p>
        </w:tc>
        <w:tc>
          <w:tcPr>
            <w:tcW w:w="238" w:type="pct"/>
            <w:tcBorders>
              <w:top w:val="nil"/>
              <w:left w:val="nil"/>
              <w:bottom w:val="nil"/>
              <w:right w:val="nil"/>
            </w:tcBorders>
            <w:shd w:val="clear" w:color="auto" w:fill="auto"/>
            <w:noWrap/>
            <w:vAlign w:val="bottom"/>
          </w:tcPr>
          <w:p w14:paraId="0E4C7B33" w14:textId="44A98B82"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0.05</w:t>
            </w:r>
          </w:p>
        </w:tc>
        <w:tc>
          <w:tcPr>
            <w:tcW w:w="375" w:type="pct"/>
            <w:tcBorders>
              <w:top w:val="nil"/>
              <w:left w:val="nil"/>
              <w:bottom w:val="nil"/>
              <w:right w:val="nil"/>
            </w:tcBorders>
            <w:shd w:val="clear" w:color="auto" w:fill="auto"/>
            <w:noWrap/>
            <w:vAlign w:val="bottom"/>
          </w:tcPr>
          <w:p w14:paraId="271EFC24" w14:textId="3759C575"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0.00</w:t>
            </w:r>
          </w:p>
        </w:tc>
        <w:tc>
          <w:tcPr>
            <w:tcW w:w="279" w:type="pct"/>
            <w:tcBorders>
              <w:top w:val="nil"/>
              <w:left w:val="nil"/>
              <w:bottom w:val="nil"/>
              <w:right w:val="nil"/>
            </w:tcBorders>
            <w:shd w:val="clear" w:color="auto" w:fill="auto"/>
            <w:noWrap/>
            <w:vAlign w:val="bottom"/>
          </w:tcPr>
          <w:p w14:paraId="6ABBB5C9" w14:textId="09F8DB12"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0.00</w:t>
            </w:r>
          </w:p>
        </w:tc>
        <w:tc>
          <w:tcPr>
            <w:tcW w:w="408" w:type="pct"/>
            <w:tcBorders>
              <w:top w:val="nil"/>
              <w:left w:val="nil"/>
              <w:bottom w:val="nil"/>
              <w:right w:val="nil"/>
            </w:tcBorders>
            <w:shd w:val="clear" w:color="auto" w:fill="auto"/>
            <w:noWrap/>
            <w:vAlign w:val="bottom"/>
          </w:tcPr>
          <w:p w14:paraId="3E39CF83" w14:textId="2AF8F28B"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1.00</w:t>
            </w:r>
          </w:p>
        </w:tc>
        <w:tc>
          <w:tcPr>
            <w:tcW w:w="270" w:type="pct"/>
            <w:tcBorders>
              <w:top w:val="nil"/>
              <w:left w:val="nil"/>
              <w:bottom w:val="nil"/>
              <w:right w:val="nil"/>
            </w:tcBorders>
            <w:shd w:val="clear" w:color="auto" w:fill="auto"/>
            <w:noWrap/>
            <w:vAlign w:val="bottom"/>
          </w:tcPr>
          <w:p w14:paraId="4ADAB938" w14:textId="2B7D9065"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0.22</w:t>
            </w:r>
          </w:p>
        </w:tc>
      </w:tr>
      <w:tr w:rsidR="009A0F0B" w:rsidRPr="00BC68C4" w14:paraId="2241BEEA" w14:textId="77777777" w:rsidTr="009A0F0B">
        <w:trPr>
          <w:trHeight w:hRule="exact" w:val="181"/>
        </w:trPr>
        <w:tc>
          <w:tcPr>
            <w:tcW w:w="262" w:type="pct"/>
            <w:tcBorders>
              <w:top w:val="nil"/>
              <w:left w:val="nil"/>
              <w:bottom w:val="nil"/>
              <w:right w:val="nil"/>
            </w:tcBorders>
            <w:shd w:val="clear" w:color="auto" w:fill="auto"/>
            <w:noWrap/>
            <w:vAlign w:val="center"/>
          </w:tcPr>
          <w:p w14:paraId="5FFC477F" w14:textId="77777777" w:rsidR="0044062C" w:rsidRPr="00BC68C4" w:rsidRDefault="0044062C" w:rsidP="00AE0FA6">
            <w:pPr>
              <w:jc w:val="left"/>
              <w:rPr>
                <w:rFonts w:ascii="Times New Roman" w:hAnsi="Times New Roman" w:cs="Times New Roman"/>
                <w:color w:val="000000"/>
                <w:sz w:val="16"/>
                <w:szCs w:val="16"/>
              </w:rPr>
            </w:pPr>
          </w:p>
        </w:tc>
        <w:tc>
          <w:tcPr>
            <w:tcW w:w="678" w:type="pct"/>
            <w:tcBorders>
              <w:top w:val="nil"/>
              <w:left w:val="nil"/>
              <w:bottom w:val="nil"/>
              <w:right w:val="nil"/>
            </w:tcBorders>
            <w:shd w:val="clear" w:color="auto" w:fill="auto"/>
            <w:noWrap/>
            <w:vAlign w:val="center"/>
          </w:tcPr>
          <w:p w14:paraId="6C4FB0F2" w14:textId="3840FFBC" w:rsidR="0044062C" w:rsidRPr="00BC68C4" w:rsidRDefault="0044062C" w:rsidP="00AE0FA6">
            <w:pPr>
              <w:rPr>
                <w:rFonts w:ascii="Times New Roman" w:hAnsi="Times New Roman" w:cs="Times New Roman"/>
                <w:color w:val="000000"/>
                <w:sz w:val="16"/>
                <w:szCs w:val="16"/>
              </w:rPr>
            </w:pPr>
            <w:r w:rsidRPr="00BC68C4">
              <w:rPr>
                <w:rFonts w:ascii="Times New Roman" w:hAnsi="Times New Roman" w:cs="Times New Roman"/>
                <w:color w:val="000000"/>
                <w:sz w:val="16"/>
                <w:szCs w:val="16"/>
              </w:rPr>
              <w:t>Removed</w:t>
            </w:r>
          </w:p>
        </w:tc>
        <w:tc>
          <w:tcPr>
            <w:tcW w:w="230" w:type="pct"/>
            <w:tcBorders>
              <w:top w:val="nil"/>
              <w:left w:val="nil"/>
              <w:bottom w:val="nil"/>
              <w:right w:val="nil"/>
            </w:tcBorders>
            <w:shd w:val="clear" w:color="auto" w:fill="auto"/>
            <w:noWrap/>
            <w:vAlign w:val="center"/>
          </w:tcPr>
          <w:p w14:paraId="48441DA3" w14:textId="1DA3EE7A" w:rsidR="0044062C" w:rsidRPr="00BC68C4" w:rsidRDefault="0044062C" w:rsidP="009912BC">
            <w:pPr>
              <w:jc w:val="center"/>
              <w:rPr>
                <w:rFonts w:ascii="Times New Roman" w:hAnsi="Times New Roman" w:cs="Times New Roman"/>
                <w:color w:val="000000"/>
                <w:sz w:val="16"/>
                <w:szCs w:val="16"/>
              </w:rPr>
            </w:pPr>
          </w:p>
        </w:tc>
        <w:tc>
          <w:tcPr>
            <w:tcW w:w="426" w:type="pct"/>
            <w:tcBorders>
              <w:top w:val="nil"/>
              <w:left w:val="nil"/>
              <w:bottom w:val="nil"/>
              <w:right w:val="nil"/>
            </w:tcBorders>
            <w:shd w:val="clear" w:color="auto" w:fill="auto"/>
            <w:noWrap/>
            <w:vAlign w:val="center"/>
          </w:tcPr>
          <w:p w14:paraId="7831DB71" w14:textId="35008E7F" w:rsidR="0044062C" w:rsidRPr="00BC68C4" w:rsidRDefault="0044062C" w:rsidP="009912BC">
            <w:pPr>
              <w:jc w:val="center"/>
              <w:rPr>
                <w:rFonts w:ascii="Times New Roman" w:hAnsi="Times New Roman" w:cs="Times New Roman"/>
                <w:color w:val="000000"/>
                <w:sz w:val="16"/>
                <w:szCs w:val="16"/>
              </w:rPr>
            </w:pPr>
          </w:p>
        </w:tc>
        <w:tc>
          <w:tcPr>
            <w:tcW w:w="375" w:type="pct"/>
            <w:tcBorders>
              <w:top w:val="nil"/>
              <w:left w:val="nil"/>
              <w:bottom w:val="nil"/>
              <w:right w:val="nil"/>
            </w:tcBorders>
            <w:shd w:val="clear" w:color="auto" w:fill="auto"/>
            <w:noWrap/>
            <w:vAlign w:val="center"/>
          </w:tcPr>
          <w:p w14:paraId="2BBC671A" w14:textId="1F252344" w:rsidR="0044062C" w:rsidRPr="00BC68C4" w:rsidRDefault="0044062C" w:rsidP="009912BC">
            <w:pPr>
              <w:jc w:val="center"/>
              <w:rPr>
                <w:rFonts w:ascii="Times New Roman" w:hAnsi="Times New Roman" w:cs="Times New Roman"/>
                <w:color w:val="000000"/>
                <w:sz w:val="16"/>
                <w:szCs w:val="16"/>
              </w:rPr>
            </w:pPr>
          </w:p>
        </w:tc>
        <w:tc>
          <w:tcPr>
            <w:tcW w:w="379" w:type="pct"/>
            <w:tcBorders>
              <w:top w:val="nil"/>
              <w:left w:val="nil"/>
              <w:bottom w:val="nil"/>
              <w:right w:val="nil"/>
            </w:tcBorders>
            <w:shd w:val="clear" w:color="auto" w:fill="auto"/>
            <w:noWrap/>
            <w:vAlign w:val="center"/>
          </w:tcPr>
          <w:p w14:paraId="75CC1D3E" w14:textId="71675F3F" w:rsidR="0044062C" w:rsidRPr="00BC68C4" w:rsidRDefault="0044062C" w:rsidP="009912BC">
            <w:pPr>
              <w:jc w:val="center"/>
              <w:rPr>
                <w:rFonts w:ascii="Times New Roman" w:hAnsi="Times New Roman" w:cs="Times New Roman"/>
                <w:color w:val="000000"/>
                <w:sz w:val="16"/>
                <w:szCs w:val="16"/>
              </w:rPr>
            </w:pPr>
          </w:p>
        </w:tc>
        <w:tc>
          <w:tcPr>
            <w:tcW w:w="424" w:type="pct"/>
            <w:tcBorders>
              <w:top w:val="nil"/>
              <w:left w:val="nil"/>
              <w:bottom w:val="nil"/>
              <w:right w:val="nil"/>
            </w:tcBorders>
            <w:shd w:val="clear" w:color="auto" w:fill="auto"/>
            <w:noWrap/>
            <w:vAlign w:val="center"/>
          </w:tcPr>
          <w:p w14:paraId="328ADAB2" w14:textId="77777777" w:rsidR="0044062C" w:rsidRPr="00BC68C4" w:rsidRDefault="0044062C" w:rsidP="009912BC">
            <w:pPr>
              <w:jc w:val="center"/>
              <w:rPr>
                <w:rFonts w:ascii="Times New Roman" w:eastAsia="Times New Roman" w:hAnsi="Times New Roman" w:cs="Times New Roman"/>
                <w:color w:val="000000"/>
                <w:sz w:val="16"/>
                <w:szCs w:val="16"/>
                <w:lang w:eastAsia="en-GB"/>
              </w:rPr>
            </w:pPr>
          </w:p>
        </w:tc>
        <w:tc>
          <w:tcPr>
            <w:tcW w:w="398" w:type="pct"/>
            <w:tcBorders>
              <w:top w:val="nil"/>
              <w:left w:val="nil"/>
              <w:bottom w:val="nil"/>
              <w:right w:val="nil"/>
            </w:tcBorders>
            <w:shd w:val="clear" w:color="auto" w:fill="auto"/>
            <w:noWrap/>
            <w:vAlign w:val="center"/>
          </w:tcPr>
          <w:p w14:paraId="13F4AC38" w14:textId="77777777" w:rsidR="0044062C" w:rsidRPr="00BC68C4" w:rsidRDefault="0044062C" w:rsidP="009912BC">
            <w:pPr>
              <w:jc w:val="center"/>
              <w:rPr>
                <w:rFonts w:ascii="Times New Roman" w:eastAsia="Times New Roman" w:hAnsi="Times New Roman" w:cs="Times New Roman"/>
                <w:color w:val="000000"/>
                <w:sz w:val="16"/>
                <w:szCs w:val="16"/>
                <w:lang w:eastAsia="en-GB"/>
              </w:rPr>
            </w:pPr>
          </w:p>
        </w:tc>
        <w:tc>
          <w:tcPr>
            <w:tcW w:w="93" w:type="pct"/>
            <w:tcBorders>
              <w:top w:val="nil"/>
              <w:left w:val="nil"/>
              <w:bottom w:val="nil"/>
              <w:right w:val="nil"/>
            </w:tcBorders>
            <w:shd w:val="clear" w:color="auto" w:fill="auto"/>
            <w:noWrap/>
            <w:vAlign w:val="center"/>
          </w:tcPr>
          <w:p w14:paraId="2C7F93BF" w14:textId="77777777" w:rsidR="0044062C" w:rsidRPr="00BC68C4" w:rsidRDefault="0044062C" w:rsidP="009912BC">
            <w:pPr>
              <w:jc w:val="center"/>
              <w:rPr>
                <w:rFonts w:ascii="Times New Roman" w:eastAsia="Times New Roman" w:hAnsi="Times New Roman" w:cs="Times New Roman"/>
                <w:color w:val="000000"/>
                <w:sz w:val="16"/>
                <w:szCs w:val="16"/>
                <w:lang w:eastAsia="en-GB"/>
              </w:rPr>
            </w:pPr>
          </w:p>
        </w:tc>
        <w:tc>
          <w:tcPr>
            <w:tcW w:w="165" w:type="pct"/>
            <w:tcBorders>
              <w:top w:val="nil"/>
              <w:left w:val="nil"/>
              <w:bottom w:val="nil"/>
              <w:right w:val="nil"/>
            </w:tcBorders>
            <w:shd w:val="clear" w:color="auto" w:fill="auto"/>
            <w:noWrap/>
            <w:vAlign w:val="bottom"/>
          </w:tcPr>
          <w:p w14:paraId="3553D117" w14:textId="0B193AA0"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344</w:t>
            </w:r>
          </w:p>
        </w:tc>
        <w:tc>
          <w:tcPr>
            <w:tcW w:w="238" w:type="pct"/>
            <w:tcBorders>
              <w:top w:val="nil"/>
              <w:left w:val="nil"/>
              <w:bottom w:val="nil"/>
              <w:right w:val="nil"/>
            </w:tcBorders>
            <w:shd w:val="clear" w:color="auto" w:fill="auto"/>
            <w:noWrap/>
            <w:vAlign w:val="bottom"/>
          </w:tcPr>
          <w:p w14:paraId="6B893CDD" w14:textId="61EACDFC" w:rsidR="0044062C" w:rsidRPr="00BC68C4" w:rsidRDefault="0044062C" w:rsidP="009912BC">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0.15</w:t>
            </w:r>
          </w:p>
        </w:tc>
        <w:tc>
          <w:tcPr>
            <w:tcW w:w="375" w:type="pct"/>
            <w:tcBorders>
              <w:top w:val="nil"/>
              <w:left w:val="nil"/>
              <w:bottom w:val="nil"/>
              <w:right w:val="nil"/>
            </w:tcBorders>
            <w:shd w:val="clear" w:color="auto" w:fill="auto"/>
            <w:noWrap/>
            <w:vAlign w:val="bottom"/>
          </w:tcPr>
          <w:p w14:paraId="0AF0DE81" w14:textId="07ED2FCA" w:rsidR="0044062C" w:rsidRPr="00BC68C4" w:rsidRDefault="0044062C" w:rsidP="009912BC">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0.00</w:t>
            </w:r>
          </w:p>
        </w:tc>
        <w:tc>
          <w:tcPr>
            <w:tcW w:w="279" w:type="pct"/>
            <w:tcBorders>
              <w:top w:val="nil"/>
              <w:left w:val="nil"/>
              <w:bottom w:val="nil"/>
              <w:right w:val="nil"/>
            </w:tcBorders>
            <w:shd w:val="clear" w:color="auto" w:fill="auto"/>
            <w:noWrap/>
            <w:vAlign w:val="bottom"/>
          </w:tcPr>
          <w:p w14:paraId="5594A3D9" w14:textId="314F19CC"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0.00</w:t>
            </w:r>
          </w:p>
        </w:tc>
        <w:tc>
          <w:tcPr>
            <w:tcW w:w="408" w:type="pct"/>
            <w:tcBorders>
              <w:top w:val="nil"/>
              <w:left w:val="nil"/>
              <w:bottom w:val="nil"/>
              <w:right w:val="nil"/>
            </w:tcBorders>
            <w:shd w:val="clear" w:color="auto" w:fill="auto"/>
            <w:noWrap/>
            <w:vAlign w:val="bottom"/>
          </w:tcPr>
          <w:p w14:paraId="425EA362" w14:textId="429D708A"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1.00</w:t>
            </w:r>
          </w:p>
        </w:tc>
        <w:tc>
          <w:tcPr>
            <w:tcW w:w="270" w:type="pct"/>
            <w:tcBorders>
              <w:top w:val="nil"/>
              <w:left w:val="nil"/>
              <w:bottom w:val="nil"/>
              <w:right w:val="nil"/>
            </w:tcBorders>
            <w:shd w:val="clear" w:color="auto" w:fill="auto"/>
            <w:noWrap/>
            <w:vAlign w:val="bottom"/>
          </w:tcPr>
          <w:p w14:paraId="43AEC17D" w14:textId="2CF33846"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0.36</w:t>
            </w:r>
          </w:p>
        </w:tc>
      </w:tr>
      <w:tr w:rsidR="009A0F0B" w:rsidRPr="00BC68C4" w14:paraId="79B3679C" w14:textId="77777777" w:rsidTr="009A0F0B">
        <w:trPr>
          <w:trHeight w:hRule="exact" w:val="181"/>
        </w:trPr>
        <w:tc>
          <w:tcPr>
            <w:tcW w:w="262" w:type="pct"/>
            <w:tcBorders>
              <w:top w:val="nil"/>
              <w:left w:val="nil"/>
              <w:bottom w:val="nil"/>
              <w:right w:val="nil"/>
            </w:tcBorders>
            <w:shd w:val="clear" w:color="auto" w:fill="auto"/>
            <w:noWrap/>
            <w:vAlign w:val="center"/>
          </w:tcPr>
          <w:p w14:paraId="4F45DD11" w14:textId="77777777" w:rsidR="0044062C" w:rsidRPr="00BC68C4" w:rsidRDefault="0044062C" w:rsidP="00AE0FA6">
            <w:pPr>
              <w:jc w:val="left"/>
              <w:rPr>
                <w:rFonts w:ascii="Times New Roman" w:hAnsi="Times New Roman" w:cs="Times New Roman"/>
                <w:color w:val="000000"/>
                <w:sz w:val="16"/>
                <w:szCs w:val="16"/>
              </w:rPr>
            </w:pPr>
          </w:p>
        </w:tc>
        <w:tc>
          <w:tcPr>
            <w:tcW w:w="678" w:type="pct"/>
            <w:tcBorders>
              <w:top w:val="nil"/>
              <w:left w:val="nil"/>
              <w:bottom w:val="nil"/>
              <w:right w:val="nil"/>
            </w:tcBorders>
            <w:shd w:val="clear" w:color="auto" w:fill="auto"/>
            <w:noWrap/>
            <w:vAlign w:val="center"/>
          </w:tcPr>
          <w:p w14:paraId="463EA8A5" w14:textId="37FD3809" w:rsidR="0044062C" w:rsidRPr="00BC68C4" w:rsidRDefault="0044062C" w:rsidP="00AE0FA6">
            <w:pPr>
              <w:rPr>
                <w:rFonts w:ascii="Times New Roman" w:hAnsi="Times New Roman" w:cs="Times New Roman"/>
                <w:color w:val="000000"/>
                <w:sz w:val="16"/>
                <w:szCs w:val="16"/>
              </w:rPr>
            </w:pPr>
            <w:proofErr w:type="spellStart"/>
            <w:r w:rsidRPr="00BC68C4">
              <w:rPr>
                <w:rFonts w:ascii="Times New Roman" w:eastAsia="Times New Roman" w:hAnsi="Times New Roman" w:cs="Times New Roman"/>
                <w:color w:val="000000"/>
                <w:sz w:val="16"/>
                <w:szCs w:val="16"/>
                <w:lang w:eastAsia="en-GB"/>
              </w:rPr>
              <w:t>VolWoundUp</w:t>
            </w:r>
            <w:proofErr w:type="spellEnd"/>
          </w:p>
        </w:tc>
        <w:tc>
          <w:tcPr>
            <w:tcW w:w="230" w:type="pct"/>
            <w:tcBorders>
              <w:top w:val="nil"/>
              <w:left w:val="nil"/>
              <w:bottom w:val="nil"/>
              <w:right w:val="nil"/>
            </w:tcBorders>
            <w:shd w:val="clear" w:color="auto" w:fill="auto"/>
            <w:noWrap/>
            <w:vAlign w:val="center"/>
          </w:tcPr>
          <w:p w14:paraId="6CD8A91E" w14:textId="085B7755" w:rsidR="0044062C" w:rsidRPr="00BC68C4" w:rsidRDefault="0044062C" w:rsidP="009912BC">
            <w:pPr>
              <w:jc w:val="center"/>
              <w:rPr>
                <w:rFonts w:ascii="Times New Roman" w:hAnsi="Times New Roman" w:cs="Times New Roman"/>
                <w:color w:val="000000"/>
                <w:sz w:val="16"/>
                <w:szCs w:val="16"/>
              </w:rPr>
            </w:pPr>
          </w:p>
        </w:tc>
        <w:tc>
          <w:tcPr>
            <w:tcW w:w="426" w:type="pct"/>
            <w:tcBorders>
              <w:top w:val="nil"/>
              <w:left w:val="nil"/>
              <w:bottom w:val="nil"/>
              <w:right w:val="nil"/>
            </w:tcBorders>
            <w:shd w:val="clear" w:color="auto" w:fill="auto"/>
            <w:noWrap/>
            <w:vAlign w:val="center"/>
          </w:tcPr>
          <w:p w14:paraId="4EDCC24F" w14:textId="37FDA4FD" w:rsidR="0044062C" w:rsidRPr="00BC68C4" w:rsidRDefault="0044062C" w:rsidP="009912BC">
            <w:pPr>
              <w:jc w:val="center"/>
              <w:rPr>
                <w:rFonts w:ascii="Times New Roman" w:hAnsi="Times New Roman" w:cs="Times New Roman"/>
                <w:color w:val="000000"/>
                <w:sz w:val="16"/>
                <w:szCs w:val="16"/>
              </w:rPr>
            </w:pPr>
          </w:p>
        </w:tc>
        <w:tc>
          <w:tcPr>
            <w:tcW w:w="375" w:type="pct"/>
            <w:tcBorders>
              <w:top w:val="nil"/>
              <w:left w:val="nil"/>
              <w:bottom w:val="nil"/>
              <w:right w:val="nil"/>
            </w:tcBorders>
            <w:shd w:val="clear" w:color="auto" w:fill="auto"/>
            <w:noWrap/>
            <w:vAlign w:val="center"/>
          </w:tcPr>
          <w:p w14:paraId="06172572" w14:textId="18AF3EBA" w:rsidR="0044062C" w:rsidRPr="00BC68C4" w:rsidRDefault="0044062C" w:rsidP="009912BC">
            <w:pPr>
              <w:jc w:val="center"/>
              <w:rPr>
                <w:rFonts w:ascii="Times New Roman" w:hAnsi="Times New Roman" w:cs="Times New Roman"/>
                <w:color w:val="000000"/>
                <w:sz w:val="16"/>
                <w:szCs w:val="16"/>
              </w:rPr>
            </w:pPr>
          </w:p>
        </w:tc>
        <w:tc>
          <w:tcPr>
            <w:tcW w:w="379" w:type="pct"/>
            <w:tcBorders>
              <w:top w:val="nil"/>
              <w:left w:val="nil"/>
              <w:bottom w:val="nil"/>
              <w:right w:val="nil"/>
            </w:tcBorders>
            <w:shd w:val="clear" w:color="auto" w:fill="auto"/>
            <w:noWrap/>
            <w:vAlign w:val="center"/>
          </w:tcPr>
          <w:p w14:paraId="41044A99" w14:textId="319B9318" w:rsidR="0044062C" w:rsidRPr="00BC68C4" w:rsidRDefault="0044062C" w:rsidP="009912BC">
            <w:pPr>
              <w:jc w:val="center"/>
              <w:rPr>
                <w:rFonts w:ascii="Times New Roman" w:hAnsi="Times New Roman" w:cs="Times New Roman"/>
                <w:color w:val="000000"/>
                <w:sz w:val="16"/>
                <w:szCs w:val="16"/>
              </w:rPr>
            </w:pPr>
          </w:p>
        </w:tc>
        <w:tc>
          <w:tcPr>
            <w:tcW w:w="424" w:type="pct"/>
            <w:tcBorders>
              <w:top w:val="nil"/>
              <w:left w:val="nil"/>
              <w:bottom w:val="nil"/>
              <w:right w:val="nil"/>
            </w:tcBorders>
            <w:shd w:val="clear" w:color="auto" w:fill="auto"/>
            <w:noWrap/>
            <w:vAlign w:val="center"/>
          </w:tcPr>
          <w:p w14:paraId="5CAEB4A9" w14:textId="16061D9F" w:rsidR="0044062C" w:rsidRPr="00BC68C4" w:rsidRDefault="0044062C" w:rsidP="009912BC">
            <w:pPr>
              <w:jc w:val="center"/>
              <w:rPr>
                <w:rFonts w:ascii="Times New Roman" w:hAnsi="Times New Roman" w:cs="Times New Roman"/>
                <w:color w:val="000000"/>
                <w:sz w:val="16"/>
                <w:szCs w:val="16"/>
              </w:rPr>
            </w:pPr>
          </w:p>
        </w:tc>
        <w:tc>
          <w:tcPr>
            <w:tcW w:w="398" w:type="pct"/>
            <w:tcBorders>
              <w:top w:val="nil"/>
              <w:left w:val="nil"/>
              <w:bottom w:val="nil"/>
              <w:right w:val="nil"/>
            </w:tcBorders>
            <w:shd w:val="clear" w:color="auto" w:fill="auto"/>
            <w:noWrap/>
            <w:vAlign w:val="center"/>
          </w:tcPr>
          <w:p w14:paraId="35559282" w14:textId="03AB0B25" w:rsidR="0044062C" w:rsidRPr="00BC68C4" w:rsidRDefault="0044062C" w:rsidP="009912BC">
            <w:pPr>
              <w:jc w:val="center"/>
              <w:rPr>
                <w:rFonts w:ascii="Times New Roman" w:hAnsi="Times New Roman" w:cs="Times New Roman"/>
                <w:color w:val="000000"/>
                <w:sz w:val="16"/>
                <w:szCs w:val="16"/>
              </w:rPr>
            </w:pPr>
          </w:p>
        </w:tc>
        <w:tc>
          <w:tcPr>
            <w:tcW w:w="93" w:type="pct"/>
            <w:tcBorders>
              <w:top w:val="nil"/>
              <w:left w:val="nil"/>
              <w:bottom w:val="nil"/>
              <w:right w:val="nil"/>
            </w:tcBorders>
            <w:shd w:val="clear" w:color="auto" w:fill="auto"/>
            <w:noWrap/>
            <w:vAlign w:val="center"/>
          </w:tcPr>
          <w:p w14:paraId="2EE25A46" w14:textId="77777777" w:rsidR="0044062C" w:rsidRPr="00BC68C4" w:rsidRDefault="0044062C" w:rsidP="009912BC">
            <w:pPr>
              <w:jc w:val="center"/>
              <w:rPr>
                <w:rFonts w:ascii="Times New Roman" w:eastAsia="Times New Roman" w:hAnsi="Times New Roman" w:cs="Times New Roman"/>
                <w:color w:val="000000"/>
                <w:sz w:val="16"/>
                <w:szCs w:val="16"/>
                <w:lang w:eastAsia="en-GB"/>
              </w:rPr>
            </w:pPr>
          </w:p>
        </w:tc>
        <w:tc>
          <w:tcPr>
            <w:tcW w:w="165" w:type="pct"/>
            <w:tcBorders>
              <w:top w:val="nil"/>
              <w:left w:val="nil"/>
              <w:bottom w:val="nil"/>
              <w:right w:val="nil"/>
            </w:tcBorders>
            <w:shd w:val="clear" w:color="auto" w:fill="auto"/>
            <w:noWrap/>
            <w:vAlign w:val="bottom"/>
          </w:tcPr>
          <w:p w14:paraId="3CADE920" w14:textId="09C29C9D"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344</w:t>
            </w:r>
          </w:p>
        </w:tc>
        <w:tc>
          <w:tcPr>
            <w:tcW w:w="238" w:type="pct"/>
            <w:tcBorders>
              <w:top w:val="nil"/>
              <w:left w:val="nil"/>
              <w:bottom w:val="nil"/>
              <w:right w:val="nil"/>
            </w:tcBorders>
            <w:shd w:val="clear" w:color="auto" w:fill="auto"/>
            <w:noWrap/>
            <w:vAlign w:val="bottom"/>
          </w:tcPr>
          <w:p w14:paraId="76D54537" w14:textId="09FEFBF2"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0.24</w:t>
            </w:r>
          </w:p>
        </w:tc>
        <w:tc>
          <w:tcPr>
            <w:tcW w:w="375" w:type="pct"/>
            <w:tcBorders>
              <w:top w:val="nil"/>
              <w:left w:val="nil"/>
              <w:bottom w:val="nil"/>
              <w:right w:val="nil"/>
            </w:tcBorders>
            <w:shd w:val="clear" w:color="auto" w:fill="auto"/>
            <w:noWrap/>
            <w:vAlign w:val="bottom"/>
          </w:tcPr>
          <w:p w14:paraId="6ECD51F4" w14:textId="16141C47"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0.00</w:t>
            </w:r>
          </w:p>
        </w:tc>
        <w:tc>
          <w:tcPr>
            <w:tcW w:w="279" w:type="pct"/>
            <w:tcBorders>
              <w:top w:val="nil"/>
              <w:left w:val="nil"/>
              <w:bottom w:val="nil"/>
              <w:right w:val="nil"/>
            </w:tcBorders>
            <w:shd w:val="clear" w:color="auto" w:fill="auto"/>
            <w:noWrap/>
            <w:vAlign w:val="bottom"/>
          </w:tcPr>
          <w:p w14:paraId="55CDEAF6" w14:textId="1C8D8D76"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0.00</w:t>
            </w:r>
          </w:p>
        </w:tc>
        <w:tc>
          <w:tcPr>
            <w:tcW w:w="408" w:type="pct"/>
            <w:tcBorders>
              <w:top w:val="nil"/>
              <w:left w:val="nil"/>
              <w:bottom w:val="nil"/>
              <w:right w:val="nil"/>
            </w:tcBorders>
            <w:shd w:val="clear" w:color="auto" w:fill="auto"/>
            <w:noWrap/>
            <w:vAlign w:val="bottom"/>
          </w:tcPr>
          <w:p w14:paraId="57BBB9CE" w14:textId="7D78AE26"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1.00</w:t>
            </w:r>
          </w:p>
        </w:tc>
        <w:tc>
          <w:tcPr>
            <w:tcW w:w="270" w:type="pct"/>
            <w:tcBorders>
              <w:top w:val="nil"/>
              <w:left w:val="nil"/>
              <w:bottom w:val="nil"/>
              <w:right w:val="nil"/>
            </w:tcBorders>
            <w:shd w:val="clear" w:color="auto" w:fill="auto"/>
            <w:noWrap/>
            <w:vAlign w:val="bottom"/>
          </w:tcPr>
          <w:p w14:paraId="57D3F6E4" w14:textId="19BDD02F"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0.42</w:t>
            </w:r>
          </w:p>
        </w:tc>
      </w:tr>
      <w:tr w:rsidR="009A0F0B" w:rsidRPr="00BC68C4" w14:paraId="5B88F457" w14:textId="77777777" w:rsidTr="009A0F0B">
        <w:trPr>
          <w:trHeight w:hRule="exact" w:val="181"/>
        </w:trPr>
        <w:tc>
          <w:tcPr>
            <w:tcW w:w="262" w:type="pct"/>
            <w:tcBorders>
              <w:top w:val="nil"/>
              <w:left w:val="nil"/>
              <w:bottom w:val="nil"/>
              <w:right w:val="nil"/>
            </w:tcBorders>
            <w:shd w:val="clear" w:color="auto" w:fill="auto"/>
            <w:noWrap/>
            <w:vAlign w:val="center"/>
          </w:tcPr>
          <w:p w14:paraId="729AC341" w14:textId="77777777" w:rsidR="0044062C" w:rsidRPr="00BC68C4" w:rsidRDefault="0044062C" w:rsidP="001613C8">
            <w:pPr>
              <w:jc w:val="left"/>
              <w:rPr>
                <w:rFonts w:ascii="Times New Roman" w:eastAsia="Times New Roman" w:hAnsi="Times New Roman" w:cs="Times New Roman"/>
                <w:color w:val="000000"/>
                <w:sz w:val="16"/>
                <w:szCs w:val="16"/>
                <w:lang w:eastAsia="en-GB"/>
              </w:rPr>
            </w:pPr>
          </w:p>
        </w:tc>
        <w:tc>
          <w:tcPr>
            <w:tcW w:w="678" w:type="pct"/>
            <w:tcBorders>
              <w:top w:val="nil"/>
              <w:left w:val="nil"/>
              <w:bottom w:val="nil"/>
              <w:right w:val="nil"/>
            </w:tcBorders>
            <w:shd w:val="clear" w:color="auto" w:fill="auto"/>
            <w:noWrap/>
            <w:vAlign w:val="center"/>
          </w:tcPr>
          <w:p w14:paraId="364190EC" w14:textId="77777777" w:rsidR="0044062C" w:rsidRPr="00BC68C4" w:rsidRDefault="0044062C" w:rsidP="009912BC">
            <w:pP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Reconstructed</w:t>
            </w:r>
          </w:p>
        </w:tc>
        <w:tc>
          <w:tcPr>
            <w:tcW w:w="230" w:type="pct"/>
            <w:tcBorders>
              <w:top w:val="nil"/>
              <w:left w:val="nil"/>
              <w:bottom w:val="nil"/>
              <w:right w:val="nil"/>
            </w:tcBorders>
            <w:shd w:val="clear" w:color="auto" w:fill="auto"/>
            <w:noWrap/>
            <w:vAlign w:val="center"/>
          </w:tcPr>
          <w:p w14:paraId="0C616E67" w14:textId="77777777" w:rsidR="0044062C" w:rsidRPr="00BC68C4" w:rsidRDefault="0044062C" w:rsidP="009912BC">
            <w:pPr>
              <w:jc w:val="center"/>
              <w:rPr>
                <w:rFonts w:ascii="Times New Roman" w:eastAsia="Times New Roman" w:hAnsi="Times New Roman" w:cs="Times New Roman"/>
                <w:color w:val="000000"/>
                <w:sz w:val="16"/>
                <w:szCs w:val="16"/>
                <w:lang w:eastAsia="en-GB"/>
              </w:rPr>
            </w:pPr>
          </w:p>
        </w:tc>
        <w:tc>
          <w:tcPr>
            <w:tcW w:w="426" w:type="pct"/>
            <w:tcBorders>
              <w:top w:val="nil"/>
              <w:left w:val="nil"/>
              <w:bottom w:val="nil"/>
              <w:right w:val="nil"/>
            </w:tcBorders>
            <w:shd w:val="clear" w:color="auto" w:fill="auto"/>
            <w:noWrap/>
            <w:vAlign w:val="center"/>
          </w:tcPr>
          <w:p w14:paraId="10D50F88" w14:textId="77777777" w:rsidR="0044062C" w:rsidRPr="00BC68C4" w:rsidRDefault="0044062C" w:rsidP="009912BC">
            <w:pPr>
              <w:jc w:val="center"/>
              <w:rPr>
                <w:rFonts w:ascii="Times New Roman" w:eastAsia="Times New Roman" w:hAnsi="Times New Roman" w:cs="Times New Roman"/>
                <w:color w:val="000000"/>
                <w:sz w:val="16"/>
                <w:szCs w:val="16"/>
                <w:lang w:eastAsia="en-GB"/>
              </w:rPr>
            </w:pPr>
          </w:p>
        </w:tc>
        <w:tc>
          <w:tcPr>
            <w:tcW w:w="375" w:type="pct"/>
            <w:tcBorders>
              <w:top w:val="nil"/>
              <w:left w:val="nil"/>
              <w:bottom w:val="nil"/>
              <w:right w:val="nil"/>
            </w:tcBorders>
            <w:shd w:val="clear" w:color="auto" w:fill="auto"/>
            <w:noWrap/>
            <w:vAlign w:val="center"/>
          </w:tcPr>
          <w:p w14:paraId="58C18B07" w14:textId="77777777" w:rsidR="0044062C" w:rsidRPr="00BC68C4" w:rsidRDefault="0044062C" w:rsidP="009912BC">
            <w:pPr>
              <w:jc w:val="center"/>
              <w:rPr>
                <w:rFonts w:ascii="Times New Roman" w:eastAsia="Times New Roman" w:hAnsi="Times New Roman" w:cs="Times New Roman"/>
                <w:color w:val="000000"/>
                <w:sz w:val="16"/>
                <w:szCs w:val="16"/>
                <w:lang w:eastAsia="en-GB"/>
              </w:rPr>
            </w:pPr>
          </w:p>
        </w:tc>
        <w:tc>
          <w:tcPr>
            <w:tcW w:w="379" w:type="pct"/>
            <w:tcBorders>
              <w:top w:val="nil"/>
              <w:left w:val="nil"/>
              <w:bottom w:val="nil"/>
              <w:right w:val="nil"/>
            </w:tcBorders>
            <w:shd w:val="clear" w:color="auto" w:fill="auto"/>
            <w:noWrap/>
            <w:vAlign w:val="center"/>
          </w:tcPr>
          <w:p w14:paraId="13FF7558" w14:textId="77777777" w:rsidR="0044062C" w:rsidRPr="00BC68C4" w:rsidRDefault="0044062C" w:rsidP="009912BC">
            <w:pPr>
              <w:jc w:val="center"/>
              <w:rPr>
                <w:rFonts w:ascii="Times New Roman" w:eastAsia="Times New Roman" w:hAnsi="Times New Roman" w:cs="Times New Roman"/>
                <w:color w:val="000000"/>
                <w:sz w:val="16"/>
                <w:szCs w:val="16"/>
                <w:lang w:eastAsia="en-GB"/>
              </w:rPr>
            </w:pPr>
          </w:p>
        </w:tc>
        <w:tc>
          <w:tcPr>
            <w:tcW w:w="424" w:type="pct"/>
            <w:tcBorders>
              <w:top w:val="nil"/>
              <w:left w:val="nil"/>
              <w:bottom w:val="nil"/>
              <w:right w:val="nil"/>
            </w:tcBorders>
            <w:shd w:val="clear" w:color="auto" w:fill="auto"/>
            <w:noWrap/>
            <w:vAlign w:val="center"/>
          </w:tcPr>
          <w:p w14:paraId="4A4576BA" w14:textId="77777777" w:rsidR="0044062C" w:rsidRPr="00BC68C4" w:rsidRDefault="0044062C" w:rsidP="009912BC">
            <w:pPr>
              <w:jc w:val="center"/>
              <w:rPr>
                <w:rFonts w:ascii="Times New Roman" w:eastAsia="Times New Roman" w:hAnsi="Times New Roman" w:cs="Times New Roman"/>
                <w:color w:val="000000"/>
                <w:sz w:val="16"/>
                <w:szCs w:val="16"/>
                <w:lang w:eastAsia="en-GB"/>
              </w:rPr>
            </w:pPr>
          </w:p>
        </w:tc>
        <w:tc>
          <w:tcPr>
            <w:tcW w:w="398" w:type="pct"/>
            <w:tcBorders>
              <w:top w:val="nil"/>
              <w:left w:val="nil"/>
              <w:bottom w:val="nil"/>
              <w:right w:val="nil"/>
            </w:tcBorders>
            <w:shd w:val="clear" w:color="auto" w:fill="auto"/>
            <w:noWrap/>
            <w:vAlign w:val="center"/>
          </w:tcPr>
          <w:p w14:paraId="65E89B87" w14:textId="77777777" w:rsidR="0044062C" w:rsidRPr="00BC68C4" w:rsidRDefault="0044062C" w:rsidP="009912BC">
            <w:pPr>
              <w:jc w:val="center"/>
              <w:rPr>
                <w:rFonts w:ascii="Times New Roman" w:eastAsia="Times New Roman" w:hAnsi="Times New Roman" w:cs="Times New Roman"/>
                <w:color w:val="000000"/>
                <w:sz w:val="16"/>
                <w:szCs w:val="16"/>
                <w:lang w:eastAsia="en-GB"/>
              </w:rPr>
            </w:pPr>
          </w:p>
        </w:tc>
        <w:tc>
          <w:tcPr>
            <w:tcW w:w="93" w:type="pct"/>
            <w:tcBorders>
              <w:top w:val="nil"/>
              <w:left w:val="nil"/>
              <w:bottom w:val="nil"/>
              <w:right w:val="nil"/>
            </w:tcBorders>
            <w:shd w:val="clear" w:color="auto" w:fill="auto"/>
            <w:noWrap/>
            <w:vAlign w:val="center"/>
          </w:tcPr>
          <w:p w14:paraId="27A381B5" w14:textId="77777777" w:rsidR="0044062C" w:rsidRPr="00BC68C4" w:rsidRDefault="0044062C" w:rsidP="009912BC">
            <w:pPr>
              <w:jc w:val="center"/>
              <w:rPr>
                <w:rFonts w:ascii="Times New Roman" w:eastAsia="Times New Roman" w:hAnsi="Times New Roman" w:cs="Times New Roman"/>
                <w:color w:val="000000"/>
                <w:sz w:val="16"/>
                <w:szCs w:val="16"/>
                <w:lang w:eastAsia="en-GB"/>
              </w:rPr>
            </w:pPr>
          </w:p>
        </w:tc>
        <w:tc>
          <w:tcPr>
            <w:tcW w:w="165" w:type="pct"/>
            <w:tcBorders>
              <w:top w:val="nil"/>
              <w:left w:val="nil"/>
              <w:bottom w:val="nil"/>
              <w:right w:val="nil"/>
            </w:tcBorders>
            <w:shd w:val="clear" w:color="auto" w:fill="auto"/>
            <w:noWrap/>
            <w:vAlign w:val="bottom"/>
          </w:tcPr>
          <w:p w14:paraId="46B3B34D" w14:textId="21E84F9A"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344</w:t>
            </w:r>
          </w:p>
        </w:tc>
        <w:tc>
          <w:tcPr>
            <w:tcW w:w="238" w:type="pct"/>
            <w:tcBorders>
              <w:top w:val="nil"/>
              <w:left w:val="nil"/>
              <w:bottom w:val="nil"/>
              <w:right w:val="nil"/>
            </w:tcBorders>
            <w:shd w:val="clear" w:color="auto" w:fill="auto"/>
            <w:noWrap/>
            <w:vAlign w:val="bottom"/>
          </w:tcPr>
          <w:p w14:paraId="76F273CD" w14:textId="68428715"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0.16</w:t>
            </w:r>
          </w:p>
        </w:tc>
        <w:tc>
          <w:tcPr>
            <w:tcW w:w="375" w:type="pct"/>
            <w:tcBorders>
              <w:top w:val="nil"/>
              <w:left w:val="nil"/>
              <w:bottom w:val="nil"/>
              <w:right w:val="nil"/>
            </w:tcBorders>
            <w:shd w:val="clear" w:color="auto" w:fill="auto"/>
            <w:noWrap/>
            <w:vAlign w:val="bottom"/>
          </w:tcPr>
          <w:p w14:paraId="4E516FB7" w14:textId="5B451D0C"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0.00</w:t>
            </w:r>
          </w:p>
        </w:tc>
        <w:tc>
          <w:tcPr>
            <w:tcW w:w="279" w:type="pct"/>
            <w:tcBorders>
              <w:top w:val="nil"/>
              <w:left w:val="nil"/>
              <w:bottom w:val="nil"/>
              <w:right w:val="nil"/>
            </w:tcBorders>
            <w:shd w:val="clear" w:color="auto" w:fill="auto"/>
            <w:noWrap/>
            <w:vAlign w:val="bottom"/>
          </w:tcPr>
          <w:p w14:paraId="25379D11" w14:textId="05784F32"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0.00</w:t>
            </w:r>
          </w:p>
        </w:tc>
        <w:tc>
          <w:tcPr>
            <w:tcW w:w="408" w:type="pct"/>
            <w:tcBorders>
              <w:top w:val="nil"/>
              <w:left w:val="nil"/>
              <w:bottom w:val="nil"/>
              <w:right w:val="nil"/>
            </w:tcBorders>
            <w:shd w:val="clear" w:color="auto" w:fill="auto"/>
            <w:noWrap/>
            <w:vAlign w:val="bottom"/>
          </w:tcPr>
          <w:p w14:paraId="619169FE" w14:textId="7382F1F9"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1.00</w:t>
            </w:r>
          </w:p>
        </w:tc>
        <w:tc>
          <w:tcPr>
            <w:tcW w:w="270" w:type="pct"/>
            <w:tcBorders>
              <w:top w:val="nil"/>
              <w:left w:val="nil"/>
              <w:bottom w:val="nil"/>
              <w:right w:val="nil"/>
            </w:tcBorders>
            <w:shd w:val="clear" w:color="auto" w:fill="auto"/>
            <w:noWrap/>
            <w:vAlign w:val="bottom"/>
          </w:tcPr>
          <w:p w14:paraId="229C26CB" w14:textId="0189E23C" w:rsidR="0044062C" w:rsidRPr="00BC68C4" w:rsidRDefault="0044062C" w:rsidP="009912BC">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0.36</w:t>
            </w:r>
          </w:p>
        </w:tc>
      </w:tr>
      <w:tr w:rsidR="009A0F0B" w:rsidRPr="00BC68C4" w14:paraId="5748C9D7" w14:textId="77777777" w:rsidTr="009A0F0B">
        <w:trPr>
          <w:trHeight w:hRule="exact" w:val="181"/>
        </w:trPr>
        <w:tc>
          <w:tcPr>
            <w:tcW w:w="940" w:type="pct"/>
            <w:gridSpan w:val="2"/>
            <w:tcBorders>
              <w:top w:val="nil"/>
              <w:left w:val="nil"/>
              <w:bottom w:val="nil"/>
              <w:right w:val="nil"/>
            </w:tcBorders>
            <w:shd w:val="clear" w:color="auto" w:fill="auto"/>
            <w:noWrap/>
            <w:vAlign w:val="center"/>
            <w:hideMark/>
          </w:tcPr>
          <w:p w14:paraId="0E5C368A" w14:textId="77777777" w:rsidR="0044062C" w:rsidRPr="00BC68C4" w:rsidRDefault="0044062C" w:rsidP="001613C8">
            <w:pPr>
              <w:jc w:val="left"/>
              <w:rPr>
                <w:rFonts w:ascii="Times New Roman" w:hAnsi="Times New Roman" w:cs="Times New Roman"/>
                <w:color w:val="000000"/>
                <w:sz w:val="16"/>
                <w:szCs w:val="16"/>
              </w:rPr>
            </w:pPr>
            <w:r w:rsidRPr="00BC68C4">
              <w:rPr>
                <w:rFonts w:ascii="Times New Roman" w:hAnsi="Times New Roman" w:cs="Times New Roman"/>
                <w:color w:val="000000"/>
                <w:sz w:val="16"/>
                <w:szCs w:val="16"/>
              </w:rPr>
              <w:t>Control Variables</w:t>
            </w:r>
          </w:p>
        </w:tc>
        <w:tc>
          <w:tcPr>
            <w:tcW w:w="230" w:type="pct"/>
            <w:tcBorders>
              <w:top w:val="nil"/>
              <w:left w:val="nil"/>
              <w:bottom w:val="nil"/>
              <w:right w:val="nil"/>
            </w:tcBorders>
            <w:shd w:val="clear" w:color="auto" w:fill="auto"/>
            <w:noWrap/>
            <w:vAlign w:val="center"/>
            <w:hideMark/>
          </w:tcPr>
          <w:p w14:paraId="02A5023C" w14:textId="77777777" w:rsidR="0044062C" w:rsidRPr="00BC68C4" w:rsidRDefault="0044062C" w:rsidP="00AE0FA6">
            <w:pPr>
              <w:jc w:val="left"/>
              <w:rPr>
                <w:rFonts w:ascii="Times New Roman" w:hAnsi="Times New Roman" w:cs="Times New Roman"/>
                <w:color w:val="000000"/>
                <w:sz w:val="16"/>
                <w:szCs w:val="16"/>
              </w:rPr>
            </w:pPr>
          </w:p>
        </w:tc>
        <w:tc>
          <w:tcPr>
            <w:tcW w:w="426" w:type="pct"/>
            <w:tcBorders>
              <w:top w:val="nil"/>
              <w:left w:val="nil"/>
              <w:bottom w:val="nil"/>
              <w:right w:val="nil"/>
            </w:tcBorders>
            <w:shd w:val="clear" w:color="auto" w:fill="auto"/>
            <w:noWrap/>
            <w:vAlign w:val="center"/>
            <w:hideMark/>
          </w:tcPr>
          <w:p w14:paraId="0F5370D2" w14:textId="77777777" w:rsidR="0044062C" w:rsidRPr="00BC68C4" w:rsidRDefault="0044062C" w:rsidP="00AE0FA6">
            <w:pPr>
              <w:jc w:val="left"/>
              <w:rPr>
                <w:rFonts w:ascii="Times New Roman" w:hAnsi="Times New Roman" w:cs="Times New Roman"/>
                <w:color w:val="000000"/>
                <w:sz w:val="16"/>
                <w:szCs w:val="16"/>
              </w:rPr>
            </w:pPr>
          </w:p>
        </w:tc>
        <w:tc>
          <w:tcPr>
            <w:tcW w:w="375" w:type="pct"/>
            <w:tcBorders>
              <w:top w:val="nil"/>
              <w:left w:val="nil"/>
              <w:bottom w:val="nil"/>
              <w:right w:val="nil"/>
            </w:tcBorders>
            <w:shd w:val="clear" w:color="auto" w:fill="auto"/>
            <w:noWrap/>
            <w:vAlign w:val="center"/>
            <w:hideMark/>
          </w:tcPr>
          <w:p w14:paraId="0F1BE489" w14:textId="77777777" w:rsidR="0044062C" w:rsidRPr="00BC68C4" w:rsidRDefault="0044062C" w:rsidP="00AE0FA6">
            <w:pPr>
              <w:jc w:val="left"/>
              <w:rPr>
                <w:rFonts w:ascii="Times New Roman" w:hAnsi="Times New Roman" w:cs="Times New Roman"/>
                <w:color w:val="000000"/>
                <w:sz w:val="16"/>
                <w:szCs w:val="16"/>
              </w:rPr>
            </w:pPr>
          </w:p>
        </w:tc>
        <w:tc>
          <w:tcPr>
            <w:tcW w:w="379" w:type="pct"/>
            <w:tcBorders>
              <w:top w:val="nil"/>
              <w:left w:val="nil"/>
              <w:bottom w:val="nil"/>
              <w:right w:val="nil"/>
            </w:tcBorders>
            <w:shd w:val="clear" w:color="auto" w:fill="auto"/>
            <w:noWrap/>
            <w:vAlign w:val="center"/>
            <w:hideMark/>
          </w:tcPr>
          <w:p w14:paraId="3C1B27BF" w14:textId="77777777" w:rsidR="0044062C" w:rsidRPr="00BC68C4" w:rsidRDefault="0044062C" w:rsidP="00AE0FA6">
            <w:pPr>
              <w:jc w:val="left"/>
              <w:rPr>
                <w:rFonts w:ascii="Times New Roman" w:hAnsi="Times New Roman" w:cs="Times New Roman"/>
                <w:color w:val="000000"/>
                <w:sz w:val="16"/>
                <w:szCs w:val="16"/>
              </w:rPr>
            </w:pPr>
          </w:p>
        </w:tc>
        <w:tc>
          <w:tcPr>
            <w:tcW w:w="424" w:type="pct"/>
            <w:tcBorders>
              <w:top w:val="nil"/>
              <w:left w:val="nil"/>
              <w:bottom w:val="nil"/>
              <w:right w:val="nil"/>
            </w:tcBorders>
            <w:shd w:val="clear" w:color="auto" w:fill="auto"/>
            <w:noWrap/>
            <w:vAlign w:val="center"/>
            <w:hideMark/>
          </w:tcPr>
          <w:p w14:paraId="78D0AB44" w14:textId="77777777" w:rsidR="0044062C" w:rsidRPr="00BC68C4" w:rsidRDefault="0044062C" w:rsidP="00AE0FA6">
            <w:pPr>
              <w:jc w:val="left"/>
              <w:rPr>
                <w:rFonts w:ascii="Times New Roman" w:hAnsi="Times New Roman" w:cs="Times New Roman"/>
                <w:color w:val="000000"/>
                <w:sz w:val="16"/>
                <w:szCs w:val="16"/>
              </w:rPr>
            </w:pPr>
          </w:p>
        </w:tc>
        <w:tc>
          <w:tcPr>
            <w:tcW w:w="398" w:type="pct"/>
            <w:tcBorders>
              <w:top w:val="nil"/>
              <w:left w:val="nil"/>
              <w:bottom w:val="nil"/>
              <w:right w:val="nil"/>
            </w:tcBorders>
            <w:shd w:val="clear" w:color="auto" w:fill="auto"/>
            <w:noWrap/>
            <w:vAlign w:val="center"/>
            <w:hideMark/>
          </w:tcPr>
          <w:p w14:paraId="78474A95" w14:textId="77777777" w:rsidR="0044062C" w:rsidRPr="00BC68C4" w:rsidRDefault="0044062C" w:rsidP="00AE0FA6">
            <w:pPr>
              <w:jc w:val="left"/>
              <w:rPr>
                <w:rFonts w:ascii="Times New Roman" w:hAnsi="Times New Roman" w:cs="Times New Roman"/>
                <w:color w:val="000000"/>
                <w:sz w:val="16"/>
                <w:szCs w:val="16"/>
              </w:rPr>
            </w:pPr>
          </w:p>
        </w:tc>
        <w:tc>
          <w:tcPr>
            <w:tcW w:w="93" w:type="pct"/>
            <w:tcBorders>
              <w:top w:val="nil"/>
              <w:left w:val="nil"/>
              <w:bottom w:val="nil"/>
              <w:right w:val="nil"/>
            </w:tcBorders>
            <w:shd w:val="clear" w:color="auto" w:fill="auto"/>
            <w:noWrap/>
            <w:vAlign w:val="center"/>
            <w:hideMark/>
          </w:tcPr>
          <w:p w14:paraId="62053222" w14:textId="77777777" w:rsidR="0044062C" w:rsidRPr="00BC68C4" w:rsidRDefault="0044062C" w:rsidP="001613C8">
            <w:pPr>
              <w:jc w:val="left"/>
              <w:rPr>
                <w:rFonts w:ascii="Times New Roman" w:eastAsia="Times New Roman" w:hAnsi="Times New Roman" w:cs="Times New Roman"/>
                <w:color w:val="000000"/>
                <w:sz w:val="16"/>
                <w:szCs w:val="16"/>
                <w:lang w:eastAsia="en-GB"/>
              </w:rPr>
            </w:pPr>
          </w:p>
        </w:tc>
        <w:tc>
          <w:tcPr>
            <w:tcW w:w="165" w:type="pct"/>
            <w:tcBorders>
              <w:top w:val="nil"/>
              <w:left w:val="nil"/>
              <w:bottom w:val="nil"/>
              <w:right w:val="nil"/>
            </w:tcBorders>
            <w:shd w:val="clear" w:color="auto" w:fill="auto"/>
            <w:noWrap/>
            <w:vAlign w:val="bottom"/>
            <w:hideMark/>
          </w:tcPr>
          <w:p w14:paraId="7C6133DD" w14:textId="77777777" w:rsidR="0044062C" w:rsidRPr="00BC68C4" w:rsidRDefault="0044062C" w:rsidP="001613C8">
            <w:pPr>
              <w:jc w:val="left"/>
              <w:rPr>
                <w:rFonts w:ascii="Times New Roman" w:eastAsia="Times New Roman" w:hAnsi="Times New Roman" w:cs="Times New Roman"/>
                <w:color w:val="000000"/>
                <w:sz w:val="16"/>
                <w:szCs w:val="16"/>
                <w:lang w:eastAsia="en-GB"/>
              </w:rPr>
            </w:pPr>
          </w:p>
        </w:tc>
        <w:tc>
          <w:tcPr>
            <w:tcW w:w="238" w:type="pct"/>
            <w:tcBorders>
              <w:top w:val="nil"/>
              <w:left w:val="nil"/>
              <w:bottom w:val="nil"/>
              <w:right w:val="nil"/>
            </w:tcBorders>
            <w:shd w:val="clear" w:color="auto" w:fill="auto"/>
            <w:noWrap/>
            <w:vAlign w:val="bottom"/>
            <w:hideMark/>
          </w:tcPr>
          <w:p w14:paraId="380FAC9B" w14:textId="77777777" w:rsidR="0044062C" w:rsidRPr="00BC68C4" w:rsidRDefault="0044062C" w:rsidP="001613C8">
            <w:pPr>
              <w:jc w:val="left"/>
              <w:rPr>
                <w:rFonts w:ascii="Times New Roman" w:eastAsia="Times New Roman" w:hAnsi="Times New Roman" w:cs="Times New Roman"/>
                <w:color w:val="000000"/>
                <w:sz w:val="16"/>
                <w:szCs w:val="16"/>
                <w:lang w:eastAsia="en-GB"/>
              </w:rPr>
            </w:pPr>
          </w:p>
        </w:tc>
        <w:tc>
          <w:tcPr>
            <w:tcW w:w="375" w:type="pct"/>
            <w:tcBorders>
              <w:top w:val="nil"/>
              <w:left w:val="nil"/>
              <w:bottom w:val="nil"/>
              <w:right w:val="nil"/>
            </w:tcBorders>
            <w:shd w:val="clear" w:color="auto" w:fill="auto"/>
            <w:noWrap/>
            <w:vAlign w:val="bottom"/>
            <w:hideMark/>
          </w:tcPr>
          <w:p w14:paraId="4C5D91CC" w14:textId="77777777" w:rsidR="0044062C" w:rsidRPr="00BC68C4" w:rsidRDefault="0044062C" w:rsidP="001613C8">
            <w:pPr>
              <w:jc w:val="left"/>
              <w:rPr>
                <w:rFonts w:ascii="Times New Roman" w:eastAsia="Times New Roman" w:hAnsi="Times New Roman" w:cs="Times New Roman"/>
                <w:color w:val="000000"/>
                <w:sz w:val="16"/>
                <w:szCs w:val="16"/>
                <w:lang w:eastAsia="en-GB"/>
              </w:rPr>
            </w:pPr>
          </w:p>
        </w:tc>
        <w:tc>
          <w:tcPr>
            <w:tcW w:w="279" w:type="pct"/>
            <w:tcBorders>
              <w:top w:val="nil"/>
              <w:left w:val="nil"/>
              <w:bottom w:val="nil"/>
              <w:right w:val="nil"/>
            </w:tcBorders>
            <w:shd w:val="clear" w:color="auto" w:fill="auto"/>
            <w:noWrap/>
            <w:vAlign w:val="bottom"/>
            <w:hideMark/>
          </w:tcPr>
          <w:p w14:paraId="3CAF10A2" w14:textId="77777777" w:rsidR="0044062C" w:rsidRPr="00BC68C4" w:rsidRDefault="0044062C" w:rsidP="001613C8">
            <w:pPr>
              <w:jc w:val="left"/>
              <w:rPr>
                <w:rFonts w:ascii="Times New Roman" w:eastAsia="Times New Roman" w:hAnsi="Times New Roman" w:cs="Times New Roman"/>
                <w:color w:val="000000"/>
                <w:sz w:val="16"/>
                <w:szCs w:val="16"/>
                <w:lang w:eastAsia="en-GB"/>
              </w:rPr>
            </w:pPr>
          </w:p>
        </w:tc>
        <w:tc>
          <w:tcPr>
            <w:tcW w:w="408" w:type="pct"/>
            <w:tcBorders>
              <w:top w:val="nil"/>
              <w:left w:val="nil"/>
              <w:bottom w:val="nil"/>
              <w:right w:val="nil"/>
            </w:tcBorders>
            <w:shd w:val="clear" w:color="auto" w:fill="auto"/>
            <w:noWrap/>
            <w:vAlign w:val="bottom"/>
            <w:hideMark/>
          </w:tcPr>
          <w:p w14:paraId="231DE24E" w14:textId="77777777" w:rsidR="0044062C" w:rsidRPr="00BC68C4" w:rsidRDefault="0044062C" w:rsidP="001613C8">
            <w:pPr>
              <w:jc w:val="left"/>
              <w:rPr>
                <w:rFonts w:ascii="Times New Roman" w:eastAsia="Times New Roman" w:hAnsi="Times New Roman" w:cs="Times New Roman"/>
                <w:color w:val="000000"/>
                <w:sz w:val="16"/>
                <w:szCs w:val="16"/>
                <w:lang w:eastAsia="en-GB"/>
              </w:rPr>
            </w:pPr>
          </w:p>
        </w:tc>
        <w:tc>
          <w:tcPr>
            <w:tcW w:w="270" w:type="pct"/>
            <w:tcBorders>
              <w:top w:val="nil"/>
              <w:left w:val="nil"/>
              <w:bottom w:val="nil"/>
              <w:right w:val="nil"/>
            </w:tcBorders>
            <w:shd w:val="clear" w:color="auto" w:fill="auto"/>
            <w:noWrap/>
            <w:vAlign w:val="bottom"/>
            <w:hideMark/>
          </w:tcPr>
          <w:p w14:paraId="4C7FA0CE" w14:textId="77777777" w:rsidR="0044062C" w:rsidRPr="00BC68C4" w:rsidRDefault="0044062C" w:rsidP="001613C8">
            <w:pPr>
              <w:jc w:val="left"/>
              <w:rPr>
                <w:rFonts w:ascii="Times New Roman" w:eastAsia="Times New Roman" w:hAnsi="Times New Roman" w:cs="Times New Roman"/>
                <w:color w:val="000000"/>
                <w:sz w:val="16"/>
                <w:szCs w:val="16"/>
                <w:lang w:eastAsia="en-GB"/>
              </w:rPr>
            </w:pPr>
          </w:p>
        </w:tc>
      </w:tr>
      <w:tr w:rsidR="009A0F0B" w:rsidRPr="00BC68C4" w14:paraId="4794C177" w14:textId="77777777" w:rsidTr="009A0F0B">
        <w:trPr>
          <w:trHeight w:hRule="exact" w:val="181"/>
        </w:trPr>
        <w:tc>
          <w:tcPr>
            <w:tcW w:w="262" w:type="pct"/>
            <w:tcBorders>
              <w:top w:val="nil"/>
              <w:left w:val="nil"/>
              <w:bottom w:val="nil"/>
              <w:right w:val="nil"/>
            </w:tcBorders>
            <w:shd w:val="clear" w:color="auto" w:fill="auto"/>
            <w:noWrap/>
            <w:vAlign w:val="center"/>
            <w:hideMark/>
          </w:tcPr>
          <w:p w14:paraId="1E741021" w14:textId="77777777" w:rsidR="0044062C" w:rsidRPr="00BC68C4" w:rsidRDefault="0044062C" w:rsidP="00AE0FA6">
            <w:pPr>
              <w:jc w:val="left"/>
              <w:rPr>
                <w:rFonts w:ascii="Times New Roman" w:hAnsi="Times New Roman" w:cs="Times New Roman"/>
                <w:color w:val="000000"/>
                <w:sz w:val="16"/>
                <w:szCs w:val="16"/>
              </w:rPr>
            </w:pPr>
          </w:p>
        </w:tc>
        <w:tc>
          <w:tcPr>
            <w:tcW w:w="678" w:type="pct"/>
            <w:tcBorders>
              <w:top w:val="nil"/>
              <w:left w:val="nil"/>
              <w:bottom w:val="nil"/>
              <w:right w:val="nil"/>
            </w:tcBorders>
            <w:shd w:val="clear" w:color="auto" w:fill="auto"/>
            <w:noWrap/>
            <w:vAlign w:val="center"/>
            <w:hideMark/>
          </w:tcPr>
          <w:p w14:paraId="659B7F5A" w14:textId="77777777" w:rsidR="0044062C" w:rsidRPr="00BC68C4" w:rsidRDefault="0044062C" w:rsidP="001613C8">
            <w:pPr>
              <w:jc w:val="left"/>
              <w:rPr>
                <w:rFonts w:ascii="Times New Roman" w:hAnsi="Times New Roman" w:cs="Times New Roman"/>
                <w:color w:val="000000"/>
                <w:sz w:val="16"/>
                <w:szCs w:val="16"/>
              </w:rPr>
            </w:pPr>
            <w:proofErr w:type="spellStart"/>
            <w:r w:rsidRPr="00BC68C4">
              <w:rPr>
                <w:rFonts w:ascii="Times New Roman" w:hAnsi="Times New Roman" w:cs="Times New Roman"/>
                <w:color w:val="000000"/>
                <w:sz w:val="16"/>
                <w:szCs w:val="16"/>
              </w:rPr>
              <w:t>OwnDate</w:t>
            </w:r>
            <w:proofErr w:type="spellEnd"/>
          </w:p>
        </w:tc>
        <w:tc>
          <w:tcPr>
            <w:tcW w:w="230" w:type="pct"/>
            <w:tcBorders>
              <w:top w:val="nil"/>
              <w:left w:val="nil"/>
              <w:bottom w:val="nil"/>
              <w:right w:val="nil"/>
            </w:tcBorders>
            <w:shd w:val="clear" w:color="auto" w:fill="auto"/>
            <w:noWrap/>
            <w:vAlign w:val="bottom"/>
            <w:hideMark/>
          </w:tcPr>
          <w:p w14:paraId="197196D5" w14:textId="21B8C62E"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252</w:t>
            </w:r>
          </w:p>
        </w:tc>
        <w:tc>
          <w:tcPr>
            <w:tcW w:w="426" w:type="pct"/>
            <w:tcBorders>
              <w:top w:val="nil"/>
              <w:left w:val="nil"/>
              <w:bottom w:val="nil"/>
              <w:right w:val="nil"/>
            </w:tcBorders>
            <w:shd w:val="clear" w:color="auto" w:fill="auto"/>
            <w:noWrap/>
            <w:vAlign w:val="bottom"/>
            <w:hideMark/>
          </w:tcPr>
          <w:p w14:paraId="35B43BE0" w14:textId="489796E6"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1892</w:t>
            </w:r>
          </w:p>
        </w:tc>
        <w:tc>
          <w:tcPr>
            <w:tcW w:w="375" w:type="pct"/>
            <w:tcBorders>
              <w:top w:val="nil"/>
              <w:left w:val="nil"/>
              <w:bottom w:val="nil"/>
              <w:right w:val="nil"/>
            </w:tcBorders>
            <w:shd w:val="clear" w:color="auto" w:fill="auto"/>
            <w:noWrap/>
            <w:vAlign w:val="bottom"/>
            <w:hideMark/>
          </w:tcPr>
          <w:p w14:paraId="5E69D9B0" w14:textId="7A84BFC5"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1881</w:t>
            </w:r>
          </w:p>
        </w:tc>
        <w:tc>
          <w:tcPr>
            <w:tcW w:w="379" w:type="pct"/>
            <w:tcBorders>
              <w:top w:val="nil"/>
              <w:left w:val="nil"/>
              <w:bottom w:val="nil"/>
              <w:right w:val="nil"/>
            </w:tcBorders>
            <w:shd w:val="clear" w:color="auto" w:fill="auto"/>
            <w:noWrap/>
            <w:vAlign w:val="bottom"/>
            <w:hideMark/>
          </w:tcPr>
          <w:p w14:paraId="1DD1228F" w14:textId="51BDD25D"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1890</w:t>
            </w:r>
          </w:p>
        </w:tc>
        <w:tc>
          <w:tcPr>
            <w:tcW w:w="424" w:type="pct"/>
            <w:tcBorders>
              <w:top w:val="nil"/>
              <w:left w:val="nil"/>
              <w:bottom w:val="nil"/>
              <w:right w:val="nil"/>
            </w:tcBorders>
            <w:shd w:val="clear" w:color="auto" w:fill="auto"/>
            <w:noWrap/>
            <w:vAlign w:val="bottom"/>
            <w:hideMark/>
          </w:tcPr>
          <w:p w14:paraId="7B2797D2" w14:textId="7A3C25E7"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1901</w:t>
            </w:r>
          </w:p>
        </w:tc>
        <w:tc>
          <w:tcPr>
            <w:tcW w:w="398" w:type="pct"/>
            <w:tcBorders>
              <w:top w:val="nil"/>
              <w:left w:val="nil"/>
              <w:bottom w:val="nil"/>
              <w:right w:val="nil"/>
            </w:tcBorders>
            <w:shd w:val="clear" w:color="auto" w:fill="auto"/>
            <w:noWrap/>
            <w:vAlign w:val="bottom"/>
            <w:hideMark/>
          </w:tcPr>
          <w:p w14:paraId="38F84541" w14:textId="7087133D"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6.87</w:t>
            </w:r>
          </w:p>
        </w:tc>
        <w:tc>
          <w:tcPr>
            <w:tcW w:w="93" w:type="pct"/>
            <w:tcBorders>
              <w:top w:val="nil"/>
              <w:left w:val="nil"/>
              <w:bottom w:val="nil"/>
              <w:right w:val="nil"/>
            </w:tcBorders>
            <w:shd w:val="clear" w:color="auto" w:fill="auto"/>
            <w:noWrap/>
            <w:vAlign w:val="center"/>
            <w:hideMark/>
          </w:tcPr>
          <w:p w14:paraId="2785B318" w14:textId="77777777" w:rsidR="0044062C" w:rsidRPr="00BC68C4" w:rsidRDefault="0044062C" w:rsidP="001613C8">
            <w:pPr>
              <w:jc w:val="center"/>
              <w:rPr>
                <w:rFonts w:ascii="Times New Roman" w:eastAsia="Times New Roman" w:hAnsi="Times New Roman" w:cs="Times New Roman"/>
                <w:color w:val="000000"/>
                <w:sz w:val="16"/>
                <w:szCs w:val="16"/>
                <w:lang w:eastAsia="en-GB"/>
              </w:rPr>
            </w:pPr>
          </w:p>
        </w:tc>
        <w:tc>
          <w:tcPr>
            <w:tcW w:w="165" w:type="pct"/>
            <w:tcBorders>
              <w:top w:val="nil"/>
              <w:left w:val="nil"/>
              <w:bottom w:val="nil"/>
              <w:right w:val="nil"/>
            </w:tcBorders>
            <w:shd w:val="clear" w:color="auto" w:fill="auto"/>
            <w:noWrap/>
            <w:vAlign w:val="bottom"/>
            <w:hideMark/>
          </w:tcPr>
          <w:p w14:paraId="4F346973" w14:textId="08FA02D3"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344</w:t>
            </w:r>
          </w:p>
        </w:tc>
        <w:tc>
          <w:tcPr>
            <w:tcW w:w="238" w:type="pct"/>
            <w:tcBorders>
              <w:top w:val="nil"/>
              <w:left w:val="nil"/>
              <w:bottom w:val="nil"/>
              <w:right w:val="nil"/>
            </w:tcBorders>
            <w:shd w:val="clear" w:color="auto" w:fill="auto"/>
            <w:noWrap/>
            <w:vAlign w:val="bottom"/>
            <w:hideMark/>
          </w:tcPr>
          <w:p w14:paraId="28BE306E" w14:textId="7A4B0F46"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1883</w:t>
            </w:r>
          </w:p>
        </w:tc>
        <w:tc>
          <w:tcPr>
            <w:tcW w:w="375" w:type="pct"/>
            <w:tcBorders>
              <w:top w:val="nil"/>
              <w:left w:val="nil"/>
              <w:bottom w:val="nil"/>
              <w:right w:val="nil"/>
            </w:tcBorders>
            <w:shd w:val="clear" w:color="auto" w:fill="auto"/>
            <w:noWrap/>
            <w:vAlign w:val="bottom"/>
            <w:hideMark/>
          </w:tcPr>
          <w:p w14:paraId="2354A2A9" w14:textId="2C95DA3B"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1862</w:t>
            </w:r>
          </w:p>
        </w:tc>
        <w:tc>
          <w:tcPr>
            <w:tcW w:w="279" w:type="pct"/>
            <w:tcBorders>
              <w:top w:val="nil"/>
              <w:left w:val="nil"/>
              <w:bottom w:val="nil"/>
              <w:right w:val="nil"/>
            </w:tcBorders>
            <w:shd w:val="clear" w:color="auto" w:fill="auto"/>
            <w:noWrap/>
            <w:vAlign w:val="bottom"/>
            <w:hideMark/>
          </w:tcPr>
          <w:p w14:paraId="00F0F7CD" w14:textId="0BE1CF32"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1883</w:t>
            </w:r>
          </w:p>
        </w:tc>
        <w:tc>
          <w:tcPr>
            <w:tcW w:w="408" w:type="pct"/>
            <w:tcBorders>
              <w:top w:val="nil"/>
              <w:left w:val="nil"/>
              <w:bottom w:val="nil"/>
              <w:right w:val="nil"/>
            </w:tcBorders>
            <w:shd w:val="clear" w:color="auto" w:fill="auto"/>
            <w:noWrap/>
            <w:vAlign w:val="bottom"/>
            <w:hideMark/>
          </w:tcPr>
          <w:p w14:paraId="375F351C" w14:textId="70D668C2"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1901</w:t>
            </w:r>
          </w:p>
        </w:tc>
        <w:tc>
          <w:tcPr>
            <w:tcW w:w="270" w:type="pct"/>
            <w:tcBorders>
              <w:top w:val="nil"/>
              <w:left w:val="nil"/>
              <w:bottom w:val="nil"/>
              <w:right w:val="nil"/>
            </w:tcBorders>
            <w:shd w:val="clear" w:color="auto" w:fill="auto"/>
            <w:noWrap/>
            <w:vAlign w:val="bottom"/>
            <w:hideMark/>
          </w:tcPr>
          <w:p w14:paraId="5A855182" w14:textId="6C7DD222"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10.6</w:t>
            </w:r>
          </w:p>
        </w:tc>
      </w:tr>
      <w:tr w:rsidR="009A0F0B" w:rsidRPr="00BC68C4" w14:paraId="51E21FDC" w14:textId="77777777" w:rsidTr="009A0F0B">
        <w:trPr>
          <w:trHeight w:hRule="exact" w:val="181"/>
        </w:trPr>
        <w:tc>
          <w:tcPr>
            <w:tcW w:w="262" w:type="pct"/>
            <w:tcBorders>
              <w:top w:val="nil"/>
              <w:left w:val="nil"/>
              <w:bottom w:val="nil"/>
              <w:right w:val="nil"/>
            </w:tcBorders>
            <w:shd w:val="clear" w:color="auto" w:fill="auto"/>
            <w:noWrap/>
            <w:vAlign w:val="center"/>
            <w:hideMark/>
          </w:tcPr>
          <w:p w14:paraId="30CED8E2" w14:textId="77777777" w:rsidR="0044062C" w:rsidRPr="00BC68C4" w:rsidRDefault="0044062C" w:rsidP="00AE0FA6">
            <w:pPr>
              <w:jc w:val="left"/>
              <w:rPr>
                <w:rFonts w:ascii="Times New Roman" w:hAnsi="Times New Roman" w:cs="Times New Roman"/>
                <w:color w:val="000000"/>
                <w:sz w:val="16"/>
                <w:szCs w:val="16"/>
              </w:rPr>
            </w:pPr>
          </w:p>
        </w:tc>
        <w:tc>
          <w:tcPr>
            <w:tcW w:w="678" w:type="pct"/>
            <w:tcBorders>
              <w:top w:val="nil"/>
              <w:left w:val="nil"/>
              <w:bottom w:val="nil"/>
              <w:right w:val="nil"/>
            </w:tcBorders>
            <w:shd w:val="clear" w:color="auto" w:fill="auto"/>
            <w:noWrap/>
            <w:vAlign w:val="center"/>
            <w:hideMark/>
          </w:tcPr>
          <w:p w14:paraId="0A632A1A" w14:textId="77777777" w:rsidR="0044062C" w:rsidRPr="00BC68C4" w:rsidRDefault="0044062C" w:rsidP="001613C8">
            <w:pPr>
              <w:jc w:val="left"/>
              <w:rPr>
                <w:rFonts w:ascii="Times New Roman" w:hAnsi="Times New Roman" w:cs="Times New Roman"/>
                <w:color w:val="000000"/>
                <w:sz w:val="16"/>
                <w:szCs w:val="16"/>
              </w:rPr>
            </w:pPr>
            <w:proofErr w:type="spellStart"/>
            <w:r w:rsidRPr="00BC68C4">
              <w:rPr>
                <w:rFonts w:ascii="Times New Roman" w:hAnsi="Times New Roman" w:cs="Times New Roman"/>
                <w:color w:val="000000"/>
                <w:sz w:val="16"/>
                <w:szCs w:val="16"/>
              </w:rPr>
              <w:t>EstDate</w:t>
            </w:r>
            <w:proofErr w:type="spellEnd"/>
          </w:p>
        </w:tc>
        <w:tc>
          <w:tcPr>
            <w:tcW w:w="230" w:type="pct"/>
            <w:tcBorders>
              <w:top w:val="nil"/>
              <w:left w:val="nil"/>
              <w:bottom w:val="nil"/>
              <w:right w:val="nil"/>
            </w:tcBorders>
            <w:shd w:val="clear" w:color="auto" w:fill="auto"/>
            <w:noWrap/>
            <w:vAlign w:val="bottom"/>
            <w:hideMark/>
          </w:tcPr>
          <w:p w14:paraId="1952CC50" w14:textId="31F365B4"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249</w:t>
            </w:r>
          </w:p>
        </w:tc>
        <w:tc>
          <w:tcPr>
            <w:tcW w:w="426" w:type="pct"/>
            <w:tcBorders>
              <w:top w:val="nil"/>
              <w:left w:val="nil"/>
              <w:bottom w:val="nil"/>
              <w:right w:val="nil"/>
            </w:tcBorders>
            <w:shd w:val="clear" w:color="auto" w:fill="auto"/>
            <w:noWrap/>
            <w:vAlign w:val="bottom"/>
            <w:hideMark/>
          </w:tcPr>
          <w:p w14:paraId="1874DAA1" w14:textId="61916DE6"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1871</w:t>
            </w:r>
          </w:p>
        </w:tc>
        <w:tc>
          <w:tcPr>
            <w:tcW w:w="375" w:type="pct"/>
            <w:tcBorders>
              <w:top w:val="nil"/>
              <w:left w:val="nil"/>
              <w:bottom w:val="nil"/>
              <w:right w:val="nil"/>
            </w:tcBorders>
            <w:shd w:val="clear" w:color="auto" w:fill="auto"/>
            <w:noWrap/>
            <w:vAlign w:val="bottom"/>
            <w:hideMark/>
          </w:tcPr>
          <w:p w14:paraId="55F4037E" w14:textId="233203A6"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1824</w:t>
            </w:r>
          </w:p>
        </w:tc>
        <w:tc>
          <w:tcPr>
            <w:tcW w:w="379" w:type="pct"/>
            <w:tcBorders>
              <w:top w:val="nil"/>
              <w:left w:val="nil"/>
              <w:bottom w:val="nil"/>
              <w:right w:val="nil"/>
            </w:tcBorders>
            <w:shd w:val="clear" w:color="auto" w:fill="auto"/>
            <w:noWrap/>
            <w:vAlign w:val="bottom"/>
            <w:hideMark/>
          </w:tcPr>
          <w:p w14:paraId="0D36CAAC" w14:textId="50C2AAC8"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1874</w:t>
            </w:r>
          </w:p>
        </w:tc>
        <w:tc>
          <w:tcPr>
            <w:tcW w:w="424" w:type="pct"/>
            <w:tcBorders>
              <w:top w:val="nil"/>
              <w:left w:val="nil"/>
              <w:bottom w:val="nil"/>
              <w:right w:val="nil"/>
            </w:tcBorders>
            <w:shd w:val="clear" w:color="auto" w:fill="auto"/>
            <w:noWrap/>
            <w:vAlign w:val="bottom"/>
            <w:hideMark/>
          </w:tcPr>
          <w:p w14:paraId="0A09F06B" w14:textId="571E8C54"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1897</w:t>
            </w:r>
          </w:p>
        </w:tc>
        <w:tc>
          <w:tcPr>
            <w:tcW w:w="398" w:type="pct"/>
            <w:tcBorders>
              <w:top w:val="nil"/>
              <w:left w:val="nil"/>
              <w:bottom w:val="nil"/>
              <w:right w:val="nil"/>
            </w:tcBorders>
            <w:shd w:val="clear" w:color="auto" w:fill="auto"/>
            <w:noWrap/>
            <w:vAlign w:val="bottom"/>
            <w:hideMark/>
          </w:tcPr>
          <w:p w14:paraId="3A58FABC" w14:textId="49FA4BE8"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16.91</w:t>
            </w:r>
          </w:p>
        </w:tc>
        <w:tc>
          <w:tcPr>
            <w:tcW w:w="93" w:type="pct"/>
            <w:tcBorders>
              <w:top w:val="nil"/>
              <w:left w:val="nil"/>
              <w:bottom w:val="nil"/>
              <w:right w:val="nil"/>
            </w:tcBorders>
            <w:shd w:val="clear" w:color="auto" w:fill="auto"/>
            <w:noWrap/>
            <w:vAlign w:val="center"/>
            <w:hideMark/>
          </w:tcPr>
          <w:p w14:paraId="0297CB2D" w14:textId="77777777" w:rsidR="0044062C" w:rsidRPr="00BC68C4" w:rsidRDefault="0044062C" w:rsidP="001613C8">
            <w:pPr>
              <w:jc w:val="center"/>
              <w:rPr>
                <w:rFonts w:ascii="Times New Roman" w:eastAsia="Times New Roman" w:hAnsi="Times New Roman" w:cs="Times New Roman"/>
                <w:color w:val="000000"/>
                <w:sz w:val="16"/>
                <w:szCs w:val="16"/>
                <w:lang w:eastAsia="en-GB"/>
              </w:rPr>
            </w:pPr>
          </w:p>
        </w:tc>
        <w:tc>
          <w:tcPr>
            <w:tcW w:w="165" w:type="pct"/>
            <w:tcBorders>
              <w:top w:val="nil"/>
              <w:left w:val="nil"/>
              <w:bottom w:val="nil"/>
              <w:right w:val="nil"/>
            </w:tcBorders>
            <w:shd w:val="clear" w:color="auto" w:fill="auto"/>
            <w:noWrap/>
            <w:vAlign w:val="bottom"/>
            <w:hideMark/>
          </w:tcPr>
          <w:p w14:paraId="145A3EC3" w14:textId="223ED182"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340</w:t>
            </w:r>
          </w:p>
        </w:tc>
        <w:tc>
          <w:tcPr>
            <w:tcW w:w="238" w:type="pct"/>
            <w:tcBorders>
              <w:top w:val="nil"/>
              <w:left w:val="nil"/>
              <w:bottom w:val="nil"/>
              <w:right w:val="nil"/>
            </w:tcBorders>
            <w:shd w:val="clear" w:color="auto" w:fill="auto"/>
            <w:noWrap/>
            <w:vAlign w:val="bottom"/>
            <w:hideMark/>
          </w:tcPr>
          <w:p w14:paraId="65268845" w14:textId="5EF833FA"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1871</w:t>
            </w:r>
          </w:p>
        </w:tc>
        <w:tc>
          <w:tcPr>
            <w:tcW w:w="375" w:type="pct"/>
            <w:tcBorders>
              <w:top w:val="nil"/>
              <w:left w:val="nil"/>
              <w:bottom w:val="nil"/>
              <w:right w:val="nil"/>
            </w:tcBorders>
            <w:shd w:val="clear" w:color="auto" w:fill="auto"/>
            <w:noWrap/>
            <w:vAlign w:val="bottom"/>
            <w:hideMark/>
          </w:tcPr>
          <w:p w14:paraId="1246B036" w14:textId="72EEF028"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1825</w:t>
            </w:r>
          </w:p>
        </w:tc>
        <w:tc>
          <w:tcPr>
            <w:tcW w:w="279" w:type="pct"/>
            <w:tcBorders>
              <w:top w:val="nil"/>
              <w:left w:val="nil"/>
              <w:bottom w:val="nil"/>
              <w:right w:val="nil"/>
            </w:tcBorders>
            <w:shd w:val="clear" w:color="auto" w:fill="auto"/>
            <w:noWrap/>
            <w:vAlign w:val="bottom"/>
            <w:hideMark/>
          </w:tcPr>
          <w:p w14:paraId="3CE2C5BC" w14:textId="538035C7"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1872</w:t>
            </w:r>
          </w:p>
        </w:tc>
        <w:tc>
          <w:tcPr>
            <w:tcW w:w="408" w:type="pct"/>
            <w:tcBorders>
              <w:top w:val="nil"/>
              <w:left w:val="nil"/>
              <w:bottom w:val="nil"/>
              <w:right w:val="nil"/>
            </w:tcBorders>
            <w:shd w:val="clear" w:color="auto" w:fill="auto"/>
            <w:noWrap/>
            <w:vAlign w:val="bottom"/>
            <w:hideMark/>
          </w:tcPr>
          <w:p w14:paraId="62C88706" w14:textId="789BE7E2"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1897</w:t>
            </w:r>
          </w:p>
        </w:tc>
        <w:tc>
          <w:tcPr>
            <w:tcW w:w="270" w:type="pct"/>
            <w:tcBorders>
              <w:top w:val="nil"/>
              <w:left w:val="nil"/>
              <w:bottom w:val="nil"/>
              <w:right w:val="nil"/>
            </w:tcBorders>
            <w:shd w:val="clear" w:color="auto" w:fill="auto"/>
            <w:noWrap/>
            <w:vAlign w:val="bottom"/>
            <w:hideMark/>
          </w:tcPr>
          <w:p w14:paraId="41F0E731" w14:textId="101BCC14"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16.1</w:t>
            </w:r>
          </w:p>
        </w:tc>
      </w:tr>
      <w:tr w:rsidR="009A0F0B" w:rsidRPr="00BC68C4" w14:paraId="616806D4" w14:textId="77777777" w:rsidTr="009A0F0B">
        <w:trPr>
          <w:trHeight w:hRule="exact" w:val="181"/>
        </w:trPr>
        <w:tc>
          <w:tcPr>
            <w:tcW w:w="262" w:type="pct"/>
            <w:tcBorders>
              <w:top w:val="nil"/>
              <w:left w:val="nil"/>
              <w:bottom w:val="nil"/>
              <w:right w:val="nil"/>
            </w:tcBorders>
            <w:shd w:val="clear" w:color="auto" w:fill="auto"/>
            <w:noWrap/>
            <w:vAlign w:val="center"/>
            <w:hideMark/>
          </w:tcPr>
          <w:p w14:paraId="6AED2BB0" w14:textId="77777777" w:rsidR="00F141F4" w:rsidRPr="00BC68C4" w:rsidRDefault="00F141F4" w:rsidP="00AE0FA6">
            <w:pPr>
              <w:jc w:val="left"/>
              <w:rPr>
                <w:rFonts w:ascii="Times New Roman" w:hAnsi="Times New Roman" w:cs="Times New Roman"/>
                <w:color w:val="000000"/>
                <w:sz w:val="16"/>
                <w:szCs w:val="16"/>
              </w:rPr>
            </w:pPr>
          </w:p>
        </w:tc>
        <w:tc>
          <w:tcPr>
            <w:tcW w:w="678" w:type="pct"/>
            <w:tcBorders>
              <w:top w:val="nil"/>
              <w:left w:val="nil"/>
              <w:bottom w:val="nil"/>
              <w:right w:val="nil"/>
            </w:tcBorders>
            <w:shd w:val="clear" w:color="auto" w:fill="auto"/>
            <w:noWrap/>
            <w:vAlign w:val="center"/>
            <w:hideMark/>
          </w:tcPr>
          <w:p w14:paraId="27B1E6F1" w14:textId="655CCF13" w:rsidR="00F141F4" w:rsidRPr="00BC68C4" w:rsidRDefault="00F141F4" w:rsidP="001613C8">
            <w:pPr>
              <w:jc w:val="left"/>
              <w:rPr>
                <w:rFonts w:ascii="Times New Roman" w:hAnsi="Times New Roman" w:cs="Times New Roman"/>
                <w:color w:val="000000"/>
                <w:sz w:val="16"/>
                <w:szCs w:val="16"/>
              </w:rPr>
            </w:pPr>
            <w:r w:rsidRPr="00BC68C4">
              <w:rPr>
                <w:rFonts w:ascii="Times New Roman" w:hAnsi="Times New Roman" w:cs="Times New Roman"/>
                <w:color w:val="000000"/>
                <w:sz w:val="16"/>
                <w:szCs w:val="16"/>
              </w:rPr>
              <w:t>Size (£000s)</w:t>
            </w:r>
          </w:p>
        </w:tc>
        <w:tc>
          <w:tcPr>
            <w:tcW w:w="230" w:type="pct"/>
            <w:tcBorders>
              <w:top w:val="nil"/>
              <w:left w:val="nil"/>
              <w:bottom w:val="nil"/>
              <w:right w:val="nil"/>
            </w:tcBorders>
            <w:shd w:val="clear" w:color="auto" w:fill="auto"/>
            <w:noWrap/>
            <w:vAlign w:val="bottom"/>
            <w:hideMark/>
          </w:tcPr>
          <w:p w14:paraId="6EF56385" w14:textId="1570E23A" w:rsidR="00F141F4" w:rsidRPr="00BC68C4" w:rsidRDefault="00F141F4"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251</w:t>
            </w:r>
          </w:p>
        </w:tc>
        <w:tc>
          <w:tcPr>
            <w:tcW w:w="426" w:type="pct"/>
            <w:tcBorders>
              <w:top w:val="nil"/>
              <w:left w:val="nil"/>
              <w:bottom w:val="nil"/>
              <w:right w:val="nil"/>
            </w:tcBorders>
            <w:shd w:val="clear" w:color="auto" w:fill="auto"/>
            <w:noWrap/>
            <w:vAlign w:val="bottom"/>
            <w:hideMark/>
          </w:tcPr>
          <w:p w14:paraId="56F7D974" w14:textId="328C6FC5" w:rsidR="00F141F4" w:rsidRPr="00BC68C4" w:rsidRDefault="00F141F4">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 xml:space="preserve">256.70 </w:t>
            </w:r>
          </w:p>
        </w:tc>
        <w:tc>
          <w:tcPr>
            <w:tcW w:w="375" w:type="pct"/>
            <w:tcBorders>
              <w:top w:val="nil"/>
              <w:left w:val="nil"/>
              <w:bottom w:val="nil"/>
              <w:right w:val="nil"/>
            </w:tcBorders>
            <w:shd w:val="clear" w:color="auto" w:fill="auto"/>
            <w:noWrap/>
            <w:vAlign w:val="bottom"/>
            <w:hideMark/>
          </w:tcPr>
          <w:p w14:paraId="7D5E25CE" w14:textId="50A8ADAF" w:rsidR="00F141F4" w:rsidRPr="00BC68C4" w:rsidRDefault="00F141F4">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 xml:space="preserve">16.96 </w:t>
            </w:r>
          </w:p>
        </w:tc>
        <w:tc>
          <w:tcPr>
            <w:tcW w:w="379" w:type="pct"/>
            <w:tcBorders>
              <w:top w:val="nil"/>
              <w:left w:val="nil"/>
              <w:bottom w:val="nil"/>
              <w:right w:val="nil"/>
            </w:tcBorders>
            <w:shd w:val="clear" w:color="auto" w:fill="auto"/>
            <w:noWrap/>
            <w:vAlign w:val="bottom"/>
            <w:hideMark/>
          </w:tcPr>
          <w:p w14:paraId="1FDD5AE8" w14:textId="721BF999" w:rsidR="00F141F4" w:rsidRPr="00BC68C4" w:rsidRDefault="00F141F4">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 xml:space="preserve">150.00 </w:t>
            </w:r>
          </w:p>
        </w:tc>
        <w:tc>
          <w:tcPr>
            <w:tcW w:w="424" w:type="pct"/>
            <w:tcBorders>
              <w:top w:val="nil"/>
              <w:left w:val="nil"/>
              <w:bottom w:val="nil"/>
              <w:right w:val="nil"/>
            </w:tcBorders>
            <w:shd w:val="clear" w:color="auto" w:fill="auto"/>
            <w:noWrap/>
            <w:vAlign w:val="bottom"/>
            <w:hideMark/>
          </w:tcPr>
          <w:p w14:paraId="09F52E8E" w14:textId="3643596B" w:rsidR="00F141F4" w:rsidRPr="00BC68C4" w:rsidRDefault="00F141F4">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 xml:space="preserve">1,806.98 </w:t>
            </w:r>
          </w:p>
        </w:tc>
        <w:tc>
          <w:tcPr>
            <w:tcW w:w="398" w:type="pct"/>
            <w:tcBorders>
              <w:top w:val="nil"/>
              <w:left w:val="nil"/>
              <w:bottom w:val="nil"/>
              <w:right w:val="nil"/>
            </w:tcBorders>
            <w:shd w:val="clear" w:color="auto" w:fill="auto"/>
            <w:noWrap/>
            <w:vAlign w:val="bottom"/>
            <w:hideMark/>
          </w:tcPr>
          <w:p w14:paraId="1E07C0E0" w14:textId="50CA3ADB" w:rsidR="00F141F4" w:rsidRPr="00BC68C4" w:rsidRDefault="00F141F4">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 xml:space="preserve">301.68 </w:t>
            </w:r>
          </w:p>
        </w:tc>
        <w:tc>
          <w:tcPr>
            <w:tcW w:w="93" w:type="pct"/>
            <w:tcBorders>
              <w:top w:val="nil"/>
              <w:left w:val="nil"/>
              <w:bottom w:val="nil"/>
              <w:right w:val="nil"/>
            </w:tcBorders>
            <w:shd w:val="clear" w:color="auto" w:fill="auto"/>
            <w:noWrap/>
            <w:vAlign w:val="center"/>
            <w:hideMark/>
          </w:tcPr>
          <w:p w14:paraId="2A7F0933" w14:textId="77777777" w:rsidR="00F141F4" w:rsidRPr="00BC68C4" w:rsidRDefault="00F141F4" w:rsidP="001613C8">
            <w:pPr>
              <w:jc w:val="center"/>
              <w:rPr>
                <w:rFonts w:ascii="Times New Roman" w:eastAsia="Times New Roman" w:hAnsi="Times New Roman" w:cs="Times New Roman"/>
                <w:color w:val="000000"/>
                <w:sz w:val="16"/>
                <w:szCs w:val="16"/>
                <w:lang w:eastAsia="en-GB"/>
              </w:rPr>
            </w:pPr>
          </w:p>
        </w:tc>
        <w:tc>
          <w:tcPr>
            <w:tcW w:w="165" w:type="pct"/>
            <w:tcBorders>
              <w:top w:val="nil"/>
              <w:left w:val="nil"/>
              <w:bottom w:val="nil"/>
              <w:right w:val="nil"/>
            </w:tcBorders>
            <w:shd w:val="clear" w:color="auto" w:fill="auto"/>
            <w:noWrap/>
            <w:vAlign w:val="bottom"/>
            <w:hideMark/>
          </w:tcPr>
          <w:p w14:paraId="6690A95D" w14:textId="3D9AC0F6" w:rsidR="00F141F4" w:rsidRPr="00BC68C4" w:rsidRDefault="00F141F4"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342</w:t>
            </w:r>
          </w:p>
        </w:tc>
        <w:tc>
          <w:tcPr>
            <w:tcW w:w="238" w:type="pct"/>
            <w:tcBorders>
              <w:top w:val="nil"/>
              <w:left w:val="nil"/>
              <w:bottom w:val="nil"/>
              <w:right w:val="nil"/>
            </w:tcBorders>
            <w:shd w:val="clear" w:color="auto" w:fill="auto"/>
            <w:noWrap/>
            <w:vAlign w:val="bottom"/>
            <w:hideMark/>
          </w:tcPr>
          <w:p w14:paraId="56BE4BB2" w14:textId="7940CD5B" w:rsidR="00F141F4" w:rsidRPr="00BC68C4" w:rsidRDefault="00F141F4"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216.56</w:t>
            </w:r>
          </w:p>
        </w:tc>
        <w:tc>
          <w:tcPr>
            <w:tcW w:w="375" w:type="pct"/>
            <w:tcBorders>
              <w:top w:val="nil"/>
              <w:left w:val="nil"/>
              <w:bottom w:val="nil"/>
              <w:right w:val="nil"/>
            </w:tcBorders>
            <w:shd w:val="clear" w:color="auto" w:fill="auto"/>
            <w:noWrap/>
            <w:vAlign w:val="bottom"/>
            <w:hideMark/>
          </w:tcPr>
          <w:p w14:paraId="5D6ACF9E" w14:textId="4613082E" w:rsidR="00F141F4" w:rsidRPr="00BC68C4" w:rsidRDefault="00F141F4"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3.16</w:t>
            </w:r>
          </w:p>
        </w:tc>
        <w:tc>
          <w:tcPr>
            <w:tcW w:w="279" w:type="pct"/>
            <w:tcBorders>
              <w:top w:val="nil"/>
              <w:left w:val="nil"/>
              <w:bottom w:val="nil"/>
              <w:right w:val="nil"/>
            </w:tcBorders>
            <w:shd w:val="clear" w:color="auto" w:fill="auto"/>
            <w:noWrap/>
            <w:vAlign w:val="bottom"/>
            <w:hideMark/>
          </w:tcPr>
          <w:p w14:paraId="65ABC613" w14:textId="632DAABE" w:rsidR="00F141F4" w:rsidRPr="00BC68C4" w:rsidRDefault="00F141F4"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133.10</w:t>
            </w:r>
          </w:p>
        </w:tc>
        <w:tc>
          <w:tcPr>
            <w:tcW w:w="408" w:type="pct"/>
            <w:tcBorders>
              <w:top w:val="nil"/>
              <w:left w:val="nil"/>
              <w:bottom w:val="nil"/>
              <w:right w:val="nil"/>
            </w:tcBorders>
            <w:shd w:val="clear" w:color="auto" w:fill="auto"/>
            <w:noWrap/>
            <w:vAlign w:val="bottom"/>
            <w:hideMark/>
          </w:tcPr>
          <w:p w14:paraId="09DAB367" w14:textId="69FC39A6" w:rsidR="00F141F4" w:rsidRPr="00BC68C4" w:rsidRDefault="00F141F4"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1,362.45</w:t>
            </w:r>
          </w:p>
        </w:tc>
        <w:tc>
          <w:tcPr>
            <w:tcW w:w="270" w:type="pct"/>
            <w:tcBorders>
              <w:top w:val="nil"/>
              <w:left w:val="nil"/>
              <w:bottom w:val="nil"/>
              <w:right w:val="nil"/>
            </w:tcBorders>
            <w:shd w:val="clear" w:color="auto" w:fill="auto"/>
            <w:noWrap/>
            <w:vAlign w:val="bottom"/>
            <w:hideMark/>
          </w:tcPr>
          <w:p w14:paraId="26212A7F" w14:textId="0C3C9476" w:rsidR="00F141F4" w:rsidRPr="00BC68C4" w:rsidRDefault="00F141F4"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243.42</w:t>
            </w:r>
          </w:p>
        </w:tc>
      </w:tr>
      <w:tr w:rsidR="009A0F0B" w:rsidRPr="00BC68C4" w14:paraId="625309D5" w14:textId="77777777" w:rsidTr="009A0F0B">
        <w:trPr>
          <w:trHeight w:hRule="exact" w:val="181"/>
        </w:trPr>
        <w:tc>
          <w:tcPr>
            <w:tcW w:w="262" w:type="pct"/>
            <w:tcBorders>
              <w:top w:val="nil"/>
              <w:left w:val="nil"/>
              <w:bottom w:val="nil"/>
              <w:right w:val="nil"/>
            </w:tcBorders>
            <w:shd w:val="clear" w:color="auto" w:fill="auto"/>
            <w:noWrap/>
            <w:vAlign w:val="center"/>
            <w:hideMark/>
          </w:tcPr>
          <w:p w14:paraId="6EDAD1CC" w14:textId="77777777" w:rsidR="0044062C" w:rsidRPr="00BC68C4" w:rsidRDefault="0044062C" w:rsidP="00AE0FA6">
            <w:pPr>
              <w:jc w:val="left"/>
              <w:rPr>
                <w:rFonts w:ascii="Times New Roman" w:hAnsi="Times New Roman" w:cs="Times New Roman"/>
                <w:color w:val="000000"/>
                <w:sz w:val="16"/>
                <w:szCs w:val="16"/>
              </w:rPr>
            </w:pPr>
          </w:p>
        </w:tc>
        <w:tc>
          <w:tcPr>
            <w:tcW w:w="678" w:type="pct"/>
            <w:tcBorders>
              <w:top w:val="nil"/>
              <w:left w:val="nil"/>
              <w:bottom w:val="nil"/>
              <w:right w:val="nil"/>
            </w:tcBorders>
            <w:shd w:val="clear" w:color="auto" w:fill="auto"/>
            <w:noWrap/>
            <w:vAlign w:val="center"/>
            <w:hideMark/>
          </w:tcPr>
          <w:p w14:paraId="5BAF76B2" w14:textId="77777777" w:rsidR="0044062C" w:rsidRPr="00BC68C4" w:rsidRDefault="0044062C" w:rsidP="001613C8">
            <w:pPr>
              <w:jc w:val="left"/>
              <w:rPr>
                <w:rFonts w:ascii="Times New Roman" w:hAnsi="Times New Roman" w:cs="Times New Roman"/>
                <w:color w:val="000000"/>
                <w:sz w:val="16"/>
                <w:szCs w:val="16"/>
              </w:rPr>
            </w:pPr>
            <w:proofErr w:type="spellStart"/>
            <w:r w:rsidRPr="00BC68C4">
              <w:rPr>
                <w:rFonts w:ascii="Times New Roman" w:hAnsi="Times New Roman" w:cs="Times New Roman"/>
                <w:color w:val="000000"/>
                <w:sz w:val="16"/>
                <w:szCs w:val="16"/>
              </w:rPr>
              <w:t>DirectorQual</w:t>
            </w:r>
            <w:proofErr w:type="spellEnd"/>
          </w:p>
        </w:tc>
        <w:tc>
          <w:tcPr>
            <w:tcW w:w="230" w:type="pct"/>
            <w:tcBorders>
              <w:top w:val="nil"/>
              <w:left w:val="nil"/>
              <w:bottom w:val="nil"/>
              <w:right w:val="nil"/>
            </w:tcBorders>
            <w:shd w:val="clear" w:color="auto" w:fill="auto"/>
            <w:noWrap/>
            <w:vAlign w:val="bottom"/>
            <w:hideMark/>
          </w:tcPr>
          <w:p w14:paraId="7569609B" w14:textId="524B0B02"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251</w:t>
            </w:r>
          </w:p>
        </w:tc>
        <w:tc>
          <w:tcPr>
            <w:tcW w:w="426" w:type="pct"/>
            <w:tcBorders>
              <w:top w:val="nil"/>
              <w:left w:val="nil"/>
              <w:bottom w:val="nil"/>
              <w:right w:val="nil"/>
            </w:tcBorders>
            <w:shd w:val="clear" w:color="auto" w:fill="auto"/>
            <w:noWrap/>
            <w:vAlign w:val="bottom"/>
            <w:hideMark/>
          </w:tcPr>
          <w:p w14:paraId="66AC0142" w14:textId="23F22E42"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0.37</w:t>
            </w:r>
          </w:p>
        </w:tc>
        <w:tc>
          <w:tcPr>
            <w:tcW w:w="375" w:type="pct"/>
            <w:tcBorders>
              <w:top w:val="nil"/>
              <w:left w:val="nil"/>
              <w:bottom w:val="nil"/>
              <w:right w:val="nil"/>
            </w:tcBorders>
            <w:shd w:val="clear" w:color="auto" w:fill="auto"/>
            <w:noWrap/>
            <w:vAlign w:val="bottom"/>
            <w:hideMark/>
          </w:tcPr>
          <w:p w14:paraId="6FB930D8" w14:textId="1CE56E59"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0.00</w:t>
            </w:r>
          </w:p>
        </w:tc>
        <w:tc>
          <w:tcPr>
            <w:tcW w:w="379" w:type="pct"/>
            <w:tcBorders>
              <w:top w:val="nil"/>
              <w:left w:val="nil"/>
              <w:bottom w:val="nil"/>
              <w:right w:val="nil"/>
            </w:tcBorders>
            <w:shd w:val="clear" w:color="auto" w:fill="auto"/>
            <w:noWrap/>
            <w:vAlign w:val="bottom"/>
            <w:hideMark/>
          </w:tcPr>
          <w:p w14:paraId="2E93AF94" w14:textId="28C7140A"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0.24</w:t>
            </w:r>
          </w:p>
        </w:tc>
        <w:tc>
          <w:tcPr>
            <w:tcW w:w="424" w:type="pct"/>
            <w:tcBorders>
              <w:top w:val="nil"/>
              <w:left w:val="nil"/>
              <w:bottom w:val="nil"/>
              <w:right w:val="nil"/>
            </w:tcBorders>
            <w:shd w:val="clear" w:color="auto" w:fill="auto"/>
            <w:noWrap/>
            <w:vAlign w:val="bottom"/>
            <w:hideMark/>
          </w:tcPr>
          <w:p w14:paraId="72C383D3" w14:textId="785896F3"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1.76</w:t>
            </w:r>
          </w:p>
        </w:tc>
        <w:tc>
          <w:tcPr>
            <w:tcW w:w="398" w:type="pct"/>
            <w:tcBorders>
              <w:top w:val="nil"/>
              <w:left w:val="nil"/>
              <w:bottom w:val="nil"/>
              <w:right w:val="nil"/>
            </w:tcBorders>
            <w:shd w:val="clear" w:color="auto" w:fill="auto"/>
            <w:noWrap/>
            <w:vAlign w:val="bottom"/>
            <w:hideMark/>
          </w:tcPr>
          <w:p w14:paraId="51A5254B" w14:textId="79A3E7E1"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0.39</w:t>
            </w:r>
          </w:p>
        </w:tc>
        <w:tc>
          <w:tcPr>
            <w:tcW w:w="93" w:type="pct"/>
            <w:tcBorders>
              <w:top w:val="nil"/>
              <w:left w:val="nil"/>
              <w:bottom w:val="nil"/>
              <w:right w:val="nil"/>
            </w:tcBorders>
            <w:shd w:val="clear" w:color="auto" w:fill="auto"/>
            <w:noWrap/>
            <w:vAlign w:val="center"/>
            <w:hideMark/>
          </w:tcPr>
          <w:p w14:paraId="4794A0D0" w14:textId="77777777" w:rsidR="0044062C" w:rsidRPr="00BC68C4" w:rsidRDefault="0044062C" w:rsidP="001613C8">
            <w:pPr>
              <w:jc w:val="center"/>
              <w:rPr>
                <w:rFonts w:ascii="Times New Roman" w:eastAsia="Times New Roman" w:hAnsi="Times New Roman" w:cs="Times New Roman"/>
                <w:color w:val="000000"/>
                <w:sz w:val="16"/>
                <w:szCs w:val="16"/>
                <w:lang w:eastAsia="en-GB"/>
              </w:rPr>
            </w:pPr>
          </w:p>
        </w:tc>
        <w:tc>
          <w:tcPr>
            <w:tcW w:w="165" w:type="pct"/>
            <w:tcBorders>
              <w:top w:val="nil"/>
              <w:left w:val="nil"/>
              <w:bottom w:val="nil"/>
              <w:right w:val="nil"/>
            </w:tcBorders>
            <w:shd w:val="clear" w:color="auto" w:fill="auto"/>
            <w:noWrap/>
            <w:vAlign w:val="bottom"/>
            <w:hideMark/>
          </w:tcPr>
          <w:p w14:paraId="2BEA1AFD" w14:textId="20038978"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342</w:t>
            </w:r>
          </w:p>
        </w:tc>
        <w:tc>
          <w:tcPr>
            <w:tcW w:w="238" w:type="pct"/>
            <w:tcBorders>
              <w:top w:val="nil"/>
              <w:left w:val="nil"/>
              <w:bottom w:val="nil"/>
              <w:right w:val="nil"/>
            </w:tcBorders>
            <w:shd w:val="clear" w:color="auto" w:fill="auto"/>
            <w:noWrap/>
            <w:vAlign w:val="bottom"/>
            <w:hideMark/>
          </w:tcPr>
          <w:p w14:paraId="4F1A2411" w14:textId="42BD7545"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0.43</w:t>
            </w:r>
          </w:p>
        </w:tc>
        <w:tc>
          <w:tcPr>
            <w:tcW w:w="375" w:type="pct"/>
            <w:tcBorders>
              <w:top w:val="nil"/>
              <w:left w:val="nil"/>
              <w:bottom w:val="nil"/>
              <w:right w:val="nil"/>
            </w:tcBorders>
            <w:shd w:val="clear" w:color="auto" w:fill="auto"/>
            <w:noWrap/>
            <w:vAlign w:val="bottom"/>
            <w:hideMark/>
          </w:tcPr>
          <w:p w14:paraId="38E676F2" w14:textId="7948A623"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0.00</w:t>
            </w:r>
          </w:p>
        </w:tc>
        <w:tc>
          <w:tcPr>
            <w:tcW w:w="279" w:type="pct"/>
            <w:tcBorders>
              <w:top w:val="nil"/>
              <w:left w:val="nil"/>
              <w:bottom w:val="nil"/>
              <w:right w:val="nil"/>
            </w:tcBorders>
            <w:shd w:val="clear" w:color="auto" w:fill="auto"/>
            <w:noWrap/>
            <w:vAlign w:val="bottom"/>
            <w:hideMark/>
          </w:tcPr>
          <w:p w14:paraId="7C6DE26D" w14:textId="731A9741"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0.27</w:t>
            </w:r>
          </w:p>
        </w:tc>
        <w:tc>
          <w:tcPr>
            <w:tcW w:w="408" w:type="pct"/>
            <w:tcBorders>
              <w:top w:val="nil"/>
              <w:left w:val="nil"/>
              <w:bottom w:val="nil"/>
              <w:right w:val="nil"/>
            </w:tcBorders>
            <w:shd w:val="clear" w:color="auto" w:fill="auto"/>
            <w:noWrap/>
            <w:vAlign w:val="bottom"/>
            <w:hideMark/>
          </w:tcPr>
          <w:p w14:paraId="1E945880" w14:textId="5E299345"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2.54</w:t>
            </w:r>
          </w:p>
        </w:tc>
        <w:tc>
          <w:tcPr>
            <w:tcW w:w="270" w:type="pct"/>
            <w:tcBorders>
              <w:top w:val="nil"/>
              <w:left w:val="nil"/>
              <w:bottom w:val="nil"/>
              <w:right w:val="nil"/>
            </w:tcBorders>
            <w:shd w:val="clear" w:color="auto" w:fill="auto"/>
            <w:noWrap/>
            <w:vAlign w:val="bottom"/>
            <w:hideMark/>
          </w:tcPr>
          <w:p w14:paraId="3C13E55E" w14:textId="7C03A53D"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0.51</w:t>
            </w:r>
          </w:p>
        </w:tc>
      </w:tr>
      <w:tr w:rsidR="009A0F0B" w:rsidRPr="00BC68C4" w14:paraId="518CAEB1" w14:textId="77777777" w:rsidTr="009A0F0B">
        <w:trPr>
          <w:trHeight w:hRule="exact" w:val="181"/>
        </w:trPr>
        <w:tc>
          <w:tcPr>
            <w:tcW w:w="262" w:type="pct"/>
            <w:tcBorders>
              <w:top w:val="nil"/>
              <w:left w:val="nil"/>
              <w:bottom w:val="nil"/>
              <w:right w:val="nil"/>
            </w:tcBorders>
            <w:shd w:val="clear" w:color="auto" w:fill="auto"/>
            <w:noWrap/>
            <w:vAlign w:val="center"/>
            <w:hideMark/>
          </w:tcPr>
          <w:p w14:paraId="26AD238C" w14:textId="77777777" w:rsidR="0044062C" w:rsidRPr="00BC68C4" w:rsidRDefault="0044062C" w:rsidP="00AE0FA6">
            <w:pPr>
              <w:jc w:val="left"/>
              <w:rPr>
                <w:rFonts w:ascii="Times New Roman" w:hAnsi="Times New Roman" w:cs="Times New Roman"/>
                <w:color w:val="000000"/>
                <w:sz w:val="16"/>
                <w:szCs w:val="16"/>
              </w:rPr>
            </w:pPr>
          </w:p>
        </w:tc>
        <w:tc>
          <w:tcPr>
            <w:tcW w:w="678" w:type="pct"/>
            <w:tcBorders>
              <w:top w:val="nil"/>
              <w:left w:val="nil"/>
              <w:bottom w:val="nil"/>
              <w:right w:val="nil"/>
            </w:tcBorders>
            <w:shd w:val="clear" w:color="auto" w:fill="auto"/>
            <w:noWrap/>
            <w:vAlign w:val="center"/>
            <w:hideMark/>
          </w:tcPr>
          <w:p w14:paraId="5B396C4D" w14:textId="77777777" w:rsidR="0044062C" w:rsidRPr="00BC68C4" w:rsidRDefault="0044062C" w:rsidP="001613C8">
            <w:pPr>
              <w:jc w:val="left"/>
              <w:rPr>
                <w:rFonts w:ascii="Times New Roman" w:hAnsi="Times New Roman" w:cs="Times New Roman"/>
                <w:color w:val="000000"/>
                <w:sz w:val="16"/>
                <w:szCs w:val="16"/>
              </w:rPr>
            </w:pPr>
            <w:proofErr w:type="spellStart"/>
            <w:r w:rsidRPr="00BC68C4">
              <w:rPr>
                <w:rFonts w:ascii="Times New Roman" w:hAnsi="Times New Roman" w:cs="Times New Roman"/>
                <w:color w:val="000000"/>
                <w:sz w:val="16"/>
                <w:szCs w:val="16"/>
              </w:rPr>
              <w:t>HeadLondon</w:t>
            </w:r>
            <w:proofErr w:type="spellEnd"/>
          </w:p>
        </w:tc>
        <w:tc>
          <w:tcPr>
            <w:tcW w:w="230" w:type="pct"/>
            <w:tcBorders>
              <w:top w:val="nil"/>
              <w:left w:val="nil"/>
              <w:bottom w:val="nil"/>
              <w:right w:val="nil"/>
            </w:tcBorders>
            <w:shd w:val="clear" w:color="auto" w:fill="auto"/>
            <w:noWrap/>
            <w:vAlign w:val="bottom"/>
            <w:hideMark/>
          </w:tcPr>
          <w:p w14:paraId="44FCB9E3" w14:textId="32E719EF"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250</w:t>
            </w:r>
          </w:p>
        </w:tc>
        <w:tc>
          <w:tcPr>
            <w:tcW w:w="426" w:type="pct"/>
            <w:tcBorders>
              <w:top w:val="nil"/>
              <w:left w:val="nil"/>
              <w:bottom w:val="nil"/>
              <w:right w:val="nil"/>
            </w:tcBorders>
            <w:shd w:val="clear" w:color="auto" w:fill="auto"/>
            <w:noWrap/>
            <w:vAlign w:val="bottom"/>
            <w:hideMark/>
          </w:tcPr>
          <w:p w14:paraId="2E74133B" w14:textId="66DABA91"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0.48</w:t>
            </w:r>
          </w:p>
        </w:tc>
        <w:tc>
          <w:tcPr>
            <w:tcW w:w="375" w:type="pct"/>
            <w:tcBorders>
              <w:top w:val="nil"/>
              <w:left w:val="nil"/>
              <w:bottom w:val="nil"/>
              <w:right w:val="nil"/>
            </w:tcBorders>
            <w:shd w:val="clear" w:color="auto" w:fill="auto"/>
            <w:noWrap/>
            <w:vAlign w:val="bottom"/>
            <w:hideMark/>
          </w:tcPr>
          <w:p w14:paraId="36128923" w14:textId="70343739"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0.00</w:t>
            </w:r>
          </w:p>
        </w:tc>
        <w:tc>
          <w:tcPr>
            <w:tcW w:w="379" w:type="pct"/>
            <w:tcBorders>
              <w:top w:val="nil"/>
              <w:left w:val="nil"/>
              <w:bottom w:val="nil"/>
              <w:right w:val="nil"/>
            </w:tcBorders>
            <w:shd w:val="clear" w:color="auto" w:fill="auto"/>
            <w:noWrap/>
            <w:vAlign w:val="bottom"/>
            <w:hideMark/>
          </w:tcPr>
          <w:p w14:paraId="0023E13B" w14:textId="1E376ACA"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0.00</w:t>
            </w:r>
          </w:p>
        </w:tc>
        <w:tc>
          <w:tcPr>
            <w:tcW w:w="424" w:type="pct"/>
            <w:tcBorders>
              <w:top w:val="nil"/>
              <w:left w:val="nil"/>
              <w:bottom w:val="nil"/>
              <w:right w:val="nil"/>
            </w:tcBorders>
            <w:shd w:val="clear" w:color="auto" w:fill="auto"/>
            <w:noWrap/>
            <w:vAlign w:val="bottom"/>
            <w:hideMark/>
          </w:tcPr>
          <w:p w14:paraId="7B843BEB" w14:textId="4F087C35"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1.00</w:t>
            </w:r>
          </w:p>
        </w:tc>
        <w:tc>
          <w:tcPr>
            <w:tcW w:w="398" w:type="pct"/>
            <w:tcBorders>
              <w:top w:val="nil"/>
              <w:left w:val="nil"/>
              <w:bottom w:val="nil"/>
              <w:right w:val="nil"/>
            </w:tcBorders>
            <w:shd w:val="clear" w:color="auto" w:fill="auto"/>
            <w:noWrap/>
            <w:vAlign w:val="bottom"/>
            <w:hideMark/>
          </w:tcPr>
          <w:p w14:paraId="1AFB9C03" w14:textId="1391D945"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0.50</w:t>
            </w:r>
          </w:p>
        </w:tc>
        <w:tc>
          <w:tcPr>
            <w:tcW w:w="93" w:type="pct"/>
            <w:tcBorders>
              <w:top w:val="nil"/>
              <w:left w:val="nil"/>
              <w:bottom w:val="nil"/>
              <w:right w:val="nil"/>
            </w:tcBorders>
            <w:shd w:val="clear" w:color="auto" w:fill="auto"/>
            <w:noWrap/>
            <w:vAlign w:val="center"/>
            <w:hideMark/>
          </w:tcPr>
          <w:p w14:paraId="419CE7B2" w14:textId="77777777" w:rsidR="0044062C" w:rsidRPr="00BC68C4" w:rsidRDefault="0044062C" w:rsidP="001613C8">
            <w:pPr>
              <w:jc w:val="center"/>
              <w:rPr>
                <w:rFonts w:ascii="Times New Roman" w:eastAsia="Times New Roman" w:hAnsi="Times New Roman" w:cs="Times New Roman"/>
                <w:color w:val="000000"/>
                <w:sz w:val="16"/>
                <w:szCs w:val="16"/>
                <w:lang w:eastAsia="en-GB"/>
              </w:rPr>
            </w:pPr>
          </w:p>
        </w:tc>
        <w:tc>
          <w:tcPr>
            <w:tcW w:w="165" w:type="pct"/>
            <w:tcBorders>
              <w:top w:val="nil"/>
              <w:left w:val="nil"/>
              <w:bottom w:val="nil"/>
              <w:right w:val="nil"/>
            </w:tcBorders>
            <w:shd w:val="clear" w:color="auto" w:fill="auto"/>
            <w:noWrap/>
            <w:vAlign w:val="bottom"/>
            <w:hideMark/>
          </w:tcPr>
          <w:p w14:paraId="3B7171E1" w14:textId="5D48E1A4"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298</w:t>
            </w:r>
          </w:p>
        </w:tc>
        <w:tc>
          <w:tcPr>
            <w:tcW w:w="238" w:type="pct"/>
            <w:tcBorders>
              <w:top w:val="nil"/>
              <w:left w:val="nil"/>
              <w:bottom w:val="nil"/>
              <w:right w:val="nil"/>
            </w:tcBorders>
            <w:shd w:val="clear" w:color="auto" w:fill="auto"/>
            <w:noWrap/>
            <w:vAlign w:val="bottom"/>
            <w:hideMark/>
          </w:tcPr>
          <w:p w14:paraId="0A2A92E4" w14:textId="5005258C"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0.54</w:t>
            </w:r>
          </w:p>
        </w:tc>
        <w:tc>
          <w:tcPr>
            <w:tcW w:w="375" w:type="pct"/>
            <w:tcBorders>
              <w:top w:val="nil"/>
              <w:left w:val="nil"/>
              <w:bottom w:val="nil"/>
              <w:right w:val="nil"/>
            </w:tcBorders>
            <w:shd w:val="clear" w:color="auto" w:fill="auto"/>
            <w:noWrap/>
            <w:vAlign w:val="bottom"/>
            <w:hideMark/>
          </w:tcPr>
          <w:p w14:paraId="1E51F99D" w14:textId="707E44F2"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0.00</w:t>
            </w:r>
          </w:p>
        </w:tc>
        <w:tc>
          <w:tcPr>
            <w:tcW w:w="279" w:type="pct"/>
            <w:tcBorders>
              <w:top w:val="nil"/>
              <w:left w:val="nil"/>
              <w:bottom w:val="nil"/>
              <w:right w:val="nil"/>
            </w:tcBorders>
            <w:shd w:val="clear" w:color="auto" w:fill="auto"/>
            <w:noWrap/>
            <w:vAlign w:val="bottom"/>
            <w:hideMark/>
          </w:tcPr>
          <w:p w14:paraId="49E1CC22" w14:textId="3727F6FE"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1.00</w:t>
            </w:r>
          </w:p>
        </w:tc>
        <w:tc>
          <w:tcPr>
            <w:tcW w:w="408" w:type="pct"/>
            <w:tcBorders>
              <w:top w:val="nil"/>
              <w:left w:val="nil"/>
              <w:bottom w:val="nil"/>
              <w:right w:val="nil"/>
            </w:tcBorders>
            <w:shd w:val="clear" w:color="auto" w:fill="auto"/>
            <w:noWrap/>
            <w:vAlign w:val="bottom"/>
            <w:hideMark/>
          </w:tcPr>
          <w:p w14:paraId="766114DB" w14:textId="133B4A83"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1.00</w:t>
            </w:r>
          </w:p>
        </w:tc>
        <w:tc>
          <w:tcPr>
            <w:tcW w:w="270" w:type="pct"/>
            <w:tcBorders>
              <w:top w:val="nil"/>
              <w:left w:val="nil"/>
              <w:bottom w:val="nil"/>
              <w:right w:val="nil"/>
            </w:tcBorders>
            <w:shd w:val="clear" w:color="auto" w:fill="auto"/>
            <w:noWrap/>
            <w:vAlign w:val="bottom"/>
            <w:hideMark/>
          </w:tcPr>
          <w:p w14:paraId="056A13F7" w14:textId="64A64E11"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0.50</w:t>
            </w:r>
          </w:p>
        </w:tc>
      </w:tr>
      <w:tr w:rsidR="009A0F0B" w:rsidRPr="00BC68C4" w14:paraId="205EBAB0" w14:textId="77777777" w:rsidTr="009A0F0B">
        <w:trPr>
          <w:trHeight w:hRule="exact" w:val="181"/>
        </w:trPr>
        <w:tc>
          <w:tcPr>
            <w:tcW w:w="262" w:type="pct"/>
            <w:tcBorders>
              <w:top w:val="nil"/>
              <w:left w:val="nil"/>
              <w:bottom w:val="nil"/>
              <w:right w:val="nil"/>
            </w:tcBorders>
            <w:shd w:val="clear" w:color="auto" w:fill="auto"/>
            <w:noWrap/>
            <w:vAlign w:val="center"/>
            <w:hideMark/>
          </w:tcPr>
          <w:p w14:paraId="1D168C7A" w14:textId="77777777" w:rsidR="0044062C" w:rsidRPr="00BC68C4" w:rsidRDefault="0044062C" w:rsidP="00AE0FA6">
            <w:pPr>
              <w:jc w:val="left"/>
              <w:rPr>
                <w:rFonts w:ascii="Times New Roman" w:hAnsi="Times New Roman" w:cs="Times New Roman"/>
                <w:color w:val="000000"/>
                <w:sz w:val="16"/>
                <w:szCs w:val="16"/>
              </w:rPr>
            </w:pPr>
          </w:p>
        </w:tc>
        <w:tc>
          <w:tcPr>
            <w:tcW w:w="678" w:type="pct"/>
            <w:tcBorders>
              <w:top w:val="nil"/>
              <w:left w:val="nil"/>
              <w:bottom w:val="nil"/>
              <w:right w:val="nil"/>
            </w:tcBorders>
            <w:shd w:val="clear" w:color="auto" w:fill="auto"/>
            <w:noWrap/>
            <w:vAlign w:val="center"/>
            <w:hideMark/>
          </w:tcPr>
          <w:p w14:paraId="0517E570" w14:textId="77777777" w:rsidR="0044062C" w:rsidRPr="00BC68C4" w:rsidRDefault="0044062C" w:rsidP="001613C8">
            <w:pPr>
              <w:jc w:val="left"/>
              <w:rPr>
                <w:rFonts w:ascii="Times New Roman" w:hAnsi="Times New Roman" w:cs="Times New Roman"/>
                <w:color w:val="000000"/>
                <w:sz w:val="16"/>
                <w:szCs w:val="16"/>
              </w:rPr>
            </w:pPr>
            <w:r w:rsidRPr="00BC68C4">
              <w:rPr>
                <w:rFonts w:ascii="Times New Roman" w:hAnsi="Times New Roman" w:cs="Times New Roman"/>
                <w:color w:val="000000"/>
                <w:sz w:val="16"/>
                <w:szCs w:val="16"/>
              </w:rPr>
              <w:t>Scottish</w:t>
            </w:r>
          </w:p>
        </w:tc>
        <w:tc>
          <w:tcPr>
            <w:tcW w:w="230" w:type="pct"/>
            <w:tcBorders>
              <w:top w:val="nil"/>
              <w:left w:val="nil"/>
              <w:bottom w:val="nil"/>
              <w:right w:val="nil"/>
            </w:tcBorders>
            <w:shd w:val="clear" w:color="auto" w:fill="auto"/>
            <w:noWrap/>
            <w:vAlign w:val="bottom"/>
            <w:hideMark/>
          </w:tcPr>
          <w:p w14:paraId="00C9A740" w14:textId="5B0DD125"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252</w:t>
            </w:r>
          </w:p>
        </w:tc>
        <w:tc>
          <w:tcPr>
            <w:tcW w:w="426" w:type="pct"/>
            <w:tcBorders>
              <w:top w:val="nil"/>
              <w:left w:val="nil"/>
              <w:bottom w:val="nil"/>
              <w:right w:val="nil"/>
            </w:tcBorders>
            <w:shd w:val="clear" w:color="auto" w:fill="auto"/>
            <w:noWrap/>
            <w:vAlign w:val="bottom"/>
            <w:hideMark/>
          </w:tcPr>
          <w:p w14:paraId="5321E025" w14:textId="3C1D52A8"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0.21</w:t>
            </w:r>
          </w:p>
        </w:tc>
        <w:tc>
          <w:tcPr>
            <w:tcW w:w="375" w:type="pct"/>
            <w:tcBorders>
              <w:top w:val="nil"/>
              <w:left w:val="nil"/>
              <w:bottom w:val="nil"/>
              <w:right w:val="nil"/>
            </w:tcBorders>
            <w:shd w:val="clear" w:color="auto" w:fill="auto"/>
            <w:noWrap/>
            <w:vAlign w:val="bottom"/>
            <w:hideMark/>
          </w:tcPr>
          <w:p w14:paraId="55A0D77D" w14:textId="4BF8C52E"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0.00</w:t>
            </w:r>
          </w:p>
        </w:tc>
        <w:tc>
          <w:tcPr>
            <w:tcW w:w="379" w:type="pct"/>
            <w:tcBorders>
              <w:top w:val="nil"/>
              <w:left w:val="nil"/>
              <w:bottom w:val="nil"/>
              <w:right w:val="nil"/>
            </w:tcBorders>
            <w:shd w:val="clear" w:color="auto" w:fill="auto"/>
            <w:noWrap/>
            <w:vAlign w:val="bottom"/>
            <w:hideMark/>
          </w:tcPr>
          <w:p w14:paraId="1677B8DE" w14:textId="21B160DC"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0.00</w:t>
            </w:r>
          </w:p>
        </w:tc>
        <w:tc>
          <w:tcPr>
            <w:tcW w:w="424" w:type="pct"/>
            <w:tcBorders>
              <w:top w:val="nil"/>
              <w:left w:val="nil"/>
              <w:bottom w:val="nil"/>
              <w:right w:val="nil"/>
            </w:tcBorders>
            <w:shd w:val="clear" w:color="auto" w:fill="auto"/>
            <w:noWrap/>
            <w:vAlign w:val="bottom"/>
            <w:hideMark/>
          </w:tcPr>
          <w:p w14:paraId="09FBEA0E" w14:textId="2CDDA806"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1.00</w:t>
            </w:r>
          </w:p>
        </w:tc>
        <w:tc>
          <w:tcPr>
            <w:tcW w:w="398" w:type="pct"/>
            <w:tcBorders>
              <w:top w:val="nil"/>
              <w:left w:val="nil"/>
              <w:bottom w:val="nil"/>
              <w:right w:val="nil"/>
            </w:tcBorders>
            <w:shd w:val="clear" w:color="auto" w:fill="auto"/>
            <w:noWrap/>
            <w:vAlign w:val="bottom"/>
            <w:hideMark/>
          </w:tcPr>
          <w:p w14:paraId="204EC08D" w14:textId="4E83A853"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0.41</w:t>
            </w:r>
          </w:p>
        </w:tc>
        <w:tc>
          <w:tcPr>
            <w:tcW w:w="93" w:type="pct"/>
            <w:tcBorders>
              <w:top w:val="nil"/>
              <w:left w:val="nil"/>
              <w:bottom w:val="nil"/>
              <w:right w:val="nil"/>
            </w:tcBorders>
            <w:shd w:val="clear" w:color="auto" w:fill="auto"/>
            <w:noWrap/>
            <w:vAlign w:val="center"/>
            <w:hideMark/>
          </w:tcPr>
          <w:p w14:paraId="083DB42C" w14:textId="77777777" w:rsidR="0044062C" w:rsidRPr="00BC68C4" w:rsidRDefault="0044062C" w:rsidP="001613C8">
            <w:pPr>
              <w:jc w:val="center"/>
              <w:rPr>
                <w:rFonts w:ascii="Times New Roman" w:eastAsia="Times New Roman" w:hAnsi="Times New Roman" w:cs="Times New Roman"/>
                <w:color w:val="000000"/>
                <w:sz w:val="16"/>
                <w:szCs w:val="16"/>
                <w:lang w:eastAsia="en-GB"/>
              </w:rPr>
            </w:pPr>
          </w:p>
        </w:tc>
        <w:tc>
          <w:tcPr>
            <w:tcW w:w="165" w:type="pct"/>
            <w:tcBorders>
              <w:top w:val="nil"/>
              <w:left w:val="nil"/>
              <w:bottom w:val="nil"/>
              <w:right w:val="nil"/>
            </w:tcBorders>
            <w:shd w:val="clear" w:color="auto" w:fill="auto"/>
            <w:noWrap/>
            <w:vAlign w:val="bottom"/>
            <w:hideMark/>
          </w:tcPr>
          <w:p w14:paraId="4235B262" w14:textId="2BDD5032"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344</w:t>
            </w:r>
          </w:p>
        </w:tc>
        <w:tc>
          <w:tcPr>
            <w:tcW w:w="238" w:type="pct"/>
            <w:tcBorders>
              <w:top w:val="nil"/>
              <w:left w:val="nil"/>
              <w:bottom w:val="nil"/>
              <w:right w:val="nil"/>
            </w:tcBorders>
            <w:shd w:val="clear" w:color="auto" w:fill="auto"/>
            <w:noWrap/>
            <w:vAlign w:val="bottom"/>
            <w:hideMark/>
          </w:tcPr>
          <w:p w14:paraId="21092E7F" w14:textId="645A520C"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0.13</w:t>
            </w:r>
          </w:p>
        </w:tc>
        <w:tc>
          <w:tcPr>
            <w:tcW w:w="375" w:type="pct"/>
            <w:tcBorders>
              <w:top w:val="nil"/>
              <w:left w:val="nil"/>
              <w:bottom w:val="nil"/>
              <w:right w:val="nil"/>
            </w:tcBorders>
            <w:shd w:val="clear" w:color="auto" w:fill="auto"/>
            <w:noWrap/>
            <w:vAlign w:val="bottom"/>
            <w:hideMark/>
          </w:tcPr>
          <w:p w14:paraId="78499041" w14:textId="780A85ED"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0.00</w:t>
            </w:r>
          </w:p>
        </w:tc>
        <w:tc>
          <w:tcPr>
            <w:tcW w:w="279" w:type="pct"/>
            <w:tcBorders>
              <w:top w:val="nil"/>
              <w:left w:val="nil"/>
              <w:bottom w:val="nil"/>
              <w:right w:val="nil"/>
            </w:tcBorders>
            <w:shd w:val="clear" w:color="auto" w:fill="auto"/>
            <w:noWrap/>
            <w:vAlign w:val="bottom"/>
            <w:hideMark/>
          </w:tcPr>
          <w:p w14:paraId="393010D0" w14:textId="46C0C0B2"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0.00</w:t>
            </w:r>
          </w:p>
        </w:tc>
        <w:tc>
          <w:tcPr>
            <w:tcW w:w="408" w:type="pct"/>
            <w:tcBorders>
              <w:top w:val="nil"/>
              <w:left w:val="nil"/>
              <w:bottom w:val="nil"/>
              <w:right w:val="nil"/>
            </w:tcBorders>
            <w:shd w:val="clear" w:color="auto" w:fill="auto"/>
            <w:noWrap/>
            <w:vAlign w:val="bottom"/>
            <w:hideMark/>
          </w:tcPr>
          <w:p w14:paraId="0401D781" w14:textId="6BAD4035"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1.00</w:t>
            </w:r>
          </w:p>
        </w:tc>
        <w:tc>
          <w:tcPr>
            <w:tcW w:w="270" w:type="pct"/>
            <w:tcBorders>
              <w:top w:val="nil"/>
              <w:left w:val="nil"/>
              <w:bottom w:val="nil"/>
              <w:right w:val="nil"/>
            </w:tcBorders>
            <w:shd w:val="clear" w:color="auto" w:fill="auto"/>
            <w:noWrap/>
            <w:vAlign w:val="bottom"/>
            <w:hideMark/>
          </w:tcPr>
          <w:p w14:paraId="55B51E78" w14:textId="70851F65" w:rsidR="0044062C" w:rsidRPr="00BC68C4" w:rsidRDefault="0044062C" w:rsidP="001613C8">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0.33</w:t>
            </w:r>
          </w:p>
        </w:tc>
      </w:tr>
      <w:tr w:rsidR="009A0F0B" w:rsidRPr="00BC68C4" w14:paraId="3D57C711" w14:textId="77777777" w:rsidTr="009A0F0B">
        <w:trPr>
          <w:trHeight w:hRule="exact" w:val="181"/>
        </w:trPr>
        <w:tc>
          <w:tcPr>
            <w:tcW w:w="262" w:type="pct"/>
            <w:tcBorders>
              <w:top w:val="nil"/>
              <w:left w:val="nil"/>
              <w:bottom w:val="nil"/>
              <w:right w:val="nil"/>
            </w:tcBorders>
            <w:shd w:val="clear" w:color="auto" w:fill="auto"/>
            <w:noWrap/>
            <w:vAlign w:val="center"/>
            <w:hideMark/>
          </w:tcPr>
          <w:p w14:paraId="6D2CA449" w14:textId="77777777" w:rsidR="0044062C" w:rsidRPr="00BC68C4" w:rsidRDefault="0044062C" w:rsidP="00AE0FA6">
            <w:pPr>
              <w:jc w:val="left"/>
              <w:rPr>
                <w:rFonts w:ascii="Times New Roman" w:hAnsi="Times New Roman" w:cs="Times New Roman"/>
                <w:color w:val="000000"/>
                <w:sz w:val="16"/>
                <w:szCs w:val="16"/>
              </w:rPr>
            </w:pPr>
          </w:p>
        </w:tc>
        <w:tc>
          <w:tcPr>
            <w:tcW w:w="678" w:type="pct"/>
            <w:tcBorders>
              <w:top w:val="nil"/>
              <w:left w:val="nil"/>
              <w:bottom w:val="nil"/>
              <w:right w:val="nil"/>
            </w:tcBorders>
            <w:shd w:val="clear" w:color="auto" w:fill="auto"/>
            <w:noWrap/>
            <w:vAlign w:val="center"/>
            <w:hideMark/>
          </w:tcPr>
          <w:p w14:paraId="64A7871E" w14:textId="77777777" w:rsidR="0044062C" w:rsidRPr="00BC68C4" w:rsidRDefault="0044062C" w:rsidP="001613C8">
            <w:pPr>
              <w:jc w:val="left"/>
              <w:rPr>
                <w:rFonts w:ascii="Times New Roman" w:hAnsi="Times New Roman" w:cs="Times New Roman"/>
                <w:color w:val="000000"/>
                <w:sz w:val="16"/>
                <w:szCs w:val="16"/>
              </w:rPr>
            </w:pPr>
            <w:proofErr w:type="spellStart"/>
            <w:r w:rsidRPr="00BC68C4">
              <w:rPr>
                <w:rFonts w:ascii="Times New Roman" w:hAnsi="Times New Roman" w:cs="Times New Roman"/>
                <w:color w:val="000000"/>
                <w:sz w:val="16"/>
                <w:szCs w:val="16"/>
              </w:rPr>
              <w:t>LTDebt</w:t>
            </w:r>
            <w:proofErr w:type="spellEnd"/>
            <w:r w:rsidRPr="00BC68C4">
              <w:rPr>
                <w:rFonts w:ascii="Times New Roman" w:hAnsi="Times New Roman" w:cs="Times New Roman"/>
                <w:color w:val="000000"/>
                <w:sz w:val="16"/>
                <w:szCs w:val="16"/>
              </w:rPr>
              <w:t xml:space="preserve"> (%)</w:t>
            </w:r>
          </w:p>
        </w:tc>
        <w:tc>
          <w:tcPr>
            <w:tcW w:w="230" w:type="pct"/>
            <w:tcBorders>
              <w:top w:val="nil"/>
              <w:left w:val="nil"/>
              <w:bottom w:val="nil"/>
              <w:right w:val="nil"/>
            </w:tcBorders>
            <w:shd w:val="clear" w:color="auto" w:fill="auto"/>
            <w:noWrap/>
            <w:vAlign w:val="bottom"/>
            <w:hideMark/>
          </w:tcPr>
          <w:p w14:paraId="09F77AD2" w14:textId="3E126658"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252</w:t>
            </w:r>
          </w:p>
        </w:tc>
        <w:tc>
          <w:tcPr>
            <w:tcW w:w="426" w:type="pct"/>
            <w:tcBorders>
              <w:top w:val="nil"/>
              <w:left w:val="nil"/>
              <w:bottom w:val="nil"/>
              <w:right w:val="nil"/>
            </w:tcBorders>
            <w:shd w:val="clear" w:color="auto" w:fill="auto"/>
            <w:noWrap/>
            <w:vAlign w:val="bottom"/>
            <w:hideMark/>
          </w:tcPr>
          <w:p w14:paraId="762F737F" w14:textId="62ED1329"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13.52</w:t>
            </w:r>
          </w:p>
        </w:tc>
        <w:tc>
          <w:tcPr>
            <w:tcW w:w="375" w:type="pct"/>
            <w:tcBorders>
              <w:top w:val="nil"/>
              <w:left w:val="nil"/>
              <w:bottom w:val="nil"/>
              <w:right w:val="nil"/>
            </w:tcBorders>
            <w:shd w:val="clear" w:color="auto" w:fill="auto"/>
            <w:noWrap/>
            <w:vAlign w:val="bottom"/>
            <w:hideMark/>
          </w:tcPr>
          <w:p w14:paraId="156ECB98" w14:textId="3C04F9E4"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0.00</w:t>
            </w:r>
          </w:p>
        </w:tc>
        <w:tc>
          <w:tcPr>
            <w:tcW w:w="379" w:type="pct"/>
            <w:tcBorders>
              <w:top w:val="nil"/>
              <w:left w:val="nil"/>
              <w:bottom w:val="nil"/>
              <w:right w:val="nil"/>
            </w:tcBorders>
            <w:shd w:val="clear" w:color="auto" w:fill="auto"/>
            <w:noWrap/>
            <w:vAlign w:val="bottom"/>
            <w:hideMark/>
          </w:tcPr>
          <w:p w14:paraId="568554D1" w14:textId="25F36C2F"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0.04</w:t>
            </w:r>
          </w:p>
        </w:tc>
        <w:tc>
          <w:tcPr>
            <w:tcW w:w="424" w:type="pct"/>
            <w:tcBorders>
              <w:top w:val="nil"/>
              <w:left w:val="nil"/>
              <w:bottom w:val="nil"/>
              <w:right w:val="nil"/>
            </w:tcBorders>
            <w:shd w:val="clear" w:color="auto" w:fill="auto"/>
            <w:noWrap/>
            <w:vAlign w:val="bottom"/>
            <w:hideMark/>
          </w:tcPr>
          <w:p w14:paraId="5413C485" w14:textId="0689FE13"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73.31</w:t>
            </w:r>
          </w:p>
        </w:tc>
        <w:tc>
          <w:tcPr>
            <w:tcW w:w="398" w:type="pct"/>
            <w:tcBorders>
              <w:top w:val="nil"/>
              <w:left w:val="nil"/>
              <w:bottom w:val="nil"/>
              <w:right w:val="nil"/>
            </w:tcBorders>
            <w:shd w:val="clear" w:color="auto" w:fill="auto"/>
            <w:noWrap/>
            <w:vAlign w:val="bottom"/>
            <w:hideMark/>
          </w:tcPr>
          <w:p w14:paraId="1567000E" w14:textId="76E4DED0"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18.94</w:t>
            </w:r>
          </w:p>
        </w:tc>
        <w:tc>
          <w:tcPr>
            <w:tcW w:w="93" w:type="pct"/>
            <w:tcBorders>
              <w:top w:val="nil"/>
              <w:left w:val="nil"/>
              <w:bottom w:val="nil"/>
              <w:right w:val="nil"/>
            </w:tcBorders>
            <w:shd w:val="clear" w:color="auto" w:fill="auto"/>
            <w:noWrap/>
            <w:vAlign w:val="center"/>
            <w:hideMark/>
          </w:tcPr>
          <w:p w14:paraId="2B79D57B" w14:textId="77777777" w:rsidR="0044062C" w:rsidRPr="00BC68C4" w:rsidRDefault="0044062C" w:rsidP="001613C8">
            <w:pPr>
              <w:jc w:val="center"/>
              <w:rPr>
                <w:rFonts w:ascii="Times New Roman" w:eastAsia="Times New Roman" w:hAnsi="Times New Roman" w:cs="Times New Roman"/>
                <w:color w:val="000000"/>
                <w:sz w:val="16"/>
                <w:szCs w:val="16"/>
                <w:lang w:eastAsia="en-GB"/>
              </w:rPr>
            </w:pPr>
          </w:p>
        </w:tc>
        <w:tc>
          <w:tcPr>
            <w:tcW w:w="165" w:type="pct"/>
            <w:tcBorders>
              <w:top w:val="nil"/>
              <w:left w:val="nil"/>
              <w:bottom w:val="nil"/>
              <w:right w:val="nil"/>
            </w:tcBorders>
            <w:shd w:val="clear" w:color="auto" w:fill="auto"/>
            <w:noWrap/>
            <w:vAlign w:val="bottom"/>
            <w:hideMark/>
          </w:tcPr>
          <w:p w14:paraId="7BFF9297" w14:textId="77777777" w:rsidR="0044062C" w:rsidRPr="00BC68C4" w:rsidRDefault="0044062C" w:rsidP="001613C8">
            <w:pPr>
              <w:jc w:val="left"/>
              <w:rPr>
                <w:rFonts w:ascii="Times New Roman" w:eastAsia="Times New Roman" w:hAnsi="Times New Roman" w:cs="Times New Roman"/>
                <w:color w:val="000000"/>
                <w:sz w:val="16"/>
                <w:szCs w:val="16"/>
                <w:lang w:eastAsia="en-GB"/>
              </w:rPr>
            </w:pPr>
          </w:p>
        </w:tc>
        <w:tc>
          <w:tcPr>
            <w:tcW w:w="238" w:type="pct"/>
            <w:tcBorders>
              <w:top w:val="nil"/>
              <w:left w:val="nil"/>
              <w:bottom w:val="nil"/>
              <w:right w:val="nil"/>
            </w:tcBorders>
            <w:shd w:val="clear" w:color="auto" w:fill="auto"/>
            <w:noWrap/>
            <w:vAlign w:val="bottom"/>
            <w:hideMark/>
          </w:tcPr>
          <w:p w14:paraId="16A7B2EE" w14:textId="77777777" w:rsidR="0044062C" w:rsidRPr="00BC68C4" w:rsidRDefault="0044062C" w:rsidP="001613C8">
            <w:pPr>
              <w:jc w:val="left"/>
              <w:rPr>
                <w:rFonts w:ascii="Times New Roman" w:eastAsia="Times New Roman" w:hAnsi="Times New Roman" w:cs="Times New Roman"/>
                <w:color w:val="000000"/>
                <w:sz w:val="16"/>
                <w:szCs w:val="16"/>
                <w:lang w:eastAsia="en-GB"/>
              </w:rPr>
            </w:pPr>
          </w:p>
        </w:tc>
        <w:tc>
          <w:tcPr>
            <w:tcW w:w="375" w:type="pct"/>
            <w:tcBorders>
              <w:top w:val="nil"/>
              <w:left w:val="nil"/>
              <w:bottom w:val="nil"/>
              <w:right w:val="nil"/>
            </w:tcBorders>
            <w:shd w:val="clear" w:color="auto" w:fill="auto"/>
            <w:noWrap/>
            <w:vAlign w:val="bottom"/>
            <w:hideMark/>
          </w:tcPr>
          <w:p w14:paraId="3A88028B" w14:textId="77777777" w:rsidR="0044062C" w:rsidRPr="00BC68C4" w:rsidRDefault="0044062C" w:rsidP="001613C8">
            <w:pPr>
              <w:jc w:val="left"/>
              <w:rPr>
                <w:rFonts w:ascii="Times New Roman" w:eastAsia="Times New Roman" w:hAnsi="Times New Roman" w:cs="Times New Roman"/>
                <w:color w:val="000000"/>
                <w:sz w:val="16"/>
                <w:szCs w:val="16"/>
                <w:lang w:eastAsia="en-GB"/>
              </w:rPr>
            </w:pPr>
          </w:p>
        </w:tc>
        <w:tc>
          <w:tcPr>
            <w:tcW w:w="279" w:type="pct"/>
            <w:tcBorders>
              <w:top w:val="nil"/>
              <w:left w:val="nil"/>
              <w:bottom w:val="nil"/>
              <w:right w:val="nil"/>
            </w:tcBorders>
            <w:shd w:val="clear" w:color="auto" w:fill="auto"/>
            <w:noWrap/>
            <w:vAlign w:val="bottom"/>
            <w:hideMark/>
          </w:tcPr>
          <w:p w14:paraId="0ED65D2D" w14:textId="77777777" w:rsidR="0044062C" w:rsidRPr="00BC68C4" w:rsidRDefault="0044062C" w:rsidP="001613C8">
            <w:pPr>
              <w:jc w:val="left"/>
              <w:rPr>
                <w:rFonts w:ascii="Times New Roman" w:eastAsia="Times New Roman" w:hAnsi="Times New Roman" w:cs="Times New Roman"/>
                <w:color w:val="000000"/>
                <w:sz w:val="16"/>
                <w:szCs w:val="16"/>
                <w:lang w:eastAsia="en-GB"/>
              </w:rPr>
            </w:pPr>
          </w:p>
        </w:tc>
        <w:tc>
          <w:tcPr>
            <w:tcW w:w="408" w:type="pct"/>
            <w:tcBorders>
              <w:top w:val="nil"/>
              <w:left w:val="nil"/>
              <w:bottom w:val="nil"/>
              <w:right w:val="nil"/>
            </w:tcBorders>
            <w:shd w:val="clear" w:color="auto" w:fill="auto"/>
            <w:noWrap/>
            <w:vAlign w:val="bottom"/>
            <w:hideMark/>
          </w:tcPr>
          <w:p w14:paraId="50C1302F" w14:textId="77777777" w:rsidR="0044062C" w:rsidRPr="00BC68C4" w:rsidRDefault="0044062C" w:rsidP="001613C8">
            <w:pPr>
              <w:jc w:val="left"/>
              <w:rPr>
                <w:rFonts w:ascii="Times New Roman" w:eastAsia="Times New Roman" w:hAnsi="Times New Roman" w:cs="Times New Roman"/>
                <w:color w:val="000000"/>
                <w:sz w:val="16"/>
                <w:szCs w:val="16"/>
                <w:lang w:eastAsia="en-GB"/>
              </w:rPr>
            </w:pPr>
          </w:p>
        </w:tc>
        <w:tc>
          <w:tcPr>
            <w:tcW w:w="270" w:type="pct"/>
            <w:tcBorders>
              <w:top w:val="nil"/>
              <w:left w:val="nil"/>
              <w:bottom w:val="nil"/>
              <w:right w:val="nil"/>
            </w:tcBorders>
            <w:shd w:val="clear" w:color="auto" w:fill="auto"/>
            <w:noWrap/>
            <w:vAlign w:val="bottom"/>
            <w:hideMark/>
          </w:tcPr>
          <w:p w14:paraId="1E6254B1" w14:textId="77777777" w:rsidR="0044062C" w:rsidRPr="00BC68C4" w:rsidRDefault="0044062C" w:rsidP="001613C8">
            <w:pPr>
              <w:jc w:val="left"/>
              <w:rPr>
                <w:rFonts w:ascii="Times New Roman" w:eastAsia="Times New Roman" w:hAnsi="Times New Roman" w:cs="Times New Roman"/>
                <w:color w:val="000000"/>
                <w:sz w:val="16"/>
                <w:szCs w:val="16"/>
                <w:lang w:eastAsia="en-GB"/>
              </w:rPr>
            </w:pPr>
          </w:p>
        </w:tc>
      </w:tr>
      <w:tr w:rsidR="009A0F0B" w:rsidRPr="00BC68C4" w14:paraId="5CF3A85E" w14:textId="77777777" w:rsidTr="009A0F0B">
        <w:trPr>
          <w:trHeight w:hRule="exact" w:val="181"/>
        </w:trPr>
        <w:tc>
          <w:tcPr>
            <w:tcW w:w="262" w:type="pct"/>
            <w:tcBorders>
              <w:top w:val="nil"/>
              <w:left w:val="nil"/>
              <w:bottom w:val="nil"/>
              <w:right w:val="nil"/>
            </w:tcBorders>
            <w:shd w:val="clear" w:color="auto" w:fill="auto"/>
            <w:noWrap/>
            <w:vAlign w:val="center"/>
          </w:tcPr>
          <w:p w14:paraId="17DAF609" w14:textId="77777777" w:rsidR="0044062C" w:rsidRPr="00BC68C4" w:rsidRDefault="0044062C" w:rsidP="00AE0FA6">
            <w:pPr>
              <w:jc w:val="left"/>
              <w:rPr>
                <w:rFonts w:ascii="Times New Roman" w:hAnsi="Times New Roman" w:cs="Times New Roman"/>
                <w:color w:val="000000"/>
                <w:sz w:val="16"/>
                <w:szCs w:val="16"/>
              </w:rPr>
            </w:pPr>
          </w:p>
        </w:tc>
        <w:tc>
          <w:tcPr>
            <w:tcW w:w="678" w:type="pct"/>
            <w:tcBorders>
              <w:top w:val="nil"/>
              <w:left w:val="nil"/>
              <w:bottom w:val="nil"/>
              <w:right w:val="nil"/>
            </w:tcBorders>
            <w:shd w:val="clear" w:color="auto" w:fill="auto"/>
            <w:noWrap/>
            <w:vAlign w:val="center"/>
          </w:tcPr>
          <w:p w14:paraId="461D8379" w14:textId="60D863B7" w:rsidR="0044062C" w:rsidRPr="00BC68C4" w:rsidRDefault="0044062C" w:rsidP="001613C8">
            <w:pPr>
              <w:jc w:val="left"/>
              <w:rPr>
                <w:rFonts w:ascii="Times New Roman" w:hAnsi="Times New Roman" w:cs="Times New Roman"/>
                <w:color w:val="000000"/>
                <w:sz w:val="16"/>
                <w:szCs w:val="16"/>
              </w:rPr>
            </w:pPr>
            <w:proofErr w:type="spellStart"/>
            <w:r w:rsidRPr="00BC68C4">
              <w:rPr>
                <w:rFonts w:ascii="Times New Roman" w:hAnsi="Times New Roman" w:cs="Times New Roman"/>
                <w:color w:val="000000"/>
                <w:sz w:val="16"/>
                <w:szCs w:val="16"/>
              </w:rPr>
              <w:t>ActiveCashWedge</w:t>
            </w:r>
            <w:proofErr w:type="spellEnd"/>
            <w:r w:rsidRPr="00BC68C4">
              <w:rPr>
                <w:rFonts w:ascii="Times New Roman" w:hAnsi="Times New Roman" w:cs="Times New Roman"/>
                <w:color w:val="000000"/>
                <w:sz w:val="16"/>
                <w:szCs w:val="16"/>
              </w:rPr>
              <w:t xml:space="preserve"> (%)</w:t>
            </w:r>
          </w:p>
        </w:tc>
        <w:tc>
          <w:tcPr>
            <w:tcW w:w="230" w:type="pct"/>
            <w:tcBorders>
              <w:top w:val="nil"/>
              <w:left w:val="nil"/>
              <w:bottom w:val="nil"/>
              <w:right w:val="nil"/>
            </w:tcBorders>
            <w:shd w:val="clear" w:color="auto" w:fill="auto"/>
            <w:noWrap/>
            <w:vAlign w:val="bottom"/>
          </w:tcPr>
          <w:p w14:paraId="75498861" w14:textId="47BB916D"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224</w:t>
            </w:r>
          </w:p>
        </w:tc>
        <w:tc>
          <w:tcPr>
            <w:tcW w:w="426" w:type="pct"/>
            <w:tcBorders>
              <w:top w:val="nil"/>
              <w:left w:val="nil"/>
              <w:bottom w:val="nil"/>
              <w:right w:val="nil"/>
            </w:tcBorders>
            <w:shd w:val="clear" w:color="auto" w:fill="auto"/>
            <w:noWrap/>
            <w:vAlign w:val="bottom"/>
          </w:tcPr>
          <w:p w14:paraId="2101DFC2" w14:textId="0BDE66C2"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-0.29</w:t>
            </w:r>
          </w:p>
        </w:tc>
        <w:tc>
          <w:tcPr>
            <w:tcW w:w="375" w:type="pct"/>
            <w:tcBorders>
              <w:top w:val="nil"/>
              <w:left w:val="nil"/>
              <w:bottom w:val="nil"/>
              <w:right w:val="nil"/>
            </w:tcBorders>
            <w:shd w:val="clear" w:color="auto" w:fill="auto"/>
            <w:noWrap/>
            <w:vAlign w:val="bottom"/>
          </w:tcPr>
          <w:p w14:paraId="5FF1EC51" w14:textId="6E18EA0E"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-23.61</w:t>
            </w:r>
          </w:p>
        </w:tc>
        <w:tc>
          <w:tcPr>
            <w:tcW w:w="379" w:type="pct"/>
            <w:tcBorders>
              <w:top w:val="nil"/>
              <w:left w:val="nil"/>
              <w:bottom w:val="nil"/>
              <w:right w:val="nil"/>
            </w:tcBorders>
            <w:shd w:val="clear" w:color="auto" w:fill="auto"/>
            <w:noWrap/>
            <w:vAlign w:val="bottom"/>
          </w:tcPr>
          <w:p w14:paraId="5F03CD45" w14:textId="4CD80329"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0.00</w:t>
            </w:r>
          </w:p>
        </w:tc>
        <w:tc>
          <w:tcPr>
            <w:tcW w:w="424" w:type="pct"/>
            <w:tcBorders>
              <w:top w:val="nil"/>
              <w:left w:val="nil"/>
              <w:bottom w:val="nil"/>
              <w:right w:val="nil"/>
            </w:tcBorders>
            <w:shd w:val="clear" w:color="auto" w:fill="auto"/>
            <w:noWrap/>
            <w:vAlign w:val="bottom"/>
          </w:tcPr>
          <w:p w14:paraId="2FE6B4D9" w14:textId="15FE2147"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13.16</w:t>
            </w:r>
          </w:p>
        </w:tc>
        <w:tc>
          <w:tcPr>
            <w:tcW w:w="398" w:type="pct"/>
            <w:tcBorders>
              <w:top w:val="nil"/>
              <w:left w:val="nil"/>
              <w:bottom w:val="nil"/>
              <w:right w:val="nil"/>
            </w:tcBorders>
            <w:shd w:val="clear" w:color="auto" w:fill="auto"/>
            <w:noWrap/>
            <w:vAlign w:val="bottom"/>
          </w:tcPr>
          <w:p w14:paraId="40B4A812" w14:textId="514F4B0D"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2.39</w:t>
            </w:r>
          </w:p>
        </w:tc>
        <w:tc>
          <w:tcPr>
            <w:tcW w:w="93" w:type="pct"/>
            <w:tcBorders>
              <w:top w:val="nil"/>
              <w:left w:val="nil"/>
              <w:bottom w:val="nil"/>
              <w:right w:val="nil"/>
            </w:tcBorders>
            <w:shd w:val="clear" w:color="auto" w:fill="auto"/>
            <w:noWrap/>
            <w:vAlign w:val="center"/>
          </w:tcPr>
          <w:p w14:paraId="6DA0A010" w14:textId="77777777" w:rsidR="0044062C" w:rsidRPr="00BC68C4" w:rsidRDefault="0044062C" w:rsidP="001613C8">
            <w:pPr>
              <w:jc w:val="center"/>
              <w:rPr>
                <w:rFonts w:ascii="Times New Roman" w:eastAsia="Times New Roman" w:hAnsi="Times New Roman" w:cs="Times New Roman"/>
                <w:color w:val="000000"/>
                <w:sz w:val="16"/>
                <w:szCs w:val="16"/>
                <w:lang w:eastAsia="en-GB"/>
              </w:rPr>
            </w:pPr>
          </w:p>
        </w:tc>
        <w:tc>
          <w:tcPr>
            <w:tcW w:w="165" w:type="pct"/>
            <w:tcBorders>
              <w:top w:val="nil"/>
              <w:left w:val="nil"/>
              <w:bottom w:val="nil"/>
              <w:right w:val="nil"/>
            </w:tcBorders>
            <w:shd w:val="clear" w:color="auto" w:fill="auto"/>
            <w:noWrap/>
            <w:vAlign w:val="bottom"/>
          </w:tcPr>
          <w:p w14:paraId="46298ABC" w14:textId="77777777" w:rsidR="0044062C" w:rsidRPr="00BC68C4" w:rsidRDefault="0044062C" w:rsidP="001613C8">
            <w:pPr>
              <w:jc w:val="left"/>
              <w:rPr>
                <w:rFonts w:ascii="Times New Roman" w:eastAsia="Times New Roman" w:hAnsi="Times New Roman" w:cs="Times New Roman"/>
                <w:color w:val="000000"/>
                <w:sz w:val="16"/>
                <w:szCs w:val="16"/>
                <w:lang w:eastAsia="en-GB"/>
              </w:rPr>
            </w:pPr>
          </w:p>
        </w:tc>
        <w:tc>
          <w:tcPr>
            <w:tcW w:w="238" w:type="pct"/>
            <w:tcBorders>
              <w:top w:val="nil"/>
              <w:left w:val="nil"/>
              <w:bottom w:val="nil"/>
              <w:right w:val="nil"/>
            </w:tcBorders>
            <w:shd w:val="clear" w:color="auto" w:fill="auto"/>
            <w:noWrap/>
            <w:vAlign w:val="bottom"/>
          </w:tcPr>
          <w:p w14:paraId="42BC30FA" w14:textId="77777777" w:rsidR="0044062C" w:rsidRPr="00BC68C4" w:rsidRDefault="0044062C" w:rsidP="001613C8">
            <w:pPr>
              <w:jc w:val="left"/>
              <w:rPr>
                <w:rFonts w:ascii="Times New Roman" w:eastAsia="Times New Roman" w:hAnsi="Times New Roman" w:cs="Times New Roman"/>
                <w:color w:val="000000"/>
                <w:sz w:val="16"/>
                <w:szCs w:val="16"/>
                <w:lang w:eastAsia="en-GB"/>
              </w:rPr>
            </w:pPr>
          </w:p>
        </w:tc>
        <w:tc>
          <w:tcPr>
            <w:tcW w:w="375" w:type="pct"/>
            <w:tcBorders>
              <w:top w:val="nil"/>
              <w:left w:val="nil"/>
              <w:bottom w:val="nil"/>
              <w:right w:val="nil"/>
            </w:tcBorders>
            <w:shd w:val="clear" w:color="auto" w:fill="auto"/>
            <w:noWrap/>
            <w:vAlign w:val="bottom"/>
          </w:tcPr>
          <w:p w14:paraId="48AFC920" w14:textId="77777777" w:rsidR="0044062C" w:rsidRPr="00BC68C4" w:rsidRDefault="0044062C" w:rsidP="001613C8">
            <w:pPr>
              <w:jc w:val="left"/>
              <w:rPr>
                <w:rFonts w:ascii="Times New Roman" w:eastAsia="Times New Roman" w:hAnsi="Times New Roman" w:cs="Times New Roman"/>
                <w:color w:val="000000"/>
                <w:sz w:val="16"/>
                <w:szCs w:val="16"/>
                <w:lang w:eastAsia="en-GB"/>
              </w:rPr>
            </w:pPr>
          </w:p>
        </w:tc>
        <w:tc>
          <w:tcPr>
            <w:tcW w:w="279" w:type="pct"/>
            <w:tcBorders>
              <w:top w:val="nil"/>
              <w:left w:val="nil"/>
              <w:bottom w:val="nil"/>
              <w:right w:val="nil"/>
            </w:tcBorders>
            <w:shd w:val="clear" w:color="auto" w:fill="auto"/>
            <w:noWrap/>
            <w:vAlign w:val="bottom"/>
          </w:tcPr>
          <w:p w14:paraId="1AC3B675" w14:textId="77777777" w:rsidR="0044062C" w:rsidRPr="00BC68C4" w:rsidRDefault="0044062C" w:rsidP="001613C8">
            <w:pPr>
              <w:jc w:val="left"/>
              <w:rPr>
                <w:rFonts w:ascii="Times New Roman" w:eastAsia="Times New Roman" w:hAnsi="Times New Roman" w:cs="Times New Roman"/>
                <w:color w:val="000000"/>
                <w:sz w:val="16"/>
                <w:szCs w:val="16"/>
                <w:lang w:eastAsia="en-GB"/>
              </w:rPr>
            </w:pPr>
          </w:p>
        </w:tc>
        <w:tc>
          <w:tcPr>
            <w:tcW w:w="408" w:type="pct"/>
            <w:tcBorders>
              <w:top w:val="nil"/>
              <w:left w:val="nil"/>
              <w:bottom w:val="nil"/>
              <w:right w:val="nil"/>
            </w:tcBorders>
            <w:shd w:val="clear" w:color="auto" w:fill="auto"/>
            <w:noWrap/>
            <w:vAlign w:val="bottom"/>
          </w:tcPr>
          <w:p w14:paraId="613B5435" w14:textId="77777777" w:rsidR="0044062C" w:rsidRPr="00BC68C4" w:rsidRDefault="0044062C" w:rsidP="001613C8">
            <w:pPr>
              <w:jc w:val="left"/>
              <w:rPr>
                <w:rFonts w:ascii="Times New Roman" w:eastAsia="Times New Roman" w:hAnsi="Times New Roman" w:cs="Times New Roman"/>
                <w:color w:val="000000"/>
                <w:sz w:val="16"/>
                <w:szCs w:val="16"/>
                <w:lang w:eastAsia="en-GB"/>
              </w:rPr>
            </w:pPr>
          </w:p>
        </w:tc>
        <w:tc>
          <w:tcPr>
            <w:tcW w:w="270" w:type="pct"/>
            <w:tcBorders>
              <w:top w:val="nil"/>
              <w:left w:val="nil"/>
              <w:bottom w:val="nil"/>
              <w:right w:val="nil"/>
            </w:tcBorders>
            <w:shd w:val="clear" w:color="auto" w:fill="auto"/>
            <w:noWrap/>
            <w:vAlign w:val="bottom"/>
          </w:tcPr>
          <w:p w14:paraId="3C1A6DD0" w14:textId="77777777" w:rsidR="0044062C" w:rsidRPr="00BC68C4" w:rsidRDefault="0044062C" w:rsidP="001613C8">
            <w:pPr>
              <w:jc w:val="left"/>
              <w:rPr>
                <w:rFonts w:ascii="Times New Roman" w:eastAsia="Times New Roman" w:hAnsi="Times New Roman" w:cs="Times New Roman"/>
                <w:color w:val="000000"/>
                <w:sz w:val="16"/>
                <w:szCs w:val="16"/>
                <w:lang w:eastAsia="en-GB"/>
              </w:rPr>
            </w:pPr>
          </w:p>
        </w:tc>
      </w:tr>
      <w:tr w:rsidR="009A0F0B" w:rsidRPr="00BC68C4" w14:paraId="5D91A450" w14:textId="77777777" w:rsidTr="009A0F0B">
        <w:trPr>
          <w:trHeight w:hRule="exact" w:val="181"/>
        </w:trPr>
        <w:tc>
          <w:tcPr>
            <w:tcW w:w="262" w:type="pct"/>
            <w:tcBorders>
              <w:top w:val="nil"/>
              <w:left w:val="nil"/>
              <w:bottom w:val="nil"/>
              <w:right w:val="nil"/>
            </w:tcBorders>
            <w:shd w:val="clear" w:color="auto" w:fill="auto"/>
            <w:noWrap/>
            <w:vAlign w:val="center"/>
          </w:tcPr>
          <w:p w14:paraId="14557714" w14:textId="77777777" w:rsidR="0044062C" w:rsidRPr="00BC68C4" w:rsidRDefault="0044062C" w:rsidP="00AE0FA6">
            <w:pPr>
              <w:jc w:val="left"/>
              <w:rPr>
                <w:rFonts w:ascii="Times New Roman" w:hAnsi="Times New Roman" w:cs="Times New Roman"/>
                <w:color w:val="000000"/>
                <w:sz w:val="16"/>
                <w:szCs w:val="16"/>
              </w:rPr>
            </w:pPr>
          </w:p>
        </w:tc>
        <w:tc>
          <w:tcPr>
            <w:tcW w:w="678" w:type="pct"/>
            <w:tcBorders>
              <w:top w:val="nil"/>
              <w:left w:val="nil"/>
              <w:bottom w:val="nil"/>
              <w:right w:val="nil"/>
            </w:tcBorders>
            <w:shd w:val="clear" w:color="auto" w:fill="auto"/>
            <w:noWrap/>
            <w:vAlign w:val="center"/>
          </w:tcPr>
          <w:p w14:paraId="2DC609C4" w14:textId="42F350A2" w:rsidR="0044062C" w:rsidRPr="00BC68C4" w:rsidRDefault="0044062C" w:rsidP="001613C8">
            <w:pPr>
              <w:jc w:val="left"/>
              <w:rPr>
                <w:rFonts w:ascii="Times New Roman" w:hAnsi="Times New Roman" w:cs="Times New Roman"/>
                <w:color w:val="000000"/>
                <w:sz w:val="16"/>
                <w:szCs w:val="16"/>
              </w:rPr>
            </w:pPr>
            <w:proofErr w:type="spellStart"/>
            <w:r w:rsidRPr="00BC68C4">
              <w:rPr>
                <w:rFonts w:ascii="Times New Roman" w:hAnsi="Times New Roman" w:cs="Times New Roman"/>
                <w:color w:val="000000"/>
                <w:sz w:val="16"/>
                <w:szCs w:val="16"/>
              </w:rPr>
              <w:t>VoteNonLinear</w:t>
            </w:r>
            <w:proofErr w:type="spellEnd"/>
          </w:p>
        </w:tc>
        <w:tc>
          <w:tcPr>
            <w:tcW w:w="230" w:type="pct"/>
            <w:tcBorders>
              <w:top w:val="nil"/>
              <w:left w:val="nil"/>
              <w:bottom w:val="nil"/>
              <w:right w:val="nil"/>
            </w:tcBorders>
            <w:shd w:val="clear" w:color="auto" w:fill="auto"/>
            <w:noWrap/>
            <w:vAlign w:val="bottom"/>
          </w:tcPr>
          <w:p w14:paraId="21717354" w14:textId="78A0D155"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245</w:t>
            </w:r>
          </w:p>
        </w:tc>
        <w:tc>
          <w:tcPr>
            <w:tcW w:w="426" w:type="pct"/>
            <w:tcBorders>
              <w:top w:val="nil"/>
              <w:left w:val="nil"/>
              <w:bottom w:val="nil"/>
              <w:right w:val="nil"/>
            </w:tcBorders>
            <w:shd w:val="clear" w:color="auto" w:fill="auto"/>
            <w:noWrap/>
            <w:vAlign w:val="bottom"/>
          </w:tcPr>
          <w:p w14:paraId="1862302A" w14:textId="4C8B9C12"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0.36</w:t>
            </w:r>
          </w:p>
        </w:tc>
        <w:tc>
          <w:tcPr>
            <w:tcW w:w="375" w:type="pct"/>
            <w:tcBorders>
              <w:top w:val="nil"/>
              <w:left w:val="nil"/>
              <w:bottom w:val="nil"/>
              <w:right w:val="nil"/>
            </w:tcBorders>
            <w:shd w:val="clear" w:color="auto" w:fill="auto"/>
            <w:noWrap/>
            <w:vAlign w:val="bottom"/>
          </w:tcPr>
          <w:p w14:paraId="09DE7C26" w14:textId="22EF317D"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0.00</w:t>
            </w:r>
          </w:p>
        </w:tc>
        <w:tc>
          <w:tcPr>
            <w:tcW w:w="379" w:type="pct"/>
            <w:tcBorders>
              <w:top w:val="nil"/>
              <w:left w:val="nil"/>
              <w:bottom w:val="nil"/>
              <w:right w:val="nil"/>
            </w:tcBorders>
            <w:shd w:val="clear" w:color="auto" w:fill="auto"/>
            <w:noWrap/>
            <w:vAlign w:val="bottom"/>
          </w:tcPr>
          <w:p w14:paraId="374D7CD2" w14:textId="4D4A3ECF"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0.00</w:t>
            </w:r>
          </w:p>
        </w:tc>
        <w:tc>
          <w:tcPr>
            <w:tcW w:w="424" w:type="pct"/>
            <w:tcBorders>
              <w:top w:val="nil"/>
              <w:left w:val="nil"/>
              <w:bottom w:val="nil"/>
              <w:right w:val="nil"/>
            </w:tcBorders>
            <w:shd w:val="clear" w:color="auto" w:fill="auto"/>
            <w:noWrap/>
            <w:vAlign w:val="bottom"/>
          </w:tcPr>
          <w:p w14:paraId="32BA54EA" w14:textId="34586018"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1.00</w:t>
            </w:r>
          </w:p>
        </w:tc>
        <w:tc>
          <w:tcPr>
            <w:tcW w:w="398" w:type="pct"/>
            <w:tcBorders>
              <w:top w:val="nil"/>
              <w:left w:val="nil"/>
              <w:bottom w:val="nil"/>
              <w:right w:val="nil"/>
            </w:tcBorders>
            <w:shd w:val="clear" w:color="auto" w:fill="auto"/>
            <w:noWrap/>
            <w:vAlign w:val="bottom"/>
          </w:tcPr>
          <w:p w14:paraId="31585992" w14:textId="3D6B4AD7"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0.48</w:t>
            </w:r>
          </w:p>
        </w:tc>
        <w:tc>
          <w:tcPr>
            <w:tcW w:w="93" w:type="pct"/>
            <w:tcBorders>
              <w:top w:val="nil"/>
              <w:left w:val="nil"/>
              <w:bottom w:val="nil"/>
              <w:right w:val="nil"/>
            </w:tcBorders>
            <w:shd w:val="clear" w:color="auto" w:fill="auto"/>
            <w:noWrap/>
            <w:vAlign w:val="center"/>
          </w:tcPr>
          <w:p w14:paraId="2570F13C" w14:textId="77777777" w:rsidR="0044062C" w:rsidRPr="00BC68C4" w:rsidRDefault="0044062C" w:rsidP="001613C8">
            <w:pPr>
              <w:jc w:val="center"/>
              <w:rPr>
                <w:rFonts w:ascii="Times New Roman" w:eastAsia="Times New Roman" w:hAnsi="Times New Roman" w:cs="Times New Roman"/>
                <w:color w:val="000000"/>
                <w:sz w:val="16"/>
                <w:szCs w:val="16"/>
                <w:lang w:eastAsia="en-GB"/>
              </w:rPr>
            </w:pPr>
          </w:p>
        </w:tc>
        <w:tc>
          <w:tcPr>
            <w:tcW w:w="165" w:type="pct"/>
            <w:tcBorders>
              <w:top w:val="nil"/>
              <w:left w:val="nil"/>
              <w:bottom w:val="nil"/>
              <w:right w:val="nil"/>
            </w:tcBorders>
            <w:shd w:val="clear" w:color="auto" w:fill="auto"/>
            <w:noWrap/>
            <w:vAlign w:val="bottom"/>
          </w:tcPr>
          <w:p w14:paraId="78E3514D" w14:textId="77777777" w:rsidR="0044062C" w:rsidRPr="00BC68C4" w:rsidRDefault="0044062C" w:rsidP="001613C8">
            <w:pPr>
              <w:jc w:val="left"/>
              <w:rPr>
                <w:rFonts w:ascii="Times New Roman" w:eastAsia="Times New Roman" w:hAnsi="Times New Roman" w:cs="Times New Roman"/>
                <w:color w:val="000000"/>
                <w:sz w:val="16"/>
                <w:szCs w:val="16"/>
                <w:lang w:eastAsia="en-GB"/>
              </w:rPr>
            </w:pPr>
          </w:p>
        </w:tc>
        <w:tc>
          <w:tcPr>
            <w:tcW w:w="238" w:type="pct"/>
            <w:tcBorders>
              <w:top w:val="nil"/>
              <w:left w:val="nil"/>
              <w:bottom w:val="nil"/>
              <w:right w:val="nil"/>
            </w:tcBorders>
            <w:shd w:val="clear" w:color="auto" w:fill="auto"/>
            <w:noWrap/>
            <w:vAlign w:val="bottom"/>
          </w:tcPr>
          <w:p w14:paraId="43B2F441" w14:textId="77777777" w:rsidR="0044062C" w:rsidRPr="00BC68C4" w:rsidRDefault="0044062C" w:rsidP="001613C8">
            <w:pPr>
              <w:jc w:val="left"/>
              <w:rPr>
                <w:rFonts w:ascii="Times New Roman" w:eastAsia="Times New Roman" w:hAnsi="Times New Roman" w:cs="Times New Roman"/>
                <w:color w:val="000000"/>
                <w:sz w:val="16"/>
                <w:szCs w:val="16"/>
                <w:lang w:eastAsia="en-GB"/>
              </w:rPr>
            </w:pPr>
          </w:p>
        </w:tc>
        <w:tc>
          <w:tcPr>
            <w:tcW w:w="375" w:type="pct"/>
            <w:tcBorders>
              <w:top w:val="nil"/>
              <w:left w:val="nil"/>
              <w:bottom w:val="nil"/>
              <w:right w:val="nil"/>
            </w:tcBorders>
            <w:shd w:val="clear" w:color="auto" w:fill="auto"/>
            <w:noWrap/>
            <w:vAlign w:val="bottom"/>
          </w:tcPr>
          <w:p w14:paraId="43513010" w14:textId="77777777" w:rsidR="0044062C" w:rsidRPr="00BC68C4" w:rsidRDefault="0044062C" w:rsidP="001613C8">
            <w:pPr>
              <w:jc w:val="left"/>
              <w:rPr>
                <w:rFonts w:ascii="Times New Roman" w:eastAsia="Times New Roman" w:hAnsi="Times New Roman" w:cs="Times New Roman"/>
                <w:color w:val="000000"/>
                <w:sz w:val="16"/>
                <w:szCs w:val="16"/>
                <w:lang w:eastAsia="en-GB"/>
              </w:rPr>
            </w:pPr>
          </w:p>
        </w:tc>
        <w:tc>
          <w:tcPr>
            <w:tcW w:w="279" w:type="pct"/>
            <w:tcBorders>
              <w:top w:val="nil"/>
              <w:left w:val="nil"/>
              <w:bottom w:val="nil"/>
              <w:right w:val="nil"/>
            </w:tcBorders>
            <w:shd w:val="clear" w:color="auto" w:fill="auto"/>
            <w:noWrap/>
            <w:vAlign w:val="bottom"/>
          </w:tcPr>
          <w:p w14:paraId="1CADB679" w14:textId="77777777" w:rsidR="0044062C" w:rsidRPr="00BC68C4" w:rsidRDefault="0044062C" w:rsidP="001613C8">
            <w:pPr>
              <w:jc w:val="left"/>
              <w:rPr>
                <w:rFonts w:ascii="Times New Roman" w:eastAsia="Times New Roman" w:hAnsi="Times New Roman" w:cs="Times New Roman"/>
                <w:color w:val="000000"/>
                <w:sz w:val="16"/>
                <w:szCs w:val="16"/>
                <w:lang w:eastAsia="en-GB"/>
              </w:rPr>
            </w:pPr>
          </w:p>
        </w:tc>
        <w:tc>
          <w:tcPr>
            <w:tcW w:w="408" w:type="pct"/>
            <w:tcBorders>
              <w:top w:val="nil"/>
              <w:left w:val="nil"/>
              <w:bottom w:val="nil"/>
              <w:right w:val="nil"/>
            </w:tcBorders>
            <w:shd w:val="clear" w:color="auto" w:fill="auto"/>
            <w:noWrap/>
            <w:vAlign w:val="bottom"/>
          </w:tcPr>
          <w:p w14:paraId="4F3DFF92" w14:textId="77777777" w:rsidR="0044062C" w:rsidRPr="00BC68C4" w:rsidRDefault="0044062C" w:rsidP="001613C8">
            <w:pPr>
              <w:jc w:val="left"/>
              <w:rPr>
                <w:rFonts w:ascii="Times New Roman" w:eastAsia="Times New Roman" w:hAnsi="Times New Roman" w:cs="Times New Roman"/>
                <w:color w:val="000000"/>
                <w:sz w:val="16"/>
                <w:szCs w:val="16"/>
                <w:lang w:eastAsia="en-GB"/>
              </w:rPr>
            </w:pPr>
          </w:p>
        </w:tc>
        <w:tc>
          <w:tcPr>
            <w:tcW w:w="270" w:type="pct"/>
            <w:tcBorders>
              <w:top w:val="nil"/>
              <w:left w:val="nil"/>
              <w:bottom w:val="nil"/>
              <w:right w:val="nil"/>
            </w:tcBorders>
            <w:shd w:val="clear" w:color="auto" w:fill="auto"/>
            <w:noWrap/>
            <w:vAlign w:val="bottom"/>
          </w:tcPr>
          <w:p w14:paraId="1882660C" w14:textId="77777777" w:rsidR="0044062C" w:rsidRPr="00BC68C4" w:rsidRDefault="0044062C" w:rsidP="001613C8">
            <w:pPr>
              <w:jc w:val="left"/>
              <w:rPr>
                <w:rFonts w:ascii="Times New Roman" w:eastAsia="Times New Roman" w:hAnsi="Times New Roman" w:cs="Times New Roman"/>
                <w:color w:val="000000"/>
                <w:sz w:val="16"/>
                <w:szCs w:val="16"/>
                <w:lang w:eastAsia="en-GB"/>
              </w:rPr>
            </w:pPr>
          </w:p>
        </w:tc>
      </w:tr>
      <w:tr w:rsidR="009A0F0B" w:rsidRPr="00BC68C4" w14:paraId="4C6D7D51" w14:textId="77777777" w:rsidTr="009A0F0B">
        <w:trPr>
          <w:trHeight w:hRule="exact" w:val="181"/>
        </w:trPr>
        <w:tc>
          <w:tcPr>
            <w:tcW w:w="262" w:type="pct"/>
            <w:tcBorders>
              <w:top w:val="nil"/>
              <w:left w:val="nil"/>
              <w:bottom w:val="double" w:sz="6" w:space="0" w:color="auto"/>
              <w:right w:val="nil"/>
            </w:tcBorders>
            <w:shd w:val="clear" w:color="auto" w:fill="auto"/>
            <w:noWrap/>
            <w:vAlign w:val="center"/>
          </w:tcPr>
          <w:p w14:paraId="00F56EFF" w14:textId="77777777" w:rsidR="0044062C" w:rsidRPr="00BC68C4" w:rsidRDefault="0044062C" w:rsidP="00AE0FA6">
            <w:pPr>
              <w:jc w:val="left"/>
              <w:rPr>
                <w:rFonts w:ascii="Times New Roman" w:hAnsi="Times New Roman" w:cs="Times New Roman"/>
                <w:color w:val="000000"/>
                <w:sz w:val="16"/>
                <w:szCs w:val="16"/>
              </w:rPr>
            </w:pPr>
          </w:p>
        </w:tc>
        <w:tc>
          <w:tcPr>
            <w:tcW w:w="678" w:type="pct"/>
            <w:tcBorders>
              <w:top w:val="nil"/>
              <w:left w:val="nil"/>
              <w:bottom w:val="double" w:sz="6" w:space="0" w:color="auto"/>
              <w:right w:val="nil"/>
            </w:tcBorders>
            <w:shd w:val="clear" w:color="auto" w:fill="auto"/>
            <w:noWrap/>
            <w:vAlign w:val="center"/>
          </w:tcPr>
          <w:p w14:paraId="62AFD253" w14:textId="0B69387D" w:rsidR="0044062C" w:rsidRPr="00BC68C4" w:rsidRDefault="0044062C" w:rsidP="001613C8">
            <w:pPr>
              <w:jc w:val="left"/>
              <w:rPr>
                <w:rFonts w:ascii="Times New Roman" w:hAnsi="Times New Roman" w:cs="Times New Roman"/>
                <w:color w:val="000000"/>
                <w:sz w:val="16"/>
                <w:szCs w:val="16"/>
              </w:rPr>
            </w:pPr>
            <w:r w:rsidRPr="00BC68C4">
              <w:rPr>
                <w:rFonts w:ascii="Times New Roman" w:hAnsi="Times New Roman" w:cs="Times New Roman"/>
                <w:color w:val="000000"/>
                <w:sz w:val="16"/>
                <w:szCs w:val="16"/>
              </w:rPr>
              <w:t>Uncalled</w:t>
            </w:r>
          </w:p>
        </w:tc>
        <w:tc>
          <w:tcPr>
            <w:tcW w:w="230" w:type="pct"/>
            <w:tcBorders>
              <w:top w:val="nil"/>
              <w:left w:val="nil"/>
              <w:bottom w:val="double" w:sz="6" w:space="0" w:color="auto"/>
              <w:right w:val="nil"/>
            </w:tcBorders>
            <w:shd w:val="clear" w:color="auto" w:fill="auto"/>
            <w:noWrap/>
            <w:vAlign w:val="bottom"/>
          </w:tcPr>
          <w:p w14:paraId="0E24A202" w14:textId="5822F6F1"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252</w:t>
            </w:r>
          </w:p>
        </w:tc>
        <w:tc>
          <w:tcPr>
            <w:tcW w:w="426" w:type="pct"/>
            <w:tcBorders>
              <w:top w:val="nil"/>
              <w:left w:val="nil"/>
              <w:bottom w:val="double" w:sz="6" w:space="0" w:color="auto"/>
              <w:right w:val="nil"/>
            </w:tcBorders>
            <w:shd w:val="clear" w:color="auto" w:fill="auto"/>
            <w:noWrap/>
            <w:vAlign w:val="bottom"/>
          </w:tcPr>
          <w:p w14:paraId="2E67DC3A" w14:textId="5068576A"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6.58</w:t>
            </w:r>
          </w:p>
        </w:tc>
        <w:tc>
          <w:tcPr>
            <w:tcW w:w="375" w:type="pct"/>
            <w:tcBorders>
              <w:top w:val="nil"/>
              <w:left w:val="nil"/>
              <w:bottom w:val="double" w:sz="6" w:space="0" w:color="auto"/>
              <w:right w:val="nil"/>
            </w:tcBorders>
            <w:shd w:val="clear" w:color="auto" w:fill="auto"/>
            <w:noWrap/>
            <w:vAlign w:val="bottom"/>
          </w:tcPr>
          <w:p w14:paraId="61786B12" w14:textId="4DEE4B82"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0.00</w:t>
            </w:r>
          </w:p>
        </w:tc>
        <w:tc>
          <w:tcPr>
            <w:tcW w:w="379" w:type="pct"/>
            <w:tcBorders>
              <w:top w:val="nil"/>
              <w:left w:val="nil"/>
              <w:bottom w:val="double" w:sz="6" w:space="0" w:color="auto"/>
              <w:right w:val="nil"/>
            </w:tcBorders>
            <w:shd w:val="clear" w:color="auto" w:fill="auto"/>
            <w:noWrap/>
            <w:vAlign w:val="bottom"/>
          </w:tcPr>
          <w:p w14:paraId="63B06EBF" w14:textId="49D39770"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0.00</w:t>
            </w:r>
          </w:p>
        </w:tc>
        <w:tc>
          <w:tcPr>
            <w:tcW w:w="424" w:type="pct"/>
            <w:tcBorders>
              <w:top w:val="nil"/>
              <w:left w:val="nil"/>
              <w:bottom w:val="double" w:sz="6" w:space="0" w:color="auto"/>
              <w:right w:val="nil"/>
            </w:tcBorders>
            <w:shd w:val="clear" w:color="auto" w:fill="auto"/>
            <w:noWrap/>
            <w:vAlign w:val="bottom"/>
          </w:tcPr>
          <w:p w14:paraId="02959418" w14:textId="55657C07"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97.50</w:t>
            </w:r>
          </w:p>
        </w:tc>
        <w:tc>
          <w:tcPr>
            <w:tcW w:w="398" w:type="pct"/>
            <w:tcBorders>
              <w:top w:val="nil"/>
              <w:left w:val="nil"/>
              <w:bottom w:val="double" w:sz="6" w:space="0" w:color="auto"/>
              <w:right w:val="nil"/>
            </w:tcBorders>
            <w:shd w:val="clear" w:color="auto" w:fill="auto"/>
            <w:noWrap/>
            <w:vAlign w:val="bottom"/>
          </w:tcPr>
          <w:p w14:paraId="3F5F161D" w14:textId="3153F84D" w:rsidR="0044062C" w:rsidRPr="00BC68C4" w:rsidRDefault="0044062C" w:rsidP="001613C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15.18</w:t>
            </w:r>
          </w:p>
        </w:tc>
        <w:tc>
          <w:tcPr>
            <w:tcW w:w="93" w:type="pct"/>
            <w:tcBorders>
              <w:top w:val="nil"/>
              <w:left w:val="nil"/>
              <w:bottom w:val="double" w:sz="6" w:space="0" w:color="auto"/>
              <w:right w:val="nil"/>
            </w:tcBorders>
            <w:shd w:val="clear" w:color="auto" w:fill="auto"/>
            <w:noWrap/>
            <w:vAlign w:val="center"/>
          </w:tcPr>
          <w:p w14:paraId="3DE0359F" w14:textId="77777777" w:rsidR="0044062C" w:rsidRPr="00BC68C4" w:rsidRDefault="0044062C" w:rsidP="001613C8">
            <w:pPr>
              <w:jc w:val="center"/>
              <w:rPr>
                <w:rFonts w:ascii="Times New Roman" w:eastAsia="Times New Roman" w:hAnsi="Times New Roman" w:cs="Times New Roman"/>
                <w:color w:val="000000"/>
                <w:sz w:val="16"/>
                <w:szCs w:val="16"/>
                <w:lang w:eastAsia="en-GB"/>
              </w:rPr>
            </w:pPr>
          </w:p>
        </w:tc>
        <w:tc>
          <w:tcPr>
            <w:tcW w:w="165" w:type="pct"/>
            <w:tcBorders>
              <w:top w:val="nil"/>
              <w:left w:val="nil"/>
              <w:bottom w:val="double" w:sz="6" w:space="0" w:color="auto"/>
              <w:right w:val="nil"/>
            </w:tcBorders>
            <w:shd w:val="clear" w:color="auto" w:fill="auto"/>
            <w:noWrap/>
            <w:vAlign w:val="bottom"/>
          </w:tcPr>
          <w:p w14:paraId="5D75F27F" w14:textId="77777777" w:rsidR="0044062C" w:rsidRPr="00BC68C4" w:rsidRDefault="0044062C" w:rsidP="001613C8">
            <w:pPr>
              <w:jc w:val="left"/>
              <w:rPr>
                <w:rFonts w:ascii="Times New Roman" w:eastAsia="Times New Roman" w:hAnsi="Times New Roman" w:cs="Times New Roman"/>
                <w:color w:val="000000"/>
                <w:sz w:val="16"/>
                <w:szCs w:val="16"/>
                <w:lang w:eastAsia="en-GB"/>
              </w:rPr>
            </w:pPr>
          </w:p>
        </w:tc>
        <w:tc>
          <w:tcPr>
            <w:tcW w:w="238" w:type="pct"/>
            <w:tcBorders>
              <w:top w:val="nil"/>
              <w:left w:val="nil"/>
              <w:bottom w:val="double" w:sz="6" w:space="0" w:color="auto"/>
              <w:right w:val="nil"/>
            </w:tcBorders>
            <w:shd w:val="clear" w:color="auto" w:fill="auto"/>
            <w:noWrap/>
            <w:vAlign w:val="bottom"/>
          </w:tcPr>
          <w:p w14:paraId="10E4D4E5" w14:textId="77777777" w:rsidR="0044062C" w:rsidRPr="00BC68C4" w:rsidRDefault="0044062C" w:rsidP="001613C8">
            <w:pPr>
              <w:jc w:val="left"/>
              <w:rPr>
                <w:rFonts w:ascii="Times New Roman" w:eastAsia="Times New Roman" w:hAnsi="Times New Roman" w:cs="Times New Roman"/>
                <w:color w:val="000000"/>
                <w:sz w:val="16"/>
                <w:szCs w:val="16"/>
                <w:lang w:eastAsia="en-GB"/>
              </w:rPr>
            </w:pPr>
          </w:p>
        </w:tc>
        <w:tc>
          <w:tcPr>
            <w:tcW w:w="375" w:type="pct"/>
            <w:tcBorders>
              <w:top w:val="nil"/>
              <w:left w:val="nil"/>
              <w:bottom w:val="double" w:sz="6" w:space="0" w:color="auto"/>
              <w:right w:val="nil"/>
            </w:tcBorders>
            <w:shd w:val="clear" w:color="auto" w:fill="auto"/>
            <w:noWrap/>
            <w:vAlign w:val="bottom"/>
          </w:tcPr>
          <w:p w14:paraId="35C8181A" w14:textId="77777777" w:rsidR="0044062C" w:rsidRPr="00BC68C4" w:rsidRDefault="0044062C" w:rsidP="001613C8">
            <w:pPr>
              <w:jc w:val="left"/>
              <w:rPr>
                <w:rFonts w:ascii="Times New Roman" w:eastAsia="Times New Roman" w:hAnsi="Times New Roman" w:cs="Times New Roman"/>
                <w:color w:val="000000"/>
                <w:sz w:val="16"/>
                <w:szCs w:val="16"/>
                <w:lang w:eastAsia="en-GB"/>
              </w:rPr>
            </w:pPr>
          </w:p>
        </w:tc>
        <w:tc>
          <w:tcPr>
            <w:tcW w:w="279" w:type="pct"/>
            <w:tcBorders>
              <w:top w:val="nil"/>
              <w:left w:val="nil"/>
              <w:bottom w:val="double" w:sz="6" w:space="0" w:color="auto"/>
              <w:right w:val="nil"/>
            </w:tcBorders>
            <w:shd w:val="clear" w:color="auto" w:fill="auto"/>
            <w:noWrap/>
            <w:vAlign w:val="bottom"/>
          </w:tcPr>
          <w:p w14:paraId="58517F27" w14:textId="77777777" w:rsidR="0044062C" w:rsidRPr="00BC68C4" w:rsidRDefault="0044062C" w:rsidP="001613C8">
            <w:pPr>
              <w:jc w:val="left"/>
              <w:rPr>
                <w:rFonts w:ascii="Times New Roman" w:eastAsia="Times New Roman" w:hAnsi="Times New Roman" w:cs="Times New Roman"/>
                <w:color w:val="000000"/>
                <w:sz w:val="16"/>
                <w:szCs w:val="16"/>
                <w:lang w:eastAsia="en-GB"/>
              </w:rPr>
            </w:pPr>
          </w:p>
        </w:tc>
        <w:tc>
          <w:tcPr>
            <w:tcW w:w="408" w:type="pct"/>
            <w:tcBorders>
              <w:top w:val="nil"/>
              <w:left w:val="nil"/>
              <w:bottom w:val="double" w:sz="6" w:space="0" w:color="auto"/>
              <w:right w:val="nil"/>
            </w:tcBorders>
            <w:shd w:val="clear" w:color="auto" w:fill="auto"/>
            <w:noWrap/>
            <w:vAlign w:val="bottom"/>
          </w:tcPr>
          <w:p w14:paraId="4987CF9D" w14:textId="77777777" w:rsidR="0044062C" w:rsidRPr="00BC68C4" w:rsidRDefault="0044062C" w:rsidP="001613C8">
            <w:pPr>
              <w:jc w:val="left"/>
              <w:rPr>
                <w:rFonts w:ascii="Times New Roman" w:eastAsia="Times New Roman" w:hAnsi="Times New Roman" w:cs="Times New Roman"/>
                <w:color w:val="000000"/>
                <w:sz w:val="16"/>
                <w:szCs w:val="16"/>
                <w:lang w:eastAsia="en-GB"/>
              </w:rPr>
            </w:pPr>
          </w:p>
        </w:tc>
        <w:tc>
          <w:tcPr>
            <w:tcW w:w="270" w:type="pct"/>
            <w:tcBorders>
              <w:top w:val="nil"/>
              <w:left w:val="nil"/>
              <w:bottom w:val="double" w:sz="6" w:space="0" w:color="auto"/>
              <w:right w:val="nil"/>
            </w:tcBorders>
            <w:shd w:val="clear" w:color="auto" w:fill="auto"/>
            <w:noWrap/>
            <w:vAlign w:val="bottom"/>
          </w:tcPr>
          <w:p w14:paraId="7A3488B5" w14:textId="77777777" w:rsidR="0044062C" w:rsidRPr="00BC68C4" w:rsidRDefault="0044062C" w:rsidP="001613C8">
            <w:pPr>
              <w:jc w:val="left"/>
              <w:rPr>
                <w:rFonts w:ascii="Times New Roman" w:eastAsia="Times New Roman" w:hAnsi="Times New Roman" w:cs="Times New Roman"/>
                <w:color w:val="000000"/>
                <w:sz w:val="16"/>
                <w:szCs w:val="16"/>
                <w:lang w:eastAsia="en-GB"/>
              </w:rPr>
            </w:pPr>
          </w:p>
        </w:tc>
      </w:tr>
    </w:tbl>
    <w:p w14:paraId="4F6A87C1" w14:textId="7CA1CDF5" w:rsidR="008C3762" w:rsidRDefault="008C3762" w:rsidP="008C3762">
      <w:pPr>
        <w:widowControl w:val="0"/>
        <w:autoSpaceDE w:val="0"/>
        <w:autoSpaceDN w:val="0"/>
        <w:adjustRightInd w:val="0"/>
        <w:spacing w:line="276" w:lineRule="auto"/>
        <w:rPr>
          <w:rFonts w:ascii="Times New Roman" w:hAnsi="Times New Roman"/>
          <w:sz w:val="14"/>
        </w:rPr>
      </w:pPr>
      <w:r w:rsidRPr="00BC68C4">
        <w:rPr>
          <w:rFonts w:ascii="Times New Roman" w:hAnsi="Times New Roman"/>
          <w:i/>
          <w:sz w:val="14"/>
        </w:rPr>
        <w:t>Notes</w:t>
      </w:r>
      <w:r w:rsidRPr="00BC68C4">
        <w:rPr>
          <w:rFonts w:ascii="Times New Roman" w:hAnsi="Times New Roman"/>
          <w:sz w:val="14"/>
        </w:rPr>
        <w:t xml:space="preserve">: </w:t>
      </w:r>
      <w:r w:rsidR="009572EE" w:rsidRPr="00BC68C4">
        <w:rPr>
          <w:rFonts w:ascii="Times New Roman" w:hAnsi="Times New Roman"/>
          <w:sz w:val="14"/>
        </w:rPr>
        <w:t xml:space="preserve">Data is </w:t>
      </w:r>
      <w:proofErr w:type="spellStart"/>
      <w:r w:rsidR="009572EE" w:rsidRPr="00BC68C4">
        <w:rPr>
          <w:rFonts w:ascii="Times New Roman" w:hAnsi="Times New Roman"/>
          <w:sz w:val="14"/>
        </w:rPr>
        <w:t>winsorised</w:t>
      </w:r>
      <w:proofErr w:type="spellEnd"/>
      <w:r w:rsidR="009572EE" w:rsidRPr="00BC68C4">
        <w:rPr>
          <w:rFonts w:ascii="Times New Roman" w:hAnsi="Times New Roman"/>
          <w:sz w:val="14"/>
        </w:rPr>
        <w:t xml:space="preserve"> at the 1</w:t>
      </w:r>
      <w:r w:rsidR="009572EE" w:rsidRPr="00BC68C4">
        <w:rPr>
          <w:rFonts w:ascii="Times New Roman" w:hAnsi="Times New Roman"/>
          <w:sz w:val="14"/>
          <w:vertAlign w:val="superscript"/>
        </w:rPr>
        <w:t>st</w:t>
      </w:r>
      <w:r w:rsidR="009572EE" w:rsidRPr="00BC68C4">
        <w:rPr>
          <w:rFonts w:ascii="Times New Roman" w:hAnsi="Times New Roman"/>
          <w:sz w:val="14"/>
        </w:rPr>
        <w:t xml:space="preserve"> and 99</w:t>
      </w:r>
      <w:r w:rsidR="009572EE" w:rsidRPr="00BC68C4">
        <w:rPr>
          <w:rFonts w:ascii="Times New Roman" w:hAnsi="Times New Roman"/>
          <w:sz w:val="14"/>
          <w:vertAlign w:val="superscript"/>
        </w:rPr>
        <w:t>th</w:t>
      </w:r>
      <w:r w:rsidR="009572EE" w:rsidRPr="00BC68C4">
        <w:rPr>
          <w:rFonts w:ascii="Times New Roman" w:hAnsi="Times New Roman"/>
          <w:sz w:val="14"/>
        </w:rPr>
        <w:t xml:space="preserve"> percentiles. </w:t>
      </w:r>
    </w:p>
    <w:p w14:paraId="66671EAC" w14:textId="77777777" w:rsidR="00DC5523" w:rsidRDefault="00DC5523" w:rsidP="008C3762">
      <w:pPr>
        <w:widowControl w:val="0"/>
        <w:autoSpaceDE w:val="0"/>
        <w:autoSpaceDN w:val="0"/>
        <w:adjustRightInd w:val="0"/>
        <w:spacing w:line="276" w:lineRule="auto"/>
        <w:rPr>
          <w:rFonts w:ascii="Times New Roman" w:hAnsi="Times New Roman"/>
          <w:sz w:val="14"/>
        </w:rPr>
      </w:pPr>
    </w:p>
    <w:p w14:paraId="1D109144" w14:textId="77777777" w:rsidR="00DC5523" w:rsidRDefault="00DC5523" w:rsidP="008C3762">
      <w:pPr>
        <w:widowControl w:val="0"/>
        <w:autoSpaceDE w:val="0"/>
        <w:autoSpaceDN w:val="0"/>
        <w:adjustRightInd w:val="0"/>
        <w:spacing w:line="276" w:lineRule="auto"/>
        <w:rPr>
          <w:rFonts w:ascii="Times New Roman" w:hAnsi="Times New Roman"/>
          <w:sz w:val="14"/>
        </w:rPr>
      </w:pPr>
    </w:p>
    <w:p w14:paraId="1FA19CF2" w14:textId="77777777" w:rsidR="00DC5523" w:rsidRDefault="00DC5523" w:rsidP="008C3762">
      <w:pPr>
        <w:widowControl w:val="0"/>
        <w:autoSpaceDE w:val="0"/>
        <w:autoSpaceDN w:val="0"/>
        <w:adjustRightInd w:val="0"/>
        <w:spacing w:line="276" w:lineRule="auto"/>
        <w:rPr>
          <w:rFonts w:ascii="Times New Roman" w:hAnsi="Times New Roman"/>
          <w:sz w:val="14"/>
        </w:rPr>
      </w:pPr>
    </w:p>
    <w:p w14:paraId="160EAF15" w14:textId="77777777" w:rsidR="00DC5523" w:rsidRDefault="00DC5523" w:rsidP="008C3762">
      <w:pPr>
        <w:widowControl w:val="0"/>
        <w:autoSpaceDE w:val="0"/>
        <w:autoSpaceDN w:val="0"/>
        <w:adjustRightInd w:val="0"/>
        <w:spacing w:line="276" w:lineRule="auto"/>
        <w:rPr>
          <w:rFonts w:ascii="Times New Roman" w:hAnsi="Times New Roman"/>
          <w:sz w:val="14"/>
        </w:rPr>
      </w:pPr>
    </w:p>
    <w:p w14:paraId="4C5F70D3" w14:textId="77777777" w:rsidR="00DC5523" w:rsidRDefault="00DC5523" w:rsidP="008C3762">
      <w:pPr>
        <w:widowControl w:val="0"/>
        <w:autoSpaceDE w:val="0"/>
        <w:autoSpaceDN w:val="0"/>
        <w:adjustRightInd w:val="0"/>
        <w:spacing w:line="276" w:lineRule="auto"/>
        <w:rPr>
          <w:rFonts w:ascii="Times New Roman" w:hAnsi="Times New Roman"/>
          <w:sz w:val="14"/>
        </w:rPr>
      </w:pPr>
    </w:p>
    <w:p w14:paraId="04783156" w14:textId="77777777" w:rsidR="00DC5523" w:rsidRPr="00BC68C4" w:rsidRDefault="00DC5523" w:rsidP="008C3762">
      <w:pPr>
        <w:widowControl w:val="0"/>
        <w:autoSpaceDE w:val="0"/>
        <w:autoSpaceDN w:val="0"/>
        <w:adjustRightInd w:val="0"/>
        <w:spacing w:line="276" w:lineRule="auto"/>
        <w:rPr>
          <w:rFonts w:ascii="Times New Roman" w:hAnsi="Times New Roman" w:cs="Times New Roman"/>
          <w:sz w:val="14"/>
          <w:szCs w:val="16"/>
        </w:rPr>
      </w:pPr>
    </w:p>
    <w:p w14:paraId="44E6E016" w14:textId="77777777" w:rsidR="006D5236" w:rsidRPr="00BC68C4" w:rsidRDefault="006D5236">
      <w:pPr>
        <w:spacing w:after="200" w:line="276" w:lineRule="auto"/>
        <w:jc w:val="left"/>
        <w:rPr>
          <w:rFonts w:ascii="Times New Roman" w:hAnsi="Times New Roman" w:cs="Times New Roman"/>
          <w:b/>
          <w:sz w:val="28"/>
          <w:szCs w:val="20"/>
        </w:rPr>
      </w:pPr>
    </w:p>
    <w:p w14:paraId="3B1E42EA" w14:textId="261B8C31" w:rsidR="00703AC0" w:rsidRPr="00703AC0" w:rsidRDefault="00703AC0" w:rsidP="000700D0">
      <w:pPr>
        <w:jc w:val="center"/>
        <w:rPr>
          <w:rFonts w:ascii="Times New Roman" w:hAnsi="Times New Roman" w:cs="Times New Roman"/>
          <w:sz w:val="20"/>
          <w:szCs w:val="20"/>
        </w:rPr>
      </w:pPr>
      <w:r w:rsidRPr="00703AC0">
        <w:rPr>
          <w:rFonts w:ascii="Times New Roman" w:hAnsi="Times New Roman" w:cs="Times New Roman"/>
          <w:sz w:val="20"/>
          <w:szCs w:val="20"/>
        </w:rPr>
        <w:t xml:space="preserve">TABLE </w:t>
      </w:r>
      <w:r w:rsidR="00635C6E">
        <w:rPr>
          <w:rFonts w:ascii="Times New Roman" w:hAnsi="Times New Roman" w:cs="Times New Roman"/>
          <w:sz w:val="20"/>
          <w:szCs w:val="20"/>
        </w:rPr>
        <w:t>2</w:t>
      </w:r>
    </w:p>
    <w:p w14:paraId="04EE4E5F" w14:textId="0BFCD270" w:rsidR="00B872A3" w:rsidRPr="00703AC0" w:rsidRDefault="00703AC0" w:rsidP="000700D0">
      <w:pPr>
        <w:jc w:val="center"/>
        <w:rPr>
          <w:rFonts w:ascii="Times New Roman" w:hAnsi="Times New Roman" w:cs="Times New Roman"/>
          <w:sz w:val="24"/>
          <w:szCs w:val="24"/>
        </w:rPr>
      </w:pPr>
      <w:r w:rsidRPr="00703AC0">
        <w:rPr>
          <w:rFonts w:ascii="Times New Roman" w:hAnsi="Times New Roman" w:cs="Times New Roman"/>
          <w:sz w:val="24"/>
          <w:szCs w:val="24"/>
        </w:rPr>
        <w:t>DIRECTORS AND LARGE BLOCKHOLDERS BY INDUSTRY FOR THE POST-1880 PERFORMANCE SAMPLE</w:t>
      </w:r>
    </w:p>
    <w:tbl>
      <w:tblPr>
        <w:tblW w:w="5031" w:type="pct"/>
        <w:tblBorders>
          <w:top w:val="double" w:sz="4" w:space="0" w:color="auto"/>
          <w:bottom w:val="double" w:sz="4" w:space="0" w:color="auto"/>
        </w:tblBorders>
        <w:tblCellMar>
          <w:left w:w="0" w:type="dxa"/>
          <w:right w:w="0" w:type="dxa"/>
        </w:tblCellMar>
        <w:tblLook w:val="04A0" w:firstRow="1" w:lastRow="0" w:firstColumn="1" w:lastColumn="0" w:noHBand="0" w:noVBand="1"/>
      </w:tblPr>
      <w:tblGrid>
        <w:gridCol w:w="1809"/>
        <w:gridCol w:w="366"/>
        <w:gridCol w:w="6"/>
        <w:gridCol w:w="597"/>
        <w:gridCol w:w="836"/>
        <w:gridCol w:w="836"/>
        <w:gridCol w:w="698"/>
        <w:gridCol w:w="870"/>
        <w:gridCol w:w="864"/>
        <w:gridCol w:w="107"/>
        <w:gridCol w:w="597"/>
        <w:gridCol w:w="836"/>
        <w:gridCol w:w="836"/>
        <w:gridCol w:w="346"/>
        <w:gridCol w:w="349"/>
        <w:gridCol w:w="921"/>
        <w:gridCol w:w="842"/>
        <w:gridCol w:w="68"/>
        <w:gridCol w:w="1340"/>
        <w:gridCol w:w="951"/>
      </w:tblGrid>
      <w:tr w:rsidR="00265118" w:rsidRPr="00BC68C4" w14:paraId="76EECAD6" w14:textId="77777777" w:rsidTr="00332719">
        <w:trPr>
          <w:trHeight w:val="127"/>
        </w:trPr>
        <w:tc>
          <w:tcPr>
            <w:tcW w:w="643" w:type="pct"/>
            <w:tcBorders>
              <w:bottom w:val="nil"/>
            </w:tcBorders>
            <w:shd w:val="clear" w:color="auto" w:fill="auto"/>
            <w:noWrap/>
            <w:tcMar>
              <w:top w:w="15" w:type="dxa"/>
              <w:left w:w="15" w:type="dxa"/>
              <w:bottom w:w="0" w:type="dxa"/>
              <w:right w:w="15" w:type="dxa"/>
            </w:tcMar>
            <w:vAlign w:val="center"/>
          </w:tcPr>
          <w:p w14:paraId="45413953" w14:textId="77777777" w:rsidR="00830814" w:rsidRPr="00BC68C4" w:rsidRDefault="00830814" w:rsidP="00265118">
            <w:pPr>
              <w:jc w:val="center"/>
              <w:rPr>
                <w:rFonts w:ascii="Times New Roman" w:hAnsi="Times New Roman" w:cs="Times New Roman"/>
                <w:color w:val="000000"/>
                <w:sz w:val="16"/>
                <w:szCs w:val="16"/>
              </w:rPr>
            </w:pPr>
          </w:p>
        </w:tc>
        <w:tc>
          <w:tcPr>
            <w:tcW w:w="130" w:type="pct"/>
            <w:tcBorders>
              <w:bottom w:val="nil"/>
            </w:tcBorders>
            <w:shd w:val="clear" w:color="auto" w:fill="auto"/>
            <w:noWrap/>
            <w:tcMar>
              <w:top w:w="15" w:type="dxa"/>
              <w:left w:w="15" w:type="dxa"/>
              <w:bottom w:w="0" w:type="dxa"/>
              <w:right w:w="15" w:type="dxa"/>
            </w:tcMar>
            <w:vAlign w:val="center"/>
          </w:tcPr>
          <w:p w14:paraId="7241026F" w14:textId="77777777" w:rsidR="00830814" w:rsidRPr="00BC68C4" w:rsidRDefault="00830814" w:rsidP="00265118">
            <w:pPr>
              <w:jc w:val="center"/>
              <w:rPr>
                <w:rFonts w:ascii="Times New Roman" w:hAnsi="Times New Roman" w:cs="Times New Roman"/>
                <w:color w:val="000000"/>
                <w:sz w:val="16"/>
                <w:szCs w:val="16"/>
              </w:rPr>
            </w:pPr>
          </w:p>
        </w:tc>
        <w:tc>
          <w:tcPr>
            <w:tcW w:w="2" w:type="pct"/>
            <w:tcBorders>
              <w:bottom w:val="nil"/>
            </w:tcBorders>
            <w:vAlign w:val="center"/>
          </w:tcPr>
          <w:p w14:paraId="430761FF" w14:textId="77777777" w:rsidR="00830814" w:rsidRPr="00BC68C4" w:rsidRDefault="00830814" w:rsidP="00265118">
            <w:pPr>
              <w:jc w:val="center"/>
              <w:rPr>
                <w:rFonts w:ascii="Times New Roman" w:hAnsi="Times New Roman" w:cs="Times New Roman"/>
                <w:color w:val="000000"/>
                <w:sz w:val="16"/>
                <w:szCs w:val="16"/>
              </w:rPr>
            </w:pPr>
          </w:p>
        </w:tc>
        <w:tc>
          <w:tcPr>
            <w:tcW w:w="212" w:type="pct"/>
            <w:tcBorders>
              <w:bottom w:val="nil"/>
            </w:tcBorders>
            <w:vAlign w:val="center"/>
          </w:tcPr>
          <w:p w14:paraId="0D474F47" w14:textId="77777777" w:rsidR="00830814" w:rsidRPr="00BC68C4" w:rsidRDefault="00830814" w:rsidP="00265118">
            <w:pPr>
              <w:jc w:val="center"/>
              <w:rPr>
                <w:rFonts w:ascii="Times New Roman" w:eastAsia="Times New Roman" w:hAnsi="Times New Roman" w:cs="Times New Roman"/>
                <w:color w:val="000000"/>
                <w:sz w:val="16"/>
                <w:szCs w:val="16"/>
                <w:lang w:eastAsia="en-GB"/>
              </w:rPr>
            </w:pPr>
          </w:p>
        </w:tc>
        <w:tc>
          <w:tcPr>
            <w:tcW w:w="297" w:type="pct"/>
            <w:tcBorders>
              <w:bottom w:val="nil"/>
            </w:tcBorders>
            <w:vAlign w:val="center"/>
          </w:tcPr>
          <w:p w14:paraId="03B90FE4" w14:textId="77777777" w:rsidR="00830814" w:rsidRPr="00BC68C4" w:rsidRDefault="00830814" w:rsidP="00265118">
            <w:pPr>
              <w:jc w:val="center"/>
              <w:rPr>
                <w:rFonts w:ascii="Times New Roman" w:eastAsia="Times New Roman" w:hAnsi="Times New Roman" w:cs="Times New Roman"/>
                <w:color w:val="000000"/>
                <w:sz w:val="16"/>
                <w:szCs w:val="16"/>
                <w:lang w:eastAsia="en-GB"/>
              </w:rPr>
            </w:pPr>
          </w:p>
        </w:tc>
        <w:tc>
          <w:tcPr>
            <w:tcW w:w="297" w:type="pct"/>
            <w:tcBorders>
              <w:bottom w:val="nil"/>
            </w:tcBorders>
            <w:vAlign w:val="center"/>
          </w:tcPr>
          <w:p w14:paraId="6DA36109" w14:textId="77777777" w:rsidR="00830814" w:rsidRPr="00BC68C4" w:rsidRDefault="00830814" w:rsidP="00265118">
            <w:pPr>
              <w:jc w:val="center"/>
              <w:rPr>
                <w:rFonts w:ascii="Times New Roman" w:eastAsia="Times New Roman" w:hAnsi="Times New Roman" w:cs="Times New Roman"/>
                <w:color w:val="000000"/>
                <w:sz w:val="16"/>
                <w:szCs w:val="16"/>
                <w:lang w:eastAsia="en-GB"/>
              </w:rPr>
            </w:pPr>
          </w:p>
        </w:tc>
        <w:tc>
          <w:tcPr>
            <w:tcW w:w="864" w:type="pct"/>
            <w:gridSpan w:val="3"/>
            <w:tcBorders>
              <w:bottom w:val="nil"/>
            </w:tcBorders>
            <w:shd w:val="clear" w:color="auto" w:fill="auto"/>
            <w:noWrap/>
            <w:tcMar>
              <w:top w:w="15" w:type="dxa"/>
              <w:left w:w="15" w:type="dxa"/>
              <w:bottom w:w="0" w:type="dxa"/>
              <w:right w:w="15" w:type="dxa"/>
            </w:tcMar>
            <w:vAlign w:val="center"/>
          </w:tcPr>
          <w:p w14:paraId="2FCE93DA" w14:textId="77777777" w:rsidR="00830814" w:rsidRPr="00BC68C4" w:rsidRDefault="00830814" w:rsidP="00265118">
            <w:pPr>
              <w:jc w:val="center"/>
              <w:rPr>
                <w:rFonts w:ascii="Times New Roman" w:eastAsia="Times New Roman" w:hAnsi="Times New Roman" w:cs="Times New Roman"/>
                <w:color w:val="000000"/>
                <w:sz w:val="16"/>
                <w:szCs w:val="16"/>
                <w:lang w:eastAsia="en-GB"/>
              </w:rPr>
            </w:pPr>
          </w:p>
        </w:tc>
        <w:tc>
          <w:tcPr>
            <w:tcW w:w="38" w:type="pct"/>
            <w:tcBorders>
              <w:bottom w:val="nil"/>
            </w:tcBorders>
            <w:vAlign w:val="center"/>
          </w:tcPr>
          <w:p w14:paraId="230AD628" w14:textId="77777777" w:rsidR="00830814" w:rsidRPr="00BC68C4" w:rsidRDefault="00830814" w:rsidP="00265118">
            <w:pPr>
              <w:jc w:val="center"/>
              <w:rPr>
                <w:rFonts w:ascii="Times New Roman" w:hAnsi="Times New Roman" w:cs="Times New Roman"/>
                <w:color w:val="000000"/>
                <w:sz w:val="16"/>
                <w:szCs w:val="16"/>
              </w:rPr>
            </w:pPr>
          </w:p>
        </w:tc>
        <w:tc>
          <w:tcPr>
            <w:tcW w:w="212" w:type="pct"/>
            <w:tcBorders>
              <w:bottom w:val="nil"/>
            </w:tcBorders>
            <w:vAlign w:val="center"/>
          </w:tcPr>
          <w:p w14:paraId="71C68CB4" w14:textId="77777777" w:rsidR="00830814" w:rsidRPr="00BC68C4" w:rsidRDefault="00830814" w:rsidP="00265118">
            <w:pPr>
              <w:jc w:val="center"/>
              <w:rPr>
                <w:rFonts w:ascii="Times New Roman" w:eastAsia="Times New Roman" w:hAnsi="Times New Roman" w:cs="Times New Roman"/>
                <w:color w:val="000000"/>
                <w:sz w:val="16"/>
                <w:szCs w:val="16"/>
                <w:lang w:eastAsia="en-GB"/>
              </w:rPr>
            </w:pPr>
          </w:p>
        </w:tc>
        <w:tc>
          <w:tcPr>
            <w:tcW w:w="297" w:type="pct"/>
            <w:tcBorders>
              <w:bottom w:val="nil"/>
            </w:tcBorders>
            <w:vAlign w:val="center"/>
          </w:tcPr>
          <w:p w14:paraId="6910BCDD" w14:textId="77777777" w:rsidR="00830814" w:rsidRPr="00BC68C4" w:rsidRDefault="00830814" w:rsidP="00265118">
            <w:pPr>
              <w:jc w:val="center"/>
              <w:rPr>
                <w:rFonts w:ascii="Times New Roman" w:eastAsia="Times New Roman" w:hAnsi="Times New Roman" w:cs="Times New Roman"/>
                <w:color w:val="000000"/>
                <w:sz w:val="16"/>
                <w:szCs w:val="16"/>
                <w:lang w:eastAsia="en-GB"/>
              </w:rPr>
            </w:pPr>
          </w:p>
        </w:tc>
        <w:tc>
          <w:tcPr>
            <w:tcW w:w="420" w:type="pct"/>
            <w:gridSpan w:val="2"/>
            <w:tcBorders>
              <w:bottom w:val="nil"/>
            </w:tcBorders>
            <w:vAlign w:val="center"/>
          </w:tcPr>
          <w:p w14:paraId="422A64A5" w14:textId="77777777" w:rsidR="00830814" w:rsidRPr="00BC68C4" w:rsidRDefault="00830814" w:rsidP="00265118">
            <w:pPr>
              <w:jc w:val="center"/>
              <w:rPr>
                <w:rFonts w:ascii="Times New Roman" w:eastAsia="Times New Roman" w:hAnsi="Times New Roman" w:cs="Times New Roman"/>
                <w:color w:val="000000"/>
                <w:sz w:val="16"/>
                <w:szCs w:val="16"/>
                <w:lang w:eastAsia="en-GB"/>
              </w:rPr>
            </w:pPr>
          </w:p>
        </w:tc>
        <w:tc>
          <w:tcPr>
            <w:tcW w:w="750" w:type="pct"/>
            <w:gridSpan w:val="3"/>
            <w:tcBorders>
              <w:bottom w:val="nil"/>
            </w:tcBorders>
            <w:shd w:val="clear" w:color="auto" w:fill="auto"/>
            <w:noWrap/>
            <w:tcMar>
              <w:top w:w="15" w:type="dxa"/>
              <w:left w:w="15" w:type="dxa"/>
              <w:bottom w:w="0" w:type="dxa"/>
              <w:right w:w="15" w:type="dxa"/>
            </w:tcMar>
            <w:vAlign w:val="center"/>
          </w:tcPr>
          <w:p w14:paraId="6F63D92B" w14:textId="77777777" w:rsidR="00830814" w:rsidRPr="00BC68C4" w:rsidRDefault="00830814" w:rsidP="00265118">
            <w:pPr>
              <w:jc w:val="center"/>
              <w:rPr>
                <w:rFonts w:ascii="Times New Roman" w:eastAsia="Times New Roman" w:hAnsi="Times New Roman" w:cs="Times New Roman"/>
                <w:color w:val="000000"/>
                <w:sz w:val="16"/>
                <w:szCs w:val="16"/>
                <w:lang w:eastAsia="en-GB"/>
              </w:rPr>
            </w:pPr>
          </w:p>
        </w:tc>
        <w:tc>
          <w:tcPr>
            <w:tcW w:w="24" w:type="pct"/>
            <w:tcBorders>
              <w:bottom w:val="nil"/>
            </w:tcBorders>
            <w:vAlign w:val="center"/>
          </w:tcPr>
          <w:p w14:paraId="648F2E8B" w14:textId="77777777" w:rsidR="00830814" w:rsidRPr="00BC68C4" w:rsidRDefault="00830814" w:rsidP="00265118">
            <w:pPr>
              <w:jc w:val="center"/>
              <w:rPr>
                <w:rFonts w:ascii="Times New Roman" w:hAnsi="Times New Roman" w:cs="Times New Roman"/>
                <w:color w:val="000000"/>
                <w:sz w:val="16"/>
                <w:szCs w:val="16"/>
              </w:rPr>
            </w:pPr>
          </w:p>
        </w:tc>
        <w:tc>
          <w:tcPr>
            <w:tcW w:w="814" w:type="pct"/>
            <w:gridSpan w:val="2"/>
            <w:tcBorders>
              <w:bottom w:val="nil"/>
            </w:tcBorders>
            <w:shd w:val="clear" w:color="auto" w:fill="auto"/>
            <w:noWrap/>
            <w:tcMar>
              <w:top w:w="15" w:type="dxa"/>
              <w:left w:w="15" w:type="dxa"/>
              <w:bottom w:w="0" w:type="dxa"/>
              <w:right w:w="15" w:type="dxa"/>
            </w:tcMar>
            <w:vAlign w:val="center"/>
          </w:tcPr>
          <w:p w14:paraId="63F9884C" w14:textId="77777777" w:rsidR="00830814" w:rsidRPr="00BC68C4" w:rsidRDefault="00830814" w:rsidP="00265118">
            <w:pPr>
              <w:jc w:val="center"/>
              <w:rPr>
                <w:rFonts w:ascii="Times New Roman" w:hAnsi="Times New Roman" w:cs="Times New Roman"/>
                <w:color w:val="000000"/>
                <w:sz w:val="16"/>
                <w:szCs w:val="16"/>
              </w:rPr>
            </w:pPr>
          </w:p>
        </w:tc>
      </w:tr>
      <w:tr w:rsidR="00265118" w:rsidRPr="00BC68C4" w14:paraId="6DE66D99" w14:textId="77777777" w:rsidTr="00332719">
        <w:trPr>
          <w:trHeight w:val="305"/>
        </w:trPr>
        <w:tc>
          <w:tcPr>
            <w:tcW w:w="643" w:type="pct"/>
            <w:tcBorders>
              <w:top w:val="nil"/>
              <w:bottom w:val="nil"/>
            </w:tcBorders>
            <w:shd w:val="clear" w:color="auto" w:fill="auto"/>
            <w:noWrap/>
            <w:tcMar>
              <w:top w:w="15" w:type="dxa"/>
              <w:left w:w="15" w:type="dxa"/>
              <w:bottom w:w="0" w:type="dxa"/>
              <w:right w:w="15" w:type="dxa"/>
            </w:tcMar>
            <w:vAlign w:val="center"/>
            <w:hideMark/>
          </w:tcPr>
          <w:p w14:paraId="41E85DEA" w14:textId="77777777" w:rsidR="00830814" w:rsidRPr="00BC68C4" w:rsidRDefault="00830814" w:rsidP="00265118">
            <w:pPr>
              <w:jc w:val="center"/>
              <w:rPr>
                <w:rFonts w:ascii="Times New Roman" w:hAnsi="Times New Roman" w:cs="Times New Roman"/>
                <w:color w:val="000000"/>
                <w:sz w:val="16"/>
                <w:szCs w:val="16"/>
              </w:rPr>
            </w:pPr>
          </w:p>
        </w:tc>
        <w:tc>
          <w:tcPr>
            <w:tcW w:w="130" w:type="pct"/>
            <w:tcBorders>
              <w:top w:val="nil"/>
              <w:bottom w:val="nil"/>
            </w:tcBorders>
            <w:shd w:val="clear" w:color="auto" w:fill="auto"/>
            <w:noWrap/>
            <w:tcMar>
              <w:top w:w="15" w:type="dxa"/>
              <w:left w:w="15" w:type="dxa"/>
              <w:bottom w:w="0" w:type="dxa"/>
              <w:right w:w="15" w:type="dxa"/>
            </w:tcMar>
            <w:vAlign w:val="center"/>
            <w:hideMark/>
          </w:tcPr>
          <w:p w14:paraId="0A67C2B0" w14:textId="77777777" w:rsidR="00830814" w:rsidRPr="00BC68C4" w:rsidRDefault="00830814" w:rsidP="00265118">
            <w:pPr>
              <w:jc w:val="center"/>
              <w:rPr>
                <w:rFonts w:ascii="Times New Roman" w:hAnsi="Times New Roman" w:cs="Times New Roman"/>
                <w:color w:val="000000"/>
                <w:sz w:val="16"/>
                <w:szCs w:val="16"/>
              </w:rPr>
            </w:pPr>
          </w:p>
        </w:tc>
        <w:tc>
          <w:tcPr>
            <w:tcW w:w="2" w:type="pct"/>
            <w:tcBorders>
              <w:top w:val="nil"/>
              <w:bottom w:val="nil"/>
            </w:tcBorders>
            <w:vAlign w:val="center"/>
          </w:tcPr>
          <w:p w14:paraId="49A483E6" w14:textId="77777777" w:rsidR="00830814" w:rsidRPr="00BC68C4" w:rsidRDefault="00830814" w:rsidP="00265118">
            <w:pPr>
              <w:jc w:val="center"/>
              <w:rPr>
                <w:rFonts w:ascii="Times New Roman" w:hAnsi="Times New Roman" w:cs="Times New Roman"/>
                <w:color w:val="000000"/>
                <w:sz w:val="16"/>
                <w:szCs w:val="16"/>
              </w:rPr>
            </w:pPr>
          </w:p>
        </w:tc>
        <w:tc>
          <w:tcPr>
            <w:tcW w:w="212" w:type="pct"/>
            <w:tcBorders>
              <w:top w:val="nil"/>
              <w:bottom w:val="single" w:sz="4" w:space="0" w:color="auto"/>
            </w:tcBorders>
            <w:vAlign w:val="center"/>
          </w:tcPr>
          <w:p w14:paraId="4764DD9B" w14:textId="77777777" w:rsidR="00830814" w:rsidRPr="00BC68C4" w:rsidRDefault="00830814" w:rsidP="00265118">
            <w:pPr>
              <w:jc w:val="center"/>
              <w:rPr>
                <w:rFonts w:ascii="Times New Roman" w:eastAsia="Times New Roman" w:hAnsi="Times New Roman" w:cs="Times New Roman"/>
                <w:color w:val="000000"/>
                <w:sz w:val="16"/>
                <w:szCs w:val="16"/>
                <w:lang w:eastAsia="en-GB"/>
              </w:rPr>
            </w:pPr>
          </w:p>
        </w:tc>
        <w:tc>
          <w:tcPr>
            <w:tcW w:w="1458" w:type="pct"/>
            <w:gridSpan w:val="5"/>
            <w:tcBorders>
              <w:top w:val="nil"/>
              <w:bottom w:val="single" w:sz="4" w:space="0" w:color="auto"/>
            </w:tcBorders>
            <w:vAlign w:val="center"/>
          </w:tcPr>
          <w:p w14:paraId="03964EFD" w14:textId="77777777" w:rsidR="00830814" w:rsidRPr="00BC68C4" w:rsidRDefault="00830814" w:rsidP="00265118">
            <w:pPr>
              <w:jc w:val="center"/>
              <w:rPr>
                <w:rFonts w:ascii="Times New Roman" w:hAnsi="Times New Roman" w:cs="Times New Roman"/>
                <w:color w:val="000000"/>
                <w:sz w:val="16"/>
                <w:szCs w:val="16"/>
              </w:rPr>
            </w:pPr>
            <w:r w:rsidRPr="00BC68C4">
              <w:rPr>
                <w:rFonts w:ascii="Times New Roman" w:eastAsia="Times New Roman" w:hAnsi="Times New Roman" w:cs="Times New Roman"/>
                <w:color w:val="000000"/>
                <w:sz w:val="16"/>
                <w:szCs w:val="16"/>
                <w:lang w:eastAsia="en-GB"/>
              </w:rPr>
              <w:t>Mean number of individuals who were:</w:t>
            </w:r>
          </w:p>
        </w:tc>
        <w:tc>
          <w:tcPr>
            <w:tcW w:w="38" w:type="pct"/>
            <w:tcBorders>
              <w:top w:val="nil"/>
              <w:bottom w:val="nil"/>
            </w:tcBorders>
            <w:vAlign w:val="center"/>
          </w:tcPr>
          <w:p w14:paraId="386104EB" w14:textId="77777777" w:rsidR="00830814" w:rsidRPr="00BC68C4" w:rsidRDefault="00830814" w:rsidP="00265118">
            <w:pPr>
              <w:jc w:val="center"/>
              <w:rPr>
                <w:rFonts w:ascii="Times New Roman" w:hAnsi="Times New Roman" w:cs="Times New Roman"/>
                <w:color w:val="000000"/>
                <w:sz w:val="16"/>
                <w:szCs w:val="16"/>
              </w:rPr>
            </w:pPr>
          </w:p>
        </w:tc>
        <w:tc>
          <w:tcPr>
            <w:tcW w:w="212" w:type="pct"/>
            <w:tcBorders>
              <w:top w:val="nil"/>
              <w:bottom w:val="single" w:sz="4" w:space="0" w:color="auto"/>
            </w:tcBorders>
            <w:vAlign w:val="center"/>
          </w:tcPr>
          <w:p w14:paraId="7D06905F" w14:textId="77777777" w:rsidR="00830814" w:rsidRPr="00BC68C4" w:rsidRDefault="00830814" w:rsidP="00265118">
            <w:pPr>
              <w:jc w:val="center"/>
              <w:rPr>
                <w:rFonts w:ascii="Times New Roman" w:hAnsi="Times New Roman" w:cs="Times New Roman"/>
                <w:color w:val="000000"/>
                <w:sz w:val="16"/>
                <w:szCs w:val="16"/>
              </w:rPr>
            </w:pPr>
          </w:p>
        </w:tc>
        <w:tc>
          <w:tcPr>
            <w:tcW w:w="1467" w:type="pct"/>
            <w:gridSpan w:val="6"/>
            <w:tcBorders>
              <w:top w:val="nil"/>
              <w:bottom w:val="single" w:sz="4" w:space="0" w:color="auto"/>
            </w:tcBorders>
            <w:vAlign w:val="center"/>
          </w:tcPr>
          <w:p w14:paraId="7FDD8704" w14:textId="77777777" w:rsidR="00830814" w:rsidRPr="00BC68C4" w:rsidRDefault="00830814" w:rsidP="0026511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Mean % of votes controlled by:</w:t>
            </w:r>
          </w:p>
        </w:tc>
        <w:tc>
          <w:tcPr>
            <w:tcW w:w="24" w:type="pct"/>
            <w:tcBorders>
              <w:top w:val="nil"/>
              <w:bottom w:val="nil"/>
            </w:tcBorders>
            <w:vAlign w:val="center"/>
          </w:tcPr>
          <w:p w14:paraId="7091A40E" w14:textId="77777777" w:rsidR="00830814" w:rsidRPr="00BC68C4" w:rsidRDefault="00830814" w:rsidP="00265118">
            <w:pPr>
              <w:jc w:val="center"/>
              <w:rPr>
                <w:rFonts w:ascii="Times New Roman" w:hAnsi="Times New Roman" w:cs="Times New Roman"/>
                <w:color w:val="000000"/>
                <w:sz w:val="16"/>
                <w:szCs w:val="16"/>
              </w:rPr>
            </w:pPr>
          </w:p>
        </w:tc>
        <w:tc>
          <w:tcPr>
            <w:tcW w:w="814" w:type="pct"/>
            <w:gridSpan w:val="2"/>
            <w:tcBorders>
              <w:top w:val="nil"/>
              <w:bottom w:val="single" w:sz="4" w:space="0" w:color="auto"/>
            </w:tcBorders>
            <w:shd w:val="clear" w:color="auto" w:fill="auto"/>
            <w:noWrap/>
            <w:tcMar>
              <w:top w:w="15" w:type="dxa"/>
              <w:left w:w="15" w:type="dxa"/>
              <w:bottom w:w="0" w:type="dxa"/>
              <w:right w:w="15" w:type="dxa"/>
            </w:tcMar>
            <w:vAlign w:val="center"/>
            <w:hideMark/>
          </w:tcPr>
          <w:p w14:paraId="1E4F93D1" w14:textId="77777777" w:rsidR="00830814" w:rsidRPr="00BC68C4" w:rsidRDefault="00830814" w:rsidP="0026511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Mean propensity of</w:t>
            </w:r>
          </w:p>
        </w:tc>
      </w:tr>
      <w:tr w:rsidR="00332719" w:rsidRPr="00BC68C4" w14:paraId="132326F9" w14:textId="77777777" w:rsidTr="00332719">
        <w:trPr>
          <w:trHeight w:val="305"/>
        </w:trPr>
        <w:tc>
          <w:tcPr>
            <w:tcW w:w="643" w:type="pct"/>
            <w:tcBorders>
              <w:top w:val="nil"/>
              <w:bottom w:val="nil"/>
            </w:tcBorders>
            <w:shd w:val="clear" w:color="auto" w:fill="auto"/>
            <w:noWrap/>
            <w:tcMar>
              <w:top w:w="15" w:type="dxa"/>
              <w:left w:w="15" w:type="dxa"/>
              <w:bottom w:w="0" w:type="dxa"/>
              <w:right w:w="15" w:type="dxa"/>
            </w:tcMar>
            <w:vAlign w:val="center"/>
            <w:hideMark/>
          </w:tcPr>
          <w:p w14:paraId="3C077B05" w14:textId="77777777" w:rsidR="00830814" w:rsidRPr="00BC68C4" w:rsidRDefault="00830814" w:rsidP="00265118">
            <w:pPr>
              <w:jc w:val="center"/>
              <w:rPr>
                <w:rFonts w:ascii="Times New Roman" w:hAnsi="Times New Roman" w:cs="Times New Roman"/>
                <w:color w:val="000000"/>
                <w:sz w:val="16"/>
                <w:szCs w:val="16"/>
              </w:rPr>
            </w:pPr>
          </w:p>
        </w:tc>
        <w:tc>
          <w:tcPr>
            <w:tcW w:w="130" w:type="pct"/>
            <w:tcBorders>
              <w:top w:val="nil"/>
              <w:bottom w:val="single" w:sz="4" w:space="0" w:color="auto"/>
            </w:tcBorders>
            <w:shd w:val="clear" w:color="auto" w:fill="auto"/>
            <w:noWrap/>
            <w:tcMar>
              <w:top w:w="15" w:type="dxa"/>
              <w:left w:w="15" w:type="dxa"/>
              <w:bottom w:w="0" w:type="dxa"/>
              <w:right w:w="15" w:type="dxa"/>
            </w:tcMar>
            <w:hideMark/>
          </w:tcPr>
          <w:p w14:paraId="06075300" w14:textId="77777777" w:rsidR="00830814" w:rsidRPr="00BC68C4" w:rsidRDefault="00830814" w:rsidP="00265118">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N</w:t>
            </w:r>
          </w:p>
        </w:tc>
        <w:tc>
          <w:tcPr>
            <w:tcW w:w="2" w:type="pct"/>
            <w:tcBorders>
              <w:top w:val="nil"/>
              <w:bottom w:val="nil"/>
            </w:tcBorders>
          </w:tcPr>
          <w:p w14:paraId="6207D4DB" w14:textId="77777777" w:rsidR="00830814" w:rsidRPr="00BC68C4" w:rsidRDefault="00830814" w:rsidP="00265118">
            <w:pPr>
              <w:jc w:val="center"/>
              <w:rPr>
                <w:rFonts w:ascii="Times New Roman" w:hAnsi="Times New Roman" w:cs="Times New Roman"/>
                <w:color w:val="000000"/>
                <w:sz w:val="16"/>
                <w:szCs w:val="16"/>
              </w:rPr>
            </w:pPr>
          </w:p>
        </w:tc>
        <w:tc>
          <w:tcPr>
            <w:tcW w:w="212" w:type="pct"/>
            <w:tcBorders>
              <w:top w:val="single" w:sz="4" w:space="0" w:color="auto"/>
              <w:bottom w:val="single" w:sz="4" w:space="0" w:color="auto"/>
            </w:tcBorders>
          </w:tcPr>
          <w:p w14:paraId="617DB5B1" w14:textId="77777777" w:rsidR="00830814" w:rsidRPr="00BC68C4" w:rsidRDefault="00830814" w:rsidP="00265118">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Solely a</w:t>
            </w:r>
          </w:p>
          <w:p w14:paraId="2EB022DD" w14:textId="77777777" w:rsidR="00830814" w:rsidRPr="00BC68C4" w:rsidRDefault="00241B9D" w:rsidP="00265118">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d</w:t>
            </w:r>
            <w:r w:rsidR="00830814" w:rsidRPr="00BC68C4">
              <w:rPr>
                <w:rFonts w:ascii="Times New Roman" w:eastAsia="Times New Roman" w:hAnsi="Times New Roman" w:cs="Times New Roman"/>
                <w:color w:val="000000"/>
                <w:sz w:val="16"/>
                <w:szCs w:val="16"/>
                <w:lang w:eastAsia="en-GB"/>
              </w:rPr>
              <w:t>irector</w:t>
            </w:r>
          </w:p>
          <w:p w14:paraId="363650C7" w14:textId="77777777" w:rsidR="00241B9D" w:rsidRPr="00BC68C4" w:rsidRDefault="00241B9D" w:rsidP="00265118">
            <w:pPr>
              <w:jc w:val="center"/>
              <w:rPr>
                <w:rFonts w:ascii="Times New Roman" w:eastAsia="Times New Roman" w:hAnsi="Times New Roman" w:cs="Times New Roman"/>
                <w:color w:val="000000"/>
                <w:sz w:val="16"/>
                <w:szCs w:val="16"/>
                <w:lang w:eastAsia="en-GB"/>
              </w:rPr>
            </w:pPr>
          </w:p>
          <w:p w14:paraId="5CC5A9A0" w14:textId="77777777" w:rsidR="00241B9D" w:rsidRPr="00BC68C4" w:rsidRDefault="00241B9D" w:rsidP="00265118">
            <w:pPr>
              <w:jc w:val="center"/>
              <w:rPr>
                <w:rFonts w:ascii="Times New Roman" w:eastAsia="Times New Roman" w:hAnsi="Times New Roman" w:cs="Times New Roman"/>
                <w:color w:val="000000"/>
                <w:sz w:val="16"/>
                <w:szCs w:val="16"/>
                <w:lang w:eastAsia="en-GB"/>
              </w:rPr>
            </w:pPr>
          </w:p>
          <w:p w14:paraId="260935F8" w14:textId="77777777" w:rsidR="00241B9D" w:rsidRPr="00BC68C4" w:rsidRDefault="00241B9D" w:rsidP="00265118">
            <w:pPr>
              <w:jc w:val="center"/>
              <w:rPr>
                <w:rFonts w:ascii="Times New Roman" w:eastAsia="Times New Roman" w:hAnsi="Times New Roman" w:cs="Times New Roman"/>
                <w:color w:val="000000"/>
                <w:sz w:val="16"/>
                <w:szCs w:val="16"/>
                <w:lang w:eastAsia="en-GB"/>
              </w:rPr>
            </w:pPr>
          </w:p>
          <w:p w14:paraId="4A683293" w14:textId="77777777" w:rsidR="00830814" w:rsidRPr="00BC68C4" w:rsidRDefault="00830814" w:rsidP="00265118">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(a)</w:t>
            </w:r>
          </w:p>
        </w:tc>
        <w:tc>
          <w:tcPr>
            <w:tcW w:w="297" w:type="pct"/>
            <w:tcBorders>
              <w:top w:val="single" w:sz="4" w:space="0" w:color="auto"/>
              <w:bottom w:val="single" w:sz="4" w:space="0" w:color="auto"/>
            </w:tcBorders>
          </w:tcPr>
          <w:p w14:paraId="1A69162F" w14:textId="77777777" w:rsidR="004A56B4" w:rsidRPr="00BC68C4" w:rsidRDefault="004A56B4" w:rsidP="00265118">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Passive Block</w:t>
            </w:r>
          </w:p>
          <w:p w14:paraId="4C84C850" w14:textId="77777777" w:rsidR="00830814" w:rsidRPr="00BC68C4" w:rsidRDefault="004A56B4" w:rsidP="00265118">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holder</w:t>
            </w:r>
          </w:p>
          <w:p w14:paraId="1D058A98" w14:textId="77777777" w:rsidR="00241B9D" w:rsidRPr="00BC68C4" w:rsidRDefault="00241B9D" w:rsidP="00265118">
            <w:pPr>
              <w:jc w:val="center"/>
              <w:rPr>
                <w:rFonts w:ascii="Times New Roman" w:eastAsia="Times New Roman" w:hAnsi="Times New Roman" w:cs="Times New Roman"/>
                <w:color w:val="000000"/>
                <w:sz w:val="16"/>
                <w:szCs w:val="16"/>
                <w:lang w:eastAsia="en-GB"/>
              </w:rPr>
            </w:pPr>
          </w:p>
          <w:p w14:paraId="78A2A169" w14:textId="77777777" w:rsidR="00241B9D" w:rsidRPr="00BC68C4" w:rsidRDefault="00241B9D" w:rsidP="00265118">
            <w:pPr>
              <w:jc w:val="center"/>
              <w:rPr>
                <w:rFonts w:ascii="Times New Roman" w:eastAsia="Times New Roman" w:hAnsi="Times New Roman" w:cs="Times New Roman"/>
                <w:color w:val="000000"/>
                <w:sz w:val="16"/>
                <w:szCs w:val="16"/>
                <w:lang w:eastAsia="en-GB"/>
              </w:rPr>
            </w:pPr>
          </w:p>
          <w:p w14:paraId="12174231" w14:textId="77777777" w:rsidR="00830814" w:rsidRPr="00BC68C4" w:rsidRDefault="00830814" w:rsidP="00265118">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(b)</w:t>
            </w:r>
          </w:p>
        </w:tc>
        <w:tc>
          <w:tcPr>
            <w:tcW w:w="297" w:type="pct"/>
            <w:tcBorders>
              <w:top w:val="single" w:sz="4" w:space="0" w:color="auto"/>
              <w:bottom w:val="single" w:sz="4" w:space="0" w:color="auto"/>
            </w:tcBorders>
          </w:tcPr>
          <w:p w14:paraId="21530DD2" w14:textId="77777777" w:rsidR="004A56B4" w:rsidRPr="00BC68C4" w:rsidRDefault="004A56B4" w:rsidP="00265118">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Active Block</w:t>
            </w:r>
          </w:p>
          <w:p w14:paraId="0A45F7BA" w14:textId="77777777" w:rsidR="00830814" w:rsidRPr="00BC68C4" w:rsidRDefault="004A56B4" w:rsidP="00265118">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holder</w:t>
            </w:r>
          </w:p>
          <w:p w14:paraId="393D4428" w14:textId="77777777" w:rsidR="00241B9D" w:rsidRPr="00BC68C4" w:rsidRDefault="00241B9D" w:rsidP="00265118">
            <w:pPr>
              <w:jc w:val="center"/>
              <w:rPr>
                <w:rFonts w:ascii="Times New Roman" w:eastAsia="Times New Roman" w:hAnsi="Times New Roman" w:cs="Times New Roman"/>
                <w:color w:val="000000"/>
                <w:sz w:val="16"/>
                <w:szCs w:val="16"/>
                <w:lang w:eastAsia="en-GB"/>
              </w:rPr>
            </w:pPr>
          </w:p>
          <w:p w14:paraId="7E6C8519" w14:textId="77777777" w:rsidR="00830814" w:rsidRPr="00BC68C4" w:rsidRDefault="00830814" w:rsidP="00265118">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(c)</w:t>
            </w:r>
          </w:p>
        </w:tc>
        <w:tc>
          <w:tcPr>
            <w:tcW w:w="248" w:type="pct"/>
            <w:tcBorders>
              <w:top w:val="single" w:sz="4" w:space="0" w:color="auto"/>
              <w:bottom w:val="single" w:sz="4" w:space="0" w:color="auto"/>
            </w:tcBorders>
            <w:shd w:val="clear" w:color="auto" w:fill="auto"/>
            <w:noWrap/>
            <w:tcMar>
              <w:top w:w="15" w:type="dxa"/>
              <w:left w:w="15" w:type="dxa"/>
              <w:bottom w:w="0" w:type="dxa"/>
              <w:right w:w="15" w:type="dxa"/>
            </w:tcMar>
          </w:tcPr>
          <w:p w14:paraId="243B16BB" w14:textId="77777777" w:rsidR="00830814" w:rsidRPr="00BC68C4" w:rsidRDefault="00830814" w:rsidP="00265118">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Directors</w:t>
            </w:r>
          </w:p>
          <w:p w14:paraId="09E3C726" w14:textId="77777777" w:rsidR="00241B9D" w:rsidRPr="00BC68C4" w:rsidRDefault="00241B9D" w:rsidP="00265118">
            <w:pPr>
              <w:jc w:val="center"/>
              <w:rPr>
                <w:rFonts w:ascii="Times New Roman" w:eastAsia="Times New Roman" w:hAnsi="Times New Roman" w:cs="Times New Roman"/>
                <w:color w:val="000000"/>
                <w:sz w:val="16"/>
                <w:szCs w:val="16"/>
                <w:lang w:eastAsia="en-GB"/>
              </w:rPr>
            </w:pPr>
          </w:p>
          <w:p w14:paraId="025BADA9" w14:textId="77777777" w:rsidR="00241B9D" w:rsidRPr="00BC68C4" w:rsidRDefault="00241B9D" w:rsidP="00265118">
            <w:pPr>
              <w:jc w:val="center"/>
              <w:rPr>
                <w:rFonts w:ascii="Times New Roman" w:eastAsia="Times New Roman" w:hAnsi="Times New Roman" w:cs="Times New Roman"/>
                <w:color w:val="000000"/>
                <w:sz w:val="16"/>
                <w:szCs w:val="16"/>
                <w:lang w:eastAsia="en-GB"/>
              </w:rPr>
            </w:pPr>
          </w:p>
          <w:p w14:paraId="1221F05C" w14:textId="77777777" w:rsidR="00241B9D" w:rsidRPr="00BC68C4" w:rsidRDefault="00241B9D" w:rsidP="00265118">
            <w:pPr>
              <w:jc w:val="center"/>
              <w:rPr>
                <w:rFonts w:ascii="Times New Roman" w:eastAsia="Times New Roman" w:hAnsi="Times New Roman" w:cs="Times New Roman"/>
                <w:color w:val="000000"/>
                <w:sz w:val="16"/>
                <w:szCs w:val="16"/>
                <w:lang w:eastAsia="en-GB"/>
              </w:rPr>
            </w:pPr>
          </w:p>
          <w:p w14:paraId="3B0EA33C" w14:textId="77777777" w:rsidR="00241B9D" w:rsidRPr="00BC68C4" w:rsidRDefault="00241B9D" w:rsidP="00265118">
            <w:pPr>
              <w:jc w:val="center"/>
              <w:rPr>
                <w:rFonts w:ascii="Times New Roman" w:eastAsia="Times New Roman" w:hAnsi="Times New Roman" w:cs="Times New Roman"/>
                <w:color w:val="000000"/>
                <w:sz w:val="16"/>
                <w:szCs w:val="16"/>
                <w:lang w:eastAsia="en-GB"/>
              </w:rPr>
            </w:pPr>
          </w:p>
          <w:p w14:paraId="3B990CEA" w14:textId="77777777" w:rsidR="00830814" w:rsidRPr="00BC68C4" w:rsidRDefault="00830814" w:rsidP="00265118">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w:t>
            </w:r>
            <w:proofErr w:type="spellStart"/>
            <w:r w:rsidRPr="00BC68C4">
              <w:rPr>
                <w:rFonts w:ascii="Times New Roman" w:eastAsia="Times New Roman" w:hAnsi="Times New Roman" w:cs="Times New Roman"/>
                <w:color w:val="000000"/>
                <w:sz w:val="16"/>
                <w:szCs w:val="16"/>
                <w:lang w:eastAsia="en-GB"/>
              </w:rPr>
              <w:t>a+c</w:t>
            </w:r>
            <w:proofErr w:type="spellEnd"/>
            <w:r w:rsidRPr="00BC68C4">
              <w:rPr>
                <w:rFonts w:ascii="Times New Roman" w:eastAsia="Times New Roman" w:hAnsi="Times New Roman" w:cs="Times New Roman"/>
                <w:color w:val="000000"/>
                <w:sz w:val="16"/>
                <w:szCs w:val="16"/>
                <w:lang w:eastAsia="en-GB"/>
              </w:rPr>
              <w:t>)</w:t>
            </w:r>
          </w:p>
        </w:tc>
        <w:tc>
          <w:tcPr>
            <w:tcW w:w="309" w:type="pct"/>
            <w:tcBorders>
              <w:top w:val="single" w:sz="4" w:space="0" w:color="auto"/>
              <w:bottom w:val="single" w:sz="4" w:space="0" w:color="auto"/>
            </w:tcBorders>
            <w:shd w:val="clear" w:color="auto" w:fill="auto"/>
            <w:noWrap/>
            <w:tcMar>
              <w:top w:w="15" w:type="dxa"/>
              <w:left w:w="15" w:type="dxa"/>
              <w:bottom w:w="0" w:type="dxa"/>
              <w:right w:w="15" w:type="dxa"/>
            </w:tcMar>
          </w:tcPr>
          <w:p w14:paraId="799137DC" w14:textId="77777777" w:rsidR="00830814" w:rsidRPr="00BC68C4" w:rsidRDefault="00830814" w:rsidP="00265118">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Large</w:t>
            </w:r>
          </w:p>
          <w:p w14:paraId="5318DE5E" w14:textId="77777777" w:rsidR="00830814" w:rsidRPr="00BC68C4" w:rsidRDefault="006469E4" w:rsidP="00265118">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block</w:t>
            </w:r>
            <w:r w:rsidR="00830814" w:rsidRPr="00BC68C4">
              <w:rPr>
                <w:rFonts w:ascii="Times New Roman" w:eastAsia="Times New Roman" w:hAnsi="Times New Roman" w:cs="Times New Roman"/>
                <w:color w:val="000000"/>
                <w:sz w:val="16"/>
                <w:szCs w:val="16"/>
                <w:lang w:eastAsia="en-GB"/>
              </w:rPr>
              <w:t>-</w:t>
            </w:r>
          </w:p>
          <w:p w14:paraId="7C17A81E" w14:textId="77777777" w:rsidR="00830814" w:rsidRPr="00BC68C4" w:rsidRDefault="00830814" w:rsidP="00265118">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holders</w:t>
            </w:r>
          </w:p>
          <w:p w14:paraId="32997D49" w14:textId="77777777" w:rsidR="00241B9D" w:rsidRPr="00BC68C4" w:rsidRDefault="00241B9D" w:rsidP="00241B9D">
            <w:pPr>
              <w:jc w:val="center"/>
              <w:rPr>
                <w:rFonts w:ascii="Times New Roman" w:eastAsia="Times New Roman" w:hAnsi="Times New Roman" w:cs="Times New Roman"/>
                <w:color w:val="000000"/>
                <w:sz w:val="16"/>
                <w:szCs w:val="16"/>
                <w:lang w:eastAsia="en-GB"/>
              </w:rPr>
            </w:pPr>
          </w:p>
          <w:p w14:paraId="4568330F" w14:textId="77777777" w:rsidR="00241B9D" w:rsidRPr="00BC68C4" w:rsidRDefault="00241B9D" w:rsidP="00241B9D">
            <w:pPr>
              <w:jc w:val="center"/>
              <w:rPr>
                <w:rFonts w:ascii="Times New Roman" w:eastAsia="Times New Roman" w:hAnsi="Times New Roman" w:cs="Times New Roman"/>
                <w:color w:val="000000"/>
                <w:sz w:val="16"/>
                <w:szCs w:val="16"/>
                <w:lang w:eastAsia="en-GB"/>
              </w:rPr>
            </w:pPr>
          </w:p>
          <w:p w14:paraId="497BA29C" w14:textId="77777777" w:rsidR="00830814" w:rsidRPr="00BC68C4" w:rsidRDefault="00241B9D" w:rsidP="00241B9D">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w:t>
            </w:r>
            <w:proofErr w:type="spellStart"/>
            <w:r w:rsidRPr="00BC68C4">
              <w:rPr>
                <w:rFonts w:ascii="Times New Roman" w:eastAsia="Times New Roman" w:hAnsi="Times New Roman" w:cs="Times New Roman"/>
                <w:color w:val="000000"/>
                <w:sz w:val="16"/>
                <w:szCs w:val="16"/>
                <w:lang w:eastAsia="en-GB"/>
              </w:rPr>
              <w:t>b+c</w:t>
            </w:r>
            <w:proofErr w:type="spellEnd"/>
            <w:r w:rsidRPr="00BC68C4">
              <w:rPr>
                <w:rFonts w:ascii="Times New Roman" w:eastAsia="Times New Roman" w:hAnsi="Times New Roman" w:cs="Times New Roman"/>
                <w:color w:val="000000"/>
                <w:sz w:val="16"/>
                <w:szCs w:val="16"/>
                <w:lang w:eastAsia="en-GB"/>
              </w:rPr>
              <w:t>)</w:t>
            </w:r>
          </w:p>
        </w:tc>
        <w:tc>
          <w:tcPr>
            <w:tcW w:w="307" w:type="pct"/>
            <w:tcBorders>
              <w:top w:val="single" w:sz="4" w:space="0" w:color="auto"/>
              <w:bottom w:val="single" w:sz="4" w:space="0" w:color="auto"/>
            </w:tcBorders>
            <w:shd w:val="clear" w:color="auto" w:fill="auto"/>
            <w:noWrap/>
            <w:tcMar>
              <w:top w:w="15" w:type="dxa"/>
              <w:left w:w="15" w:type="dxa"/>
              <w:bottom w:w="0" w:type="dxa"/>
              <w:right w:w="15" w:type="dxa"/>
            </w:tcMar>
          </w:tcPr>
          <w:p w14:paraId="271A248C" w14:textId="77777777" w:rsidR="00830814" w:rsidRPr="00BC68C4" w:rsidRDefault="00830814" w:rsidP="00265118">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Insiders</w:t>
            </w:r>
          </w:p>
          <w:p w14:paraId="30F8DB96" w14:textId="77777777" w:rsidR="00241B9D" w:rsidRPr="00BC68C4" w:rsidRDefault="00241B9D" w:rsidP="00265118">
            <w:pPr>
              <w:jc w:val="center"/>
              <w:rPr>
                <w:rFonts w:ascii="Times New Roman" w:eastAsia="Times New Roman" w:hAnsi="Times New Roman" w:cs="Times New Roman"/>
                <w:color w:val="000000"/>
                <w:sz w:val="16"/>
                <w:szCs w:val="16"/>
                <w:lang w:eastAsia="en-GB"/>
              </w:rPr>
            </w:pPr>
          </w:p>
          <w:p w14:paraId="560CE355" w14:textId="77777777" w:rsidR="00241B9D" w:rsidRPr="00BC68C4" w:rsidRDefault="00241B9D" w:rsidP="00265118">
            <w:pPr>
              <w:jc w:val="center"/>
              <w:rPr>
                <w:rFonts w:ascii="Times New Roman" w:eastAsia="Times New Roman" w:hAnsi="Times New Roman" w:cs="Times New Roman"/>
                <w:color w:val="000000"/>
                <w:sz w:val="16"/>
                <w:szCs w:val="16"/>
                <w:lang w:eastAsia="en-GB"/>
              </w:rPr>
            </w:pPr>
          </w:p>
          <w:p w14:paraId="477A058D" w14:textId="77777777" w:rsidR="00241B9D" w:rsidRPr="00BC68C4" w:rsidRDefault="00241B9D" w:rsidP="00265118">
            <w:pPr>
              <w:jc w:val="center"/>
              <w:rPr>
                <w:rFonts w:ascii="Times New Roman" w:eastAsia="Times New Roman" w:hAnsi="Times New Roman" w:cs="Times New Roman"/>
                <w:color w:val="000000"/>
                <w:sz w:val="16"/>
                <w:szCs w:val="16"/>
                <w:lang w:eastAsia="en-GB"/>
              </w:rPr>
            </w:pPr>
          </w:p>
          <w:p w14:paraId="2F33CB9D" w14:textId="77777777" w:rsidR="00241B9D" w:rsidRPr="00BC68C4" w:rsidRDefault="00241B9D" w:rsidP="00265118">
            <w:pPr>
              <w:jc w:val="center"/>
              <w:rPr>
                <w:rFonts w:ascii="Times New Roman" w:eastAsia="Times New Roman" w:hAnsi="Times New Roman" w:cs="Times New Roman"/>
                <w:color w:val="000000"/>
                <w:sz w:val="16"/>
                <w:szCs w:val="16"/>
                <w:lang w:eastAsia="en-GB"/>
              </w:rPr>
            </w:pPr>
          </w:p>
          <w:p w14:paraId="71171442" w14:textId="77777777" w:rsidR="00830814" w:rsidRPr="00BC68C4" w:rsidRDefault="00830814" w:rsidP="00265118">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w:t>
            </w:r>
            <w:proofErr w:type="spellStart"/>
            <w:r w:rsidRPr="00BC68C4">
              <w:rPr>
                <w:rFonts w:ascii="Times New Roman" w:eastAsia="Times New Roman" w:hAnsi="Times New Roman" w:cs="Times New Roman"/>
                <w:color w:val="000000"/>
                <w:sz w:val="16"/>
                <w:szCs w:val="16"/>
                <w:lang w:eastAsia="en-GB"/>
              </w:rPr>
              <w:t>a+b+c</w:t>
            </w:r>
            <w:proofErr w:type="spellEnd"/>
            <w:r w:rsidRPr="00BC68C4">
              <w:rPr>
                <w:rFonts w:ascii="Times New Roman" w:eastAsia="Times New Roman" w:hAnsi="Times New Roman" w:cs="Times New Roman"/>
                <w:color w:val="000000"/>
                <w:sz w:val="16"/>
                <w:szCs w:val="16"/>
                <w:lang w:eastAsia="en-GB"/>
              </w:rPr>
              <w:t>)</w:t>
            </w:r>
          </w:p>
        </w:tc>
        <w:tc>
          <w:tcPr>
            <w:tcW w:w="38" w:type="pct"/>
            <w:tcBorders>
              <w:top w:val="nil"/>
              <w:bottom w:val="nil"/>
            </w:tcBorders>
          </w:tcPr>
          <w:p w14:paraId="1D711A18" w14:textId="77777777" w:rsidR="00830814" w:rsidRPr="00BC68C4" w:rsidRDefault="00830814" w:rsidP="00265118">
            <w:pPr>
              <w:jc w:val="center"/>
              <w:rPr>
                <w:rFonts w:ascii="Times New Roman" w:hAnsi="Times New Roman" w:cs="Times New Roman"/>
                <w:color w:val="000000"/>
                <w:sz w:val="16"/>
                <w:szCs w:val="16"/>
              </w:rPr>
            </w:pPr>
          </w:p>
        </w:tc>
        <w:tc>
          <w:tcPr>
            <w:tcW w:w="212" w:type="pct"/>
            <w:tcBorders>
              <w:top w:val="single" w:sz="4" w:space="0" w:color="auto"/>
              <w:bottom w:val="single" w:sz="4" w:space="0" w:color="auto"/>
            </w:tcBorders>
          </w:tcPr>
          <w:p w14:paraId="1702D6C6" w14:textId="77777777" w:rsidR="00830814" w:rsidRPr="00BC68C4" w:rsidRDefault="00830814" w:rsidP="00265118">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Solely a</w:t>
            </w:r>
          </w:p>
          <w:p w14:paraId="62F62B6A" w14:textId="77777777" w:rsidR="00830814" w:rsidRPr="00BC68C4" w:rsidRDefault="00241B9D" w:rsidP="00265118">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d</w:t>
            </w:r>
            <w:r w:rsidR="00830814" w:rsidRPr="00BC68C4">
              <w:rPr>
                <w:rFonts w:ascii="Times New Roman" w:eastAsia="Times New Roman" w:hAnsi="Times New Roman" w:cs="Times New Roman"/>
                <w:color w:val="000000"/>
                <w:sz w:val="16"/>
                <w:szCs w:val="16"/>
                <w:lang w:eastAsia="en-GB"/>
              </w:rPr>
              <w:t>irector</w:t>
            </w:r>
          </w:p>
          <w:p w14:paraId="18EC7846" w14:textId="77777777" w:rsidR="00241B9D" w:rsidRPr="00BC68C4" w:rsidRDefault="00241B9D" w:rsidP="00265118">
            <w:pPr>
              <w:jc w:val="center"/>
              <w:rPr>
                <w:rFonts w:ascii="Times New Roman" w:eastAsia="Times New Roman" w:hAnsi="Times New Roman" w:cs="Times New Roman"/>
                <w:color w:val="000000"/>
                <w:sz w:val="16"/>
                <w:szCs w:val="16"/>
                <w:lang w:eastAsia="en-GB"/>
              </w:rPr>
            </w:pPr>
          </w:p>
          <w:p w14:paraId="42CEC516" w14:textId="77777777" w:rsidR="00241B9D" w:rsidRPr="00BC68C4" w:rsidRDefault="00241B9D" w:rsidP="00265118">
            <w:pPr>
              <w:jc w:val="center"/>
              <w:rPr>
                <w:rFonts w:ascii="Times New Roman" w:eastAsia="Times New Roman" w:hAnsi="Times New Roman" w:cs="Times New Roman"/>
                <w:color w:val="000000"/>
                <w:sz w:val="16"/>
                <w:szCs w:val="16"/>
                <w:lang w:eastAsia="en-GB"/>
              </w:rPr>
            </w:pPr>
          </w:p>
          <w:p w14:paraId="116BA48D" w14:textId="77777777" w:rsidR="00241B9D" w:rsidRPr="00BC68C4" w:rsidRDefault="00241B9D" w:rsidP="00265118">
            <w:pPr>
              <w:jc w:val="center"/>
              <w:rPr>
                <w:rFonts w:ascii="Times New Roman" w:eastAsia="Times New Roman" w:hAnsi="Times New Roman" w:cs="Times New Roman"/>
                <w:color w:val="000000"/>
                <w:sz w:val="16"/>
                <w:szCs w:val="16"/>
                <w:lang w:eastAsia="en-GB"/>
              </w:rPr>
            </w:pPr>
          </w:p>
          <w:p w14:paraId="69947A9B" w14:textId="77777777" w:rsidR="00830814" w:rsidRPr="00BC68C4" w:rsidRDefault="00830814" w:rsidP="00265118">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(d)</w:t>
            </w:r>
          </w:p>
        </w:tc>
        <w:tc>
          <w:tcPr>
            <w:tcW w:w="297" w:type="pct"/>
            <w:tcBorders>
              <w:top w:val="single" w:sz="4" w:space="0" w:color="auto"/>
              <w:bottom w:val="single" w:sz="4" w:space="0" w:color="auto"/>
            </w:tcBorders>
          </w:tcPr>
          <w:p w14:paraId="00306DCB" w14:textId="77777777" w:rsidR="000307F6" w:rsidRPr="00BC68C4" w:rsidRDefault="004A56B4" w:rsidP="00265118">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Passive Block</w:t>
            </w:r>
          </w:p>
          <w:p w14:paraId="5CF0C449" w14:textId="77777777" w:rsidR="00830814" w:rsidRPr="00BC68C4" w:rsidRDefault="004A56B4" w:rsidP="00265118">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holder</w:t>
            </w:r>
          </w:p>
          <w:p w14:paraId="1BA6FF90" w14:textId="77777777" w:rsidR="00241B9D" w:rsidRPr="00BC68C4" w:rsidRDefault="00241B9D" w:rsidP="00265118">
            <w:pPr>
              <w:jc w:val="center"/>
              <w:rPr>
                <w:rFonts w:ascii="Times New Roman" w:eastAsia="Times New Roman" w:hAnsi="Times New Roman" w:cs="Times New Roman"/>
                <w:color w:val="000000"/>
                <w:sz w:val="16"/>
                <w:szCs w:val="16"/>
                <w:lang w:eastAsia="en-GB"/>
              </w:rPr>
            </w:pPr>
          </w:p>
          <w:p w14:paraId="70A6ED68" w14:textId="77777777" w:rsidR="00241B9D" w:rsidRPr="00BC68C4" w:rsidRDefault="00241B9D" w:rsidP="00265118">
            <w:pPr>
              <w:jc w:val="center"/>
              <w:rPr>
                <w:rFonts w:ascii="Times New Roman" w:eastAsia="Times New Roman" w:hAnsi="Times New Roman" w:cs="Times New Roman"/>
                <w:color w:val="000000"/>
                <w:sz w:val="16"/>
                <w:szCs w:val="16"/>
                <w:lang w:eastAsia="en-GB"/>
              </w:rPr>
            </w:pPr>
          </w:p>
          <w:p w14:paraId="4EEEB487" w14:textId="77777777" w:rsidR="00830814" w:rsidRPr="00BC68C4" w:rsidRDefault="00830814" w:rsidP="00265118">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(e)</w:t>
            </w:r>
          </w:p>
        </w:tc>
        <w:tc>
          <w:tcPr>
            <w:tcW w:w="297" w:type="pct"/>
            <w:tcBorders>
              <w:top w:val="single" w:sz="4" w:space="0" w:color="auto"/>
              <w:bottom w:val="single" w:sz="4" w:space="0" w:color="auto"/>
            </w:tcBorders>
          </w:tcPr>
          <w:p w14:paraId="369081B9" w14:textId="77777777" w:rsidR="000307F6" w:rsidRPr="00BC68C4" w:rsidRDefault="004A56B4" w:rsidP="00265118">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Active Block</w:t>
            </w:r>
          </w:p>
          <w:p w14:paraId="60CD7883" w14:textId="77777777" w:rsidR="00830814" w:rsidRPr="00BC68C4" w:rsidRDefault="004A56B4" w:rsidP="00265118">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holder</w:t>
            </w:r>
          </w:p>
          <w:p w14:paraId="45951F6B" w14:textId="77777777" w:rsidR="00241B9D" w:rsidRPr="00BC68C4" w:rsidRDefault="00241B9D" w:rsidP="00265118">
            <w:pPr>
              <w:jc w:val="center"/>
              <w:rPr>
                <w:rFonts w:ascii="Times New Roman" w:eastAsia="Times New Roman" w:hAnsi="Times New Roman" w:cs="Times New Roman"/>
                <w:color w:val="000000"/>
                <w:sz w:val="16"/>
                <w:szCs w:val="16"/>
                <w:lang w:eastAsia="en-GB"/>
              </w:rPr>
            </w:pPr>
          </w:p>
          <w:p w14:paraId="04E31FF2" w14:textId="77777777" w:rsidR="00830814" w:rsidRPr="00BC68C4" w:rsidRDefault="00830814" w:rsidP="00265118">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(f)</w:t>
            </w:r>
          </w:p>
        </w:tc>
        <w:tc>
          <w:tcPr>
            <w:tcW w:w="247" w:type="pct"/>
            <w:gridSpan w:val="2"/>
            <w:tcBorders>
              <w:top w:val="single" w:sz="4" w:space="0" w:color="auto"/>
              <w:bottom w:val="single" w:sz="4" w:space="0" w:color="auto"/>
            </w:tcBorders>
            <w:shd w:val="clear" w:color="auto" w:fill="auto"/>
            <w:noWrap/>
            <w:tcMar>
              <w:top w:w="15" w:type="dxa"/>
              <w:left w:w="15" w:type="dxa"/>
              <w:bottom w:w="0" w:type="dxa"/>
              <w:right w:w="15" w:type="dxa"/>
            </w:tcMar>
            <w:hideMark/>
          </w:tcPr>
          <w:p w14:paraId="184D32C0" w14:textId="77777777" w:rsidR="00830814" w:rsidRPr="00BC68C4" w:rsidRDefault="00830814" w:rsidP="00265118">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Directors</w:t>
            </w:r>
          </w:p>
          <w:p w14:paraId="64A0AD30" w14:textId="77777777" w:rsidR="00241B9D" w:rsidRPr="00BC68C4" w:rsidRDefault="00241B9D" w:rsidP="00265118">
            <w:pPr>
              <w:jc w:val="center"/>
              <w:rPr>
                <w:rFonts w:ascii="Times New Roman" w:eastAsia="Times New Roman" w:hAnsi="Times New Roman" w:cs="Times New Roman"/>
                <w:color w:val="000000"/>
                <w:sz w:val="16"/>
                <w:szCs w:val="16"/>
                <w:lang w:eastAsia="en-GB"/>
              </w:rPr>
            </w:pPr>
          </w:p>
          <w:p w14:paraId="0321088C" w14:textId="77777777" w:rsidR="00241B9D" w:rsidRPr="00BC68C4" w:rsidRDefault="00241B9D" w:rsidP="00265118">
            <w:pPr>
              <w:jc w:val="center"/>
              <w:rPr>
                <w:rFonts w:ascii="Times New Roman" w:eastAsia="Times New Roman" w:hAnsi="Times New Roman" w:cs="Times New Roman"/>
                <w:color w:val="000000"/>
                <w:sz w:val="16"/>
                <w:szCs w:val="16"/>
                <w:lang w:eastAsia="en-GB"/>
              </w:rPr>
            </w:pPr>
          </w:p>
          <w:p w14:paraId="25518ADF" w14:textId="77777777" w:rsidR="00241B9D" w:rsidRPr="00BC68C4" w:rsidRDefault="00241B9D" w:rsidP="00265118">
            <w:pPr>
              <w:jc w:val="center"/>
              <w:rPr>
                <w:rFonts w:ascii="Times New Roman" w:eastAsia="Times New Roman" w:hAnsi="Times New Roman" w:cs="Times New Roman"/>
                <w:color w:val="000000"/>
                <w:sz w:val="16"/>
                <w:szCs w:val="16"/>
                <w:lang w:eastAsia="en-GB"/>
              </w:rPr>
            </w:pPr>
          </w:p>
          <w:p w14:paraId="444966B4" w14:textId="77777777" w:rsidR="00241B9D" w:rsidRPr="00BC68C4" w:rsidRDefault="00241B9D" w:rsidP="00265118">
            <w:pPr>
              <w:jc w:val="center"/>
              <w:rPr>
                <w:rFonts w:ascii="Times New Roman" w:eastAsia="Times New Roman" w:hAnsi="Times New Roman" w:cs="Times New Roman"/>
                <w:color w:val="000000"/>
                <w:sz w:val="16"/>
                <w:szCs w:val="16"/>
                <w:lang w:eastAsia="en-GB"/>
              </w:rPr>
            </w:pPr>
          </w:p>
          <w:p w14:paraId="4EF5E221" w14:textId="77777777" w:rsidR="00830814" w:rsidRPr="00BC68C4" w:rsidRDefault="00830814" w:rsidP="00265118">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w:t>
            </w:r>
            <w:proofErr w:type="spellStart"/>
            <w:r w:rsidRPr="00BC68C4">
              <w:rPr>
                <w:rFonts w:ascii="Times New Roman" w:eastAsia="Times New Roman" w:hAnsi="Times New Roman" w:cs="Times New Roman"/>
                <w:color w:val="000000"/>
                <w:sz w:val="16"/>
                <w:szCs w:val="16"/>
                <w:lang w:eastAsia="en-GB"/>
              </w:rPr>
              <w:t>d+f</w:t>
            </w:r>
            <w:proofErr w:type="spellEnd"/>
            <w:r w:rsidRPr="00BC68C4">
              <w:rPr>
                <w:rFonts w:ascii="Times New Roman" w:eastAsia="Times New Roman" w:hAnsi="Times New Roman" w:cs="Times New Roman"/>
                <w:color w:val="000000"/>
                <w:sz w:val="16"/>
                <w:szCs w:val="16"/>
                <w:lang w:eastAsia="en-GB"/>
              </w:rPr>
              <w:t>)</w:t>
            </w:r>
          </w:p>
        </w:tc>
        <w:tc>
          <w:tcPr>
            <w:tcW w:w="327" w:type="pct"/>
            <w:tcBorders>
              <w:top w:val="single" w:sz="4" w:space="0" w:color="auto"/>
              <w:bottom w:val="single" w:sz="4" w:space="0" w:color="auto"/>
            </w:tcBorders>
            <w:shd w:val="clear" w:color="auto" w:fill="auto"/>
            <w:noWrap/>
            <w:tcMar>
              <w:top w:w="15" w:type="dxa"/>
              <w:left w:w="15" w:type="dxa"/>
              <w:bottom w:w="0" w:type="dxa"/>
              <w:right w:w="15" w:type="dxa"/>
            </w:tcMar>
            <w:hideMark/>
          </w:tcPr>
          <w:p w14:paraId="49F0E48E" w14:textId="77777777" w:rsidR="00830814" w:rsidRPr="00BC68C4" w:rsidRDefault="00830814" w:rsidP="00265118">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Large</w:t>
            </w:r>
          </w:p>
          <w:p w14:paraId="397CE9E3" w14:textId="77777777" w:rsidR="00830814" w:rsidRPr="00BC68C4" w:rsidRDefault="006469E4" w:rsidP="00265118">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block</w:t>
            </w:r>
            <w:r w:rsidR="00830814" w:rsidRPr="00BC68C4">
              <w:rPr>
                <w:rFonts w:ascii="Times New Roman" w:eastAsia="Times New Roman" w:hAnsi="Times New Roman" w:cs="Times New Roman"/>
                <w:color w:val="000000"/>
                <w:sz w:val="16"/>
                <w:szCs w:val="16"/>
                <w:lang w:eastAsia="en-GB"/>
              </w:rPr>
              <w:t>-</w:t>
            </w:r>
          </w:p>
          <w:p w14:paraId="08257C30" w14:textId="77777777" w:rsidR="00830814" w:rsidRPr="00BC68C4" w:rsidRDefault="00830814" w:rsidP="00265118">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holders</w:t>
            </w:r>
          </w:p>
          <w:p w14:paraId="211A054C" w14:textId="77777777" w:rsidR="00241B9D" w:rsidRPr="00BC68C4" w:rsidRDefault="00241B9D" w:rsidP="00265118">
            <w:pPr>
              <w:jc w:val="center"/>
              <w:rPr>
                <w:rFonts w:ascii="Times New Roman" w:eastAsia="Times New Roman" w:hAnsi="Times New Roman" w:cs="Times New Roman"/>
                <w:color w:val="000000"/>
                <w:sz w:val="16"/>
                <w:szCs w:val="16"/>
                <w:lang w:eastAsia="en-GB"/>
              </w:rPr>
            </w:pPr>
          </w:p>
          <w:p w14:paraId="7E49EF80" w14:textId="77777777" w:rsidR="00241B9D" w:rsidRPr="00BC68C4" w:rsidRDefault="00241B9D" w:rsidP="00241B9D">
            <w:pPr>
              <w:jc w:val="center"/>
              <w:rPr>
                <w:rFonts w:ascii="Times New Roman" w:eastAsia="Times New Roman" w:hAnsi="Times New Roman" w:cs="Times New Roman"/>
                <w:color w:val="000000"/>
                <w:sz w:val="16"/>
                <w:szCs w:val="16"/>
                <w:lang w:eastAsia="en-GB"/>
              </w:rPr>
            </w:pPr>
          </w:p>
          <w:p w14:paraId="7575F8DC" w14:textId="77777777" w:rsidR="00830814" w:rsidRPr="00BC68C4" w:rsidRDefault="00241B9D" w:rsidP="00241B9D">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w:t>
            </w:r>
            <w:proofErr w:type="spellStart"/>
            <w:r w:rsidRPr="00BC68C4">
              <w:rPr>
                <w:rFonts w:ascii="Times New Roman" w:eastAsia="Times New Roman" w:hAnsi="Times New Roman" w:cs="Times New Roman"/>
                <w:color w:val="000000"/>
                <w:sz w:val="16"/>
                <w:szCs w:val="16"/>
                <w:lang w:eastAsia="en-GB"/>
              </w:rPr>
              <w:t>e+f</w:t>
            </w:r>
            <w:proofErr w:type="spellEnd"/>
            <w:r w:rsidRPr="00BC68C4">
              <w:rPr>
                <w:rFonts w:ascii="Times New Roman" w:eastAsia="Times New Roman" w:hAnsi="Times New Roman" w:cs="Times New Roman"/>
                <w:color w:val="000000"/>
                <w:sz w:val="16"/>
                <w:szCs w:val="16"/>
                <w:lang w:eastAsia="en-GB"/>
              </w:rPr>
              <w:t>)</w:t>
            </w:r>
          </w:p>
        </w:tc>
        <w:tc>
          <w:tcPr>
            <w:tcW w:w="299" w:type="pct"/>
            <w:tcBorders>
              <w:top w:val="single" w:sz="4" w:space="0" w:color="auto"/>
              <w:bottom w:val="single" w:sz="4" w:space="0" w:color="auto"/>
            </w:tcBorders>
            <w:shd w:val="clear" w:color="auto" w:fill="auto"/>
            <w:noWrap/>
            <w:tcMar>
              <w:top w:w="15" w:type="dxa"/>
              <w:left w:w="15" w:type="dxa"/>
              <w:bottom w:w="0" w:type="dxa"/>
              <w:right w:w="15" w:type="dxa"/>
            </w:tcMar>
            <w:hideMark/>
          </w:tcPr>
          <w:p w14:paraId="49D8F766" w14:textId="77777777" w:rsidR="00830814" w:rsidRPr="00BC68C4" w:rsidRDefault="00830814" w:rsidP="00265118">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Insiders</w:t>
            </w:r>
          </w:p>
          <w:p w14:paraId="2397D80D" w14:textId="77777777" w:rsidR="00241B9D" w:rsidRPr="00BC68C4" w:rsidRDefault="00241B9D" w:rsidP="00265118">
            <w:pPr>
              <w:jc w:val="center"/>
              <w:rPr>
                <w:rFonts w:ascii="Times New Roman" w:eastAsia="Times New Roman" w:hAnsi="Times New Roman" w:cs="Times New Roman"/>
                <w:color w:val="000000"/>
                <w:sz w:val="16"/>
                <w:szCs w:val="16"/>
                <w:lang w:eastAsia="en-GB"/>
              </w:rPr>
            </w:pPr>
          </w:p>
          <w:p w14:paraId="134835F4" w14:textId="77777777" w:rsidR="00241B9D" w:rsidRPr="00BC68C4" w:rsidRDefault="00241B9D" w:rsidP="00265118">
            <w:pPr>
              <w:jc w:val="center"/>
              <w:rPr>
                <w:rFonts w:ascii="Times New Roman" w:eastAsia="Times New Roman" w:hAnsi="Times New Roman" w:cs="Times New Roman"/>
                <w:color w:val="000000"/>
                <w:sz w:val="16"/>
                <w:szCs w:val="16"/>
                <w:lang w:eastAsia="en-GB"/>
              </w:rPr>
            </w:pPr>
          </w:p>
          <w:p w14:paraId="544A9334" w14:textId="77777777" w:rsidR="00241B9D" w:rsidRPr="00BC68C4" w:rsidRDefault="00241B9D" w:rsidP="00265118">
            <w:pPr>
              <w:jc w:val="center"/>
              <w:rPr>
                <w:rFonts w:ascii="Times New Roman" w:eastAsia="Times New Roman" w:hAnsi="Times New Roman" w:cs="Times New Roman"/>
                <w:color w:val="000000"/>
                <w:sz w:val="16"/>
                <w:szCs w:val="16"/>
                <w:lang w:eastAsia="en-GB"/>
              </w:rPr>
            </w:pPr>
          </w:p>
          <w:p w14:paraId="4BFE0942" w14:textId="77777777" w:rsidR="00241B9D" w:rsidRPr="00BC68C4" w:rsidRDefault="00241B9D" w:rsidP="00265118">
            <w:pPr>
              <w:jc w:val="center"/>
              <w:rPr>
                <w:rFonts w:ascii="Times New Roman" w:eastAsia="Times New Roman" w:hAnsi="Times New Roman" w:cs="Times New Roman"/>
                <w:color w:val="000000"/>
                <w:sz w:val="16"/>
                <w:szCs w:val="16"/>
                <w:lang w:eastAsia="en-GB"/>
              </w:rPr>
            </w:pPr>
          </w:p>
          <w:p w14:paraId="6BB5FADF" w14:textId="77777777" w:rsidR="00830814" w:rsidRPr="00BC68C4" w:rsidRDefault="00830814" w:rsidP="00265118">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w:t>
            </w:r>
            <w:proofErr w:type="spellStart"/>
            <w:r w:rsidRPr="00BC68C4">
              <w:rPr>
                <w:rFonts w:ascii="Times New Roman" w:eastAsia="Times New Roman" w:hAnsi="Times New Roman" w:cs="Times New Roman"/>
                <w:color w:val="000000"/>
                <w:sz w:val="16"/>
                <w:szCs w:val="16"/>
                <w:lang w:eastAsia="en-GB"/>
              </w:rPr>
              <w:t>d+e+f</w:t>
            </w:r>
            <w:proofErr w:type="spellEnd"/>
            <w:r w:rsidRPr="00BC68C4">
              <w:rPr>
                <w:rFonts w:ascii="Times New Roman" w:eastAsia="Times New Roman" w:hAnsi="Times New Roman" w:cs="Times New Roman"/>
                <w:color w:val="000000"/>
                <w:sz w:val="16"/>
                <w:szCs w:val="16"/>
                <w:lang w:eastAsia="en-GB"/>
              </w:rPr>
              <w:t>)</w:t>
            </w:r>
          </w:p>
        </w:tc>
        <w:tc>
          <w:tcPr>
            <w:tcW w:w="24" w:type="pct"/>
            <w:tcBorders>
              <w:top w:val="nil"/>
              <w:bottom w:val="nil"/>
            </w:tcBorders>
          </w:tcPr>
          <w:p w14:paraId="3F662B4E" w14:textId="77777777" w:rsidR="00830814" w:rsidRPr="00BC68C4" w:rsidRDefault="00830814" w:rsidP="00265118">
            <w:pPr>
              <w:jc w:val="center"/>
              <w:rPr>
                <w:rFonts w:ascii="Times New Roman" w:hAnsi="Times New Roman" w:cs="Times New Roman"/>
                <w:color w:val="000000"/>
                <w:sz w:val="16"/>
                <w:szCs w:val="16"/>
              </w:rPr>
            </w:pPr>
          </w:p>
        </w:tc>
        <w:tc>
          <w:tcPr>
            <w:tcW w:w="476" w:type="pct"/>
            <w:tcBorders>
              <w:top w:val="single" w:sz="4" w:space="0" w:color="auto"/>
              <w:bottom w:val="single" w:sz="4" w:space="0" w:color="auto"/>
            </w:tcBorders>
            <w:shd w:val="clear" w:color="auto" w:fill="auto"/>
            <w:noWrap/>
            <w:tcMar>
              <w:top w:w="15" w:type="dxa"/>
              <w:left w:w="15" w:type="dxa"/>
              <w:bottom w:w="0" w:type="dxa"/>
              <w:right w:w="15" w:type="dxa"/>
            </w:tcMar>
            <w:hideMark/>
          </w:tcPr>
          <w:p w14:paraId="4D983790" w14:textId="77777777" w:rsidR="00830814" w:rsidRPr="00BC68C4" w:rsidRDefault="00830814" w:rsidP="00265118">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Director to</w:t>
            </w:r>
          </w:p>
          <w:p w14:paraId="63985C30" w14:textId="77777777" w:rsidR="00830814" w:rsidRPr="00BC68C4" w:rsidRDefault="00830814" w:rsidP="00265118">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be a large</w:t>
            </w:r>
          </w:p>
          <w:p w14:paraId="67158536" w14:textId="77777777" w:rsidR="00830814" w:rsidRPr="00BC68C4" w:rsidRDefault="006469E4" w:rsidP="00265118">
            <w:pPr>
              <w:jc w:val="center"/>
              <w:rPr>
                <w:rFonts w:ascii="Times New Roman" w:eastAsia="Times New Roman" w:hAnsi="Times New Roman" w:cs="Times New Roman"/>
                <w:color w:val="000000"/>
                <w:sz w:val="16"/>
                <w:szCs w:val="16"/>
                <w:lang w:eastAsia="en-GB"/>
              </w:rPr>
            </w:pPr>
            <w:proofErr w:type="spellStart"/>
            <w:proofErr w:type="gramStart"/>
            <w:r w:rsidRPr="00BC68C4">
              <w:rPr>
                <w:rFonts w:ascii="Times New Roman" w:eastAsia="Times New Roman" w:hAnsi="Times New Roman" w:cs="Times New Roman"/>
                <w:color w:val="000000"/>
                <w:sz w:val="16"/>
                <w:szCs w:val="16"/>
                <w:lang w:eastAsia="en-GB"/>
              </w:rPr>
              <w:t>block</w:t>
            </w:r>
            <w:r w:rsidR="00830814" w:rsidRPr="00BC68C4">
              <w:rPr>
                <w:rFonts w:ascii="Times New Roman" w:eastAsia="Times New Roman" w:hAnsi="Times New Roman" w:cs="Times New Roman"/>
                <w:color w:val="000000"/>
                <w:sz w:val="16"/>
                <w:szCs w:val="16"/>
                <w:lang w:eastAsia="en-GB"/>
              </w:rPr>
              <w:t>holder</w:t>
            </w:r>
            <w:proofErr w:type="spellEnd"/>
            <w:proofErr w:type="gramEnd"/>
            <w:r w:rsidR="00830814" w:rsidRPr="00BC68C4">
              <w:rPr>
                <w:rFonts w:ascii="Times New Roman" w:eastAsia="Times New Roman" w:hAnsi="Times New Roman" w:cs="Times New Roman"/>
                <w:color w:val="000000"/>
                <w:sz w:val="16"/>
                <w:szCs w:val="16"/>
                <w:lang w:eastAsia="en-GB"/>
              </w:rPr>
              <w:t xml:space="preserve"> (%)</w:t>
            </w:r>
          </w:p>
          <w:p w14:paraId="3FA45869" w14:textId="77777777" w:rsidR="00241B9D" w:rsidRPr="00BC68C4" w:rsidRDefault="00241B9D" w:rsidP="00265118">
            <w:pPr>
              <w:jc w:val="center"/>
              <w:rPr>
                <w:rFonts w:ascii="Times New Roman" w:eastAsia="Times New Roman" w:hAnsi="Times New Roman" w:cs="Times New Roman"/>
                <w:color w:val="000000"/>
                <w:sz w:val="16"/>
                <w:szCs w:val="16"/>
                <w:lang w:eastAsia="en-GB"/>
              </w:rPr>
            </w:pPr>
          </w:p>
          <w:p w14:paraId="1EE08E49" w14:textId="77777777" w:rsidR="00241B9D" w:rsidRPr="00BC68C4" w:rsidRDefault="00241B9D" w:rsidP="00265118">
            <w:pPr>
              <w:jc w:val="center"/>
              <w:rPr>
                <w:rFonts w:ascii="Times New Roman" w:eastAsia="Times New Roman" w:hAnsi="Times New Roman" w:cs="Times New Roman"/>
                <w:color w:val="000000"/>
                <w:sz w:val="16"/>
                <w:szCs w:val="16"/>
                <w:lang w:eastAsia="en-GB"/>
              </w:rPr>
            </w:pPr>
          </w:p>
          <w:p w14:paraId="27BF4DB4" w14:textId="77777777" w:rsidR="00830814" w:rsidRPr="00BC68C4" w:rsidRDefault="00830814" w:rsidP="00265118">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c/(</w:t>
            </w:r>
            <w:proofErr w:type="spellStart"/>
            <w:r w:rsidRPr="00BC68C4">
              <w:rPr>
                <w:rFonts w:ascii="Times New Roman" w:eastAsia="Times New Roman" w:hAnsi="Times New Roman" w:cs="Times New Roman"/>
                <w:color w:val="000000"/>
                <w:sz w:val="16"/>
                <w:szCs w:val="16"/>
                <w:lang w:eastAsia="en-GB"/>
              </w:rPr>
              <w:t>a+c</w:t>
            </w:r>
            <w:proofErr w:type="spellEnd"/>
            <w:r w:rsidRPr="00BC68C4">
              <w:rPr>
                <w:rFonts w:ascii="Times New Roman" w:eastAsia="Times New Roman" w:hAnsi="Times New Roman" w:cs="Times New Roman"/>
                <w:color w:val="000000"/>
                <w:sz w:val="16"/>
                <w:szCs w:val="16"/>
                <w:lang w:eastAsia="en-GB"/>
              </w:rPr>
              <w:t>)</w:t>
            </w:r>
          </w:p>
        </w:tc>
        <w:tc>
          <w:tcPr>
            <w:tcW w:w="338" w:type="pct"/>
            <w:tcBorders>
              <w:top w:val="single" w:sz="4" w:space="0" w:color="auto"/>
              <w:bottom w:val="single" w:sz="4" w:space="0" w:color="auto"/>
            </w:tcBorders>
            <w:shd w:val="clear" w:color="auto" w:fill="auto"/>
            <w:noWrap/>
            <w:tcMar>
              <w:top w:w="15" w:type="dxa"/>
              <w:left w:w="15" w:type="dxa"/>
              <w:bottom w:w="0" w:type="dxa"/>
              <w:right w:w="15" w:type="dxa"/>
            </w:tcMar>
            <w:hideMark/>
          </w:tcPr>
          <w:p w14:paraId="7114BB4B" w14:textId="77777777" w:rsidR="00830814" w:rsidRPr="00BC68C4" w:rsidRDefault="00830814" w:rsidP="00265118">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Large</w:t>
            </w:r>
          </w:p>
          <w:p w14:paraId="43622255" w14:textId="77777777" w:rsidR="00830814" w:rsidRPr="00BC68C4" w:rsidRDefault="006469E4" w:rsidP="00265118">
            <w:pPr>
              <w:jc w:val="center"/>
              <w:rPr>
                <w:rFonts w:ascii="Times New Roman" w:eastAsia="Times New Roman" w:hAnsi="Times New Roman" w:cs="Times New Roman"/>
                <w:color w:val="000000"/>
                <w:sz w:val="16"/>
                <w:szCs w:val="16"/>
                <w:lang w:eastAsia="en-GB"/>
              </w:rPr>
            </w:pPr>
            <w:proofErr w:type="spellStart"/>
            <w:r w:rsidRPr="00BC68C4">
              <w:rPr>
                <w:rFonts w:ascii="Times New Roman" w:eastAsia="Times New Roman" w:hAnsi="Times New Roman" w:cs="Times New Roman"/>
                <w:color w:val="000000"/>
                <w:sz w:val="16"/>
                <w:szCs w:val="16"/>
                <w:lang w:eastAsia="en-GB"/>
              </w:rPr>
              <w:t>block</w:t>
            </w:r>
            <w:r w:rsidR="00830814" w:rsidRPr="00BC68C4">
              <w:rPr>
                <w:rFonts w:ascii="Times New Roman" w:eastAsia="Times New Roman" w:hAnsi="Times New Roman" w:cs="Times New Roman"/>
                <w:color w:val="000000"/>
                <w:sz w:val="16"/>
                <w:szCs w:val="16"/>
                <w:lang w:eastAsia="en-GB"/>
              </w:rPr>
              <w:t>holder</w:t>
            </w:r>
            <w:proofErr w:type="spellEnd"/>
          </w:p>
          <w:p w14:paraId="26CBFAE9" w14:textId="77777777" w:rsidR="00830814" w:rsidRPr="00BC68C4" w:rsidRDefault="00830814" w:rsidP="00265118">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to be a</w:t>
            </w:r>
          </w:p>
          <w:p w14:paraId="7A6582ED" w14:textId="77777777" w:rsidR="00830814" w:rsidRPr="00BC68C4" w:rsidRDefault="00830814" w:rsidP="00265118">
            <w:pPr>
              <w:jc w:val="center"/>
              <w:rPr>
                <w:rFonts w:ascii="Times New Roman" w:eastAsia="Times New Roman" w:hAnsi="Times New Roman" w:cs="Times New Roman"/>
                <w:color w:val="000000"/>
                <w:sz w:val="16"/>
                <w:szCs w:val="16"/>
                <w:lang w:eastAsia="en-GB"/>
              </w:rPr>
            </w:pPr>
            <w:proofErr w:type="gramStart"/>
            <w:r w:rsidRPr="00BC68C4">
              <w:rPr>
                <w:rFonts w:ascii="Times New Roman" w:eastAsia="Times New Roman" w:hAnsi="Times New Roman" w:cs="Times New Roman"/>
                <w:color w:val="000000"/>
                <w:sz w:val="16"/>
                <w:szCs w:val="16"/>
                <w:lang w:eastAsia="en-GB"/>
              </w:rPr>
              <w:t>director</w:t>
            </w:r>
            <w:proofErr w:type="gramEnd"/>
            <w:r w:rsidRPr="00BC68C4">
              <w:rPr>
                <w:rFonts w:ascii="Times New Roman" w:eastAsia="Times New Roman" w:hAnsi="Times New Roman" w:cs="Times New Roman"/>
                <w:color w:val="000000"/>
                <w:sz w:val="16"/>
                <w:szCs w:val="16"/>
                <w:lang w:eastAsia="en-GB"/>
              </w:rPr>
              <w:t xml:space="preserve"> (%)</w:t>
            </w:r>
          </w:p>
          <w:p w14:paraId="235CA67A" w14:textId="77777777" w:rsidR="00241B9D" w:rsidRPr="00BC68C4" w:rsidRDefault="00241B9D" w:rsidP="00265118">
            <w:pPr>
              <w:jc w:val="center"/>
              <w:rPr>
                <w:rFonts w:ascii="Times New Roman" w:eastAsia="Times New Roman" w:hAnsi="Times New Roman" w:cs="Times New Roman"/>
                <w:color w:val="000000"/>
                <w:sz w:val="16"/>
                <w:szCs w:val="16"/>
                <w:lang w:eastAsia="en-GB"/>
              </w:rPr>
            </w:pPr>
          </w:p>
          <w:p w14:paraId="346B4AD9" w14:textId="77777777" w:rsidR="00830814" w:rsidRPr="00BC68C4" w:rsidRDefault="00830814" w:rsidP="00265118">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c/(</w:t>
            </w:r>
            <w:proofErr w:type="spellStart"/>
            <w:r w:rsidRPr="00BC68C4">
              <w:rPr>
                <w:rFonts w:ascii="Times New Roman" w:eastAsia="Times New Roman" w:hAnsi="Times New Roman" w:cs="Times New Roman"/>
                <w:color w:val="000000"/>
                <w:sz w:val="16"/>
                <w:szCs w:val="16"/>
                <w:lang w:eastAsia="en-GB"/>
              </w:rPr>
              <w:t>b+c</w:t>
            </w:r>
            <w:proofErr w:type="spellEnd"/>
            <w:r w:rsidRPr="00BC68C4">
              <w:rPr>
                <w:rFonts w:ascii="Times New Roman" w:eastAsia="Times New Roman" w:hAnsi="Times New Roman" w:cs="Times New Roman"/>
                <w:color w:val="000000"/>
                <w:sz w:val="16"/>
                <w:szCs w:val="16"/>
                <w:lang w:eastAsia="en-GB"/>
              </w:rPr>
              <w:t>)</w:t>
            </w:r>
          </w:p>
        </w:tc>
      </w:tr>
      <w:tr w:rsidR="00332719" w:rsidRPr="00BC68C4" w14:paraId="164D72AB" w14:textId="77777777" w:rsidTr="00332719">
        <w:trPr>
          <w:trHeight w:val="305"/>
        </w:trPr>
        <w:tc>
          <w:tcPr>
            <w:tcW w:w="643" w:type="pct"/>
            <w:tcBorders>
              <w:top w:val="nil"/>
              <w:bottom w:val="nil"/>
            </w:tcBorders>
            <w:shd w:val="clear" w:color="auto" w:fill="auto"/>
            <w:noWrap/>
            <w:tcMar>
              <w:top w:w="15" w:type="dxa"/>
              <w:left w:w="15" w:type="dxa"/>
              <w:bottom w:w="0" w:type="dxa"/>
              <w:right w:w="15" w:type="dxa"/>
            </w:tcMar>
            <w:vAlign w:val="center"/>
            <w:hideMark/>
          </w:tcPr>
          <w:p w14:paraId="469AE484" w14:textId="77777777" w:rsidR="00830814" w:rsidRPr="00BC68C4" w:rsidRDefault="00830814" w:rsidP="00265118">
            <w:pPr>
              <w:jc w:val="center"/>
              <w:rPr>
                <w:rFonts w:ascii="Times New Roman" w:hAnsi="Times New Roman" w:cs="Times New Roman"/>
                <w:color w:val="000000"/>
                <w:sz w:val="16"/>
                <w:szCs w:val="16"/>
              </w:rPr>
            </w:pPr>
          </w:p>
        </w:tc>
        <w:tc>
          <w:tcPr>
            <w:tcW w:w="130" w:type="pct"/>
            <w:tcBorders>
              <w:top w:val="single" w:sz="4" w:space="0" w:color="auto"/>
            </w:tcBorders>
            <w:shd w:val="clear" w:color="auto" w:fill="auto"/>
            <w:noWrap/>
            <w:tcMar>
              <w:top w:w="15" w:type="dxa"/>
              <w:left w:w="15" w:type="dxa"/>
              <w:bottom w:w="0" w:type="dxa"/>
              <w:right w:w="15" w:type="dxa"/>
            </w:tcMar>
            <w:vAlign w:val="center"/>
            <w:hideMark/>
          </w:tcPr>
          <w:p w14:paraId="3F3D6F6C" w14:textId="77777777" w:rsidR="00830814" w:rsidRPr="00BC68C4" w:rsidRDefault="00830814" w:rsidP="00265118">
            <w:pPr>
              <w:jc w:val="center"/>
              <w:rPr>
                <w:rFonts w:ascii="Times New Roman" w:hAnsi="Times New Roman" w:cs="Times New Roman"/>
                <w:color w:val="000000"/>
                <w:sz w:val="16"/>
                <w:szCs w:val="16"/>
              </w:rPr>
            </w:pPr>
          </w:p>
        </w:tc>
        <w:tc>
          <w:tcPr>
            <w:tcW w:w="2" w:type="pct"/>
            <w:tcBorders>
              <w:top w:val="nil"/>
              <w:bottom w:val="nil"/>
            </w:tcBorders>
            <w:vAlign w:val="center"/>
          </w:tcPr>
          <w:p w14:paraId="32E86969" w14:textId="77777777" w:rsidR="00830814" w:rsidRPr="00BC68C4" w:rsidRDefault="00830814" w:rsidP="00265118">
            <w:pPr>
              <w:jc w:val="center"/>
              <w:rPr>
                <w:rFonts w:ascii="Times New Roman" w:hAnsi="Times New Roman" w:cs="Times New Roman"/>
                <w:color w:val="000000"/>
                <w:sz w:val="16"/>
                <w:szCs w:val="16"/>
              </w:rPr>
            </w:pPr>
          </w:p>
        </w:tc>
        <w:tc>
          <w:tcPr>
            <w:tcW w:w="212" w:type="pct"/>
            <w:tcBorders>
              <w:top w:val="single" w:sz="4" w:space="0" w:color="auto"/>
            </w:tcBorders>
            <w:vAlign w:val="center"/>
          </w:tcPr>
          <w:p w14:paraId="1920BF8F" w14:textId="77777777" w:rsidR="00830814" w:rsidRPr="00BC68C4" w:rsidRDefault="00830814" w:rsidP="00265118">
            <w:pPr>
              <w:jc w:val="center"/>
              <w:rPr>
                <w:rFonts w:ascii="Times New Roman" w:hAnsi="Times New Roman" w:cs="Times New Roman"/>
                <w:color w:val="000000"/>
                <w:sz w:val="16"/>
                <w:szCs w:val="16"/>
              </w:rPr>
            </w:pPr>
          </w:p>
        </w:tc>
        <w:tc>
          <w:tcPr>
            <w:tcW w:w="297" w:type="pct"/>
            <w:tcBorders>
              <w:top w:val="single" w:sz="4" w:space="0" w:color="auto"/>
            </w:tcBorders>
            <w:vAlign w:val="center"/>
          </w:tcPr>
          <w:p w14:paraId="18617F55" w14:textId="77777777" w:rsidR="00830814" w:rsidRPr="00BC68C4" w:rsidRDefault="00830814" w:rsidP="00265118">
            <w:pPr>
              <w:jc w:val="center"/>
              <w:rPr>
                <w:rFonts w:ascii="Times New Roman" w:hAnsi="Times New Roman" w:cs="Times New Roman"/>
                <w:color w:val="000000"/>
                <w:sz w:val="16"/>
                <w:szCs w:val="16"/>
              </w:rPr>
            </w:pPr>
          </w:p>
        </w:tc>
        <w:tc>
          <w:tcPr>
            <w:tcW w:w="297" w:type="pct"/>
            <w:tcBorders>
              <w:top w:val="single" w:sz="4" w:space="0" w:color="auto"/>
            </w:tcBorders>
            <w:vAlign w:val="center"/>
          </w:tcPr>
          <w:p w14:paraId="6F5EA410" w14:textId="77777777" w:rsidR="00830814" w:rsidRPr="00BC68C4" w:rsidRDefault="00830814" w:rsidP="00265118">
            <w:pPr>
              <w:jc w:val="center"/>
              <w:rPr>
                <w:rFonts w:ascii="Times New Roman" w:hAnsi="Times New Roman" w:cs="Times New Roman"/>
                <w:color w:val="000000"/>
                <w:sz w:val="16"/>
                <w:szCs w:val="16"/>
              </w:rPr>
            </w:pPr>
          </w:p>
        </w:tc>
        <w:tc>
          <w:tcPr>
            <w:tcW w:w="248" w:type="pct"/>
            <w:tcBorders>
              <w:top w:val="single" w:sz="4" w:space="0" w:color="auto"/>
            </w:tcBorders>
            <w:shd w:val="clear" w:color="auto" w:fill="auto"/>
            <w:noWrap/>
            <w:tcMar>
              <w:top w:w="15" w:type="dxa"/>
              <w:left w:w="15" w:type="dxa"/>
              <w:bottom w:w="0" w:type="dxa"/>
              <w:right w:w="15" w:type="dxa"/>
            </w:tcMar>
            <w:vAlign w:val="center"/>
            <w:hideMark/>
          </w:tcPr>
          <w:p w14:paraId="1CC8DEE5" w14:textId="77777777" w:rsidR="00830814" w:rsidRPr="00BC68C4" w:rsidRDefault="00830814" w:rsidP="00265118">
            <w:pPr>
              <w:jc w:val="center"/>
              <w:rPr>
                <w:rFonts w:ascii="Times New Roman" w:hAnsi="Times New Roman" w:cs="Times New Roman"/>
                <w:color w:val="000000"/>
                <w:sz w:val="16"/>
                <w:szCs w:val="16"/>
              </w:rPr>
            </w:pPr>
          </w:p>
        </w:tc>
        <w:tc>
          <w:tcPr>
            <w:tcW w:w="309" w:type="pct"/>
            <w:tcBorders>
              <w:top w:val="single" w:sz="4" w:space="0" w:color="auto"/>
            </w:tcBorders>
            <w:shd w:val="clear" w:color="auto" w:fill="auto"/>
            <w:noWrap/>
            <w:tcMar>
              <w:top w:w="15" w:type="dxa"/>
              <w:left w:w="15" w:type="dxa"/>
              <w:bottom w:w="0" w:type="dxa"/>
              <w:right w:w="15" w:type="dxa"/>
            </w:tcMar>
            <w:vAlign w:val="center"/>
            <w:hideMark/>
          </w:tcPr>
          <w:p w14:paraId="611BAC04" w14:textId="77777777" w:rsidR="00830814" w:rsidRPr="00BC68C4" w:rsidRDefault="00830814" w:rsidP="00265118">
            <w:pPr>
              <w:jc w:val="center"/>
              <w:rPr>
                <w:rFonts w:ascii="Times New Roman" w:hAnsi="Times New Roman" w:cs="Times New Roman"/>
                <w:color w:val="000000"/>
                <w:sz w:val="16"/>
                <w:szCs w:val="16"/>
              </w:rPr>
            </w:pPr>
          </w:p>
        </w:tc>
        <w:tc>
          <w:tcPr>
            <w:tcW w:w="307" w:type="pct"/>
            <w:tcBorders>
              <w:top w:val="single" w:sz="4" w:space="0" w:color="auto"/>
            </w:tcBorders>
            <w:shd w:val="clear" w:color="auto" w:fill="auto"/>
            <w:noWrap/>
            <w:tcMar>
              <w:top w:w="15" w:type="dxa"/>
              <w:left w:w="15" w:type="dxa"/>
              <w:bottom w:w="0" w:type="dxa"/>
              <w:right w:w="15" w:type="dxa"/>
            </w:tcMar>
            <w:vAlign w:val="center"/>
            <w:hideMark/>
          </w:tcPr>
          <w:p w14:paraId="7DA2F176" w14:textId="77777777" w:rsidR="00830814" w:rsidRPr="00BC68C4" w:rsidRDefault="00830814" w:rsidP="00265118">
            <w:pPr>
              <w:jc w:val="center"/>
              <w:rPr>
                <w:rFonts w:ascii="Times New Roman" w:hAnsi="Times New Roman" w:cs="Times New Roman"/>
                <w:color w:val="000000"/>
                <w:sz w:val="16"/>
                <w:szCs w:val="16"/>
              </w:rPr>
            </w:pPr>
          </w:p>
        </w:tc>
        <w:tc>
          <w:tcPr>
            <w:tcW w:w="38" w:type="pct"/>
            <w:tcBorders>
              <w:top w:val="nil"/>
              <w:bottom w:val="nil"/>
            </w:tcBorders>
            <w:vAlign w:val="center"/>
          </w:tcPr>
          <w:p w14:paraId="6F163E2A" w14:textId="77777777" w:rsidR="00830814" w:rsidRPr="00BC68C4" w:rsidRDefault="00830814" w:rsidP="00265118">
            <w:pPr>
              <w:jc w:val="center"/>
              <w:rPr>
                <w:rFonts w:ascii="Times New Roman" w:hAnsi="Times New Roman" w:cs="Times New Roman"/>
                <w:color w:val="000000"/>
                <w:sz w:val="16"/>
                <w:szCs w:val="16"/>
              </w:rPr>
            </w:pPr>
          </w:p>
        </w:tc>
        <w:tc>
          <w:tcPr>
            <w:tcW w:w="212" w:type="pct"/>
            <w:tcBorders>
              <w:top w:val="single" w:sz="4" w:space="0" w:color="auto"/>
            </w:tcBorders>
            <w:vAlign w:val="center"/>
          </w:tcPr>
          <w:p w14:paraId="435BCCAA" w14:textId="77777777" w:rsidR="00830814" w:rsidRPr="00BC68C4" w:rsidRDefault="00830814" w:rsidP="00265118">
            <w:pPr>
              <w:jc w:val="center"/>
              <w:rPr>
                <w:rFonts w:ascii="Times New Roman" w:hAnsi="Times New Roman" w:cs="Times New Roman"/>
                <w:color w:val="000000"/>
                <w:sz w:val="16"/>
                <w:szCs w:val="16"/>
              </w:rPr>
            </w:pPr>
          </w:p>
        </w:tc>
        <w:tc>
          <w:tcPr>
            <w:tcW w:w="297" w:type="pct"/>
            <w:tcBorders>
              <w:top w:val="single" w:sz="4" w:space="0" w:color="auto"/>
            </w:tcBorders>
            <w:vAlign w:val="center"/>
          </w:tcPr>
          <w:p w14:paraId="33C775E4" w14:textId="77777777" w:rsidR="00830814" w:rsidRPr="00BC68C4" w:rsidRDefault="00830814" w:rsidP="00265118">
            <w:pPr>
              <w:jc w:val="center"/>
              <w:rPr>
                <w:rFonts w:ascii="Times New Roman" w:hAnsi="Times New Roman" w:cs="Times New Roman"/>
                <w:color w:val="000000"/>
                <w:sz w:val="16"/>
                <w:szCs w:val="16"/>
              </w:rPr>
            </w:pPr>
          </w:p>
        </w:tc>
        <w:tc>
          <w:tcPr>
            <w:tcW w:w="297" w:type="pct"/>
            <w:tcBorders>
              <w:top w:val="single" w:sz="4" w:space="0" w:color="auto"/>
            </w:tcBorders>
            <w:vAlign w:val="center"/>
          </w:tcPr>
          <w:p w14:paraId="06028765" w14:textId="77777777" w:rsidR="00830814" w:rsidRPr="00BC68C4" w:rsidRDefault="00830814" w:rsidP="00265118">
            <w:pPr>
              <w:jc w:val="center"/>
              <w:rPr>
                <w:rFonts w:ascii="Times New Roman" w:hAnsi="Times New Roman" w:cs="Times New Roman"/>
                <w:color w:val="000000"/>
                <w:sz w:val="16"/>
                <w:szCs w:val="16"/>
              </w:rPr>
            </w:pPr>
          </w:p>
        </w:tc>
        <w:tc>
          <w:tcPr>
            <w:tcW w:w="247" w:type="pct"/>
            <w:gridSpan w:val="2"/>
            <w:tcBorders>
              <w:top w:val="single" w:sz="4" w:space="0" w:color="auto"/>
            </w:tcBorders>
            <w:shd w:val="clear" w:color="auto" w:fill="auto"/>
            <w:noWrap/>
            <w:tcMar>
              <w:top w:w="15" w:type="dxa"/>
              <w:left w:w="15" w:type="dxa"/>
              <w:bottom w:w="0" w:type="dxa"/>
              <w:right w:w="15" w:type="dxa"/>
            </w:tcMar>
            <w:vAlign w:val="center"/>
            <w:hideMark/>
          </w:tcPr>
          <w:p w14:paraId="2A10DFD2" w14:textId="77777777" w:rsidR="00830814" w:rsidRPr="00BC68C4" w:rsidRDefault="00830814" w:rsidP="00265118">
            <w:pPr>
              <w:jc w:val="center"/>
              <w:rPr>
                <w:rFonts w:ascii="Times New Roman" w:hAnsi="Times New Roman" w:cs="Times New Roman"/>
                <w:color w:val="000000"/>
                <w:sz w:val="16"/>
                <w:szCs w:val="16"/>
              </w:rPr>
            </w:pPr>
          </w:p>
        </w:tc>
        <w:tc>
          <w:tcPr>
            <w:tcW w:w="327" w:type="pct"/>
            <w:tcBorders>
              <w:top w:val="single" w:sz="4" w:space="0" w:color="auto"/>
            </w:tcBorders>
            <w:shd w:val="clear" w:color="auto" w:fill="auto"/>
            <w:noWrap/>
            <w:tcMar>
              <w:top w:w="15" w:type="dxa"/>
              <w:left w:w="15" w:type="dxa"/>
              <w:bottom w:w="0" w:type="dxa"/>
              <w:right w:w="15" w:type="dxa"/>
            </w:tcMar>
            <w:vAlign w:val="center"/>
            <w:hideMark/>
          </w:tcPr>
          <w:p w14:paraId="6467429E" w14:textId="77777777" w:rsidR="00830814" w:rsidRPr="00BC68C4" w:rsidRDefault="00830814" w:rsidP="00265118">
            <w:pPr>
              <w:jc w:val="center"/>
              <w:rPr>
                <w:rFonts w:ascii="Times New Roman" w:hAnsi="Times New Roman" w:cs="Times New Roman"/>
                <w:color w:val="000000"/>
                <w:sz w:val="16"/>
                <w:szCs w:val="16"/>
              </w:rPr>
            </w:pPr>
          </w:p>
        </w:tc>
        <w:tc>
          <w:tcPr>
            <w:tcW w:w="299" w:type="pct"/>
            <w:tcBorders>
              <w:top w:val="single" w:sz="4" w:space="0" w:color="auto"/>
            </w:tcBorders>
            <w:shd w:val="clear" w:color="auto" w:fill="auto"/>
            <w:noWrap/>
            <w:tcMar>
              <w:top w:w="15" w:type="dxa"/>
              <w:left w:w="15" w:type="dxa"/>
              <w:bottom w:w="0" w:type="dxa"/>
              <w:right w:w="15" w:type="dxa"/>
            </w:tcMar>
            <w:vAlign w:val="center"/>
            <w:hideMark/>
          </w:tcPr>
          <w:p w14:paraId="6873A49A" w14:textId="77777777" w:rsidR="00830814" w:rsidRPr="00BC68C4" w:rsidRDefault="00830814" w:rsidP="00265118">
            <w:pPr>
              <w:jc w:val="center"/>
              <w:rPr>
                <w:rFonts w:ascii="Times New Roman" w:hAnsi="Times New Roman" w:cs="Times New Roman"/>
                <w:color w:val="000000"/>
                <w:sz w:val="16"/>
                <w:szCs w:val="16"/>
              </w:rPr>
            </w:pPr>
          </w:p>
        </w:tc>
        <w:tc>
          <w:tcPr>
            <w:tcW w:w="24" w:type="pct"/>
            <w:tcBorders>
              <w:top w:val="nil"/>
              <w:bottom w:val="nil"/>
            </w:tcBorders>
            <w:vAlign w:val="center"/>
          </w:tcPr>
          <w:p w14:paraId="377E95CB" w14:textId="77777777" w:rsidR="00830814" w:rsidRPr="00BC68C4" w:rsidRDefault="00830814" w:rsidP="00265118">
            <w:pPr>
              <w:jc w:val="center"/>
              <w:rPr>
                <w:rFonts w:ascii="Times New Roman" w:hAnsi="Times New Roman" w:cs="Times New Roman"/>
                <w:color w:val="000000"/>
                <w:sz w:val="16"/>
                <w:szCs w:val="16"/>
              </w:rPr>
            </w:pPr>
          </w:p>
        </w:tc>
        <w:tc>
          <w:tcPr>
            <w:tcW w:w="476" w:type="pct"/>
            <w:tcBorders>
              <w:top w:val="single" w:sz="4" w:space="0" w:color="auto"/>
            </w:tcBorders>
            <w:shd w:val="clear" w:color="auto" w:fill="auto"/>
            <w:noWrap/>
            <w:tcMar>
              <w:top w:w="15" w:type="dxa"/>
              <w:left w:w="15" w:type="dxa"/>
              <w:bottom w:w="0" w:type="dxa"/>
              <w:right w:w="15" w:type="dxa"/>
            </w:tcMar>
            <w:vAlign w:val="center"/>
            <w:hideMark/>
          </w:tcPr>
          <w:p w14:paraId="0E454B2A" w14:textId="77777777" w:rsidR="00830814" w:rsidRPr="00BC68C4" w:rsidRDefault="00830814" w:rsidP="00265118">
            <w:pPr>
              <w:jc w:val="center"/>
              <w:rPr>
                <w:rFonts w:ascii="Times New Roman" w:hAnsi="Times New Roman" w:cs="Times New Roman"/>
                <w:color w:val="000000"/>
                <w:sz w:val="16"/>
                <w:szCs w:val="16"/>
              </w:rPr>
            </w:pPr>
          </w:p>
        </w:tc>
        <w:tc>
          <w:tcPr>
            <w:tcW w:w="338" w:type="pct"/>
            <w:tcBorders>
              <w:top w:val="single" w:sz="4" w:space="0" w:color="auto"/>
            </w:tcBorders>
            <w:shd w:val="clear" w:color="auto" w:fill="auto"/>
            <w:noWrap/>
            <w:tcMar>
              <w:top w:w="15" w:type="dxa"/>
              <w:left w:w="15" w:type="dxa"/>
              <w:bottom w:w="0" w:type="dxa"/>
              <w:right w:w="15" w:type="dxa"/>
            </w:tcMar>
            <w:vAlign w:val="center"/>
            <w:hideMark/>
          </w:tcPr>
          <w:p w14:paraId="13614980" w14:textId="77777777" w:rsidR="00830814" w:rsidRPr="00BC68C4" w:rsidRDefault="00830814" w:rsidP="00265118">
            <w:pPr>
              <w:jc w:val="center"/>
              <w:rPr>
                <w:rFonts w:ascii="Times New Roman" w:hAnsi="Times New Roman" w:cs="Times New Roman"/>
                <w:color w:val="000000"/>
                <w:sz w:val="16"/>
                <w:szCs w:val="16"/>
              </w:rPr>
            </w:pPr>
          </w:p>
        </w:tc>
      </w:tr>
      <w:tr w:rsidR="00980FC9" w:rsidRPr="00BC68C4" w14:paraId="58AC460E" w14:textId="77777777" w:rsidTr="00980FC9">
        <w:trPr>
          <w:trHeight w:val="305"/>
        </w:trPr>
        <w:tc>
          <w:tcPr>
            <w:tcW w:w="643" w:type="pct"/>
            <w:tcBorders>
              <w:top w:val="nil"/>
            </w:tcBorders>
            <w:shd w:val="clear" w:color="auto" w:fill="auto"/>
            <w:noWrap/>
            <w:tcMar>
              <w:top w:w="15" w:type="dxa"/>
              <w:left w:w="15" w:type="dxa"/>
              <w:bottom w:w="0" w:type="dxa"/>
              <w:right w:w="15" w:type="dxa"/>
            </w:tcMar>
            <w:vAlign w:val="center"/>
            <w:hideMark/>
          </w:tcPr>
          <w:p w14:paraId="3434C252" w14:textId="77777777" w:rsidR="00980FC9" w:rsidRPr="00BC68C4" w:rsidRDefault="00980FC9" w:rsidP="00332719">
            <w:pPr>
              <w:jc w:val="left"/>
              <w:rPr>
                <w:rFonts w:ascii="Times New Roman" w:hAnsi="Times New Roman" w:cs="Times New Roman"/>
                <w:color w:val="000000"/>
                <w:sz w:val="16"/>
                <w:szCs w:val="16"/>
              </w:rPr>
            </w:pPr>
            <w:r w:rsidRPr="00BC68C4">
              <w:rPr>
                <w:rFonts w:ascii="Times New Roman" w:hAnsi="Times New Roman" w:cs="Times New Roman"/>
                <w:color w:val="000000"/>
                <w:sz w:val="16"/>
                <w:szCs w:val="16"/>
              </w:rPr>
              <w:t>Banks</w:t>
            </w:r>
          </w:p>
        </w:tc>
        <w:tc>
          <w:tcPr>
            <w:tcW w:w="130" w:type="pct"/>
            <w:shd w:val="clear" w:color="auto" w:fill="auto"/>
            <w:noWrap/>
            <w:tcMar>
              <w:top w:w="15" w:type="dxa"/>
              <w:left w:w="15" w:type="dxa"/>
              <w:bottom w:w="0" w:type="dxa"/>
              <w:right w:w="15" w:type="dxa"/>
            </w:tcMar>
            <w:vAlign w:val="center"/>
            <w:hideMark/>
          </w:tcPr>
          <w:p w14:paraId="670F801B" w14:textId="1DC9857B"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38</w:t>
            </w:r>
          </w:p>
        </w:tc>
        <w:tc>
          <w:tcPr>
            <w:tcW w:w="2" w:type="pct"/>
            <w:tcBorders>
              <w:top w:val="nil"/>
            </w:tcBorders>
            <w:vAlign w:val="center"/>
          </w:tcPr>
          <w:p w14:paraId="58B26E1D" w14:textId="77777777" w:rsidR="00980FC9" w:rsidRPr="00BC68C4" w:rsidRDefault="00980FC9" w:rsidP="00980FC9">
            <w:pPr>
              <w:jc w:val="center"/>
              <w:rPr>
                <w:rFonts w:ascii="Times New Roman" w:hAnsi="Times New Roman" w:cs="Times New Roman"/>
                <w:color w:val="000000"/>
                <w:sz w:val="16"/>
                <w:szCs w:val="16"/>
              </w:rPr>
            </w:pPr>
          </w:p>
        </w:tc>
        <w:tc>
          <w:tcPr>
            <w:tcW w:w="212" w:type="pct"/>
            <w:vAlign w:val="center"/>
          </w:tcPr>
          <w:p w14:paraId="5037345D" w14:textId="5CA55B90"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7.0</w:t>
            </w:r>
          </w:p>
        </w:tc>
        <w:tc>
          <w:tcPr>
            <w:tcW w:w="297" w:type="pct"/>
            <w:vAlign w:val="center"/>
          </w:tcPr>
          <w:p w14:paraId="70E0A7DA" w14:textId="4953B9B2"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w:t>
            </w:r>
          </w:p>
        </w:tc>
        <w:tc>
          <w:tcPr>
            <w:tcW w:w="297" w:type="pct"/>
            <w:vAlign w:val="center"/>
          </w:tcPr>
          <w:p w14:paraId="75944EC1" w14:textId="3DDC8A9E"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w:t>
            </w:r>
          </w:p>
        </w:tc>
        <w:tc>
          <w:tcPr>
            <w:tcW w:w="248" w:type="pct"/>
            <w:shd w:val="clear" w:color="auto" w:fill="auto"/>
            <w:noWrap/>
            <w:tcMar>
              <w:top w:w="15" w:type="dxa"/>
              <w:left w:w="15" w:type="dxa"/>
              <w:bottom w:w="0" w:type="dxa"/>
              <w:right w:w="15" w:type="dxa"/>
            </w:tcMar>
            <w:vAlign w:val="center"/>
            <w:hideMark/>
          </w:tcPr>
          <w:p w14:paraId="559E25FE" w14:textId="3A8C9C12"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7.1</w:t>
            </w:r>
          </w:p>
        </w:tc>
        <w:tc>
          <w:tcPr>
            <w:tcW w:w="309" w:type="pct"/>
            <w:shd w:val="clear" w:color="auto" w:fill="auto"/>
            <w:noWrap/>
            <w:tcMar>
              <w:top w:w="15" w:type="dxa"/>
              <w:left w:w="15" w:type="dxa"/>
              <w:bottom w:w="0" w:type="dxa"/>
              <w:right w:w="15" w:type="dxa"/>
            </w:tcMar>
            <w:vAlign w:val="center"/>
            <w:hideMark/>
          </w:tcPr>
          <w:p w14:paraId="2F24600F" w14:textId="67C8ADAE"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w:t>
            </w:r>
          </w:p>
        </w:tc>
        <w:tc>
          <w:tcPr>
            <w:tcW w:w="307" w:type="pct"/>
            <w:shd w:val="clear" w:color="auto" w:fill="auto"/>
            <w:noWrap/>
            <w:tcMar>
              <w:top w:w="15" w:type="dxa"/>
              <w:left w:w="15" w:type="dxa"/>
              <w:bottom w:w="0" w:type="dxa"/>
              <w:right w:w="15" w:type="dxa"/>
            </w:tcMar>
            <w:vAlign w:val="center"/>
            <w:hideMark/>
          </w:tcPr>
          <w:p w14:paraId="2185F0AC" w14:textId="77F44385"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7.1</w:t>
            </w:r>
          </w:p>
        </w:tc>
        <w:tc>
          <w:tcPr>
            <w:tcW w:w="38" w:type="pct"/>
            <w:tcBorders>
              <w:top w:val="nil"/>
            </w:tcBorders>
            <w:vAlign w:val="center"/>
          </w:tcPr>
          <w:p w14:paraId="2A6ECC6E" w14:textId="77777777" w:rsidR="00980FC9" w:rsidRPr="00BC68C4" w:rsidRDefault="00980FC9" w:rsidP="00980FC9">
            <w:pPr>
              <w:jc w:val="center"/>
              <w:rPr>
                <w:rFonts w:ascii="Times New Roman" w:hAnsi="Times New Roman" w:cs="Times New Roman"/>
                <w:color w:val="000000"/>
                <w:sz w:val="16"/>
                <w:szCs w:val="16"/>
              </w:rPr>
            </w:pPr>
          </w:p>
        </w:tc>
        <w:tc>
          <w:tcPr>
            <w:tcW w:w="212" w:type="pct"/>
            <w:vAlign w:val="center"/>
          </w:tcPr>
          <w:p w14:paraId="77A5588C" w14:textId="655C97BA"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6.3</w:t>
            </w:r>
          </w:p>
        </w:tc>
        <w:tc>
          <w:tcPr>
            <w:tcW w:w="297" w:type="pct"/>
            <w:vAlign w:val="center"/>
          </w:tcPr>
          <w:p w14:paraId="1D42E2BB" w14:textId="61EA6009"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w:t>
            </w:r>
          </w:p>
        </w:tc>
        <w:tc>
          <w:tcPr>
            <w:tcW w:w="297" w:type="pct"/>
            <w:vAlign w:val="center"/>
          </w:tcPr>
          <w:p w14:paraId="2A00DAC1" w14:textId="176BB480"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0.4</w:t>
            </w:r>
          </w:p>
        </w:tc>
        <w:tc>
          <w:tcPr>
            <w:tcW w:w="247" w:type="pct"/>
            <w:gridSpan w:val="2"/>
            <w:shd w:val="clear" w:color="auto" w:fill="auto"/>
            <w:noWrap/>
            <w:tcMar>
              <w:top w:w="15" w:type="dxa"/>
              <w:left w:w="15" w:type="dxa"/>
              <w:bottom w:w="0" w:type="dxa"/>
              <w:right w:w="15" w:type="dxa"/>
            </w:tcMar>
            <w:vAlign w:val="center"/>
            <w:hideMark/>
          </w:tcPr>
          <w:p w14:paraId="7DD4E824" w14:textId="46539DFF"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6.7</w:t>
            </w:r>
          </w:p>
        </w:tc>
        <w:tc>
          <w:tcPr>
            <w:tcW w:w="327" w:type="pct"/>
            <w:shd w:val="clear" w:color="auto" w:fill="auto"/>
            <w:noWrap/>
            <w:tcMar>
              <w:top w:w="15" w:type="dxa"/>
              <w:left w:w="15" w:type="dxa"/>
              <w:bottom w:w="0" w:type="dxa"/>
              <w:right w:w="15" w:type="dxa"/>
            </w:tcMar>
            <w:vAlign w:val="center"/>
            <w:hideMark/>
          </w:tcPr>
          <w:p w14:paraId="6BDA9899" w14:textId="7672F01C"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0.4</w:t>
            </w:r>
          </w:p>
        </w:tc>
        <w:tc>
          <w:tcPr>
            <w:tcW w:w="299" w:type="pct"/>
            <w:shd w:val="clear" w:color="auto" w:fill="auto"/>
            <w:noWrap/>
            <w:tcMar>
              <w:top w:w="15" w:type="dxa"/>
              <w:left w:w="15" w:type="dxa"/>
              <w:bottom w:w="0" w:type="dxa"/>
              <w:right w:w="15" w:type="dxa"/>
            </w:tcMar>
            <w:vAlign w:val="center"/>
            <w:hideMark/>
          </w:tcPr>
          <w:p w14:paraId="3C1D1899" w14:textId="734179D0"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6.7</w:t>
            </w:r>
          </w:p>
        </w:tc>
        <w:tc>
          <w:tcPr>
            <w:tcW w:w="24" w:type="pct"/>
            <w:tcBorders>
              <w:top w:val="nil"/>
            </w:tcBorders>
            <w:vAlign w:val="center"/>
          </w:tcPr>
          <w:p w14:paraId="43457887" w14:textId="77777777" w:rsidR="00980FC9" w:rsidRPr="00BC68C4" w:rsidRDefault="00980FC9" w:rsidP="00980FC9">
            <w:pPr>
              <w:jc w:val="center"/>
              <w:rPr>
                <w:rFonts w:ascii="Times New Roman" w:hAnsi="Times New Roman" w:cs="Times New Roman"/>
                <w:color w:val="000000"/>
                <w:sz w:val="16"/>
                <w:szCs w:val="16"/>
              </w:rPr>
            </w:pPr>
          </w:p>
        </w:tc>
        <w:tc>
          <w:tcPr>
            <w:tcW w:w="476" w:type="pct"/>
            <w:shd w:val="clear" w:color="auto" w:fill="auto"/>
            <w:noWrap/>
            <w:tcMar>
              <w:top w:w="15" w:type="dxa"/>
              <w:left w:w="15" w:type="dxa"/>
              <w:bottom w:w="0" w:type="dxa"/>
              <w:right w:w="15" w:type="dxa"/>
            </w:tcMar>
            <w:vAlign w:val="center"/>
            <w:hideMark/>
          </w:tcPr>
          <w:p w14:paraId="5B2DAFCE" w14:textId="435CE769"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0.4</w:t>
            </w:r>
          </w:p>
        </w:tc>
        <w:tc>
          <w:tcPr>
            <w:tcW w:w="338" w:type="pct"/>
            <w:shd w:val="clear" w:color="auto" w:fill="auto"/>
            <w:noWrap/>
            <w:tcMar>
              <w:top w:w="15" w:type="dxa"/>
              <w:left w:w="15" w:type="dxa"/>
              <w:bottom w:w="0" w:type="dxa"/>
              <w:right w:w="15" w:type="dxa"/>
            </w:tcMar>
            <w:vAlign w:val="center"/>
            <w:hideMark/>
          </w:tcPr>
          <w:p w14:paraId="02BE46BC" w14:textId="1790B67F"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100.0</w:t>
            </w:r>
          </w:p>
        </w:tc>
      </w:tr>
      <w:tr w:rsidR="00980FC9" w:rsidRPr="00BC68C4" w14:paraId="7C98A877" w14:textId="77777777" w:rsidTr="00980FC9">
        <w:trPr>
          <w:trHeight w:val="305"/>
        </w:trPr>
        <w:tc>
          <w:tcPr>
            <w:tcW w:w="643" w:type="pct"/>
            <w:shd w:val="clear" w:color="auto" w:fill="auto"/>
            <w:noWrap/>
            <w:tcMar>
              <w:top w:w="15" w:type="dxa"/>
              <w:left w:w="15" w:type="dxa"/>
              <w:bottom w:w="0" w:type="dxa"/>
              <w:right w:w="15" w:type="dxa"/>
            </w:tcMar>
            <w:vAlign w:val="center"/>
            <w:hideMark/>
          </w:tcPr>
          <w:p w14:paraId="640863EC" w14:textId="77777777" w:rsidR="00980FC9" w:rsidRPr="00BC68C4" w:rsidRDefault="00980FC9" w:rsidP="00332719">
            <w:pPr>
              <w:jc w:val="left"/>
              <w:rPr>
                <w:rFonts w:ascii="Times New Roman" w:hAnsi="Times New Roman" w:cs="Times New Roman"/>
                <w:color w:val="000000"/>
                <w:sz w:val="16"/>
                <w:szCs w:val="16"/>
              </w:rPr>
            </w:pPr>
            <w:r w:rsidRPr="00BC68C4">
              <w:rPr>
                <w:rFonts w:ascii="Times New Roman" w:hAnsi="Times New Roman" w:cs="Times New Roman"/>
                <w:color w:val="000000"/>
                <w:sz w:val="16"/>
                <w:szCs w:val="16"/>
              </w:rPr>
              <w:t>Breweries</w:t>
            </w:r>
          </w:p>
        </w:tc>
        <w:tc>
          <w:tcPr>
            <w:tcW w:w="130" w:type="pct"/>
            <w:shd w:val="clear" w:color="auto" w:fill="auto"/>
            <w:noWrap/>
            <w:tcMar>
              <w:top w:w="15" w:type="dxa"/>
              <w:left w:w="15" w:type="dxa"/>
              <w:bottom w:w="0" w:type="dxa"/>
              <w:right w:w="15" w:type="dxa"/>
            </w:tcMar>
            <w:vAlign w:val="center"/>
            <w:hideMark/>
          </w:tcPr>
          <w:p w14:paraId="30EE479A" w14:textId="7D6AD470"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3</w:t>
            </w:r>
          </w:p>
        </w:tc>
        <w:tc>
          <w:tcPr>
            <w:tcW w:w="2" w:type="pct"/>
            <w:vAlign w:val="center"/>
          </w:tcPr>
          <w:p w14:paraId="403DA3E1" w14:textId="77777777" w:rsidR="00980FC9" w:rsidRPr="00BC68C4" w:rsidRDefault="00980FC9" w:rsidP="00980FC9">
            <w:pPr>
              <w:jc w:val="center"/>
              <w:rPr>
                <w:rFonts w:ascii="Times New Roman" w:hAnsi="Times New Roman" w:cs="Times New Roman"/>
                <w:color w:val="000000"/>
                <w:sz w:val="16"/>
                <w:szCs w:val="16"/>
              </w:rPr>
            </w:pPr>
          </w:p>
        </w:tc>
        <w:tc>
          <w:tcPr>
            <w:tcW w:w="212" w:type="pct"/>
            <w:vAlign w:val="center"/>
          </w:tcPr>
          <w:p w14:paraId="17C4CCC7" w14:textId="5891492C"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3.0</w:t>
            </w:r>
          </w:p>
        </w:tc>
        <w:tc>
          <w:tcPr>
            <w:tcW w:w="297" w:type="pct"/>
            <w:vAlign w:val="center"/>
          </w:tcPr>
          <w:p w14:paraId="73F0A031" w14:textId="186CC927"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w:t>
            </w:r>
          </w:p>
        </w:tc>
        <w:tc>
          <w:tcPr>
            <w:tcW w:w="297" w:type="pct"/>
            <w:vAlign w:val="center"/>
          </w:tcPr>
          <w:p w14:paraId="713E76F4" w14:textId="2A4C6DD5"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1.3</w:t>
            </w:r>
          </w:p>
        </w:tc>
        <w:tc>
          <w:tcPr>
            <w:tcW w:w="248" w:type="pct"/>
            <w:shd w:val="clear" w:color="auto" w:fill="auto"/>
            <w:noWrap/>
            <w:tcMar>
              <w:top w:w="15" w:type="dxa"/>
              <w:left w:w="15" w:type="dxa"/>
              <w:bottom w:w="0" w:type="dxa"/>
              <w:right w:w="15" w:type="dxa"/>
            </w:tcMar>
            <w:vAlign w:val="center"/>
            <w:hideMark/>
          </w:tcPr>
          <w:p w14:paraId="046651ED" w14:textId="14D7DE9B"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4.3</w:t>
            </w:r>
          </w:p>
        </w:tc>
        <w:tc>
          <w:tcPr>
            <w:tcW w:w="309" w:type="pct"/>
            <w:shd w:val="clear" w:color="auto" w:fill="auto"/>
            <w:noWrap/>
            <w:tcMar>
              <w:top w:w="15" w:type="dxa"/>
              <w:left w:w="15" w:type="dxa"/>
              <w:bottom w:w="0" w:type="dxa"/>
              <w:right w:w="15" w:type="dxa"/>
            </w:tcMar>
            <w:vAlign w:val="center"/>
            <w:hideMark/>
          </w:tcPr>
          <w:p w14:paraId="64619822" w14:textId="2B928EA4"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1.3</w:t>
            </w:r>
          </w:p>
        </w:tc>
        <w:tc>
          <w:tcPr>
            <w:tcW w:w="307" w:type="pct"/>
            <w:shd w:val="clear" w:color="auto" w:fill="auto"/>
            <w:noWrap/>
            <w:tcMar>
              <w:top w:w="15" w:type="dxa"/>
              <w:left w:w="15" w:type="dxa"/>
              <w:bottom w:w="0" w:type="dxa"/>
              <w:right w:w="15" w:type="dxa"/>
            </w:tcMar>
            <w:vAlign w:val="center"/>
            <w:hideMark/>
          </w:tcPr>
          <w:p w14:paraId="0F16428C" w14:textId="5DBD14B8"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4.3</w:t>
            </w:r>
          </w:p>
        </w:tc>
        <w:tc>
          <w:tcPr>
            <w:tcW w:w="38" w:type="pct"/>
            <w:vAlign w:val="center"/>
          </w:tcPr>
          <w:p w14:paraId="6403A171" w14:textId="77777777" w:rsidR="00980FC9" w:rsidRPr="00BC68C4" w:rsidRDefault="00980FC9" w:rsidP="00980FC9">
            <w:pPr>
              <w:jc w:val="center"/>
              <w:rPr>
                <w:rFonts w:ascii="Times New Roman" w:hAnsi="Times New Roman" w:cs="Times New Roman"/>
                <w:color w:val="000000"/>
                <w:sz w:val="16"/>
                <w:szCs w:val="16"/>
              </w:rPr>
            </w:pPr>
          </w:p>
        </w:tc>
        <w:tc>
          <w:tcPr>
            <w:tcW w:w="212" w:type="pct"/>
            <w:vAlign w:val="center"/>
          </w:tcPr>
          <w:p w14:paraId="7A5548CF" w14:textId="2131B34C"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8.1</w:t>
            </w:r>
          </w:p>
        </w:tc>
        <w:tc>
          <w:tcPr>
            <w:tcW w:w="297" w:type="pct"/>
            <w:vAlign w:val="center"/>
          </w:tcPr>
          <w:p w14:paraId="34D72875" w14:textId="16321984"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w:t>
            </w:r>
          </w:p>
        </w:tc>
        <w:tc>
          <w:tcPr>
            <w:tcW w:w="297" w:type="pct"/>
            <w:vAlign w:val="center"/>
          </w:tcPr>
          <w:p w14:paraId="3D37E2B3" w14:textId="67DD343F"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29.9</w:t>
            </w:r>
          </w:p>
        </w:tc>
        <w:tc>
          <w:tcPr>
            <w:tcW w:w="247" w:type="pct"/>
            <w:gridSpan w:val="2"/>
            <w:shd w:val="clear" w:color="auto" w:fill="auto"/>
            <w:noWrap/>
            <w:tcMar>
              <w:top w:w="15" w:type="dxa"/>
              <w:left w:w="15" w:type="dxa"/>
              <w:bottom w:w="0" w:type="dxa"/>
              <w:right w:w="15" w:type="dxa"/>
            </w:tcMar>
            <w:vAlign w:val="center"/>
            <w:hideMark/>
          </w:tcPr>
          <w:p w14:paraId="2400D0D5" w14:textId="276745D0"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38.0</w:t>
            </w:r>
          </w:p>
        </w:tc>
        <w:tc>
          <w:tcPr>
            <w:tcW w:w="327" w:type="pct"/>
            <w:shd w:val="clear" w:color="auto" w:fill="auto"/>
            <w:noWrap/>
            <w:tcMar>
              <w:top w:w="15" w:type="dxa"/>
              <w:left w:w="15" w:type="dxa"/>
              <w:bottom w:w="0" w:type="dxa"/>
              <w:right w:w="15" w:type="dxa"/>
            </w:tcMar>
            <w:vAlign w:val="center"/>
            <w:hideMark/>
          </w:tcPr>
          <w:p w14:paraId="4E58531F" w14:textId="6A5441B0"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29.9</w:t>
            </w:r>
          </w:p>
        </w:tc>
        <w:tc>
          <w:tcPr>
            <w:tcW w:w="299" w:type="pct"/>
            <w:shd w:val="clear" w:color="auto" w:fill="auto"/>
            <w:noWrap/>
            <w:tcMar>
              <w:top w:w="15" w:type="dxa"/>
              <w:left w:w="15" w:type="dxa"/>
              <w:bottom w:w="0" w:type="dxa"/>
              <w:right w:w="15" w:type="dxa"/>
            </w:tcMar>
            <w:vAlign w:val="center"/>
            <w:hideMark/>
          </w:tcPr>
          <w:p w14:paraId="2D799AA3" w14:textId="229FE49C"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38.0</w:t>
            </w:r>
          </w:p>
        </w:tc>
        <w:tc>
          <w:tcPr>
            <w:tcW w:w="24" w:type="pct"/>
            <w:vAlign w:val="center"/>
          </w:tcPr>
          <w:p w14:paraId="2D2E38E8" w14:textId="77777777" w:rsidR="00980FC9" w:rsidRPr="00BC68C4" w:rsidRDefault="00980FC9" w:rsidP="00980FC9">
            <w:pPr>
              <w:jc w:val="center"/>
              <w:rPr>
                <w:rFonts w:ascii="Times New Roman" w:hAnsi="Times New Roman" w:cs="Times New Roman"/>
                <w:color w:val="000000"/>
                <w:sz w:val="16"/>
                <w:szCs w:val="16"/>
              </w:rPr>
            </w:pPr>
          </w:p>
        </w:tc>
        <w:tc>
          <w:tcPr>
            <w:tcW w:w="476" w:type="pct"/>
            <w:shd w:val="clear" w:color="auto" w:fill="auto"/>
            <w:noWrap/>
            <w:tcMar>
              <w:top w:w="15" w:type="dxa"/>
              <w:left w:w="15" w:type="dxa"/>
              <w:bottom w:w="0" w:type="dxa"/>
              <w:right w:w="15" w:type="dxa"/>
            </w:tcMar>
            <w:vAlign w:val="center"/>
            <w:hideMark/>
          </w:tcPr>
          <w:p w14:paraId="6149E004" w14:textId="06827179"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30.8</w:t>
            </w:r>
          </w:p>
        </w:tc>
        <w:tc>
          <w:tcPr>
            <w:tcW w:w="338" w:type="pct"/>
            <w:shd w:val="clear" w:color="auto" w:fill="auto"/>
            <w:noWrap/>
            <w:tcMar>
              <w:top w:w="15" w:type="dxa"/>
              <w:left w:w="15" w:type="dxa"/>
              <w:bottom w:w="0" w:type="dxa"/>
              <w:right w:w="15" w:type="dxa"/>
            </w:tcMar>
            <w:vAlign w:val="center"/>
            <w:hideMark/>
          </w:tcPr>
          <w:p w14:paraId="6A23DB15" w14:textId="4B99C715"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100.0</w:t>
            </w:r>
          </w:p>
        </w:tc>
      </w:tr>
      <w:tr w:rsidR="00980FC9" w:rsidRPr="00BC68C4" w14:paraId="72133113" w14:textId="77777777" w:rsidTr="00980FC9">
        <w:trPr>
          <w:trHeight w:val="305"/>
        </w:trPr>
        <w:tc>
          <w:tcPr>
            <w:tcW w:w="643" w:type="pct"/>
            <w:shd w:val="clear" w:color="auto" w:fill="auto"/>
            <w:noWrap/>
            <w:tcMar>
              <w:top w:w="15" w:type="dxa"/>
              <w:left w:w="15" w:type="dxa"/>
              <w:bottom w:w="0" w:type="dxa"/>
              <w:right w:w="15" w:type="dxa"/>
            </w:tcMar>
            <w:vAlign w:val="center"/>
            <w:hideMark/>
          </w:tcPr>
          <w:p w14:paraId="0783D665" w14:textId="59DA51FF" w:rsidR="00980FC9" w:rsidRPr="00BC68C4" w:rsidRDefault="00376AC8" w:rsidP="00332719">
            <w:pPr>
              <w:jc w:val="left"/>
              <w:rPr>
                <w:rFonts w:ascii="Times New Roman" w:hAnsi="Times New Roman" w:cs="Times New Roman"/>
                <w:color w:val="000000"/>
                <w:sz w:val="16"/>
                <w:szCs w:val="16"/>
              </w:rPr>
            </w:pPr>
            <w:r>
              <w:rPr>
                <w:rFonts w:ascii="Times New Roman" w:hAnsi="Times New Roman" w:cs="Times New Roman"/>
                <w:color w:val="000000"/>
                <w:sz w:val="16"/>
                <w:szCs w:val="16"/>
              </w:rPr>
              <w:t>Gas, L</w:t>
            </w:r>
            <w:r w:rsidR="00980FC9" w:rsidRPr="00BC68C4">
              <w:rPr>
                <w:rFonts w:ascii="Times New Roman" w:hAnsi="Times New Roman" w:cs="Times New Roman"/>
                <w:color w:val="000000"/>
                <w:sz w:val="16"/>
                <w:szCs w:val="16"/>
              </w:rPr>
              <w:t>ight &amp; Coke</w:t>
            </w:r>
          </w:p>
        </w:tc>
        <w:tc>
          <w:tcPr>
            <w:tcW w:w="130" w:type="pct"/>
            <w:shd w:val="clear" w:color="auto" w:fill="auto"/>
            <w:noWrap/>
            <w:tcMar>
              <w:top w:w="15" w:type="dxa"/>
              <w:left w:w="15" w:type="dxa"/>
              <w:bottom w:w="0" w:type="dxa"/>
              <w:right w:w="15" w:type="dxa"/>
            </w:tcMar>
            <w:vAlign w:val="center"/>
            <w:hideMark/>
          </w:tcPr>
          <w:p w14:paraId="67C4893A" w14:textId="631823F4"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11</w:t>
            </w:r>
          </w:p>
        </w:tc>
        <w:tc>
          <w:tcPr>
            <w:tcW w:w="2" w:type="pct"/>
            <w:vAlign w:val="center"/>
          </w:tcPr>
          <w:p w14:paraId="79D15A2C" w14:textId="77777777" w:rsidR="00980FC9" w:rsidRPr="00BC68C4" w:rsidRDefault="00980FC9" w:rsidP="00980FC9">
            <w:pPr>
              <w:jc w:val="center"/>
              <w:rPr>
                <w:rFonts w:ascii="Times New Roman" w:hAnsi="Times New Roman" w:cs="Times New Roman"/>
                <w:color w:val="000000"/>
                <w:sz w:val="16"/>
                <w:szCs w:val="16"/>
              </w:rPr>
            </w:pPr>
          </w:p>
        </w:tc>
        <w:tc>
          <w:tcPr>
            <w:tcW w:w="212" w:type="pct"/>
            <w:vAlign w:val="center"/>
          </w:tcPr>
          <w:p w14:paraId="6F7D3D99" w14:textId="1747AD8A"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5.5</w:t>
            </w:r>
          </w:p>
        </w:tc>
        <w:tc>
          <w:tcPr>
            <w:tcW w:w="297" w:type="pct"/>
            <w:vAlign w:val="center"/>
          </w:tcPr>
          <w:p w14:paraId="32B0FAEA" w14:textId="331F9C83"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0.5</w:t>
            </w:r>
          </w:p>
        </w:tc>
        <w:tc>
          <w:tcPr>
            <w:tcW w:w="297" w:type="pct"/>
            <w:vAlign w:val="center"/>
          </w:tcPr>
          <w:p w14:paraId="4A969EE0" w14:textId="2599BF1A"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0.2</w:t>
            </w:r>
          </w:p>
        </w:tc>
        <w:tc>
          <w:tcPr>
            <w:tcW w:w="248" w:type="pct"/>
            <w:shd w:val="clear" w:color="auto" w:fill="auto"/>
            <w:noWrap/>
            <w:tcMar>
              <w:top w:w="15" w:type="dxa"/>
              <w:left w:w="15" w:type="dxa"/>
              <w:bottom w:w="0" w:type="dxa"/>
              <w:right w:w="15" w:type="dxa"/>
            </w:tcMar>
            <w:vAlign w:val="center"/>
            <w:hideMark/>
          </w:tcPr>
          <w:p w14:paraId="0F59D63D" w14:textId="7192469C"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5.7</w:t>
            </w:r>
          </w:p>
        </w:tc>
        <w:tc>
          <w:tcPr>
            <w:tcW w:w="309" w:type="pct"/>
            <w:shd w:val="clear" w:color="auto" w:fill="auto"/>
            <w:noWrap/>
            <w:tcMar>
              <w:top w:w="15" w:type="dxa"/>
              <w:left w:w="15" w:type="dxa"/>
              <w:bottom w:w="0" w:type="dxa"/>
              <w:right w:w="15" w:type="dxa"/>
            </w:tcMar>
            <w:vAlign w:val="center"/>
            <w:hideMark/>
          </w:tcPr>
          <w:p w14:paraId="047C93FE" w14:textId="3CB42C98"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0.7</w:t>
            </w:r>
          </w:p>
        </w:tc>
        <w:tc>
          <w:tcPr>
            <w:tcW w:w="307" w:type="pct"/>
            <w:shd w:val="clear" w:color="auto" w:fill="auto"/>
            <w:noWrap/>
            <w:tcMar>
              <w:top w:w="15" w:type="dxa"/>
              <w:left w:w="15" w:type="dxa"/>
              <w:bottom w:w="0" w:type="dxa"/>
              <w:right w:w="15" w:type="dxa"/>
            </w:tcMar>
            <w:vAlign w:val="center"/>
            <w:hideMark/>
          </w:tcPr>
          <w:p w14:paraId="3A4622BC" w14:textId="4268FF2A"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6.3</w:t>
            </w:r>
          </w:p>
        </w:tc>
        <w:tc>
          <w:tcPr>
            <w:tcW w:w="38" w:type="pct"/>
            <w:vAlign w:val="center"/>
          </w:tcPr>
          <w:p w14:paraId="2FAF4743" w14:textId="77777777" w:rsidR="00980FC9" w:rsidRPr="00BC68C4" w:rsidRDefault="00980FC9" w:rsidP="00980FC9">
            <w:pPr>
              <w:jc w:val="center"/>
              <w:rPr>
                <w:rFonts w:ascii="Times New Roman" w:hAnsi="Times New Roman" w:cs="Times New Roman"/>
                <w:color w:val="000000"/>
                <w:sz w:val="16"/>
                <w:szCs w:val="16"/>
              </w:rPr>
            </w:pPr>
          </w:p>
        </w:tc>
        <w:tc>
          <w:tcPr>
            <w:tcW w:w="212" w:type="pct"/>
            <w:vAlign w:val="center"/>
          </w:tcPr>
          <w:p w14:paraId="724D9B52" w14:textId="58101981"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4.5</w:t>
            </w:r>
          </w:p>
        </w:tc>
        <w:tc>
          <w:tcPr>
            <w:tcW w:w="297" w:type="pct"/>
            <w:vAlign w:val="center"/>
          </w:tcPr>
          <w:p w14:paraId="264C8BA8" w14:textId="6B319AE3"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13.6</w:t>
            </w:r>
          </w:p>
        </w:tc>
        <w:tc>
          <w:tcPr>
            <w:tcW w:w="297" w:type="pct"/>
            <w:vAlign w:val="center"/>
          </w:tcPr>
          <w:p w14:paraId="6196710A" w14:textId="699A23E1"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4.3</w:t>
            </w:r>
          </w:p>
        </w:tc>
        <w:tc>
          <w:tcPr>
            <w:tcW w:w="247" w:type="pct"/>
            <w:gridSpan w:val="2"/>
            <w:shd w:val="clear" w:color="auto" w:fill="auto"/>
            <w:noWrap/>
            <w:tcMar>
              <w:top w:w="15" w:type="dxa"/>
              <w:left w:w="15" w:type="dxa"/>
              <w:bottom w:w="0" w:type="dxa"/>
              <w:right w:w="15" w:type="dxa"/>
            </w:tcMar>
            <w:vAlign w:val="center"/>
            <w:hideMark/>
          </w:tcPr>
          <w:p w14:paraId="637B71A2" w14:textId="28324962"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8.8</w:t>
            </w:r>
          </w:p>
        </w:tc>
        <w:tc>
          <w:tcPr>
            <w:tcW w:w="327" w:type="pct"/>
            <w:shd w:val="clear" w:color="auto" w:fill="auto"/>
            <w:noWrap/>
            <w:tcMar>
              <w:top w:w="15" w:type="dxa"/>
              <w:left w:w="15" w:type="dxa"/>
              <w:bottom w:w="0" w:type="dxa"/>
              <w:right w:w="15" w:type="dxa"/>
            </w:tcMar>
            <w:vAlign w:val="center"/>
            <w:hideMark/>
          </w:tcPr>
          <w:p w14:paraId="11C34E5D" w14:textId="7C79E5A4"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17.9</w:t>
            </w:r>
          </w:p>
        </w:tc>
        <w:tc>
          <w:tcPr>
            <w:tcW w:w="299" w:type="pct"/>
            <w:shd w:val="clear" w:color="auto" w:fill="auto"/>
            <w:noWrap/>
            <w:tcMar>
              <w:top w:w="15" w:type="dxa"/>
              <w:left w:w="15" w:type="dxa"/>
              <w:bottom w:w="0" w:type="dxa"/>
              <w:right w:w="15" w:type="dxa"/>
            </w:tcMar>
            <w:vAlign w:val="center"/>
            <w:hideMark/>
          </w:tcPr>
          <w:p w14:paraId="0CA1F897" w14:textId="2BE0CA80"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22.4</w:t>
            </w:r>
          </w:p>
        </w:tc>
        <w:tc>
          <w:tcPr>
            <w:tcW w:w="24" w:type="pct"/>
            <w:vAlign w:val="center"/>
          </w:tcPr>
          <w:p w14:paraId="3CCA722D" w14:textId="77777777" w:rsidR="00980FC9" w:rsidRPr="00BC68C4" w:rsidRDefault="00980FC9" w:rsidP="00980FC9">
            <w:pPr>
              <w:jc w:val="center"/>
              <w:rPr>
                <w:rFonts w:ascii="Times New Roman" w:hAnsi="Times New Roman" w:cs="Times New Roman"/>
                <w:color w:val="000000"/>
                <w:sz w:val="16"/>
                <w:szCs w:val="16"/>
              </w:rPr>
            </w:pPr>
          </w:p>
        </w:tc>
        <w:tc>
          <w:tcPr>
            <w:tcW w:w="476" w:type="pct"/>
            <w:shd w:val="clear" w:color="auto" w:fill="auto"/>
            <w:noWrap/>
            <w:tcMar>
              <w:top w:w="15" w:type="dxa"/>
              <w:left w:w="15" w:type="dxa"/>
              <w:bottom w:w="0" w:type="dxa"/>
              <w:right w:w="15" w:type="dxa"/>
            </w:tcMar>
            <w:vAlign w:val="center"/>
            <w:hideMark/>
          </w:tcPr>
          <w:p w14:paraId="3D8B0077" w14:textId="410BB667"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3.2</w:t>
            </w:r>
          </w:p>
        </w:tc>
        <w:tc>
          <w:tcPr>
            <w:tcW w:w="338" w:type="pct"/>
            <w:shd w:val="clear" w:color="auto" w:fill="auto"/>
            <w:noWrap/>
            <w:tcMar>
              <w:top w:w="15" w:type="dxa"/>
              <w:left w:w="15" w:type="dxa"/>
              <w:bottom w:w="0" w:type="dxa"/>
              <w:right w:w="15" w:type="dxa"/>
            </w:tcMar>
            <w:vAlign w:val="center"/>
            <w:hideMark/>
          </w:tcPr>
          <w:p w14:paraId="189DA016" w14:textId="2E076D01"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w:t>
            </w:r>
            <w:r w:rsidR="00CF3EB9" w:rsidRPr="00BC68C4">
              <w:rPr>
                <w:rFonts w:ascii="Times New Roman" w:hAnsi="Times New Roman" w:cs="Times New Roman"/>
                <w:color w:val="000000"/>
                <w:sz w:val="16"/>
                <w:szCs w:val="16"/>
              </w:rPr>
              <w:t>5.0</w:t>
            </w:r>
          </w:p>
        </w:tc>
      </w:tr>
      <w:tr w:rsidR="00980FC9" w:rsidRPr="00BC68C4" w14:paraId="024ACBCA" w14:textId="77777777" w:rsidTr="00980FC9">
        <w:trPr>
          <w:trHeight w:val="305"/>
        </w:trPr>
        <w:tc>
          <w:tcPr>
            <w:tcW w:w="643" w:type="pct"/>
            <w:shd w:val="clear" w:color="auto" w:fill="auto"/>
            <w:noWrap/>
            <w:tcMar>
              <w:top w:w="15" w:type="dxa"/>
              <w:left w:w="15" w:type="dxa"/>
              <w:bottom w:w="0" w:type="dxa"/>
              <w:right w:w="15" w:type="dxa"/>
            </w:tcMar>
            <w:vAlign w:val="center"/>
            <w:hideMark/>
          </w:tcPr>
          <w:p w14:paraId="654E91DF" w14:textId="09852283" w:rsidR="00980FC9" w:rsidRPr="00BC68C4" w:rsidRDefault="00980FC9" w:rsidP="00332719">
            <w:pPr>
              <w:jc w:val="left"/>
              <w:rPr>
                <w:rFonts w:ascii="Times New Roman" w:hAnsi="Times New Roman" w:cs="Times New Roman"/>
                <w:color w:val="000000"/>
                <w:sz w:val="16"/>
                <w:szCs w:val="16"/>
              </w:rPr>
            </w:pPr>
            <w:r w:rsidRPr="00BC68C4">
              <w:rPr>
                <w:rFonts w:ascii="Times New Roman" w:hAnsi="Times New Roman" w:cs="Times New Roman"/>
                <w:color w:val="000000"/>
                <w:sz w:val="16"/>
                <w:szCs w:val="16"/>
              </w:rPr>
              <w:t>Industrial &amp; Commercial</w:t>
            </w:r>
          </w:p>
        </w:tc>
        <w:tc>
          <w:tcPr>
            <w:tcW w:w="130" w:type="pct"/>
            <w:shd w:val="clear" w:color="auto" w:fill="auto"/>
            <w:noWrap/>
            <w:tcMar>
              <w:top w:w="15" w:type="dxa"/>
              <w:left w:w="15" w:type="dxa"/>
              <w:bottom w:w="0" w:type="dxa"/>
              <w:right w:w="15" w:type="dxa"/>
            </w:tcMar>
            <w:vAlign w:val="center"/>
            <w:hideMark/>
          </w:tcPr>
          <w:p w14:paraId="123F0E7A" w14:textId="122E341B"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63</w:t>
            </w:r>
          </w:p>
        </w:tc>
        <w:tc>
          <w:tcPr>
            <w:tcW w:w="2" w:type="pct"/>
            <w:vAlign w:val="center"/>
          </w:tcPr>
          <w:p w14:paraId="181B1878" w14:textId="77777777" w:rsidR="00980FC9" w:rsidRPr="00BC68C4" w:rsidRDefault="00980FC9" w:rsidP="00980FC9">
            <w:pPr>
              <w:jc w:val="center"/>
              <w:rPr>
                <w:rFonts w:ascii="Times New Roman" w:hAnsi="Times New Roman" w:cs="Times New Roman"/>
                <w:color w:val="000000"/>
                <w:sz w:val="16"/>
                <w:szCs w:val="16"/>
              </w:rPr>
            </w:pPr>
          </w:p>
        </w:tc>
        <w:tc>
          <w:tcPr>
            <w:tcW w:w="212" w:type="pct"/>
            <w:vAlign w:val="center"/>
          </w:tcPr>
          <w:p w14:paraId="62866545" w14:textId="333BCCFC"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4.7</w:t>
            </w:r>
          </w:p>
        </w:tc>
        <w:tc>
          <w:tcPr>
            <w:tcW w:w="297" w:type="pct"/>
            <w:vAlign w:val="center"/>
          </w:tcPr>
          <w:p w14:paraId="58E7F250" w14:textId="14952E8B"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0.3</w:t>
            </w:r>
          </w:p>
        </w:tc>
        <w:tc>
          <w:tcPr>
            <w:tcW w:w="297" w:type="pct"/>
            <w:vAlign w:val="center"/>
          </w:tcPr>
          <w:p w14:paraId="5547D6A1" w14:textId="101C58A3"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0.5</w:t>
            </w:r>
          </w:p>
        </w:tc>
        <w:tc>
          <w:tcPr>
            <w:tcW w:w="248" w:type="pct"/>
            <w:shd w:val="clear" w:color="auto" w:fill="auto"/>
            <w:noWrap/>
            <w:tcMar>
              <w:top w:w="15" w:type="dxa"/>
              <w:left w:w="15" w:type="dxa"/>
              <w:bottom w:w="0" w:type="dxa"/>
              <w:right w:w="15" w:type="dxa"/>
            </w:tcMar>
            <w:vAlign w:val="center"/>
            <w:hideMark/>
          </w:tcPr>
          <w:p w14:paraId="4001CA16" w14:textId="3937C676"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5.2</w:t>
            </w:r>
          </w:p>
        </w:tc>
        <w:tc>
          <w:tcPr>
            <w:tcW w:w="309" w:type="pct"/>
            <w:shd w:val="clear" w:color="auto" w:fill="auto"/>
            <w:noWrap/>
            <w:tcMar>
              <w:top w:w="15" w:type="dxa"/>
              <w:left w:w="15" w:type="dxa"/>
              <w:bottom w:w="0" w:type="dxa"/>
              <w:right w:w="15" w:type="dxa"/>
            </w:tcMar>
            <w:vAlign w:val="center"/>
            <w:hideMark/>
          </w:tcPr>
          <w:p w14:paraId="1FB2818A" w14:textId="4E909025"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0.7</w:t>
            </w:r>
          </w:p>
        </w:tc>
        <w:tc>
          <w:tcPr>
            <w:tcW w:w="307" w:type="pct"/>
            <w:shd w:val="clear" w:color="auto" w:fill="auto"/>
            <w:noWrap/>
            <w:tcMar>
              <w:top w:w="15" w:type="dxa"/>
              <w:left w:w="15" w:type="dxa"/>
              <w:bottom w:w="0" w:type="dxa"/>
              <w:right w:w="15" w:type="dxa"/>
            </w:tcMar>
            <w:vAlign w:val="center"/>
            <w:hideMark/>
          </w:tcPr>
          <w:p w14:paraId="1E2052EB" w14:textId="0689B1D7"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5.5</w:t>
            </w:r>
          </w:p>
        </w:tc>
        <w:tc>
          <w:tcPr>
            <w:tcW w:w="38" w:type="pct"/>
            <w:vAlign w:val="center"/>
          </w:tcPr>
          <w:p w14:paraId="5919B54C" w14:textId="77777777" w:rsidR="00980FC9" w:rsidRPr="00BC68C4" w:rsidRDefault="00980FC9" w:rsidP="00980FC9">
            <w:pPr>
              <w:jc w:val="center"/>
              <w:rPr>
                <w:rFonts w:ascii="Times New Roman" w:hAnsi="Times New Roman" w:cs="Times New Roman"/>
                <w:color w:val="000000"/>
                <w:sz w:val="16"/>
                <w:szCs w:val="16"/>
              </w:rPr>
            </w:pPr>
          </w:p>
        </w:tc>
        <w:tc>
          <w:tcPr>
            <w:tcW w:w="212" w:type="pct"/>
            <w:vAlign w:val="center"/>
          </w:tcPr>
          <w:p w14:paraId="4A4CF9BA" w14:textId="6A972421"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8.3</w:t>
            </w:r>
          </w:p>
        </w:tc>
        <w:tc>
          <w:tcPr>
            <w:tcW w:w="297" w:type="pct"/>
            <w:vAlign w:val="center"/>
          </w:tcPr>
          <w:p w14:paraId="06153B9A" w14:textId="21FE6C52"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5.3</w:t>
            </w:r>
          </w:p>
        </w:tc>
        <w:tc>
          <w:tcPr>
            <w:tcW w:w="297" w:type="pct"/>
            <w:vAlign w:val="center"/>
          </w:tcPr>
          <w:p w14:paraId="779C2D0D" w14:textId="388F9A81"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8.0</w:t>
            </w:r>
          </w:p>
        </w:tc>
        <w:tc>
          <w:tcPr>
            <w:tcW w:w="247" w:type="pct"/>
            <w:gridSpan w:val="2"/>
            <w:shd w:val="clear" w:color="auto" w:fill="auto"/>
            <w:noWrap/>
            <w:tcMar>
              <w:top w:w="15" w:type="dxa"/>
              <w:left w:w="15" w:type="dxa"/>
              <w:bottom w:w="0" w:type="dxa"/>
              <w:right w:w="15" w:type="dxa"/>
            </w:tcMar>
            <w:vAlign w:val="center"/>
            <w:hideMark/>
          </w:tcPr>
          <w:p w14:paraId="3D794F13" w14:textId="2BBEB14F"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16.3</w:t>
            </w:r>
          </w:p>
        </w:tc>
        <w:tc>
          <w:tcPr>
            <w:tcW w:w="327" w:type="pct"/>
            <w:shd w:val="clear" w:color="auto" w:fill="auto"/>
            <w:noWrap/>
            <w:tcMar>
              <w:top w:w="15" w:type="dxa"/>
              <w:left w:w="15" w:type="dxa"/>
              <w:bottom w:w="0" w:type="dxa"/>
              <w:right w:w="15" w:type="dxa"/>
            </w:tcMar>
            <w:vAlign w:val="center"/>
            <w:hideMark/>
          </w:tcPr>
          <w:p w14:paraId="71DB4F69" w14:textId="1D5281E5"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13.3</w:t>
            </w:r>
          </w:p>
        </w:tc>
        <w:tc>
          <w:tcPr>
            <w:tcW w:w="299" w:type="pct"/>
            <w:shd w:val="clear" w:color="auto" w:fill="auto"/>
            <w:noWrap/>
            <w:tcMar>
              <w:top w:w="15" w:type="dxa"/>
              <w:left w:w="15" w:type="dxa"/>
              <w:bottom w:w="0" w:type="dxa"/>
              <w:right w:w="15" w:type="dxa"/>
            </w:tcMar>
            <w:vAlign w:val="center"/>
            <w:hideMark/>
          </w:tcPr>
          <w:p w14:paraId="0582623D" w14:textId="533D37EB"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21.6</w:t>
            </w:r>
          </w:p>
        </w:tc>
        <w:tc>
          <w:tcPr>
            <w:tcW w:w="24" w:type="pct"/>
            <w:vAlign w:val="center"/>
          </w:tcPr>
          <w:p w14:paraId="75FF71A2" w14:textId="77777777" w:rsidR="00980FC9" w:rsidRPr="00BC68C4" w:rsidRDefault="00980FC9" w:rsidP="00980FC9">
            <w:pPr>
              <w:jc w:val="center"/>
              <w:rPr>
                <w:rFonts w:ascii="Times New Roman" w:hAnsi="Times New Roman" w:cs="Times New Roman"/>
                <w:color w:val="000000"/>
                <w:sz w:val="16"/>
                <w:szCs w:val="16"/>
              </w:rPr>
            </w:pPr>
          </w:p>
        </w:tc>
        <w:tc>
          <w:tcPr>
            <w:tcW w:w="476" w:type="pct"/>
            <w:shd w:val="clear" w:color="auto" w:fill="auto"/>
            <w:noWrap/>
            <w:tcMar>
              <w:top w:w="15" w:type="dxa"/>
              <w:left w:w="15" w:type="dxa"/>
              <w:bottom w:w="0" w:type="dxa"/>
              <w:right w:w="15" w:type="dxa"/>
            </w:tcMar>
            <w:vAlign w:val="center"/>
            <w:hideMark/>
          </w:tcPr>
          <w:p w14:paraId="63B74BE3" w14:textId="28980297"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8.8</w:t>
            </w:r>
          </w:p>
        </w:tc>
        <w:tc>
          <w:tcPr>
            <w:tcW w:w="338" w:type="pct"/>
            <w:shd w:val="clear" w:color="auto" w:fill="auto"/>
            <w:noWrap/>
            <w:tcMar>
              <w:top w:w="15" w:type="dxa"/>
              <w:left w:w="15" w:type="dxa"/>
              <w:bottom w:w="0" w:type="dxa"/>
              <w:right w:w="15" w:type="dxa"/>
            </w:tcMar>
            <w:vAlign w:val="center"/>
            <w:hideMark/>
          </w:tcPr>
          <w:p w14:paraId="09E71CDC" w14:textId="4E68F995"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64.4</w:t>
            </w:r>
          </w:p>
        </w:tc>
      </w:tr>
      <w:tr w:rsidR="00980FC9" w:rsidRPr="00BC68C4" w14:paraId="262CF64D" w14:textId="77777777" w:rsidTr="00980FC9">
        <w:trPr>
          <w:trHeight w:val="305"/>
        </w:trPr>
        <w:tc>
          <w:tcPr>
            <w:tcW w:w="643" w:type="pct"/>
            <w:shd w:val="clear" w:color="auto" w:fill="auto"/>
            <w:noWrap/>
            <w:tcMar>
              <w:top w:w="15" w:type="dxa"/>
              <w:left w:w="15" w:type="dxa"/>
              <w:bottom w:w="0" w:type="dxa"/>
              <w:right w:w="15" w:type="dxa"/>
            </w:tcMar>
            <w:vAlign w:val="center"/>
            <w:hideMark/>
          </w:tcPr>
          <w:p w14:paraId="0A78A9C7" w14:textId="77777777" w:rsidR="00980FC9" w:rsidRPr="00BC68C4" w:rsidRDefault="00980FC9" w:rsidP="00332719">
            <w:pPr>
              <w:jc w:val="left"/>
              <w:rPr>
                <w:rFonts w:ascii="Times New Roman" w:hAnsi="Times New Roman" w:cs="Times New Roman"/>
                <w:color w:val="000000"/>
                <w:sz w:val="16"/>
                <w:szCs w:val="16"/>
              </w:rPr>
            </w:pPr>
            <w:r w:rsidRPr="00BC68C4">
              <w:rPr>
                <w:rFonts w:ascii="Times New Roman" w:hAnsi="Times New Roman" w:cs="Times New Roman"/>
                <w:color w:val="000000"/>
                <w:sz w:val="16"/>
                <w:szCs w:val="16"/>
              </w:rPr>
              <w:t>Insurance</w:t>
            </w:r>
          </w:p>
        </w:tc>
        <w:tc>
          <w:tcPr>
            <w:tcW w:w="130" w:type="pct"/>
            <w:shd w:val="clear" w:color="auto" w:fill="auto"/>
            <w:noWrap/>
            <w:tcMar>
              <w:top w:w="15" w:type="dxa"/>
              <w:left w:w="15" w:type="dxa"/>
              <w:bottom w:w="0" w:type="dxa"/>
              <w:right w:w="15" w:type="dxa"/>
            </w:tcMar>
            <w:vAlign w:val="center"/>
            <w:hideMark/>
          </w:tcPr>
          <w:p w14:paraId="5215DCE9" w14:textId="1996EBB0"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15</w:t>
            </w:r>
          </w:p>
        </w:tc>
        <w:tc>
          <w:tcPr>
            <w:tcW w:w="2" w:type="pct"/>
            <w:vAlign w:val="center"/>
          </w:tcPr>
          <w:p w14:paraId="2BC8A829" w14:textId="77777777" w:rsidR="00980FC9" w:rsidRPr="00BC68C4" w:rsidRDefault="00980FC9" w:rsidP="00980FC9">
            <w:pPr>
              <w:jc w:val="center"/>
              <w:rPr>
                <w:rFonts w:ascii="Times New Roman" w:hAnsi="Times New Roman" w:cs="Times New Roman"/>
                <w:color w:val="000000"/>
                <w:sz w:val="16"/>
                <w:szCs w:val="16"/>
              </w:rPr>
            </w:pPr>
          </w:p>
        </w:tc>
        <w:tc>
          <w:tcPr>
            <w:tcW w:w="212" w:type="pct"/>
            <w:vAlign w:val="center"/>
          </w:tcPr>
          <w:p w14:paraId="4BE7E910" w14:textId="7D4DA73D"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12.7</w:t>
            </w:r>
          </w:p>
        </w:tc>
        <w:tc>
          <w:tcPr>
            <w:tcW w:w="297" w:type="pct"/>
            <w:vAlign w:val="center"/>
          </w:tcPr>
          <w:p w14:paraId="1AE4DF2F" w14:textId="09C9BFA8"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w:t>
            </w:r>
          </w:p>
        </w:tc>
        <w:tc>
          <w:tcPr>
            <w:tcW w:w="297" w:type="pct"/>
            <w:vAlign w:val="center"/>
          </w:tcPr>
          <w:p w14:paraId="5952D5C8" w14:textId="3BE568DF"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0.1</w:t>
            </w:r>
          </w:p>
        </w:tc>
        <w:tc>
          <w:tcPr>
            <w:tcW w:w="248" w:type="pct"/>
            <w:shd w:val="clear" w:color="auto" w:fill="auto"/>
            <w:noWrap/>
            <w:tcMar>
              <w:top w:w="15" w:type="dxa"/>
              <w:left w:w="15" w:type="dxa"/>
              <w:bottom w:w="0" w:type="dxa"/>
              <w:right w:w="15" w:type="dxa"/>
            </w:tcMar>
            <w:vAlign w:val="center"/>
            <w:hideMark/>
          </w:tcPr>
          <w:p w14:paraId="59E02CFA" w14:textId="53519784"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12.9</w:t>
            </w:r>
          </w:p>
        </w:tc>
        <w:tc>
          <w:tcPr>
            <w:tcW w:w="309" w:type="pct"/>
            <w:shd w:val="clear" w:color="auto" w:fill="auto"/>
            <w:noWrap/>
            <w:tcMar>
              <w:top w:w="15" w:type="dxa"/>
              <w:left w:w="15" w:type="dxa"/>
              <w:bottom w:w="0" w:type="dxa"/>
              <w:right w:w="15" w:type="dxa"/>
            </w:tcMar>
            <w:vAlign w:val="center"/>
            <w:hideMark/>
          </w:tcPr>
          <w:p w14:paraId="082A4C10" w14:textId="210B6BAD"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0.1</w:t>
            </w:r>
          </w:p>
        </w:tc>
        <w:tc>
          <w:tcPr>
            <w:tcW w:w="307" w:type="pct"/>
            <w:shd w:val="clear" w:color="auto" w:fill="auto"/>
            <w:noWrap/>
            <w:tcMar>
              <w:top w:w="15" w:type="dxa"/>
              <w:left w:w="15" w:type="dxa"/>
              <w:bottom w:w="0" w:type="dxa"/>
              <w:right w:w="15" w:type="dxa"/>
            </w:tcMar>
            <w:vAlign w:val="center"/>
            <w:hideMark/>
          </w:tcPr>
          <w:p w14:paraId="59B4C21A" w14:textId="6A755233"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12.9</w:t>
            </w:r>
          </w:p>
        </w:tc>
        <w:tc>
          <w:tcPr>
            <w:tcW w:w="38" w:type="pct"/>
            <w:vAlign w:val="center"/>
          </w:tcPr>
          <w:p w14:paraId="06873372" w14:textId="77777777" w:rsidR="00980FC9" w:rsidRPr="00BC68C4" w:rsidRDefault="00980FC9" w:rsidP="00980FC9">
            <w:pPr>
              <w:jc w:val="center"/>
              <w:rPr>
                <w:rFonts w:ascii="Times New Roman" w:hAnsi="Times New Roman" w:cs="Times New Roman"/>
                <w:color w:val="000000"/>
                <w:sz w:val="16"/>
                <w:szCs w:val="16"/>
              </w:rPr>
            </w:pPr>
          </w:p>
        </w:tc>
        <w:tc>
          <w:tcPr>
            <w:tcW w:w="212" w:type="pct"/>
            <w:vAlign w:val="center"/>
          </w:tcPr>
          <w:p w14:paraId="0BCD4148" w14:textId="2066961F"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8.5</w:t>
            </w:r>
          </w:p>
        </w:tc>
        <w:tc>
          <w:tcPr>
            <w:tcW w:w="297" w:type="pct"/>
            <w:vAlign w:val="center"/>
          </w:tcPr>
          <w:p w14:paraId="5C4E28B8" w14:textId="47D52239"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w:t>
            </w:r>
          </w:p>
        </w:tc>
        <w:tc>
          <w:tcPr>
            <w:tcW w:w="297" w:type="pct"/>
            <w:vAlign w:val="center"/>
          </w:tcPr>
          <w:p w14:paraId="3D7CF236" w14:textId="11889AC5"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1.8</w:t>
            </w:r>
          </w:p>
        </w:tc>
        <w:tc>
          <w:tcPr>
            <w:tcW w:w="247" w:type="pct"/>
            <w:gridSpan w:val="2"/>
            <w:shd w:val="clear" w:color="auto" w:fill="auto"/>
            <w:noWrap/>
            <w:tcMar>
              <w:top w:w="15" w:type="dxa"/>
              <w:left w:w="15" w:type="dxa"/>
              <w:bottom w:w="0" w:type="dxa"/>
              <w:right w:w="15" w:type="dxa"/>
            </w:tcMar>
            <w:vAlign w:val="center"/>
            <w:hideMark/>
          </w:tcPr>
          <w:p w14:paraId="7D64D383" w14:textId="4B9CDFF4"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10.2</w:t>
            </w:r>
          </w:p>
        </w:tc>
        <w:tc>
          <w:tcPr>
            <w:tcW w:w="327" w:type="pct"/>
            <w:shd w:val="clear" w:color="auto" w:fill="auto"/>
            <w:noWrap/>
            <w:tcMar>
              <w:top w:w="15" w:type="dxa"/>
              <w:left w:w="15" w:type="dxa"/>
              <w:bottom w:w="0" w:type="dxa"/>
              <w:right w:w="15" w:type="dxa"/>
            </w:tcMar>
            <w:vAlign w:val="center"/>
            <w:hideMark/>
          </w:tcPr>
          <w:p w14:paraId="201336E3" w14:textId="26E50B9E"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1.8</w:t>
            </w:r>
          </w:p>
        </w:tc>
        <w:tc>
          <w:tcPr>
            <w:tcW w:w="299" w:type="pct"/>
            <w:shd w:val="clear" w:color="auto" w:fill="auto"/>
            <w:noWrap/>
            <w:tcMar>
              <w:top w:w="15" w:type="dxa"/>
              <w:left w:w="15" w:type="dxa"/>
              <w:bottom w:w="0" w:type="dxa"/>
              <w:right w:w="15" w:type="dxa"/>
            </w:tcMar>
            <w:vAlign w:val="center"/>
            <w:hideMark/>
          </w:tcPr>
          <w:p w14:paraId="1C2D6454" w14:textId="3468BD88"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10.2</w:t>
            </w:r>
          </w:p>
        </w:tc>
        <w:tc>
          <w:tcPr>
            <w:tcW w:w="24" w:type="pct"/>
            <w:vAlign w:val="center"/>
          </w:tcPr>
          <w:p w14:paraId="146EB765" w14:textId="77777777" w:rsidR="00980FC9" w:rsidRPr="00BC68C4" w:rsidRDefault="00980FC9" w:rsidP="00980FC9">
            <w:pPr>
              <w:jc w:val="center"/>
              <w:rPr>
                <w:rFonts w:ascii="Times New Roman" w:hAnsi="Times New Roman" w:cs="Times New Roman"/>
                <w:color w:val="000000"/>
                <w:sz w:val="16"/>
                <w:szCs w:val="16"/>
              </w:rPr>
            </w:pPr>
          </w:p>
        </w:tc>
        <w:tc>
          <w:tcPr>
            <w:tcW w:w="476" w:type="pct"/>
            <w:shd w:val="clear" w:color="auto" w:fill="auto"/>
            <w:noWrap/>
            <w:tcMar>
              <w:top w:w="15" w:type="dxa"/>
              <w:left w:w="15" w:type="dxa"/>
              <w:bottom w:w="0" w:type="dxa"/>
              <w:right w:w="15" w:type="dxa"/>
            </w:tcMar>
            <w:vAlign w:val="center"/>
            <w:hideMark/>
          </w:tcPr>
          <w:p w14:paraId="767E5F1A" w14:textId="4FAFFCB8"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1.0</w:t>
            </w:r>
          </w:p>
        </w:tc>
        <w:tc>
          <w:tcPr>
            <w:tcW w:w="338" w:type="pct"/>
            <w:shd w:val="clear" w:color="auto" w:fill="auto"/>
            <w:noWrap/>
            <w:tcMar>
              <w:top w:w="15" w:type="dxa"/>
              <w:left w:w="15" w:type="dxa"/>
              <w:bottom w:w="0" w:type="dxa"/>
              <w:right w:w="15" w:type="dxa"/>
            </w:tcMar>
            <w:vAlign w:val="center"/>
            <w:hideMark/>
          </w:tcPr>
          <w:p w14:paraId="6913583C" w14:textId="04E26D0C"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100.0</w:t>
            </w:r>
          </w:p>
        </w:tc>
      </w:tr>
      <w:tr w:rsidR="00980FC9" w:rsidRPr="00BC68C4" w14:paraId="7732803E" w14:textId="77777777" w:rsidTr="00980FC9">
        <w:trPr>
          <w:trHeight w:val="305"/>
        </w:trPr>
        <w:tc>
          <w:tcPr>
            <w:tcW w:w="643" w:type="pct"/>
            <w:shd w:val="clear" w:color="auto" w:fill="auto"/>
            <w:noWrap/>
            <w:tcMar>
              <w:top w:w="15" w:type="dxa"/>
              <w:left w:w="15" w:type="dxa"/>
              <w:bottom w:w="0" w:type="dxa"/>
              <w:right w:w="15" w:type="dxa"/>
            </w:tcMar>
            <w:vAlign w:val="center"/>
            <w:hideMark/>
          </w:tcPr>
          <w:p w14:paraId="25F1AF28" w14:textId="4E3B2CE6" w:rsidR="00980FC9" w:rsidRPr="00BC68C4" w:rsidRDefault="00980FC9" w:rsidP="00332719">
            <w:pPr>
              <w:jc w:val="left"/>
              <w:rPr>
                <w:rFonts w:ascii="Times New Roman" w:hAnsi="Times New Roman" w:cs="Times New Roman"/>
                <w:color w:val="000000"/>
                <w:sz w:val="16"/>
                <w:szCs w:val="16"/>
              </w:rPr>
            </w:pPr>
            <w:r w:rsidRPr="00BC68C4">
              <w:rPr>
                <w:rFonts w:ascii="Times New Roman" w:hAnsi="Times New Roman" w:cs="Times New Roman"/>
                <w:color w:val="000000"/>
                <w:sz w:val="16"/>
                <w:szCs w:val="16"/>
              </w:rPr>
              <w:t>Iron, Coal &amp; Steel</w:t>
            </w:r>
          </w:p>
        </w:tc>
        <w:tc>
          <w:tcPr>
            <w:tcW w:w="130" w:type="pct"/>
            <w:shd w:val="clear" w:color="auto" w:fill="auto"/>
            <w:noWrap/>
            <w:tcMar>
              <w:top w:w="15" w:type="dxa"/>
              <w:left w:w="15" w:type="dxa"/>
              <w:bottom w:w="0" w:type="dxa"/>
              <w:right w:w="15" w:type="dxa"/>
            </w:tcMar>
            <w:vAlign w:val="center"/>
            <w:hideMark/>
          </w:tcPr>
          <w:p w14:paraId="43D95A70" w14:textId="1F20A708"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30</w:t>
            </w:r>
          </w:p>
        </w:tc>
        <w:tc>
          <w:tcPr>
            <w:tcW w:w="2" w:type="pct"/>
            <w:vAlign w:val="center"/>
          </w:tcPr>
          <w:p w14:paraId="046F4A6A" w14:textId="77777777" w:rsidR="00980FC9" w:rsidRPr="00BC68C4" w:rsidRDefault="00980FC9" w:rsidP="00980FC9">
            <w:pPr>
              <w:jc w:val="center"/>
              <w:rPr>
                <w:rFonts w:ascii="Times New Roman" w:hAnsi="Times New Roman" w:cs="Times New Roman"/>
                <w:color w:val="000000"/>
                <w:sz w:val="16"/>
                <w:szCs w:val="16"/>
              </w:rPr>
            </w:pPr>
          </w:p>
        </w:tc>
        <w:tc>
          <w:tcPr>
            <w:tcW w:w="212" w:type="pct"/>
            <w:vAlign w:val="center"/>
          </w:tcPr>
          <w:p w14:paraId="3C86822D" w14:textId="60E4AD6B"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4.9</w:t>
            </w:r>
          </w:p>
        </w:tc>
        <w:tc>
          <w:tcPr>
            <w:tcW w:w="297" w:type="pct"/>
            <w:vAlign w:val="center"/>
          </w:tcPr>
          <w:p w14:paraId="0F3CBEA2" w14:textId="3AD86B5F"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0.1</w:t>
            </w:r>
          </w:p>
        </w:tc>
        <w:tc>
          <w:tcPr>
            <w:tcW w:w="297" w:type="pct"/>
            <w:vAlign w:val="center"/>
          </w:tcPr>
          <w:p w14:paraId="286A0EDD" w14:textId="4A5C8124"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0.3</w:t>
            </w:r>
          </w:p>
        </w:tc>
        <w:tc>
          <w:tcPr>
            <w:tcW w:w="248" w:type="pct"/>
            <w:shd w:val="clear" w:color="auto" w:fill="auto"/>
            <w:noWrap/>
            <w:tcMar>
              <w:top w:w="15" w:type="dxa"/>
              <w:left w:w="15" w:type="dxa"/>
              <w:bottom w:w="0" w:type="dxa"/>
              <w:right w:w="15" w:type="dxa"/>
            </w:tcMar>
            <w:vAlign w:val="center"/>
            <w:hideMark/>
          </w:tcPr>
          <w:p w14:paraId="07C90F1A" w14:textId="13DFCCAA"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5.2</w:t>
            </w:r>
          </w:p>
        </w:tc>
        <w:tc>
          <w:tcPr>
            <w:tcW w:w="309" w:type="pct"/>
            <w:shd w:val="clear" w:color="auto" w:fill="auto"/>
            <w:noWrap/>
            <w:tcMar>
              <w:top w:w="15" w:type="dxa"/>
              <w:left w:w="15" w:type="dxa"/>
              <w:bottom w:w="0" w:type="dxa"/>
              <w:right w:w="15" w:type="dxa"/>
            </w:tcMar>
            <w:vAlign w:val="center"/>
            <w:hideMark/>
          </w:tcPr>
          <w:p w14:paraId="4755119E" w14:textId="2E08F109"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0.5</w:t>
            </w:r>
          </w:p>
        </w:tc>
        <w:tc>
          <w:tcPr>
            <w:tcW w:w="307" w:type="pct"/>
            <w:shd w:val="clear" w:color="auto" w:fill="auto"/>
            <w:noWrap/>
            <w:tcMar>
              <w:top w:w="15" w:type="dxa"/>
              <w:left w:w="15" w:type="dxa"/>
              <w:bottom w:w="0" w:type="dxa"/>
              <w:right w:w="15" w:type="dxa"/>
            </w:tcMar>
            <w:vAlign w:val="center"/>
            <w:hideMark/>
          </w:tcPr>
          <w:p w14:paraId="2591A494" w14:textId="162E6155"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5.3</w:t>
            </w:r>
          </w:p>
        </w:tc>
        <w:tc>
          <w:tcPr>
            <w:tcW w:w="38" w:type="pct"/>
            <w:vAlign w:val="center"/>
          </w:tcPr>
          <w:p w14:paraId="5F6394DC" w14:textId="77777777" w:rsidR="00980FC9" w:rsidRPr="00BC68C4" w:rsidRDefault="00980FC9" w:rsidP="00980FC9">
            <w:pPr>
              <w:jc w:val="center"/>
              <w:rPr>
                <w:rFonts w:ascii="Times New Roman" w:hAnsi="Times New Roman" w:cs="Times New Roman"/>
                <w:color w:val="000000"/>
                <w:sz w:val="16"/>
                <w:szCs w:val="16"/>
              </w:rPr>
            </w:pPr>
          </w:p>
        </w:tc>
        <w:tc>
          <w:tcPr>
            <w:tcW w:w="212" w:type="pct"/>
            <w:vAlign w:val="center"/>
          </w:tcPr>
          <w:p w14:paraId="0A52A6A0" w14:textId="1A99F490"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10.2</w:t>
            </w:r>
          </w:p>
        </w:tc>
        <w:tc>
          <w:tcPr>
            <w:tcW w:w="297" w:type="pct"/>
            <w:vAlign w:val="center"/>
          </w:tcPr>
          <w:p w14:paraId="1FCEEE6A" w14:textId="3C423D44"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2.0</w:t>
            </w:r>
          </w:p>
        </w:tc>
        <w:tc>
          <w:tcPr>
            <w:tcW w:w="297" w:type="pct"/>
            <w:vAlign w:val="center"/>
          </w:tcPr>
          <w:p w14:paraId="609D2B60" w14:textId="4468F8AA"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7.9</w:t>
            </w:r>
          </w:p>
        </w:tc>
        <w:tc>
          <w:tcPr>
            <w:tcW w:w="247" w:type="pct"/>
            <w:gridSpan w:val="2"/>
            <w:shd w:val="clear" w:color="auto" w:fill="auto"/>
            <w:noWrap/>
            <w:tcMar>
              <w:top w:w="15" w:type="dxa"/>
              <w:left w:w="15" w:type="dxa"/>
              <w:bottom w:w="0" w:type="dxa"/>
              <w:right w:w="15" w:type="dxa"/>
            </w:tcMar>
            <w:vAlign w:val="center"/>
            <w:hideMark/>
          </w:tcPr>
          <w:p w14:paraId="0895FE09" w14:textId="62DBEB00"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18.1</w:t>
            </w:r>
          </w:p>
        </w:tc>
        <w:tc>
          <w:tcPr>
            <w:tcW w:w="327" w:type="pct"/>
            <w:shd w:val="clear" w:color="auto" w:fill="auto"/>
            <w:noWrap/>
            <w:tcMar>
              <w:top w:w="15" w:type="dxa"/>
              <w:left w:w="15" w:type="dxa"/>
              <w:bottom w:w="0" w:type="dxa"/>
              <w:right w:w="15" w:type="dxa"/>
            </w:tcMar>
            <w:vAlign w:val="center"/>
            <w:hideMark/>
          </w:tcPr>
          <w:p w14:paraId="7D3F51EB" w14:textId="3A067E98"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9.9</w:t>
            </w:r>
          </w:p>
        </w:tc>
        <w:tc>
          <w:tcPr>
            <w:tcW w:w="299" w:type="pct"/>
            <w:shd w:val="clear" w:color="auto" w:fill="auto"/>
            <w:noWrap/>
            <w:tcMar>
              <w:top w:w="15" w:type="dxa"/>
              <w:left w:w="15" w:type="dxa"/>
              <w:bottom w:w="0" w:type="dxa"/>
              <w:right w:w="15" w:type="dxa"/>
            </w:tcMar>
            <w:vAlign w:val="center"/>
            <w:hideMark/>
          </w:tcPr>
          <w:p w14:paraId="01369C7C" w14:textId="5F153490"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20.1</w:t>
            </w:r>
          </w:p>
        </w:tc>
        <w:tc>
          <w:tcPr>
            <w:tcW w:w="24" w:type="pct"/>
            <w:vAlign w:val="center"/>
          </w:tcPr>
          <w:p w14:paraId="271DFB1E" w14:textId="77777777" w:rsidR="00980FC9" w:rsidRPr="00BC68C4" w:rsidRDefault="00980FC9" w:rsidP="00980FC9">
            <w:pPr>
              <w:jc w:val="center"/>
              <w:rPr>
                <w:rFonts w:ascii="Times New Roman" w:hAnsi="Times New Roman" w:cs="Times New Roman"/>
                <w:color w:val="000000"/>
                <w:sz w:val="16"/>
                <w:szCs w:val="16"/>
              </w:rPr>
            </w:pPr>
          </w:p>
        </w:tc>
        <w:tc>
          <w:tcPr>
            <w:tcW w:w="476" w:type="pct"/>
            <w:shd w:val="clear" w:color="auto" w:fill="auto"/>
            <w:noWrap/>
            <w:tcMar>
              <w:top w:w="15" w:type="dxa"/>
              <w:left w:w="15" w:type="dxa"/>
              <w:bottom w:w="0" w:type="dxa"/>
              <w:right w:w="15" w:type="dxa"/>
            </w:tcMar>
            <w:vAlign w:val="center"/>
            <w:hideMark/>
          </w:tcPr>
          <w:p w14:paraId="44377EF9" w14:textId="7A8769B6"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6.4</w:t>
            </w:r>
          </w:p>
        </w:tc>
        <w:tc>
          <w:tcPr>
            <w:tcW w:w="338" w:type="pct"/>
            <w:shd w:val="clear" w:color="auto" w:fill="auto"/>
            <w:noWrap/>
            <w:tcMar>
              <w:top w:w="15" w:type="dxa"/>
              <w:left w:w="15" w:type="dxa"/>
              <w:bottom w:w="0" w:type="dxa"/>
              <w:right w:w="15" w:type="dxa"/>
            </w:tcMar>
            <w:vAlign w:val="center"/>
            <w:hideMark/>
          </w:tcPr>
          <w:p w14:paraId="200EE9F8" w14:textId="6B68C5F2"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71.4</w:t>
            </w:r>
          </w:p>
        </w:tc>
      </w:tr>
      <w:tr w:rsidR="00980FC9" w:rsidRPr="00BC68C4" w14:paraId="2FA1ADF7" w14:textId="77777777" w:rsidTr="00980FC9">
        <w:trPr>
          <w:trHeight w:val="305"/>
        </w:trPr>
        <w:tc>
          <w:tcPr>
            <w:tcW w:w="643" w:type="pct"/>
            <w:shd w:val="clear" w:color="auto" w:fill="auto"/>
            <w:noWrap/>
            <w:tcMar>
              <w:top w:w="15" w:type="dxa"/>
              <w:left w:w="15" w:type="dxa"/>
              <w:bottom w:w="0" w:type="dxa"/>
              <w:right w:w="15" w:type="dxa"/>
            </w:tcMar>
            <w:vAlign w:val="center"/>
            <w:hideMark/>
          </w:tcPr>
          <w:p w14:paraId="676ED0B8" w14:textId="77777777" w:rsidR="00980FC9" w:rsidRPr="00BC68C4" w:rsidRDefault="00980FC9" w:rsidP="00332719">
            <w:pPr>
              <w:jc w:val="left"/>
              <w:rPr>
                <w:rFonts w:ascii="Times New Roman" w:hAnsi="Times New Roman" w:cs="Times New Roman"/>
                <w:color w:val="000000"/>
                <w:sz w:val="16"/>
                <w:szCs w:val="16"/>
              </w:rPr>
            </w:pPr>
            <w:r w:rsidRPr="00BC68C4">
              <w:rPr>
                <w:rFonts w:ascii="Times New Roman" w:hAnsi="Times New Roman" w:cs="Times New Roman"/>
                <w:color w:val="000000"/>
                <w:sz w:val="16"/>
                <w:szCs w:val="16"/>
              </w:rPr>
              <w:t>Mines</w:t>
            </w:r>
          </w:p>
        </w:tc>
        <w:tc>
          <w:tcPr>
            <w:tcW w:w="130" w:type="pct"/>
            <w:shd w:val="clear" w:color="auto" w:fill="auto"/>
            <w:noWrap/>
            <w:tcMar>
              <w:top w:w="15" w:type="dxa"/>
              <w:left w:w="15" w:type="dxa"/>
              <w:bottom w:w="0" w:type="dxa"/>
              <w:right w:w="15" w:type="dxa"/>
            </w:tcMar>
            <w:vAlign w:val="center"/>
            <w:hideMark/>
          </w:tcPr>
          <w:p w14:paraId="214A08F9" w14:textId="28985BF8"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10</w:t>
            </w:r>
          </w:p>
        </w:tc>
        <w:tc>
          <w:tcPr>
            <w:tcW w:w="2" w:type="pct"/>
            <w:vAlign w:val="center"/>
          </w:tcPr>
          <w:p w14:paraId="3047020A" w14:textId="77777777" w:rsidR="00980FC9" w:rsidRPr="00BC68C4" w:rsidRDefault="00980FC9" w:rsidP="00980FC9">
            <w:pPr>
              <w:jc w:val="center"/>
              <w:rPr>
                <w:rFonts w:ascii="Times New Roman" w:hAnsi="Times New Roman" w:cs="Times New Roman"/>
                <w:color w:val="000000"/>
                <w:sz w:val="16"/>
                <w:szCs w:val="16"/>
              </w:rPr>
            </w:pPr>
          </w:p>
        </w:tc>
        <w:tc>
          <w:tcPr>
            <w:tcW w:w="212" w:type="pct"/>
            <w:vAlign w:val="center"/>
          </w:tcPr>
          <w:p w14:paraId="2F25FB59" w14:textId="43C26DEB"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5.0</w:t>
            </w:r>
          </w:p>
        </w:tc>
        <w:tc>
          <w:tcPr>
            <w:tcW w:w="297" w:type="pct"/>
            <w:vAlign w:val="center"/>
          </w:tcPr>
          <w:p w14:paraId="5F284445" w14:textId="2CADC842"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0.1</w:t>
            </w:r>
          </w:p>
        </w:tc>
        <w:tc>
          <w:tcPr>
            <w:tcW w:w="297" w:type="pct"/>
            <w:vAlign w:val="center"/>
          </w:tcPr>
          <w:p w14:paraId="26CFFB16" w14:textId="6BE1913C"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0.1</w:t>
            </w:r>
          </w:p>
        </w:tc>
        <w:tc>
          <w:tcPr>
            <w:tcW w:w="248" w:type="pct"/>
            <w:shd w:val="clear" w:color="auto" w:fill="auto"/>
            <w:noWrap/>
            <w:tcMar>
              <w:top w:w="15" w:type="dxa"/>
              <w:left w:w="15" w:type="dxa"/>
              <w:bottom w:w="0" w:type="dxa"/>
              <w:right w:w="15" w:type="dxa"/>
            </w:tcMar>
            <w:vAlign w:val="center"/>
            <w:hideMark/>
          </w:tcPr>
          <w:p w14:paraId="13E043AD" w14:textId="1C45A608"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5.1</w:t>
            </w:r>
          </w:p>
        </w:tc>
        <w:tc>
          <w:tcPr>
            <w:tcW w:w="309" w:type="pct"/>
            <w:shd w:val="clear" w:color="auto" w:fill="auto"/>
            <w:noWrap/>
            <w:tcMar>
              <w:top w:w="15" w:type="dxa"/>
              <w:left w:w="15" w:type="dxa"/>
              <w:bottom w:w="0" w:type="dxa"/>
              <w:right w:w="15" w:type="dxa"/>
            </w:tcMar>
            <w:vAlign w:val="center"/>
            <w:hideMark/>
          </w:tcPr>
          <w:p w14:paraId="1D90FEAB" w14:textId="79FEE8F3"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0.2</w:t>
            </w:r>
          </w:p>
        </w:tc>
        <w:tc>
          <w:tcPr>
            <w:tcW w:w="307" w:type="pct"/>
            <w:shd w:val="clear" w:color="auto" w:fill="auto"/>
            <w:noWrap/>
            <w:tcMar>
              <w:top w:w="15" w:type="dxa"/>
              <w:left w:w="15" w:type="dxa"/>
              <w:bottom w:w="0" w:type="dxa"/>
              <w:right w:w="15" w:type="dxa"/>
            </w:tcMar>
            <w:vAlign w:val="center"/>
            <w:hideMark/>
          </w:tcPr>
          <w:p w14:paraId="5E86B026" w14:textId="61246DEB"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5.2</w:t>
            </w:r>
          </w:p>
        </w:tc>
        <w:tc>
          <w:tcPr>
            <w:tcW w:w="38" w:type="pct"/>
            <w:vAlign w:val="center"/>
          </w:tcPr>
          <w:p w14:paraId="70208D53" w14:textId="77777777" w:rsidR="00980FC9" w:rsidRPr="00BC68C4" w:rsidRDefault="00980FC9" w:rsidP="00980FC9">
            <w:pPr>
              <w:jc w:val="center"/>
              <w:rPr>
                <w:rFonts w:ascii="Times New Roman" w:hAnsi="Times New Roman" w:cs="Times New Roman"/>
                <w:color w:val="000000"/>
                <w:sz w:val="16"/>
                <w:szCs w:val="16"/>
              </w:rPr>
            </w:pPr>
          </w:p>
        </w:tc>
        <w:tc>
          <w:tcPr>
            <w:tcW w:w="212" w:type="pct"/>
            <w:vAlign w:val="center"/>
          </w:tcPr>
          <w:p w14:paraId="2BDA9C18" w14:textId="1F47EEDD"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6.1</w:t>
            </w:r>
          </w:p>
        </w:tc>
        <w:tc>
          <w:tcPr>
            <w:tcW w:w="297" w:type="pct"/>
            <w:vAlign w:val="center"/>
          </w:tcPr>
          <w:p w14:paraId="7CA3109E" w14:textId="177A5382"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1.5</w:t>
            </w:r>
          </w:p>
        </w:tc>
        <w:tc>
          <w:tcPr>
            <w:tcW w:w="297" w:type="pct"/>
            <w:vAlign w:val="center"/>
          </w:tcPr>
          <w:p w14:paraId="16C17DAE" w14:textId="664659DB"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2.2</w:t>
            </w:r>
          </w:p>
        </w:tc>
        <w:tc>
          <w:tcPr>
            <w:tcW w:w="247" w:type="pct"/>
            <w:gridSpan w:val="2"/>
            <w:shd w:val="clear" w:color="auto" w:fill="auto"/>
            <w:noWrap/>
            <w:tcMar>
              <w:top w:w="15" w:type="dxa"/>
              <w:left w:w="15" w:type="dxa"/>
              <w:bottom w:w="0" w:type="dxa"/>
              <w:right w:w="15" w:type="dxa"/>
            </w:tcMar>
            <w:vAlign w:val="center"/>
            <w:hideMark/>
          </w:tcPr>
          <w:p w14:paraId="17FF2E7E" w14:textId="27973D83"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8.3</w:t>
            </w:r>
          </w:p>
        </w:tc>
        <w:tc>
          <w:tcPr>
            <w:tcW w:w="327" w:type="pct"/>
            <w:shd w:val="clear" w:color="auto" w:fill="auto"/>
            <w:noWrap/>
            <w:tcMar>
              <w:top w:w="15" w:type="dxa"/>
              <w:left w:w="15" w:type="dxa"/>
              <w:bottom w:w="0" w:type="dxa"/>
              <w:right w:w="15" w:type="dxa"/>
            </w:tcMar>
            <w:vAlign w:val="center"/>
            <w:hideMark/>
          </w:tcPr>
          <w:p w14:paraId="33A746AE" w14:textId="1D479926"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3.7</w:t>
            </w:r>
          </w:p>
        </w:tc>
        <w:tc>
          <w:tcPr>
            <w:tcW w:w="299" w:type="pct"/>
            <w:shd w:val="clear" w:color="auto" w:fill="auto"/>
            <w:noWrap/>
            <w:tcMar>
              <w:top w:w="15" w:type="dxa"/>
              <w:left w:w="15" w:type="dxa"/>
              <w:bottom w:w="0" w:type="dxa"/>
              <w:right w:w="15" w:type="dxa"/>
            </w:tcMar>
            <w:vAlign w:val="center"/>
            <w:hideMark/>
          </w:tcPr>
          <w:p w14:paraId="334F4FD0" w14:textId="2D6E39CA"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9.9</w:t>
            </w:r>
          </w:p>
        </w:tc>
        <w:tc>
          <w:tcPr>
            <w:tcW w:w="24" w:type="pct"/>
            <w:vAlign w:val="center"/>
          </w:tcPr>
          <w:p w14:paraId="04B5A6CC" w14:textId="77777777" w:rsidR="00980FC9" w:rsidRPr="00BC68C4" w:rsidRDefault="00980FC9" w:rsidP="00980FC9">
            <w:pPr>
              <w:jc w:val="center"/>
              <w:rPr>
                <w:rFonts w:ascii="Times New Roman" w:hAnsi="Times New Roman" w:cs="Times New Roman"/>
                <w:color w:val="000000"/>
                <w:sz w:val="16"/>
                <w:szCs w:val="16"/>
              </w:rPr>
            </w:pPr>
          </w:p>
        </w:tc>
        <w:tc>
          <w:tcPr>
            <w:tcW w:w="476" w:type="pct"/>
            <w:shd w:val="clear" w:color="auto" w:fill="auto"/>
            <w:noWrap/>
            <w:tcMar>
              <w:top w:w="15" w:type="dxa"/>
              <w:left w:w="15" w:type="dxa"/>
              <w:bottom w:w="0" w:type="dxa"/>
              <w:right w:w="15" w:type="dxa"/>
            </w:tcMar>
            <w:vAlign w:val="center"/>
            <w:hideMark/>
          </w:tcPr>
          <w:p w14:paraId="47CC977B" w14:textId="734624F4"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2.0</w:t>
            </w:r>
          </w:p>
        </w:tc>
        <w:tc>
          <w:tcPr>
            <w:tcW w:w="338" w:type="pct"/>
            <w:shd w:val="clear" w:color="auto" w:fill="auto"/>
            <w:noWrap/>
            <w:tcMar>
              <w:top w:w="15" w:type="dxa"/>
              <w:left w:w="15" w:type="dxa"/>
              <w:bottom w:w="0" w:type="dxa"/>
              <w:right w:w="15" w:type="dxa"/>
            </w:tcMar>
            <w:vAlign w:val="center"/>
            <w:hideMark/>
          </w:tcPr>
          <w:p w14:paraId="0EDC2C71" w14:textId="70E8E983"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50.0</w:t>
            </w:r>
          </w:p>
        </w:tc>
      </w:tr>
      <w:tr w:rsidR="00980FC9" w:rsidRPr="00BC68C4" w14:paraId="7F726519" w14:textId="77777777" w:rsidTr="00980FC9">
        <w:trPr>
          <w:trHeight w:val="305"/>
        </w:trPr>
        <w:tc>
          <w:tcPr>
            <w:tcW w:w="643" w:type="pct"/>
            <w:shd w:val="clear" w:color="auto" w:fill="auto"/>
            <w:noWrap/>
            <w:tcMar>
              <w:top w:w="15" w:type="dxa"/>
              <w:left w:w="15" w:type="dxa"/>
              <w:bottom w:w="0" w:type="dxa"/>
              <w:right w:w="15" w:type="dxa"/>
            </w:tcMar>
            <w:vAlign w:val="center"/>
            <w:hideMark/>
          </w:tcPr>
          <w:p w14:paraId="689B9812" w14:textId="77777777" w:rsidR="00980FC9" w:rsidRPr="00BC68C4" w:rsidRDefault="00980FC9" w:rsidP="00332719">
            <w:pPr>
              <w:jc w:val="left"/>
              <w:rPr>
                <w:rFonts w:ascii="Times New Roman" w:hAnsi="Times New Roman" w:cs="Times New Roman"/>
                <w:color w:val="000000"/>
                <w:sz w:val="16"/>
                <w:szCs w:val="16"/>
              </w:rPr>
            </w:pPr>
            <w:r w:rsidRPr="00BC68C4">
              <w:rPr>
                <w:rFonts w:ascii="Times New Roman" w:hAnsi="Times New Roman" w:cs="Times New Roman"/>
                <w:color w:val="000000"/>
                <w:sz w:val="16"/>
                <w:szCs w:val="16"/>
              </w:rPr>
              <w:t>Mortgage &amp; Finance</w:t>
            </w:r>
          </w:p>
        </w:tc>
        <w:tc>
          <w:tcPr>
            <w:tcW w:w="130" w:type="pct"/>
            <w:shd w:val="clear" w:color="auto" w:fill="auto"/>
            <w:noWrap/>
            <w:tcMar>
              <w:top w:w="15" w:type="dxa"/>
              <w:left w:w="15" w:type="dxa"/>
              <w:bottom w:w="0" w:type="dxa"/>
              <w:right w:w="15" w:type="dxa"/>
            </w:tcMar>
            <w:vAlign w:val="center"/>
            <w:hideMark/>
          </w:tcPr>
          <w:p w14:paraId="3425E559" w14:textId="24048164"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34</w:t>
            </w:r>
          </w:p>
        </w:tc>
        <w:tc>
          <w:tcPr>
            <w:tcW w:w="2" w:type="pct"/>
            <w:vAlign w:val="center"/>
          </w:tcPr>
          <w:p w14:paraId="2CDC5602" w14:textId="77777777" w:rsidR="00980FC9" w:rsidRPr="00BC68C4" w:rsidRDefault="00980FC9" w:rsidP="00980FC9">
            <w:pPr>
              <w:jc w:val="center"/>
              <w:rPr>
                <w:rFonts w:ascii="Times New Roman" w:hAnsi="Times New Roman" w:cs="Times New Roman"/>
                <w:color w:val="000000"/>
                <w:sz w:val="16"/>
                <w:szCs w:val="16"/>
              </w:rPr>
            </w:pPr>
          </w:p>
        </w:tc>
        <w:tc>
          <w:tcPr>
            <w:tcW w:w="212" w:type="pct"/>
            <w:vAlign w:val="center"/>
          </w:tcPr>
          <w:p w14:paraId="1BDC59EE" w14:textId="1E2EA83E"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5.6</w:t>
            </w:r>
          </w:p>
        </w:tc>
        <w:tc>
          <w:tcPr>
            <w:tcW w:w="297" w:type="pct"/>
            <w:vAlign w:val="center"/>
          </w:tcPr>
          <w:p w14:paraId="6F72B2B6" w14:textId="3772A59B"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0.1</w:t>
            </w:r>
          </w:p>
        </w:tc>
        <w:tc>
          <w:tcPr>
            <w:tcW w:w="297" w:type="pct"/>
            <w:vAlign w:val="center"/>
          </w:tcPr>
          <w:p w14:paraId="1E3ED340" w14:textId="1895E484"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w:t>
            </w:r>
          </w:p>
        </w:tc>
        <w:tc>
          <w:tcPr>
            <w:tcW w:w="248" w:type="pct"/>
            <w:shd w:val="clear" w:color="auto" w:fill="auto"/>
            <w:noWrap/>
            <w:tcMar>
              <w:top w:w="15" w:type="dxa"/>
              <w:left w:w="15" w:type="dxa"/>
              <w:bottom w:w="0" w:type="dxa"/>
              <w:right w:w="15" w:type="dxa"/>
            </w:tcMar>
            <w:vAlign w:val="center"/>
            <w:hideMark/>
          </w:tcPr>
          <w:p w14:paraId="6B3AFDB6" w14:textId="5CF62C33"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5.6</w:t>
            </w:r>
          </w:p>
        </w:tc>
        <w:tc>
          <w:tcPr>
            <w:tcW w:w="309" w:type="pct"/>
            <w:shd w:val="clear" w:color="auto" w:fill="auto"/>
            <w:noWrap/>
            <w:tcMar>
              <w:top w:w="15" w:type="dxa"/>
              <w:left w:w="15" w:type="dxa"/>
              <w:bottom w:w="0" w:type="dxa"/>
              <w:right w:w="15" w:type="dxa"/>
            </w:tcMar>
            <w:vAlign w:val="center"/>
            <w:hideMark/>
          </w:tcPr>
          <w:p w14:paraId="5124298D" w14:textId="0C1C38CA"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0.1</w:t>
            </w:r>
          </w:p>
        </w:tc>
        <w:tc>
          <w:tcPr>
            <w:tcW w:w="307" w:type="pct"/>
            <w:shd w:val="clear" w:color="auto" w:fill="auto"/>
            <w:noWrap/>
            <w:tcMar>
              <w:top w:w="15" w:type="dxa"/>
              <w:left w:w="15" w:type="dxa"/>
              <w:bottom w:w="0" w:type="dxa"/>
              <w:right w:w="15" w:type="dxa"/>
            </w:tcMar>
            <w:vAlign w:val="center"/>
            <w:hideMark/>
          </w:tcPr>
          <w:p w14:paraId="735AD86B" w14:textId="7AD7910E"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5.7</w:t>
            </w:r>
          </w:p>
        </w:tc>
        <w:tc>
          <w:tcPr>
            <w:tcW w:w="38" w:type="pct"/>
            <w:vAlign w:val="center"/>
          </w:tcPr>
          <w:p w14:paraId="7F2D64AC" w14:textId="77777777" w:rsidR="00980FC9" w:rsidRPr="00BC68C4" w:rsidRDefault="00980FC9" w:rsidP="00980FC9">
            <w:pPr>
              <w:jc w:val="center"/>
              <w:rPr>
                <w:rFonts w:ascii="Times New Roman" w:hAnsi="Times New Roman" w:cs="Times New Roman"/>
                <w:color w:val="000000"/>
                <w:sz w:val="16"/>
                <w:szCs w:val="16"/>
              </w:rPr>
            </w:pPr>
          </w:p>
        </w:tc>
        <w:tc>
          <w:tcPr>
            <w:tcW w:w="212" w:type="pct"/>
            <w:vAlign w:val="center"/>
          </w:tcPr>
          <w:p w14:paraId="0B7C1898" w14:textId="25A350C1"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6.8</w:t>
            </w:r>
          </w:p>
        </w:tc>
        <w:tc>
          <w:tcPr>
            <w:tcW w:w="297" w:type="pct"/>
            <w:vAlign w:val="center"/>
          </w:tcPr>
          <w:p w14:paraId="32C8274E" w14:textId="69717B61"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2.2</w:t>
            </w:r>
          </w:p>
        </w:tc>
        <w:tc>
          <w:tcPr>
            <w:tcW w:w="297" w:type="pct"/>
            <w:vAlign w:val="center"/>
          </w:tcPr>
          <w:p w14:paraId="4398BBFE" w14:textId="67F4847B"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0.4</w:t>
            </w:r>
          </w:p>
        </w:tc>
        <w:tc>
          <w:tcPr>
            <w:tcW w:w="247" w:type="pct"/>
            <w:gridSpan w:val="2"/>
            <w:shd w:val="clear" w:color="auto" w:fill="auto"/>
            <w:noWrap/>
            <w:tcMar>
              <w:top w:w="15" w:type="dxa"/>
              <w:left w:w="15" w:type="dxa"/>
              <w:bottom w:w="0" w:type="dxa"/>
              <w:right w:w="15" w:type="dxa"/>
            </w:tcMar>
            <w:vAlign w:val="center"/>
            <w:hideMark/>
          </w:tcPr>
          <w:p w14:paraId="5570E540" w14:textId="05C0A67F"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7.2</w:t>
            </w:r>
          </w:p>
        </w:tc>
        <w:tc>
          <w:tcPr>
            <w:tcW w:w="327" w:type="pct"/>
            <w:shd w:val="clear" w:color="auto" w:fill="auto"/>
            <w:noWrap/>
            <w:tcMar>
              <w:top w:w="15" w:type="dxa"/>
              <w:left w:w="15" w:type="dxa"/>
              <w:bottom w:w="0" w:type="dxa"/>
              <w:right w:w="15" w:type="dxa"/>
            </w:tcMar>
            <w:vAlign w:val="center"/>
            <w:hideMark/>
          </w:tcPr>
          <w:p w14:paraId="6717AA41" w14:textId="2EEA2B8F"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2.6</w:t>
            </w:r>
          </w:p>
        </w:tc>
        <w:tc>
          <w:tcPr>
            <w:tcW w:w="299" w:type="pct"/>
            <w:shd w:val="clear" w:color="auto" w:fill="auto"/>
            <w:noWrap/>
            <w:tcMar>
              <w:top w:w="15" w:type="dxa"/>
              <w:left w:w="15" w:type="dxa"/>
              <w:bottom w:w="0" w:type="dxa"/>
              <w:right w:w="15" w:type="dxa"/>
            </w:tcMar>
            <w:vAlign w:val="center"/>
            <w:hideMark/>
          </w:tcPr>
          <w:p w14:paraId="11EB6FEF" w14:textId="7291E508"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9.4</w:t>
            </w:r>
          </w:p>
        </w:tc>
        <w:tc>
          <w:tcPr>
            <w:tcW w:w="24" w:type="pct"/>
            <w:vAlign w:val="center"/>
          </w:tcPr>
          <w:p w14:paraId="1031E205" w14:textId="77777777" w:rsidR="00980FC9" w:rsidRPr="00BC68C4" w:rsidRDefault="00980FC9" w:rsidP="00980FC9">
            <w:pPr>
              <w:jc w:val="center"/>
              <w:rPr>
                <w:rFonts w:ascii="Times New Roman" w:hAnsi="Times New Roman" w:cs="Times New Roman"/>
                <w:color w:val="000000"/>
                <w:sz w:val="16"/>
                <w:szCs w:val="16"/>
              </w:rPr>
            </w:pPr>
          </w:p>
        </w:tc>
        <w:tc>
          <w:tcPr>
            <w:tcW w:w="476" w:type="pct"/>
            <w:shd w:val="clear" w:color="auto" w:fill="auto"/>
            <w:noWrap/>
            <w:tcMar>
              <w:top w:w="15" w:type="dxa"/>
              <w:left w:w="15" w:type="dxa"/>
              <w:bottom w:w="0" w:type="dxa"/>
              <w:right w:w="15" w:type="dxa"/>
            </w:tcMar>
            <w:vAlign w:val="center"/>
            <w:hideMark/>
          </w:tcPr>
          <w:p w14:paraId="64B88426" w14:textId="7AC80BBB"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0.5</w:t>
            </w:r>
          </w:p>
        </w:tc>
        <w:tc>
          <w:tcPr>
            <w:tcW w:w="338" w:type="pct"/>
            <w:shd w:val="clear" w:color="auto" w:fill="auto"/>
            <w:noWrap/>
            <w:tcMar>
              <w:top w:w="15" w:type="dxa"/>
              <w:left w:w="15" w:type="dxa"/>
              <w:bottom w:w="0" w:type="dxa"/>
              <w:right w:w="15" w:type="dxa"/>
            </w:tcMar>
            <w:vAlign w:val="center"/>
            <w:hideMark/>
          </w:tcPr>
          <w:p w14:paraId="15B297B3" w14:textId="3D5FE7A2"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33.3</w:t>
            </w:r>
          </w:p>
        </w:tc>
      </w:tr>
      <w:tr w:rsidR="00980FC9" w:rsidRPr="00BC68C4" w14:paraId="66AEE9D0" w14:textId="77777777" w:rsidTr="00980FC9">
        <w:trPr>
          <w:trHeight w:val="305"/>
        </w:trPr>
        <w:tc>
          <w:tcPr>
            <w:tcW w:w="643" w:type="pct"/>
            <w:shd w:val="clear" w:color="auto" w:fill="auto"/>
            <w:noWrap/>
            <w:tcMar>
              <w:top w:w="15" w:type="dxa"/>
              <w:left w:w="15" w:type="dxa"/>
              <w:bottom w:w="0" w:type="dxa"/>
              <w:right w:w="15" w:type="dxa"/>
            </w:tcMar>
            <w:vAlign w:val="center"/>
            <w:hideMark/>
          </w:tcPr>
          <w:p w14:paraId="629D5D53" w14:textId="77777777" w:rsidR="00980FC9" w:rsidRPr="00BC68C4" w:rsidRDefault="00980FC9" w:rsidP="00332719">
            <w:pPr>
              <w:jc w:val="left"/>
              <w:rPr>
                <w:rFonts w:ascii="Times New Roman" w:hAnsi="Times New Roman" w:cs="Times New Roman"/>
                <w:color w:val="000000"/>
                <w:sz w:val="16"/>
                <w:szCs w:val="16"/>
              </w:rPr>
            </w:pPr>
            <w:r w:rsidRPr="00BC68C4">
              <w:rPr>
                <w:rFonts w:ascii="Times New Roman" w:hAnsi="Times New Roman" w:cs="Times New Roman"/>
                <w:color w:val="000000"/>
                <w:sz w:val="16"/>
                <w:szCs w:val="16"/>
              </w:rPr>
              <w:t>Steamships</w:t>
            </w:r>
          </w:p>
        </w:tc>
        <w:tc>
          <w:tcPr>
            <w:tcW w:w="130" w:type="pct"/>
            <w:shd w:val="clear" w:color="auto" w:fill="auto"/>
            <w:noWrap/>
            <w:tcMar>
              <w:top w:w="15" w:type="dxa"/>
              <w:left w:w="15" w:type="dxa"/>
              <w:bottom w:w="0" w:type="dxa"/>
              <w:right w:w="15" w:type="dxa"/>
            </w:tcMar>
            <w:vAlign w:val="center"/>
            <w:hideMark/>
          </w:tcPr>
          <w:p w14:paraId="4A1232E9" w14:textId="6F4D0F34"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14</w:t>
            </w:r>
          </w:p>
        </w:tc>
        <w:tc>
          <w:tcPr>
            <w:tcW w:w="2" w:type="pct"/>
            <w:vAlign w:val="center"/>
          </w:tcPr>
          <w:p w14:paraId="3737F4DA" w14:textId="77777777" w:rsidR="00980FC9" w:rsidRPr="00BC68C4" w:rsidRDefault="00980FC9" w:rsidP="00980FC9">
            <w:pPr>
              <w:jc w:val="center"/>
              <w:rPr>
                <w:rFonts w:ascii="Times New Roman" w:hAnsi="Times New Roman" w:cs="Times New Roman"/>
                <w:color w:val="000000"/>
                <w:sz w:val="16"/>
                <w:szCs w:val="16"/>
              </w:rPr>
            </w:pPr>
          </w:p>
        </w:tc>
        <w:tc>
          <w:tcPr>
            <w:tcW w:w="212" w:type="pct"/>
            <w:vAlign w:val="center"/>
          </w:tcPr>
          <w:p w14:paraId="78B931B9" w14:textId="75025D5A"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6.1</w:t>
            </w:r>
          </w:p>
        </w:tc>
        <w:tc>
          <w:tcPr>
            <w:tcW w:w="297" w:type="pct"/>
            <w:vAlign w:val="center"/>
          </w:tcPr>
          <w:p w14:paraId="73B580F0" w14:textId="61530A64"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0.1</w:t>
            </w:r>
          </w:p>
        </w:tc>
        <w:tc>
          <w:tcPr>
            <w:tcW w:w="297" w:type="pct"/>
            <w:vAlign w:val="center"/>
          </w:tcPr>
          <w:p w14:paraId="15206543" w14:textId="46EFFF9E"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0.1</w:t>
            </w:r>
          </w:p>
        </w:tc>
        <w:tc>
          <w:tcPr>
            <w:tcW w:w="248" w:type="pct"/>
            <w:shd w:val="clear" w:color="auto" w:fill="auto"/>
            <w:noWrap/>
            <w:tcMar>
              <w:top w:w="15" w:type="dxa"/>
              <w:left w:w="15" w:type="dxa"/>
              <w:bottom w:w="0" w:type="dxa"/>
              <w:right w:w="15" w:type="dxa"/>
            </w:tcMar>
            <w:vAlign w:val="center"/>
            <w:hideMark/>
          </w:tcPr>
          <w:p w14:paraId="16D96860" w14:textId="061737D6"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6.1</w:t>
            </w:r>
          </w:p>
        </w:tc>
        <w:tc>
          <w:tcPr>
            <w:tcW w:w="309" w:type="pct"/>
            <w:shd w:val="clear" w:color="auto" w:fill="auto"/>
            <w:noWrap/>
            <w:tcMar>
              <w:top w:w="15" w:type="dxa"/>
              <w:left w:w="15" w:type="dxa"/>
              <w:bottom w:w="0" w:type="dxa"/>
              <w:right w:w="15" w:type="dxa"/>
            </w:tcMar>
            <w:vAlign w:val="center"/>
            <w:hideMark/>
          </w:tcPr>
          <w:p w14:paraId="2D85E4B9" w14:textId="145AC52B"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0.2</w:t>
            </w:r>
          </w:p>
        </w:tc>
        <w:tc>
          <w:tcPr>
            <w:tcW w:w="307" w:type="pct"/>
            <w:shd w:val="clear" w:color="auto" w:fill="auto"/>
            <w:noWrap/>
            <w:tcMar>
              <w:top w:w="15" w:type="dxa"/>
              <w:left w:w="15" w:type="dxa"/>
              <w:bottom w:w="0" w:type="dxa"/>
              <w:right w:w="15" w:type="dxa"/>
            </w:tcMar>
            <w:vAlign w:val="center"/>
            <w:hideMark/>
          </w:tcPr>
          <w:p w14:paraId="04A44961" w14:textId="41B75493"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6.3</w:t>
            </w:r>
          </w:p>
        </w:tc>
        <w:tc>
          <w:tcPr>
            <w:tcW w:w="38" w:type="pct"/>
            <w:vAlign w:val="center"/>
          </w:tcPr>
          <w:p w14:paraId="2D9FBC3F" w14:textId="77777777" w:rsidR="00980FC9" w:rsidRPr="00BC68C4" w:rsidRDefault="00980FC9" w:rsidP="00980FC9">
            <w:pPr>
              <w:jc w:val="center"/>
              <w:rPr>
                <w:rFonts w:ascii="Times New Roman" w:hAnsi="Times New Roman" w:cs="Times New Roman"/>
                <w:color w:val="000000"/>
                <w:sz w:val="16"/>
                <w:szCs w:val="16"/>
              </w:rPr>
            </w:pPr>
          </w:p>
        </w:tc>
        <w:tc>
          <w:tcPr>
            <w:tcW w:w="212" w:type="pct"/>
            <w:vAlign w:val="center"/>
          </w:tcPr>
          <w:p w14:paraId="64058497" w14:textId="79817EDB"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11.2</w:t>
            </w:r>
          </w:p>
        </w:tc>
        <w:tc>
          <w:tcPr>
            <w:tcW w:w="297" w:type="pct"/>
            <w:vAlign w:val="center"/>
          </w:tcPr>
          <w:p w14:paraId="42BC8E8A" w14:textId="5C5DF245"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1.6</w:t>
            </w:r>
          </w:p>
        </w:tc>
        <w:tc>
          <w:tcPr>
            <w:tcW w:w="297" w:type="pct"/>
            <w:vAlign w:val="center"/>
          </w:tcPr>
          <w:p w14:paraId="56B51D5F" w14:textId="3D8ED078"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0.8</w:t>
            </w:r>
          </w:p>
        </w:tc>
        <w:tc>
          <w:tcPr>
            <w:tcW w:w="247" w:type="pct"/>
            <w:gridSpan w:val="2"/>
            <w:shd w:val="clear" w:color="auto" w:fill="auto"/>
            <w:noWrap/>
            <w:tcMar>
              <w:top w:w="15" w:type="dxa"/>
              <w:left w:w="15" w:type="dxa"/>
              <w:bottom w:w="0" w:type="dxa"/>
              <w:right w:w="15" w:type="dxa"/>
            </w:tcMar>
            <w:vAlign w:val="center"/>
            <w:hideMark/>
          </w:tcPr>
          <w:p w14:paraId="7D34AC29" w14:textId="7981C407"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12.0</w:t>
            </w:r>
          </w:p>
        </w:tc>
        <w:tc>
          <w:tcPr>
            <w:tcW w:w="327" w:type="pct"/>
            <w:shd w:val="clear" w:color="auto" w:fill="auto"/>
            <w:noWrap/>
            <w:tcMar>
              <w:top w:w="15" w:type="dxa"/>
              <w:left w:w="15" w:type="dxa"/>
              <w:bottom w:w="0" w:type="dxa"/>
              <w:right w:w="15" w:type="dxa"/>
            </w:tcMar>
            <w:vAlign w:val="center"/>
            <w:hideMark/>
          </w:tcPr>
          <w:p w14:paraId="68BD9B40" w14:textId="570364BD"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2.4</w:t>
            </w:r>
          </w:p>
        </w:tc>
        <w:tc>
          <w:tcPr>
            <w:tcW w:w="299" w:type="pct"/>
            <w:shd w:val="clear" w:color="auto" w:fill="auto"/>
            <w:noWrap/>
            <w:tcMar>
              <w:top w:w="15" w:type="dxa"/>
              <w:left w:w="15" w:type="dxa"/>
              <w:bottom w:w="0" w:type="dxa"/>
              <w:right w:w="15" w:type="dxa"/>
            </w:tcMar>
            <w:vAlign w:val="center"/>
            <w:hideMark/>
          </w:tcPr>
          <w:p w14:paraId="4CF9D7EA" w14:textId="0F9A613C"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13.6</w:t>
            </w:r>
          </w:p>
        </w:tc>
        <w:tc>
          <w:tcPr>
            <w:tcW w:w="24" w:type="pct"/>
            <w:vAlign w:val="center"/>
          </w:tcPr>
          <w:p w14:paraId="27DD1AE7" w14:textId="77777777" w:rsidR="00980FC9" w:rsidRPr="00BC68C4" w:rsidRDefault="00980FC9" w:rsidP="00980FC9">
            <w:pPr>
              <w:jc w:val="center"/>
              <w:rPr>
                <w:rFonts w:ascii="Times New Roman" w:hAnsi="Times New Roman" w:cs="Times New Roman"/>
                <w:color w:val="000000"/>
                <w:sz w:val="16"/>
                <w:szCs w:val="16"/>
              </w:rPr>
            </w:pPr>
          </w:p>
        </w:tc>
        <w:tc>
          <w:tcPr>
            <w:tcW w:w="476" w:type="pct"/>
            <w:shd w:val="clear" w:color="auto" w:fill="auto"/>
            <w:noWrap/>
            <w:tcMar>
              <w:top w:w="15" w:type="dxa"/>
              <w:left w:w="15" w:type="dxa"/>
              <w:bottom w:w="0" w:type="dxa"/>
              <w:right w:w="15" w:type="dxa"/>
            </w:tcMar>
            <w:vAlign w:val="center"/>
            <w:hideMark/>
          </w:tcPr>
          <w:p w14:paraId="685DE329" w14:textId="5CB679E8"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1.2</w:t>
            </w:r>
          </w:p>
        </w:tc>
        <w:tc>
          <w:tcPr>
            <w:tcW w:w="338" w:type="pct"/>
            <w:shd w:val="clear" w:color="auto" w:fill="auto"/>
            <w:noWrap/>
            <w:tcMar>
              <w:top w:w="15" w:type="dxa"/>
              <w:left w:w="15" w:type="dxa"/>
              <w:bottom w:w="0" w:type="dxa"/>
              <w:right w:w="15" w:type="dxa"/>
            </w:tcMar>
            <w:vAlign w:val="center"/>
            <w:hideMark/>
          </w:tcPr>
          <w:p w14:paraId="74E09487" w14:textId="4F4A0D58"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33.3</w:t>
            </w:r>
          </w:p>
        </w:tc>
      </w:tr>
      <w:tr w:rsidR="00980FC9" w:rsidRPr="00BC68C4" w14:paraId="44FD169D" w14:textId="77777777" w:rsidTr="00980FC9">
        <w:trPr>
          <w:trHeight w:val="305"/>
        </w:trPr>
        <w:tc>
          <w:tcPr>
            <w:tcW w:w="643" w:type="pct"/>
            <w:shd w:val="clear" w:color="auto" w:fill="auto"/>
            <w:noWrap/>
            <w:tcMar>
              <w:top w:w="15" w:type="dxa"/>
              <w:left w:w="15" w:type="dxa"/>
              <w:bottom w:w="0" w:type="dxa"/>
              <w:right w:w="15" w:type="dxa"/>
            </w:tcMar>
            <w:vAlign w:val="center"/>
            <w:hideMark/>
          </w:tcPr>
          <w:p w14:paraId="5F4CCA9E" w14:textId="77777777" w:rsidR="00980FC9" w:rsidRPr="00BC68C4" w:rsidRDefault="00980FC9" w:rsidP="00332719">
            <w:pPr>
              <w:jc w:val="left"/>
              <w:rPr>
                <w:rFonts w:ascii="Times New Roman" w:hAnsi="Times New Roman" w:cs="Times New Roman"/>
                <w:color w:val="000000"/>
                <w:sz w:val="16"/>
                <w:szCs w:val="16"/>
              </w:rPr>
            </w:pPr>
            <w:r w:rsidRPr="00BC68C4">
              <w:rPr>
                <w:rFonts w:ascii="Times New Roman" w:hAnsi="Times New Roman" w:cs="Times New Roman"/>
                <w:color w:val="000000"/>
                <w:sz w:val="16"/>
                <w:szCs w:val="16"/>
              </w:rPr>
              <w:t>Telegraph</w:t>
            </w:r>
          </w:p>
        </w:tc>
        <w:tc>
          <w:tcPr>
            <w:tcW w:w="130" w:type="pct"/>
            <w:shd w:val="clear" w:color="auto" w:fill="auto"/>
            <w:noWrap/>
            <w:tcMar>
              <w:top w:w="15" w:type="dxa"/>
              <w:left w:w="15" w:type="dxa"/>
              <w:bottom w:w="0" w:type="dxa"/>
              <w:right w:w="15" w:type="dxa"/>
            </w:tcMar>
            <w:vAlign w:val="center"/>
            <w:hideMark/>
          </w:tcPr>
          <w:p w14:paraId="20060B7B" w14:textId="00BB6BD0"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7</w:t>
            </w:r>
          </w:p>
        </w:tc>
        <w:tc>
          <w:tcPr>
            <w:tcW w:w="2" w:type="pct"/>
            <w:vAlign w:val="center"/>
          </w:tcPr>
          <w:p w14:paraId="22F33FBB" w14:textId="77777777" w:rsidR="00980FC9" w:rsidRPr="00BC68C4" w:rsidRDefault="00980FC9" w:rsidP="00980FC9">
            <w:pPr>
              <w:jc w:val="center"/>
              <w:rPr>
                <w:rFonts w:ascii="Times New Roman" w:hAnsi="Times New Roman" w:cs="Times New Roman"/>
                <w:color w:val="000000"/>
                <w:sz w:val="16"/>
                <w:szCs w:val="16"/>
              </w:rPr>
            </w:pPr>
          </w:p>
        </w:tc>
        <w:tc>
          <w:tcPr>
            <w:tcW w:w="212" w:type="pct"/>
            <w:vAlign w:val="center"/>
          </w:tcPr>
          <w:p w14:paraId="68E0BECD" w14:textId="411A18D6"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5.9</w:t>
            </w:r>
          </w:p>
        </w:tc>
        <w:tc>
          <w:tcPr>
            <w:tcW w:w="297" w:type="pct"/>
            <w:vAlign w:val="center"/>
          </w:tcPr>
          <w:p w14:paraId="11049E76" w14:textId="6C91738F"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0.4</w:t>
            </w:r>
          </w:p>
        </w:tc>
        <w:tc>
          <w:tcPr>
            <w:tcW w:w="297" w:type="pct"/>
            <w:vAlign w:val="center"/>
          </w:tcPr>
          <w:p w14:paraId="793FBC20" w14:textId="7F67B1E5"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w:t>
            </w:r>
          </w:p>
        </w:tc>
        <w:tc>
          <w:tcPr>
            <w:tcW w:w="248" w:type="pct"/>
            <w:shd w:val="clear" w:color="auto" w:fill="auto"/>
            <w:noWrap/>
            <w:tcMar>
              <w:top w:w="15" w:type="dxa"/>
              <w:left w:w="15" w:type="dxa"/>
              <w:bottom w:w="0" w:type="dxa"/>
              <w:right w:w="15" w:type="dxa"/>
            </w:tcMar>
            <w:vAlign w:val="center"/>
            <w:hideMark/>
          </w:tcPr>
          <w:p w14:paraId="1D211EB9" w14:textId="263E3C4E"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5.9</w:t>
            </w:r>
          </w:p>
        </w:tc>
        <w:tc>
          <w:tcPr>
            <w:tcW w:w="309" w:type="pct"/>
            <w:shd w:val="clear" w:color="auto" w:fill="auto"/>
            <w:noWrap/>
            <w:tcMar>
              <w:top w:w="15" w:type="dxa"/>
              <w:left w:w="15" w:type="dxa"/>
              <w:bottom w:w="0" w:type="dxa"/>
              <w:right w:w="15" w:type="dxa"/>
            </w:tcMar>
            <w:vAlign w:val="center"/>
            <w:hideMark/>
          </w:tcPr>
          <w:p w14:paraId="1AA465DE" w14:textId="52558888"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0.4</w:t>
            </w:r>
          </w:p>
        </w:tc>
        <w:tc>
          <w:tcPr>
            <w:tcW w:w="307" w:type="pct"/>
            <w:shd w:val="clear" w:color="auto" w:fill="auto"/>
            <w:noWrap/>
            <w:tcMar>
              <w:top w:w="15" w:type="dxa"/>
              <w:left w:w="15" w:type="dxa"/>
              <w:bottom w:w="0" w:type="dxa"/>
              <w:right w:w="15" w:type="dxa"/>
            </w:tcMar>
            <w:vAlign w:val="center"/>
            <w:hideMark/>
          </w:tcPr>
          <w:p w14:paraId="2FE4B424" w14:textId="2788D8EA"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6.3</w:t>
            </w:r>
          </w:p>
        </w:tc>
        <w:tc>
          <w:tcPr>
            <w:tcW w:w="38" w:type="pct"/>
            <w:vAlign w:val="center"/>
          </w:tcPr>
          <w:p w14:paraId="73DF8F48" w14:textId="77777777" w:rsidR="00980FC9" w:rsidRPr="00BC68C4" w:rsidRDefault="00980FC9" w:rsidP="00980FC9">
            <w:pPr>
              <w:jc w:val="center"/>
              <w:rPr>
                <w:rFonts w:ascii="Times New Roman" w:hAnsi="Times New Roman" w:cs="Times New Roman"/>
                <w:color w:val="000000"/>
                <w:sz w:val="16"/>
                <w:szCs w:val="16"/>
              </w:rPr>
            </w:pPr>
          </w:p>
        </w:tc>
        <w:tc>
          <w:tcPr>
            <w:tcW w:w="212" w:type="pct"/>
            <w:vAlign w:val="center"/>
          </w:tcPr>
          <w:p w14:paraId="6288C4ED" w14:textId="49C64E2D"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5.0</w:t>
            </w:r>
          </w:p>
        </w:tc>
        <w:tc>
          <w:tcPr>
            <w:tcW w:w="297" w:type="pct"/>
            <w:vAlign w:val="center"/>
          </w:tcPr>
          <w:p w14:paraId="33F79708" w14:textId="57B53393"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12.1</w:t>
            </w:r>
          </w:p>
        </w:tc>
        <w:tc>
          <w:tcPr>
            <w:tcW w:w="297" w:type="pct"/>
            <w:vAlign w:val="center"/>
          </w:tcPr>
          <w:p w14:paraId="3C69ED11" w14:textId="7CBA2F57"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w:t>
            </w:r>
          </w:p>
        </w:tc>
        <w:tc>
          <w:tcPr>
            <w:tcW w:w="247" w:type="pct"/>
            <w:gridSpan w:val="2"/>
            <w:shd w:val="clear" w:color="auto" w:fill="auto"/>
            <w:noWrap/>
            <w:tcMar>
              <w:top w:w="15" w:type="dxa"/>
              <w:left w:w="15" w:type="dxa"/>
              <w:bottom w:w="0" w:type="dxa"/>
              <w:right w:w="15" w:type="dxa"/>
            </w:tcMar>
            <w:vAlign w:val="center"/>
            <w:hideMark/>
          </w:tcPr>
          <w:p w14:paraId="46B872E0" w14:textId="7546B545"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5.0</w:t>
            </w:r>
          </w:p>
        </w:tc>
        <w:tc>
          <w:tcPr>
            <w:tcW w:w="327" w:type="pct"/>
            <w:shd w:val="clear" w:color="auto" w:fill="auto"/>
            <w:noWrap/>
            <w:tcMar>
              <w:top w:w="15" w:type="dxa"/>
              <w:left w:w="15" w:type="dxa"/>
              <w:bottom w:w="0" w:type="dxa"/>
              <w:right w:w="15" w:type="dxa"/>
            </w:tcMar>
            <w:vAlign w:val="center"/>
            <w:hideMark/>
          </w:tcPr>
          <w:p w14:paraId="2D1BE314" w14:textId="05DDCBDF"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12.1</w:t>
            </w:r>
          </w:p>
        </w:tc>
        <w:tc>
          <w:tcPr>
            <w:tcW w:w="299" w:type="pct"/>
            <w:shd w:val="clear" w:color="auto" w:fill="auto"/>
            <w:noWrap/>
            <w:tcMar>
              <w:top w:w="15" w:type="dxa"/>
              <w:left w:w="15" w:type="dxa"/>
              <w:bottom w:w="0" w:type="dxa"/>
              <w:right w:w="15" w:type="dxa"/>
            </w:tcMar>
            <w:vAlign w:val="center"/>
            <w:hideMark/>
          </w:tcPr>
          <w:p w14:paraId="21E338BB" w14:textId="4284EB70"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17.0</w:t>
            </w:r>
          </w:p>
        </w:tc>
        <w:tc>
          <w:tcPr>
            <w:tcW w:w="24" w:type="pct"/>
            <w:vAlign w:val="center"/>
          </w:tcPr>
          <w:p w14:paraId="250415D5" w14:textId="77777777" w:rsidR="00980FC9" w:rsidRPr="00BC68C4" w:rsidRDefault="00980FC9" w:rsidP="00980FC9">
            <w:pPr>
              <w:jc w:val="center"/>
              <w:rPr>
                <w:rFonts w:ascii="Times New Roman" w:hAnsi="Times New Roman" w:cs="Times New Roman"/>
                <w:color w:val="000000"/>
                <w:sz w:val="16"/>
                <w:szCs w:val="16"/>
              </w:rPr>
            </w:pPr>
          </w:p>
        </w:tc>
        <w:tc>
          <w:tcPr>
            <w:tcW w:w="476" w:type="pct"/>
            <w:shd w:val="clear" w:color="auto" w:fill="auto"/>
            <w:noWrap/>
            <w:tcMar>
              <w:top w:w="15" w:type="dxa"/>
              <w:left w:w="15" w:type="dxa"/>
              <w:bottom w:w="0" w:type="dxa"/>
              <w:right w:w="15" w:type="dxa"/>
            </w:tcMar>
            <w:vAlign w:val="center"/>
            <w:hideMark/>
          </w:tcPr>
          <w:p w14:paraId="28C65330" w14:textId="567FFD07"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w:t>
            </w:r>
          </w:p>
        </w:tc>
        <w:tc>
          <w:tcPr>
            <w:tcW w:w="338" w:type="pct"/>
            <w:shd w:val="clear" w:color="auto" w:fill="auto"/>
            <w:noWrap/>
            <w:tcMar>
              <w:top w:w="15" w:type="dxa"/>
              <w:left w:w="15" w:type="dxa"/>
              <w:bottom w:w="0" w:type="dxa"/>
              <w:right w:w="15" w:type="dxa"/>
            </w:tcMar>
            <w:vAlign w:val="center"/>
            <w:hideMark/>
          </w:tcPr>
          <w:p w14:paraId="5B7224DD" w14:textId="73FE8AFA"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w:t>
            </w:r>
          </w:p>
        </w:tc>
      </w:tr>
      <w:tr w:rsidR="00980FC9" w:rsidRPr="00BC68C4" w14:paraId="321E3754" w14:textId="77777777" w:rsidTr="00980FC9">
        <w:trPr>
          <w:trHeight w:val="305"/>
        </w:trPr>
        <w:tc>
          <w:tcPr>
            <w:tcW w:w="643" w:type="pct"/>
            <w:shd w:val="clear" w:color="auto" w:fill="auto"/>
            <w:noWrap/>
            <w:tcMar>
              <w:top w:w="15" w:type="dxa"/>
              <w:left w:w="15" w:type="dxa"/>
              <w:bottom w:w="0" w:type="dxa"/>
              <w:right w:w="15" w:type="dxa"/>
            </w:tcMar>
            <w:vAlign w:val="center"/>
            <w:hideMark/>
          </w:tcPr>
          <w:p w14:paraId="3C596731" w14:textId="77777777" w:rsidR="00980FC9" w:rsidRPr="00BC68C4" w:rsidRDefault="00980FC9" w:rsidP="00332719">
            <w:pPr>
              <w:jc w:val="left"/>
              <w:rPr>
                <w:rFonts w:ascii="Times New Roman" w:hAnsi="Times New Roman" w:cs="Times New Roman"/>
                <w:color w:val="000000"/>
                <w:sz w:val="16"/>
                <w:szCs w:val="16"/>
              </w:rPr>
            </w:pPr>
            <w:r w:rsidRPr="00BC68C4">
              <w:rPr>
                <w:rFonts w:ascii="Times New Roman" w:hAnsi="Times New Roman" w:cs="Times New Roman"/>
                <w:color w:val="000000"/>
                <w:sz w:val="16"/>
                <w:szCs w:val="16"/>
              </w:rPr>
              <w:t>Tramways</w:t>
            </w:r>
          </w:p>
        </w:tc>
        <w:tc>
          <w:tcPr>
            <w:tcW w:w="130" w:type="pct"/>
            <w:shd w:val="clear" w:color="auto" w:fill="auto"/>
            <w:noWrap/>
            <w:tcMar>
              <w:top w:w="15" w:type="dxa"/>
              <w:left w:w="15" w:type="dxa"/>
              <w:bottom w:w="0" w:type="dxa"/>
              <w:right w:w="15" w:type="dxa"/>
            </w:tcMar>
            <w:vAlign w:val="center"/>
            <w:hideMark/>
          </w:tcPr>
          <w:p w14:paraId="4CD89AB1" w14:textId="44FEC322"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13</w:t>
            </w:r>
          </w:p>
        </w:tc>
        <w:tc>
          <w:tcPr>
            <w:tcW w:w="2" w:type="pct"/>
            <w:vAlign w:val="center"/>
          </w:tcPr>
          <w:p w14:paraId="2CB3549D" w14:textId="77777777" w:rsidR="00980FC9" w:rsidRPr="00BC68C4" w:rsidRDefault="00980FC9" w:rsidP="00980FC9">
            <w:pPr>
              <w:jc w:val="center"/>
              <w:rPr>
                <w:rFonts w:ascii="Times New Roman" w:hAnsi="Times New Roman" w:cs="Times New Roman"/>
                <w:color w:val="000000"/>
                <w:sz w:val="16"/>
                <w:szCs w:val="16"/>
              </w:rPr>
            </w:pPr>
          </w:p>
        </w:tc>
        <w:tc>
          <w:tcPr>
            <w:tcW w:w="212" w:type="pct"/>
            <w:vAlign w:val="center"/>
          </w:tcPr>
          <w:p w14:paraId="76C1DC7B" w14:textId="4F1334D8"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4.7</w:t>
            </w:r>
          </w:p>
        </w:tc>
        <w:tc>
          <w:tcPr>
            <w:tcW w:w="297" w:type="pct"/>
            <w:vAlign w:val="center"/>
          </w:tcPr>
          <w:p w14:paraId="06344589" w14:textId="414DA8DC"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w:t>
            </w:r>
          </w:p>
        </w:tc>
        <w:tc>
          <w:tcPr>
            <w:tcW w:w="297" w:type="pct"/>
            <w:vAlign w:val="center"/>
          </w:tcPr>
          <w:p w14:paraId="1E5C4CFF" w14:textId="3D4B6331"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w:t>
            </w:r>
          </w:p>
        </w:tc>
        <w:tc>
          <w:tcPr>
            <w:tcW w:w="248" w:type="pct"/>
            <w:shd w:val="clear" w:color="auto" w:fill="auto"/>
            <w:noWrap/>
            <w:tcMar>
              <w:top w:w="15" w:type="dxa"/>
              <w:left w:w="15" w:type="dxa"/>
              <w:bottom w:w="0" w:type="dxa"/>
              <w:right w:w="15" w:type="dxa"/>
            </w:tcMar>
            <w:vAlign w:val="center"/>
            <w:hideMark/>
          </w:tcPr>
          <w:p w14:paraId="56029D44" w14:textId="12F270D1"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4.7</w:t>
            </w:r>
          </w:p>
        </w:tc>
        <w:tc>
          <w:tcPr>
            <w:tcW w:w="309" w:type="pct"/>
            <w:shd w:val="clear" w:color="auto" w:fill="auto"/>
            <w:noWrap/>
            <w:tcMar>
              <w:top w:w="15" w:type="dxa"/>
              <w:left w:w="15" w:type="dxa"/>
              <w:bottom w:w="0" w:type="dxa"/>
              <w:right w:w="15" w:type="dxa"/>
            </w:tcMar>
            <w:vAlign w:val="center"/>
            <w:hideMark/>
          </w:tcPr>
          <w:p w14:paraId="3D58103F" w14:textId="72ECFF0A"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w:t>
            </w:r>
          </w:p>
        </w:tc>
        <w:tc>
          <w:tcPr>
            <w:tcW w:w="307" w:type="pct"/>
            <w:shd w:val="clear" w:color="auto" w:fill="auto"/>
            <w:noWrap/>
            <w:tcMar>
              <w:top w:w="15" w:type="dxa"/>
              <w:left w:w="15" w:type="dxa"/>
              <w:bottom w:w="0" w:type="dxa"/>
              <w:right w:w="15" w:type="dxa"/>
            </w:tcMar>
            <w:vAlign w:val="center"/>
            <w:hideMark/>
          </w:tcPr>
          <w:p w14:paraId="767412DB" w14:textId="0AF00583"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4.7</w:t>
            </w:r>
          </w:p>
        </w:tc>
        <w:tc>
          <w:tcPr>
            <w:tcW w:w="38" w:type="pct"/>
            <w:vAlign w:val="center"/>
          </w:tcPr>
          <w:p w14:paraId="5E0450D2" w14:textId="77777777" w:rsidR="00980FC9" w:rsidRPr="00BC68C4" w:rsidRDefault="00980FC9" w:rsidP="00980FC9">
            <w:pPr>
              <w:jc w:val="center"/>
              <w:rPr>
                <w:rFonts w:ascii="Times New Roman" w:hAnsi="Times New Roman" w:cs="Times New Roman"/>
                <w:color w:val="000000"/>
                <w:sz w:val="16"/>
                <w:szCs w:val="16"/>
              </w:rPr>
            </w:pPr>
          </w:p>
        </w:tc>
        <w:tc>
          <w:tcPr>
            <w:tcW w:w="212" w:type="pct"/>
            <w:vAlign w:val="center"/>
          </w:tcPr>
          <w:p w14:paraId="669D6C77" w14:textId="611F6CB1"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4.2</w:t>
            </w:r>
          </w:p>
        </w:tc>
        <w:tc>
          <w:tcPr>
            <w:tcW w:w="297" w:type="pct"/>
            <w:vAlign w:val="center"/>
          </w:tcPr>
          <w:p w14:paraId="40570BD0" w14:textId="57D9E440"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w:t>
            </w:r>
          </w:p>
        </w:tc>
        <w:tc>
          <w:tcPr>
            <w:tcW w:w="297" w:type="pct"/>
            <w:vAlign w:val="center"/>
          </w:tcPr>
          <w:p w14:paraId="666D0AB2" w14:textId="4271DE9F"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w:t>
            </w:r>
          </w:p>
        </w:tc>
        <w:tc>
          <w:tcPr>
            <w:tcW w:w="247" w:type="pct"/>
            <w:gridSpan w:val="2"/>
            <w:shd w:val="clear" w:color="auto" w:fill="auto"/>
            <w:noWrap/>
            <w:tcMar>
              <w:top w:w="15" w:type="dxa"/>
              <w:left w:w="15" w:type="dxa"/>
              <w:bottom w:w="0" w:type="dxa"/>
              <w:right w:w="15" w:type="dxa"/>
            </w:tcMar>
            <w:vAlign w:val="center"/>
            <w:hideMark/>
          </w:tcPr>
          <w:p w14:paraId="00402A3B" w14:textId="3A5F31D0"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4.2</w:t>
            </w:r>
          </w:p>
        </w:tc>
        <w:tc>
          <w:tcPr>
            <w:tcW w:w="327" w:type="pct"/>
            <w:shd w:val="clear" w:color="auto" w:fill="auto"/>
            <w:noWrap/>
            <w:tcMar>
              <w:top w:w="15" w:type="dxa"/>
              <w:left w:w="15" w:type="dxa"/>
              <w:bottom w:w="0" w:type="dxa"/>
              <w:right w:w="15" w:type="dxa"/>
            </w:tcMar>
            <w:vAlign w:val="center"/>
            <w:hideMark/>
          </w:tcPr>
          <w:p w14:paraId="38A0CB90" w14:textId="230CEDF0"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w:t>
            </w:r>
          </w:p>
        </w:tc>
        <w:tc>
          <w:tcPr>
            <w:tcW w:w="299" w:type="pct"/>
            <w:shd w:val="clear" w:color="auto" w:fill="auto"/>
            <w:noWrap/>
            <w:tcMar>
              <w:top w:w="15" w:type="dxa"/>
              <w:left w:w="15" w:type="dxa"/>
              <w:bottom w:w="0" w:type="dxa"/>
              <w:right w:w="15" w:type="dxa"/>
            </w:tcMar>
            <w:vAlign w:val="center"/>
            <w:hideMark/>
          </w:tcPr>
          <w:p w14:paraId="0BAE1AA6" w14:textId="0D3F3909"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4.2</w:t>
            </w:r>
          </w:p>
        </w:tc>
        <w:tc>
          <w:tcPr>
            <w:tcW w:w="24" w:type="pct"/>
            <w:vAlign w:val="center"/>
          </w:tcPr>
          <w:p w14:paraId="3141112C" w14:textId="77777777" w:rsidR="00980FC9" w:rsidRPr="00BC68C4" w:rsidRDefault="00980FC9" w:rsidP="00980FC9">
            <w:pPr>
              <w:jc w:val="center"/>
              <w:rPr>
                <w:rFonts w:ascii="Times New Roman" w:hAnsi="Times New Roman" w:cs="Times New Roman"/>
                <w:color w:val="000000"/>
                <w:sz w:val="16"/>
                <w:szCs w:val="16"/>
              </w:rPr>
            </w:pPr>
          </w:p>
        </w:tc>
        <w:tc>
          <w:tcPr>
            <w:tcW w:w="476" w:type="pct"/>
            <w:shd w:val="clear" w:color="auto" w:fill="auto"/>
            <w:noWrap/>
            <w:tcMar>
              <w:top w:w="15" w:type="dxa"/>
              <w:left w:w="15" w:type="dxa"/>
              <w:bottom w:w="0" w:type="dxa"/>
              <w:right w:w="15" w:type="dxa"/>
            </w:tcMar>
            <w:vAlign w:val="center"/>
            <w:hideMark/>
          </w:tcPr>
          <w:p w14:paraId="283C87AC" w14:textId="2BEE84A0"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w:t>
            </w:r>
          </w:p>
        </w:tc>
        <w:tc>
          <w:tcPr>
            <w:tcW w:w="338" w:type="pct"/>
            <w:shd w:val="clear" w:color="auto" w:fill="auto"/>
            <w:noWrap/>
            <w:tcMar>
              <w:top w:w="15" w:type="dxa"/>
              <w:left w:w="15" w:type="dxa"/>
              <w:bottom w:w="0" w:type="dxa"/>
              <w:right w:w="15" w:type="dxa"/>
            </w:tcMar>
            <w:vAlign w:val="center"/>
            <w:hideMark/>
          </w:tcPr>
          <w:p w14:paraId="352D9E49" w14:textId="512A965F"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w:t>
            </w:r>
          </w:p>
        </w:tc>
      </w:tr>
      <w:tr w:rsidR="00980FC9" w:rsidRPr="00BC68C4" w14:paraId="297FC4F6" w14:textId="77777777" w:rsidTr="00980FC9">
        <w:trPr>
          <w:trHeight w:val="305"/>
        </w:trPr>
        <w:tc>
          <w:tcPr>
            <w:tcW w:w="643" w:type="pct"/>
            <w:shd w:val="clear" w:color="auto" w:fill="auto"/>
            <w:noWrap/>
            <w:tcMar>
              <w:top w:w="15" w:type="dxa"/>
              <w:left w:w="15" w:type="dxa"/>
              <w:bottom w:w="0" w:type="dxa"/>
              <w:right w:w="15" w:type="dxa"/>
            </w:tcMar>
            <w:vAlign w:val="center"/>
            <w:hideMark/>
          </w:tcPr>
          <w:p w14:paraId="4C3D5F11" w14:textId="77777777" w:rsidR="00980FC9" w:rsidRPr="00BC68C4" w:rsidRDefault="00980FC9" w:rsidP="00332719">
            <w:pPr>
              <w:jc w:val="left"/>
              <w:rPr>
                <w:rFonts w:ascii="Times New Roman" w:hAnsi="Times New Roman" w:cs="Times New Roman"/>
                <w:color w:val="000000"/>
                <w:sz w:val="16"/>
                <w:szCs w:val="16"/>
              </w:rPr>
            </w:pPr>
            <w:r w:rsidRPr="00BC68C4">
              <w:rPr>
                <w:rFonts w:ascii="Times New Roman" w:hAnsi="Times New Roman" w:cs="Times New Roman"/>
                <w:color w:val="000000"/>
                <w:sz w:val="16"/>
                <w:szCs w:val="16"/>
              </w:rPr>
              <w:t>Wagon</w:t>
            </w:r>
          </w:p>
        </w:tc>
        <w:tc>
          <w:tcPr>
            <w:tcW w:w="130" w:type="pct"/>
            <w:shd w:val="clear" w:color="auto" w:fill="auto"/>
            <w:noWrap/>
            <w:tcMar>
              <w:top w:w="15" w:type="dxa"/>
              <w:left w:w="15" w:type="dxa"/>
              <w:bottom w:w="0" w:type="dxa"/>
              <w:right w:w="15" w:type="dxa"/>
            </w:tcMar>
            <w:vAlign w:val="center"/>
            <w:hideMark/>
          </w:tcPr>
          <w:p w14:paraId="6974E8F0" w14:textId="56CFDD9D"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7</w:t>
            </w:r>
          </w:p>
        </w:tc>
        <w:tc>
          <w:tcPr>
            <w:tcW w:w="2" w:type="pct"/>
            <w:vAlign w:val="center"/>
          </w:tcPr>
          <w:p w14:paraId="45193041" w14:textId="77777777" w:rsidR="00980FC9" w:rsidRPr="00BC68C4" w:rsidRDefault="00980FC9" w:rsidP="00980FC9">
            <w:pPr>
              <w:jc w:val="center"/>
              <w:rPr>
                <w:rFonts w:ascii="Times New Roman" w:hAnsi="Times New Roman" w:cs="Times New Roman"/>
                <w:color w:val="000000"/>
                <w:sz w:val="16"/>
                <w:szCs w:val="16"/>
              </w:rPr>
            </w:pPr>
          </w:p>
        </w:tc>
        <w:tc>
          <w:tcPr>
            <w:tcW w:w="212" w:type="pct"/>
            <w:vAlign w:val="center"/>
          </w:tcPr>
          <w:p w14:paraId="725D0B1F" w14:textId="46971719"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5.0</w:t>
            </w:r>
          </w:p>
        </w:tc>
        <w:tc>
          <w:tcPr>
            <w:tcW w:w="297" w:type="pct"/>
            <w:vAlign w:val="center"/>
          </w:tcPr>
          <w:p w14:paraId="76809879" w14:textId="0A4F004C"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w:t>
            </w:r>
          </w:p>
        </w:tc>
        <w:tc>
          <w:tcPr>
            <w:tcW w:w="297" w:type="pct"/>
            <w:vAlign w:val="center"/>
          </w:tcPr>
          <w:p w14:paraId="3E664FAB" w14:textId="6F10F1E1"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0.1</w:t>
            </w:r>
          </w:p>
        </w:tc>
        <w:tc>
          <w:tcPr>
            <w:tcW w:w="248" w:type="pct"/>
            <w:shd w:val="clear" w:color="auto" w:fill="auto"/>
            <w:noWrap/>
            <w:tcMar>
              <w:top w:w="15" w:type="dxa"/>
              <w:left w:w="15" w:type="dxa"/>
              <w:bottom w:w="0" w:type="dxa"/>
              <w:right w:w="15" w:type="dxa"/>
            </w:tcMar>
            <w:vAlign w:val="center"/>
            <w:hideMark/>
          </w:tcPr>
          <w:p w14:paraId="760B3ABE" w14:textId="6F2EC77D"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5.1</w:t>
            </w:r>
          </w:p>
        </w:tc>
        <w:tc>
          <w:tcPr>
            <w:tcW w:w="309" w:type="pct"/>
            <w:shd w:val="clear" w:color="auto" w:fill="auto"/>
            <w:noWrap/>
            <w:tcMar>
              <w:top w:w="15" w:type="dxa"/>
              <w:left w:w="15" w:type="dxa"/>
              <w:bottom w:w="0" w:type="dxa"/>
              <w:right w:w="15" w:type="dxa"/>
            </w:tcMar>
            <w:vAlign w:val="center"/>
            <w:hideMark/>
          </w:tcPr>
          <w:p w14:paraId="27D9933F" w14:textId="7666658F"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0.1</w:t>
            </w:r>
          </w:p>
        </w:tc>
        <w:tc>
          <w:tcPr>
            <w:tcW w:w="307" w:type="pct"/>
            <w:shd w:val="clear" w:color="auto" w:fill="auto"/>
            <w:noWrap/>
            <w:tcMar>
              <w:top w:w="15" w:type="dxa"/>
              <w:left w:w="15" w:type="dxa"/>
              <w:bottom w:w="0" w:type="dxa"/>
              <w:right w:w="15" w:type="dxa"/>
            </w:tcMar>
            <w:vAlign w:val="center"/>
            <w:hideMark/>
          </w:tcPr>
          <w:p w14:paraId="60F293E7" w14:textId="7B5DBE3E"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5.1</w:t>
            </w:r>
          </w:p>
        </w:tc>
        <w:tc>
          <w:tcPr>
            <w:tcW w:w="38" w:type="pct"/>
            <w:vAlign w:val="center"/>
          </w:tcPr>
          <w:p w14:paraId="5520F1B6" w14:textId="77777777" w:rsidR="00980FC9" w:rsidRPr="00BC68C4" w:rsidRDefault="00980FC9" w:rsidP="00980FC9">
            <w:pPr>
              <w:jc w:val="center"/>
              <w:rPr>
                <w:rFonts w:ascii="Times New Roman" w:hAnsi="Times New Roman" w:cs="Times New Roman"/>
                <w:color w:val="000000"/>
                <w:sz w:val="16"/>
                <w:szCs w:val="16"/>
              </w:rPr>
            </w:pPr>
          </w:p>
        </w:tc>
        <w:tc>
          <w:tcPr>
            <w:tcW w:w="212" w:type="pct"/>
            <w:vAlign w:val="center"/>
          </w:tcPr>
          <w:p w14:paraId="6BE5C96D" w14:textId="5CEA7600"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14.8</w:t>
            </w:r>
          </w:p>
        </w:tc>
        <w:tc>
          <w:tcPr>
            <w:tcW w:w="297" w:type="pct"/>
            <w:vAlign w:val="center"/>
          </w:tcPr>
          <w:p w14:paraId="696D5388" w14:textId="3D0316E5"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0.0</w:t>
            </w:r>
          </w:p>
        </w:tc>
        <w:tc>
          <w:tcPr>
            <w:tcW w:w="297" w:type="pct"/>
            <w:vAlign w:val="center"/>
          </w:tcPr>
          <w:p w14:paraId="222A68B1" w14:textId="485AE224"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2.2</w:t>
            </w:r>
          </w:p>
        </w:tc>
        <w:tc>
          <w:tcPr>
            <w:tcW w:w="247" w:type="pct"/>
            <w:gridSpan w:val="2"/>
            <w:shd w:val="clear" w:color="auto" w:fill="auto"/>
            <w:noWrap/>
            <w:tcMar>
              <w:top w:w="15" w:type="dxa"/>
              <w:left w:w="15" w:type="dxa"/>
              <w:bottom w:w="0" w:type="dxa"/>
              <w:right w:w="15" w:type="dxa"/>
            </w:tcMar>
            <w:vAlign w:val="center"/>
            <w:hideMark/>
          </w:tcPr>
          <w:p w14:paraId="4FFF1170" w14:textId="2B080A85"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17.0</w:t>
            </w:r>
          </w:p>
        </w:tc>
        <w:tc>
          <w:tcPr>
            <w:tcW w:w="327" w:type="pct"/>
            <w:shd w:val="clear" w:color="auto" w:fill="auto"/>
            <w:noWrap/>
            <w:tcMar>
              <w:top w:w="15" w:type="dxa"/>
              <w:left w:w="15" w:type="dxa"/>
              <w:bottom w:w="0" w:type="dxa"/>
              <w:right w:w="15" w:type="dxa"/>
            </w:tcMar>
            <w:vAlign w:val="center"/>
            <w:hideMark/>
          </w:tcPr>
          <w:p w14:paraId="074CC5F1" w14:textId="1973F3D2"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2.2</w:t>
            </w:r>
          </w:p>
        </w:tc>
        <w:tc>
          <w:tcPr>
            <w:tcW w:w="299" w:type="pct"/>
            <w:shd w:val="clear" w:color="auto" w:fill="auto"/>
            <w:noWrap/>
            <w:tcMar>
              <w:top w:w="15" w:type="dxa"/>
              <w:left w:w="15" w:type="dxa"/>
              <w:bottom w:w="0" w:type="dxa"/>
              <w:right w:w="15" w:type="dxa"/>
            </w:tcMar>
            <w:vAlign w:val="center"/>
            <w:hideMark/>
          </w:tcPr>
          <w:p w14:paraId="27525045" w14:textId="208533C6"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17.0</w:t>
            </w:r>
          </w:p>
        </w:tc>
        <w:tc>
          <w:tcPr>
            <w:tcW w:w="24" w:type="pct"/>
            <w:vAlign w:val="center"/>
          </w:tcPr>
          <w:p w14:paraId="1BDE36DE" w14:textId="77777777" w:rsidR="00980FC9" w:rsidRPr="00BC68C4" w:rsidRDefault="00980FC9" w:rsidP="00980FC9">
            <w:pPr>
              <w:jc w:val="center"/>
              <w:rPr>
                <w:rFonts w:ascii="Times New Roman" w:hAnsi="Times New Roman" w:cs="Times New Roman"/>
                <w:color w:val="000000"/>
                <w:sz w:val="16"/>
                <w:szCs w:val="16"/>
              </w:rPr>
            </w:pPr>
          </w:p>
        </w:tc>
        <w:tc>
          <w:tcPr>
            <w:tcW w:w="476" w:type="pct"/>
            <w:shd w:val="clear" w:color="auto" w:fill="auto"/>
            <w:noWrap/>
            <w:tcMar>
              <w:top w:w="15" w:type="dxa"/>
              <w:left w:w="15" w:type="dxa"/>
              <w:bottom w:w="0" w:type="dxa"/>
              <w:right w:w="15" w:type="dxa"/>
            </w:tcMar>
            <w:vAlign w:val="center"/>
            <w:hideMark/>
          </w:tcPr>
          <w:p w14:paraId="36EBA749" w14:textId="008FC10E"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2.8</w:t>
            </w:r>
          </w:p>
        </w:tc>
        <w:tc>
          <w:tcPr>
            <w:tcW w:w="338" w:type="pct"/>
            <w:shd w:val="clear" w:color="auto" w:fill="auto"/>
            <w:noWrap/>
            <w:tcMar>
              <w:top w:w="15" w:type="dxa"/>
              <w:left w:w="15" w:type="dxa"/>
              <w:bottom w:w="0" w:type="dxa"/>
              <w:right w:w="15" w:type="dxa"/>
            </w:tcMar>
            <w:vAlign w:val="center"/>
            <w:hideMark/>
          </w:tcPr>
          <w:p w14:paraId="097D5DAF" w14:textId="6BFD8D33"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100.0</w:t>
            </w:r>
          </w:p>
        </w:tc>
      </w:tr>
      <w:tr w:rsidR="00980FC9" w:rsidRPr="00BC68C4" w14:paraId="0F2B9C07" w14:textId="77777777" w:rsidTr="00980FC9">
        <w:trPr>
          <w:trHeight w:val="305"/>
        </w:trPr>
        <w:tc>
          <w:tcPr>
            <w:tcW w:w="643" w:type="pct"/>
            <w:shd w:val="clear" w:color="auto" w:fill="auto"/>
            <w:noWrap/>
            <w:tcMar>
              <w:top w:w="15" w:type="dxa"/>
              <w:left w:w="15" w:type="dxa"/>
              <w:bottom w:w="0" w:type="dxa"/>
              <w:right w:w="15" w:type="dxa"/>
            </w:tcMar>
            <w:vAlign w:val="center"/>
            <w:hideMark/>
          </w:tcPr>
          <w:p w14:paraId="25B3E8A9" w14:textId="77777777" w:rsidR="00980FC9" w:rsidRPr="00BC68C4" w:rsidRDefault="00980FC9" w:rsidP="00332719">
            <w:pPr>
              <w:jc w:val="left"/>
              <w:rPr>
                <w:rFonts w:ascii="Times New Roman" w:hAnsi="Times New Roman" w:cs="Times New Roman"/>
                <w:color w:val="000000"/>
                <w:sz w:val="16"/>
                <w:szCs w:val="16"/>
              </w:rPr>
            </w:pPr>
          </w:p>
        </w:tc>
        <w:tc>
          <w:tcPr>
            <w:tcW w:w="130" w:type="pct"/>
            <w:shd w:val="clear" w:color="auto" w:fill="auto"/>
            <w:noWrap/>
            <w:tcMar>
              <w:top w:w="15" w:type="dxa"/>
              <w:left w:w="15" w:type="dxa"/>
              <w:bottom w:w="0" w:type="dxa"/>
              <w:right w:w="15" w:type="dxa"/>
            </w:tcMar>
            <w:vAlign w:val="center"/>
            <w:hideMark/>
          </w:tcPr>
          <w:p w14:paraId="01F16654" w14:textId="77777777" w:rsidR="00980FC9" w:rsidRPr="00BC68C4" w:rsidRDefault="00980FC9" w:rsidP="00980FC9">
            <w:pPr>
              <w:jc w:val="center"/>
              <w:rPr>
                <w:rFonts w:ascii="Times New Roman" w:hAnsi="Times New Roman" w:cs="Times New Roman"/>
                <w:color w:val="000000"/>
                <w:sz w:val="16"/>
                <w:szCs w:val="16"/>
              </w:rPr>
            </w:pPr>
          </w:p>
        </w:tc>
        <w:tc>
          <w:tcPr>
            <w:tcW w:w="2" w:type="pct"/>
            <w:vAlign w:val="center"/>
          </w:tcPr>
          <w:p w14:paraId="24EF4A35" w14:textId="77777777" w:rsidR="00980FC9" w:rsidRPr="00BC68C4" w:rsidRDefault="00980FC9" w:rsidP="00980FC9">
            <w:pPr>
              <w:jc w:val="center"/>
              <w:rPr>
                <w:rFonts w:ascii="Times New Roman" w:hAnsi="Times New Roman" w:cs="Times New Roman"/>
                <w:color w:val="000000"/>
                <w:sz w:val="16"/>
                <w:szCs w:val="16"/>
              </w:rPr>
            </w:pPr>
          </w:p>
        </w:tc>
        <w:tc>
          <w:tcPr>
            <w:tcW w:w="212" w:type="pct"/>
            <w:vAlign w:val="center"/>
          </w:tcPr>
          <w:p w14:paraId="0AFE94BF" w14:textId="77777777" w:rsidR="00980FC9" w:rsidRPr="00BC68C4" w:rsidRDefault="00980FC9" w:rsidP="00980FC9">
            <w:pPr>
              <w:jc w:val="center"/>
              <w:rPr>
                <w:rFonts w:ascii="Times New Roman" w:hAnsi="Times New Roman" w:cs="Times New Roman"/>
                <w:color w:val="000000"/>
                <w:sz w:val="16"/>
                <w:szCs w:val="16"/>
              </w:rPr>
            </w:pPr>
          </w:p>
        </w:tc>
        <w:tc>
          <w:tcPr>
            <w:tcW w:w="297" w:type="pct"/>
            <w:vAlign w:val="center"/>
          </w:tcPr>
          <w:p w14:paraId="639D246C" w14:textId="77777777" w:rsidR="00980FC9" w:rsidRPr="00BC68C4" w:rsidRDefault="00980FC9" w:rsidP="00980FC9">
            <w:pPr>
              <w:jc w:val="center"/>
              <w:rPr>
                <w:rFonts w:ascii="Times New Roman" w:hAnsi="Times New Roman" w:cs="Times New Roman"/>
                <w:color w:val="000000"/>
                <w:sz w:val="16"/>
                <w:szCs w:val="16"/>
              </w:rPr>
            </w:pPr>
          </w:p>
        </w:tc>
        <w:tc>
          <w:tcPr>
            <w:tcW w:w="297" w:type="pct"/>
            <w:vAlign w:val="center"/>
          </w:tcPr>
          <w:p w14:paraId="1E8B368D" w14:textId="77777777" w:rsidR="00980FC9" w:rsidRPr="00BC68C4" w:rsidRDefault="00980FC9" w:rsidP="00980FC9">
            <w:pPr>
              <w:jc w:val="center"/>
              <w:rPr>
                <w:rFonts w:ascii="Times New Roman" w:hAnsi="Times New Roman" w:cs="Times New Roman"/>
                <w:color w:val="000000"/>
                <w:sz w:val="16"/>
                <w:szCs w:val="16"/>
              </w:rPr>
            </w:pPr>
          </w:p>
        </w:tc>
        <w:tc>
          <w:tcPr>
            <w:tcW w:w="248" w:type="pct"/>
            <w:shd w:val="clear" w:color="auto" w:fill="auto"/>
            <w:noWrap/>
            <w:tcMar>
              <w:top w:w="15" w:type="dxa"/>
              <w:left w:w="15" w:type="dxa"/>
              <w:bottom w:w="0" w:type="dxa"/>
              <w:right w:w="15" w:type="dxa"/>
            </w:tcMar>
            <w:vAlign w:val="center"/>
            <w:hideMark/>
          </w:tcPr>
          <w:p w14:paraId="5DB8879A" w14:textId="77777777" w:rsidR="00980FC9" w:rsidRPr="00BC68C4" w:rsidRDefault="00980FC9" w:rsidP="00980FC9">
            <w:pPr>
              <w:jc w:val="center"/>
              <w:rPr>
                <w:rFonts w:ascii="Times New Roman" w:hAnsi="Times New Roman" w:cs="Times New Roman"/>
                <w:color w:val="000000"/>
                <w:sz w:val="16"/>
                <w:szCs w:val="16"/>
              </w:rPr>
            </w:pPr>
          </w:p>
        </w:tc>
        <w:tc>
          <w:tcPr>
            <w:tcW w:w="309" w:type="pct"/>
            <w:shd w:val="clear" w:color="auto" w:fill="auto"/>
            <w:noWrap/>
            <w:tcMar>
              <w:top w:w="15" w:type="dxa"/>
              <w:left w:w="15" w:type="dxa"/>
              <w:bottom w:w="0" w:type="dxa"/>
              <w:right w:w="15" w:type="dxa"/>
            </w:tcMar>
            <w:vAlign w:val="center"/>
            <w:hideMark/>
          </w:tcPr>
          <w:p w14:paraId="0B370A9F" w14:textId="77777777" w:rsidR="00980FC9" w:rsidRPr="00BC68C4" w:rsidRDefault="00980FC9" w:rsidP="00980FC9">
            <w:pPr>
              <w:jc w:val="center"/>
              <w:rPr>
                <w:rFonts w:ascii="Times New Roman" w:hAnsi="Times New Roman" w:cs="Times New Roman"/>
                <w:color w:val="000000"/>
                <w:sz w:val="16"/>
                <w:szCs w:val="16"/>
              </w:rPr>
            </w:pPr>
          </w:p>
        </w:tc>
        <w:tc>
          <w:tcPr>
            <w:tcW w:w="307" w:type="pct"/>
            <w:shd w:val="clear" w:color="auto" w:fill="auto"/>
            <w:noWrap/>
            <w:tcMar>
              <w:top w:w="15" w:type="dxa"/>
              <w:left w:w="15" w:type="dxa"/>
              <w:bottom w:w="0" w:type="dxa"/>
              <w:right w:w="15" w:type="dxa"/>
            </w:tcMar>
            <w:vAlign w:val="center"/>
            <w:hideMark/>
          </w:tcPr>
          <w:p w14:paraId="599F29E9" w14:textId="77777777" w:rsidR="00980FC9" w:rsidRPr="00BC68C4" w:rsidRDefault="00980FC9" w:rsidP="00980FC9">
            <w:pPr>
              <w:jc w:val="center"/>
              <w:rPr>
                <w:rFonts w:ascii="Times New Roman" w:hAnsi="Times New Roman" w:cs="Times New Roman"/>
                <w:color w:val="000000"/>
                <w:sz w:val="16"/>
                <w:szCs w:val="16"/>
              </w:rPr>
            </w:pPr>
          </w:p>
        </w:tc>
        <w:tc>
          <w:tcPr>
            <w:tcW w:w="38" w:type="pct"/>
            <w:vAlign w:val="center"/>
          </w:tcPr>
          <w:p w14:paraId="4A17B9AB" w14:textId="77777777" w:rsidR="00980FC9" w:rsidRPr="00BC68C4" w:rsidRDefault="00980FC9" w:rsidP="00980FC9">
            <w:pPr>
              <w:jc w:val="center"/>
              <w:rPr>
                <w:rFonts w:ascii="Times New Roman" w:hAnsi="Times New Roman" w:cs="Times New Roman"/>
                <w:color w:val="000000"/>
                <w:sz w:val="16"/>
                <w:szCs w:val="16"/>
              </w:rPr>
            </w:pPr>
          </w:p>
        </w:tc>
        <w:tc>
          <w:tcPr>
            <w:tcW w:w="212" w:type="pct"/>
            <w:vAlign w:val="center"/>
          </w:tcPr>
          <w:p w14:paraId="0B3AAFCA" w14:textId="77777777" w:rsidR="00980FC9" w:rsidRPr="00BC68C4" w:rsidRDefault="00980FC9" w:rsidP="00980FC9">
            <w:pPr>
              <w:jc w:val="center"/>
              <w:rPr>
                <w:rFonts w:ascii="Times New Roman" w:hAnsi="Times New Roman" w:cs="Times New Roman"/>
                <w:color w:val="000000"/>
                <w:sz w:val="16"/>
                <w:szCs w:val="16"/>
              </w:rPr>
            </w:pPr>
          </w:p>
        </w:tc>
        <w:tc>
          <w:tcPr>
            <w:tcW w:w="297" w:type="pct"/>
            <w:vAlign w:val="center"/>
          </w:tcPr>
          <w:p w14:paraId="6576839D" w14:textId="77777777" w:rsidR="00980FC9" w:rsidRPr="00BC68C4" w:rsidRDefault="00980FC9" w:rsidP="00980FC9">
            <w:pPr>
              <w:jc w:val="center"/>
              <w:rPr>
                <w:rFonts w:ascii="Times New Roman" w:hAnsi="Times New Roman" w:cs="Times New Roman"/>
                <w:color w:val="000000"/>
                <w:sz w:val="16"/>
                <w:szCs w:val="16"/>
              </w:rPr>
            </w:pPr>
          </w:p>
        </w:tc>
        <w:tc>
          <w:tcPr>
            <w:tcW w:w="297" w:type="pct"/>
            <w:vAlign w:val="center"/>
          </w:tcPr>
          <w:p w14:paraId="0EA416D3" w14:textId="77777777" w:rsidR="00980FC9" w:rsidRPr="00BC68C4" w:rsidRDefault="00980FC9" w:rsidP="00980FC9">
            <w:pPr>
              <w:jc w:val="center"/>
              <w:rPr>
                <w:rFonts w:ascii="Times New Roman" w:hAnsi="Times New Roman" w:cs="Times New Roman"/>
                <w:color w:val="000000"/>
                <w:sz w:val="16"/>
                <w:szCs w:val="16"/>
              </w:rPr>
            </w:pPr>
          </w:p>
        </w:tc>
        <w:tc>
          <w:tcPr>
            <w:tcW w:w="247" w:type="pct"/>
            <w:gridSpan w:val="2"/>
            <w:shd w:val="clear" w:color="auto" w:fill="auto"/>
            <w:noWrap/>
            <w:tcMar>
              <w:top w:w="15" w:type="dxa"/>
              <w:left w:w="15" w:type="dxa"/>
              <w:bottom w:w="0" w:type="dxa"/>
              <w:right w:w="15" w:type="dxa"/>
            </w:tcMar>
            <w:vAlign w:val="center"/>
            <w:hideMark/>
          </w:tcPr>
          <w:p w14:paraId="480C48A3" w14:textId="77777777" w:rsidR="00980FC9" w:rsidRPr="00BC68C4" w:rsidRDefault="00980FC9" w:rsidP="00980FC9">
            <w:pPr>
              <w:jc w:val="center"/>
              <w:rPr>
                <w:rFonts w:ascii="Times New Roman" w:hAnsi="Times New Roman" w:cs="Times New Roman"/>
                <w:color w:val="000000"/>
                <w:sz w:val="16"/>
                <w:szCs w:val="16"/>
              </w:rPr>
            </w:pPr>
          </w:p>
        </w:tc>
        <w:tc>
          <w:tcPr>
            <w:tcW w:w="327" w:type="pct"/>
            <w:shd w:val="clear" w:color="auto" w:fill="auto"/>
            <w:noWrap/>
            <w:tcMar>
              <w:top w:w="15" w:type="dxa"/>
              <w:left w:w="15" w:type="dxa"/>
              <w:bottom w:w="0" w:type="dxa"/>
              <w:right w:w="15" w:type="dxa"/>
            </w:tcMar>
            <w:vAlign w:val="center"/>
            <w:hideMark/>
          </w:tcPr>
          <w:p w14:paraId="1A4B6098" w14:textId="77777777" w:rsidR="00980FC9" w:rsidRPr="00BC68C4" w:rsidRDefault="00980FC9" w:rsidP="00980FC9">
            <w:pPr>
              <w:jc w:val="center"/>
              <w:rPr>
                <w:rFonts w:ascii="Times New Roman" w:hAnsi="Times New Roman" w:cs="Times New Roman"/>
                <w:color w:val="000000"/>
                <w:sz w:val="16"/>
                <w:szCs w:val="16"/>
              </w:rPr>
            </w:pPr>
          </w:p>
        </w:tc>
        <w:tc>
          <w:tcPr>
            <w:tcW w:w="299" w:type="pct"/>
            <w:shd w:val="clear" w:color="auto" w:fill="auto"/>
            <w:noWrap/>
            <w:tcMar>
              <w:top w:w="15" w:type="dxa"/>
              <w:left w:w="15" w:type="dxa"/>
              <w:bottom w:w="0" w:type="dxa"/>
              <w:right w:w="15" w:type="dxa"/>
            </w:tcMar>
            <w:vAlign w:val="center"/>
            <w:hideMark/>
          </w:tcPr>
          <w:p w14:paraId="58C576B7" w14:textId="77777777" w:rsidR="00980FC9" w:rsidRPr="00BC68C4" w:rsidRDefault="00980FC9" w:rsidP="00980FC9">
            <w:pPr>
              <w:jc w:val="center"/>
              <w:rPr>
                <w:rFonts w:ascii="Times New Roman" w:hAnsi="Times New Roman" w:cs="Times New Roman"/>
                <w:color w:val="000000"/>
                <w:sz w:val="16"/>
                <w:szCs w:val="16"/>
              </w:rPr>
            </w:pPr>
          </w:p>
        </w:tc>
        <w:tc>
          <w:tcPr>
            <w:tcW w:w="24" w:type="pct"/>
            <w:vAlign w:val="center"/>
          </w:tcPr>
          <w:p w14:paraId="2A683FF8" w14:textId="77777777" w:rsidR="00980FC9" w:rsidRPr="00BC68C4" w:rsidRDefault="00980FC9" w:rsidP="00980FC9">
            <w:pPr>
              <w:jc w:val="center"/>
              <w:rPr>
                <w:rFonts w:ascii="Times New Roman" w:hAnsi="Times New Roman" w:cs="Times New Roman"/>
                <w:color w:val="000000"/>
                <w:sz w:val="16"/>
                <w:szCs w:val="16"/>
              </w:rPr>
            </w:pPr>
          </w:p>
        </w:tc>
        <w:tc>
          <w:tcPr>
            <w:tcW w:w="476" w:type="pct"/>
            <w:shd w:val="clear" w:color="auto" w:fill="auto"/>
            <w:noWrap/>
            <w:tcMar>
              <w:top w:w="15" w:type="dxa"/>
              <w:left w:w="15" w:type="dxa"/>
              <w:bottom w:w="0" w:type="dxa"/>
              <w:right w:w="15" w:type="dxa"/>
            </w:tcMar>
            <w:vAlign w:val="center"/>
            <w:hideMark/>
          </w:tcPr>
          <w:p w14:paraId="7C6ADFBC" w14:textId="77777777" w:rsidR="00980FC9" w:rsidRPr="00BC68C4" w:rsidRDefault="00980FC9" w:rsidP="00980FC9">
            <w:pPr>
              <w:jc w:val="center"/>
              <w:rPr>
                <w:rFonts w:ascii="Times New Roman" w:hAnsi="Times New Roman" w:cs="Times New Roman"/>
                <w:color w:val="000000"/>
                <w:sz w:val="16"/>
                <w:szCs w:val="16"/>
              </w:rPr>
            </w:pPr>
          </w:p>
        </w:tc>
        <w:tc>
          <w:tcPr>
            <w:tcW w:w="338" w:type="pct"/>
            <w:shd w:val="clear" w:color="auto" w:fill="auto"/>
            <w:noWrap/>
            <w:tcMar>
              <w:top w:w="15" w:type="dxa"/>
              <w:left w:w="15" w:type="dxa"/>
              <w:bottom w:w="0" w:type="dxa"/>
              <w:right w:w="15" w:type="dxa"/>
            </w:tcMar>
            <w:vAlign w:val="center"/>
            <w:hideMark/>
          </w:tcPr>
          <w:p w14:paraId="2B163CEA" w14:textId="77777777" w:rsidR="00980FC9" w:rsidRPr="00BC68C4" w:rsidRDefault="00980FC9" w:rsidP="00980FC9">
            <w:pPr>
              <w:jc w:val="center"/>
              <w:rPr>
                <w:rFonts w:ascii="Times New Roman" w:hAnsi="Times New Roman" w:cs="Times New Roman"/>
                <w:color w:val="000000"/>
                <w:sz w:val="16"/>
                <w:szCs w:val="16"/>
              </w:rPr>
            </w:pPr>
          </w:p>
        </w:tc>
      </w:tr>
      <w:tr w:rsidR="00980FC9" w:rsidRPr="00BC68C4" w14:paraId="20529AFC" w14:textId="77777777" w:rsidTr="00980FC9">
        <w:trPr>
          <w:trHeight w:val="305"/>
        </w:trPr>
        <w:tc>
          <w:tcPr>
            <w:tcW w:w="643" w:type="pct"/>
            <w:shd w:val="clear" w:color="auto" w:fill="auto"/>
            <w:noWrap/>
            <w:tcMar>
              <w:top w:w="15" w:type="dxa"/>
              <w:left w:w="15" w:type="dxa"/>
              <w:bottom w:w="0" w:type="dxa"/>
              <w:right w:w="15" w:type="dxa"/>
            </w:tcMar>
            <w:vAlign w:val="center"/>
            <w:hideMark/>
          </w:tcPr>
          <w:p w14:paraId="170D62CE" w14:textId="77777777" w:rsidR="00980FC9" w:rsidRPr="00BC68C4" w:rsidRDefault="00980FC9" w:rsidP="00332719">
            <w:pPr>
              <w:jc w:val="left"/>
              <w:rPr>
                <w:rFonts w:ascii="Times New Roman" w:hAnsi="Times New Roman" w:cs="Times New Roman"/>
                <w:color w:val="000000"/>
                <w:sz w:val="16"/>
                <w:szCs w:val="16"/>
              </w:rPr>
            </w:pPr>
            <w:r w:rsidRPr="00BC68C4">
              <w:rPr>
                <w:rFonts w:ascii="Times New Roman" w:hAnsi="Times New Roman" w:cs="Times New Roman"/>
                <w:color w:val="000000"/>
                <w:sz w:val="16"/>
                <w:szCs w:val="16"/>
              </w:rPr>
              <w:t>Total</w:t>
            </w:r>
          </w:p>
        </w:tc>
        <w:tc>
          <w:tcPr>
            <w:tcW w:w="130" w:type="pct"/>
            <w:shd w:val="clear" w:color="auto" w:fill="auto"/>
            <w:noWrap/>
            <w:tcMar>
              <w:top w:w="15" w:type="dxa"/>
              <w:left w:w="15" w:type="dxa"/>
              <w:bottom w:w="0" w:type="dxa"/>
              <w:right w:w="15" w:type="dxa"/>
            </w:tcMar>
            <w:vAlign w:val="center"/>
            <w:hideMark/>
          </w:tcPr>
          <w:p w14:paraId="77943D64" w14:textId="5F844DBC"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245</w:t>
            </w:r>
          </w:p>
        </w:tc>
        <w:tc>
          <w:tcPr>
            <w:tcW w:w="2" w:type="pct"/>
            <w:vAlign w:val="center"/>
          </w:tcPr>
          <w:p w14:paraId="0D042D40" w14:textId="77777777" w:rsidR="00980FC9" w:rsidRPr="00BC68C4" w:rsidRDefault="00980FC9" w:rsidP="00980FC9">
            <w:pPr>
              <w:jc w:val="center"/>
              <w:rPr>
                <w:rFonts w:ascii="Times New Roman" w:hAnsi="Times New Roman" w:cs="Times New Roman"/>
                <w:color w:val="000000"/>
                <w:sz w:val="16"/>
                <w:szCs w:val="16"/>
              </w:rPr>
            </w:pPr>
          </w:p>
        </w:tc>
        <w:tc>
          <w:tcPr>
            <w:tcW w:w="212" w:type="pct"/>
            <w:vAlign w:val="center"/>
          </w:tcPr>
          <w:p w14:paraId="7448B6C1" w14:textId="129CBE16"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5.9</w:t>
            </w:r>
          </w:p>
        </w:tc>
        <w:tc>
          <w:tcPr>
            <w:tcW w:w="297" w:type="pct"/>
            <w:vAlign w:val="center"/>
          </w:tcPr>
          <w:p w14:paraId="24980765" w14:textId="66CC4204"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0.1</w:t>
            </w:r>
          </w:p>
        </w:tc>
        <w:tc>
          <w:tcPr>
            <w:tcW w:w="297" w:type="pct"/>
            <w:vAlign w:val="center"/>
          </w:tcPr>
          <w:p w14:paraId="77607C23" w14:textId="2FBF0111"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0.2</w:t>
            </w:r>
          </w:p>
        </w:tc>
        <w:tc>
          <w:tcPr>
            <w:tcW w:w="248" w:type="pct"/>
            <w:shd w:val="clear" w:color="auto" w:fill="auto"/>
            <w:noWrap/>
            <w:tcMar>
              <w:top w:w="15" w:type="dxa"/>
              <w:left w:w="15" w:type="dxa"/>
              <w:bottom w:w="0" w:type="dxa"/>
              <w:right w:w="15" w:type="dxa"/>
            </w:tcMar>
            <w:vAlign w:val="center"/>
            <w:hideMark/>
          </w:tcPr>
          <w:p w14:paraId="4B8751BC" w14:textId="747090CF"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6.1</w:t>
            </w:r>
          </w:p>
        </w:tc>
        <w:tc>
          <w:tcPr>
            <w:tcW w:w="309" w:type="pct"/>
            <w:shd w:val="clear" w:color="auto" w:fill="auto"/>
            <w:noWrap/>
            <w:tcMar>
              <w:top w:w="15" w:type="dxa"/>
              <w:left w:w="15" w:type="dxa"/>
              <w:bottom w:w="0" w:type="dxa"/>
              <w:right w:w="15" w:type="dxa"/>
            </w:tcMar>
            <w:vAlign w:val="center"/>
            <w:hideMark/>
          </w:tcPr>
          <w:p w14:paraId="21577F47" w14:textId="7833117A"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0.4</w:t>
            </w:r>
          </w:p>
        </w:tc>
        <w:tc>
          <w:tcPr>
            <w:tcW w:w="307" w:type="pct"/>
            <w:shd w:val="clear" w:color="auto" w:fill="auto"/>
            <w:noWrap/>
            <w:tcMar>
              <w:top w:w="15" w:type="dxa"/>
              <w:left w:w="15" w:type="dxa"/>
              <w:bottom w:w="0" w:type="dxa"/>
              <w:right w:w="15" w:type="dxa"/>
            </w:tcMar>
            <w:vAlign w:val="center"/>
            <w:hideMark/>
          </w:tcPr>
          <w:p w14:paraId="34BA8270" w14:textId="5B83167B" w:rsidR="00980FC9" w:rsidRPr="00BC68C4" w:rsidRDefault="00980FC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6.2</w:t>
            </w:r>
          </w:p>
        </w:tc>
        <w:tc>
          <w:tcPr>
            <w:tcW w:w="38" w:type="pct"/>
            <w:vAlign w:val="center"/>
          </w:tcPr>
          <w:p w14:paraId="722ACCA4" w14:textId="77777777" w:rsidR="00980FC9" w:rsidRPr="00BC68C4" w:rsidRDefault="00980FC9" w:rsidP="00980FC9">
            <w:pPr>
              <w:jc w:val="center"/>
              <w:rPr>
                <w:rFonts w:ascii="Times New Roman" w:hAnsi="Times New Roman" w:cs="Times New Roman"/>
                <w:color w:val="000000"/>
                <w:sz w:val="16"/>
                <w:szCs w:val="16"/>
              </w:rPr>
            </w:pPr>
          </w:p>
        </w:tc>
        <w:tc>
          <w:tcPr>
            <w:tcW w:w="212" w:type="pct"/>
            <w:vAlign w:val="center"/>
          </w:tcPr>
          <w:p w14:paraId="6EF99421" w14:textId="72F9CE75"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7.8</w:t>
            </w:r>
          </w:p>
        </w:tc>
        <w:tc>
          <w:tcPr>
            <w:tcW w:w="297" w:type="pct"/>
            <w:vAlign w:val="center"/>
          </w:tcPr>
          <w:p w14:paraId="77B4AD0C" w14:textId="14008C4C"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3.0</w:t>
            </w:r>
          </w:p>
        </w:tc>
        <w:tc>
          <w:tcPr>
            <w:tcW w:w="297" w:type="pct"/>
            <w:vAlign w:val="center"/>
          </w:tcPr>
          <w:p w14:paraId="695F9753" w14:textId="2DE08E09"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4.0</w:t>
            </w:r>
          </w:p>
        </w:tc>
        <w:tc>
          <w:tcPr>
            <w:tcW w:w="247" w:type="pct"/>
            <w:gridSpan w:val="2"/>
            <w:shd w:val="clear" w:color="auto" w:fill="auto"/>
            <w:noWrap/>
            <w:tcMar>
              <w:top w:w="15" w:type="dxa"/>
              <w:left w:w="15" w:type="dxa"/>
              <w:bottom w:w="0" w:type="dxa"/>
              <w:right w:w="15" w:type="dxa"/>
            </w:tcMar>
            <w:vAlign w:val="center"/>
            <w:hideMark/>
          </w:tcPr>
          <w:p w14:paraId="133D2FA2" w14:textId="7D278E35"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11.8</w:t>
            </w:r>
          </w:p>
        </w:tc>
        <w:tc>
          <w:tcPr>
            <w:tcW w:w="327" w:type="pct"/>
            <w:shd w:val="clear" w:color="auto" w:fill="auto"/>
            <w:noWrap/>
            <w:tcMar>
              <w:top w:w="15" w:type="dxa"/>
              <w:left w:w="15" w:type="dxa"/>
              <w:bottom w:w="0" w:type="dxa"/>
              <w:right w:w="15" w:type="dxa"/>
            </w:tcMar>
            <w:vAlign w:val="center"/>
            <w:hideMark/>
          </w:tcPr>
          <w:p w14:paraId="2D592395" w14:textId="6B2B44D5"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7.0</w:t>
            </w:r>
          </w:p>
        </w:tc>
        <w:tc>
          <w:tcPr>
            <w:tcW w:w="299" w:type="pct"/>
            <w:shd w:val="clear" w:color="auto" w:fill="auto"/>
            <w:noWrap/>
            <w:tcMar>
              <w:top w:w="15" w:type="dxa"/>
              <w:left w:w="15" w:type="dxa"/>
              <w:bottom w:w="0" w:type="dxa"/>
              <w:right w:w="15" w:type="dxa"/>
            </w:tcMar>
            <w:vAlign w:val="center"/>
            <w:hideMark/>
          </w:tcPr>
          <w:p w14:paraId="4FB6DAC7" w14:textId="3160C3BD"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14.8</w:t>
            </w:r>
          </w:p>
        </w:tc>
        <w:tc>
          <w:tcPr>
            <w:tcW w:w="24" w:type="pct"/>
            <w:vAlign w:val="center"/>
          </w:tcPr>
          <w:p w14:paraId="34F3E15B" w14:textId="77777777" w:rsidR="00980FC9" w:rsidRPr="00BC68C4" w:rsidRDefault="00980FC9" w:rsidP="00980FC9">
            <w:pPr>
              <w:jc w:val="center"/>
              <w:rPr>
                <w:rFonts w:ascii="Times New Roman" w:hAnsi="Times New Roman" w:cs="Times New Roman"/>
                <w:color w:val="000000"/>
                <w:sz w:val="16"/>
                <w:szCs w:val="16"/>
              </w:rPr>
            </w:pPr>
          </w:p>
        </w:tc>
        <w:tc>
          <w:tcPr>
            <w:tcW w:w="476" w:type="pct"/>
            <w:shd w:val="clear" w:color="auto" w:fill="auto"/>
            <w:noWrap/>
            <w:tcMar>
              <w:top w:w="15" w:type="dxa"/>
              <w:left w:w="15" w:type="dxa"/>
              <w:bottom w:w="0" w:type="dxa"/>
              <w:right w:w="15" w:type="dxa"/>
            </w:tcMar>
            <w:vAlign w:val="center"/>
            <w:hideMark/>
          </w:tcPr>
          <w:p w14:paraId="0B192A77" w14:textId="306E6A49"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3.5</w:t>
            </w:r>
          </w:p>
        </w:tc>
        <w:tc>
          <w:tcPr>
            <w:tcW w:w="338" w:type="pct"/>
            <w:shd w:val="clear" w:color="auto" w:fill="auto"/>
            <w:noWrap/>
            <w:tcMar>
              <w:top w:w="15" w:type="dxa"/>
              <w:left w:w="15" w:type="dxa"/>
              <w:bottom w:w="0" w:type="dxa"/>
              <w:right w:w="15" w:type="dxa"/>
            </w:tcMar>
            <w:vAlign w:val="center"/>
            <w:hideMark/>
          </w:tcPr>
          <w:p w14:paraId="5F7ED8DE" w14:textId="30BFBA29" w:rsidR="00980FC9" w:rsidRPr="00BC68C4" w:rsidRDefault="00CF3EB9" w:rsidP="00980FC9">
            <w:pPr>
              <w:jc w:val="center"/>
              <w:rPr>
                <w:rFonts w:ascii="Times New Roman" w:hAnsi="Times New Roman" w:cs="Times New Roman"/>
                <w:color w:val="000000"/>
                <w:sz w:val="16"/>
                <w:szCs w:val="16"/>
              </w:rPr>
            </w:pPr>
            <w:r w:rsidRPr="00BC68C4">
              <w:rPr>
                <w:rFonts w:ascii="Times New Roman" w:hAnsi="Times New Roman" w:cs="Times New Roman"/>
                <w:color w:val="000000"/>
                <w:sz w:val="16"/>
                <w:szCs w:val="16"/>
              </w:rPr>
              <w:t>60.5</w:t>
            </w:r>
          </w:p>
        </w:tc>
      </w:tr>
      <w:tr w:rsidR="00332719" w:rsidRPr="00BC68C4" w14:paraId="05F74573" w14:textId="77777777" w:rsidTr="00332719">
        <w:trPr>
          <w:trHeight w:val="71"/>
        </w:trPr>
        <w:tc>
          <w:tcPr>
            <w:tcW w:w="643" w:type="pct"/>
            <w:shd w:val="clear" w:color="auto" w:fill="auto"/>
            <w:noWrap/>
            <w:tcMar>
              <w:top w:w="15" w:type="dxa"/>
              <w:left w:w="15" w:type="dxa"/>
              <w:bottom w:w="0" w:type="dxa"/>
              <w:right w:w="15" w:type="dxa"/>
            </w:tcMar>
            <w:vAlign w:val="center"/>
          </w:tcPr>
          <w:p w14:paraId="1C108353" w14:textId="77777777" w:rsidR="00830814" w:rsidRPr="00BC68C4" w:rsidRDefault="00830814" w:rsidP="00265118">
            <w:pPr>
              <w:jc w:val="center"/>
              <w:rPr>
                <w:rFonts w:ascii="Times New Roman" w:hAnsi="Times New Roman" w:cs="Times New Roman"/>
                <w:color w:val="000000"/>
                <w:sz w:val="16"/>
                <w:szCs w:val="16"/>
              </w:rPr>
            </w:pPr>
          </w:p>
        </w:tc>
        <w:tc>
          <w:tcPr>
            <w:tcW w:w="130" w:type="pct"/>
            <w:shd w:val="clear" w:color="auto" w:fill="auto"/>
            <w:noWrap/>
            <w:tcMar>
              <w:top w:w="15" w:type="dxa"/>
              <w:left w:w="15" w:type="dxa"/>
              <w:bottom w:w="0" w:type="dxa"/>
              <w:right w:w="15" w:type="dxa"/>
            </w:tcMar>
            <w:vAlign w:val="center"/>
          </w:tcPr>
          <w:p w14:paraId="408ACF75" w14:textId="77777777" w:rsidR="00830814" w:rsidRPr="00BC68C4" w:rsidRDefault="00830814" w:rsidP="00265118">
            <w:pPr>
              <w:jc w:val="center"/>
              <w:rPr>
                <w:rFonts w:ascii="Times New Roman" w:hAnsi="Times New Roman" w:cs="Times New Roman"/>
                <w:color w:val="000000"/>
                <w:sz w:val="16"/>
                <w:szCs w:val="16"/>
              </w:rPr>
            </w:pPr>
          </w:p>
        </w:tc>
        <w:tc>
          <w:tcPr>
            <w:tcW w:w="2" w:type="pct"/>
            <w:vAlign w:val="center"/>
          </w:tcPr>
          <w:p w14:paraId="2845A036" w14:textId="77777777" w:rsidR="00830814" w:rsidRPr="00BC68C4" w:rsidRDefault="00830814" w:rsidP="00265118">
            <w:pPr>
              <w:jc w:val="center"/>
              <w:rPr>
                <w:rFonts w:ascii="Times New Roman" w:hAnsi="Times New Roman" w:cs="Times New Roman"/>
                <w:color w:val="000000"/>
                <w:sz w:val="16"/>
                <w:szCs w:val="16"/>
              </w:rPr>
            </w:pPr>
          </w:p>
        </w:tc>
        <w:tc>
          <w:tcPr>
            <w:tcW w:w="212" w:type="pct"/>
            <w:vAlign w:val="center"/>
          </w:tcPr>
          <w:p w14:paraId="121FEFE4" w14:textId="77777777" w:rsidR="00830814" w:rsidRPr="00BC68C4" w:rsidRDefault="00830814" w:rsidP="00265118">
            <w:pPr>
              <w:jc w:val="center"/>
              <w:rPr>
                <w:rFonts w:ascii="Times New Roman" w:hAnsi="Times New Roman" w:cs="Times New Roman"/>
                <w:color w:val="000000"/>
                <w:sz w:val="16"/>
                <w:szCs w:val="16"/>
              </w:rPr>
            </w:pPr>
          </w:p>
        </w:tc>
        <w:tc>
          <w:tcPr>
            <w:tcW w:w="297" w:type="pct"/>
            <w:vAlign w:val="center"/>
          </w:tcPr>
          <w:p w14:paraId="6E42C11C" w14:textId="77777777" w:rsidR="00830814" w:rsidRPr="00BC68C4" w:rsidRDefault="00830814" w:rsidP="00265118">
            <w:pPr>
              <w:jc w:val="center"/>
              <w:rPr>
                <w:rFonts w:ascii="Times New Roman" w:hAnsi="Times New Roman" w:cs="Times New Roman"/>
                <w:color w:val="000000"/>
                <w:sz w:val="16"/>
                <w:szCs w:val="16"/>
              </w:rPr>
            </w:pPr>
          </w:p>
        </w:tc>
        <w:tc>
          <w:tcPr>
            <w:tcW w:w="297" w:type="pct"/>
            <w:vAlign w:val="center"/>
          </w:tcPr>
          <w:p w14:paraId="11F753B9" w14:textId="77777777" w:rsidR="00830814" w:rsidRPr="00BC68C4" w:rsidRDefault="00830814" w:rsidP="00265118">
            <w:pPr>
              <w:jc w:val="center"/>
              <w:rPr>
                <w:rFonts w:ascii="Times New Roman" w:hAnsi="Times New Roman" w:cs="Times New Roman"/>
                <w:color w:val="000000"/>
                <w:sz w:val="16"/>
                <w:szCs w:val="16"/>
              </w:rPr>
            </w:pPr>
          </w:p>
        </w:tc>
        <w:tc>
          <w:tcPr>
            <w:tcW w:w="248" w:type="pct"/>
            <w:shd w:val="clear" w:color="auto" w:fill="auto"/>
            <w:noWrap/>
            <w:tcMar>
              <w:top w:w="15" w:type="dxa"/>
              <w:left w:w="15" w:type="dxa"/>
              <w:bottom w:w="0" w:type="dxa"/>
              <w:right w:w="15" w:type="dxa"/>
            </w:tcMar>
            <w:vAlign w:val="center"/>
          </w:tcPr>
          <w:p w14:paraId="5853A01F" w14:textId="77777777" w:rsidR="00830814" w:rsidRPr="00BC68C4" w:rsidRDefault="00830814" w:rsidP="00265118">
            <w:pPr>
              <w:jc w:val="center"/>
              <w:rPr>
                <w:rFonts w:ascii="Times New Roman" w:hAnsi="Times New Roman" w:cs="Times New Roman"/>
                <w:color w:val="000000"/>
                <w:sz w:val="16"/>
                <w:szCs w:val="16"/>
              </w:rPr>
            </w:pPr>
          </w:p>
        </w:tc>
        <w:tc>
          <w:tcPr>
            <w:tcW w:w="309" w:type="pct"/>
            <w:shd w:val="clear" w:color="auto" w:fill="auto"/>
            <w:noWrap/>
            <w:tcMar>
              <w:top w:w="15" w:type="dxa"/>
              <w:left w:w="15" w:type="dxa"/>
              <w:bottom w:w="0" w:type="dxa"/>
              <w:right w:w="15" w:type="dxa"/>
            </w:tcMar>
            <w:vAlign w:val="center"/>
          </w:tcPr>
          <w:p w14:paraId="1B329CC8" w14:textId="77777777" w:rsidR="00830814" w:rsidRPr="00BC68C4" w:rsidRDefault="00830814" w:rsidP="00265118">
            <w:pPr>
              <w:jc w:val="center"/>
              <w:rPr>
                <w:rFonts w:ascii="Times New Roman" w:hAnsi="Times New Roman" w:cs="Times New Roman"/>
                <w:color w:val="000000"/>
                <w:sz w:val="16"/>
                <w:szCs w:val="16"/>
              </w:rPr>
            </w:pPr>
          </w:p>
        </w:tc>
        <w:tc>
          <w:tcPr>
            <w:tcW w:w="307" w:type="pct"/>
            <w:shd w:val="clear" w:color="auto" w:fill="auto"/>
            <w:noWrap/>
            <w:tcMar>
              <w:top w:w="15" w:type="dxa"/>
              <w:left w:w="15" w:type="dxa"/>
              <w:bottom w:w="0" w:type="dxa"/>
              <w:right w:w="15" w:type="dxa"/>
            </w:tcMar>
            <w:vAlign w:val="center"/>
          </w:tcPr>
          <w:p w14:paraId="7FB55E1F" w14:textId="77777777" w:rsidR="00830814" w:rsidRPr="00BC68C4" w:rsidRDefault="00830814" w:rsidP="00265118">
            <w:pPr>
              <w:jc w:val="center"/>
              <w:rPr>
                <w:rFonts w:ascii="Times New Roman" w:hAnsi="Times New Roman" w:cs="Times New Roman"/>
                <w:color w:val="000000"/>
                <w:sz w:val="16"/>
                <w:szCs w:val="16"/>
              </w:rPr>
            </w:pPr>
          </w:p>
        </w:tc>
        <w:tc>
          <w:tcPr>
            <w:tcW w:w="38" w:type="pct"/>
            <w:vAlign w:val="center"/>
          </w:tcPr>
          <w:p w14:paraId="6BE8D7AD" w14:textId="77777777" w:rsidR="00830814" w:rsidRPr="00BC68C4" w:rsidRDefault="00830814" w:rsidP="00265118">
            <w:pPr>
              <w:jc w:val="center"/>
              <w:rPr>
                <w:rFonts w:ascii="Times New Roman" w:hAnsi="Times New Roman" w:cs="Times New Roman"/>
                <w:color w:val="000000"/>
                <w:sz w:val="16"/>
                <w:szCs w:val="16"/>
              </w:rPr>
            </w:pPr>
          </w:p>
        </w:tc>
        <w:tc>
          <w:tcPr>
            <w:tcW w:w="212" w:type="pct"/>
            <w:vAlign w:val="center"/>
          </w:tcPr>
          <w:p w14:paraId="5EA6F0D2" w14:textId="77777777" w:rsidR="00830814" w:rsidRPr="00BC68C4" w:rsidRDefault="00830814" w:rsidP="00265118">
            <w:pPr>
              <w:jc w:val="center"/>
              <w:rPr>
                <w:rFonts w:ascii="Times New Roman" w:hAnsi="Times New Roman" w:cs="Times New Roman"/>
                <w:color w:val="000000"/>
                <w:sz w:val="16"/>
                <w:szCs w:val="16"/>
              </w:rPr>
            </w:pPr>
          </w:p>
        </w:tc>
        <w:tc>
          <w:tcPr>
            <w:tcW w:w="297" w:type="pct"/>
            <w:vAlign w:val="center"/>
          </w:tcPr>
          <w:p w14:paraId="4571948F" w14:textId="77777777" w:rsidR="00830814" w:rsidRPr="00BC68C4" w:rsidRDefault="00830814" w:rsidP="00265118">
            <w:pPr>
              <w:jc w:val="center"/>
              <w:rPr>
                <w:rFonts w:ascii="Times New Roman" w:hAnsi="Times New Roman" w:cs="Times New Roman"/>
                <w:color w:val="000000"/>
                <w:sz w:val="16"/>
                <w:szCs w:val="16"/>
              </w:rPr>
            </w:pPr>
          </w:p>
        </w:tc>
        <w:tc>
          <w:tcPr>
            <w:tcW w:w="297" w:type="pct"/>
            <w:vAlign w:val="center"/>
          </w:tcPr>
          <w:p w14:paraId="315D1DD9" w14:textId="77777777" w:rsidR="00830814" w:rsidRPr="00BC68C4" w:rsidRDefault="00830814" w:rsidP="00265118">
            <w:pPr>
              <w:jc w:val="center"/>
              <w:rPr>
                <w:rFonts w:ascii="Times New Roman" w:hAnsi="Times New Roman" w:cs="Times New Roman"/>
                <w:color w:val="000000"/>
                <w:sz w:val="16"/>
                <w:szCs w:val="16"/>
              </w:rPr>
            </w:pPr>
          </w:p>
        </w:tc>
        <w:tc>
          <w:tcPr>
            <w:tcW w:w="247" w:type="pct"/>
            <w:gridSpan w:val="2"/>
            <w:shd w:val="clear" w:color="auto" w:fill="auto"/>
            <w:noWrap/>
            <w:tcMar>
              <w:top w:w="15" w:type="dxa"/>
              <w:left w:w="15" w:type="dxa"/>
              <w:bottom w:w="0" w:type="dxa"/>
              <w:right w:w="15" w:type="dxa"/>
            </w:tcMar>
            <w:vAlign w:val="center"/>
          </w:tcPr>
          <w:p w14:paraId="5C4ED6E3" w14:textId="77777777" w:rsidR="00830814" w:rsidRPr="00BC68C4" w:rsidRDefault="00830814" w:rsidP="00265118">
            <w:pPr>
              <w:jc w:val="center"/>
              <w:rPr>
                <w:rFonts w:ascii="Times New Roman" w:hAnsi="Times New Roman" w:cs="Times New Roman"/>
                <w:color w:val="000000"/>
                <w:sz w:val="16"/>
                <w:szCs w:val="16"/>
              </w:rPr>
            </w:pPr>
          </w:p>
        </w:tc>
        <w:tc>
          <w:tcPr>
            <w:tcW w:w="327" w:type="pct"/>
            <w:shd w:val="clear" w:color="auto" w:fill="auto"/>
            <w:noWrap/>
            <w:tcMar>
              <w:top w:w="15" w:type="dxa"/>
              <w:left w:w="15" w:type="dxa"/>
              <w:bottom w:w="0" w:type="dxa"/>
              <w:right w:w="15" w:type="dxa"/>
            </w:tcMar>
            <w:vAlign w:val="center"/>
          </w:tcPr>
          <w:p w14:paraId="5796A020" w14:textId="77777777" w:rsidR="00830814" w:rsidRPr="00BC68C4" w:rsidRDefault="00830814" w:rsidP="00265118">
            <w:pPr>
              <w:jc w:val="center"/>
              <w:rPr>
                <w:rFonts w:ascii="Times New Roman" w:hAnsi="Times New Roman" w:cs="Times New Roman"/>
                <w:color w:val="000000"/>
                <w:sz w:val="16"/>
                <w:szCs w:val="16"/>
              </w:rPr>
            </w:pPr>
          </w:p>
        </w:tc>
        <w:tc>
          <w:tcPr>
            <w:tcW w:w="299" w:type="pct"/>
            <w:shd w:val="clear" w:color="auto" w:fill="auto"/>
            <w:noWrap/>
            <w:tcMar>
              <w:top w:w="15" w:type="dxa"/>
              <w:left w:w="15" w:type="dxa"/>
              <w:bottom w:w="0" w:type="dxa"/>
              <w:right w:w="15" w:type="dxa"/>
            </w:tcMar>
            <w:vAlign w:val="center"/>
          </w:tcPr>
          <w:p w14:paraId="4889C769" w14:textId="77777777" w:rsidR="00830814" w:rsidRPr="00BC68C4" w:rsidRDefault="00830814" w:rsidP="00265118">
            <w:pPr>
              <w:jc w:val="center"/>
              <w:rPr>
                <w:rFonts w:ascii="Times New Roman" w:hAnsi="Times New Roman" w:cs="Times New Roman"/>
                <w:color w:val="000000"/>
                <w:sz w:val="16"/>
                <w:szCs w:val="16"/>
              </w:rPr>
            </w:pPr>
          </w:p>
        </w:tc>
        <w:tc>
          <w:tcPr>
            <w:tcW w:w="24" w:type="pct"/>
            <w:vAlign w:val="center"/>
          </w:tcPr>
          <w:p w14:paraId="68B3F48A" w14:textId="77777777" w:rsidR="00830814" w:rsidRPr="00BC68C4" w:rsidRDefault="00830814" w:rsidP="00265118">
            <w:pPr>
              <w:jc w:val="center"/>
              <w:rPr>
                <w:rFonts w:ascii="Times New Roman" w:hAnsi="Times New Roman" w:cs="Times New Roman"/>
                <w:color w:val="000000"/>
                <w:sz w:val="16"/>
                <w:szCs w:val="16"/>
              </w:rPr>
            </w:pPr>
          </w:p>
        </w:tc>
        <w:tc>
          <w:tcPr>
            <w:tcW w:w="476" w:type="pct"/>
            <w:shd w:val="clear" w:color="auto" w:fill="auto"/>
            <w:noWrap/>
            <w:tcMar>
              <w:top w:w="15" w:type="dxa"/>
              <w:left w:w="15" w:type="dxa"/>
              <w:bottom w:w="0" w:type="dxa"/>
              <w:right w:w="15" w:type="dxa"/>
            </w:tcMar>
            <w:vAlign w:val="center"/>
          </w:tcPr>
          <w:p w14:paraId="5AB93377" w14:textId="77777777" w:rsidR="00830814" w:rsidRPr="00BC68C4" w:rsidRDefault="00830814" w:rsidP="00265118">
            <w:pPr>
              <w:jc w:val="center"/>
              <w:rPr>
                <w:rFonts w:ascii="Times New Roman" w:hAnsi="Times New Roman" w:cs="Times New Roman"/>
                <w:color w:val="000000"/>
                <w:sz w:val="16"/>
                <w:szCs w:val="16"/>
              </w:rPr>
            </w:pPr>
          </w:p>
        </w:tc>
        <w:tc>
          <w:tcPr>
            <w:tcW w:w="338" w:type="pct"/>
            <w:shd w:val="clear" w:color="auto" w:fill="auto"/>
            <w:noWrap/>
            <w:tcMar>
              <w:top w:w="15" w:type="dxa"/>
              <w:left w:w="15" w:type="dxa"/>
              <w:bottom w:w="0" w:type="dxa"/>
              <w:right w:w="15" w:type="dxa"/>
            </w:tcMar>
            <w:vAlign w:val="center"/>
          </w:tcPr>
          <w:p w14:paraId="0DF83433" w14:textId="77777777" w:rsidR="00830814" w:rsidRPr="00BC68C4" w:rsidRDefault="00830814" w:rsidP="00265118">
            <w:pPr>
              <w:jc w:val="center"/>
              <w:rPr>
                <w:rFonts w:ascii="Times New Roman" w:hAnsi="Times New Roman" w:cs="Times New Roman"/>
                <w:color w:val="000000"/>
                <w:sz w:val="16"/>
                <w:szCs w:val="16"/>
              </w:rPr>
            </w:pPr>
          </w:p>
        </w:tc>
      </w:tr>
    </w:tbl>
    <w:p w14:paraId="7A2FF3BD" w14:textId="5840C271" w:rsidR="00EB1E09" w:rsidRPr="00BC68C4" w:rsidRDefault="000700D0" w:rsidP="007B5737">
      <w:pPr>
        <w:spacing w:after="200" w:line="276" w:lineRule="auto"/>
        <w:rPr>
          <w:rFonts w:ascii="Times New Roman" w:hAnsi="Times New Roman" w:cs="Times New Roman"/>
          <w:sz w:val="16"/>
          <w:szCs w:val="16"/>
        </w:rPr>
      </w:pPr>
      <w:r w:rsidRPr="00BC68C4">
        <w:rPr>
          <w:rFonts w:ascii="Times New Roman" w:hAnsi="Times New Roman" w:cs="Times New Roman"/>
          <w:i/>
          <w:sz w:val="16"/>
          <w:szCs w:val="16"/>
        </w:rPr>
        <w:t>Notes</w:t>
      </w:r>
      <w:r w:rsidRPr="00BC68C4">
        <w:rPr>
          <w:rFonts w:ascii="Times New Roman" w:hAnsi="Times New Roman" w:cs="Times New Roman"/>
          <w:sz w:val="16"/>
          <w:szCs w:val="16"/>
        </w:rPr>
        <w:t xml:space="preserve">: </w:t>
      </w:r>
      <w:r w:rsidR="007B5737" w:rsidRPr="00BC68C4">
        <w:rPr>
          <w:rFonts w:ascii="Times New Roman" w:hAnsi="Times New Roman" w:cs="Times New Roman"/>
          <w:sz w:val="16"/>
          <w:szCs w:val="16"/>
        </w:rPr>
        <w:t>The p</w:t>
      </w:r>
      <w:r w:rsidR="00EB1E09" w:rsidRPr="00BC68C4">
        <w:rPr>
          <w:rFonts w:ascii="Times New Roman" w:hAnsi="Times New Roman" w:cs="Times New Roman"/>
          <w:sz w:val="16"/>
          <w:szCs w:val="16"/>
        </w:rPr>
        <w:t>ropensity for</w:t>
      </w:r>
      <w:r w:rsidR="007B5737" w:rsidRPr="00BC68C4">
        <w:rPr>
          <w:rFonts w:ascii="Times New Roman" w:hAnsi="Times New Roman" w:cs="Times New Roman"/>
          <w:sz w:val="16"/>
          <w:szCs w:val="16"/>
        </w:rPr>
        <w:t xml:space="preserve"> a director to be a large </w:t>
      </w:r>
      <w:proofErr w:type="spellStart"/>
      <w:r w:rsidR="006469E4" w:rsidRPr="00BC68C4">
        <w:rPr>
          <w:rFonts w:ascii="Times New Roman" w:hAnsi="Times New Roman" w:cs="Times New Roman"/>
          <w:sz w:val="16"/>
          <w:szCs w:val="16"/>
        </w:rPr>
        <w:t>block</w:t>
      </w:r>
      <w:r w:rsidR="00EB1E09" w:rsidRPr="00BC68C4">
        <w:rPr>
          <w:rFonts w:ascii="Times New Roman" w:hAnsi="Times New Roman" w:cs="Times New Roman"/>
          <w:sz w:val="16"/>
          <w:szCs w:val="16"/>
        </w:rPr>
        <w:t>holder</w:t>
      </w:r>
      <w:proofErr w:type="spellEnd"/>
      <w:r w:rsidR="007B5737" w:rsidRPr="00BC68C4">
        <w:rPr>
          <w:rFonts w:ascii="Times New Roman" w:hAnsi="Times New Roman" w:cs="Times New Roman"/>
          <w:sz w:val="16"/>
          <w:szCs w:val="16"/>
        </w:rPr>
        <w:t xml:space="preserve"> is calculated as (</w:t>
      </w:r>
      <w:proofErr w:type="spellStart"/>
      <w:r w:rsidR="00332719" w:rsidRPr="00BC68C4">
        <w:rPr>
          <w:rFonts w:ascii="Times New Roman" w:hAnsi="Times New Roman" w:cs="Times New Roman"/>
          <w:sz w:val="16"/>
          <w:szCs w:val="16"/>
        </w:rPr>
        <w:t>ActiveBlockholder</w:t>
      </w:r>
      <w:proofErr w:type="spellEnd"/>
      <w:r w:rsidR="00EB1E09" w:rsidRPr="00BC68C4">
        <w:rPr>
          <w:rFonts w:ascii="Times New Roman" w:hAnsi="Times New Roman" w:cs="Times New Roman"/>
          <w:sz w:val="16"/>
          <w:szCs w:val="16"/>
        </w:rPr>
        <w:t>)</w:t>
      </w:r>
      <w:proofErr w:type="gramStart"/>
      <w:r w:rsidR="00EB1E09" w:rsidRPr="00BC68C4">
        <w:rPr>
          <w:rFonts w:ascii="Times New Roman" w:hAnsi="Times New Roman" w:cs="Times New Roman"/>
          <w:sz w:val="16"/>
          <w:szCs w:val="16"/>
        </w:rPr>
        <w:t>/(</w:t>
      </w:r>
      <w:proofErr w:type="gramEnd"/>
      <w:r w:rsidR="00332719" w:rsidRPr="00BC68C4">
        <w:rPr>
          <w:rFonts w:ascii="Times New Roman" w:hAnsi="Times New Roman" w:cs="Times New Roman"/>
          <w:sz w:val="16"/>
          <w:szCs w:val="16"/>
        </w:rPr>
        <w:t>S</w:t>
      </w:r>
      <w:r w:rsidR="00C224F0" w:rsidRPr="00BC68C4">
        <w:rPr>
          <w:rFonts w:ascii="Times New Roman" w:hAnsi="Times New Roman" w:cs="Times New Roman"/>
          <w:sz w:val="16"/>
          <w:szCs w:val="16"/>
        </w:rPr>
        <w:t>olely</w:t>
      </w:r>
      <w:r w:rsidR="00332719" w:rsidRPr="00BC68C4">
        <w:rPr>
          <w:rFonts w:ascii="Times New Roman" w:hAnsi="Times New Roman" w:cs="Times New Roman"/>
          <w:sz w:val="16"/>
          <w:szCs w:val="16"/>
        </w:rPr>
        <w:t xml:space="preserve"> D</w:t>
      </w:r>
      <w:r w:rsidR="00EB1E09" w:rsidRPr="00BC68C4">
        <w:rPr>
          <w:rFonts w:ascii="Times New Roman" w:hAnsi="Times New Roman" w:cs="Times New Roman"/>
          <w:sz w:val="16"/>
          <w:szCs w:val="16"/>
        </w:rPr>
        <w:t>irect</w:t>
      </w:r>
      <w:r w:rsidR="00C403E9" w:rsidRPr="00BC68C4">
        <w:rPr>
          <w:rFonts w:ascii="Times New Roman" w:hAnsi="Times New Roman" w:cs="Times New Roman"/>
          <w:sz w:val="16"/>
          <w:szCs w:val="16"/>
        </w:rPr>
        <w:t>or</w:t>
      </w:r>
      <w:r w:rsidR="00332719" w:rsidRPr="00BC68C4">
        <w:rPr>
          <w:rFonts w:ascii="Times New Roman" w:hAnsi="Times New Roman" w:cs="Times New Roman"/>
          <w:sz w:val="16"/>
          <w:szCs w:val="16"/>
        </w:rPr>
        <w:t xml:space="preserve"> + </w:t>
      </w:r>
      <w:proofErr w:type="spellStart"/>
      <w:r w:rsidR="00332719" w:rsidRPr="00BC68C4">
        <w:rPr>
          <w:rFonts w:ascii="Times New Roman" w:hAnsi="Times New Roman" w:cs="Times New Roman"/>
          <w:sz w:val="16"/>
          <w:szCs w:val="16"/>
        </w:rPr>
        <w:t>ActiveBlockholder</w:t>
      </w:r>
      <w:proofErr w:type="spellEnd"/>
      <w:r w:rsidR="00EB1E09" w:rsidRPr="00BC68C4">
        <w:rPr>
          <w:rFonts w:ascii="Times New Roman" w:hAnsi="Times New Roman" w:cs="Times New Roman"/>
          <w:sz w:val="16"/>
          <w:szCs w:val="16"/>
        </w:rPr>
        <w:t>)</w:t>
      </w:r>
      <w:r w:rsidR="007B5737" w:rsidRPr="00BC68C4">
        <w:rPr>
          <w:rFonts w:ascii="Times New Roman" w:hAnsi="Times New Roman" w:cs="Times New Roman"/>
          <w:sz w:val="16"/>
          <w:szCs w:val="16"/>
        </w:rPr>
        <w:t xml:space="preserve"> and the p</w:t>
      </w:r>
      <w:r w:rsidR="00EB1E09" w:rsidRPr="00BC68C4">
        <w:rPr>
          <w:rFonts w:ascii="Times New Roman" w:hAnsi="Times New Roman" w:cs="Times New Roman"/>
          <w:sz w:val="16"/>
          <w:szCs w:val="16"/>
        </w:rPr>
        <w:t xml:space="preserve">ropensity for </w:t>
      </w:r>
      <w:r w:rsidR="007B5737" w:rsidRPr="00BC68C4">
        <w:rPr>
          <w:rFonts w:ascii="Times New Roman" w:hAnsi="Times New Roman" w:cs="Times New Roman"/>
          <w:sz w:val="16"/>
          <w:szCs w:val="16"/>
        </w:rPr>
        <w:t xml:space="preserve">a large </w:t>
      </w:r>
      <w:proofErr w:type="spellStart"/>
      <w:r w:rsidR="006469E4" w:rsidRPr="00BC68C4">
        <w:rPr>
          <w:rFonts w:ascii="Times New Roman" w:hAnsi="Times New Roman" w:cs="Times New Roman"/>
          <w:sz w:val="16"/>
          <w:szCs w:val="16"/>
        </w:rPr>
        <w:t>block</w:t>
      </w:r>
      <w:r w:rsidR="007B5737" w:rsidRPr="00BC68C4">
        <w:rPr>
          <w:rFonts w:ascii="Times New Roman" w:hAnsi="Times New Roman" w:cs="Times New Roman"/>
          <w:sz w:val="16"/>
          <w:szCs w:val="16"/>
        </w:rPr>
        <w:t>holder</w:t>
      </w:r>
      <w:proofErr w:type="spellEnd"/>
      <w:r w:rsidR="007B5737" w:rsidRPr="00BC68C4">
        <w:rPr>
          <w:rFonts w:ascii="Times New Roman" w:hAnsi="Times New Roman" w:cs="Times New Roman"/>
          <w:sz w:val="16"/>
          <w:szCs w:val="16"/>
        </w:rPr>
        <w:t xml:space="preserve"> to be a director calculated as (</w:t>
      </w:r>
      <w:proofErr w:type="spellStart"/>
      <w:r w:rsidR="00332719" w:rsidRPr="00BC68C4">
        <w:rPr>
          <w:rFonts w:ascii="Times New Roman" w:hAnsi="Times New Roman" w:cs="Times New Roman"/>
          <w:sz w:val="16"/>
          <w:szCs w:val="16"/>
        </w:rPr>
        <w:t>ActiveBlockholder</w:t>
      </w:r>
      <w:proofErr w:type="spellEnd"/>
      <w:r w:rsidR="00332719" w:rsidRPr="00BC68C4">
        <w:rPr>
          <w:rFonts w:ascii="Times New Roman" w:hAnsi="Times New Roman" w:cs="Times New Roman"/>
          <w:sz w:val="16"/>
          <w:szCs w:val="16"/>
        </w:rPr>
        <w:t>)/(Passive</w:t>
      </w:r>
      <w:r w:rsidR="007B5737" w:rsidRPr="00BC68C4">
        <w:rPr>
          <w:rFonts w:ascii="Times New Roman" w:hAnsi="Times New Roman" w:cs="Times New Roman"/>
          <w:sz w:val="16"/>
          <w:szCs w:val="16"/>
        </w:rPr>
        <w:t xml:space="preserve"> </w:t>
      </w:r>
      <w:proofErr w:type="spellStart"/>
      <w:r w:rsidR="00332719" w:rsidRPr="00BC68C4">
        <w:rPr>
          <w:rFonts w:ascii="Times New Roman" w:hAnsi="Times New Roman" w:cs="Times New Roman"/>
          <w:sz w:val="16"/>
          <w:szCs w:val="16"/>
        </w:rPr>
        <w:t>B</w:t>
      </w:r>
      <w:r w:rsidR="006469E4" w:rsidRPr="00BC68C4">
        <w:rPr>
          <w:rFonts w:ascii="Times New Roman" w:hAnsi="Times New Roman" w:cs="Times New Roman"/>
          <w:sz w:val="16"/>
          <w:szCs w:val="16"/>
        </w:rPr>
        <w:t>lock</w:t>
      </w:r>
      <w:r w:rsidR="00332719" w:rsidRPr="00BC68C4">
        <w:rPr>
          <w:rFonts w:ascii="Times New Roman" w:hAnsi="Times New Roman" w:cs="Times New Roman"/>
          <w:sz w:val="16"/>
          <w:szCs w:val="16"/>
        </w:rPr>
        <w:t>holder</w:t>
      </w:r>
      <w:proofErr w:type="spellEnd"/>
      <w:r w:rsidR="00332719" w:rsidRPr="00BC68C4">
        <w:rPr>
          <w:rFonts w:ascii="Times New Roman" w:hAnsi="Times New Roman" w:cs="Times New Roman"/>
          <w:sz w:val="16"/>
          <w:szCs w:val="16"/>
        </w:rPr>
        <w:t xml:space="preserve"> + Active</w:t>
      </w:r>
      <w:r w:rsidR="007B5737" w:rsidRPr="00BC68C4">
        <w:rPr>
          <w:rFonts w:ascii="Times New Roman" w:hAnsi="Times New Roman" w:cs="Times New Roman"/>
          <w:sz w:val="16"/>
          <w:szCs w:val="16"/>
        </w:rPr>
        <w:t xml:space="preserve"> </w:t>
      </w:r>
      <w:proofErr w:type="spellStart"/>
      <w:r w:rsidR="00332719" w:rsidRPr="00BC68C4">
        <w:rPr>
          <w:rFonts w:ascii="Times New Roman" w:hAnsi="Times New Roman" w:cs="Times New Roman"/>
          <w:sz w:val="16"/>
          <w:szCs w:val="16"/>
        </w:rPr>
        <w:t>B</w:t>
      </w:r>
      <w:r w:rsidR="006469E4" w:rsidRPr="00BC68C4">
        <w:rPr>
          <w:rFonts w:ascii="Times New Roman" w:hAnsi="Times New Roman" w:cs="Times New Roman"/>
          <w:sz w:val="16"/>
          <w:szCs w:val="16"/>
        </w:rPr>
        <w:t>lock</w:t>
      </w:r>
      <w:r w:rsidR="007B5737" w:rsidRPr="00BC68C4">
        <w:rPr>
          <w:rFonts w:ascii="Times New Roman" w:hAnsi="Times New Roman" w:cs="Times New Roman"/>
          <w:sz w:val="16"/>
          <w:szCs w:val="16"/>
        </w:rPr>
        <w:t>holder</w:t>
      </w:r>
      <w:proofErr w:type="spellEnd"/>
      <w:r w:rsidR="007B5737" w:rsidRPr="00BC68C4">
        <w:rPr>
          <w:rFonts w:ascii="Times New Roman" w:hAnsi="Times New Roman" w:cs="Times New Roman"/>
          <w:sz w:val="16"/>
          <w:szCs w:val="16"/>
        </w:rPr>
        <w:t>).</w:t>
      </w:r>
    </w:p>
    <w:p w14:paraId="1CA684E3" w14:textId="2352DFCE" w:rsidR="00550407" w:rsidRPr="00BC68C4" w:rsidRDefault="00B872A3" w:rsidP="00EB1E09">
      <w:pPr>
        <w:spacing w:after="200" w:line="276" w:lineRule="auto"/>
        <w:rPr>
          <w:rFonts w:ascii="Times New Roman" w:hAnsi="Times New Roman" w:cs="Times New Roman"/>
          <w:sz w:val="20"/>
          <w:szCs w:val="20"/>
        </w:rPr>
      </w:pPr>
      <w:r w:rsidRPr="00BC68C4">
        <w:rPr>
          <w:rFonts w:ascii="Times New Roman" w:hAnsi="Times New Roman" w:cs="Times New Roman"/>
          <w:sz w:val="20"/>
          <w:szCs w:val="20"/>
        </w:rPr>
        <w:t xml:space="preserve"> </w:t>
      </w:r>
    </w:p>
    <w:p w14:paraId="3B44A93E" w14:textId="21D21DBB" w:rsidR="00550407" w:rsidRPr="00BC68C4" w:rsidRDefault="00550407">
      <w:pPr>
        <w:spacing w:after="200" w:line="276" w:lineRule="auto"/>
        <w:jc w:val="left"/>
        <w:rPr>
          <w:rFonts w:ascii="Times New Roman" w:hAnsi="Times New Roman" w:cs="Times New Roman"/>
          <w:sz w:val="20"/>
          <w:szCs w:val="20"/>
        </w:rPr>
      </w:pPr>
    </w:p>
    <w:p w14:paraId="60227D0C" w14:textId="77777777" w:rsidR="001201D3" w:rsidRDefault="001201D3">
      <w:pPr>
        <w:spacing w:after="200" w:line="276" w:lineRule="auto"/>
        <w:jc w:val="left"/>
        <w:rPr>
          <w:rFonts w:ascii="Times New Roman" w:hAnsi="Times New Roman" w:cs="Times New Roman"/>
          <w:sz w:val="20"/>
          <w:szCs w:val="20"/>
        </w:rPr>
      </w:pPr>
      <w:r>
        <w:rPr>
          <w:rFonts w:ascii="Times New Roman" w:hAnsi="Times New Roman" w:cs="Times New Roman"/>
          <w:sz w:val="20"/>
          <w:szCs w:val="20"/>
        </w:rPr>
        <w:br w:type="page"/>
      </w:r>
    </w:p>
    <w:p w14:paraId="59B32EC8" w14:textId="09DDFEF5" w:rsidR="00703AC0" w:rsidRPr="00703AC0" w:rsidRDefault="00703AC0" w:rsidP="00703AC0">
      <w:pPr>
        <w:jc w:val="center"/>
        <w:rPr>
          <w:rFonts w:ascii="Times New Roman" w:hAnsi="Times New Roman" w:cs="Times New Roman"/>
          <w:sz w:val="20"/>
          <w:szCs w:val="20"/>
        </w:rPr>
      </w:pPr>
      <w:r w:rsidRPr="00703AC0">
        <w:rPr>
          <w:rFonts w:ascii="Times New Roman" w:hAnsi="Times New Roman" w:cs="Times New Roman"/>
          <w:sz w:val="20"/>
          <w:szCs w:val="20"/>
        </w:rPr>
        <w:t xml:space="preserve">TABLE </w:t>
      </w:r>
      <w:r w:rsidR="00635C6E">
        <w:rPr>
          <w:rFonts w:ascii="Times New Roman" w:hAnsi="Times New Roman" w:cs="Times New Roman"/>
          <w:sz w:val="20"/>
          <w:szCs w:val="20"/>
        </w:rPr>
        <w:t>3</w:t>
      </w:r>
    </w:p>
    <w:p w14:paraId="26C255D9" w14:textId="18B8B5D6" w:rsidR="00F7233F" w:rsidRPr="00703AC0" w:rsidRDefault="00703AC0" w:rsidP="00703AC0">
      <w:pPr>
        <w:jc w:val="center"/>
        <w:rPr>
          <w:rFonts w:ascii="Times New Roman" w:hAnsi="Times New Roman" w:cs="Times New Roman"/>
          <w:sz w:val="24"/>
          <w:szCs w:val="24"/>
        </w:rPr>
      </w:pPr>
      <w:r w:rsidRPr="00703AC0">
        <w:rPr>
          <w:rFonts w:ascii="Times New Roman" w:hAnsi="Times New Roman" w:cs="Times New Roman"/>
          <w:sz w:val="24"/>
          <w:szCs w:val="24"/>
        </w:rPr>
        <w:t>PAIRWISE CORRELATIONS BETWEEN PERFORMANCE AND OWNERSHIP CONCENTRATION MEASURES</w:t>
      </w:r>
    </w:p>
    <w:tbl>
      <w:tblPr>
        <w:tblW w:w="5022" w:type="pct"/>
        <w:tblBorders>
          <w:top w:val="double" w:sz="6" w:space="0" w:color="auto"/>
          <w:bottom w:val="double" w:sz="6" w:space="0" w:color="auto"/>
        </w:tblBorders>
        <w:tblLook w:val="04A0" w:firstRow="1" w:lastRow="0" w:firstColumn="1" w:lastColumn="0" w:noHBand="0" w:noVBand="1"/>
      </w:tblPr>
      <w:tblGrid>
        <w:gridCol w:w="1446"/>
        <w:gridCol w:w="737"/>
        <w:gridCol w:w="934"/>
        <w:gridCol w:w="1367"/>
        <w:gridCol w:w="1147"/>
        <w:gridCol w:w="1387"/>
        <w:gridCol w:w="1076"/>
        <w:gridCol w:w="1378"/>
        <w:gridCol w:w="1438"/>
        <w:gridCol w:w="1418"/>
        <w:gridCol w:w="789"/>
        <w:gridCol w:w="1119"/>
      </w:tblGrid>
      <w:tr w:rsidR="008241EB" w:rsidRPr="00BC68C4" w14:paraId="5A654DA6" w14:textId="77777777" w:rsidTr="00671349">
        <w:trPr>
          <w:trHeight w:hRule="exact" w:val="662"/>
        </w:trPr>
        <w:tc>
          <w:tcPr>
            <w:tcW w:w="508" w:type="pct"/>
            <w:shd w:val="clear" w:color="auto" w:fill="auto"/>
            <w:noWrap/>
            <w:vAlign w:val="center"/>
            <w:hideMark/>
          </w:tcPr>
          <w:p w14:paraId="29B49763" w14:textId="77777777" w:rsidR="00F7233F" w:rsidRPr="00BC68C4" w:rsidRDefault="00F7233F" w:rsidP="00F7233F">
            <w:pPr>
              <w:jc w:val="center"/>
              <w:rPr>
                <w:rFonts w:ascii="Times New Roman" w:eastAsia="Times New Roman" w:hAnsi="Times New Roman" w:cs="Times New Roman"/>
                <w:color w:val="000000"/>
                <w:sz w:val="16"/>
                <w:szCs w:val="16"/>
                <w:lang w:eastAsia="en-GB"/>
              </w:rPr>
            </w:pPr>
          </w:p>
        </w:tc>
        <w:tc>
          <w:tcPr>
            <w:tcW w:w="259" w:type="pct"/>
            <w:tcBorders>
              <w:top w:val="double" w:sz="6" w:space="0" w:color="auto"/>
              <w:bottom w:val="single" w:sz="6" w:space="0" w:color="auto"/>
            </w:tcBorders>
            <w:shd w:val="clear" w:color="auto" w:fill="auto"/>
            <w:noWrap/>
            <w:vAlign w:val="center"/>
            <w:hideMark/>
          </w:tcPr>
          <w:p w14:paraId="102080EB" w14:textId="77777777" w:rsidR="00F7233F" w:rsidRPr="00BC68C4" w:rsidRDefault="00F7233F" w:rsidP="00F7233F">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ROA</w:t>
            </w:r>
          </w:p>
        </w:tc>
        <w:tc>
          <w:tcPr>
            <w:tcW w:w="328" w:type="pct"/>
            <w:tcBorders>
              <w:top w:val="double" w:sz="6" w:space="0" w:color="auto"/>
              <w:bottom w:val="single" w:sz="6" w:space="0" w:color="auto"/>
            </w:tcBorders>
            <w:shd w:val="clear" w:color="auto" w:fill="auto"/>
            <w:noWrap/>
            <w:vAlign w:val="center"/>
            <w:hideMark/>
          </w:tcPr>
          <w:p w14:paraId="49FE6394" w14:textId="3EE315BD" w:rsidR="00F7233F" w:rsidRPr="00BC68C4" w:rsidRDefault="00F7233F" w:rsidP="00F7233F">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Tobin’s Q</w:t>
            </w:r>
          </w:p>
        </w:tc>
        <w:tc>
          <w:tcPr>
            <w:tcW w:w="480" w:type="pct"/>
            <w:tcBorders>
              <w:top w:val="double" w:sz="6" w:space="0" w:color="auto"/>
              <w:bottom w:val="single" w:sz="6" w:space="0" w:color="auto"/>
            </w:tcBorders>
            <w:shd w:val="clear" w:color="auto" w:fill="auto"/>
            <w:noWrap/>
            <w:vAlign w:val="center"/>
            <w:hideMark/>
          </w:tcPr>
          <w:p w14:paraId="3F3F050D" w14:textId="77777777" w:rsidR="00F7233F" w:rsidRPr="00BC68C4" w:rsidRDefault="00F7233F" w:rsidP="00F7233F">
            <w:pPr>
              <w:jc w:val="center"/>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VoteLargest5 (%)</w:t>
            </w:r>
          </w:p>
        </w:tc>
        <w:tc>
          <w:tcPr>
            <w:tcW w:w="403" w:type="pct"/>
            <w:tcBorders>
              <w:top w:val="double" w:sz="6" w:space="0" w:color="auto"/>
              <w:bottom w:val="single" w:sz="6" w:space="0" w:color="auto"/>
            </w:tcBorders>
            <w:shd w:val="clear" w:color="auto" w:fill="auto"/>
            <w:noWrap/>
            <w:vAlign w:val="center"/>
            <w:hideMark/>
          </w:tcPr>
          <w:p w14:paraId="6FB186DB" w14:textId="77777777" w:rsidR="00F7233F" w:rsidRPr="00BC68C4" w:rsidRDefault="00F7233F" w:rsidP="00F7233F">
            <w:pPr>
              <w:jc w:val="center"/>
              <w:rPr>
                <w:rFonts w:ascii="Times New Roman" w:eastAsia="Times New Roman" w:hAnsi="Times New Roman" w:cs="Times New Roman"/>
                <w:color w:val="000000"/>
                <w:sz w:val="16"/>
                <w:szCs w:val="16"/>
                <w:lang w:eastAsia="en-GB"/>
              </w:rPr>
            </w:pPr>
            <w:proofErr w:type="spellStart"/>
            <w:r w:rsidRPr="00BC68C4">
              <w:rPr>
                <w:rFonts w:ascii="Times New Roman" w:eastAsia="Times New Roman" w:hAnsi="Times New Roman" w:cs="Times New Roman"/>
                <w:color w:val="000000"/>
                <w:sz w:val="16"/>
                <w:szCs w:val="16"/>
                <w:lang w:eastAsia="en-GB"/>
              </w:rPr>
              <w:t>VoteHHI</w:t>
            </w:r>
            <w:proofErr w:type="spellEnd"/>
            <w:r w:rsidRPr="00BC68C4">
              <w:rPr>
                <w:rFonts w:ascii="Times New Roman" w:eastAsia="Times New Roman" w:hAnsi="Times New Roman" w:cs="Times New Roman"/>
                <w:color w:val="000000"/>
                <w:sz w:val="16"/>
                <w:szCs w:val="16"/>
                <w:lang w:eastAsia="en-GB"/>
              </w:rPr>
              <w:t xml:space="preserve"> (%)</w:t>
            </w:r>
          </w:p>
        </w:tc>
        <w:tc>
          <w:tcPr>
            <w:tcW w:w="487" w:type="pct"/>
            <w:tcBorders>
              <w:top w:val="double" w:sz="6" w:space="0" w:color="auto"/>
              <w:bottom w:val="single" w:sz="6" w:space="0" w:color="auto"/>
            </w:tcBorders>
            <w:shd w:val="clear" w:color="auto" w:fill="auto"/>
            <w:noWrap/>
            <w:vAlign w:val="center"/>
            <w:hideMark/>
          </w:tcPr>
          <w:p w14:paraId="088F762C" w14:textId="77777777" w:rsidR="00F7233F" w:rsidRPr="00BC68C4" w:rsidRDefault="00F7233F" w:rsidP="00F7233F">
            <w:pPr>
              <w:jc w:val="center"/>
              <w:rPr>
                <w:rFonts w:ascii="Times New Roman" w:eastAsia="Times New Roman" w:hAnsi="Times New Roman" w:cs="Times New Roman"/>
                <w:color w:val="000000"/>
                <w:sz w:val="16"/>
                <w:szCs w:val="16"/>
                <w:lang w:eastAsia="en-GB"/>
              </w:rPr>
            </w:pPr>
            <w:proofErr w:type="spellStart"/>
            <w:r w:rsidRPr="00BC68C4">
              <w:rPr>
                <w:rFonts w:ascii="Times New Roman" w:eastAsia="Times New Roman" w:hAnsi="Times New Roman" w:cs="Times New Roman"/>
                <w:color w:val="000000"/>
                <w:sz w:val="16"/>
                <w:szCs w:val="16"/>
                <w:lang w:eastAsia="en-GB"/>
              </w:rPr>
              <w:t>VoteInsiders</w:t>
            </w:r>
            <w:proofErr w:type="spellEnd"/>
            <w:r w:rsidRPr="00BC68C4">
              <w:rPr>
                <w:rFonts w:ascii="Times New Roman" w:eastAsia="Times New Roman" w:hAnsi="Times New Roman" w:cs="Times New Roman"/>
                <w:color w:val="000000"/>
                <w:sz w:val="16"/>
                <w:szCs w:val="16"/>
                <w:lang w:eastAsia="en-GB"/>
              </w:rPr>
              <w:t xml:space="preserve"> (%)</w:t>
            </w:r>
          </w:p>
        </w:tc>
        <w:tc>
          <w:tcPr>
            <w:tcW w:w="378" w:type="pct"/>
            <w:tcBorders>
              <w:top w:val="double" w:sz="6" w:space="0" w:color="auto"/>
              <w:bottom w:val="single" w:sz="6" w:space="0" w:color="auto"/>
            </w:tcBorders>
            <w:shd w:val="clear" w:color="auto" w:fill="auto"/>
            <w:noWrap/>
            <w:vAlign w:val="center"/>
            <w:hideMark/>
          </w:tcPr>
          <w:p w14:paraId="02B53E25" w14:textId="77777777" w:rsidR="00F7233F" w:rsidRPr="00BC68C4" w:rsidRDefault="00F7233F" w:rsidP="00F7233F">
            <w:pPr>
              <w:jc w:val="center"/>
              <w:rPr>
                <w:rFonts w:ascii="Times New Roman" w:eastAsia="Times New Roman" w:hAnsi="Times New Roman" w:cs="Times New Roman"/>
                <w:color w:val="000000"/>
                <w:sz w:val="16"/>
                <w:szCs w:val="16"/>
                <w:lang w:eastAsia="en-GB"/>
              </w:rPr>
            </w:pPr>
            <w:proofErr w:type="spellStart"/>
            <w:r w:rsidRPr="00BC68C4">
              <w:rPr>
                <w:rFonts w:ascii="Times New Roman" w:eastAsia="Times New Roman" w:hAnsi="Times New Roman" w:cs="Times New Roman"/>
                <w:color w:val="000000"/>
                <w:sz w:val="16"/>
                <w:szCs w:val="16"/>
                <w:lang w:eastAsia="en-GB"/>
              </w:rPr>
              <w:t>VoteDir</w:t>
            </w:r>
            <w:proofErr w:type="spellEnd"/>
            <w:r w:rsidRPr="00BC68C4">
              <w:rPr>
                <w:rFonts w:ascii="Times New Roman" w:eastAsia="Times New Roman" w:hAnsi="Times New Roman" w:cs="Times New Roman"/>
                <w:color w:val="000000"/>
                <w:sz w:val="16"/>
                <w:szCs w:val="16"/>
                <w:lang w:eastAsia="en-GB"/>
              </w:rPr>
              <w:t xml:space="preserve"> (%)</w:t>
            </w:r>
          </w:p>
        </w:tc>
        <w:tc>
          <w:tcPr>
            <w:tcW w:w="484" w:type="pct"/>
            <w:tcBorders>
              <w:top w:val="double" w:sz="6" w:space="0" w:color="auto"/>
              <w:bottom w:val="single" w:sz="6" w:space="0" w:color="auto"/>
            </w:tcBorders>
            <w:shd w:val="clear" w:color="auto" w:fill="auto"/>
            <w:noWrap/>
            <w:vAlign w:val="center"/>
            <w:hideMark/>
          </w:tcPr>
          <w:p w14:paraId="7E1DC1D7" w14:textId="77777777" w:rsidR="00F7233F" w:rsidRPr="00BC68C4" w:rsidRDefault="00F7233F" w:rsidP="00F7233F">
            <w:pPr>
              <w:jc w:val="center"/>
              <w:rPr>
                <w:rFonts w:ascii="Times New Roman" w:eastAsia="Times New Roman" w:hAnsi="Times New Roman" w:cs="Times New Roman"/>
                <w:color w:val="000000"/>
                <w:sz w:val="16"/>
                <w:szCs w:val="16"/>
                <w:lang w:eastAsia="en-GB"/>
              </w:rPr>
            </w:pPr>
            <w:proofErr w:type="spellStart"/>
            <w:r w:rsidRPr="00BC68C4">
              <w:rPr>
                <w:rFonts w:ascii="Times New Roman" w:eastAsia="Times New Roman" w:hAnsi="Times New Roman" w:cs="Times New Roman"/>
                <w:color w:val="000000"/>
                <w:sz w:val="16"/>
                <w:szCs w:val="16"/>
                <w:lang w:eastAsia="en-GB"/>
              </w:rPr>
              <w:t>ActiveBlock</w:t>
            </w:r>
            <w:proofErr w:type="spellEnd"/>
            <w:r w:rsidRPr="00BC68C4">
              <w:rPr>
                <w:rFonts w:ascii="Times New Roman" w:eastAsia="Times New Roman" w:hAnsi="Times New Roman" w:cs="Times New Roman"/>
                <w:color w:val="000000"/>
                <w:sz w:val="16"/>
                <w:szCs w:val="16"/>
                <w:lang w:eastAsia="en-GB"/>
              </w:rPr>
              <w:t xml:space="preserve"> (%)</w:t>
            </w:r>
          </w:p>
        </w:tc>
        <w:tc>
          <w:tcPr>
            <w:tcW w:w="505" w:type="pct"/>
            <w:tcBorders>
              <w:top w:val="double" w:sz="6" w:space="0" w:color="auto"/>
              <w:bottom w:val="single" w:sz="6" w:space="0" w:color="auto"/>
            </w:tcBorders>
            <w:shd w:val="clear" w:color="auto" w:fill="auto"/>
            <w:noWrap/>
            <w:vAlign w:val="center"/>
            <w:hideMark/>
          </w:tcPr>
          <w:p w14:paraId="56A26259" w14:textId="77777777" w:rsidR="00F7233F" w:rsidRPr="00BC68C4" w:rsidRDefault="00F7233F" w:rsidP="00F7233F">
            <w:pPr>
              <w:jc w:val="center"/>
              <w:rPr>
                <w:rFonts w:ascii="Times New Roman" w:eastAsia="Times New Roman" w:hAnsi="Times New Roman" w:cs="Times New Roman"/>
                <w:color w:val="000000"/>
                <w:sz w:val="16"/>
                <w:szCs w:val="16"/>
                <w:lang w:eastAsia="en-GB"/>
              </w:rPr>
            </w:pPr>
            <w:proofErr w:type="spellStart"/>
            <w:r w:rsidRPr="00BC68C4">
              <w:rPr>
                <w:rFonts w:ascii="Times New Roman" w:eastAsia="Times New Roman" w:hAnsi="Times New Roman" w:cs="Times New Roman"/>
                <w:color w:val="000000"/>
                <w:sz w:val="16"/>
                <w:szCs w:val="16"/>
                <w:lang w:eastAsia="en-GB"/>
              </w:rPr>
              <w:t>PassiveBlock</w:t>
            </w:r>
            <w:proofErr w:type="spellEnd"/>
            <w:r w:rsidRPr="00BC68C4">
              <w:rPr>
                <w:rFonts w:ascii="Times New Roman" w:eastAsia="Times New Roman" w:hAnsi="Times New Roman" w:cs="Times New Roman"/>
                <w:color w:val="000000"/>
                <w:sz w:val="16"/>
                <w:szCs w:val="16"/>
                <w:lang w:eastAsia="en-GB"/>
              </w:rPr>
              <w:t xml:space="preserve"> (%)</w:t>
            </w:r>
          </w:p>
        </w:tc>
        <w:tc>
          <w:tcPr>
            <w:tcW w:w="498" w:type="pct"/>
            <w:tcBorders>
              <w:top w:val="double" w:sz="6" w:space="0" w:color="auto"/>
              <w:bottom w:val="single" w:sz="6" w:space="0" w:color="auto"/>
            </w:tcBorders>
            <w:shd w:val="clear" w:color="auto" w:fill="auto"/>
            <w:noWrap/>
            <w:vAlign w:val="center"/>
            <w:hideMark/>
          </w:tcPr>
          <w:p w14:paraId="2EA3C9DF" w14:textId="77777777" w:rsidR="00F7233F" w:rsidRPr="00BC68C4" w:rsidRDefault="00F7233F" w:rsidP="00F7233F">
            <w:pPr>
              <w:jc w:val="center"/>
              <w:rPr>
                <w:rFonts w:ascii="Times New Roman" w:eastAsia="Times New Roman" w:hAnsi="Times New Roman" w:cs="Times New Roman"/>
                <w:color w:val="000000"/>
                <w:sz w:val="16"/>
                <w:szCs w:val="16"/>
                <w:lang w:eastAsia="en-GB"/>
              </w:rPr>
            </w:pPr>
            <w:proofErr w:type="spellStart"/>
            <w:r w:rsidRPr="00BC68C4">
              <w:rPr>
                <w:rFonts w:ascii="Times New Roman" w:eastAsia="Times New Roman" w:hAnsi="Times New Roman" w:cs="Times New Roman"/>
                <w:color w:val="000000"/>
                <w:sz w:val="16"/>
                <w:szCs w:val="16"/>
                <w:lang w:eastAsia="en-GB"/>
              </w:rPr>
              <w:t>DirOnlyVote</w:t>
            </w:r>
            <w:proofErr w:type="spellEnd"/>
            <w:r w:rsidRPr="00BC68C4">
              <w:rPr>
                <w:rFonts w:ascii="Times New Roman" w:eastAsia="Times New Roman" w:hAnsi="Times New Roman" w:cs="Times New Roman"/>
                <w:color w:val="000000"/>
                <w:sz w:val="16"/>
                <w:szCs w:val="16"/>
                <w:lang w:eastAsia="en-GB"/>
              </w:rPr>
              <w:t xml:space="preserve"> (%)</w:t>
            </w:r>
          </w:p>
        </w:tc>
        <w:tc>
          <w:tcPr>
            <w:tcW w:w="277" w:type="pct"/>
            <w:tcBorders>
              <w:top w:val="double" w:sz="6" w:space="0" w:color="auto"/>
              <w:bottom w:val="single" w:sz="6" w:space="0" w:color="auto"/>
            </w:tcBorders>
            <w:shd w:val="clear" w:color="auto" w:fill="auto"/>
            <w:noWrap/>
            <w:vAlign w:val="center"/>
            <w:hideMark/>
          </w:tcPr>
          <w:p w14:paraId="5C844C2C" w14:textId="77777777" w:rsidR="00F7233F" w:rsidRPr="00BC68C4" w:rsidRDefault="00F7233F" w:rsidP="00F7233F">
            <w:pPr>
              <w:jc w:val="center"/>
              <w:rPr>
                <w:rFonts w:ascii="Times New Roman" w:eastAsia="Times New Roman" w:hAnsi="Times New Roman" w:cs="Times New Roman"/>
                <w:color w:val="000000"/>
                <w:sz w:val="16"/>
                <w:szCs w:val="16"/>
                <w:lang w:eastAsia="en-GB"/>
              </w:rPr>
            </w:pPr>
            <w:proofErr w:type="spellStart"/>
            <w:r w:rsidRPr="00BC68C4">
              <w:rPr>
                <w:rFonts w:ascii="Times New Roman" w:eastAsia="Times New Roman" w:hAnsi="Times New Roman" w:cs="Times New Roman"/>
                <w:color w:val="000000"/>
                <w:sz w:val="16"/>
                <w:szCs w:val="16"/>
                <w:lang w:eastAsia="en-GB"/>
              </w:rPr>
              <w:t>NumDir</w:t>
            </w:r>
            <w:proofErr w:type="spellEnd"/>
          </w:p>
        </w:tc>
        <w:tc>
          <w:tcPr>
            <w:tcW w:w="393" w:type="pct"/>
            <w:tcBorders>
              <w:top w:val="double" w:sz="6" w:space="0" w:color="auto"/>
              <w:bottom w:val="single" w:sz="6" w:space="0" w:color="auto"/>
            </w:tcBorders>
            <w:shd w:val="clear" w:color="auto" w:fill="auto"/>
            <w:noWrap/>
            <w:vAlign w:val="center"/>
            <w:hideMark/>
          </w:tcPr>
          <w:p w14:paraId="5A6B1DDB" w14:textId="77777777" w:rsidR="00F7233F" w:rsidRPr="00BC68C4" w:rsidRDefault="00F7233F" w:rsidP="00F7233F">
            <w:pPr>
              <w:jc w:val="center"/>
              <w:rPr>
                <w:rFonts w:ascii="Times New Roman" w:eastAsia="Times New Roman" w:hAnsi="Times New Roman" w:cs="Times New Roman"/>
                <w:color w:val="000000"/>
                <w:sz w:val="16"/>
                <w:szCs w:val="16"/>
                <w:lang w:eastAsia="en-GB"/>
              </w:rPr>
            </w:pPr>
            <w:proofErr w:type="spellStart"/>
            <w:r w:rsidRPr="00BC68C4">
              <w:rPr>
                <w:rFonts w:ascii="Times New Roman" w:eastAsia="Times New Roman" w:hAnsi="Times New Roman" w:cs="Times New Roman"/>
                <w:color w:val="000000"/>
                <w:sz w:val="16"/>
                <w:szCs w:val="16"/>
                <w:lang w:eastAsia="en-GB"/>
              </w:rPr>
              <w:t>DirOnlyNum</w:t>
            </w:r>
            <w:proofErr w:type="spellEnd"/>
          </w:p>
        </w:tc>
      </w:tr>
      <w:tr w:rsidR="008241EB" w:rsidRPr="00BC68C4" w14:paraId="1F01722D" w14:textId="77777777" w:rsidTr="00671349">
        <w:trPr>
          <w:trHeight w:val="261"/>
        </w:trPr>
        <w:tc>
          <w:tcPr>
            <w:tcW w:w="508" w:type="pct"/>
            <w:shd w:val="clear" w:color="auto" w:fill="auto"/>
            <w:noWrap/>
            <w:vAlign w:val="center"/>
            <w:hideMark/>
          </w:tcPr>
          <w:p w14:paraId="7B60B324" w14:textId="77777777" w:rsidR="008241EB" w:rsidRPr="00BC68C4" w:rsidRDefault="008241EB" w:rsidP="00F7233F">
            <w:pPr>
              <w:jc w:val="left"/>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ROA</w:t>
            </w:r>
          </w:p>
        </w:tc>
        <w:tc>
          <w:tcPr>
            <w:tcW w:w="259" w:type="pct"/>
            <w:tcBorders>
              <w:top w:val="single" w:sz="6" w:space="0" w:color="auto"/>
            </w:tcBorders>
            <w:shd w:val="clear" w:color="auto" w:fill="auto"/>
            <w:noWrap/>
            <w:vAlign w:val="bottom"/>
          </w:tcPr>
          <w:p w14:paraId="47C5641D" w14:textId="1CE41265" w:rsidR="008241EB" w:rsidRPr="00BC68C4" w:rsidRDefault="008241EB"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1.00</w:t>
            </w:r>
          </w:p>
        </w:tc>
        <w:tc>
          <w:tcPr>
            <w:tcW w:w="328" w:type="pct"/>
            <w:tcBorders>
              <w:top w:val="single" w:sz="6" w:space="0" w:color="auto"/>
            </w:tcBorders>
            <w:shd w:val="clear" w:color="auto" w:fill="auto"/>
            <w:noWrap/>
            <w:vAlign w:val="bottom"/>
          </w:tcPr>
          <w:p w14:paraId="7A9E85EC" w14:textId="77777777" w:rsidR="008241EB" w:rsidRPr="00BC68C4" w:rsidRDefault="008241EB" w:rsidP="00F7233F">
            <w:pPr>
              <w:jc w:val="center"/>
              <w:rPr>
                <w:rFonts w:ascii="Times New Roman" w:eastAsia="Times New Roman" w:hAnsi="Times New Roman" w:cs="Times New Roman"/>
                <w:color w:val="000000"/>
                <w:sz w:val="16"/>
                <w:szCs w:val="16"/>
                <w:lang w:eastAsia="en-GB"/>
              </w:rPr>
            </w:pPr>
          </w:p>
        </w:tc>
        <w:tc>
          <w:tcPr>
            <w:tcW w:w="480" w:type="pct"/>
            <w:tcBorders>
              <w:top w:val="single" w:sz="6" w:space="0" w:color="auto"/>
            </w:tcBorders>
            <w:shd w:val="clear" w:color="auto" w:fill="auto"/>
            <w:noWrap/>
            <w:vAlign w:val="bottom"/>
          </w:tcPr>
          <w:p w14:paraId="2E84A353" w14:textId="77777777" w:rsidR="008241EB" w:rsidRPr="00BC68C4" w:rsidRDefault="008241EB" w:rsidP="00F7233F">
            <w:pPr>
              <w:jc w:val="center"/>
              <w:rPr>
                <w:rFonts w:ascii="Times New Roman" w:eastAsia="Times New Roman" w:hAnsi="Times New Roman" w:cs="Times New Roman"/>
                <w:color w:val="000000"/>
                <w:sz w:val="16"/>
                <w:szCs w:val="16"/>
                <w:lang w:eastAsia="en-GB"/>
              </w:rPr>
            </w:pPr>
          </w:p>
        </w:tc>
        <w:tc>
          <w:tcPr>
            <w:tcW w:w="403" w:type="pct"/>
            <w:tcBorders>
              <w:top w:val="single" w:sz="6" w:space="0" w:color="auto"/>
            </w:tcBorders>
            <w:shd w:val="clear" w:color="auto" w:fill="auto"/>
            <w:noWrap/>
            <w:vAlign w:val="bottom"/>
          </w:tcPr>
          <w:p w14:paraId="317A72E8" w14:textId="77777777" w:rsidR="008241EB" w:rsidRPr="00BC68C4" w:rsidRDefault="008241EB" w:rsidP="00F7233F">
            <w:pPr>
              <w:jc w:val="center"/>
              <w:rPr>
                <w:rFonts w:ascii="Times New Roman" w:eastAsia="Times New Roman" w:hAnsi="Times New Roman" w:cs="Times New Roman"/>
                <w:color w:val="000000"/>
                <w:sz w:val="16"/>
                <w:szCs w:val="16"/>
                <w:lang w:eastAsia="en-GB"/>
              </w:rPr>
            </w:pPr>
          </w:p>
        </w:tc>
        <w:tc>
          <w:tcPr>
            <w:tcW w:w="487" w:type="pct"/>
            <w:tcBorders>
              <w:top w:val="single" w:sz="6" w:space="0" w:color="auto"/>
            </w:tcBorders>
            <w:shd w:val="clear" w:color="auto" w:fill="auto"/>
            <w:noWrap/>
            <w:vAlign w:val="bottom"/>
          </w:tcPr>
          <w:p w14:paraId="4196FA42" w14:textId="77777777" w:rsidR="008241EB" w:rsidRPr="00BC68C4" w:rsidRDefault="008241EB" w:rsidP="00F7233F">
            <w:pPr>
              <w:jc w:val="center"/>
              <w:rPr>
                <w:rFonts w:ascii="Times New Roman" w:eastAsia="Times New Roman" w:hAnsi="Times New Roman" w:cs="Times New Roman"/>
                <w:color w:val="000000"/>
                <w:sz w:val="16"/>
                <w:szCs w:val="16"/>
                <w:lang w:eastAsia="en-GB"/>
              </w:rPr>
            </w:pPr>
          </w:p>
        </w:tc>
        <w:tc>
          <w:tcPr>
            <w:tcW w:w="378" w:type="pct"/>
            <w:tcBorders>
              <w:top w:val="single" w:sz="6" w:space="0" w:color="auto"/>
            </w:tcBorders>
            <w:shd w:val="clear" w:color="auto" w:fill="auto"/>
            <w:noWrap/>
            <w:vAlign w:val="bottom"/>
          </w:tcPr>
          <w:p w14:paraId="580B96DC" w14:textId="77777777" w:rsidR="008241EB" w:rsidRPr="00BC68C4" w:rsidRDefault="008241EB" w:rsidP="00F7233F">
            <w:pPr>
              <w:jc w:val="center"/>
              <w:rPr>
                <w:rFonts w:ascii="Times New Roman" w:eastAsia="Times New Roman" w:hAnsi="Times New Roman" w:cs="Times New Roman"/>
                <w:color w:val="000000"/>
                <w:sz w:val="16"/>
                <w:szCs w:val="16"/>
                <w:lang w:eastAsia="en-GB"/>
              </w:rPr>
            </w:pPr>
          </w:p>
        </w:tc>
        <w:tc>
          <w:tcPr>
            <w:tcW w:w="484" w:type="pct"/>
            <w:tcBorders>
              <w:top w:val="single" w:sz="6" w:space="0" w:color="auto"/>
            </w:tcBorders>
            <w:shd w:val="clear" w:color="auto" w:fill="auto"/>
            <w:noWrap/>
            <w:vAlign w:val="bottom"/>
          </w:tcPr>
          <w:p w14:paraId="4FA74A71" w14:textId="77777777" w:rsidR="008241EB" w:rsidRPr="00BC68C4" w:rsidRDefault="008241EB" w:rsidP="00F7233F">
            <w:pPr>
              <w:jc w:val="center"/>
              <w:rPr>
                <w:rFonts w:ascii="Times New Roman" w:eastAsia="Times New Roman" w:hAnsi="Times New Roman" w:cs="Times New Roman"/>
                <w:color w:val="000000"/>
                <w:sz w:val="16"/>
                <w:szCs w:val="16"/>
                <w:lang w:eastAsia="en-GB"/>
              </w:rPr>
            </w:pPr>
          </w:p>
        </w:tc>
        <w:tc>
          <w:tcPr>
            <w:tcW w:w="505" w:type="pct"/>
            <w:tcBorders>
              <w:top w:val="single" w:sz="6" w:space="0" w:color="auto"/>
            </w:tcBorders>
            <w:shd w:val="clear" w:color="auto" w:fill="auto"/>
            <w:noWrap/>
            <w:vAlign w:val="bottom"/>
          </w:tcPr>
          <w:p w14:paraId="5FDFA6B1" w14:textId="77777777" w:rsidR="008241EB" w:rsidRPr="00BC68C4" w:rsidRDefault="008241EB" w:rsidP="00F7233F">
            <w:pPr>
              <w:jc w:val="center"/>
              <w:rPr>
                <w:rFonts w:ascii="Times New Roman" w:eastAsia="Times New Roman" w:hAnsi="Times New Roman" w:cs="Times New Roman"/>
                <w:color w:val="000000"/>
                <w:sz w:val="16"/>
                <w:szCs w:val="16"/>
                <w:lang w:eastAsia="en-GB"/>
              </w:rPr>
            </w:pPr>
          </w:p>
        </w:tc>
        <w:tc>
          <w:tcPr>
            <w:tcW w:w="498" w:type="pct"/>
            <w:tcBorders>
              <w:top w:val="single" w:sz="6" w:space="0" w:color="auto"/>
            </w:tcBorders>
            <w:shd w:val="clear" w:color="auto" w:fill="auto"/>
            <w:noWrap/>
            <w:vAlign w:val="bottom"/>
          </w:tcPr>
          <w:p w14:paraId="220AC5BF" w14:textId="77777777" w:rsidR="008241EB" w:rsidRPr="00BC68C4" w:rsidRDefault="008241EB" w:rsidP="00F7233F">
            <w:pPr>
              <w:jc w:val="center"/>
              <w:rPr>
                <w:rFonts w:ascii="Times New Roman" w:eastAsia="Times New Roman" w:hAnsi="Times New Roman" w:cs="Times New Roman"/>
                <w:color w:val="000000"/>
                <w:sz w:val="16"/>
                <w:szCs w:val="16"/>
                <w:lang w:eastAsia="en-GB"/>
              </w:rPr>
            </w:pPr>
          </w:p>
        </w:tc>
        <w:tc>
          <w:tcPr>
            <w:tcW w:w="277" w:type="pct"/>
            <w:tcBorders>
              <w:top w:val="single" w:sz="6" w:space="0" w:color="auto"/>
            </w:tcBorders>
            <w:shd w:val="clear" w:color="auto" w:fill="auto"/>
            <w:noWrap/>
            <w:vAlign w:val="bottom"/>
          </w:tcPr>
          <w:p w14:paraId="1250E404" w14:textId="77777777" w:rsidR="008241EB" w:rsidRPr="00BC68C4" w:rsidRDefault="008241EB" w:rsidP="00F7233F">
            <w:pPr>
              <w:jc w:val="center"/>
              <w:rPr>
                <w:rFonts w:ascii="Times New Roman" w:eastAsia="Times New Roman" w:hAnsi="Times New Roman" w:cs="Times New Roman"/>
                <w:color w:val="000000"/>
                <w:sz w:val="16"/>
                <w:szCs w:val="16"/>
                <w:lang w:eastAsia="en-GB"/>
              </w:rPr>
            </w:pPr>
          </w:p>
        </w:tc>
        <w:tc>
          <w:tcPr>
            <w:tcW w:w="393" w:type="pct"/>
            <w:tcBorders>
              <w:top w:val="single" w:sz="6" w:space="0" w:color="auto"/>
            </w:tcBorders>
            <w:shd w:val="clear" w:color="auto" w:fill="auto"/>
            <w:noWrap/>
            <w:vAlign w:val="bottom"/>
          </w:tcPr>
          <w:p w14:paraId="444826B3" w14:textId="77777777" w:rsidR="008241EB" w:rsidRPr="00BC68C4" w:rsidRDefault="008241EB" w:rsidP="00F7233F">
            <w:pPr>
              <w:jc w:val="center"/>
              <w:rPr>
                <w:rFonts w:ascii="Times New Roman" w:eastAsia="Times New Roman" w:hAnsi="Times New Roman" w:cs="Times New Roman"/>
                <w:color w:val="000000"/>
                <w:sz w:val="16"/>
                <w:szCs w:val="16"/>
                <w:lang w:eastAsia="en-GB"/>
              </w:rPr>
            </w:pPr>
          </w:p>
        </w:tc>
      </w:tr>
      <w:tr w:rsidR="008241EB" w:rsidRPr="00BC68C4" w14:paraId="24FA7298" w14:textId="77777777" w:rsidTr="00671349">
        <w:trPr>
          <w:trHeight w:val="261"/>
        </w:trPr>
        <w:tc>
          <w:tcPr>
            <w:tcW w:w="508" w:type="pct"/>
            <w:shd w:val="clear" w:color="auto" w:fill="auto"/>
            <w:noWrap/>
            <w:vAlign w:val="center"/>
            <w:hideMark/>
          </w:tcPr>
          <w:p w14:paraId="1585F753" w14:textId="1D6F3372" w:rsidR="008241EB" w:rsidRPr="00BC68C4" w:rsidRDefault="008241EB" w:rsidP="00F7233F">
            <w:pPr>
              <w:jc w:val="left"/>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Tobin’s Q</w:t>
            </w:r>
          </w:p>
        </w:tc>
        <w:tc>
          <w:tcPr>
            <w:tcW w:w="259" w:type="pct"/>
            <w:shd w:val="clear" w:color="auto" w:fill="auto"/>
            <w:noWrap/>
            <w:vAlign w:val="bottom"/>
          </w:tcPr>
          <w:p w14:paraId="4F6DEFDC" w14:textId="2479060A" w:rsidR="008241EB" w:rsidRPr="00BC68C4" w:rsidRDefault="008241EB"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0.49***</w:t>
            </w:r>
          </w:p>
        </w:tc>
        <w:tc>
          <w:tcPr>
            <w:tcW w:w="328" w:type="pct"/>
            <w:shd w:val="clear" w:color="auto" w:fill="auto"/>
            <w:noWrap/>
            <w:vAlign w:val="bottom"/>
          </w:tcPr>
          <w:p w14:paraId="4797BA6A" w14:textId="16A60865" w:rsidR="008241EB" w:rsidRPr="00BC68C4" w:rsidRDefault="008241EB"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1.00</w:t>
            </w:r>
          </w:p>
        </w:tc>
        <w:tc>
          <w:tcPr>
            <w:tcW w:w="480" w:type="pct"/>
            <w:shd w:val="clear" w:color="auto" w:fill="auto"/>
            <w:noWrap/>
            <w:vAlign w:val="bottom"/>
          </w:tcPr>
          <w:p w14:paraId="22D75923" w14:textId="77777777" w:rsidR="008241EB" w:rsidRPr="00BC68C4" w:rsidRDefault="008241EB" w:rsidP="00F7233F">
            <w:pPr>
              <w:jc w:val="center"/>
              <w:rPr>
                <w:rFonts w:ascii="Times New Roman" w:eastAsia="Times New Roman" w:hAnsi="Times New Roman" w:cs="Times New Roman"/>
                <w:color w:val="000000"/>
                <w:sz w:val="16"/>
                <w:szCs w:val="16"/>
                <w:lang w:eastAsia="en-GB"/>
              </w:rPr>
            </w:pPr>
          </w:p>
        </w:tc>
        <w:tc>
          <w:tcPr>
            <w:tcW w:w="403" w:type="pct"/>
            <w:shd w:val="clear" w:color="auto" w:fill="auto"/>
            <w:noWrap/>
            <w:vAlign w:val="bottom"/>
          </w:tcPr>
          <w:p w14:paraId="3A836B62" w14:textId="77777777" w:rsidR="008241EB" w:rsidRPr="00BC68C4" w:rsidRDefault="008241EB" w:rsidP="00F7233F">
            <w:pPr>
              <w:jc w:val="center"/>
              <w:rPr>
                <w:rFonts w:ascii="Times New Roman" w:eastAsia="Times New Roman" w:hAnsi="Times New Roman" w:cs="Times New Roman"/>
                <w:color w:val="000000"/>
                <w:sz w:val="16"/>
                <w:szCs w:val="16"/>
                <w:lang w:eastAsia="en-GB"/>
              </w:rPr>
            </w:pPr>
          </w:p>
        </w:tc>
        <w:tc>
          <w:tcPr>
            <w:tcW w:w="487" w:type="pct"/>
            <w:shd w:val="clear" w:color="auto" w:fill="auto"/>
            <w:noWrap/>
            <w:vAlign w:val="bottom"/>
          </w:tcPr>
          <w:p w14:paraId="5EBB5602" w14:textId="77777777" w:rsidR="008241EB" w:rsidRPr="00BC68C4" w:rsidRDefault="008241EB" w:rsidP="00F7233F">
            <w:pPr>
              <w:jc w:val="center"/>
              <w:rPr>
                <w:rFonts w:ascii="Times New Roman" w:eastAsia="Times New Roman" w:hAnsi="Times New Roman" w:cs="Times New Roman"/>
                <w:color w:val="000000"/>
                <w:sz w:val="16"/>
                <w:szCs w:val="16"/>
                <w:lang w:eastAsia="en-GB"/>
              </w:rPr>
            </w:pPr>
          </w:p>
        </w:tc>
        <w:tc>
          <w:tcPr>
            <w:tcW w:w="378" w:type="pct"/>
            <w:shd w:val="clear" w:color="auto" w:fill="auto"/>
            <w:noWrap/>
            <w:vAlign w:val="bottom"/>
          </w:tcPr>
          <w:p w14:paraId="53DF6889" w14:textId="77777777" w:rsidR="008241EB" w:rsidRPr="00BC68C4" w:rsidRDefault="008241EB" w:rsidP="00F7233F">
            <w:pPr>
              <w:jc w:val="center"/>
              <w:rPr>
                <w:rFonts w:ascii="Times New Roman" w:eastAsia="Times New Roman" w:hAnsi="Times New Roman" w:cs="Times New Roman"/>
                <w:color w:val="000000"/>
                <w:sz w:val="16"/>
                <w:szCs w:val="16"/>
                <w:lang w:eastAsia="en-GB"/>
              </w:rPr>
            </w:pPr>
          </w:p>
        </w:tc>
        <w:tc>
          <w:tcPr>
            <w:tcW w:w="484" w:type="pct"/>
            <w:shd w:val="clear" w:color="auto" w:fill="auto"/>
            <w:noWrap/>
            <w:vAlign w:val="bottom"/>
          </w:tcPr>
          <w:p w14:paraId="3CBA397E" w14:textId="77777777" w:rsidR="008241EB" w:rsidRPr="00BC68C4" w:rsidRDefault="008241EB" w:rsidP="00F7233F">
            <w:pPr>
              <w:jc w:val="center"/>
              <w:rPr>
                <w:rFonts w:ascii="Times New Roman" w:eastAsia="Times New Roman" w:hAnsi="Times New Roman" w:cs="Times New Roman"/>
                <w:color w:val="000000"/>
                <w:sz w:val="16"/>
                <w:szCs w:val="16"/>
                <w:lang w:eastAsia="en-GB"/>
              </w:rPr>
            </w:pPr>
          </w:p>
        </w:tc>
        <w:tc>
          <w:tcPr>
            <w:tcW w:w="505" w:type="pct"/>
            <w:shd w:val="clear" w:color="auto" w:fill="auto"/>
            <w:noWrap/>
            <w:vAlign w:val="bottom"/>
          </w:tcPr>
          <w:p w14:paraId="4F3C7BED" w14:textId="77777777" w:rsidR="008241EB" w:rsidRPr="00BC68C4" w:rsidRDefault="008241EB" w:rsidP="00F7233F">
            <w:pPr>
              <w:jc w:val="center"/>
              <w:rPr>
                <w:rFonts w:ascii="Times New Roman" w:eastAsia="Times New Roman" w:hAnsi="Times New Roman" w:cs="Times New Roman"/>
                <w:color w:val="000000"/>
                <w:sz w:val="16"/>
                <w:szCs w:val="16"/>
                <w:lang w:eastAsia="en-GB"/>
              </w:rPr>
            </w:pPr>
          </w:p>
        </w:tc>
        <w:tc>
          <w:tcPr>
            <w:tcW w:w="498" w:type="pct"/>
            <w:shd w:val="clear" w:color="auto" w:fill="auto"/>
            <w:noWrap/>
            <w:vAlign w:val="bottom"/>
          </w:tcPr>
          <w:p w14:paraId="5E6B152D" w14:textId="77777777" w:rsidR="008241EB" w:rsidRPr="00BC68C4" w:rsidRDefault="008241EB" w:rsidP="00F7233F">
            <w:pPr>
              <w:jc w:val="center"/>
              <w:rPr>
                <w:rFonts w:ascii="Times New Roman" w:eastAsia="Times New Roman" w:hAnsi="Times New Roman" w:cs="Times New Roman"/>
                <w:color w:val="000000"/>
                <w:sz w:val="16"/>
                <w:szCs w:val="16"/>
                <w:lang w:eastAsia="en-GB"/>
              </w:rPr>
            </w:pPr>
          </w:p>
        </w:tc>
        <w:tc>
          <w:tcPr>
            <w:tcW w:w="277" w:type="pct"/>
            <w:shd w:val="clear" w:color="auto" w:fill="auto"/>
            <w:noWrap/>
            <w:vAlign w:val="bottom"/>
          </w:tcPr>
          <w:p w14:paraId="4D1856A2" w14:textId="77777777" w:rsidR="008241EB" w:rsidRPr="00BC68C4" w:rsidRDefault="008241EB" w:rsidP="00F7233F">
            <w:pPr>
              <w:jc w:val="center"/>
              <w:rPr>
                <w:rFonts w:ascii="Times New Roman" w:eastAsia="Times New Roman" w:hAnsi="Times New Roman" w:cs="Times New Roman"/>
                <w:color w:val="000000"/>
                <w:sz w:val="16"/>
                <w:szCs w:val="16"/>
                <w:lang w:eastAsia="en-GB"/>
              </w:rPr>
            </w:pPr>
          </w:p>
        </w:tc>
        <w:tc>
          <w:tcPr>
            <w:tcW w:w="393" w:type="pct"/>
            <w:shd w:val="clear" w:color="auto" w:fill="auto"/>
            <w:noWrap/>
            <w:vAlign w:val="bottom"/>
          </w:tcPr>
          <w:p w14:paraId="39C06549" w14:textId="77777777" w:rsidR="008241EB" w:rsidRPr="00BC68C4" w:rsidRDefault="008241EB" w:rsidP="00F7233F">
            <w:pPr>
              <w:jc w:val="center"/>
              <w:rPr>
                <w:rFonts w:ascii="Times New Roman" w:eastAsia="Times New Roman" w:hAnsi="Times New Roman" w:cs="Times New Roman"/>
                <w:color w:val="000000"/>
                <w:sz w:val="16"/>
                <w:szCs w:val="16"/>
                <w:lang w:eastAsia="en-GB"/>
              </w:rPr>
            </w:pPr>
          </w:p>
        </w:tc>
      </w:tr>
      <w:tr w:rsidR="00671349" w:rsidRPr="00BC68C4" w14:paraId="5592F2E9" w14:textId="77777777" w:rsidTr="00671349">
        <w:trPr>
          <w:trHeight w:hRule="exact" w:val="261"/>
        </w:trPr>
        <w:tc>
          <w:tcPr>
            <w:tcW w:w="508" w:type="pct"/>
            <w:shd w:val="clear" w:color="auto" w:fill="auto"/>
            <w:noWrap/>
            <w:vAlign w:val="center"/>
            <w:hideMark/>
          </w:tcPr>
          <w:p w14:paraId="370AF93A" w14:textId="77777777" w:rsidR="00671349" w:rsidRPr="00BC68C4" w:rsidRDefault="00671349" w:rsidP="00F7233F">
            <w:pPr>
              <w:jc w:val="left"/>
              <w:rPr>
                <w:rFonts w:ascii="Times New Roman" w:eastAsia="Times New Roman" w:hAnsi="Times New Roman" w:cs="Times New Roman"/>
                <w:color w:val="000000"/>
                <w:sz w:val="16"/>
                <w:szCs w:val="16"/>
                <w:lang w:eastAsia="en-GB"/>
              </w:rPr>
            </w:pPr>
            <w:r w:rsidRPr="00BC68C4">
              <w:rPr>
                <w:rFonts w:ascii="Times New Roman" w:eastAsia="Times New Roman" w:hAnsi="Times New Roman" w:cs="Times New Roman"/>
                <w:color w:val="000000"/>
                <w:sz w:val="16"/>
                <w:szCs w:val="16"/>
                <w:lang w:eastAsia="en-GB"/>
              </w:rPr>
              <w:t>VoteLargest5 (%)</w:t>
            </w:r>
          </w:p>
        </w:tc>
        <w:tc>
          <w:tcPr>
            <w:tcW w:w="259" w:type="pct"/>
            <w:shd w:val="clear" w:color="auto" w:fill="auto"/>
            <w:noWrap/>
            <w:vAlign w:val="bottom"/>
          </w:tcPr>
          <w:p w14:paraId="3B07EEE7" w14:textId="7A9CD6E4"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0.06</w:t>
            </w:r>
          </w:p>
        </w:tc>
        <w:tc>
          <w:tcPr>
            <w:tcW w:w="328" w:type="pct"/>
            <w:shd w:val="clear" w:color="auto" w:fill="auto"/>
            <w:noWrap/>
            <w:vAlign w:val="bottom"/>
          </w:tcPr>
          <w:p w14:paraId="3A64DCAD" w14:textId="6DECDE9D"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-0.05</w:t>
            </w:r>
          </w:p>
        </w:tc>
        <w:tc>
          <w:tcPr>
            <w:tcW w:w="480" w:type="pct"/>
            <w:shd w:val="clear" w:color="auto" w:fill="auto"/>
            <w:noWrap/>
            <w:vAlign w:val="bottom"/>
          </w:tcPr>
          <w:p w14:paraId="4A729AA2" w14:textId="40176873"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1.00</w:t>
            </w:r>
          </w:p>
        </w:tc>
        <w:tc>
          <w:tcPr>
            <w:tcW w:w="403" w:type="pct"/>
            <w:shd w:val="clear" w:color="auto" w:fill="auto"/>
            <w:noWrap/>
            <w:vAlign w:val="bottom"/>
          </w:tcPr>
          <w:p w14:paraId="29A32520" w14:textId="77777777" w:rsidR="00671349" w:rsidRPr="00BC68C4" w:rsidRDefault="00671349" w:rsidP="00F7233F">
            <w:pPr>
              <w:jc w:val="center"/>
              <w:rPr>
                <w:rFonts w:ascii="Times New Roman" w:eastAsia="Times New Roman" w:hAnsi="Times New Roman" w:cs="Times New Roman"/>
                <w:color w:val="000000"/>
                <w:sz w:val="16"/>
                <w:szCs w:val="16"/>
                <w:lang w:eastAsia="en-GB"/>
              </w:rPr>
            </w:pPr>
          </w:p>
        </w:tc>
        <w:tc>
          <w:tcPr>
            <w:tcW w:w="487" w:type="pct"/>
            <w:shd w:val="clear" w:color="auto" w:fill="auto"/>
            <w:noWrap/>
            <w:vAlign w:val="bottom"/>
          </w:tcPr>
          <w:p w14:paraId="72D40228" w14:textId="77777777" w:rsidR="00671349" w:rsidRPr="00BC68C4" w:rsidRDefault="00671349" w:rsidP="00F7233F">
            <w:pPr>
              <w:jc w:val="center"/>
              <w:rPr>
                <w:rFonts w:ascii="Times New Roman" w:eastAsia="Times New Roman" w:hAnsi="Times New Roman" w:cs="Times New Roman"/>
                <w:color w:val="000000"/>
                <w:sz w:val="16"/>
                <w:szCs w:val="16"/>
                <w:lang w:eastAsia="en-GB"/>
              </w:rPr>
            </w:pPr>
          </w:p>
        </w:tc>
        <w:tc>
          <w:tcPr>
            <w:tcW w:w="378" w:type="pct"/>
            <w:shd w:val="clear" w:color="auto" w:fill="auto"/>
            <w:noWrap/>
            <w:vAlign w:val="bottom"/>
          </w:tcPr>
          <w:p w14:paraId="4A63A7F3" w14:textId="77777777" w:rsidR="00671349" w:rsidRPr="00BC68C4" w:rsidRDefault="00671349" w:rsidP="00F7233F">
            <w:pPr>
              <w:jc w:val="center"/>
              <w:rPr>
                <w:rFonts w:ascii="Times New Roman" w:eastAsia="Times New Roman" w:hAnsi="Times New Roman" w:cs="Times New Roman"/>
                <w:color w:val="000000"/>
                <w:sz w:val="16"/>
                <w:szCs w:val="16"/>
                <w:lang w:eastAsia="en-GB"/>
              </w:rPr>
            </w:pPr>
          </w:p>
        </w:tc>
        <w:tc>
          <w:tcPr>
            <w:tcW w:w="484" w:type="pct"/>
            <w:shd w:val="clear" w:color="auto" w:fill="auto"/>
            <w:noWrap/>
            <w:vAlign w:val="bottom"/>
          </w:tcPr>
          <w:p w14:paraId="6C2EF303" w14:textId="77777777" w:rsidR="00671349" w:rsidRPr="00BC68C4" w:rsidRDefault="00671349" w:rsidP="00F7233F">
            <w:pPr>
              <w:jc w:val="center"/>
              <w:rPr>
                <w:rFonts w:ascii="Times New Roman" w:eastAsia="Times New Roman" w:hAnsi="Times New Roman" w:cs="Times New Roman"/>
                <w:color w:val="000000"/>
                <w:sz w:val="16"/>
                <w:szCs w:val="16"/>
                <w:lang w:eastAsia="en-GB"/>
              </w:rPr>
            </w:pPr>
          </w:p>
        </w:tc>
        <w:tc>
          <w:tcPr>
            <w:tcW w:w="505" w:type="pct"/>
            <w:shd w:val="clear" w:color="auto" w:fill="auto"/>
            <w:noWrap/>
            <w:vAlign w:val="bottom"/>
          </w:tcPr>
          <w:p w14:paraId="602D9CD8" w14:textId="77777777" w:rsidR="00671349" w:rsidRPr="00BC68C4" w:rsidRDefault="00671349" w:rsidP="00F7233F">
            <w:pPr>
              <w:jc w:val="center"/>
              <w:rPr>
                <w:rFonts w:ascii="Times New Roman" w:eastAsia="Times New Roman" w:hAnsi="Times New Roman" w:cs="Times New Roman"/>
                <w:color w:val="000000"/>
                <w:sz w:val="16"/>
                <w:szCs w:val="16"/>
                <w:lang w:eastAsia="en-GB"/>
              </w:rPr>
            </w:pPr>
          </w:p>
        </w:tc>
        <w:tc>
          <w:tcPr>
            <w:tcW w:w="498" w:type="pct"/>
            <w:shd w:val="clear" w:color="auto" w:fill="auto"/>
            <w:noWrap/>
            <w:vAlign w:val="bottom"/>
          </w:tcPr>
          <w:p w14:paraId="50E6F3BE" w14:textId="77777777" w:rsidR="00671349" w:rsidRPr="00BC68C4" w:rsidRDefault="00671349" w:rsidP="00F7233F">
            <w:pPr>
              <w:jc w:val="center"/>
              <w:rPr>
                <w:rFonts w:ascii="Times New Roman" w:eastAsia="Times New Roman" w:hAnsi="Times New Roman" w:cs="Times New Roman"/>
                <w:color w:val="000000"/>
                <w:sz w:val="16"/>
                <w:szCs w:val="16"/>
                <w:lang w:eastAsia="en-GB"/>
              </w:rPr>
            </w:pPr>
          </w:p>
        </w:tc>
        <w:tc>
          <w:tcPr>
            <w:tcW w:w="277" w:type="pct"/>
            <w:shd w:val="clear" w:color="auto" w:fill="auto"/>
            <w:noWrap/>
            <w:vAlign w:val="bottom"/>
          </w:tcPr>
          <w:p w14:paraId="4721A1BB" w14:textId="77777777" w:rsidR="00671349" w:rsidRPr="00BC68C4" w:rsidRDefault="00671349" w:rsidP="00F7233F">
            <w:pPr>
              <w:jc w:val="center"/>
              <w:rPr>
                <w:rFonts w:ascii="Times New Roman" w:eastAsia="Times New Roman" w:hAnsi="Times New Roman" w:cs="Times New Roman"/>
                <w:color w:val="000000"/>
                <w:sz w:val="16"/>
                <w:szCs w:val="16"/>
                <w:lang w:eastAsia="en-GB"/>
              </w:rPr>
            </w:pPr>
          </w:p>
        </w:tc>
        <w:tc>
          <w:tcPr>
            <w:tcW w:w="393" w:type="pct"/>
            <w:shd w:val="clear" w:color="auto" w:fill="auto"/>
            <w:noWrap/>
            <w:vAlign w:val="bottom"/>
          </w:tcPr>
          <w:p w14:paraId="70465760" w14:textId="77777777" w:rsidR="00671349" w:rsidRPr="00BC68C4" w:rsidRDefault="00671349" w:rsidP="00F7233F">
            <w:pPr>
              <w:jc w:val="center"/>
              <w:rPr>
                <w:rFonts w:ascii="Times New Roman" w:eastAsia="Times New Roman" w:hAnsi="Times New Roman" w:cs="Times New Roman"/>
                <w:color w:val="000000"/>
                <w:sz w:val="16"/>
                <w:szCs w:val="16"/>
                <w:lang w:eastAsia="en-GB"/>
              </w:rPr>
            </w:pPr>
          </w:p>
        </w:tc>
      </w:tr>
      <w:tr w:rsidR="00671349" w:rsidRPr="00BC68C4" w14:paraId="5CAC209B" w14:textId="77777777" w:rsidTr="00671349">
        <w:trPr>
          <w:trHeight w:hRule="exact" w:val="261"/>
        </w:trPr>
        <w:tc>
          <w:tcPr>
            <w:tcW w:w="508" w:type="pct"/>
            <w:shd w:val="clear" w:color="auto" w:fill="auto"/>
            <w:noWrap/>
            <w:vAlign w:val="center"/>
            <w:hideMark/>
          </w:tcPr>
          <w:p w14:paraId="017DCA36" w14:textId="77777777" w:rsidR="00671349" w:rsidRPr="00BC68C4" w:rsidRDefault="00671349" w:rsidP="00F7233F">
            <w:pPr>
              <w:jc w:val="left"/>
              <w:rPr>
                <w:rFonts w:ascii="Times New Roman" w:eastAsia="Times New Roman" w:hAnsi="Times New Roman" w:cs="Times New Roman"/>
                <w:color w:val="000000"/>
                <w:sz w:val="16"/>
                <w:szCs w:val="16"/>
                <w:lang w:eastAsia="en-GB"/>
              </w:rPr>
            </w:pPr>
            <w:proofErr w:type="spellStart"/>
            <w:r w:rsidRPr="00BC68C4">
              <w:rPr>
                <w:rFonts w:ascii="Times New Roman" w:eastAsia="Times New Roman" w:hAnsi="Times New Roman" w:cs="Times New Roman"/>
                <w:color w:val="000000"/>
                <w:sz w:val="16"/>
                <w:szCs w:val="16"/>
                <w:lang w:eastAsia="en-GB"/>
              </w:rPr>
              <w:t>VoteHHI</w:t>
            </w:r>
            <w:proofErr w:type="spellEnd"/>
            <w:r w:rsidRPr="00BC68C4">
              <w:rPr>
                <w:rFonts w:ascii="Times New Roman" w:eastAsia="Times New Roman" w:hAnsi="Times New Roman" w:cs="Times New Roman"/>
                <w:color w:val="000000"/>
                <w:sz w:val="16"/>
                <w:szCs w:val="16"/>
                <w:lang w:eastAsia="en-GB"/>
              </w:rPr>
              <w:t xml:space="preserve"> (%)</w:t>
            </w:r>
          </w:p>
        </w:tc>
        <w:tc>
          <w:tcPr>
            <w:tcW w:w="259" w:type="pct"/>
            <w:shd w:val="clear" w:color="auto" w:fill="auto"/>
            <w:noWrap/>
            <w:vAlign w:val="bottom"/>
          </w:tcPr>
          <w:p w14:paraId="51C32CDE" w14:textId="5D0ECE2E"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0.03</w:t>
            </w:r>
          </w:p>
        </w:tc>
        <w:tc>
          <w:tcPr>
            <w:tcW w:w="328" w:type="pct"/>
            <w:shd w:val="clear" w:color="auto" w:fill="auto"/>
            <w:noWrap/>
            <w:vAlign w:val="bottom"/>
          </w:tcPr>
          <w:p w14:paraId="479D23C8" w14:textId="39075C71"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-0.01</w:t>
            </w:r>
          </w:p>
        </w:tc>
        <w:tc>
          <w:tcPr>
            <w:tcW w:w="480" w:type="pct"/>
            <w:shd w:val="clear" w:color="auto" w:fill="auto"/>
            <w:noWrap/>
            <w:vAlign w:val="bottom"/>
          </w:tcPr>
          <w:p w14:paraId="72727A82" w14:textId="2E6C75EB"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0.86***</w:t>
            </w:r>
          </w:p>
        </w:tc>
        <w:tc>
          <w:tcPr>
            <w:tcW w:w="403" w:type="pct"/>
            <w:shd w:val="clear" w:color="auto" w:fill="auto"/>
            <w:noWrap/>
            <w:vAlign w:val="bottom"/>
          </w:tcPr>
          <w:p w14:paraId="2CD2B8AD" w14:textId="11F480AE"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1.00</w:t>
            </w:r>
          </w:p>
        </w:tc>
        <w:tc>
          <w:tcPr>
            <w:tcW w:w="487" w:type="pct"/>
            <w:shd w:val="clear" w:color="auto" w:fill="auto"/>
            <w:noWrap/>
            <w:vAlign w:val="bottom"/>
          </w:tcPr>
          <w:p w14:paraId="2B038A75" w14:textId="77777777" w:rsidR="00671349" w:rsidRPr="00BC68C4" w:rsidRDefault="00671349" w:rsidP="00F7233F">
            <w:pPr>
              <w:jc w:val="center"/>
              <w:rPr>
                <w:rFonts w:ascii="Times New Roman" w:eastAsia="Times New Roman" w:hAnsi="Times New Roman" w:cs="Times New Roman"/>
                <w:color w:val="000000"/>
                <w:sz w:val="16"/>
                <w:szCs w:val="16"/>
                <w:lang w:eastAsia="en-GB"/>
              </w:rPr>
            </w:pPr>
          </w:p>
        </w:tc>
        <w:tc>
          <w:tcPr>
            <w:tcW w:w="378" w:type="pct"/>
            <w:shd w:val="clear" w:color="auto" w:fill="auto"/>
            <w:noWrap/>
            <w:vAlign w:val="bottom"/>
          </w:tcPr>
          <w:p w14:paraId="41E37A87" w14:textId="77777777" w:rsidR="00671349" w:rsidRPr="00BC68C4" w:rsidRDefault="00671349" w:rsidP="00F7233F">
            <w:pPr>
              <w:jc w:val="center"/>
              <w:rPr>
                <w:rFonts w:ascii="Times New Roman" w:eastAsia="Times New Roman" w:hAnsi="Times New Roman" w:cs="Times New Roman"/>
                <w:color w:val="000000"/>
                <w:sz w:val="16"/>
                <w:szCs w:val="16"/>
                <w:lang w:eastAsia="en-GB"/>
              </w:rPr>
            </w:pPr>
          </w:p>
        </w:tc>
        <w:tc>
          <w:tcPr>
            <w:tcW w:w="484" w:type="pct"/>
            <w:shd w:val="clear" w:color="auto" w:fill="auto"/>
            <w:noWrap/>
            <w:vAlign w:val="bottom"/>
          </w:tcPr>
          <w:p w14:paraId="4EE06695" w14:textId="77777777" w:rsidR="00671349" w:rsidRPr="00BC68C4" w:rsidRDefault="00671349" w:rsidP="00F7233F">
            <w:pPr>
              <w:jc w:val="center"/>
              <w:rPr>
                <w:rFonts w:ascii="Times New Roman" w:eastAsia="Times New Roman" w:hAnsi="Times New Roman" w:cs="Times New Roman"/>
                <w:color w:val="000000"/>
                <w:sz w:val="16"/>
                <w:szCs w:val="16"/>
                <w:lang w:eastAsia="en-GB"/>
              </w:rPr>
            </w:pPr>
          </w:p>
        </w:tc>
        <w:tc>
          <w:tcPr>
            <w:tcW w:w="505" w:type="pct"/>
            <w:shd w:val="clear" w:color="auto" w:fill="auto"/>
            <w:noWrap/>
            <w:vAlign w:val="bottom"/>
          </w:tcPr>
          <w:p w14:paraId="11CC3E4B" w14:textId="77777777" w:rsidR="00671349" w:rsidRPr="00BC68C4" w:rsidRDefault="00671349" w:rsidP="00F7233F">
            <w:pPr>
              <w:jc w:val="center"/>
              <w:rPr>
                <w:rFonts w:ascii="Times New Roman" w:eastAsia="Times New Roman" w:hAnsi="Times New Roman" w:cs="Times New Roman"/>
                <w:color w:val="000000"/>
                <w:sz w:val="16"/>
                <w:szCs w:val="16"/>
                <w:lang w:eastAsia="en-GB"/>
              </w:rPr>
            </w:pPr>
          </w:p>
        </w:tc>
        <w:tc>
          <w:tcPr>
            <w:tcW w:w="498" w:type="pct"/>
            <w:shd w:val="clear" w:color="auto" w:fill="auto"/>
            <w:noWrap/>
            <w:vAlign w:val="bottom"/>
          </w:tcPr>
          <w:p w14:paraId="637E86C1" w14:textId="77777777" w:rsidR="00671349" w:rsidRPr="00BC68C4" w:rsidRDefault="00671349" w:rsidP="00F7233F">
            <w:pPr>
              <w:jc w:val="center"/>
              <w:rPr>
                <w:rFonts w:ascii="Times New Roman" w:eastAsia="Times New Roman" w:hAnsi="Times New Roman" w:cs="Times New Roman"/>
                <w:color w:val="000000"/>
                <w:sz w:val="16"/>
                <w:szCs w:val="16"/>
                <w:lang w:eastAsia="en-GB"/>
              </w:rPr>
            </w:pPr>
          </w:p>
        </w:tc>
        <w:tc>
          <w:tcPr>
            <w:tcW w:w="277" w:type="pct"/>
            <w:shd w:val="clear" w:color="auto" w:fill="auto"/>
            <w:noWrap/>
            <w:vAlign w:val="bottom"/>
          </w:tcPr>
          <w:p w14:paraId="08048D35" w14:textId="77777777" w:rsidR="00671349" w:rsidRPr="00BC68C4" w:rsidRDefault="00671349" w:rsidP="00F7233F">
            <w:pPr>
              <w:jc w:val="center"/>
              <w:rPr>
                <w:rFonts w:ascii="Times New Roman" w:eastAsia="Times New Roman" w:hAnsi="Times New Roman" w:cs="Times New Roman"/>
                <w:color w:val="000000"/>
                <w:sz w:val="16"/>
                <w:szCs w:val="16"/>
                <w:lang w:eastAsia="en-GB"/>
              </w:rPr>
            </w:pPr>
          </w:p>
        </w:tc>
        <w:tc>
          <w:tcPr>
            <w:tcW w:w="393" w:type="pct"/>
            <w:shd w:val="clear" w:color="auto" w:fill="auto"/>
            <w:noWrap/>
            <w:vAlign w:val="bottom"/>
          </w:tcPr>
          <w:p w14:paraId="31A9DDBB" w14:textId="77777777" w:rsidR="00671349" w:rsidRPr="00BC68C4" w:rsidRDefault="00671349" w:rsidP="00F7233F">
            <w:pPr>
              <w:jc w:val="center"/>
              <w:rPr>
                <w:rFonts w:ascii="Times New Roman" w:eastAsia="Times New Roman" w:hAnsi="Times New Roman" w:cs="Times New Roman"/>
                <w:color w:val="000000"/>
                <w:sz w:val="16"/>
                <w:szCs w:val="16"/>
                <w:lang w:eastAsia="en-GB"/>
              </w:rPr>
            </w:pPr>
          </w:p>
        </w:tc>
      </w:tr>
      <w:tr w:rsidR="00671349" w:rsidRPr="00BC68C4" w14:paraId="1E427043" w14:textId="77777777" w:rsidTr="00671349">
        <w:trPr>
          <w:trHeight w:val="261"/>
        </w:trPr>
        <w:tc>
          <w:tcPr>
            <w:tcW w:w="508" w:type="pct"/>
            <w:shd w:val="clear" w:color="auto" w:fill="auto"/>
            <w:noWrap/>
            <w:vAlign w:val="center"/>
            <w:hideMark/>
          </w:tcPr>
          <w:p w14:paraId="526BB3B2" w14:textId="77777777" w:rsidR="00671349" w:rsidRPr="00BC68C4" w:rsidRDefault="00671349" w:rsidP="00F7233F">
            <w:pPr>
              <w:jc w:val="left"/>
              <w:rPr>
                <w:rFonts w:ascii="Times New Roman" w:eastAsia="Times New Roman" w:hAnsi="Times New Roman" w:cs="Times New Roman"/>
                <w:color w:val="000000"/>
                <w:sz w:val="16"/>
                <w:szCs w:val="16"/>
                <w:lang w:eastAsia="en-GB"/>
              </w:rPr>
            </w:pPr>
            <w:proofErr w:type="spellStart"/>
            <w:r w:rsidRPr="00BC68C4">
              <w:rPr>
                <w:rFonts w:ascii="Times New Roman" w:eastAsia="Times New Roman" w:hAnsi="Times New Roman" w:cs="Times New Roman"/>
                <w:color w:val="000000"/>
                <w:sz w:val="16"/>
                <w:szCs w:val="16"/>
                <w:lang w:eastAsia="en-GB"/>
              </w:rPr>
              <w:t>VoteInsiders</w:t>
            </w:r>
            <w:proofErr w:type="spellEnd"/>
            <w:r w:rsidRPr="00BC68C4">
              <w:rPr>
                <w:rFonts w:ascii="Times New Roman" w:eastAsia="Times New Roman" w:hAnsi="Times New Roman" w:cs="Times New Roman"/>
                <w:color w:val="000000"/>
                <w:sz w:val="16"/>
                <w:szCs w:val="16"/>
                <w:lang w:eastAsia="en-GB"/>
              </w:rPr>
              <w:t xml:space="preserve"> (%)</w:t>
            </w:r>
          </w:p>
        </w:tc>
        <w:tc>
          <w:tcPr>
            <w:tcW w:w="259" w:type="pct"/>
            <w:shd w:val="clear" w:color="auto" w:fill="auto"/>
            <w:noWrap/>
            <w:vAlign w:val="bottom"/>
          </w:tcPr>
          <w:p w14:paraId="08D9A842" w14:textId="08D0CBEE"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0.10</w:t>
            </w:r>
          </w:p>
        </w:tc>
        <w:tc>
          <w:tcPr>
            <w:tcW w:w="328" w:type="pct"/>
            <w:shd w:val="clear" w:color="auto" w:fill="auto"/>
            <w:noWrap/>
            <w:vAlign w:val="bottom"/>
          </w:tcPr>
          <w:p w14:paraId="2118915E" w14:textId="4D2C21A8"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0.04</w:t>
            </w:r>
          </w:p>
        </w:tc>
        <w:tc>
          <w:tcPr>
            <w:tcW w:w="480" w:type="pct"/>
            <w:shd w:val="clear" w:color="auto" w:fill="auto"/>
            <w:noWrap/>
            <w:vAlign w:val="bottom"/>
          </w:tcPr>
          <w:p w14:paraId="468D8F20" w14:textId="56BA6CDB"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0.93***</w:t>
            </w:r>
          </w:p>
        </w:tc>
        <w:tc>
          <w:tcPr>
            <w:tcW w:w="403" w:type="pct"/>
            <w:shd w:val="clear" w:color="auto" w:fill="auto"/>
            <w:noWrap/>
            <w:vAlign w:val="bottom"/>
          </w:tcPr>
          <w:p w14:paraId="3FB89F82" w14:textId="12916A50"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0.83***</w:t>
            </w:r>
          </w:p>
        </w:tc>
        <w:tc>
          <w:tcPr>
            <w:tcW w:w="487" w:type="pct"/>
            <w:shd w:val="clear" w:color="auto" w:fill="auto"/>
            <w:noWrap/>
            <w:vAlign w:val="bottom"/>
          </w:tcPr>
          <w:p w14:paraId="28CC12BF" w14:textId="383D0910"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1.00</w:t>
            </w:r>
          </w:p>
        </w:tc>
        <w:tc>
          <w:tcPr>
            <w:tcW w:w="378" w:type="pct"/>
            <w:shd w:val="clear" w:color="auto" w:fill="auto"/>
            <w:noWrap/>
            <w:vAlign w:val="bottom"/>
          </w:tcPr>
          <w:p w14:paraId="37F7FF08" w14:textId="77777777" w:rsidR="00671349" w:rsidRPr="00BC68C4" w:rsidRDefault="00671349" w:rsidP="00F7233F">
            <w:pPr>
              <w:jc w:val="center"/>
              <w:rPr>
                <w:rFonts w:ascii="Times New Roman" w:eastAsia="Times New Roman" w:hAnsi="Times New Roman" w:cs="Times New Roman"/>
                <w:color w:val="000000"/>
                <w:sz w:val="16"/>
                <w:szCs w:val="16"/>
                <w:lang w:eastAsia="en-GB"/>
              </w:rPr>
            </w:pPr>
          </w:p>
        </w:tc>
        <w:tc>
          <w:tcPr>
            <w:tcW w:w="484" w:type="pct"/>
            <w:shd w:val="clear" w:color="auto" w:fill="auto"/>
            <w:noWrap/>
            <w:vAlign w:val="bottom"/>
          </w:tcPr>
          <w:p w14:paraId="3FFFA0FC" w14:textId="77777777" w:rsidR="00671349" w:rsidRPr="00BC68C4" w:rsidRDefault="00671349" w:rsidP="00F7233F">
            <w:pPr>
              <w:jc w:val="center"/>
              <w:rPr>
                <w:rFonts w:ascii="Times New Roman" w:eastAsia="Times New Roman" w:hAnsi="Times New Roman" w:cs="Times New Roman"/>
                <w:color w:val="000000"/>
                <w:sz w:val="16"/>
                <w:szCs w:val="16"/>
                <w:lang w:eastAsia="en-GB"/>
              </w:rPr>
            </w:pPr>
          </w:p>
        </w:tc>
        <w:tc>
          <w:tcPr>
            <w:tcW w:w="505" w:type="pct"/>
            <w:shd w:val="clear" w:color="auto" w:fill="auto"/>
            <w:noWrap/>
            <w:vAlign w:val="bottom"/>
          </w:tcPr>
          <w:p w14:paraId="4CCFBD89" w14:textId="77777777" w:rsidR="00671349" w:rsidRPr="00BC68C4" w:rsidRDefault="00671349" w:rsidP="00F7233F">
            <w:pPr>
              <w:jc w:val="center"/>
              <w:rPr>
                <w:rFonts w:ascii="Times New Roman" w:eastAsia="Times New Roman" w:hAnsi="Times New Roman" w:cs="Times New Roman"/>
                <w:color w:val="000000"/>
                <w:sz w:val="16"/>
                <w:szCs w:val="16"/>
                <w:lang w:eastAsia="en-GB"/>
              </w:rPr>
            </w:pPr>
          </w:p>
        </w:tc>
        <w:tc>
          <w:tcPr>
            <w:tcW w:w="498" w:type="pct"/>
            <w:shd w:val="clear" w:color="auto" w:fill="auto"/>
            <w:noWrap/>
            <w:vAlign w:val="bottom"/>
          </w:tcPr>
          <w:p w14:paraId="58A71060" w14:textId="77777777" w:rsidR="00671349" w:rsidRPr="00BC68C4" w:rsidRDefault="00671349" w:rsidP="00F7233F">
            <w:pPr>
              <w:jc w:val="center"/>
              <w:rPr>
                <w:rFonts w:ascii="Times New Roman" w:eastAsia="Times New Roman" w:hAnsi="Times New Roman" w:cs="Times New Roman"/>
                <w:color w:val="000000"/>
                <w:sz w:val="16"/>
                <w:szCs w:val="16"/>
                <w:lang w:eastAsia="en-GB"/>
              </w:rPr>
            </w:pPr>
          </w:p>
        </w:tc>
        <w:tc>
          <w:tcPr>
            <w:tcW w:w="277" w:type="pct"/>
            <w:shd w:val="clear" w:color="auto" w:fill="auto"/>
            <w:noWrap/>
            <w:vAlign w:val="bottom"/>
          </w:tcPr>
          <w:p w14:paraId="1C2C2A63" w14:textId="77777777" w:rsidR="00671349" w:rsidRPr="00BC68C4" w:rsidRDefault="00671349" w:rsidP="00F7233F">
            <w:pPr>
              <w:jc w:val="center"/>
              <w:rPr>
                <w:rFonts w:ascii="Times New Roman" w:eastAsia="Times New Roman" w:hAnsi="Times New Roman" w:cs="Times New Roman"/>
                <w:color w:val="000000"/>
                <w:sz w:val="16"/>
                <w:szCs w:val="16"/>
                <w:lang w:eastAsia="en-GB"/>
              </w:rPr>
            </w:pPr>
          </w:p>
        </w:tc>
        <w:tc>
          <w:tcPr>
            <w:tcW w:w="393" w:type="pct"/>
            <w:shd w:val="clear" w:color="auto" w:fill="auto"/>
            <w:noWrap/>
            <w:vAlign w:val="bottom"/>
          </w:tcPr>
          <w:p w14:paraId="6562E6F0" w14:textId="77777777" w:rsidR="00671349" w:rsidRPr="00BC68C4" w:rsidRDefault="00671349" w:rsidP="00F7233F">
            <w:pPr>
              <w:jc w:val="center"/>
              <w:rPr>
                <w:rFonts w:ascii="Times New Roman" w:eastAsia="Times New Roman" w:hAnsi="Times New Roman" w:cs="Times New Roman"/>
                <w:color w:val="000000"/>
                <w:sz w:val="16"/>
                <w:szCs w:val="16"/>
                <w:lang w:eastAsia="en-GB"/>
              </w:rPr>
            </w:pPr>
          </w:p>
        </w:tc>
      </w:tr>
      <w:tr w:rsidR="00671349" w:rsidRPr="00BC68C4" w14:paraId="5C5BE316" w14:textId="77777777" w:rsidTr="00671349">
        <w:trPr>
          <w:trHeight w:val="261"/>
        </w:trPr>
        <w:tc>
          <w:tcPr>
            <w:tcW w:w="508" w:type="pct"/>
            <w:shd w:val="clear" w:color="auto" w:fill="auto"/>
            <w:noWrap/>
            <w:vAlign w:val="center"/>
            <w:hideMark/>
          </w:tcPr>
          <w:p w14:paraId="75D98378" w14:textId="77777777" w:rsidR="00671349" w:rsidRPr="00BC68C4" w:rsidRDefault="00671349" w:rsidP="00F7233F">
            <w:pPr>
              <w:jc w:val="left"/>
              <w:rPr>
                <w:rFonts w:ascii="Times New Roman" w:eastAsia="Times New Roman" w:hAnsi="Times New Roman" w:cs="Times New Roman"/>
                <w:color w:val="000000"/>
                <w:sz w:val="16"/>
                <w:szCs w:val="16"/>
                <w:lang w:eastAsia="en-GB"/>
              </w:rPr>
            </w:pPr>
            <w:proofErr w:type="spellStart"/>
            <w:r w:rsidRPr="00BC68C4">
              <w:rPr>
                <w:rFonts w:ascii="Times New Roman" w:eastAsia="Times New Roman" w:hAnsi="Times New Roman" w:cs="Times New Roman"/>
                <w:color w:val="000000"/>
                <w:sz w:val="16"/>
                <w:szCs w:val="16"/>
                <w:lang w:eastAsia="en-GB"/>
              </w:rPr>
              <w:t>VoteDir</w:t>
            </w:r>
            <w:proofErr w:type="spellEnd"/>
            <w:r w:rsidRPr="00BC68C4">
              <w:rPr>
                <w:rFonts w:ascii="Times New Roman" w:eastAsia="Times New Roman" w:hAnsi="Times New Roman" w:cs="Times New Roman"/>
                <w:color w:val="000000"/>
                <w:sz w:val="16"/>
                <w:szCs w:val="16"/>
                <w:lang w:eastAsia="en-GB"/>
              </w:rPr>
              <w:t xml:space="preserve"> (%)</w:t>
            </w:r>
          </w:p>
        </w:tc>
        <w:tc>
          <w:tcPr>
            <w:tcW w:w="259" w:type="pct"/>
            <w:shd w:val="clear" w:color="auto" w:fill="auto"/>
            <w:noWrap/>
            <w:vAlign w:val="bottom"/>
          </w:tcPr>
          <w:p w14:paraId="34957739" w14:textId="33F59611"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0.14**</w:t>
            </w:r>
          </w:p>
        </w:tc>
        <w:tc>
          <w:tcPr>
            <w:tcW w:w="328" w:type="pct"/>
            <w:shd w:val="clear" w:color="auto" w:fill="auto"/>
            <w:noWrap/>
            <w:vAlign w:val="bottom"/>
          </w:tcPr>
          <w:p w14:paraId="650B9D72" w14:textId="20BD764D"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0.06</w:t>
            </w:r>
          </w:p>
        </w:tc>
        <w:tc>
          <w:tcPr>
            <w:tcW w:w="480" w:type="pct"/>
            <w:shd w:val="clear" w:color="auto" w:fill="auto"/>
            <w:noWrap/>
            <w:vAlign w:val="bottom"/>
          </w:tcPr>
          <w:p w14:paraId="09A41328" w14:textId="23E3DB95"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0.69***</w:t>
            </w:r>
          </w:p>
        </w:tc>
        <w:tc>
          <w:tcPr>
            <w:tcW w:w="403" w:type="pct"/>
            <w:shd w:val="clear" w:color="auto" w:fill="auto"/>
            <w:noWrap/>
            <w:vAlign w:val="bottom"/>
          </w:tcPr>
          <w:p w14:paraId="767F98DB" w14:textId="767A7E99"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0.49***</w:t>
            </w:r>
          </w:p>
        </w:tc>
        <w:tc>
          <w:tcPr>
            <w:tcW w:w="487" w:type="pct"/>
            <w:shd w:val="clear" w:color="auto" w:fill="auto"/>
            <w:noWrap/>
            <w:vAlign w:val="bottom"/>
          </w:tcPr>
          <w:p w14:paraId="1817F3A9" w14:textId="20F6D53F"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0.76***</w:t>
            </w:r>
          </w:p>
        </w:tc>
        <w:tc>
          <w:tcPr>
            <w:tcW w:w="378" w:type="pct"/>
            <w:shd w:val="clear" w:color="auto" w:fill="auto"/>
            <w:noWrap/>
            <w:vAlign w:val="bottom"/>
          </w:tcPr>
          <w:p w14:paraId="69EB55A9" w14:textId="433E47D0"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1.00</w:t>
            </w:r>
          </w:p>
        </w:tc>
        <w:tc>
          <w:tcPr>
            <w:tcW w:w="484" w:type="pct"/>
            <w:shd w:val="clear" w:color="auto" w:fill="auto"/>
            <w:noWrap/>
            <w:vAlign w:val="bottom"/>
          </w:tcPr>
          <w:p w14:paraId="0442283D" w14:textId="77777777" w:rsidR="00671349" w:rsidRPr="00BC68C4" w:rsidRDefault="00671349" w:rsidP="00F7233F">
            <w:pPr>
              <w:jc w:val="center"/>
              <w:rPr>
                <w:rFonts w:ascii="Times New Roman" w:eastAsia="Times New Roman" w:hAnsi="Times New Roman" w:cs="Times New Roman"/>
                <w:color w:val="000000"/>
                <w:sz w:val="16"/>
                <w:szCs w:val="16"/>
                <w:lang w:eastAsia="en-GB"/>
              </w:rPr>
            </w:pPr>
          </w:p>
        </w:tc>
        <w:tc>
          <w:tcPr>
            <w:tcW w:w="505" w:type="pct"/>
            <w:shd w:val="clear" w:color="auto" w:fill="auto"/>
            <w:noWrap/>
            <w:vAlign w:val="bottom"/>
          </w:tcPr>
          <w:p w14:paraId="790E5897" w14:textId="77777777" w:rsidR="00671349" w:rsidRPr="00BC68C4" w:rsidRDefault="00671349" w:rsidP="00F7233F">
            <w:pPr>
              <w:jc w:val="center"/>
              <w:rPr>
                <w:rFonts w:ascii="Times New Roman" w:eastAsia="Times New Roman" w:hAnsi="Times New Roman" w:cs="Times New Roman"/>
                <w:color w:val="000000"/>
                <w:sz w:val="16"/>
                <w:szCs w:val="16"/>
                <w:lang w:eastAsia="en-GB"/>
              </w:rPr>
            </w:pPr>
          </w:p>
        </w:tc>
        <w:tc>
          <w:tcPr>
            <w:tcW w:w="498" w:type="pct"/>
            <w:shd w:val="clear" w:color="auto" w:fill="auto"/>
            <w:noWrap/>
            <w:vAlign w:val="bottom"/>
          </w:tcPr>
          <w:p w14:paraId="36698E0B" w14:textId="77777777" w:rsidR="00671349" w:rsidRPr="00BC68C4" w:rsidRDefault="00671349" w:rsidP="00F7233F">
            <w:pPr>
              <w:jc w:val="center"/>
              <w:rPr>
                <w:rFonts w:ascii="Times New Roman" w:eastAsia="Times New Roman" w:hAnsi="Times New Roman" w:cs="Times New Roman"/>
                <w:color w:val="000000"/>
                <w:sz w:val="16"/>
                <w:szCs w:val="16"/>
                <w:lang w:eastAsia="en-GB"/>
              </w:rPr>
            </w:pPr>
          </w:p>
        </w:tc>
        <w:tc>
          <w:tcPr>
            <w:tcW w:w="277" w:type="pct"/>
            <w:shd w:val="clear" w:color="auto" w:fill="auto"/>
            <w:noWrap/>
            <w:vAlign w:val="bottom"/>
          </w:tcPr>
          <w:p w14:paraId="0A7B1923" w14:textId="77777777" w:rsidR="00671349" w:rsidRPr="00BC68C4" w:rsidRDefault="00671349" w:rsidP="00F7233F">
            <w:pPr>
              <w:jc w:val="center"/>
              <w:rPr>
                <w:rFonts w:ascii="Times New Roman" w:eastAsia="Times New Roman" w:hAnsi="Times New Roman" w:cs="Times New Roman"/>
                <w:color w:val="000000"/>
                <w:sz w:val="16"/>
                <w:szCs w:val="16"/>
                <w:lang w:eastAsia="en-GB"/>
              </w:rPr>
            </w:pPr>
          </w:p>
        </w:tc>
        <w:tc>
          <w:tcPr>
            <w:tcW w:w="393" w:type="pct"/>
            <w:shd w:val="clear" w:color="auto" w:fill="auto"/>
            <w:noWrap/>
            <w:vAlign w:val="bottom"/>
          </w:tcPr>
          <w:p w14:paraId="2F7FFEBA" w14:textId="77777777" w:rsidR="00671349" w:rsidRPr="00BC68C4" w:rsidRDefault="00671349" w:rsidP="00F7233F">
            <w:pPr>
              <w:jc w:val="center"/>
              <w:rPr>
                <w:rFonts w:ascii="Times New Roman" w:eastAsia="Times New Roman" w:hAnsi="Times New Roman" w:cs="Times New Roman"/>
                <w:color w:val="000000"/>
                <w:sz w:val="16"/>
                <w:szCs w:val="16"/>
                <w:lang w:eastAsia="en-GB"/>
              </w:rPr>
            </w:pPr>
          </w:p>
        </w:tc>
      </w:tr>
      <w:tr w:rsidR="00671349" w:rsidRPr="00BC68C4" w14:paraId="4BB756F5" w14:textId="77777777" w:rsidTr="00671349">
        <w:trPr>
          <w:trHeight w:val="261"/>
        </w:trPr>
        <w:tc>
          <w:tcPr>
            <w:tcW w:w="508" w:type="pct"/>
            <w:shd w:val="clear" w:color="auto" w:fill="auto"/>
            <w:noWrap/>
            <w:vAlign w:val="center"/>
            <w:hideMark/>
          </w:tcPr>
          <w:p w14:paraId="4C23A1B3" w14:textId="77777777" w:rsidR="00671349" w:rsidRPr="00BC68C4" w:rsidRDefault="00671349" w:rsidP="00F7233F">
            <w:pPr>
              <w:jc w:val="left"/>
              <w:rPr>
                <w:rFonts w:ascii="Times New Roman" w:eastAsia="Times New Roman" w:hAnsi="Times New Roman" w:cs="Times New Roman"/>
                <w:color w:val="000000"/>
                <w:sz w:val="16"/>
                <w:szCs w:val="16"/>
                <w:lang w:eastAsia="en-GB"/>
              </w:rPr>
            </w:pPr>
            <w:proofErr w:type="spellStart"/>
            <w:r w:rsidRPr="00BC68C4">
              <w:rPr>
                <w:rFonts w:ascii="Times New Roman" w:eastAsia="Times New Roman" w:hAnsi="Times New Roman" w:cs="Times New Roman"/>
                <w:color w:val="000000"/>
                <w:sz w:val="16"/>
                <w:szCs w:val="16"/>
                <w:lang w:eastAsia="en-GB"/>
              </w:rPr>
              <w:t>ActiveBlock</w:t>
            </w:r>
            <w:proofErr w:type="spellEnd"/>
            <w:r w:rsidRPr="00BC68C4">
              <w:rPr>
                <w:rFonts w:ascii="Times New Roman" w:eastAsia="Times New Roman" w:hAnsi="Times New Roman" w:cs="Times New Roman"/>
                <w:color w:val="000000"/>
                <w:sz w:val="16"/>
                <w:szCs w:val="16"/>
                <w:lang w:eastAsia="en-GB"/>
              </w:rPr>
              <w:t xml:space="preserve"> (%)</w:t>
            </w:r>
          </w:p>
        </w:tc>
        <w:tc>
          <w:tcPr>
            <w:tcW w:w="259" w:type="pct"/>
            <w:shd w:val="clear" w:color="auto" w:fill="auto"/>
            <w:noWrap/>
            <w:vAlign w:val="bottom"/>
          </w:tcPr>
          <w:p w14:paraId="0DFF40A6" w14:textId="6F8AE8A8"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0.16**</w:t>
            </w:r>
          </w:p>
        </w:tc>
        <w:tc>
          <w:tcPr>
            <w:tcW w:w="328" w:type="pct"/>
            <w:shd w:val="clear" w:color="auto" w:fill="auto"/>
            <w:noWrap/>
            <w:vAlign w:val="bottom"/>
          </w:tcPr>
          <w:p w14:paraId="145FD402" w14:textId="44989507"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0.04</w:t>
            </w:r>
          </w:p>
        </w:tc>
        <w:tc>
          <w:tcPr>
            <w:tcW w:w="480" w:type="pct"/>
            <w:shd w:val="clear" w:color="auto" w:fill="auto"/>
            <w:noWrap/>
            <w:vAlign w:val="bottom"/>
          </w:tcPr>
          <w:p w14:paraId="3B5510F1" w14:textId="40ECD68C"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0.68***</w:t>
            </w:r>
          </w:p>
        </w:tc>
        <w:tc>
          <w:tcPr>
            <w:tcW w:w="403" w:type="pct"/>
            <w:shd w:val="clear" w:color="auto" w:fill="auto"/>
            <w:noWrap/>
            <w:vAlign w:val="bottom"/>
          </w:tcPr>
          <w:p w14:paraId="4977BA94" w14:textId="7857A028"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0.59***</w:t>
            </w:r>
          </w:p>
        </w:tc>
        <w:tc>
          <w:tcPr>
            <w:tcW w:w="487" w:type="pct"/>
            <w:shd w:val="clear" w:color="auto" w:fill="auto"/>
            <w:noWrap/>
            <w:vAlign w:val="bottom"/>
          </w:tcPr>
          <w:p w14:paraId="113D8F1E" w14:textId="385F854A"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0.70***</w:t>
            </w:r>
          </w:p>
        </w:tc>
        <w:tc>
          <w:tcPr>
            <w:tcW w:w="378" w:type="pct"/>
            <w:shd w:val="clear" w:color="auto" w:fill="auto"/>
            <w:noWrap/>
            <w:vAlign w:val="bottom"/>
          </w:tcPr>
          <w:p w14:paraId="01A83317" w14:textId="2077C342"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0.88***</w:t>
            </w:r>
          </w:p>
        </w:tc>
        <w:tc>
          <w:tcPr>
            <w:tcW w:w="484" w:type="pct"/>
            <w:shd w:val="clear" w:color="auto" w:fill="auto"/>
            <w:noWrap/>
            <w:vAlign w:val="bottom"/>
          </w:tcPr>
          <w:p w14:paraId="2CBCADE2" w14:textId="0AA1F3E6"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1.00</w:t>
            </w:r>
          </w:p>
        </w:tc>
        <w:tc>
          <w:tcPr>
            <w:tcW w:w="505" w:type="pct"/>
            <w:shd w:val="clear" w:color="auto" w:fill="auto"/>
            <w:noWrap/>
            <w:vAlign w:val="bottom"/>
          </w:tcPr>
          <w:p w14:paraId="5D67773D" w14:textId="77777777" w:rsidR="00671349" w:rsidRPr="00BC68C4" w:rsidRDefault="00671349" w:rsidP="00F7233F">
            <w:pPr>
              <w:jc w:val="center"/>
              <w:rPr>
                <w:rFonts w:ascii="Times New Roman" w:eastAsia="Times New Roman" w:hAnsi="Times New Roman" w:cs="Times New Roman"/>
                <w:color w:val="000000"/>
                <w:sz w:val="16"/>
                <w:szCs w:val="16"/>
                <w:lang w:eastAsia="en-GB"/>
              </w:rPr>
            </w:pPr>
          </w:p>
        </w:tc>
        <w:tc>
          <w:tcPr>
            <w:tcW w:w="498" w:type="pct"/>
            <w:shd w:val="clear" w:color="auto" w:fill="auto"/>
            <w:noWrap/>
            <w:vAlign w:val="bottom"/>
          </w:tcPr>
          <w:p w14:paraId="65565715" w14:textId="77777777" w:rsidR="00671349" w:rsidRPr="00BC68C4" w:rsidRDefault="00671349" w:rsidP="00F7233F">
            <w:pPr>
              <w:jc w:val="center"/>
              <w:rPr>
                <w:rFonts w:ascii="Times New Roman" w:eastAsia="Times New Roman" w:hAnsi="Times New Roman" w:cs="Times New Roman"/>
                <w:color w:val="000000"/>
                <w:sz w:val="16"/>
                <w:szCs w:val="16"/>
                <w:lang w:eastAsia="en-GB"/>
              </w:rPr>
            </w:pPr>
          </w:p>
        </w:tc>
        <w:tc>
          <w:tcPr>
            <w:tcW w:w="277" w:type="pct"/>
            <w:shd w:val="clear" w:color="auto" w:fill="auto"/>
            <w:noWrap/>
            <w:vAlign w:val="bottom"/>
          </w:tcPr>
          <w:p w14:paraId="3C57A2C9" w14:textId="77777777" w:rsidR="00671349" w:rsidRPr="00BC68C4" w:rsidRDefault="00671349" w:rsidP="00F7233F">
            <w:pPr>
              <w:jc w:val="center"/>
              <w:rPr>
                <w:rFonts w:ascii="Times New Roman" w:eastAsia="Times New Roman" w:hAnsi="Times New Roman" w:cs="Times New Roman"/>
                <w:color w:val="000000"/>
                <w:sz w:val="16"/>
                <w:szCs w:val="16"/>
                <w:lang w:eastAsia="en-GB"/>
              </w:rPr>
            </w:pPr>
          </w:p>
        </w:tc>
        <w:tc>
          <w:tcPr>
            <w:tcW w:w="393" w:type="pct"/>
            <w:shd w:val="clear" w:color="auto" w:fill="auto"/>
            <w:noWrap/>
            <w:vAlign w:val="bottom"/>
          </w:tcPr>
          <w:p w14:paraId="090CD0EA" w14:textId="77777777" w:rsidR="00671349" w:rsidRPr="00BC68C4" w:rsidRDefault="00671349" w:rsidP="00F7233F">
            <w:pPr>
              <w:jc w:val="center"/>
              <w:rPr>
                <w:rFonts w:ascii="Times New Roman" w:eastAsia="Times New Roman" w:hAnsi="Times New Roman" w:cs="Times New Roman"/>
                <w:color w:val="000000"/>
                <w:sz w:val="16"/>
                <w:szCs w:val="16"/>
                <w:lang w:eastAsia="en-GB"/>
              </w:rPr>
            </w:pPr>
          </w:p>
        </w:tc>
      </w:tr>
      <w:tr w:rsidR="00671349" w:rsidRPr="00BC68C4" w14:paraId="0E3ABB35" w14:textId="77777777" w:rsidTr="00671349">
        <w:trPr>
          <w:trHeight w:val="261"/>
        </w:trPr>
        <w:tc>
          <w:tcPr>
            <w:tcW w:w="508" w:type="pct"/>
            <w:shd w:val="clear" w:color="auto" w:fill="auto"/>
            <w:noWrap/>
            <w:vAlign w:val="center"/>
            <w:hideMark/>
          </w:tcPr>
          <w:p w14:paraId="538FC673" w14:textId="77777777" w:rsidR="00671349" w:rsidRPr="00BC68C4" w:rsidRDefault="00671349" w:rsidP="00F7233F">
            <w:pPr>
              <w:jc w:val="left"/>
              <w:rPr>
                <w:rFonts w:ascii="Times New Roman" w:eastAsia="Times New Roman" w:hAnsi="Times New Roman" w:cs="Times New Roman"/>
                <w:color w:val="000000"/>
                <w:sz w:val="16"/>
                <w:szCs w:val="16"/>
                <w:lang w:eastAsia="en-GB"/>
              </w:rPr>
            </w:pPr>
            <w:proofErr w:type="spellStart"/>
            <w:r w:rsidRPr="00BC68C4">
              <w:rPr>
                <w:rFonts w:ascii="Times New Roman" w:eastAsia="Times New Roman" w:hAnsi="Times New Roman" w:cs="Times New Roman"/>
                <w:color w:val="000000"/>
                <w:sz w:val="16"/>
                <w:szCs w:val="16"/>
                <w:lang w:eastAsia="en-GB"/>
              </w:rPr>
              <w:t>PassiveBlock</w:t>
            </w:r>
            <w:proofErr w:type="spellEnd"/>
            <w:r w:rsidRPr="00BC68C4">
              <w:rPr>
                <w:rFonts w:ascii="Times New Roman" w:eastAsia="Times New Roman" w:hAnsi="Times New Roman" w:cs="Times New Roman"/>
                <w:color w:val="000000"/>
                <w:sz w:val="16"/>
                <w:szCs w:val="16"/>
                <w:lang w:eastAsia="en-GB"/>
              </w:rPr>
              <w:t xml:space="preserve"> (%)</w:t>
            </w:r>
          </w:p>
        </w:tc>
        <w:tc>
          <w:tcPr>
            <w:tcW w:w="259" w:type="pct"/>
            <w:shd w:val="clear" w:color="auto" w:fill="auto"/>
            <w:noWrap/>
            <w:vAlign w:val="bottom"/>
          </w:tcPr>
          <w:p w14:paraId="4DBD14A0" w14:textId="0216830B"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-0.02</w:t>
            </w:r>
          </w:p>
        </w:tc>
        <w:tc>
          <w:tcPr>
            <w:tcW w:w="328" w:type="pct"/>
            <w:shd w:val="clear" w:color="auto" w:fill="auto"/>
            <w:noWrap/>
            <w:vAlign w:val="bottom"/>
          </w:tcPr>
          <w:p w14:paraId="69CD18B6" w14:textId="34ADF139"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0.00</w:t>
            </w:r>
          </w:p>
        </w:tc>
        <w:tc>
          <w:tcPr>
            <w:tcW w:w="480" w:type="pct"/>
            <w:shd w:val="clear" w:color="auto" w:fill="auto"/>
            <w:noWrap/>
            <w:vAlign w:val="bottom"/>
          </w:tcPr>
          <w:p w14:paraId="7C39EF1B" w14:textId="4DC1A5B9"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0.57***</w:t>
            </w:r>
          </w:p>
        </w:tc>
        <w:tc>
          <w:tcPr>
            <w:tcW w:w="403" w:type="pct"/>
            <w:shd w:val="clear" w:color="auto" w:fill="auto"/>
            <w:noWrap/>
            <w:vAlign w:val="bottom"/>
          </w:tcPr>
          <w:p w14:paraId="5596DBB7" w14:textId="1D9EF05A"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0.66***</w:t>
            </w:r>
          </w:p>
        </w:tc>
        <w:tc>
          <w:tcPr>
            <w:tcW w:w="487" w:type="pct"/>
            <w:shd w:val="clear" w:color="auto" w:fill="auto"/>
            <w:noWrap/>
            <w:vAlign w:val="bottom"/>
          </w:tcPr>
          <w:p w14:paraId="1777CD88" w14:textId="43893296"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0.58***</w:t>
            </w:r>
          </w:p>
        </w:tc>
        <w:tc>
          <w:tcPr>
            <w:tcW w:w="378" w:type="pct"/>
            <w:shd w:val="clear" w:color="auto" w:fill="auto"/>
            <w:noWrap/>
            <w:vAlign w:val="bottom"/>
          </w:tcPr>
          <w:p w14:paraId="6A1489E9" w14:textId="426FB69B"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-0.09</w:t>
            </w:r>
          </w:p>
        </w:tc>
        <w:tc>
          <w:tcPr>
            <w:tcW w:w="484" w:type="pct"/>
            <w:shd w:val="clear" w:color="auto" w:fill="auto"/>
            <w:noWrap/>
            <w:vAlign w:val="bottom"/>
          </w:tcPr>
          <w:p w14:paraId="30FB8FA1" w14:textId="52BD3C56"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-0.03</w:t>
            </w:r>
          </w:p>
        </w:tc>
        <w:tc>
          <w:tcPr>
            <w:tcW w:w="505" w:type="pct"/>
            <w:shd w:val="clear" w:color="auto" w:fill="auto"/>
            <w:noWrap/>
            <w:vAlign w:val="bottom"/>
          </w:tcPr>
          <w:p w14:paraId="3DC1E11D" w14:textId="40C09BE3"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1.00</w:t>
            </w:r>
          </w:p>
        </w:tc>
        <w:tc>
          <w:tcPr>
            <w:tcW w:w="498" w:type="pct"/>
            <w:shd w:val="clear" w:color="auto" w:fill="auto"/>
            <w:noWrap/>
            <w:vAlign w:val="bottom"/>
          </w:tcPr>
          <w:p w14:paraId="51E5F644" w14:textId="77777777" w:rsidR="00671349" w:rsidRPr="00BC68C4" w:rsidRDefault="00671349" w:rsidP="00F7233F">
            <w:pPr>
              <w:jc w:val="center"/>
              <w:rPr>
                <w:rFonts w:ascii="Times New Roman" w:eastAsia="Times New Roman" w:hAnsi="Times New Roman" w:cs="Times New Roman"/>
                <w:color w:val="000000"/>
                <w:sz w:val="16"/>
                <w:szCs w:val="16"/>
                <w:lang w:eastAsia="en-GB"/>
              </w:rPr>
            </w:pPr>
          </w:p>
        </w:tc>
        <w:tc>
          <w:tcPr>
            <w:tcW w:w="277" w:type="pct"/>
            <w:shd w:val="clear" w:color="auto" w:fill="auto"/>
            <w:noWrap/>
            <w:vAlign w:val="bottom"/>
          </w:tcPr>
          <w:p w14:paraId="7E257BA5" w14:textId="77777777" w:rsidR="00671349" w:rsidRPr="00BC68C4" w:rsidRDefault="00671349" w:rsidP="00F7233F">
            <w:pPr>
              <w:jc w:val="center"/>
              <w:rPr>
                <w:rFonts w:ascii="Times New Roman" w:eastAsia="Times New Roman" w:hAnsi="Times New Roman" w:cs="Times New Roman"/>
                <w:color w:val="000000"/>
                <w:sz w:val="16"/>
                <w:szCs w:val="16"/>
                <w:lang w:eastAsia="en-GB"/>
              </w:rPr>
            </w:pPr>
          </w:p>
        </w:tc>
        <w:tc>
          <w:tcPr>
            <w:tcW w:w="393" w:type="pct"/>
            <w:shd w:val="clear" w:color="auto" w:fill="auto"/>
            <w:noWrap/>
            <w:vAlign w:val="bottom"/>
          </w:tcPr>
          <w:p w14:paraId="7F056D30" w14:textId="77777777" w:rsidR="00671349" w:rsidRPr="00BC68C4" w:rsidRDefault="00671349" w:rsidP="00F7233F">
            <w:pPr>
              <w:jc w:val="center"/>
              <w:rPr>
                <w:rFonts w:ascii="Times New Roman" w:eastAsia="Times New Roman" w:hAnsi="Times New Roman" w:cs="Times New Roman"/>
                <w:color w:val="000000"/>
                <w:sz w:val="16"/>
                <w:szCs w:val="16"/>
                <w:lang w:eastAsia="en-GB"/>
              </w:rPr>
            </w:pPr>
          </w:p>
        </w:tc>
      </w:tr>
      <w:tr w:rsidR="00671349" w:rsidRPr="00BC68C4" w14:paraId="02603418" w14:textId="77777777" w:rsidTr="00671349">
        <w:trPr>
          <w:trHeight w:val="261"/>
        </w:trPr>
        <w:tc>
          <w:tcPr>
            <w:tcW w:w="508" w:type="pct"/>
            <w:shd w:val="clear" w:color="auto" w:fill="auto"/>
            <w:noWrap/>
            <w:vAlign w:val="center"/>
            <w:hideMark/>
          </w:tcPr>
          <w:p w14:paraId="7E2CA1F6" w14:textId="77777777" w:rsidR="00671349" w:rsidRPr="00BC68C4" w:rsidRDefault="00671349" w:rsidP="00F7233F">
            <w:pPr>
              <w:jc w:val="left"/>
              <w:rPr>
                <w:rFonts w:ascii="Times New Roman" w:eastAsia="Times New Roman" w:hAnsi="Times New Roman" w:cs="Times New Roman"/>
                <w:color w:val="000000"/>
                <w:sz w:val="16"/>
                <w:szCs w:val="16"/>
                <w:lang w:eastAsia="en-GB"/>
              </w:rPr>
            </w:pPr>
            <w:proofErr w:type="spellStart"/>
            <w:r w:rsidRPr="00BC68C4">
              <w:rPr>
                <w:rFonts w:ascii="Times New Roman" w:eastAsia="Times New Roman" w:hAnsi="Times New Roman" w:cs="Times New Roman"/>
                <w:color w:val="000000"/>
                <w:sz w:val="16"/>
                <w:szCs w:val="16"/>
                <w:lang w:eastAsia="en-GB"/>
              </w:rPr>
              <w:t>DirOnlyVote</w:t>
            </w:r>
            <w:proofErr w:type="spellEnd"/>
            <w:r w:rsidRPr="00BC68C4">
              <w:rPr>
                <w:rFonts w:ascii="Times New Roman" w:eastAsia="Times New Roman" w:hAnsi="Times New Roman" w:cs="Times New Roman"/>
                <w:color w:val="000000"/>
                <w:sz w:val="16"/>
                <w:szCs w:val="16"/>
                <w:lang w:eastAsia="en-GB"/>
              </w:rPr>
              <w:t xml:space="preserve"> (%)</w:t>
            </w:r>
          </w:p>
        </w:tc>
        <w:tc>
          <w:tcPr>
            <w:tcW w:w="259" w:type="pct"/>
            <w:shd w:val="clear" w:color="auto" w:fill="auto"/>
            <w:noWrap/>
            <w:vAlign w:val="bottom"/>
          </w:tcPr>
          <w:p w14:paraId="114E6609" w14:textId="38293BD7"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0.01</w:t>
            </w:r>
          </w:p>
        </w:tc>
        <w:tc>
          <w:tcPr>
            <w:tcW w:w="328" w:type="pct"/>
            <w:shd w:val="clear" w:color="auto" w:fill="auto"/>
            <w:noWrap/>
            <w:vAlign w:val="bottom"/>
          </w:tcPr>
          <w:p w14:paraId="07AD30EE" w14:textId="20E981EC"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0.05</w:t>
            </w:r>
          </w:p>
        </w:tc>
        <w:tc>
          <w:tcPr>
            <w:tcW w:w="480" w:type="pct"/>
            <w:shd w:val="clear" w:color="auto" w:fill="auto"/>
            <w:noWrap/>
            <w:vAlign w:val="bottom"/>
          </w:tcPr>
          <w:p w14:paraId="1A3ABCC8" w14:textId="03184279"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0.20***</w:t>
            </w:r>
          </w:p>
        </w:tc>
        <w:tc>
          <w:tcPr>
            <w:tcW w:w="403" w:type="pct"/>
            <w:shd w:val="clear" w:color="auto" w:fill="auto"/>
            <w:noWrap/>
            <w:vAlign w:val="bottom"/>
          </w:tcPr>
          <w:p w14:paraId="5A68FF79" w14:textId="54BAE05E"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-0.04</w:t>
            </w:r>
          </w:p>
        </w:tc>
        <w:tc>
          <w:tcPr>
            <w:tcW w:w="487" w:type="pct"/>
            <w:shd w:val="clear" w:color="auto" w:fill="auto"/>
            <w:noWrap/>
            <w:vAlign w:val="bottom"/>
          </w:tcPr>
          <w:p w14:paraId="091DB55A" w14:textId="01668202"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0.31***</w:t>
            </w:r>
          </w:p>
        </w:tc>
        <w:tc>
          <w:tcPr>
            <w:tcW w:w="378" w:type="pct"/>
            <w:shd w:val="clear" w:color="auto" w:fill="auto"/>
            <w:noWrap/>
            <w:vAlign w:val="bottom"/>
          </w:tcPr>
          <w:p w14:paraId="53C302DA" w14:textId="2D8A80A9"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0.48***</w:t>
            </w:r>
          </w:p>
        </w:tc>
        <w:tc>
          <w:tcPr>
            <w:tcW w:w="484" w:type="pct"/>
            <w:shd w:val="clear" w:color="auto" w:fill="auto"/>
            <w:noWrap/>
            <w:vAlign w:val="bottom"/>
          </w:tcPr>
          <w:p w14:paraId="7B515822" w14:textId="13E772D5"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0.01</w:t>
            </w:r>
          </w:p>
        </w:tc>
        <w:tc>
          <w:tcPr>
            <w:tcW w:w="505" w:type="pct"/>
            <w:shd w:val="clear" w:color="auto" w:fill="auto"/>
            <w:noWrap/>
            <w:vAlign w:val="bottom"/>
          </w:tcPr>
          <w:p w14:paraId="7AAF029D" w14:textId="6FF7829B"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-0.13**</w:t>
            </w:r>
          </w:p>
        </w:tc>
        <w:tc>
          <w:tcPr>
            <w:tcW w:w="498" w:type="pct"/>
            <w:shd w:val="clear" w:color="auto" w:fill="auto"/>
            <w:noWrap/>
            <w:vAlign w:val="bottom"/>
          </w:tcPr>
          <w:p w14:paraId="27044164" w14:textId="26AE3742"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1.00</w:t>
            </w:r>
          </w:p>
        </w:tc>
        <w:tc>
          <w:tcPr>
            <w:tcW w:w="277" w:type="pct"/>
            <w:shd w:val="clear" w:color="auto" w:fill="auto"/>
            <w:noWrap/>
            <w:vAlign w:val="bottom"/>
          </w:tcPr>
          <w:p w14:paraId="694D52A5" w14:textId="77777777" w:rsidR="00671349" w:rsidRPr="00BC68C4" w:rsidRDefault="00671349" w:rsidP="00F7233F">
            <w:pPr>
              <w:jc w:val="center"/>
              <w:rPr>
                <w:rFonts w:ascii="Times New Roman" w:eastAsia="Times New Roman" w:hAnsi="Times New Roman" w:cs="Times New Roman"/>
                <w:color w:val="000000"/>
                <w:sz w:val="16"/>
                <w:szCs w:val="16"/>
                <w:lang w:eastAsia="en-GB"/>
              </w:rPr>
            </w:pPr>
          </w:p>
        </w:tc>
        <w:tc>
          <w:tcPr>
            <w:tcW w:w="393" w:type="pct"/>
            <w:shd w:val="clear" w:color="auto" w:fill="auto"/>
            <w:noWrap/>
            <w:vAlign w:val="bottom"/>
          </w:tcPr>
          <w:p w14:paraId="5668826B" w14:textId="77777777" w:rsidR="00671349" w:rsidRPr="00BC68C4" w:rsidRDefault="00671349" w:rsidP="00F7233F">
            <w:pPr>
              <w:jc w:val="center"/>
              <w:rPr>
                <w:rFonts w:ascii="Times New Roman" w:eastAsia="Times New Roman" w:hAnsi="Times New Roman" w:cs="Times New Roman"/>
                <w:color w:val="000000"/>
                <w:sz w:val="16"/>
                <w:szCs w:val="16"/>
                <w:lang w:eastAsia="en-GB"/>
              </w:rPr>
            </w:pPr>
          </w:p>
        </w:tc>
      </w:tr>
      <w:tr w:rsidR="00671349" w:rsidRPr="00BC68C4" w14:paraId="7C6460AE" w14:textId="77777777" w:rsidTr="00671349">
        <w:trPr>
          <w:trHeight w:hRule="exact" w:val="261"/>
        </w:trPr>
        <w:tc>
          <w:tcPr>
            <w:tcW w:w="508" w:type="pct"/>
            <w:shd w:val="clear" w:color="auto" w:fill="auto"/>
            <w:noWrap/>
            <w:vAlign w:val="center"/>
            <w:hideMark/>
          </w:tcPr>
          <w:p w14:paraId="3FBB1B71" w14:textId="77777777" w:rsidR="00671349" w:rsidRPr="00BC68C4" w:rsidRDefault="00671349" w:rsidP="00F7233F">
            <w:pPr>
              <w:jc w:val="left"/>
              <w:rPr>
                <w:rFonts w:ascii="Times New Roman" w:eastAsia="Times New Roman" w:hAnsi="Times New Roman" w:cs="Times New Roman"/>
                <w:color w:val="000000"/>
                <w:sz w:val="16"/>
                <w:szCs w:val="16"/>
                <w:lang w:eastAsia="en-GB"/>
              </w:rPr>
            </w:pPr>
            <w:proofErr w:type="spellStart"/>
            <w:r w:rsidRPr="00BC68C4">
              <w:rPr>
                <w:rFonts w:ascii="Times New Roman" w:eastAsia="Times New Roman" w:hAnsi="Times New Roman" w:cs="Times New Roman"/>
                <w:color w:val="000000"/>
                <w:sz w:val="16"/>
                <w:szCs w:val="16"/>
                <w:lang w:eastAsia="en-GB"/>
              </w:rPr>
              <w:t>NumDir</w:t>
            </w:r>
            <w:proofErr w:type="spellEnd"/>
          </w:p>
        </w:tc>
        <w:tc>
          <w:tcPr>
            <w:tcW w:w="259" w:type="pct"/>
            <w:shd w:val="clear" w:color="auto" w:fill="auto"/>
            <w:noWrap/>
            <w:vAlign w:val="bottom"/>
          </w:tcPr>
          <w:p w14:paraId="081883AA" w14:textId="048AB7FF"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0.02</w:t>
            </w:r>
          </w:p>
        </w:tc>
        <w:tc>
          <w:tcPr>
            <w:tcW w:w="328" w:type="pct"/>
            <w:shd w:val="clear" w:color="auto" w:fill="auto"/>
            <w:noWrap/>
            <w:vAlign w:val="bottom"/>
          </w:tcPr>
          <w:p w14:paraId="2F7FD16C" w14:textId="51E971E4"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0.26***</w:t>
            </w:r>
          </w:p>
        </w:tc>
        <w:tc>
          <w:tcPr>
            <w:tcW w:w="480" w:type="pct"/>
            <w:shd w:val="clear" w:color="auto" w:fill="auto"/>
            <w:noWrap/>
            <w:vAlign w:val="bottom"/>
          </w:tcPr>
          <w:p w14:paraId="5591ECB5" w14:textId="10A0F052"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-0.25***</w:t>
            </w:r>
          </w:p>
        </w:tc>
        <w:tc>
          <w:tcPr>
            <w:tcW w:w="403" w:type="pct"/>
            <w:shd w:val="clear" w:color="auto" w:fill="auto"/>
            <w:noWrap/>
            <w:vAlign w:val="bottom"/>
          </w:tcPr>
          <w:p w14:paraId="5A32B8BD" w14:textId="093046E5"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-0.14**</w:t>
            </w:r>
          </w:p>
        </w:tc>
        <w:tc>
          <w:tcPr>
            <w:tcW w:w="487" w:type="pct"/>
            <w:shd w:val="clear" w:color="auto" w:fill="auto"/>
            <w:noWrap/>
            <w:vAlign w:val="bottom"/>
          </w:tcPr>
          <w:p w14:paraId="66E61475" w14:textId="5AC2A5A0"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-0.12*</w:t>
            </w:r>
          </w:p>
        </w:tc>
        <w:tc>
          <w:tcPr>
            <w:tcW w:w="378" w:type="pct"/>
            <w:shd w:val="clear" w:color="auto" w:fill="auto"/>
            <w:noWrap/>
            <w:vAlign w:val="bottom"/>
          </w:tcPr>
          <w:p w14:paraId="23ABB8A1" w14:textId="042BAA87"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-0.04</w:t>
            </w:r>
          </w:p>
        </w:tc>
        <w:tc>
          <w:tcPr>
            <w:tcW w:w="484" w:type="pct"/>
            <w:shd w:val="clear" w:color="auto" w:fill="auto"/>
            <w:noWrap/>
            <w:vAlign w:val="bottom"/>
          </w:tcPr>
          <w:p w14:paraId="0DD6B017" w14:textId="1A39A309"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-0.09</w:t>
            </w:r>
          </w:p>
        </w:tc>
        <w:tc>
          <w:tcPr>
            <w:tcW w:w="505" w:type="pct"/>
            <w:shd w:val="clear" w:color="auto" w:fill="auto"/>
            <w:noWrap/>
            <w:vAlign w:val="bottom"/>
          </w:tcPr>
          <w:p w14:paraId="002E0D4B" w14:textId="055A677A"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-0.14**</w:t>
            </w:r>
          </w:p>
        </w:tc>
        <w:tc>
          <w:tcPr>
            <w:tcW w:w="498" w:type="pct"/>
            <w:shd w:val="clear" w:color="auto" w:fill="auto"/>
            <w:noWrap/>
            <w:vAlign w:val="bottom"/>
          </w:tcPr>
          <w:p w14:paraId="01C0ACCC" w14:textId="472AE1FB"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0.09</w:t>
            </w:r>
          </w:p>
        </w:tc>
        <w:tc>
          <w:tcPr>
            <w:tcW w:w="277" w:type="pct"/>
            <w:shd w:val="clear" w:color="auto" w:fill="auto"/>
            <w:noWrap/>
            <w:vAlign w:val="bottom"/>
          </w:tcPr>
          <w:p w14:paraId="57B1CA94" w14:textId="532C31B3"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1.00</w:t>
            </w:r>
          </w:p>
        </w:tc>
        <w:tc>
          <w:tcPr>
            <w:tcW w:w="393" w:type="pct"/>
            <w:shd w:val="clear" w:color="auto" w:fill="auto"/>
            <w:noWrap/>
            <w:vAlign w:val="bottom"/>
          </w:tcPr>
          <w:p w14:paraId="5AB56805" w14:textId="77777777" w:rsidR="00671349" w:rsidRPr="00BC68C4" w:rsidRDefault="00671349" w:rsidP="00F7233F">
            <w:pPr>
              <w:jc w:val="center"/>
              <w:rPr>
                <w:rFonts w:ascii="Times New Roman" w:eastAsia="Times New Roman" w:hAnsi="Times New Roman" w:cs="Times New Roman"/>
                <w:color w:val="000000"/>
                <w:sz w:val="16"/>
                <w:szCs w:val="16"/>
                <w:lang w:eastAsia="en-GB"/>
              </w:rPr>
            </w:pPr>
          </w:p>
        </w:tc>
      </w:tr>
      <w:tr w:rsidR="00671349" w:rsidRPr="00BC68C4" w14:paraId="69CAF580" w14:textId="77777777" w:rsidTr="00671349">
        <w:trPr>
          <w:trHeight w:val="261"/>
        </w:trPr>
        <w:tc>
          <w:tcPr>
            <w:tcW w:w="508" w:type="pct"/>
            <w:shd w:val="clear" w:color="auto" w:fill="auto"/>
            <w:noWrap/>
            <w:vAlign w:val="center"/>
            <w:hideMark/>
          </w:tcPr>
          <w:p w14:paraId="31DDDD63" w14:textId="77777777" w:rsidR="00671349" w:rsidRPr="00BC68C4" w:rsidRDefault="00671349" w:rsidP="00F7233F">
            <w:pPr>
              <w:jc w:val="left"/>
              <w:rPr>
                <w:rFonts w:ascii="Times New Roman" w:eastAsia="Times New Roman" w:hAnsi="Times New Roman" w:cs="Times New Roman"/>
                <w:color w:val="000000"/>
                <w:sz w:val="16"/>
                <w:szCs w:val="16"/>
                <w:lang w:eastAsia="en-GB"/>
              </w:rPr>
            </w:pPr>
            <w:proofErr w:type="spellStart"/>
            <w:r w:rsidRPr="00BC68C4">
              <w:rPr>
                <w:rFonts w:ascii="Times New Roman" w:eastAsia="Times New Roman" w:hAnsi="Times New Roman" w:cs="Times New Roman"/>
                <w:color w:val="000000"/>
                <w:sz w:val="16"/>
                <w:szCs w:val="16"/>
                <w:lang w:eastAsia="en-GB"/>
              </w:rPr>
              <w:t>DirOnlyNum</w:t>
            </w:r>
            <w:proofErr w:type="spellEnd"/>
          </w:p>
        </w:tc>
        <w:tc>
          <w:tcPr>
            <w:tcW w:w="259" w:type="pct"/>
            <w:shd w:val="clear" w:color="auto" w:fill="auto"/>
            <w:noWrap/>
            <w:vAlign w:val="bottom"/>
          </w:tcPr>
          <w:p w14:paraId="2782E147" w14:textId="617B7FDC"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-0.01</w:t>
            </w:r>
          </w:p>
        </w:tc>
        <w:tc>
          <w:tcPr>
            <w:tcW w:w="328" w:type="pct"/>
            <w:shd w:val="clear" w:color="auto" w:fill="auto"/>
            <w:noWrap/>
            <w:vAlign w:val="bottom"/>
          </w:tcPr>
          <w:p w14:paraId="6309311D" w14:textId="03C323E1"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0.25***</w:t>
            </w:r>
          </w:p>
        </w:tc>
        <w:tc>
          <w:tcPr>
            <w:tcW w:w="480" w:type="pct"/>
            <w:shd w:val="clear" w:color="auto" w:fill="auto"/>
            <w:noWrap/>
            <w:vAlign w:val="bottom"/>
          </w:tcPr>
          <w:p w14:paraId="72AE1AF2" w14:textId="09E0C1E0"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-0.34***</w:t>
            </w:r>
          </w:p>
        </w:tc>
        <w:tc>
          <w:tcPr>
            <w:tcW w:w="403" w:type="pct"/>
            <w:shd w:val="clear" w:color="auto" w:fill="auto"/>
            <w:noWrap/>
            <w:vAlign w:val="bottom"/>
          </w:tcPr>
          <w:p w14:paraId="1C4CA7F5" w14:textId="083F576A"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-0.21***</w:t>
            </w:r>
          </w:p>
        </w:tc>
        <w:tc>
          <w:tcPr>
            <w:tcW w:w="487" w:type="pct"/>
            <w:shd w:val="clear" w:color="auto" w:fill="auto"/>
            <w:noWrap/>
            <w:vAlign w:val="bottom"/>
          </w:tcPr>
          <w:p w14:paraId="43D42703" w14:textId="54962E36"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-0.23***</w:t>
            </w:r>
          </w:p>
        </w:tc>
        <w:tc>
          <w:tcPr>
            <w:tcW w:w="378" w:type="pct"/>
            <w:shd w:val="clear" w:color="auto" w:fill="auto"/>
            <w:noWrap/>
            <w:vAlign w:val="bottom"/>
          </w:tcPr>
          <w:p w14:paraId="3CE98318" w14:textId="3576AA63"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-0.18***</w:t>
            </w:r>
          </w:p>
        </w:tc>
        <w:tc>
          <w:tcPr>
            <w:tcW w:w="484" w:type="pct"/>
            <w:shd w:val="clear" w:color="auto" w:fill="auto"/>
            <w:noWrap/>
            <w:vAlign w:val="bottom"/>
          </w:tcPr>
          <w:p w14:paraId="655703DC" w14:textId="24736D63"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-0.25***</w:t>
            </w:r>
          </w:p>
        </w:tc>
        <w:tc>
          <w:tcPr>
            <w:tcW w:w="505" w:type="pct"/>
            <w:shd w:val="clear" w:color="auto" w:fill="auto"/>
            <w:noWrap/>
            <w:vAlign w:val="bottom"/>
          </w:tcPr>
          <w:p w14:paraId="563C0E73" w14:textId="78406DD6"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-0.13**</w:t>
            </w:r>
          </w:p>
        </w:tc>
        <w:tc>
          <w:tcPr>
            <w:tcW w:w="498" w:type="pct"/>
            <w:shd w:val="clear" w:color="auto" w:fill="auto"/>
            <w:noWrap/>
            <w:vAlign w:val="bottom"/>
          </w:tcPr>
          <w:p w14:paraId="59033176" w14:textId="48BB88DE"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0.08</w:t>
            </w:r>
          </w:p>
        </w:tc>
        <w:tc>
          <w:tcPr>
            <w:tcW w:w="277" w:type="pct"/>
            <w:shd w:val="clear" w:color="auto" w:fill="auto"/>
            <w:noWrap/>
            <w:vAlign w:val="bottom"/>
          </w:tcPr>
          <w:p w14:paraId="6A8D53FB" w14:textId="7B382522"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0.98***</w:t>
            </w:r>
          </w:p>
        </w:tc>
        <w:tc>
          <w:tcPr>
            <w:tcW w:w="393" w:type="pct"/>
            <w:shd w:val="clear" w:color="auto" w:fill="auto"/>
            <w:noWrap/>
            <w:vAlign w:val="bottom"/>
          </w:tcPr>
          <w:p w14:paraId="4ADBB566" w14:textId="5AD1D162" w:rsidR="00671349" w:rsidRPr="00BC68C4" w:rsidRDefault="00671349" w:rsidP="00F7233F">
            <w:pPr>
              <w:jc w:val="center"/>
              <w:rPr>
                <w:rFonts w:ascii="Times New Roman" w:eastAsia="Times New Roman" w:hAnsi="Times New Roman" w:cs="Times New Roman"/>
                <w:color w:val="000000"/>
                <w:sz w:val="16"/>
                <w:szCs w:val="16"/>
                <w:lang w:eastAsia="en-GB"/>
              </w:rPr>
            </w:pPr>
            <w:r w:rsidRPr="00BC68C4">
              <w:rPr>
                <w:rFonts w:ascii="Times New Roman" w:hAnsi="Times New Roman" w:cs="Times New Roman"/>
                <w:color w:val="000000"/>
                <w:sz w:val="16"/>
                <w:szCs w:val="16"/>
              </w:rPr>
              <w:t>1.00</w:t>
            </w:r>
          </w:p>
        </w:tc>
      </w:tr>
    </w:tbl>
    <w:p w14:paraId="79DDED40" w14:textId="0A8D0440" w:rsidR="006658C5" w:rsidRPr="00BC68C4" w:rsidRDefault="00221D5D" w:rsidP="006658C5">
      <w:pPr>
        <w:widowControl w:val="0"/>
        <w:autoSpaceDE w:val="0"/>
        <w:autoSpaceDN w:val="0"/>
        <w:adjustRightInd w:val="0"/>
        <w:spacing w:line="276" w:lineRule="auto"/>
        <w:jc w:val="left"/>
        <w:rPr>
          <w:rFonts w:ascii="Times New Roman" w:hAnsi="Times New Roman" w:cs="Times New Roman"/>
          <w:sz w:val="18"/>
          <w:szCs w:val="18"/>
        </w:rPr>
        <w:sectPr w:rsidR="006658C5" w:rsidRPr="00BC68C4" w:rsidSect="002C49FC">
          <w:pgSz w:w="16838" w:h="11906" w:orient="landscape"/>
          <w:pgMar w:top="1440" w:right="1440" w:bottom="1440" w:left="1440" w:header="708" w:footer="708" w:gutter="0"/>
          <w:cols w:space="708"/>
          <w:docGrid w:linePitch="360"/>
        </w:sectPr>
      </w:pPr>
      <w:r w:rsidRPr="00BC68C4">
        <w:rPr>
          <w:rFonts w:ascii="Times New Roman" w:hAnsi="Times New Roman" w:cs="Times New Roman"/>
          <w:i/>
          <w:sz w:val="16"/>
          <w:szCs w:val="16"/>
        </w:rPr>
        <w:t>Notes</w:t>
      </w:r>
      <w:r w:rsidRPr="00BC68C4">
        <w:rPr>
          <w:rFonts w:ascii="Times New Roman" w:hAnsi="Times New Roman" w:cs="Times New Roman"/>
          <w:sz w:val="16"/>
          <w:szCs w:val="16"/>
        </w:rPr>
        <w:t xml:space="preserve">: </w:t>
      </w:r>
      <w:r w:rsidR="00EC0A0E" w:rsidRPr="00BC68C4">
        <w:rPr>
          <w:rFonts w:ascii="Times New Roman" w:hAnsi="Times New Roman" w:cs="Times New Roman"/>
          <w:sz w:val="16"/>
          <w:szCs w:val="16"/>
        </w:rPr>
        <w:t xml:space="preserve">*** p&lt;0.01, ** p&lt;0.05, * p&lt;0.1.  </w:t>
      </w:r>
      <w:r w:rsidR="00A94B4F" w:rsidRPr="00BC68C4">
        <w:rPr>
          <w:rFonts w:ascii="Times New Roman" w:hAnsi="Times New Roman" w:cs="Times New Roman"/>
          <w:sz w:val="16"/>
          <w:szCs w:val="16"/>
        </w:rPr>
        <w:t>ROA and</w:t>
      </w:r>
      <w:r w:rsidR="002C49FC" w:rsidRPr="00BC68C4">
        <w:rPr>
          <w:rFonts w:ascii="Times New Roman" w:hAnsi="Times New Roman" w:cs="Times New Roman"/>
          <w:sz w:val="16"/>
          <w:szCs w:val="16"/>
        </w:rPr>
        <w:t xml:space="preserve"> </w:t>
      </w:r>
      <w:r w:rsidR="00EC0A0E" w:rsidRPr="00BC68C4">
        <w:rPr>
          <w:rFonts w:ascii="Times New Roman" w:hAnsi="Times New Roman" w:cs="Times New Roman"/>
          <w:sz w:val="16"/>
          <w:szCs w:val="16"/>
        </w:rPr>
        <w:t>Q</w:t>
      </w:r>
      <w:r w:rsidR="0025535E" w:rsidRPr="00BC68C4">
        <w:rPr>
          <w:rFonts w:ascii="Times New Roman" w:hAnsi="Times New Roman" w:cs="Times New Roman"/>
          <w:sz w:val="16"/>
          <w:szCs w:val="16"/>
        </w:rPr>
        <w:t xml:space="preserve"> are</w:t>
      </w:r>
      <w:r w:rsidR="002C49FC" w:rsidRPr="00BC68C4">
        <w:rPr>
          <w:rFonts w:ascii="Times New Roman" w:hAnsi="Times New Roman" w:cs="Times New Roman"/>
          <w:sz w:val="16"/>
          <w:szCs w:val="16"/>
        </w:rPr>
        <w:t xml:space="preserve"> industry adjusted</w:t>
      </w:r>
      <w:r w:rsidR="002E2E0C" w:rsidRPr="00BC68C4">
        <w:rPr>
          <w:rFonts w:ascii="Times New Roman" w:hAnsi="Times New Roman" w:cs="Times New Roman"/>
          <w:sz w:val="16"/>
          <w:szCs w:val="16"/>
        </w:rPr>
        <w:t xml:space="preserve"> and outliers have been </w:t>
      </w:r>
      <w:proofErr w:type="spellStart"/>
      <w:r w:rsidR="0025535E" w:rsidRPr="00BC68C4">
        <w:rPr>
          <w:rFonts w:ascii="Times New Roman" w:hAnsi="Times New Roman" w:cs="Times New Roman"/>
          <w:sz w:val="16"/>
          <w:szCs w:val="16"/>
        </w:rPr>
        <w:t>winsorized</w:t>
      </w:r>
      <w:proofErr w:type="spellEnd"/>
      <w:r w:rsidR="0025535E" w:rsidRPr="00BC68C4">
        <w:rPr>
          <w:rFonts w:ascii="Times New Roman" w:hAnsi="Times New Roman" w:cs="Times New Roman"/>
          <w:sz w:val="16"/>
          <w:szCs w:val="16"/>
        </w:rPr>
        <w:t xml:space="preserve"> at the 1% and 99% levels</w:t>
      </w:r>
      <w:r w:rsidR="002E2E0C" w:rsidRPr="00BC68C4">
        <w:rPr>
          <w:rFonts w:ascii="Times New Roman" w:hAnsi="Times New Roman" w:cs="Times New Roman"/>
          <w:sz w:val="16"/>
          <w:szCs w:val="16"/>
        </w:rPr>
        <w:t>.</w:t>
      </w:r>
      <w:r w:rsidR="006658C5">
        <w:rPr>
          <w:rFonts w:ascii="Times New Roman" w:hAnsi="Times New Roman" w:cs="Times New Roman"/>
          <w:sz w:val="16"/>
          <w:szCs w:val="16"/>
        </w:rPr>
        <w:t xml:space="preserve"> </w:t>
      </w:r>
    </w:p>
    <w:p w14:paraId="1C6ED178" w14:textId="77777777" w:rsidR="006658C5" w:rsidRPr="00703AC0" w:rsidRDefault="006658C5" w:rsidP="006658C5">
      <w:pPr>
        <w:jc w:val="center"/>
        <w:rPr>
          <w:rFonts w:ascii="Times New Roman" w:hAnsi="Times New Roman" w:cs="Times New Roman"/>
          <w:sz w:val="20"/>
          <w:szCs w:val="20"/>
        </w:rPr>
      </w:pPr>
      <w:r w:rsidRPr="00703AC0">
        <w:rPr>
          <w:rFonts w:ascii="Times New Roman" w:hAnsi="Times New Roman" w:cs="Times New Roman"/>
          <w:sz w:val="20"/>
          <w:szCs w:val="20"/>
        </w:rPr>
        <w:t xml:space="preserve">TABLE </w:t>
      </w:r>
      <w:r>
        <w:rPr>
          <w:rFonts w:ascii="Times New Roman" w:hAnsi="Times New Roman" w:cs="Times New Roman"/>
          <w:sz w:val="20"/>
          <w:szCs w:val="20"/>
        </w:rPr>
        <w:t xml:space="preserve">4 </w:t>
      </w:r>
    </w:p>
    <w:p w14:paraId="6266989F" w14:textId="77777777" w:rsidR="006658C5" w:rsidRDefault="006658C5" w:rsidP="006658C5">
      <w:pPr>
        <w:jc w:val="center"/>
        <w:rPr>
          <w:rFonts w:ascii="Times New Roman" w:hAnsi="Times New Roman" w:cs="Times New Roman"/>
          <w:sz w:val="24"/>
          <w:szCs w:val="24"/>
        </w:rPr>
      </w:pPr>
      <w:r w:rsidRPr="00703AC0">
        <w:rPr>
          <w:rFonts w:ascii="Times New Roman" w:hAnsi="Times New Roman" w:cs="Times New Roman"/>
          <w:sz w:val="24"/>
          <w:szCs w:val="24"/>
        </w:rPr>
        <w:t>DETERMINANTS OF RETURN ON ASSETS</w:t>
      </w:r>
      <w:r>
        <w:rPr>
          <w:rFonts w:ascii="Times New Roman" w:hAnsi="Times New Roman" w:cs="Times New Roman"/>
          <w:sz w:val="24"/>
          <w:szCs w:val="24"/>
        </w:rPr>
        <w:t xml:space="preserve"> AND TOBIN’S Q</w:t>
      </w:r>
      <w:r w:rsidRPr="00703AC0">
        <w:rPr>
          <w:rFonts w:ascii="Times New Roman" w:hAnsi="Times New Roman" w:cs="Times New Roman"/>
          <w:sz w:val="24"/>
          <w:szCs w:val="24"/>
        </w:rPr>
        <w:t xml:space="preserve"> </w:t>
      </w:r>
    </w:p>
    <w:tbl>
      <w:tblPr>
        <w:tblW w:w="5000" w:type="pct"/>
        <w:jc w:val="center"/>
        <w:tblCellMar>
          <w:left w:w="75" w:type="dxa"/>
          <w:right w:w="75" w:type="dxa"/>
        </w:tblCellMar>
        <w:tblLook w:val="0000" w:firstRow="0" w:lastRow="0" w:firstColumn="0" w:lastColumn="0" w:noHBand="0" w:noVBand="0"/>
      </w:tblPr>
      <w:tblGrid>
        <w:gridCol w:w="1456"/>
        <w:gridCol w:w="53"/>
        <w:gridCol w:w="807"/>
        <w:gridCol w:w="39"/>
        <w:gridCol w:w="769"/>
        <w:gridCol w:w="95"/>
        <w:gridCol w:w="712"/>
        <w:gridCol w:w="150"/>
        <w:gridCol w:w="841"/>
        <w:gridCol w:w="22"/>
        <w:gridCol w:w="1042"/>
        <w:gridCol w:w="17"/>
        <w:gridCol w:w="1048"/>
        <w:gridCol w:w="9"/>
        <w:gridCol w:w="1059"/>
        <w:gridCol w:w="1057"/>
      </w:tblGrid>
      <w:tr w:rsidR="006658C5" w:rsidRPr="00D96B8F" w14:paraId="0DE72009" w14:textId="77777777" w:rsidTr="00B42CEF">
        <w:trPr>
          <w:jc w:val="center"/>
        </w:trPr>
        <w:tc>
          <w:tcPr>
            <w:tcW w:w="822" w:type="pct"/>
            <w:gridSpan w:val="2"/>
            <w:tcBorders>
              <w:top w:val="single" w:sz="6" w:space="0" w:color="auto"/>
              <w:left w:val="nil"/>
              <w:bottom w:val="single" w:sz="6" w:space="0" w:color="auto"/>
              <w:right w:val="nil"/>
            </w:tcBorders>
          </w:tcPr>
          <w:p w14:paraId="14F9F62A"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
        </w:tc>
        <w:tc>
          <w:tcPr>
            <w:tcW w:w="440" w:type="pct"/>
            <w:tcBorders>
              <w:top w:val="single" w:sz="6" w:space="0" w:color="auto"/>
              <w:left w:val="nil"/>
              <w:bottom w:val="single" w:sz="6" w:space="0" w:color="auto"/>
              <w:right w:val="nil"/>
            </w:tcBorders>
          </w:tcPr>
          <w:p w14:paraId="54655A09"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(1)</w:t>
            </w:r>
          </w:p>
        </w:tc>
        <w:tc>
          <w:tcPr>
            <w:tcW w:w="440" w:type="pct"/>
            <w:gridSpan w:val="2"/>
            <w:tcBorders>
              <w:top w:val="single" w:sz="6" w:space="0" w:color="auto"/>
              <w:left w:val="nil"/>
              <w:bottom w:val="single" w:sz="6" w:space="0" w:color="auto"/>
              <w:right w:val="nil"/>
            </w:tcBorders>
          </w:tcPr>
          <w:p w14:paraId="4F3BEEA0"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(2)</w:t>
            </w:r>
          </w:p>
        </w:tc>
        <w:tc>
          <w:tcPr>
            <w:tcW w:w="440" w:type="pct"/>
            <w:gridSpan w:val="2"/>
            <w:tcBorders>
              <w:top w:val="single" w:sz="6" w:space="0" w:color="auto"/>
              <w:left w:val="nil"/>
              <w:bottom w:val="single" w:sz="6" w:space="0" w:color="auto"/>
              <w:right w:val="nil"/>
            </w:tcBorders>
          </w:tcPr>
          <w:p w14:paraId="493E446B"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(3)</w:t>
            </w:r>
          </w:p>
        </w:tc>
        <w:tc>
          <w:tcPr>
            <w:tcW w:w="540" w:type="pct"/>
            <w:gridSpan w:val="2"/>
            <w:tcBorders>
              <w:top w:val="single" w:sz="6" w:space="0" w:color="auto"/>
              <w:left w:val="nil"/>
              <w:bottom w:val="single" w:sz="6" w:space="0" w:color="auto"/>
              <w:right w:val="nil"/>
            </w:tcBorders>
          </w:tcPr>
          <w:p w14:paraId="74D3A3F8"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(4)</w:t>
            </w:r>
          </w:p>
        </w:tc>
        <w:tc>
          <w:tcPr>
            <w:tcW w:w="580" w:type="pct"/>
            <w:gridSpan w:val="2"/>
            <w:tcBorders>
              <w:top w:val="single" w:sz="6" w:space="0" w:color="auto"/>
              <w:left w:val="nil"/>
              <w:bottom w:val="single" w:sz="6" w:space="0" w:color="auto"/>
              <w:right w:val="nil"/>
            </w:tcBorders>
          </w:tcPr>
          <w:p w14:paraId="76465EE5"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(5)</w:t>
            </w:r>
          </w:p>
        </w:tc>
        <w:tc>
          <w:tcPr>
            <w:tcW w:w="580" w:type="pct"/>
            <w:gridSpan w:val="2"/>
            <w:tcBorders>
              <w:top w:val="single" w:sz="6" w:space="0" w:color="auto"/>
              <w:left w:val="nil"/>
              <w:bottom w:val="single" w:sz="6" w:space="0" w:color="auto"/>
              <w:right w:val="nil"/>
            </w:tcBorders>
          </w:tcPr>
          <w:p w14:paraId="04B37680"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(6)</w:t>
            </w:r>
          </w:p>
        </w:tc>
        <w:tc>
          <w:tcPr>
            <w:tcW w:w="582" w:type="pct"/>
            <w:gridSpan w:val="2"/>
            <w:tcBorders>
              <w:top w:val="single" w:sz="6" w:space="0" w:color="auto"/>
              <w:left w:val="nil"/>
              <w:bottom w:val="single" w:sz="6" w:space="0" w:color="auto"/>
              <w:right w:val="nil"/>
            </w:tcBorders>
          </w:tcPr>
          <w:p w14:paraId="73D5B0FD"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(7)</w:t>
            </w:r>
          </w:p>
        </w:tc>
        <w:tc>
          <w:tcPr>
            <w:tcW w:w="576" w:type="pct"/>
            <w:tcBorders>
              <w:top w:val="single" w:sz="6" w:space="0" w:color="auto"/>
              <w:left w:val="nil"/>
              <w:bottom w:val="single" w:sz="6" w:space="0" w:color="auto"/>
              <w:right w:val="nil"/>
            </w:tcBorders>
          </w:tcPr>
          <w:p w14:paraId="67F3C55B"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(8)</w:t>
            </w:r>
          </w:p>
        </w:tc>
      </w:tr>
      <w:tr w:rsidR="006658C5" w:rsidRPr="00D96B8F" w14:paraId="30DF0684" w14:textId="77777777" w:rsidTr="00B42CEF">
        <w:trPr>
          <w:jc w:val="center"/>
        </w:trPr>
        <w:tc>
          <w:tcPr>
            <w:tcW w:w="822" w:type="pct"/>
            <w:gridSpan w:val="2"/>
            <w:tcBorders>
              <w:top w:val="single" w:sz="6" w:space="0" w:color="auto"/>
              <w:left w:val="nil"/>
              <w:right w:val="nil"/>
            </w:tcBorders>
          </w:tcPr>
          <w:p w14:paraId="76C4A2ED" w14:textId="77777777" w:rsidR="006658C5" w:rsidRPr="00D96B8F" w:rsidRDefault="006658C5" w:rsidP="00B42CEF">
            <w:pPr>
              <w:widowControl w:val="0"/>
              <w:autoSpaceDE w:val="0"/>
              <w:autoSpaceDN w:val="0"/>
              <w:adjustRightInd w:val="0"/>
              <w:rPr>
                <w:rFonts w:ascii="Times New Roman" w:hAnsi="Times New Roman" w:cs="Times New Roman"/>
                <w:sz w:val="16"/>
                <w:szCs w:val="16"/>
                <w:u w:val="single"/>
              </w:rPr>
            </w:pPr>
            <w:r w:rsidRPr="00D96B8F">
              <w:rPr>
                <w:rFonts w:ascii="Times New Roman" w:hAnsi="Times New Roman" w:cs="Times New Roman"/>
                <w:sz w:val="16"/>
                <w:szCs w:val="16"/>
                <w:u w:val="single"/>
              </w:rPr>
              <w:t>PANEL A</w:t>
            </w:r>
          </w:p>
        </w:tc>
        <w:tc>
          <w:tcPr>
            <w:tcW w:w="440" w:type="pct"/>
            <w:tcBorders>
              <w:top w:val="single" w:sz="6" w:space="0" w:color="auto"/>
              <w:left w:val="nil"/>
              <w:right w:val="nil"/>
            </w:tcBorders>
          </w:tcPr>
          <w:p w14:paraId="70AB5DFF"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40" w:type="pct"/>
            <w:gridSpan w:val="2"/>
            <w:tcBorders>
              <w:top w:val="single" w:sz="6" w:space="0" w:color="auto"/>
              <w:left w:val="nil"/>
              <w:right w:val="nil"/>
            </w:tcBorders>
          </w:tcPr>
          <w:p w14:paraId="7942023C"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40" w:type="pct"/>
            <w:gridSpan w:val="2"/>
            <w:tcBorders>
              <w:top w:val="single" w:sz="6" w:space="0" w:color="auto"/>
              <w:left w:val="nil"/>
              <w:right w:val="nil"/>
            </w:tcBorders>
          </w:tcPr>
          <w:p w14:paraId="745CA8B6"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40" w:type="pct"/>
            <w:gridSpan w:val="2"/>
            <w:tcBorders>
              <w:top w:val="single" w:sz="6" w:space="0" w:color="auto"/>
              <w:left w:val="nil"/>
              <w:right w:val="nil"/>
            </w:tcBorders>
          </w:tcPr>
          <w:p w14:paraId="21C14422"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80" w:type="pct"/>
            <w:gridSpan w:val="2"/>
            <w:tcBorders>
              <w:top w:val="single" w:sz="6" w:space="0" w:color="auto"/>
              <w:left w:val="nil"/>
              <w:right w:val="nil"/>
            </w:tcBorders>
          </w:tcPr>
          <w:p w14:paraId="0E5F8321"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80" w:type="pct"/>
            <w:gridSpan w:val="2"/>
            <w:tcBorders>
              <w:top w:val="single" w:sz="6" w:space="0" w:color="auto"/>
              <w:left w:val="nil"/>
              <w:right w:val="nil"/>
            </w:tcBorders>
          </w:tcPr>
          <w:p w14:paraId="01363400"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82" w:type="pct"/>
            <w:gridSpan w:val="2"/>
            <w:tcBorders>
              <w:top w:val="single" w:sz="6" w:space="0" w:color="auto"/>
              <w:left w:val="nil"/>
              <w:right w:val="nil"/>
            </w:tcBorders>
          </w:tcPr>
          <w:p w14:paraId="1775A185"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6" w:type="pct"/>
            <w:tcBorders>
              <w:top w:val="single" w:sz="6" w:space="0" w:color="auto"/>
              <w:left w:val="nil"/>
              <w:right w:val="nil"/>
            </w:tcBorders>
          </w:tcPr>
          <w:p w14:paraId="16C223AB"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r>
      <w:tr w:rsidR="006658C5" w:rsidRPr="00D96B8F" w14:paraId="0B0F954C" w14:textId="77777777" w:rsidTr="00B42CEF">
        <w:trPr>
          <w:jc w:val="center"/>
        </w:trPr>
        <w:tc>
          <w:tcPr>
            <w:tcW w:w="822" w:type="pct"/>
            <w:gridSpan w:val="2"/>
            <w:tcBorders>
              <w:left w:val="nil"/>
              <w:bottom w:val="nil"/>
              <w:right w:val="nil"/>
            </w:tcBorders>
          </w:tcPr>
          <w:p w14:paraId="7709B84D"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
        </w:tc>
        <w:tc>
          <w:tcPr>
            <w:tcW w:w="440" w:type="pct"/>
            <w:tcBorders>
              <w:left w:val="nil"/>
              <w:bottom w:val="nil"/>
              <w:right w:val="nil"/>
            </w:tcBorders>
          </w:tcPr>
          <w:p w14:paraId="4AF048F6"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40" w:type="pct"/>
            <w:gridSpan w:val="2"/>
            <w:tcBorders>
              <w:left w:val="nil"/>
              <w:bottom w:val="nil"/>
              <w:right w:val="nil"/>
            </w:tcBorders>
          </w:tcPr>
          <w:p w14:paraId="7F2BE57F"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40" w:type="pct"/>
            <w:gridSpan w:val="2"/>
            <w:tcBorders>
              <w:left w:val="nil"/>
              <w:bottom w:val="nil"/>
              <w:right w:val="nil"/>
            </w:tcBorders>
          </w:tcPr>
          <w:p w14:paraId="52103B10"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40" w:type="pct"/>
            <w:gridSpan w:val="2"/>
            <w:tcBorders>
              <w:left w:val="nil"/>
              <w:bottom w:val="nil"/>
              <w:right w:val="nil"/>
            </w:tcBorders>
          </w:tcPr>
          <w:p w14:paraId="53B6AD4D"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80" w:type="pct"/>
            <w:gridSpan w:val="2"/>
            <w:tcBorders>
              <w:left w:val="nil"/>
              <w:bottom w:val="nil"/>
              <w:right w:val="nil"/>
            </w:tcBorders>
          </w:tcPr>
          <w:p w14:paraId="222350AB"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80" w:type="pct"/>
            <w:gridSpan w:val="2"/>
            <w:tcBorders>
              <w:left w:val="nil"/>
              <w:bottom w:val="nil"/>
              <w:right w:val="nil"/>
            </w:tcBorders>
          </w:tcPr>
          <w:p w14:paraId="3FDA86F7"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82" w:type="pct"/>
            <w:gridSpan w:val="2"/>
            <w:tcBorders>
              <w:left w:val="nil"/>
              <w:bottom w:val="nil"/>
              <w:right w:val="nil"/>
            </w:tcBorders>
          </w:tcPr>
          <w:p w14:paraId="3D787936"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6" w:type="pct"/>
            <w:tcBorders>
              <w:left w:val="nil"/>
              <w:bottom w:val="nil"/>
              <w:right w:val="nil"/>
            </w:tcBorders>
          </w:tcPr>
          <w:p w14:paraId="51CEF165"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r>
      <w:tr w:rsidR="006658C5" w:rsidRPr="00D96B8F" w14:paraId="10CC6196" w14:textId="77777777" w:rsidTr="00B42CEF">
        <w:trPr>
          <w:jc w:val="center"/>
        </w:trPr>
        <w:tc>
          <w:tcPr>
            <w:tcW w:w="822" w:type="pct"/>
            <w:gridSpan w:val="2"/>
            <w:tcBorders>
              <w:top w:val="nil"/>
              <w:left w:val="nil"/>
              <w:bottom w:val="nil"/>
              <w:right w:val="nil"/>
            </w:tcBorders>
          </w:tcPr>
          <w:p w14:paraId="6FDF43C5"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r w:rsidRPr="00D96B8F">
              <w:rPr>
                <w:rFonts w:ascii="Times New Roman" w:hAnsi="Times New Roman" w:cs="Times New Roman"/>
                <w:sz w:val="16"/>
                <w:szCs w:val="16"/>
              </w:rPr>
              <w:t>VoteLargest5</w:t>
            </w:r>
          </w:p>
        </w:tc>
        <w:tc>
          <w:tcPr>
            <w:tcW w:w="440" w:type="pct"/>
            <w:tcBorders>
              <w:top w:val="nil"/>
              <w:left w:val="nil"/>
              <w:bottom w:val="nil"/>
              <w:right w:val="nil"/>
            </w:tcBorders>
          </w:tcPr>
          <w:p w14:paraId="6337E17D"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0.002</w:t>
            </w:r>
          </w:p>
        </w:tc>
        <w:tc>
          <w:tcPr>
            <w:tcW w:w="440" w:type="pct"/>
            <w:gridSpan w:val="2"/>
            <w:tcBorders>
              <w:top w:val="nil"/>
              <w:left w:val="nil"/>
              <w:bottom w:val="nil"/>
              <w:right w:val="nil"/>
            </w:tcBorders>
          </w:tcPr>
          <w:p w14:paraId="71D25B17"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40" w:type="pct"/>
            <w:gridSpan w:val="2"/>
            <w:tcBorders>
              <w:top w:val="nil"/>
              <w:left w:val="nil"/>
              <w:bottom w:val="nil"/>
              <w:right w:val="nil"/>
            </w:tcBorders>
          </w:tcPr>
          <w:p w14:paraId="2DFD63AA"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40" w:type="pct"/>
            <w:gridSpan w:val="2"/>
            <w:tcBorders>
              <w:top w:val="nil"/>
              <w:left w:val="nil"/>
              <w:bottom w:val="nil"/>
              <w:right w:val="nil"/>
            </w:tcBorders>
          </w:tcPr>
          <w:p w14:paraId="6CE53038"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80" w:type="pct"/>
            <w:gridSpan w:val="2"/>
            <w:tcBorders>
              <w:top w:val="nil"/>
              <w:left w:val="nil"/>
              <w:bottom w:val="nil"/>
              <w:right w:val="nil"/>
            </w:tcBorders>
          </w:tcPr>
          <w:p w14:paraId="2F77CEC7"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0.002</w:t>
            </w:r>
          </w:p>
        </w:tc>
        <w:tc>
          <w:tcPr>
            <w:tcW w:w="580" w:type="pct"/>
            <w:gridSpan w:val="2"/>
            <w:tcBorders>
              <w:top w:val="nil"/>
              <w:left w:val="nil"/>
              <w:bottom w:val="nil"/>
              <w:right w:val="nil"/>
            </w:tcBorders>
          </w:tcPr>
          <w:p w14:paraId="22447A7E"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82" w:type="pct"/>
            <w:gridSpan w:val="2"/>
            <w:tcBorders>
              <w:top w:val="nil"/>
              <w:left w:val="nil"/>
              <w:bottom w:val="nil"/>
              <w:right w:val="nil"/>
            </w:tcBorders>
          </w:tcPr>
          <w:p w14:paraId="381BF137"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6" w:type="pct"/>
            <w:tcBorders>
              <w:top w:val="nil"/>
              <w:left w:val="nil"/>
              <w:bottom w:val="nil"/>
              <w:right w:val="nil"/>
            </w:tcBorders>
          </w:tcPr>
          <w:p w14:paraId="2301A2B9"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r>
      <w:tr w:rsidR="006658C5" w:rsidRPr="00D96B8F" w14:paraId="316E36D2" w14:textId="77777777" w:rsidTr="00B42CEF">
        <w:trPr>
          <w:jc w:val="center"/>
        </w:trPr>
        <w:tc>
          <w:tcPr>
            <w:tcW w:w="822" w:type="pct"/>
            <w:gridSpan w:val="2"/>
            <w:tcBorders>
              <w:top w:val="nil"/>
              <w:left w:val="nil"/>
              <w:bottom w:val="nil"/>
              <w:right w:val="nil"/>
            </w:tcBorders>
          </w:tcPr>
          <w:p w14:paraId="0BC86AD2"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
        </w:tc>
        <w:tc>
          <w:tcPr>
            <w:tcW w:w="440" w:type="pct"/>
            <w:tcBorders>
              <w:top w:val="nil"/>
              <w:left w:val="nil"/>
              <w:bottom w:val="nil"/>
              <w:right w:val="nil"/>
            </w:tcBorders>
          </w:tcPr>
          <w:p w14:paraId="22B6BE07"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(0.003)</w:t>
            </w:r>
          </w:p>
        </w:tc>
        <w:tc>
          <w:tcPr>
            <w:tcW w:w="440" w:type="pct"/>
            <w:gridSpan w:val="2"/>
            <w:tcBorders>
              <w:top w:val="nil"/>
              <w:left w:val="nil"/>
              <w:bottom w:val="nil"/>
              <w:right w:val="nil"/>
            </w:tcBorders>
          </w:tcPr>
          <w:p w14:paraId="57A4CDCF"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40" w:type="pct"/>
            <w:gridSpan w:val="2"/>
            <w:tcBorders>
              <w:top w:val="nil"/>
              <w:left w:val="nil"/>
              <w:bottom w:val="nil"/>
              <w:right w:val="nil"/>
            </w:tcBorders>
          </w:tcPr>
          <w:p w14:paraId="68787209"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40" w:type="pct"/>
            <w:gridSpan w:val="2"/>
            <w:tcBorders>
              <w:top w:val="nil"/>
              <w:left w:val="nil"/>
              <w:bottom w:val="nil"/>
              <w:right w:val="nil"/>
            </w:tcBorders>
          </w:tcPr>
          <w:p w14:paraId="6FBBBC6D"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80" w:type="pct"/>
            <w:gridSpan w:val="2"/>
            <w:tcBorders>
              <w:top w:val="nil"/>
              <w:left w:val="nil"/>
              <w:bottom w:val="nil"/>
              <w:right w:val="nil"/>
            </w:tcBorders>
          </w:tcPr>
          <w:p w14:paraId="103896CA"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(0.004)</w:t>
            </w:r>
          </w:p>
        </w:tc>
        <w:tc>
          <w:tcPr>
            <w:tcW w:w="580" w:type="pct"/>
            <w:gridSpan w:val="2"/>
            <w:tcBorders>
              <w:top w:val="nil"/>
              <w:left w:val="nil"/>
              <w:bottom w:val="nil"/>
              <w:right w:val="nil"/>
            </w:tcBorders>
          </w:tcPr>
          <w:p w14:paraId="65FD7A27"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82" w:type="pct"/>
            <w:gridSpan w:val="2"/>
            <w:tcBorders>
              <w:top w:val="nil"/>
              <w:left w:val="nil"/>
              <w:bottom w:val="nil"/>
              <w:right w:val="nil"/>
            </w:tcBorders>
          </w:tcPr>
          <w:p w14:paraId="484421E7"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6" w:type="pct"/>
            <w:tcBorders>
              <w:top w:val="nil"/>
              <w:left w:val="nil"/>
              <w:bottom w:val="nil"/>
              <w:right w:val="nil"/>
            </w:tcBorders>
          </w:tcPr>
          <w:p w14:paraId="78D57ECB"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r>
      <w:tr w:rsidR="006658C5" w:rsidRPr="00D96B8F" w14:paraId="018BB743" w14:textId="77777777" w:rsidTr="00B42CEF">
        <w:trPr>
          <w:jc w:val="center"/>
        </w:trPr>
        <w:tc>
          <w:tcPr>
            <w:tcW w:w="822" w:type="pct"/>
            <w:gridSpan w:val="2"/>
            <w:tcBorders>
              <w:top w:val="nil"/>
              <w:left w:val="nil"/>
              <w:bottom w:val="nil"/>
              <w:right w:val="nil"/>
            </w:tcBorders>
          </w:tcPr>
          <w:p w14:paraId="6C39E08A"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roofErr w:type="spellStart"/>
            <w:r w:rsidRPr="00D96B8F">
              <w:rPr>
                <w:rFonts w:ascii="Times New Roman" w:hAnsi="Times New Roman" w:cs="Times New Roman"/>
                <w:sz w:val="16"/>
                <w:szCs w:val="16"/>
              </w:rPr>
              <w:t>VoteHHI</w:t>
            </w:r>
            <w:proofErr w:type="spellEnd"/>
          </w:p>
        </w:tc>
        <w:tc>
          <w:tcPr>
            <w:tcW w:w="440" w:type="pct"/>
            <w:tcBorders>
              <w:top w:val="nil"/>
              <w:left w:val="nil"/>
              <w:bottom w:val="nil"/>
              <w:right w:val="nil"/>
            </w:tcBorders>
          </w:tcPr>
          <w:p w14:paraId="03680E90"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40" w:type="pct"/>
            <w:gridSpan w:val="2"/>
            <w:tcBorders>
              <w:top w:val="nil"/>
              <w:left w:val="nil"/>
              <w:bottom w:val="nil"/>
              <w:right w:val="nil"/>
            </w:tcBorders>
          </w:tcPr>
          <w:p w14:paraId="4A036A87"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0.002</w:t>
            </w:r>
          </w:p>
        </w:tc>
        <w:tc>
          <w:tcPr>
            <w:tcW w:w="440" w:type="pct"/>
            <w:gridSpan w:val="2"/>
            <w:tcBorders>
              <w:top w:val="nil"/>
              <w:left w:val="nil"/>
              <w:bottom w:val="nil"/>
              <w:right w:val="nil"/>
            </w:tcBorders>
          </w:tcPr>
          <w:p w14:paraId="001A8A13"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40" w:type="pct"/>
            <w:gridSpan w:val="2"/>
            <w:tcBorders>
              <w:top w:val="nil"/>
              <w:left w:val="nil"/>
              <w:bottom w:val="nil"/>
              <w:right w:val="nil"/>
            </w:tcBorders>
          </w:tcPr>
          <w:p w14:paraId="152FA3E4"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80" w:type="pct"/>
            <w:gridSpan w:val="2"/>
            <w:tcBorders>
              <w:top w:val="nil"/>
              <w:left w:val="nil"/>
              <w:bottom w:val="nil"/>
              <w:right w:val="nil"/>
            </w:tcBorders>
          </w:tcPr>
          <w:p w14:paraId="5FAF2304"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80" w:type="pct"/>
            <w:gridSpan w:val="2"/>
            <w:tcBorders>
              <w:top w:val="nil"/>
              <w:left w:val="nil"/>
              <w:bottom w:val="nil"/>
              <w:right w:val="nil"/>
            </w:tcBorders>
          </w:tcPr>
          <w:p w14:paraId="5CDF39B5"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0.002</w:t>
            </w:r>
          </w:p>
        </w:tc>
        <w:tc>
          <w:tcPr>
            <w:tcW w:w="582" w:type="pct"/>
            <w:gridSpan w:val="2"/>
            <w:tcBorders>
              <w:top w:val="nil"/>
              <w:left w:val="nil"/>
              <w:bottom w:val="nil"/>
              <w:right w:val="nil"/>
            </w:tcBorders>
          </w:tcPr>
          <w:p w14:paraId="7AB5BE53"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6" w:type="pct"/>
            <w:tcBorders>
              <w:top w:val="nil"/>
              <w:left w:val="nil"/>
              <w:bottom w:val="nil"/>
              <w:right w:val="nil"/>
            </w:tcBorders>
          </w:tcPr>
          <w:p w14:paraId="295373BC"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r>
      <w:tr w:rsidR="006658C5" w:rsidRPr="00D96B8F" w14:paraId="188DE487" w14:textId="77777777" w:rsidTr="00B42CEF">
        <w:trPr>
          <w:jc w:val="center"/>
        </w:trPr>
        <w:tc>
          <w:tcPr>
            <w:tcW w:w="822" w:type="pct"/>
            <w:gridSpan w:val="2"/>
            <w:tcBorders>
              <w:top w:val="nil"/>
              <w:left w:val="nil"/>
              <w:bottom w:val="nil"/>
              <w:right w:val="nil"/>
            </w:tcBorders>
          </w:tcPr>
          <w:p w14:paraId="68022F26"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
        </w:tc>
        <w:tc>
          <w:tcPr>
            <w:tcW w:w="440" w:type="pct"/>
            <w:tcBorders>
              <w:top w:val="nil"/>
              <w:left w:val="nil"/>
              <w:bottom w:val="nil"/>
              <w:right w:val="nil"/>
            </w:tcBorders>
          </w:tcPr>
          <w:p w14:paraId="36D7AC48"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40" w:type="pct"/>
            <w:gridSpan w:val="2"/>
            <w:tcBorders>
              <w:top w:val="nil"/>
              <w:left w:val="nil"/>
              <w:bottom w:val="nil"/>
              <w:right w:val="nil"/>
            </w:tcBorders>
          </w:tcPr>
          <w:p w14:paraId="0AF9258B"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(0.002)</w:t>
            </w:r>
          </w:p>
        </w:tc>
        <w:tc>
          <w:tcPr>
            <w:tcW w:w="440" w:type="pct"/>
            <w:gridSpan w:val="2"/>
            <w:tcBorders>
              <w:top w:val="nil"/>
              <w:left w:val="nil"/>
              <w:bottom w:val="nil"/>
              <w:right w:val="nil"/>
            </w:tcBorders>
          </w:tcPr>
          <w:p w14:paraId="132201BE"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40" w:type="pct"/>
            <w:gridSpan w:val="2"/>
            <w:tcBorders>
              <w:top w:val="nil"/>
              <w:left w:val="nil"/>
              <w:bottom w:val="nil"/>
              <w:right w:val="nil"/>
            </w:tcBorders>
          </w:tcPr>
          <w:p w14:paraId="1AA98B00"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80" w:type="pct"/>
            <w:gridSpan w:val="2"/>
            <w:tcBorders>
              <w:top w:val="nil"/>
              <w:left w:val="nil"/>
              <w:bottom w:val="nil"/>
              <w:right w:val="nil"/>
            </w:tcBorders>
          </w:tcPr>
          <w:p w14:paraId="75464295"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80" w:type="pct"/>
            <w:gridSpan w:val="2"/>
            <w:tcBorders>
              <w:top w:val="nil"/>
              <w:left w:val="nil"/>
              <w:bottom w:val="nil"/>
              <w:right w:val="nil"/>
            </w:tcBorders>
          </w:tcPr>
          <w:p w14:paraId="23754830"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(0.003)</w:t>
            </w:r>
          </w:p>
        </w:tc>
        <w:tc>
          <w:tcPr>
            <w:tcW w:w="582" w:type="pct"/>
            <w:gridSpan w:val="2"/>
            <w:tcBorders>
              <w:top w:val="nil"/>
              <w:left w:val="nil"/>
              <w:bottom w:val="nil"/>
              <w:right w:val="nil"/>
            </w:tcBorders>
          </w:tcPr>
          <w:p w14:paraId="655F2F3A"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6" w:type="pct"/>
            <w:tcBorders>
              <w:top w:val="nil"/>
              <w:left w:val="nil"/>
              <w:bottom w:val="nil"/>
              <w:right w:val="nil"/>
            </w:tcBorders>
          </w:tcPr>
          <w:p w14:paraId="0FA3C374"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r>
      <w:tr w:rsidR="006658C5" w:rsidRPr="00D96B8F" w14:paraId="0C99C4FB" w14:textId="77777777" w:rsidTr="00B42CEF">
        <w:trPr>
          <w:jc w:val="center"/>
        </w:trPr>
        <w:tc>
          <w:tcPr>
            <w:tcW w:w="822" w:type="pct"/>
            <w:gridSpan w:val="2"/>
            <w:tcBorders>
              <w:top w:val="nil"/>
              <w:left w:val="nil"/>
              <w:bottom w:val="nil"/>
              <w:right w:val="nil"/>
            </w:tcBorders>
          </w:tcPr>
          <w:p w14:paraId="1684C90A"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roofErr w:type="spellStart"/>
            <w:r w:rsidRPr="00D96B8F">
              <w:rPr>
                <w:rFonts w:ascii="Times New Roman" w:hAnsi="Times New Roman" w:cs="Times New Roman"/>
                <w:sz w:val="16"/>
                <w:szCs w:val="16"/>
              </w:rPr>
              <w:t>VoteInsiders</w:t>
            </w:r>
            <w:proofErr w:type="spellEnd"/>
          </w:p>
        </w:tc>
        <w:tc>
          <w:tcPr>
            <w:tcW w:w="440" w:type="pct"/>
            <w:tcBorders>
              <w:top w:val="nil"/>
              <w:left w:val="nil"/>
              <w:bottom w:val="nil"/>
              <w:right w:val="nil"/>
            </w:tcBorders>
          </w:tcPr>
          <w:p w14:paraId="7F214EBC"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40" w:type="pct"/>
            <w:gridSpan w:val="2"/>
            <w:tcBorders>
              <w:top w:val="nil"/>
              <w:left w:val="nil"/>
              <w:bottom w:val="nil"/>
              <w:right w:val="nil"/>
            </w:tcBorders>
          </w:tcPr>
          <w:p w14:paraId="3BD674CA"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40" w:type="pct"/>
            <w:gridSpan w:val="2"/>
            <w:tcBorders>
              <w:top w:val="nil"/>
              <w:left w:val="nil"/>
              <w:bottom w:val="nil"/>
              <w:right w:val="nil"/>
            </w:tcBorders>
          </w:tcPr>
          <w:p w14:paraId="2D4B31D7"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0.004*</w:t>
            </w:r>
          </w:p>
        </w:tc>
        <w:tc>
          <w:tcPr>
            <w:tcW w:w="540" w:type="pct"/>
            <w:gridSpan w:val="2"/>
            <w:tcBorders>
              <w:top w:val="nil"/>
              <w:left w:val="nil"/>
              <w:bottom w:val="nil"/>
              <w:right w:val="nil"/>
            </w:tcBorders>
          </w:tcPr>
          <w:p w14:paraId="38C3D162"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80" w:type="pct"/>
            <w:gridSpan w:val="2"/>
            <w:tcBorders>
              <w:top w:val="nil"/>
              <w:left w:val="nil"/>
              <w:bottom w:val="nil"/>
              <w:right w:val="nil"/>
            </w:tcBorders>
          </w:tcPr>
          <w:p w14:paraId="4B4472FE"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80" w:type="pct"/>
            <w:gridSpan w:val="2"/>
            <w:tcBorders>
              <w:top w:val="nil"/>
              <w:left w:val="nil"/>
              <w:bottom w:val="nil"/>
              <w:right w:val="nil"/>
            </w:tcBorders>
          </w:tcPr>
          <w:p w14:paraId="1BFC64AD"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82" w:type="pct"/>
            <w:gridSpan w:val="2"/>
            <w:tcBorders>
              <w:top w:val="nil"/>
              <w:left w:val="nil"/>
              <w:bottom w:val="nil"/>
              <w:right w:val="nil"/>
            </w:tcBorders>
          </w:tcPr>
          <w:p w14:paraId="3CAEF1A0"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0.004</w:t>
            </w:r>
          </w:p>
        </w:tc>
        <w:tc>
          <w:tcPr>
            <w:tcW w:w="576" w:type="pct"/>
            <w:tcBorders>
              <w:top w:val="nil"/>
              <w:left w:val="nil"/>
              <w:bottom w:val="nil"/>
              <w:right w:val="nil"/>
            </w:tcBorders>
          </w:tcPr>
          <w:p w14:paraId="1E786A7B"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r>
      <w:tr w:rsidR="006658C5" w:rsidRPr="00D96B8F" w14:paraId="518F42C3" w14:textId="77777777" w:rsidTr="00B42CEF">
        <w:trPr>
          <w:jc w:val="center"/>
        </w:trPr>
        <w:tc>
          <w:tcPr>
            <w:tcW w:w="822" w:type="pct"/>
            <w:gridSpan w:val="2"/>
            <w:tcBorders>
              <w:top w:val="nil"/>
              <w:left w:val="nil"/>
              <w:bottom w:val="nil"/>
              <w:right w:val="nil"/>
            </w:tcBorders>
          </w:tcPr>
          <w:p w14:paraId="022691ED"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
        </w:tc>
        <w:tc>
          <w:tcPr>
            <w:tcW w:w="440" w:type="pct"/>
            <w:tcBorders>
              <w:top w:val="nil"/>
              <w:left w:val="nil"/>
              <w:bottom w:val="nil"/>
              <w:right w:val="nil"/>
            </w:tcBorders>
          </w:tcPr>
          <w:p w14:paraId="1CB8E22E"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40" w:type="pct"/>
            <w:gridSpan w:val="2"/>
            <w:tcBorders>
              <w:top w:val="nil"/>
              <w:left w:val="nil"/>
              <w:bottom w:val="nil"/>
              <w:right w:val="nil"/>
            </w:tcBorders>
          </w:tcPr>
          <w:p w14:paraId="7BC9B136"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40" w:type="pct"/>
            <w:gridSpan w:val="2"/>
            <w:tcBorders>
              <w:top w:val="nil"/>
              <w:left w:val="nil"/>
              <w:bottom w:val="nil"/>
              <w:right w:val="nil"/>
            </w:tcBorders>
          </w:tcPr>
          <w:p w14:paraId="03A065CC"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(0.002)</w:t>
            </w:r>
          </w:p>
        </w:tc>
        <w:tc>
          <w:tcPr>
            <w:tcW w:w="540" w:type="pct"/>
            <w:gridSpan w:val="2"/>
            <w:tcBorders>
              <w:top w:val="nil"/>
              <w:left w:val="nil"/>
              <w:bottom w:val="nil"/>
              <w:right w:val="nil"/>
            </w:tcBorders>
          </w:tcPr>
          <w:p w14:paraId="3B6DFC48"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80" w:type="pct"/>
            <w:gridSpan w:val="2"/>
            <w:tcBorders>
              <w:top w:val="nil"/>
              <w:left w:val="nil"/>
              <w:bottom w:val="nil"/>
              <w:right w:val="nil"/>
            </w:tcBorders>
          </w:tcPr>
          <w:p w14:paraId="05742057"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80" w:type="pct"/>
            <w:gridSpan w:val="2"/>
            <w:tcBorders>
              <w:top w:val="nil"/>
              <w:left w:val="nil"/>
              <w:bottom w:val="nil"/>
              <w:right w:val="nil"/>
            </w:tcBorders>
          </w:tcPr>
          <w:p w14:paraId="53095656"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82" w:type="pct"/>
            <w:gridSpan w:val="2"/>
            <w:tcBorders>
              <w:top w:val="nil"/>
              <w:left w:val="nil"/>
              <w:bottom w:val="nil"/>
              <w:right w:val="nil"/>
            </w:tcBorders>
          </w:tcPr>
          <w:p w14:paraId="28420BF1"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(0.003)</w:t>
            </w:r>
          </w:p>
        </w:tc>
        <w:tc>
          <w:tcPr>
            <w:tcW w:w="576" w:type="pct"/>
            <w:tcBorders>
              <w:top w:val="nil"/>
              <w:left w:val="nil"/>
              <w:bottom w:val="nil"/>
              <w:right w:val="nil"/>
            </w:tcBorders>
          </w:tcPr>
          <w:p w14:paraId="08D0E935"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r>
      <w:tr w:rsidR="006658C5" w:rsidRPr="00D96B8F" w14:paraId="7BC49089" w14:textId="77777777" w:rsidTr="00B42CEF">
        <w:trPr>
          <w:jc w:val="center"/>
        </w:trPr>
        <w:tc>
          <w:tcPr>
            <w:tcW w:w="822" w:type="pct"/>
            <w:gridSpan w:val="2"/>
            <w:tcBorders>
              <w:top w:val="nil"/>
              <w:left w:val="nil"/>
              <w:bottom w:val="nil"/>
              <w:right w:val="nil"/>
            </w:tcBorders>
          </w:tcPr>
          <w:p w14:paraId="000108A3"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roofErr w:type="spellStart"/>
            <w:r w:rsidRPr="00D96B8F">
              <w:rPr>
                <w:rFonts w:ascii="Times New Roman" w:hAnsi="Times New Roman" w:cs="Times New Roman"/>
                <w:sz w:val="16"/>
                <w:szCs w:val="16"/>
              </w:rPr>
              <w:t>VoteDir</w:t>
            </w:r>
            <w:proofErr w:type="spellEnd"/>
          </w:p>
        </w:tc>
        <w:tc>
          <w:tcPr>
            <w:tcW w:w="440" w:type="pct"/>
            <w:tcBorders>
              <w:top w:val="nil"/>
              <w:left w:val="nil"/>
              <w:bottom w:val="nil"/>
              <w:right w:val="nil"/>
            </w:tcBorders>
          </w:tcPr>
          <w:p w14:paraId="42B507DE"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40" w:type="pct"/>
            <w:gridSpan w:val="2"/>
            <w:tcBorders>
              <w:top w:val="nil"/>
              <w:left w:val="nil"/>
              <w:bottom w:val="nil"/>
              <w:right w:val="nil"/>
            </w:tcBorders>
          </w:tcPr>
          <w:p w14:paraId="35FBA166"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40" w:type="pct"/>
            <w:gridSpan w:val="2"/>
            <w:tcBorders>
              <w:top w:val="nil"/>
              <w:left w:val="nil"/>
              <w:bottom w:val="nil"/>
              <w:right w:val="nil"/>
            </w:tcBorders>
          </w:tcPr>
          <w:p w14:paraId="116B8DEA"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40" w:type="pct"/>
            <w:gridSpan w:val="2"/>
            <w:tcBorders>
              <w:top w:val="nil"/>
              <w:left w:val="nil"/>
              <w:bottom w:val="nil"/>
              <w:right w:val="nil"/>
            </w:tcBorders>
          </w:tcPr>
          <w:p w14:paraId="663004E6"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0.007***</w:t>
            </w:r>
          </w:p>
        </w:tc>
        <w:tc>
          <w:tcPr>
            <w:tcW w:w="580" w:type="pct"/>
            <w:gridSpan w:val="2"/>
            <w:tcBorders>
              <w:top w:val="nil"/>
              <w:left w:val="nil"/>
              <w:bottom w:val="nil"/>
              <w:right w:val="nil"/>
            </w:tcBorders>
          </w:tcPr>
          <w:p w14:paraId="5B38E2EA"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80" w:type="pct"/>
            <w:gridSpan w:val="2"/>
            <w:tcBorders>
              <w:top w:val="nil"/>
              <w:left w:val="nil"/>
              <w:bottom w:val="nil"/>
              <w:right w:val="nil"/>
            </w:tcBorders>
          </w:tcPr>
          <w:p w14:paraId="30661269"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82" w:type="pct"/>
            <w:gridSpan w:val="2"/>
            <w:tcBorders>
              <w:top w:val="nil"/>
              <w:left w:val="nil"/>
              <w:bottom w:val="nil"/>
              <w:right w:val="nil"/>
            </w:tcBorders>
          </w:tcPr>
          <w:p w14:paraId="56DD1318"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6" w:type="pct"/>
            <w:tcBorders>
              <w:top w:val="nil"/>
              <w:left w:val="nil"/>
              <w:bottom w:val="nil"/>
              <w:right w:val="nil"/>
            </w:tcBorders>
          </w:tcPr>
          <w:p w14:paraId="7A326E76"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0.007**</w:t>
            </w:r>
          </w:p>
        </w:tc>
      </w:tr>
      <w:tr w:rsidR="006658C5" w:rsidRPr="00D96B8F" w14:paraId="70EE83CF" w14:textId="77777777" w:rsidTr="00B42CEF">
        <w:trPr>
          <w:jc w:val="center"/>
        </w:trPr>
        <w:tc>
          <w:tcPr>
            <w:tcW w:w="822" w:type="pct"/>
            <w:gridSpan w:val="2"/>
            <w:tcBorders>
              <w:top w:val="nil"/>
              <w:left w:val="nil"/>
              <w:bottom w:val="nil"/>
              <w:right w:val="nil"/>
            </w:tcBorders>
          </w:tcPr>
          <w:p w14:paraId="3EE9D8B9"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
        </w:tc>
        <w:tc>
          <w:tcPr>
            <w:tcW w:w="440" w:type="pct"/>
            <w:tcBorders>
              <w:top w:val="nil"/>
              <w:left w:val="nil"/>
              <w:bottom w:val="nil"/>
              <w:right w:val="nil"/>
            </w:tcBorders>
          </w:tcPr>
          <w:p w14:paraId="2C2BFBE9"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40" w:type="pct"/>
            <w:gridSpan w:val="2"/>
            <w:tcBorders>
              <w:top w:val="nil"/>
              <w:left w:val="nil"/>
              <w:bottom w:val="nil"/>
              <w:right w:val="nil"/>
            </w:tcBorders>
          </w:tcPr>
          <w:p w14:paraId="2E6BF728"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40" w:type="pct"/>
            <w:gridSpan w:val="2"/>
            <w:tcBorders>
              <w:top w:val="nil"/>
              <w:left w:val="nil"/>
              <w:bottom w:val="nil"/>
              <w:right w:val="nil"/>
            </w:tcBorders>
          </w:tcPr>
          <w:p w14:paraId="7EF58761"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40" w:type="pct"/>
            <w:gridSpan w:val="2"/>
            <w:tcBorders>
              <w:top w:val="nil"/>
              <w:left w:val="nil"/>
              <w:bottom w:val="nil"/>
              <w:right w:val="nil"/>
            </w:tcBorders>
          </w:tcPr>
          <w:p w14:paraId="2C5789E1"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(0.003)</w:t>
            </w:r>
          </w:p>
        </w:tc>
        <w:tc>
          <w:tcPr>
            <w:tcW w:w="580" w:type="pct"/>
            <w:gridSpan w:val="2"/>
            <w:tcBorders>
              <w:top w:val="nil"/>
              <w:left w:val="nil"/>
              <w:bottom w:val="nil"/>
              <w:right w:val="nil"/>
            </w:tcBorders>
          </w:tcPr>
          <w:p w14:paraId="355136F5"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80" w:type="pct"/>
            <w:gridSpan w:val="2"/>
            <w:tcBorders>
              <w:top w:val="nil"/>
              <w:left w:val="nil"/>
              <w:bottom w:val="nil"/>
              <w:right w:val="nil"/>
            </w:tcBorders>
          </w:tcPr>
          <w:p w14:paraId="07B63404"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82" w:type="pct"/>
            <w:gridSpan w:val="2"/>
            <w:tcBorders>
              <w:top w:val="nil"/>
              <w:left w:val="nil"/>
              <w:bottom w:val="nil"/>
              <w:right w:val="nil"/>
            </w:tcBorders>
          </w:tcPr>
          <w:p w14:paraId="73F63D37"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6" w:type="pct"/>
            <w:tcBorders>
              <w:top w:val="nil"/>
              <w:left w:val="nil"/>
              <w:bottom w:val="nil"/>
              <w:right w:val="nil"/>
            </w:tcBorders>
          </w:tcPr>
          <w:p w14:paraId="489756EC"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(0.003)</w:t>
            </w:r>
          </w:p>
        </w:tc>
      </w:tr>
      <w:tr w:rsidR="006658C5" w:rsidRPr="00D96B8F" w14:paraId="23AA0A73" w14:textId="77777777" w:rsidTr="00B42CEF">
        <w:trPr>
          <w:jc w:val="center"/>
        </w:trPr>
        <w:tc>
          <w:tcPr>
            <w:tcW w:w="822" w:type="pct"/>
            <w:gridSpan w:val="2"/>
            <w:tcBorders>
              <w:top w:val="nil"/>
              <w:left w:val="nil"/>
              <w:bottom w:val="nil"/>
              <w:right w:val="nil"/>
            </w:tcBorders>
          </w:tcPr>
          <w:p w14:paraId="09438182"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roofErr w:type="spellStart"/>
            <w:r w:rsidRPr="00D96B8F">
              <w:rPr>
                <w:rFonts w:ascii="Times New Roman" w:hAnsi="Times New Roman" w:cs="Times New Roman"/>
                <w:sz w:val="16"/>
                <w:szCs w:val="16"/>
              </w:rPr>
              <w:t>NumDir</w:t>
            </w:r>
            <w:proofErr w:type="spellEnd"/>
          </w:p>
        </w:tc>
        <w:tc>
          <w:tcPr>
            <w:tcW w:w="440" w:type="pct"/>
            <w:tcBorders>
              <w:top w:val="nil"/>
              <w:left w:val="nil"/>
              <w:bottom w:val="nil"/>
              <w:right w:val="nil"/>
            </w:tcBorders>
          </w:tcPr>
          <w:p w14:paraId="7DCBFB84"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40" w:type="pct"/>
            <w:gridSpan w:val="2"/>
            <w:tcBorders>
              <w:top w:val="nil"/>
              <w:left w:val="nil"/>
              <w:bottom w:val="nil"/>
              <w:right w:val="nil"/>
            </w:tcBorders>
          </w:tcPr>
          <w:p w14:paraId="157CE600"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40" w:type="pct"/>
            <w:gridSpan w:val="2"/>
            <w:tcBorders>
              <w:top w:val="nil"/>
              <w:left w:val="nil"/>
              <w:bottom w:val="nil"/>
              <w:right w:val="nil"/>
            </w:tcBorders>
          </w:tcPr>
          <w:p w14:paraId="739048D1"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40" w:type="pct"/>
            <w:gridSpan w:val="2"/>
            <w:tcBorders>
              <w:top w:val="nil"/>
              <w:left w:val="nil"/>
              <w:bottom w:val="nil"/>
              <w:right w:val="nil"/>
            </w:tcBorders>
          </w:tcPr>
          <w:p w14:paraId="01466A53"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80" w:type="pct"/>
            <w:gridSpan w:val="2"/>
            <w:tcBorders>
              <w:top w:val="nil"/>
              <w:left w:val="nil"/>
              <w:bottom w:val="nil"/>
              <w:right w:val="nil"/>
            </w:tcBorders>
          </w:tcPr>
          <w:p w14:paraId="056990F4"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0.000</w:t>
            </w:r>
          </w:p>
        </w:tc>
        <w:tc>
          <w:tcPr>
            <w:tcW w:w="580" w:type="pct"/>
            <w:gridSpan w:val="2"/>
            <w:tcBorders>
              <w:top w:val="nil"/>
              <w:left w:val="nil"/>
              <w:bottom w:val="nil"/>
              <w:right w:val="nil"/>
            </w:tcBorders>
          </w:tcPr>
          <w:p w14:paraId="3DEA86DB"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0.000</w:t>
            </w:r>
          </w:p>
        </w:tc>
        <w:tc>
          <w:tcPr>
            <w:tcW w:w="582" w:type="pct"/>
            <w:gridSpan w:val="2"/>
            <w:tcBorders>
              <w:top w:val="nil"/>
              <w:left w:val="nil"/>
              <w:bottom w:val="nil"/>
              <w:right w:val="nil"/>
            </w:tcBorders>
          </w:tcPr>
          <w:p w14:paraId="694456F6"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0.000</w:t>
            </w:r>
          </w:p>
        </w:tc>
        <w:tc>
          <w:tcPr>
            <w:tcW w:w="576" w:type="pct"/>
            <w:tcBorders>
              <w:top w:val="nil"/>
              <w:left w:val="nil"/>
              <w:bottom w:val="nil"/>
              <w:right w:val="nil"/>
            </w:tcBorders>
          </w:tcPr>
          <w:p w14:paraId="7DC903F7"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-0.000</w:t>
            </w:r>
          </w:p>
        </w:tc>
      </w:tr>
      <w:tr w:rsidR="006658C5" w:rsidRPr="00D96B8F" w14:paraId="0317860E" w14:textId="77777777" w:rsidTr="00B42CEF">
        <w:trPr>
          <w:jc w:val="center"/>
        </w:trPr>
        <w:tc>
          <w:tcPr>
            <w:tcW w:w="822" w:type="pct"/>
            <w:gridSpan w:val="2"/>
            <w:tcBorders>
              <w:top w:val="nil"/>
              <w:left w:val="nil"/>
              <w:bottom w:val="nil"/>
              <w:right w:val="nil"/>
            </w:tcBorders>
          </w:tcPr>
          <w:p w14:paraId="4D5FB106"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
        </w:tc>
        <w:tc>
          <w:tcPr>
            <w:tcW w:w="440" w:type="pct"/>
            <w:tcBorders>
              <w:top w:val="nil"/>
              <w:left w:val="nil"/>
              <w:bottom w:val="nil"/>
              <w:right w:val="nil"/>
            </w:tcBorders>
          </w:tcPr>
          <w:p w14:paraId="6B170573"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40" w:type="pct"/>
            <w:gridSpan w:val="2"/>
            <w:tcBorders>
              <w:top w:val="nil"/>
              <w:left w:val="nil"/>
              <w:bottom w:val="nil"/>
              <w:right w:val="nil"/>
            </w:tcBorders>
          </w:tcPr>
          <w:p w14:paraId="6D38F78C"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40" w:type="pct"/>
            <w:gridSpan w:val="2"/>
            <w:tcBorders>
              <w:top w:val="nil"/>
              <w:left w:val="nil"/>
              <w:bottom w:val="nil"/>
              <w:right w:val="nil"/>
            </w:tcBorders>
          </w:tcPr>
          <w:p w14:paraId="3D7DAFEB"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40" w:type="pct"/>
            <w:gridSpan w:val="2"/>
            <w:tcBorders>
              <w:top w:val="nil"/>
              <w:left w:val="nil"/>
              <w:bottom w:val="nil"/>
              <w:right w:val="nil"/>
            </w:tcBorders>
          </w:tcPr>
          <w:p w14:paraId="19D2A02B"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80" w:type="pct"/>
            <w:gridSpan w:val="2"/>
            <w:tcBorders>
              <w:top w:val="nil"/>
              <w:left w:val="nil"/>
              <w:bottom w:val="nil"/>
              <w:right w:val="nil"/>
            </w:tcBorders>
          </w:tcPr>
          <w:p w14:paraId="40574446"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(0.001)</w:t>
            </w:r>
          </w:p>
        </w:tc>
        <w:tc>
          <w:tcPr>
            <w:tcW w:w="580" w:type="pct"/>
            <w:gridSpan w:val="2"/>
            <w:tcBorders>
              <w:top w:val="nil"/>
              <w:left w:val="nil"/>
              <w:bottom w:val="nil"/>
              <w:right w:val="nil"/>
            </w:tcBorders>
          </w:tcPr>
          <w:p w14:paraId="6EE3032D"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(0.001)</w:t>
            </w:r>
          </w:p>
        </w:tc>
        <w:tc>
          <w:tcPr>
            <w:tcW w:w="582" w:type="pct"/>
            <w:gridSpan w:val="2"/>
            <w:tcBorders>
              <w:top w:val="nil"/>
              <w:left w:val="nil"/>
              <w:bottom w:val="nil"/>
              <w:right w:val="nil"/>
            </w:tcBorders>
          </w:tcPr>
          <w:p w14:paraId="15FDB5B5"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(0.001)</w:t>
            </w:r>
          </w:p>
        </w:tc>
        <w:tc>
          <w:tcPr>
            <w:tcW w:w="576" w:type="pct"/>
            <w:tcBorders>
              <w:top w:val="nil"/>
              <w:left w:val="nil"/>
              <w:bottom w:val="nil"/>
              <w:right w:val="nil"/>
            </w:tcBorders>
          </w:tcPr>
          <w:p w14:paraId="4130AADC"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(0.001)</w:t>
            </w:r>
          </w:p>
        </w:tc>
      </w:tr>
      <w:tr w:rsidR="006658C5" w:rsidRPr="00D96B8F" w14:paraId="24BD0E4A" w14:textId="77777777" w:rsidTr="00B42CEF">
        <w:trPr>
          <w:jc w:val="center"/>
        </w:trPr>
        <w:tc>
          <w:tcPr>
            <w:tcW w:w="822" w:type="pct"/>
            <w:gridSpan w:val="2"/>
            <w:tcBorders>
              <w:top w:val="nil"/>
              <w:left w:val="nil"/>
              <w:bottom w:val="nil"/>
              <w:right w:val="nil"/>
            </w:tcBorders>
          </w:tcPr>
          <w:p w14:paraId="387E692E"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roofErr w:type="spellStart"/>
            <w:r w:rsidRPr="00D96B8F">
              <w:rPr>
                <w:rFonts w:ascii="Times New Roman" w:hAnsi="Times New Roman" w:cs="Times New Roman"/>
                <w:sz w:val="16"/>
                <w:szCs w:val="16"/>
              </w:rPr>
              <w:t>EstDate</w:t>
            </w:r>
            <w:proofErr w:type="spellEnd"/>
          </w:p>
        </w:tc>
        <w:tc>
          <w:tcPr>
            <w:tcW w:w="440" w:type="pct"/>
            <w:tcBorders>
              <w:top w:val="nil"/>
              <w:left w:val="nil"/>
              <w:bottom w:val="nil"/>
              <w:right w:val="nil"/>
            </w:tcBorders>
          </w:tcPr>
          <w:p w14:paraId="6495D5FD"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40" w:type="pct"/>
            <w:gridSpan w:val="2"/>
            <w:tcBorders>
              <w:top w:val="nil"/>
              <w:left w:val="nil"/>
              <w:bottom w:val="nil"/>
              <w:right w:val="nil"/>
            </w:tcBorders>
          </w:tcPr>
          <w:p w14:paraId="633F384E"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40" w:type="pct"/>
            <w:gridSpan w:val="2"/>
            <w:tcBorders>
              <w:top w:val="nil"/>
              <w:left w:val="nil"/>
              <w:bottom w:val="nil"/>
              <w:right w:val="nil"/>
            </w:tcBorders>
          </w:tcPr>
          <w:p w14:paraId="0B5FE9AC"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40" w:type="pct"/>
            <w:gridSpan w:val="2"/>
            <w:tcBorders>
              <w:top w:val="nil"/>
              <w:left w:val="nil"/>
              <w:bottom w:val="nil"/>
              <w:right w:val="nil"/>
            </w:tcBorders>
          </w:tcPr>
          <w:p w14:paraId="79941D15"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80" w:type="pct"/>
            <w:gridSpan w:val="2"/>
            <w:tcBorders>
              <w:top w:val="nil"/>
              <w:left w:val="nil"/>
              <w:bottom w:val="nil"/>
              <w:right w:val="nil"/>
            </w:tcBorders>
          </w:tcPr>
          <w:p w14:paraId="422CB846"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0.000</w:t>
            </w:r>
          </w:p>
        </w:tc>
        <w:tc>
          <w:tcPr>
            <w:tcW w:w="580" w:type="pct"/>
            <w:gridSpan w:val="2"/>
            <w:tcBorders>
              <w:top w:val="nil"/>
              <w:left w:val="nil"/>
              <w:bottom w:val="nil"/>
              <w:right w:val="nil"/>
            </w:tcBorders>
          </w:tcPr>
          <w:p w14:paraId="48A622D5"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0.000</w:t>
            </w:r>
          </w:p>
        </w:tc>
        <w:tc>
          <w:tcPr>
            <w:tcW w:w="582" w:type="pct"/>
            <w:gridSpan w:val="2"/>
            <w:tcBorders>
              <w:top w:val="nil"/>
              <w:left w:val="nil"/>
              <w:bottom w:val="nil"/>
              <w:right w:val="nil"/>
            </w:tcBorders>
          </w:tcPr>
          <w:p w14:paraId="28931135"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0.000</w:t>
            </w:r>
          </w:p>
        </w:tc>
        <w:tc>
          <w:tcPr>
            <w:tcW w:w="576" w:type="pct"/>
            <w:tcBorders>
              <w:top w:val="nil"/>
              <w:left w:val="nil"/>
              <w:bottom w:val="nil"/>
              <w:right w:val="nil"/>
            </w:tcBorders>
          </w:tcPr>
          <w:p w14:paraId="2D07F133"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0.000</w:t>
            </w:r>
          </w:p>
        </w:tc>
      </w:tr>
      <w:tr w:rsidR="006658C5" w:rsidRPr="00D96B8F" w14:paraId="38E02786" w14:textId="77777777" w:rsidTr="00B42CEF">
        <w:trPr>
          <w:jc w:val="center"/>
        </w:trPr>
        <w:tc>
          <w:tcPr>
            <w:tcW w:w="822" w:type="pct"/>
            <w:gridSpan w:val="2"/>
            <w:tcBorders>
              <w:top w:val="nil"/>
              <w:left w:val="nil"/>
              <w:bottom w:val="nil"/>
              <w:right w:val="nil"/>
            </w:tcBorders>
          </w:tcPr>
          <w:p w14:paraId="03DA01C8"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
        </w:tc>
        <w:tc>
          <w:tcPr>
            <w:tcW w:w="440" w:type="pct"/>
            <w:tcBorders>
              <w:top w:val="nil"/>
              <w:left w:val="nil"/>
              <w:bottom w:val="nil"/>
              <w:right w:val="nil"/>
            </w:tcBorders>
          </w:tcPr>
          <w:p w14:paraId="5D83016A"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40" w:type="pct"/>
            <w:gridSpan w:val="2"/>
            <w:tcBorders>
              <w:top w:val="nil"/>
              <w:left w:val="nil"/>
              <w:bottom w:val="nil"/>
              <w:right w:val="nil"/>
            </w:tcBorders>
          </w:tcPr>
          <w:p w14:paraId="05DA1C59"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40" w:type="pct"/>
            <w:gridSpan w:val="2"/>
            <w:tcBorders>
              <w:top w:val="nil"/>
              <w:left w:val="nil"/>
              <w:bottom w:val="nil"/>
              <w:right w:val="nil"/>
            </w:tcBorders>
          </w:tcPr>
          <w:p w14:paraId="1B7E37D5"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40" w:type="pct"/>
            <w:gridSpan w:val="2"/>
            <w:tcBorders>
              <w:top w:val="nil"/>
              <w:left w:val="nil"/>
              <w:bottom w:val="nil"/>
              <w:right w:val="nil"/>
            </w:tcBorders>
          </w:tcPr>
          <w:p w14:paraId="5430B461"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80" w:type="pct"/>
            <w:gridSpan w:val="2"/>
            <w:tcBorders>
              <w:top w:val="nil"/>
              <w:left w:val="nil"/>
              <w:bottom w:val="nil"/>
              <w:right w:val="nil"/>
            </w:tcBorders>
          </w:tcPr>
          <w:p w14:paraId="6B84CA72"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(0.000)</w:t>
            </w:r>
          </w:p>
        </w:tc>
        <w:tc>
          <w:tcPr>
            <w:tcW w:w="580" w:type="pct"/>
            <w:gridSpan w:val="2"/>
            <w:tcBorders>
              <w:top w:val="nil"/>
              <w:left w:val="nil"/>
              <w:bottom w:val="nil"/>
              <w:right w:val="nil"/>
            </w:tcBorders>
          </w:tcPr>
          <w:p w14:paraId="6057761E"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(0.000)</w:t>
            </w:r>
          </w:p>
        </w:tc>
        <w:tc>
          <w:tcPr>
            <w:tcW w:w="582" w:type="pct"/>
            <w:gridSpan w:val="2"/>
            <w:tcBorders>
              <w:top w:val="nil"/>
              <w:left w:val="nil"/>
              <w:bottom w:val="nil"/>
              <w:right w:val="nil"/>
            </w:tcBorders>
          </w:tcPr>
          <w:p w14:paraId="165B3CBC"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(0.000)</w:t>
            </w:r>
          </w:p>
        </w:tc>
        <w:tc>
          <w:tcPr>
            <w:tcW w:w="576" w:type="pct"/>
            <w:tcBorders>
              <w:top w:val="nil"/>
              <w:left w:val="nil"/>
              <w:bottom w:val="nil"/>
              <w:right w:val="nil"/>
            </w:tcBorders>
          </w:tcPr>
          <w:p w14:paraId="4535B7FC"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(0.000)</w:t>
            </w:r>
          </w:p>
        </w:tc>
      </w:tr>
      <w:tr w:rsidR="006658C5" w:rsidRPr="00D96B8F" w14:paraId="079519BA" w14:textId="77777777" w:rsidTr="00B42CEF">
        <w:trPr>
          <w:jc w:val="center"/>
        </w:trPr>
        <w:tc>
          <w:tcPr>
            <w:tcW w:w="822" w:type="pct"/>
            <w:gridSpan w:val="2"/>
            <w:tcBorders>
              <w:top w:val="nil"/>
              <w:left w:val="nil"/>
              <w:bottom w:val="nil"/>
              <w:right w:val="nil"/>
            </w:tcBorders>
          </w:tcPr>
          <w:p w14:paraId="0A590584"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r w:rsidRPr="00D96B8F">
              <w:rPr>
                <w:rFonts w:ascii="Times New Roman" w:hAnsi="Times New Roman" w:cs="Times New Roman"/>
                <w:sz w:val="16"/>
                <w:szCs w:val="16"/>
              </w:rPr>
              <w:t>Size</w:t>
            </w:r>
          </w:p>
        </w:tc>
        <w:tc>
          <w:tcPr>
            <w:tcW w:w="440" w:type="pct"/>
            <w:tcBorders>
              <w:top w:val="nil"/>
              <w:left w:val="nil"/>
              <w:bottom w:val="nil"/>
              <w:right w:val="nil"/>
            </w:tcBorders>
          </w:tcPr>
          <w:p w14:paraId="14355785"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40" w:type="pct"/>
            <w:gridSpan w:val="2"/>
            <w:tcBorders>
              <w:top w:val="nil"/>
              <w:left w:val="nil"/>
              <w:bottom w:val="nil"/>
              <w:right w:val="nil"/>
            </w:tcBorders>
          </w:tcPr>
          <w:p w14:paraId="5D6B567E"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40" w:type="pct"/>
            <w:gridSpan w:val="2"/>
            <w:tcBorders>
              <w:top w:val="nil"/>
              <w:left w:val="nil"/>
              <w:bottom w:val="nil"/>
              <w:right w:val="nil"/>
            </w:tcBorders>
          </w:tcPr>
          <w:p w14:paraId="79E1FD0E"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40" w:type="pct"/>
            <w:gridSpan w:val="2"/>
            <w:tcBorders>
              <w:top w:val="nil"/>
              <w:left w:val="nil"/>
              <w:bottom w:val="nil"/>
              <w:right w:val="nil"/>
            </w:tcBorders>
          </w:tcPr>
          <w:p w14:paraId="6DB607C1"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80" w:type="pct"/>
            <w:gridSpan w:val="2"/>
            <w:tcBorders>
              <w:top w:val="nil"/>
              <w:left w:val="nil"/>
              <w:bottom w:val="nil"/>
              <w:right w:val="nil"/>
            </w:tcBorders>
          </w:tcPr>
          <w:p w14:paraId="7B54791C"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0.002</w:t>
            </w:r>
          </w:p>
        </w:tc>
        <w:tc>
          <w:tcPr>
            <w:tcW w:w="580" w:type="pct"/>
            <w:gridSpan w:val="2"/>
            <w:tcBorders>
              <w:top w:val="nil"/>
              <w:left w:val="nil"/>
              <w:bottom w:val="nil"/>
              <w:right w:val="nil"/>
            </w:tcBorders>
          </w:tcPr>
          <w:p w14:paraId="72B72D11"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0.002</w:t>
            </w:r>
          </w:p>
        </w:tc>
        <w:tc>
          <w:tcPr>
            <w:tcW w:w="582" w:type="pct"/>
            <w:gridSpan w:val="2"/>
            <w:tcBorders>
              <w:top w:val="nil"/>
              <w:left w:val="nil"/>
              <w:bottom w:val="nil"/>
              <w:right w:val="nil"/>
            </w:tcBorders>
          </w:tcPr>
          <w:p w14:paraId="7848D5CA"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0.001</w:t>
            </w:r>
          </w:p>
        </w:tc>
        <w:tc>
          <w:tcPr>
            <w:tcW w:w="576" w:type="pct"/>
            <w:tcBorders>
              <w:top w:val="nil"/>
              <w:left w:val="nil"/>
              <w:bottom w:val="nil"/>
              <w:right w:val="nil"/>
            </w:tcBorders>
          </w:tcPr>
          <w:p w14:paraId="1D3EA6E3"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0.001</w:t>
            </w:r>
          </w:p>
        </w:tc>
      </w:tr>
      <w:tr w:rsidR="006658C5" w:rsidRPr="00D96B8F" w14:paraId="69A58BA1" w14:textId="77777777" w:rsidTr="00B42CEF">
        <w:trPr>
          <w:jc w:val="center"/>
        </w:trPr>
        <w:tc>
          <w:tcPr>
            <w:tcW w:w="822" w:type="pct"/>
            <w:gridSpan w:val="2"/>
            <w:tcBorders>
              <w:top w:val="nil"/>
              <w:left w:val="nil"/>
              <w:bottom w:val="nil"/>
              <w:right w:val="nil"/>
            </w:tcBorders>
          </w:tcPr>
          <w:p w14:paraId="7E089E14"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
        </w:tc>
        <w:tc>
          <w:tcPr>
            <w:tcW w:w="440" w:type="pct"/>
            <w:tcBorders>
              <w:top w:val="nil"/>
              <w:left w:val="nil"/>
              <w:bottom w:val="nil"/>
              <w:right w:val="nil"/>
            </w:tcBorders>
          </w:tcPr>
          <w:p w14:paraId="2BA5573C"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40" w:type="pct"/>
            <w:gridSpan w:val="2"/>
            <w:tcBorders>
              <w:top w:val="nil"/>
              <w:left w:val="nil"/>
              <w:bottom w:val="nil"/>
              <w:right w:val="nil"/>
            </w:tcBorders>
          </w:tcPr>
          <w:p w14:paraId="011056EB"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40" w:type="pct"/>
            <w:gridSpan w:val="2"/>
            <w:tcBorders>
              <w:top w:val="nil"/>
              <w:left w:val="nil"/>
              <w:bottom w:val="nil"/>
              <w:right w:val="nil"/>
            </w:tcBorders>
          </w:tcPr>
          <w:p w14:paraId="6AE318BC"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40" w:type="pct"/>
            <w:gridSpan w:val="2"/>
            <w:tcBorders>
              <w:top w:val="nil"/>
              <w:left w:val="nil"/>
              <w:bottom w:val="nil"/>
              <w:right w:val="nil"/>
            </w:tcBorders>
          </w:tcPr>
          <w:p w14:paraId="2538DA50"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80" w:type="pct"/>
            <w:gridSpan w:val="2"/>
            <w:tcBorders>
              <w:top w:val="nil"/>
              <w:left w:val="nil"/>
              <w:bottom w:val="nil"/>
              <w:right w:val="nil"/>
            </w:tcBorders>
          </w:tcPr>
          <w:p w14:paraId="111BF13A"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(0.004)</w:t>
            </w:r>
          </w:p>
        </w:tc>
        <w:tc>
          <w:tcPr>
            <w:tcW w:w="580" w:type="pct"/>
            <w:gridSpan w:val="2"/>
            <w:tcBorders>
              <w:top w:val="nil"/>
              <w:left w:val="nil"/>
              <w:bottom w:val="nil"/>
              <w:right w:val="nil"/>
            </w:tcBorders>
          </w:tcPr>
          <w:p w14:paraId="78020074"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(0.004)</w:t>
            </w:r>
          </w:p>
        </w:tc>
        <w:tc>
          <w:tcPr>
            <w:tcW w:w="582" w:type="pct"/>
            <w:gridSpan w:val="2"/>
            <w:tcBorders>
              <w:top w:val="nil"/>
              <w:left w:val="nil"/>
              <w:bottom w:val="nil"/>
              <w:right w:val="nil"/>
            </w:tcBorders>
          </w:tcPr>
          <w:p w14:paraId="7FD85FCB"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(0.004)</w:t>
            </w:r>
          </w:p>
        </w:tc>
        <w:tc>
          <w:tcPr>
            <w:tcW w:w="576" w:type="pct"/>
            <w:tcBorders>
              <w:top w:val="nil"/>
              <w:left w:val="nil"/>
              <w:bottom w:val="nil"/>
              <w:right w:val="nil"/>
            </w:tcBorders>
          </w:tcPr>
          <w:p w14:paraId="2ADFE01D"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(0.004)</w:t>
            </w:r>
          </w:p>
        </w:tc>
      </w:tr>
      <w:tr w:rsidR="006658C5" w:rsidRPr="00D96B8F" w14:paraId="1C7029A9" w14:textId="77777777" w:rsidTr="00B42CEF">
        <w:trPr>
          <w:jc w:val="center"/>
        </w:trPr>
        <w:tc>
          <w:tcPr>
            <w:tcW w:w="822" w:type="pct"/>
            <w:gridSpan w:val="2"/>
            <w:tcBorders>
              <w:top w:val="nil"/>
              <w:left w:val="nil"/>
              <w:bottom w:val="nil"/>
              <w:right w:val="nil"/>
            </w:tcBorders>
          </w:tcPr>
          <w:p w14:paraId="0EEA8A31"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roofErr w:type="spellStart"/>
            <w:r w:rsidRPr="00D96B8F">
              <w:rPr>
                <w:rFonts w:ascii="Times New Roman" w:hAnsi="Times New Roman" w:cs="Times New Roman"/>
                <w:sz w:val="16"/>
                <w:szCs w:val="16"/>
              </w:rPr>
              <w:t>DirectorQual</w:t>
            </w:r>
            <w:proofErr w:type="spellEnd"/>
          </w:p>
        </w:tc>
        <w:tc>
          <w:tcPr>
            <w:tcW w:w="440" w:type="pct"/>
            <w:tcBorders>
              <w:top w:val="nil"/>
              <w:left w:val="nil"/>
              <w:bottom w:val="nil"/>
              <w:right w:val="nil"/>
            </w:tcBorders>
          </w:tcPr>
          <w:p w14:paraId="56C42017"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40" w:type="pct"/>
            <w:gridSpan w:val="2"/>
            <w:tcBorders>
              <w:top w:val="nil"/>
              <w:left w:val="nil"/>
              <w:bottom w:val="nil"/>
              <w:right w:val="nil"/>
            </w:tcBorders>
          </w:tcPr>
          <w:p w14:paraId="3D0FE53A"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40" w:type="pct"/>
            <w:gridSpan w:val="2"/>
            <w:tcBorders>
              <w:top w:val="nil"/>
              <w:left w:val="nil"/>
              <w:bottom w:val="nil"/>
              <w:right w:val="nil"/>
            </w:tcBorders>
          </w:tcPr>
          <w:p w14:paraId="25D9B7DD"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40" w:type="pct"/>
            <w:gridSpan w:val="2"/>
            <w:tcBorders>
              <w:top w:val="nil"/>
              <w:left w:val="nil"/>
              <w:bottom w:val="nil"/>
              <w:right w:val="nil"/>
            </w:tcBorders>
          </w:tcPr>
          <w:p w14:paraId="2C6F724D"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80" w:type="pct"/>
            <w:gridSpan w:val="2"/>
            <w:tcBorders>
              <w:top w:val="nil"/>
              <w:left w:val="nil"/>
              <w:bottom w:val="nil"/>
              <w:right w:val="nil"/>
            </w:tcBorders>
          </w:tcPr>
          <w:p w14:paraId="4A80C5B8"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0.006</w:t>
            </w:r>
          </w:p>
        </w:tc>
        <w:tc>
          <w:tcPr>
            <w:tcW w:w="580" w:type="pct"/>
            <w:gridSpan w:val="2"/>
            <w:tcBorders>
              <w:top w:val="nil"/>
              <w:left w:val="nil"/>
              <w:bottom w:val="nil"/>
              <w:right w:val="nil"/>
            </w:tcBorders>
          </w:tcPr>
          <w:p w14:paraId="492E0434"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0.006</w:t>
            </w:r>
          </w:p>
        </w:tc>
        <w:tc>
          <w:tcPr>
            <w:tcW w:w="582" w:type="pct"/>
            <w:gridSpan w:val="2"/>
            <w:tcBorders>
              <w:top w:val="nil"/>
              <w:left w:val="nil"/>
              <w:bottom w:val="nil"/>
              <w:right w:val="nil"/>
            </w:tcBorders>
          </w:tcPr>
          <w:p w14:paraId="05640900"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0.004</w:t>
            </w:r>
          </w:p>
        </w:tc>
        <w:tc>
          <w:tcPr>
            <w:tcW w:w="576" w:type="pct"/>
            <w:tcBorders>
              <w:top w:val="nil"/>
              <w:left w:val="nil"/>
              <w:bottom w:val="nil"/>
              <w:right w:val="nil"/>
            </w:tcBorders>
          </w:tcPr>
          <w:p w14:paraId="69B9EAC3"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0.000</w:t>
            </w:r>
          </w:p>
        </w:tc>
      </w:tr>
      <w:tr w:rsidR="006658C5" w:rsidRPr="00D96B8F" w14:paraId="77029A20" w14:textId="77777777" w:rsidTr="00B42CEF">
        <w:trPr>
          <w:jc w:val="center"/>
        </w:trPr>
        <w:tc>
          <w:tcPr>
            <w:tcW w:w="822" w:type="pct"/>
            <w:gridSpan w:val="2"/>
            <w:tcBorders>
              <w:top w:val="nil"/>
              <w:left w:val="nil"/>
              <w:bottom w:val="nil"/>
              <w:right w:val="nil"/>
            </w:tcBorders>
          </w:tcPr>
          <w:p w14:paraId="15FB04AD"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
        </w:tc>
        <w:tc>
          <w:tcPr>
            <w:tcW w:w="440" w:type="pct"/>
            <w:tcBorders>
              <w:top w:val="nil"/>
              <w:left w:val="nil"/>
              <w:bottom w:val="nil"/>
              <w:right w:val="nil"/>
            </w:tcBorders>
          </w:tcPr>
          <w:p w14:paraId="59EF10E0"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40" w:type="pct"/>
            <w:gridSpan w:val="2"/>
            <w:tcBorders>
              <w:top w:val="nil"/>
              <w:left w:val="nil"/>
              <w:bottom w:val="nil"/>
              <w:right w:val="nil"/>
            </w:tcBorders>
          </w:tcPr>
          <w:p w14:paraId="43674BC6"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40" w:type="pct"/>
            <w:gridSpan w:val="2"/>
            <w:tcBorders>
              <w:top w:val="nil"/>
              <w:left w:val="nil"/>
              <w:bottom w:val="nil"/>
              <w:right w:val="nil"/>
            </w:tcBorders>
          </w:tcPr>
          <w:p w14:paraId="6CD2C212"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40" w:type="pct"/>
            <w:gridSpan w:val="2"/>
            <w:tcBorders>
              <w:top w:val="nil"/>
              <w:left w:val="nil"/>
              <w:bottom w:val="nil"/>
              <w:right w:val="nil"/>
            </w:tcBorders>
          </w:tcPr>
          <w:p w14:paraId="6C6C0FE4"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80" w:type="pct"/>
            <w:gridSpan w:val="2"/>
            <w:tcBorders>
              <w:top w:val="nil"/>
              <w:left w:val="nil"/>
              <w:bottom w:val="nil"/>
              <w:right w:val="nil"/>
            </w:tcBorders>
          </w:tcPr>
          <w:p w14:paraId="08AA987D"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(0.008)</w:t>
            </w:r>
          </w:p>
        </w:tc>
        <w:tc>
          <w:tcPr>
            <w:tcW w:w="580" w:type="pct"/>
            <w:gridSpan w:val="2"/>
            <w:tcBorders>
              <w:top w:val="nil"/>
              <w:left w:val="nil"/>
              <w:bottom w:val="nil"/>
              <w:right w:val="nil"/>
            </w:tcBorders>
          </w:tcPr>
          <w:p w14:paraId="13A8B43A"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(0.008)</w:t>
            </w:r>
          </w:p>
        </w:tc>
        <w:tc>
          <w:tcPr>
            <w:tcW w:w="582" w:type="pct"/>
            <w:gridSpan w:val="2"/>
            <w:tcBorders>
              <w:top w:val="nil"/>
              <w:left w:val="nil"/>
              <w:bottom w:val="nil"/>
              <w:right w:val="nil"/>
            </w:tcBorders>
          </w:tcPr>
          <w:p w14:paraId="4A16CD1E"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(0.008)</w:t>
            </w:r>
          </w:p>
        </w:tc>
        <w:tc>
          <w:tcPr>
            <w:tcW w:w="576" w:type="pct"/>
            <w:tcBorders>
              <w:top w:val="nil"/>
              <w:left w:val="nil"/>
              <w:bottom w:val="nil"/>
              <w:right w:val="nil"/>
            </w:tcBorders>
          </w:tcPr>
          <w:p w14:paraId="67C7CCA4"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(0.008)</w:t>
            </w:r>
          </w:p>
        </w:tc>
      </w:tr>
      <w:tr w:rsidR="006658C5" w:rsidRPr="00D96B8F" w14:paraId="67BDA6E3" w14:textId="77777777" w:rsidTr="00B42CEF">
        <w:trPr>
          <w:jc w:val="center"/>
        </w:trPr>
        <w:tc>
          <w:tcPr>
            <w:tcW w:w="822" w:type="pct"/>
            <w:gridSpan w:val="2"/>
            <w:tcBorders>
              <w:top w:val="nil"/>
              <w:left w:val="nil"/>
              <w:bottom w:val="nil"/>
              <w:right w:val="nil"/>
            </w:tcBorders>
          </w:tcPr>
          <w:p w14:paraId="39DFA2B4"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roofErr w:type="spellStart"/>
            <w:r w:rsidRPr="00D96B8F">
              <w:rPr>
                <w:rFonts w:ascii="Times New Roman" w:hAnsi="Times New Roman" w:cs="Times New Roman"/>
                <w:sz w:val="16"/>
                <w:szCs w:val="16"/>
              </w:rPr>
              <w:t>HeadLondon</w:t>
            </w:r>
            <w:proofErr w:type="spellEnd"/>
          </w:p>
        </w:tc>
        <w:tc>
          <w:tcPr>
            <w:tcW w:w="440" w:type="pct"/>
            <w:tcBorders>
              <w:top w:val="nil"/>
              <w:left w:val="nil"/>
              <w:bottom w:val="nil"/>
              <w:right w:val="nil"/>
            </w:tcBorders>
          </w:tcPr>
          <w:p w14:paraId="5371AE94"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40" w:type="pct"/>
            <w:gridSpan w:val="2"/>
            <w:tcBorders>
              <w:top w:val="nil"/>
              <w:left w:val="nil"/>
              <w:bottom w:val="nil"/>
              <w:right w:val="nil"/>
            </w:tcBorders>
          </w:tcPr>
          <w:p w14:paraId="4B433FC7"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40" w:type="pct"/>
            <w:gridSpan w:val="2"/>
            <w:tcBorders>
              <w:top w:val="nil"/>
              <w:left w:val="nil"/>
              <w:bottom w:val="nil"/>
              <w:right w:val="nil"/>
            </w:tcBorders>
          </w:tcPr>
          <w:p w14:paraId="6DF2913A"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40" w:type="pct"/>
            <w:gridSpan w:val="2"/>
            <w:tcBorders>
              <w:top w:val="nil"/>
              <w:left w:val="nil"/>
              <w:bottom w:val="nil"/>
              <w:right w:val="nil"/>
            </w:tcBorders>
          </w:tcPr>
          <w:p w14:paraId="0DBA5968"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80" w:type="pct"/>
            <w:gridSpan w:val="2"/>
            <w:tcBorders>
              <w:top w:val="nil"/>
              <w:left w:val="nil"/>
              <w:bottom w:val="nil"/>
              <w:right w:val="nil"/>
            </w:tcBorders>
          </w:tcPr>
          <w:p w14:paraId="41049D82"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0.005</w:t>
            </w:r>
          </w:p>
        </w:tc>
        <w:tc>
          <w:tcPr>
            <w:tcW w:w="580" w:type="pct"/>
            <w:gridSpan w:val="2"/>
            <w:tcBorders>
              <w:top w:val="nil"/>
              <w:left w:val="nil"/>
              <w:bottom w:val="nil"/>
              <w:right w:val="nil"/>
            </w:tcBorders>
          </w:tcPr>
          <w:p w14:paraId="691B5CF1"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0.005</w:t>
            </w:r>
          </w:p>
        </w:tc>
        <w:tc>
          <w:tcPr>
            <w:tcW w:w="582" w:type="pct"/>
            <w:gridSpan w:val="2"/>
            <w:tcBorders>
              <w:top w:val="nil"/>
              <w:left w:val="nil"/>
              <w:bottom w:val="nil"/>
              <w:right w:val="nil"/>
            </w:tcBorders>
          </w:tcPr>
          <w:p w14:paraId="59C965C9"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0.006</w:t>
            </w:r>
          </w:p>
        </w:tc>
        <w:tc>
          <w:tcPr>
            <w:tcW w:w="576" w:type="pct"/>
            <w:tcBorders>
              <w:top w:val="nil"/>
              <w:left w:val="nil"/>
              <w:bottom w:val="nil"/>
              <w:right w:val="nil"/>
            </w:tcBorders>
          </w:tcPr>
          <w:p w14:paraId="1E52C0DD"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0.007</w:t>
            </w:r>
          </w:p>
        </w:tc>
      </w:tr>
      <w:tr w:rsidR="006658C5" w:rsidRPr="00D96B8F" w14:paraId="4527E579" w14:textId="77777777" w:rsidTr="00B42CEF">
        <w:trPr>
          <w:jc w:val="center"/>
        </w:trPr>
        <w:tc>
          <w:tcPr>
            <w:tcW w:w="822" w:type="pct"/>
            <w:gridSpan w:val="2"/>
            <w:tcBorders>
              <w:top w:val="nil"/>
              <w:left w:val="nil"/>
              <w:bottom w:val="nil"/>
              <w:right w:val="nil"/>
            </w:tcBorders>
          </w:tcPr>
          <w:p w14:paraId="71B8530A"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
        </w:tc>
        <w:tc>
          <w:tcPr>
            <w:tcW w:w="440" w:type="pct"/>
            <w:tcBorders>
              <w:top w:val="nil"/>
              <w:left w:val="nil"/>
              <w:bottom w:val="nil"/>
              <w:right w:val="nil"/>
            </w:tcBorders>
          </w:tcPr>
          <w:p w14:paraId="47569B25"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40" w:type="pct"/>
            <w:gridSpan w:val="2"/>
            <w:tcBorders>
              <w:top w:val="nil"/>
              <w:left w:val="nil"/>
              <w:bottom w:val="nil"/>
              <w:right w:val="nil"/>
            </w:tcBorders>
          </w:tcPr>
          <w:p w14:paraId="608AC5AA"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40" w:type="pct"/>
            <w:gridSpan w:val="2"/>
            <w:tcBorders>
              <w:top w:val="nil"/>
              <w:left w:val="nil"/>
              <w:bottom w:val="nil"/>
              <w:right w:val="nil"/>
            </w:tcBorders>
          </w:tcPr>
          <w:p w14:paraId="46CDE1D3"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40" w:type="pct"/>
            <w:gridSpan w:val="2"/>
            <w:tcBorders>
              <w:top w:val="nil"/>
              <w:left w:val="nil"/>
              <w:bottom w:val="nil"/>
              <w:right w:val="nil"/>
            </w:tcBorders>
          </w:tcPr>
          <w:p w14:paraId="635D3809"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80" w:type="pct"/>
            <w:gridSpan w:val="2"/>
            <w:tcBorders>
              <w:top w:val="nil"/>
              <w:left w:val="nil"/>
              <w:bottom w:val="nil"/>
              <w:right w:val="nil"/>
            </w:tcBorders>
          </w:tcPr>
          <w:p w14:paraId="0A3BB00D"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(0.006)</w:t>
            </w:r>
          </w:p>
        </w:tc>
        <w:tc>
          <w:tcPr>
            <w:tcW w:w="580" w:type="pct"/>
            <w:gridSpan w:val="2"/>
            <w:tcBorders>
              <w:top w:val="nil"/>
              <w:left w:val="nil"/>
              <w:bottom w:val="nil"/>
              <w:right w:val="nil"/>
            </w:tcBorders>
          </w:tcPr>
          <w:p w14:paraId="2EDDA316"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(0.006)</w:t>
            </w:r>
          </w:p>
        </w:tc>
        <w:tc>
          <w:tcPr>
            <w:tcW w:w="582" w:type="pct"/>
            <w:gridSpan w:val="2"/>
            <w:tcBorders>
              <w:top w:val="nil"/>
              <w:left w:val="nil"/>
              <w:bottom w:val="nil"/>
              <w:right w:val="nil"/>
            </w:tcBorders>
          </w:tcPr>
          <w:p w14:paraId="07C65DF5"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(0.006)</w:t>
            </w:r>
          </w:p>
        </w:tc>
        <w:tc>
          <w:tcPr>
            <w:tcW w:w="576" w:type="pct"/>
            <w:tcBorders>
              <w:top w:val="nil"/>
              <w:left w:val="nil"/>
              <w:bottom w:val="nil"/>
              <w:right w:val="nil"/>
            </w:tcBorders>
          </w:tcPr>
          <w:p w14:paraId="600F471C"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(0.006)</w:t>
            </w:r>
          </w:p>
        </w:tc>
      </w:tr>
      <w:tr w:rsidR="006658C5" w:rsidRPr="00D96B8F" w14:paraId="67906E40" w14:textId="77777777" w:rsidTr="00B42CEF">
        <w:trPr>
          <w:jc w:val="center"/>
        </w:trPr>
        <w:tc>
          <w:tcPr>
            <w:tcW w:w="822" w:type="pct"/>
            <w:gridSpan w:val="2"/>
            <w:tcBorders>
              <w:top w:val="nil"/>
              <w:left w:val="nil"/>
              <w:bottom w:val="nil"/>
              <w:right w:val="nil"/>
            </w:tcBorders>
          </w:tcPr>
          <w:p w14:paraId="269B26CE"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r w:rsidRPr="00D96B8F">
              <w:rPr>
                <w:rFonts w:ascii="Times New Roman" w:hAnsi="Times New Roman" w:cs="Times New Roman"/>
                <w:sz w:val="16"/>
                <w:szCs w:val="16"/>
              </w:rPr>
              <w:t>Scottish</w:t>
            </w:r>
          </w:p>
        </w:tc>
        <w:tc>
          <w:tcPr>
            <w:tcW w:w="440" w:type="pct"/>
            <w:tcBorders>
              <w:top w:val="nil"/>
              <w:left w:val="nil"/>
              <w:bottom w:val="nil"/>
              <w:right w:val="nil"/>
            </w:tcBorders>
          </w:tcPr>
          <w:p w14:paraId="292C6A21"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40" w:type="pct"/>
            <w:gridSpan w:val="2"/>
            <w:tcBorders>
              <w:top w:val="nil"/>
              <w:left w:val="nil"/>
              <w:bottom w:val="nil"/>
              <w:right w:val="nil"/>
            </w:tcBorders>
          </w:tcPr>
          <w:p w14:paraId="27F03DCB"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40" w:type="pct"/>
            <w:gridSpan w:val="2"/>
            <w:tcBorders>
              <w:top w:val="nil"/>
              <w:left w:val="nil"/>
              <w:bottom w:val="nil"/>
              <w:right w:val="nil"/>
            </w:tcBorders>
          </w:tcPr>
          <w:p w14:paraId="467F6B5D"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40" w:type="pct"/>
            <w:gridSpan w:val="2"/>
            <w:tcBorders>
              <w:top w:val="nil"/>
              <w:left w:val="nil"/>
              <w:bottom w:val="nil"/>
              <w:right w:val="nil"/>
            </w:tcBorders>
          </w:tcPr>
          <w:p w14:paraId="2146A7BA"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80" w:type="pct"/>
            <w:gridSpan w:val="2"/>
            <w:tcBorders>
              <w:top w:val="nil"/>
              <w:left w:val="nil"/>
              <w:bottom w:val="nil"/>
              <w:right w:val="nil"/>
            </w:tcBorders>
          </w:tcPr>
          <w:p w14:paraId="2E9D555A"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0.016**</w:t>
            </w:r>
          </w:p>
        </w:tc>
        <w:tc>
          <w:tcPr>
            <w:tcW w:w="580" w:type="pct"/>
            <w:gridSpan w:val="2"/>
            <w:tcBorders>
              <w:top w:val="nil"/>
              <w:left w:val="nil"/>
              <w:bottom w:val="nil"/>
              <w:right w:val="nil"/>
            </w:tcBorders>
          </w:tcPr>
          <w:p w14:paraId="64E01BCF"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0.016**</w:t>
            </w:r>
          </w:p>
        </w:tc>
        <w:tc>
          <w:tcPr>
            <w:tcW w:w="582" w:type="pct"/>
            <w:gridSpan w:val="2"/>
            <w:tcBorders>
              <w:top w:val="nil"/>
              <w:left w:val="nil"/>
              <w:bottom w:val="nil"/>
              <w:right w:val="nil"/>
            </w:tcBorders>
          </w:tcPr>
          <w:p w14:paraId="0497C44C"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0.016**</w:t>
            </w:r>
          </w:p>
        </w:tc>
        <w:tc>
          <w:tcPr>
            <w:tcW w:w="576" w:type="pct"/>
            <w:tcBorders>
              <w:top w:val="nil"/>
              <w:left w:val="nil"/>
              <w:bottom w:val="nil"/>
              <w:right w:val="nil"/>
            </w:tcBorders>
          </w:tcPr>
          <w:p w14:paraId="4D5240E5"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0.017**</w:t>
            </w:r>
          </w:p>
        </w:tc>
      </w:tr>
      <w:tr w:rsidR="006658C5" w:rsidRPr="00D96B8F" w14:paraId="46D7BC62" w14:textId="77777777" w:rsidTr="00B42CEF">
        <w:trPr>
          <w:jc w:val="center"/>
        </w:trPr>
        <w:tc>
          <w:tcPr>
            <w:tcW w:w="822" w:type="pct"/>
            <w:gridSpan w:val="2"/>
            <w:tcBorders>
              <w:top w:val="nil"/>
              <w:left w:val="nil"/>
              <w:bottom w:val="nil"/>
              <w:right w:val="nil"/>
            </w:tcBorders>
          </w:tcPr>
          <w:p w14:paraId="2AE27E05"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
        </w:tc>
        <w:tc>
          <w:tcPr>
            <w:tcW w:w="440" w:type="pct"/>
            <w:tcBorders>
              <w:top w:val="nil"/>
              <w:left w:val="nil"/>
              <w:bottom w:val="nil"/>
              <w:right w:val="nil"/>
            </w:tcBorders>
          </w:tcPr>
          <w:p w14:paraId="4E094774"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40" w:type="pct"/>
            <w:gridSpan w:val="2"/>
            <w:tcBorders>
              <w:top w:val="nil"/>
              <w:left w:val="nil"/>
              <w:bottom w:val="nil"/>
              <w:right w:val="nil"/>
            </w:tcBorders>
          </w:tcPr>
          <w:p w14:paraId="55070B79"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40" w:type="pct"/>
            <w:gridSpan w:val="2"/>
            <w:tcBorders>
              <w:top w:val="nil"/>
              <w:left w:val="nil"/>
              <w:bottom w:val="nil"/>
              <w:right w:val="nil"/>
            </w:tcBorders>
          </w:tcPr>
          <w:p w14:paraId="0A501519"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40" w:type="pct"/>
            <w:gridSpan w:val="2"/>
            <w:tcBorders>
              <w:top w:val="nil"/>
              <w:left w:val="nil"/>
              <w:bottom w:val="nil"/>
              <w:right w:val="nil"/>
            </w:tcBorders>
          </w:tcPr>
          <w:p w14:paraId="3D462863"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80" w:type="pct"/>
            <w:gridSpan w:val="2"/>
            <w:tcBorders>
              <w:top w:val="nil"/>
              <w:left w:val="nil"/>
              <w:bottom w:val="nil"/>
              <w:right w:val="nil"/>
            </w:tcBorders>
          </w:tcPr>
          <w:p w14:paraId="478842AB"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(0.008)</w:t>
            </w:r>
          </w:p>
        </w:tc>
        <w:tc>
          <w:tcPr>
            <w:tcW w:w="580" w:type="pct"/>
            <w:gridSpan w:val="2"/>
            <w:tcBorders>
              <w:top w:val="nil"/>
              <w:left w:val="nil"/>
              <w:bottom w:val="nil"/>
              <w:right w:val="nil"/>
            </w:tcBorders>
          </w:tcPr>
          <w:p w14:paraId="517278C1"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(0.008)</w:t>
            </w:r>
          </w:p>
        </w:tc>
        <w:tc>
          <w:tcPr>
            <w:tcW w:w="582" w:type="pct"/>
            <w:gridSpan w:val="2"/>
            <w:tcBorders>
              <w:top w:val="nil"/>
              <w:left w:val="nil"/>
              <w:bottom w:val="nil"/>
              <w:right w:val="nil"/>
            </w:tcBorders>
          </w:tcPr>
          <w:p w14:paraId="2F8F6DC3"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(0.008)</w:t>
            </w:r>
          </w:p>
        </w:tc>
        <w:tc>
          <w:tcPr>
            <w:tcW w:w="576" w:type="pct"/>
            <w:tcBorders>
              <w:top w:val="nil"/>
              <w:left w:val="nil"/>
              <w:bottom w:val="nil"/>
              <w:right w:val="nil"/>
            </w:tcBorders>
          </w:tcPr>
          <w:p w14:paraId="2C72B007"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(0.008)</w:t>
            </w:r>
          </w:p>
        </w:tc>
      </w:tr>
      <w:tr w:rsidR="006658C5" w:rsidRPr="00D96B8F" w14:paraId="07E07146" w14:textId="77777777" w:rsidTr="00B42CEF">
        <w:trPr>
          <w:jc w:val="center"/>
        </w:trPr>
        <w:tc>
          <w:tcPr>
            <w:tcW w:w="822" w:type="pct"/>
            <w:gridSpan w:val="2"/>
            <w:tcBorders>
              <w:top w:val="nil"/>
              <w:left w:val="nil"/>
              <w:bottom w:val="nil"/>
              <w:right w:val="nil"/>
            </w:tcBorders>
          </w:tcPr>
          <w:p w14:paraId="5D62CC26"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roofErr w:type="spellStart"/>
            <w:r w:rsidRPr="00D96B8F">
              <w:rPr>
                <w:rFonts w:ascii="Times New Roman" w:hAnsi="Times New Roman" w:cs="Times New Roman"/>
                <w:sz w:val="16"/>
                <w:szCs w:val="16"/>
              </w:rPr>
              <w:t>LTDebt</w:t>
            </w:r>
            <w:proofErr w:type="spellEnd"/>
          </w:p>
        </w:tc>
        <w:tc>
          <w:tcPr>
            <w:tcW w:w="440" w:type="pct"/>
            <w:tcBorders>
              <w:top w:val="nil"/>
              <w:left w:val="nil"/>
              <w:bottom w:val="nil"/>
              <w:right w:val="nil"/>
            </w:tcBorders>
          </w:tcPr>
          <w:p w14:paraId="323EB1C3"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40" w:type="pct"/>
            <w:gridSpan w:val="2"/>
            <w:tcBorders>
              <w:top w:val="nil"/>
              <w:left w:val="nil"/>
              <w:bottom w:val="nil"/>
              <w:right w:val="nil"/>
            </w:tcBorders>
          </w:tcPr>
          <w:p w14:paraId="2A364528"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40" w:type="pct"/>
            <w:gridSpan w:val="2"/>
            <w:tcBorders>
              <w:top w:val="nil"/>
              <w:left w:val="nil"/>
              <w:bottom w:val="nil"/>
              <w:right w:val="nil"/>
            </w:tcBorders>
          </w:tcPr>
          <w:p w14:paraId="7F07D5A9"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40" w:type="pct"/>
            <w:gridSpan w:val="2"/>
            <w:tcBorders>
              <w:top w:val="nil"/>
              <w:left w:val="nil"/>
              <w:bottom w:val="nil"/>
              <w:right w:val="nil"/>
            </w:tcBorders>
          </w:tcPr>
          <w:p w14:paraId="6A9CB532"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80" w:type="pct"/>
            <w:gridSpan w:val="2"/>
            <w:tcBorders>
              <w:top w:val="nil"/>
              <w:left w:val="nil"/>
              <w:bottom w:val="nil"/>
              <w:right w:val="nil"/>
            </w:tcBorders>
          </w:tcPr>
          <w:p w14:paraId="18E0224C"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-0.054***</w:t>
            </w:r>
          </w:p>
        </w:tc>
        <w:tc>
          <w:tcPr>
            <w:tcW w:w="580" w:type="pct"/>
            <w:gridSpan w:val="2"/>
            <w:tcBorders>
              <w:top w:val="nil"/>
              <w:left w:val="nil"/>
              <w:bottom w:val="nil"/>
              <w:right w:val="nil"/>
            </w:tcBorders>
          </w:tcPr>
          <w:p w14:paraId="69907CFF"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-0.054***</w:t>
            </w:r>
          </w:p>
        </w:tc>
        <w:tc>
          <w:tcPr>
            <w:tcW w:w="582" w:type="pct"/>
            <w:gridSpan w:val="2"/>
            <w:tcBorders>
              <w:top w:val="nil"/>
              <w:left w:val="nil"/>
              <w:bottom w:val="nil"/>
              <w:right w:val="nil"/>
            </w:tcBorders>
          </w:tcPr>
          <w:p w14:paraId="67183619"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-0.054***</w:t>
            </w:r>
          </w:p>
        </w:tc>
        <w:tc>
          <w:tcPr>
            <w:tcW w:w="576" w:type="pct"/>
            <w:tcBorders>
              <w:top w:val="nil"/>
              <w:left w:val="nil"/>
              <w:bottom w:val="nil"/>
              <w:right w:val="nil"/>
            </w:tcBorders>
          </w:tcPr>
          <w:p w14:paraId="26E059C4"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-0.054***</w:t>
            </w:r>
          </w:p>
        </w:tc>
      </w:tr>
      <w:tr w:rsidR="006658C5" w:rsidRPr="00D96B8F" w14:paraId="25175BDD" w14:textId="77777777" w:rsidTr="00B42CEF">
        <w:trPr>
          <w:jc w:val="center"/>
        </w:trPr>
        <w:tc>
          <w:tcPr>
            <w:tcW w:w="822" w:type="pct"/>
            <w:gridSpan w:val="2"/>
            <w:tcBorders>
              <w:top w:val="nil"/>
              <w:left w:val="nil"/>
              <w:bottom w:val="nil"/>
              <w:right w:val="nil"/>
            </w:tcBorders>
          </w:tcPr>
          <w:p w14:paraId="48663F54"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
        </w:tc>
        <w:tc>
          <w:tcPr>
            <w:tcW w:w="440" w:type="pct"/>
            <w:tcBorders>
              <w:top w:val="nil"/>
              <w:left w:val="nil"/>
              <w:bottom w:val="nil"/>
              <w:right w:val="nil"/>
            </w:tcBorders>
          </w:tcPr>
          <w:p w14:paraId="15985C80"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40" w:type="pct"/>
            <w:gridSpan w:val="2"/>
            <w:tcBorders>
              <w:top w:val="nil"/>
              <w:left w:val="nil"/>
              <w:bottom w:val="nil"/>
              <w:right w:val="nil"/>
            </w:tcBorders>
          </w:tcPr>
          <w:p w14:paraId="11214BF5"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40" w:type="pct"/>
            <w:gridSpan w:val="2"/>
            <w:tcBorders>
              <w:top w:val="nil"/>
              <w:left w:val="nil"/>
              <w:bottom w:val="nil"/>
              <w:right w:val="nil"/>
            </w:tcBorders>
          </w:tcPr>
          <w:p w14:paraId="456BA4FC"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40" w:type="pct"/>
            <w:gridSpan w:val="2"/>
            <w:tcBorders>
              <w:top w:val="nil"/>
              <w:left w:val="nil"/>
              <w:bottom w:val="nil"/>
              <w:right w:val="nil"/>
            </w:tcBorders>
          </w:tcPr>
          <w:p w14:paraId="4DA52D1D"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80" w:type="pct"/>
            <w:gridSpan w:val="2"/>
            <w:tcBorders>
              <w:top w:val="nil"/>
              <w:left w:val="nil"/>
              <w:bottom w:val="nil"/>
              <w:right w:val="nil"/>
            </w:tcBorders>
          </w:tcPr>
          <w:p w14:paraId="54C09C02"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(0.011)</w:t>
            </w:r>
          </w:p>
        </w:tc>
        <w:tc>
          <w:tcPr>
            <w:tcW w:w="580" w:type="pct"/>
            <w:gridSpan w:val="2"/>
            <w:tcBorders>
              <w:top w:val="nil"/>
              <w:left w:val="nil"/>
              <w:bottom w:val="nil"/>
              <w:right w:val="nil"/>
            </w:tcBorders>
          </w:tcPr>
          <w:p w14:paraId="7C2DD6D5"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(0.011)</w:t>
            </w:r>
          </w:p>
        </w:tc>
        <w:tc>
          <w:tcPr>
            <w:tcW w:w="582" w:type="pct"/>
            <w:gridSpan w:val="2"/>
            <w:tcBorders>
              <w:top w:val="nil"/>
              <w:left w:val="nil"/>
              <w:bottom w:val="nil"/>
              <w:right w:val="nil"/>
            </w:tcBorders>
          </w:tcPr>
          <w:p w14:paraId="0597AEFB"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(0.011)</w:t>
            </w:r>
          </w:p>
        </w:tc>
        <w:tc>
          <w:tcPr>
            <w:tcW w:w="576" w:type="pct"/>
            <w:tcBorders>
              <w:top w:val="nil"/>
              <w:left w:val="nil"/>
              <w:bottom w:val="nil"/>
              <w:right w:val="nil"/>
            </w:tcBorders>
          </w:tcPr>
          <w:p w14:paraId="27208191"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(0.011)</w:t>
            </w:r>
          </w:p>
        </w:tc>
      </w:tr>
      <w:tr w:rsidR="006658C5" w:rsidRPr="00D96B8F" w14:paraId="5569AB47" w14:textId="77777777" w:rsidTr="00B42CEF">
        <w:trPr>
          <w:jc w:val="center"/>
        </w:trPr>
        <w:tc>
          <w:tcPr>
            <w:tcW w:w="822" w:type="pct"/>
            <w:gridSpan w:val="2"/>
            <w:tcBorders>
              <w:top w:val="nil"/>
              <w:left w:val="nil"/>
              <w:bottom w:val="nil"/>
              <w:right w:val="nil"/>
            </w:tcBorders>
          </w:tcPr>
          <w:p w14:paraId="0C2BEC01"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r w:rsidRPr="00D96B8F">
              <w:rPr>
                <w:rFonts w:ascii="Times New Roman" w:hAnsi="Times New Roman" w:cs="Times New Roman"/>
                <w:sz w:val="16"/>
                <w:szCs w:val="16"/>
              </w:rPr>
              <w:t>Constant</w:t>
            </w:r>
          </w:p>
        </w:tc>
        <w:tc>
          <w:tcPr>
            <w:tcW w:w="440" w:type="pct"/>
            <w:tcBorders>
              <w:top w:val="nil"/>
              <w:left w:val="nil"/>
              <w:bottom w:val="nil"/>
              <w:right w:val="nil"/>
            </w:tcBorders>
          </w:tcPr>
          <w:p w14:paraId="0C09971E"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0.024</w:t>
            </w:r>
          </w:p>
        </w:tc>
        <w:tc>
          <w:tcPr>
            <w:tcW w:w="440" w:type="pct"/>
            <w:gridSpan w:val="2"/>
            <w:tcBorders>
              <w:top w:val="nil"/>
              <w:left w:val="nil"/>
              <w:bottom w:val="nil"/>
              <w:right w:val="nil"/>
            </w:tcBorders>
          </w:tcPr>
          <w:p w14:paraId="66F70894"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0.030</w:t>
            </w:r>
          </w:p>
        </w:tc>
        <w:tc>
          <w:tcPr>
            <w:tcW w:w="440" w:type="pct"/>
            <w:gridSpan w:val="2"/>
            <w:tcBorders>
              <w:top w:val="nil"/>
              <w:left w:val="nil"/>
              <w:bottom w:val="nil"/>
              <w:right w:val="nil"/>
            </w:tcBorders>
          </w:tcPr>
          <w:p w14:paraId="2E10F5D3"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0.029</w:t>
            </w:r>
          </w:p>
        </w:tc>
        <w:tc>
          <w:tcPr>
            <w:tcW w:w="540" w:type="pct"/>
            <w:gridSpan w:val="2"/>
            <w:tcBorders>
              <w:top w:val="nil"/>
              <w:left w:val="nil"/>
              <w:bottom w:val="nil"/>
              <w:right w:val="nil"/>
            </w:tcBorders>
          </w:tcPr>
          <w:p w14:paraId="5BB3743F"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0.034</w:t>
            </w:r>
          </w:p>
        </w:tc>
        <w:tc>
          <w:tcPr>
            <w:tcW w:w="580" w:type="pct"/>
            <w:gridSpan w:val="2"/>
            <w:tcBorders>
              <w:top w:val="nil"/>
              <w:left w:val="nil"/>
              <w:bottom w:val="nil"/>
              <w:right w:val="nil"/>
            </w:tcBorders>
          </w:tcPr>
          <w:p w14:paraId="0E7F7180"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-0.237</w:t>
            </w:r>
          </w:p>
        </w:tc>
        <w:tc>
          <w:tcPr>
            <w:tcW w:w="580" w:type="pct"/>
            <w:gridSpan w:val="2"/>
            <w:tcBorders>
              <w:top w:val="nil"/>
              <w:left w:val="nil"/>
              <w:bottom w:val="nil"/>
              <w:right w:val="nil"/>
            </w:tcBorders>
          </w:tcPr>
          <w:p w14:paraId="4A320275"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-0.206</w:t>
            </w:r>
          </w:p>
        </w:tc>
        <w:tc>
          <w:tcPr>
            <w:tcW w:w="582" w:type="pct"/>
            <w:gridSpan w:val="2"/>
            <w:tcBorders>
              <w:top w:val="nil"/>
              <w:left w:val="nil"/>
              <w:bottom w:val="nil"/>
              <w:right w:val="nil"/>
            </w:tcBorders>
          </w:tcPr>
          <w:p w14:paraId="7B951CDD"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-0.178</w:t>
            </w:r>
          </w:p>
        </w:tc>
        <w:tc>
          <w:tcPr>
            <w:tcW w:w="576" w:type="pct"/>
            <w:tcBorders>
              <w:top w:val="nil"/>
              <w:left w:val="nil"/>
              <w:bottom w:val="nil"/>
              <w:right w:val="nil"/>
            </w:tcBorders>
          </w:tcPr>
          <w:p w14:paraId="22814CBD"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-0.095</w:t>
            </w:r>
          </w:p>
        </w:tc>
      </w:tr>
      <w:tr w:rsidR="006658C5" w:rsidRPr="00D96B8F" w14:paraId="221E6EF2" w14:textId="77777777" w:rsidTr="00B42CEF">
        <w:trPr>
          <w:jc w:val="center"/>
        </w:trPr>
        <w:tc>
          <w:tcPr>
            <w:tcW w:w="822" w:type="pct"/>
            <w:gridSpan w:val="2"/>
            <w:tcBorders>
              <w:top w:val="nil"/>
              <w:left w:val="nil"/>
              <w:bottom w:val="nil"/>
              <w:right w:val="nil"/>
            </w:tcBorders>
          </w:tcPr>
          <w:p w14:paraId="51DC9A9C"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
        </w:tc>
        <w:tc>
          <w:tcPr>
            <w:tcW w:w="440" w:type="pct"/>
            <w:tcBorders>
              <w:top w:val="nil"/>
              <w:left w:val="nil"/>
              <w:bottom w:val="nil"/>
              <w:right w:val="nil"/>
            </w:tcBorders>
          </w:tcPr>
          <w:p w14:paraId="17242805"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(0.022)</w:t>
            </w:r>
          </w:p>
        </w:tc>
        <w:tc>
          <w:tcPr>
            <w:tcW w:w="440" w:type="pct"/>
            <w:gridSpan w:val="2"/>
            <w:tcBorders>
              <w:top w:val="nil"/>
              <w:left w:val="nil"/>
              <w:bottom w:val="nil"/>
              <w:right w:val="nil"/>
            </w:tcBorders>
          </w:tcPr>
          <w:p w14:paraId="611FF705"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(0.023)</w:t>
            </w:r>
          </w:p>
        </w:tc>
        <w:tc>
          <w:tcPr>
            <w:tcW w:w="440" w:type="pct"/>
            <w:gridSpan w:val="2"/>
            <w:tcBorders>
              <w:top w:val="nil"/>
              <w:left w:val="nil"/>
              <w:bottom w:val="nil"/>
              <w:right w:val="nil"/>
            </w:tcBorders>
          </w:tcPr>
          <w:p w14:paraId="2254654B"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(0.021)</w:t>
            </w:r>
          </w:p>
        </w:tc>
        <w:tc>
          <w:tcPr>
            <w:tcW w:w="540" w:type="pct"/>
            <w:gridSpan w:val="2"/>
            <w:tcBorders>
              <w:top w:val="nil"/>
              <w:left w:val="nil"/>
              <w:bottom w:val="nil"/>
              <w:right w:val="nil"/>
            </w:tcBorders>
          </w:tcPr>
          <w:p w14:paraId="1ABEA5FF"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(0.021)</w:t>
            </w:r>
          </w:p>
        </w:tc>
        <w:tc>
          <w:tcPr>
            <w:tcW w:w="580" w:type="pct"/>
            <w:gridSpan w:val="2"/>
            <w:tcBorders>
              <w:top w:val="nil"/>
              <w:left w:val="nil"/>
              <w:bottom w:val="nil"/>
              <w:right w:val="nil"/>
            </w:tcBorders>
          </w:tcPr>
          <w:p w14:paraId="1EF2E082"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(0.394)</w:t>
            </w:r>
          </w:p>
        </w:tc>
        <w:tc>
          <w:tcPr>
            <w:tcW w:w="580" w:type="pct"/>
            <w:gridSpan w:val="2"/>
            <w:tcBorders>
              <w:top w:val="nil"/>
              <w:left w:val="nil"/>
              <w:bottom w:val="nil"/>
              <w:right w:val="nil"/>
            </w:tcBorders>
          </w:tcPr>
          <w:p w14:paraId="669BAFE5"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(0.396)</w:t>
            </w:r>
          </w:p>
        </w:tc>
        <w:tc>
          <w:tcPr>
            <w:tcW w:w="582" w:type="pct"/>
            <w:gridSpan w:val="2"/>
            <w:tcBorders>
              <w:top w:val="nil"/>
              <w:left w:val="nil"/>
              <w:bottom w:val="nil"/>
              <w:right w:val="nil"/>
            </w:tcBorders>
          </w:tcPr>
          <w:p w14:paraId="7DB7C7C5"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(0.363)</w:t>
            </w:r>
          </w:p>
        </w:tc>
        <w:tc>
          <w:tcPr>
            <w:tcW w:w="576" w:type="pct"/>
            <w:tcBorders>
              <w:top w:val="nil"/>
              <w:left w:val="nil"/>
              <w:bottom w:val="nil"/>
              <w:right w:val="nil"/>
            </w:tcBorders>
          </w:tcPr>
          <w:p w14:paraId="0E77B9C5"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(0.353)</w:t>
            </w:r>
          </w:p>
        </w:tc>
      </w:tr>
      <w:tr w:rsidR="006658C5" w:rsidRPr="00D96B8F" w14:paraId="47830A6C" w14:textId="77777777" w:rsidTr="00B42CEF">
        <w:trPr>
          <w:jc w:val="center"/>
        </w:trPr>
        <w:tc>
          <w:tcPr>
            <w:tcW w:w="822" w:type="pct"/>
            <w:gridSpan w:val="2"/>
            <w:tcBorders>
              <w:top w:val="nil"/>
              <w:left w:val="nil"/>
              <w:bottom w:val="nil"/>
              <w:right w:val="nil"/>
            </w:tcBorders>
          </w:tcPr>
          <w:p w14:paraId="0492EC1F"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
        </w:tc>
        <w:tc>
          <w:tcPr>
            <w:tcW w:w="440" w:type="pct"/>
            <w:tcBorders>
              <w:top w:val="nil"/>
              <w:left w:val="nil"/>
              <w:bottom w:val="nil"/>
              <w:right w:val="nil"/>
            </w:tcBorders>
          </w:tcPr>
          <w:p w14:paraId="13790934"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40" w:type="pct"/>
            <w:gridSpan w:val="2"/>
            <w:tcBorders>
              <w:top w:val="nil"/>
              <w:left w:val="nil"/>
              <w:bottom w:val="nil"/>
              <w:right w:val="nil"/>
            </w:tcBorders>
          </w:tcPr>
          <w:p w14:paraId="2562BC40"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40" w:type="pct"/>
            <w:gridSpan w:val="2"/>
            <w:tcBorders>
              <w:top w:val="nil"/>
              <w:left w:val="nil"/>
              <w:bottom w:val="nil"/>
              <w:right w:val="nil"/>
            </w:tcBorders>
          </w:tcPr>
          <w:p w14:paraId="57DCAB1B"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40" w:type="pct"/>
            <w:gridSpan w:val="2"/>
            <w:tcBorders>
              <w:top w:val="nil"/>
              <w:left w:val="nil"/>
              <w:bottom w:val="nil"/>
              <w:right w:val="nil"/>
            </w:tcBorders>
          </w:tcPr>
          <w:p w14:paraId="479D0C11"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80" w:type="pct"/>
            <w:gridSpan w:val="2"/>
            <w:tcBorders>
              <w:top w:val="nil"/>
              <w:left w:val="nil"/>
              <w:bottom w:val="nil"/>
              <w:right w:val="nil"/>
            </w:tcBorders>
          </w:tcPr>
          <w:p w14:paraId="6EE4B92C"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80" w:type="pct"/>
            <w:gridSpan w:val="2"/>
            <w:tcBorders>
              <w:top w:val="nil"/>
              <w:left w:val="nil"/>
              <w:bottom w:val="nil"/>
              <w:right w:val="nil"/>
            </w:tcBorders>
          </w:tcPr>
          <w:p w14:paraId="57A0B462"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82" w:type="pct"/>
            <w:gridSpan w:val="2"/>
            <w:tcBorders>
              <w:top w:val="nil"/>
              <w:left w:val="nil"/>
              <w:bottom w:val="nil"/>
              <w:right w:val="nil"/>
            </w:tcBorders>
          </w:tcPr>
          <w:p w14:paraId="4B3506EA"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6" w:type="pct"/>
            <w:tcBorders>
              <w:top w:val="nil"/>
              <w:left w:val="nil"/>
              <w:bottom w:val="nil"/>
              <w:right w:val="nil"/>
            </w:tcBorders>
          </w:tcPr>
          <w:p w14:paraId="4C572DC0"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r>
      <w:tr w:rsidR="006658C5" w:rsidRPr="00D96B8F" w14:paraId="7FB7553A" w14:textId="77777777" w:rsidTr="00B42CEF">
        <w:trPr>
          <w:jc w:val="center"/>
        </w:trPr>
        <w:tc>
          <w:tcPr>
            <w:tcW w:w="822" w:type="pct"/>
            <w:gridSpan w:val="2"/>
            <w:tcBorders>
              <w:top w:val="nil"/>
              <w:left w:val="nil"/>
              <w:bottom w:val="nil"/>
              <w:right w:val="nil"/>
            </w:tcBorders>
          </w:tcPr>
          <w:p w14:paraId="0933ABC0"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r w:rsidRPr="00D96B8F">
              <w:rPr>
                <w:rFonts w:ascii="Times New Roman" w:hAnsi="Times New Roman" w:cs="Times New Roman"/>
                <w:sz w:val="16"/>
                <w:szCs w:val="16"/>
              </w:rPr>
              <w:t>Year Dummies</w:t>
            </w:r>
          </w:p>
        </w:tc>
        <w:tc>
          <w:tcPr>
            <w:tcW w:w="440" w:type="pct"/>
            <w:tcBorders>
              <w:top w:val="nil"/>
              <w:left w:val="nil"/>
              <w:bottom w:val="nil"/>
              <w:right w:val="nil"/>
            </w:tcBorders>
          </w:tcPr>
          <w:p w14:paraId="1E50A86A"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YES</w:t>
            </w:r>
          </w:p>
        </w:tc>
        <w:tc>
          <w:tcPr>
            <w:tcW w:w="440" w:type="pct"/>
            <w:gridSpan w:val="2"/>
            <w:tcBorders>
              <w:top w:val="nil"/>
              <w:left w:val="nil"/>
              <w:bottom w:val="nil"/>
              <w:right w:val="nil"/>
            </w:tcBorders>
          </w:tcPr>
          <w:p w14:paraId="17599ED0"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YES</w:t>
            </w:r>
          </w:p>
        </w:tc>
        <w:tc>
          <w:tcPr>
            <w:tcW w:w="440" w:type="pct"/>
            <w:gridSpan w:val="2"/>
            <w:tcBorders>
              <w:top w:val="nil"/>
              <w:left w:val="nil"/>
              <w:bottom w:val="nil"/>
              <w:right w:val="nil"/>
            </w:tcBorders>
          </w:tcPr>
          <w:p w14:paraId="642E3CCB"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YES</w:t>
            </w:r>
          </w:p>
        </w:tc>
        <w:tc>
          <w:tcPr>
            <w:tcW w:w="540" w:type="pct"/>
            <w:gridSpan w:val="2"/>
            <w:tcBorders>
              <w:top w:val="nil"/>
              <w:left w:val="nil"/>
              <w:bottom w:val="nil"/>
              <w:right w:val="nil"/>
            </w:tcBorders>
          </w:tcPr>
          <w:p w14:paraId="5CDF3087" w14:textId="77777777" w:rsidR="006658C5" w:rsidRPr="00D96B8F" w:rsidRDefault="006658C5" w:rsidP="00B42CEF">
            <w:pPr>
              <w:widowControl w:val="0"/>
              <w:tabs>
                <w:tab w:val="center" w:pos="409"/>
              </w:tabs>
              <w:autoSpaceDE w:val="0"/>
              <w:autoSpaceDN w:val="0"/>
              <w:adjustRightInd w:val="0"/>
              <w:rPr>
                <w:rFonts w:ascii="Times New Roman" w:hAnsi="Times New Roman" w:cs="Times New Roman"/>
                <w:sz w:val="16"/>
                <w:szCs w:val="16"/>
              </w:rPr>
            </w:pPr>
            <w:r w:rsidRPr="00D96B8F">
              <w:rPr>
                <w:rFonts w:ascii="Times New Roman" w:hAnsi="Times New Roman" w:cs="Times New Roman"/>
                <w:sz w:val="16"/>
                <w:szCs w:val="16"/>
              </w:rPr>
              <w:tab/>
              <w:t>YES</w:t>
            </w:r>
          </w:p>
        </w:tc>
        <w:tc>
          <w:tcPr>
            <w:tcW w:w="580" w:type="pct"/>
            <w:gridSpan w:val="2"/>
            <w:tcBorders>
              <w:top w:val="nil"/>
              <w:left w:val="nil"/>
              <w:bottom w:val="nil"/>
              <w:right w:val="nil"/>
            </w:tcBorders>
          </w:tcPr>
          <w:p w14:paraId="7955A3C0"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YES</w:t>
            </w:r>
          </w:p>
        </w:tc>
        <w:tc>
          <w:tcPr>
            <w:tcW w:w="580" w:type="pct"/>
            <w:gridSpan w:val="2"/>
            <w:tcBorders>
              <w:top w:val="nil"/>
              <w:left w:val="nil"/>
              <w:bottom w:val="nil"/>
              <w:right w:val="nil"/>
            </w:tcBorders>
          </w:tcPr>
          <w:p w14:paraId="6577EE7D"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YES</w:t>
            </w:r>
          </w:p>
        </w:tc>
        <w:tc>
          <w:tcPr>
            <w:tcW w:w="582" w:type="pct"/>
            <w:gridSpan w:val="2"/>
            <w:tcBorders>
              <w:top w:val="nil"/>
              <w:left w:val="nil"/>
              <w:bottom w:val="nil"/>
              <w:right w:val="nil"/>
            </w:tcBorders>
          </w:tcPr>
          <w:p w14:paraId="45052746"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YES</w:t>
            </w:r>
          </w:p>
        </w:tc>
        <w:tc>
          <w:tcPr>
            <w:tcW w:w="576" w:type="pct"/>
            <w:tcBorders>
              <w:top w:val="nil"/>
              <w:left w:val="nil"/>
              <w:bottom w:val="nil"/>
              <w:right w:val="nil"/>
            </w:tcBorders>
          </w:tcPr>
          <w:p w14:paraId="71C0778D"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YES</w:t>
            </w:r>
          </w:p>
        </w:tc>
      </w:tr>
      <w:tr w:rsidR="006658C5" w:rsidRPr="00D96B8F" w14:paraId="2042FC3B" w14:textId="77777777" w:rsidTr="00B42CEF">
        <w:trPr>
          <w:jc w:val="center"/>
        </w:trPr>
        <w:tc>
          <w:tcPr>
            <w:tcW w:w="822" w:type="pct"/>
            <w:gridSpan w:val="2"/>
            <w:tcBorders>
              <w:top w:val="nil"/>
              <w:left w:val="nil"/>
              <w:bottom w:val="nil"/>
              <w:right w:val="nil"/>
            </w:tcBorders>
          </w:tcPr>
          <w:p w14:paraId="374D9FC3"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r w:rsidRPr="00D96B8F">
              <w:rPr>
                <w:rFonts w:ascii="Times New Roman" w:hAnsi="Times New Roman" w:cs="Times New Roman"/>
                <w:sz w:val="16"/>
                <w:szCs w:val="16"/>
              </w:rPr>
              <w:t>Observations</w:t>
            </w:r>
          </w:p>
        </w:tc>
        <w:tc>
          <w:tcPr>
            <w:tcW w:w="440" w:type="pct"/>
            <w:tcBorders>
              <w:top w:val="nil"/>
              <w:left w:val="nil"/>
              <w:bottom w:val="nil"/>
              <w:right w:val="nil"/>
            </w:tcBorders>
          </w:tcPr>
          <w:p w14:paraId="37F6C1E6"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245</w:t>
            </w:r>
          </w:p>
        </w:tc>
        <w:tc>
          <w:tcPr>
            <w:tcW w:w="440" w:type="pct"/>
            <w:gridSpan w:val="2"/>
            <w:tcBorders>
              <w:top w:val="nil"/>
              <w:left w:val="nil"/>
              <w:bottom w:val="nil"/>
              <w:right w:val="nil"/>
            </w:tcBorders>
          </w:tcPr>
          <w:p w14:paraId="10796807"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245</w:t>
            </w:r>
          </w:p>
        </w:tc>
        <w:tc>
          <w:tcPr>
            <w:tcW w:w="440" w:type="pct"/>
            <w:gridSpan w:val="2"/>
            <w:tcBorders>
              <w:top w:val="nil"/>
              <w:left w:val="nil"/>
              <w:bottom w:val="nil"/>
              <w:right w:val="nil"/>
            </w:tcBorders>
          </w:tcPr>
          <w:p w14:paraId="1C98955C"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245</w:t>
            </w:r>
          </w:p>
        </w:tc>
        <w:tc>
          <w:tcPr>
            <w:tcW w:w="540" w:type="pct"/>
            <w:gridSpan w:val="2"/>
            <w:tcBorders>
              <w:top w:val="nil"/>
              <w:left w:val="nil"/>
              <w:bottom w:val="nil"/>
              <w:right w:val="nil"/>
            </w:tcBorders>
          </w:tcPr>
          <w:p w14:paraId="24A6A278"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245</w:t>
            </w:r>
          </w:p>
        </w:tc>
        <w:tc>
          <w:tcPr>
            <w:tcW w:w="580" w:type="pct"/>
            <w:gridSpan w:val="2"/>
            <w:tcBorders>
              <w:top w:val="nil"/>
              <w:left w:val="nil"/>
              <w:bottom w:val="nil"/>
              <w:right w:val="nil"/>
            </w:tcBorders>
          </w:tcPr>
          <w:p w14:paraId="27B3AA57"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241</w:t>
            </w:r>
          </w:p>
        </w:tc>
        <w:tc>
          <w:tcPr>
            <w:tcW w:w="580" w:type="pct"/>
            <w:gridSpan w:val="2"/>
            <w:tcBorders>
              <w:top w:val="nil"/>
              <w:left w:val="nil"/>
              <w:bottom w:val="nil"/>
              <w:right w:val="nil"/>
            </w:tcBorders>
          </w:tcPr>
          <w:p w14:paraId="329A8FCB"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241</w:t>
            </w:r>
          </w:p>
        </w:tc>
        <w:tc>
          <w:tcPr>
            <w:tcW w:w="582" w:type="pct"/>
            <w:gridSpan w:val="2"/>
            <w:tcBorders>
              <w:top w:val="nil"/>
              <w:left w:val="nil"/>
              <w:bottom w:val="nil"/>
              <w:right w:val="nil"/>
            </w:tcBorders>
          </w:tcPr>
          <w:p w14:paraId="6E8B1D75"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241</w:t>
            </w:r>
          </w:p>
        </w:tc>
        <w:tc>
          <w:tcPr>
            <w:tcW w:w="576" w:type="pct"/>
            <w:tcBorders>
              <w:top w:val="nil"/>
              <w:left w:val="nil"/>
              <w:bottom w:val="nil"/>
              <w:right w:val="nil"/>
            </w:tcBorders>
          </w:tcPr>
          <w:p w14:paraId="69F612FA"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241</w:t>
            </w:r>
          </w:p>
        </w:tc>
      </w:tr>
      <w:tr w:rsidR="006658C5" w:rsidRPr="00D96B8F" w14:paraId="4AD127E7" w14:textId="77777777" w:rsidTr="00B42CEF">
        <w:tblPrEx>
          <w:tblBorders>
            <w:bottom w:val="single" w:sz="6" w:space="0" w:color="auto"/>
          </w:tblBorders>
        </w:tblPrEx>
        <w:trPr>
          <w:jc w:val="center"/>
        </w:trPr>
        <w:tc>
          <w:tcPr>
            <w:tcW w:w="822" w:type="pct"/>
            <w:gridSpan w:val="2"/>
            <w:tcBorders>
              <w:top w:val="nil"/>
              <w:left w:val="nil"/>
              <w:bottom w:val="single" w:sz="4" w:space="0" w:color="auto"/>
              <w:right w:val="nil"/>
            </w:tcBorders>
          </w:tcPr>
          <w:p w14:paraId="44D31D21"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r w:rsidRPr="00D96B8F">
              <w:rPr>
                <w:rFonts w:ascii="Times New Roman" w:hAnsi="Times New Roman" w:cs="Times New Roman"/>
                <w:sz w:val="16"/>
                <w:szCs w:val="16"/>
              </w:rPr>
              <w:t>R-squared</w:t>
            </w:r>
          </w:p>
        </w:tc>
        <w:tc>
          <w:tcPr>
            <w:tcW w:w="440" w:type="pct"/>
            <w:tcBorders>
              <w:top w:val="nil"/>
              <w:left w:val="nil"/>
              <w:bottom w:val="single" w:sz="4" w:space="0" w:color="auto"/>
              <w:right w:val="nil"/>
            </w:tcBorders>
          </w:tcPr>
          <w:p w14:paraId="72114F94"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0.097</w:t>
            </w:r>
          </w:p>
        </w:tc>
        <w:tc>
          <w:tcPr>
            <w:tcW w:w="440" w:type="pct"/>
            <w:gridSpan w:val="2"/>
            <w:tcBorders>
              <w:top w:val="nil"/>
              <w:left w:val="nil"/>
              <w:bottom w:val="single" w:sz="4" w:space="0" w:color="auto"/>
              <w:right w:val="nil"/>
            </w:tcBorders>
          </w:tcPr>
          <w:p w14:paraId="1D26E3BE"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0.099</w:t>
            </w:r>
          </w:p>
        </w:tc>
        <w:tc>
          <w:tcPr>
            <w:tcW w:w="440" w:type="pct"/>
            <w:gridSpan w:val="2"/>
            <w:tcBorders>
              <w:top w:val="nil"/>
              <w:left w:val="nil"/>
              <w:bottom w:val="single" w:sz="4" w:space="0" w:color="auto"/>
              <w:right w:val="nil"/>
            </w:tcBorders>
          </w:tcPr>
          <w:p w14:paraId="77FBB6FA"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0.105</w:t>
            </w:r>
          </w:p>
        </w:tc>
        <w:tc>
          <w:tcPr>
            <w:tcW w:w="540" w:type="pct"/>
            <w:gridSpan w:val="2"/>
            <w:tcBorders>
              <w:top w:val="nil"/>
              <w:left w:val="nil"/>
              <w:bottom w:val="single" w:sz="4" w:space="0" w:color="auto"/>
              <w:right w:val="nil"/>
            </w:tcBorders>
          </w:tcPr>
          <w:p w14:paraId="0EA7958D"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0.120</w:t>
            </w:r>
          </w:p>
        </w:tc>
        <w:tc>
          <w:tcPr>
            <w:tcW w:w="580" w:type="pct"/>
            <w:gridSpan w:val="2"/>
            <w:tcBorders>
              <w:top w:val="nil"/>
              <w:left w:val="nil"/>
              <w:bottom w:val="single" w:sz="4" w:space="0" w:color="auto"/>
              <w:right w:val="nil"/>
            </w:tcBorders>
          </w:tcPr>
          <w:p w14:paraId="4E20F7F2"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0.173</w:t>
            </w:r>
          </w:p>
        </w:tc>
        <w:tc>
          <w:tcPr>
            <w:tcW w:w="580" w:type="pct"/>
            <w:gridSpan w:val="2"/>
            <w:tcBorders>
              <w:top w:val="nil"/>
              <w:left w:val="nil"/>
              <w:bottom w:val="single" w:sz="4" w:space="0" w:color="auto"/>
              <w:right w:val="nil"/>
            </w:tcBorders>
          </w:tcPr>
          <w:p w14:paraId="61D4E1D1"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0.175</w:t>
            </w:r>
          </w:p>
        </w:tc>
        <w:tc>
          <w:tcPr>
            <w:tcW w:w="582" w:type="pct"/>
            <w:gridSpan w:val="2"/>
            <w:tcBorders>
              <w:top w:val="nil"/>
              <w:left w:val="nil"/>
              <w:bottom w:val="single" w:sz="4" w:space="0" w:color="auto"/>
              <w:right w:val="nil"/>
            </w:tcBorders>
          </w:tcPr>
          <w:p w14:paraId="3EE80623"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0.178</w:t>
            </w:r>
          </w:p>
        </w:tc>
        <w:tc>
          <w:tcPr>
            <w:tcW w:w="576" w:type="pct"/>
            <w:tcBorders>
              <w:top w:val="nil"/>
              <w:left w:val="nil"/>
              <w:bottom w:val="single" w:sz="4" w:space="0" w:color="auto"/>
              <w:right w:val="nil"/>
            </w:tcBorders>
          </w:tcPr>
          <w:p w14:paraId="6640462D"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0.194</w:t>
            </w:r>
          </w:p>
        </w:tc>
      </w:tr>
      <w:tr w:rsidR="006658C5" w:rsidRPr="00D96B8F" w14:paraId="6D9CB922" w14:textId="77777777" w:rsidTr="00B42CEF">
        <w:trPr>
          <w:jc w:val="center"/>
        </w:trPr>
        <w:tc>
          <w:tcPr>
            <w:tcW w:w="793" w:type="pct"/>
            <w:tcBorders>
              <w:top w:val="single" w:sz="4" w:space="0" w:color="auto"/>
              <w:left w:val="nil"/>
              <w:right w:val="nil"/>
            </w:tcBorders>
          </w:tcPr>
          <w:p w14:paraId="54F4B6E9"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
          <w:p w14:paraId="4B19FB5C" w14:textId="77777777" w:rsidR="006658C5" w:rsidRPr="00D96B8F" w:rsidRDefault="006658C5" w:rsidP="00B42CEF">
            <w:pPr>
              <w:widowControl w:val="0"/>
              <w:autoSpaceDE w:val="0"/>
              <w:autoSpaceDN w:val="0"/>
              <w:adjustRightInd w:val="0"/>
              <w:rPr>
                <w:rFonts w:ascii="Times New Roman" w:hAnsi="Times New Roman" w:cs="Times New Roman"/>
                <w:sz w:val="16"/>
                <w:szCs w:val="16"/>
                <w:u w:val="single"/>
              </w:rPr>
            </w:pPr>
            <w:r w:rsidRPr="00D96B8F">
              <w:rPr>
                <w:rFonts w:ascii="Times New Roman" w:hAnsi="Times New Roman" w:cs="Times New Roman"/>
                <w:sz w:val="16"/>
                <w:szCs w:val="16"/>
                <w:u w:val="single"/>
              </w:rPr>
              <w:t>PANEL B</w:t>
            </w:r>
          </w:p>
        </w:tc>
        <w:tc>
          <w:tcPr>
            <w:tcW w:w="490" w:type="pct"/>
            <w:gridSpan w:val="3"/>
            <w:tcBorders>
              <w:top w:val="single" w:sz="4" w:space="0" w:color="auto"/>
              <w:left w:val="nil"/>
              <w:right w:val="nil"/>
            </w:tcBorders>
          </w:tcPr>
          <w:p w14:paraId="3ECCD5C8"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1" w:type="pct"/>
            <w:gridSpan w:val="2"/>
            <w:tcBorders>
              <w:top w:val="single" w:sz="4" w:space="0" w:color="auto"/>
              <w:left w:val="nil"/>
              <w:right w:val="nil"/>
            </w:tcBorders>
          </w:tcPr>
          <w:p w14:paraId="53323FEF"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single" w:sz="4" w:space="0" w:color="auto"/>
              <w:left w:val="nil"/>
              <w:right w:val="nil"/>
            </w:tcBorders>
          </w:tcPr>
          <w:p w14:paraId="49CB8B57"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single" w:sz="4" w:space="0" w:color="auto"/>
              <w:left w:val="nil"/>
              <w:right w:val="nil"/>
            </w:tcBorders>
          </w:tcPr>
          <w:p w14:paraId="20AD6871"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7" w:type="pct"/>
            <w:gridSpan w:val="2"/>
            <w:tcBorders>
              <w:top w:val="single" w:sz="4" w:space="0" w:color="auto"/>
              <w:left w:val="nil"/>
              <w:right w:val="nil"/>
            </w:tcBorders>
          </w:tcPr>
          <w:p w14:paraId="378C76BE"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6" w:type="pct"/>
            <w:gridSpan w:val="2"/>
            <w:tcBorders>
              <w:top w:val="single" w:sz="4" w:space="0" w:color="auto"/>
              <w:left w:val="nil"/>
              <w:right w:val="nil"/>
            </w:tcBorders>
          </w:tcPr>
          <w:p w14:paraId="22B419A3"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7" w:type="pct"/>
            <w:tcBorders>
              <w:top w:val="single" w:sz="4" w:space="0" w:color="auto"/>
              <w:left w:val="nil"/>
              <w:right w:val="nil"/>
            </w:tcBorders>
          </w:tcPr>
          <w:p w14:paraId="7248480C"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6" w:type="pct"/>
            <w:tcBorders>
              <w:top w:val="single" w:sz="4" w:space="0" w:color="auto"/>
              <w:left w:val="nil"/>
              <w:right w:val="nil"/>
            </w:tcBorders>
          </w:tcPr>
          <w:p w14:paraId="5A00D949"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r>
      <w:tr w:rsidR="006658C5" w:rsidRPr="00D96B8F" w14:paraId="552AD897" w14:textId="77777777" w:rsidTr="00B42CEF">
        <w:trPr>
          <w:jc w:val="center"/>
        </w:trPr>
        <w:tc>
          <w:tcPr>
            <w:tcW w:w="793" w:type="pct"/>
            <w:tcBorders>
              <w:left w:val="nil"/>
              <w:bottom w:val="nil"/>
              <w:right w:val="nil"/>
            </w:tcBorders>
          </w:tcPr>
          <w:p w14:paraId="3077319B"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
        </w:tc>
        <w:tc>
          <w:tcPr>
            <w:tcW w:w="490" w:type="pct"/>
            <w:gridSpan w:val="3"/>
            <w:tcBorders>
              <w:left w:val="nil"/>
              <w:bottom w:val="nil"/>
              <w:right w:val="nil"/>
            </w:tcBorders>
          </w:tcPr>
          <w:p w14:paraId="67B6E27F"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1" w:type="pct"/>
            <w:gridSpan w:val="2"/>
            <w:tcBorders>
              <w:left w:val="nil"/>
              <w:bottom w:val="nil"/>
              <w:right w:val="nil"/>
            </w:tcBorders>
          </w:tcPr>
          <w:p w14:paraId="6E1BFE25"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left w:val="nil"/>
              <w:bottom w:val="nil"/>
              <w:right w:val="nil"/>
            </w:tcBorders>
          </w:tcPr>
          <w:p w14:paraId="42F1D3BE"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left w:val="nil"/>
              <w:bottom w:val="nil"/>
              <w:right w:val="nil"/>
            </w:tcBorders>
          </w:tcPr>
          <w:p w14:paraId="5254F511"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7" w:type="pct"/>
            <w:gridSpan w:val="2"/>
            <w:tcBorders>
              <w:left w:val="nil"/>
              <w:bottom w:val="nil"/>
              <w:right w:val="nil"/>
            </w:tcBorders>
          </w:tcPr>
          <w:p w14:paraId="204A6D3C"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6" w:type="pct"/>
            <w:gridSpan w:val="2"/>
            <w:tcBorders>
              <w:left w:val="nil"/>
              <w:bottom w:val="nil"/>
              <w:right w:val="nil"/>
            </w:tcBorders>
          </w:tcPr>
          <w:p w14:paraId="624D6B64"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7" w:type="pct"/>
            <w:tcBorders>
              <w:left w:val="nil"/>
              <w:bottom w:val="nil"/>
              <w:right w:val="nil"/>
            </w:tcBorders>
          </w:tcPr>
          <w:p w14:paraId="4F1DB7F0"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6" w:type="pct"/>
            <w:tcBorders>
              <w:left w:val="nil"/>
              <w:bottom w:val="nil"/>
              <w:right w:val="nil"/>
            </w:tcBorders>
          </w:tcPr>
          <w:p w14:paraId="42265F82"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r>
      <w:tr w:rsidR="006658C5" w:rsidRPr="00D96B8F" w14:paraId="6813E5BE" w14:textId="77777777" w:rsidTr="00B42CEF">
        <w:trPr>
          <w:jc w:val="center"/>
        </w:trPr>
        <w:tc>
          <w:tcPr>
            <w:tcW w:w="793" w:type="pct"/>
            <w:tcBorders>
              <w:top w:val="nil"/>
              <w:left w:val="nil"/>
              <w:bottom w:val="nil"/>
              <w:right w:val="nil"/>
            </w:tcBorders>
          </w:tcPr>
          <w:p w14:paraId="67C3F4F1"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r w:rsidRPr="00D96B8F">
              <w:rPr>
                <w:rFonts w:ascii="Times New Roman" w:hAnsi="Times New Roman" w:cs="Times New Roman"/>
                <w:sz w:val="16"/>
                <w:szCs w:val="16"/>
              </w:rPr>
              <w:t>VoteLargest5</w:t>
            </w:r>
          </w:p>
        </w:tc>
        <w:tc>
          <w:tcPr>
            <w:tcW w:w="490" w:type="pct"/>
            <w:gridSpan w:val="3"/>
            <w:tcBorders>
              <w:top w:val="nil"/>
              <w:left w:val="nil"/>
              <w:bottom w:val="nil"/>
              <w:right w:val="nil"/>
            </w:tcBorders>
          </w:tcPr>
          <w:p w14:paraId="6398A474"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-0.047*</w:t>
            </w:r>
          </w:p>
        </w:tc>
        <w:tc>
          <w:tcPr>
            <w:tcW w:w="471" w:type="pct"/>
            <w:gridSpan w:val="2"/>
            <w:tcBorders>
              <w:top w:val="nil"/>
              <w:left w:val="nil"/>
              <w:bottom w:val="nil"/>
              <w:right w:val="nil"/>
            </w:tcBorders>
          </w:tcPr>
          <w:p w14:paraId="71E9ED59"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nil"/>
              <w:left w:val="nil"/>
              <w:bottom w:val="nil"/>
              <w:right w:val="nil"/>
            </w:tcBorders>
          </w:tcPr>
          <w:p w14:paraId="36436F29"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nil"/>
              <w:left w:val="nil"/>
              <w:bottom w:val="nil"/>
              <w:right w:val="nil"/>
            </w:tcBorders>
          </w:tcPr>
          <w:p w14:paraId="540C4D16"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7" w:type="pct"/>
            <w:gridSpan w:val="2"/>
            <w:tcBorders>
              <w:top w:val="nil"/>
              <w:left w:val="nil"/>
              <w:bottom w:val="nil"/>
              <w:right w:val="nil"/>
            </w:tcBorders>
          </w:tcPr>
          <w:p w14:paraId="76F632FC"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-0.035</w:t>
            </w:r>
          </w:p>
        </w:tc>
        <w:tc>
          <w:tcPr>
            <w:tcW w:w="576" w:type="pct"/>
            <w:gridSpan w:val="2"/>
            <w:tcBorders>
              <w:top w:val="nil"/>
              <w:left w:val="nil"/>
              <w:bottom w:val="nil"/>
              <w:right w:val="nil"/>
            </w:tcBorders>
          </w:tcPr>
          <w:p w14:paraId="5E0EE043"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7" w:type="pct"/>
            <w:tcBorders>
              <w:top w:val="nil"/>
              <w:left w:val="nil"/>
              <w:bottom w:val="nil"/>
              <w:right w:val="nil"/>
            </w:tcBorders>
          </w:tcPr>
          <w:p w14:paraId="7BBE47C6"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6" w:type="pct"/>
            <w:tcBorders>
              <w:top w:val="nil"/>
              <w:left w:val="nil"/>
              <w:bottom w:val="nil"/>
              <w:right w:val="nil"/>
            </w:tcBorders>
          </w:tcPr>
          <w:p w14:paraId="4DD4642D"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r>
      <w:tr w:rsidR="006658C5" w:rsidRPr="00D96B8F" w14:paraId="4FDCC318" w14:textId="77777777" w:rsidTr="00B42CEF">
        <w:trPr>
          <w:jc w:val="center"/>
        </w:trPr>
        <w:tc>
          <w:tcPr>
            <w:tcW w:w="793" w:type="pct"/>
            <w:tcBorders>
              <w:top w:val="nil"/>
              <w:left w:val="nil"/>
              <w:bottom w:val="nil"/>
              <w:right w:val="nil"/>
            </w:tcBorders>
          </w:tcPr>
          <w:p w14:paraId="5E618A3B"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
        </w:tc>
        <w:tc>
          <w:tcPr>
            <w:tcW w:w="490" w:type="pct"/>
            <w:gridSpan w:val="3"/>
            <w:tcBorders>
              <w:top w:val="nil"/>
              <w:left w:val="nil"/>
              <w:bottom w:val="nil"/>
              <w:right w:val="nil"/>
            </w:tcBorders>
          </w:tcPr>
          <w:p w14:paraId="5F00DBF6"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(0.028)</w:t>
            </w:r>
          </w:p>
        </w:tc>
        <w:tc>
          <w:tcPr>
            <w:tcW w:w="471" w:type="pct"/>
            <w:gridSpan w:val="2"/>
            <w:tcBorders>
              <w:top w:val="nil"/>
              <w:left w:val="nil"/>
              <w:bottom w:val="nil"/>
              <w:right w:val="nil"/>
            </w:tcBorders>
          </w:tcPr>
          <w:p w14:paraId="3F03671A"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nil"/>
              <w:left w:val="nil"/>
              <w:bottom w:val="nil"/>
              <w:right w:val="nil"/>
            </w:tcBorders>
          </w:tcPr>
          <w:p w14:paraId="00971828"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nil"/>
              <w:left w:val="nil"/>
              <w:bottom w:val="nil"/>
              <w:right w:val="nil"/>
            </w:tcBorders>
          </w:tcPr>
          <w:p w14:paraId="3F86637D"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7" w:type="pct"/>
            <w:gridSpan w:val="2"/>
            <w:tcBorders>
              <w:top w:val="nil"/>
              <w:left w:val="nil"/>
              <w:bottom w:val="nil"/>
              <w:right w:val="nil"/>
            </w:tcBorders>
          </w:tcPr>
          <w:p w14:paraId="21A38BA7"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(0.024)</w:t>
            </w:r>
          </w:p>
        </w:tc>
        <w:tc>
          <w:tcPr>
            <w:tcW w:w="576" w:type="pct"/>
            <w:gridSpan w:val="2"/>
            <w:tcBorders>
              <w:top w:val="nil"/>
              <w:left w:val="nil"/>
              <w:bottom w:val="nil"/>
              <w:right w:val="nil"/>
            </w:tcBorders>
          </w:tcPr>
          <w:p w14:paraId="1A31516C"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7" w:type="pct"/>
            <w:tcBorders>
              <w:top w:val="nil"/>
              <w:left w:val="nil"/>
              <w:bottom w:val="nil"/>
              <w:right w:val="nil"/>
            </w:tcBorders>
          </w:tcPr>
          <w:p w14:paraId="710D6836"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6" w:type="pct"/>
            <w:tcBorders>
              <w:top w:val="nil"/>
              <w:left w:val="nil"/>
              <w:bottom w:val="nil"/>
              <w:right w:val="nil"/>
            </w:tcBorders>
          </w:tcPr>
          <w:p w14:paraId="2A63C080"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r>
      <w:tr w:rsidR="006658C5" w:rsidRPr="00D96B8F" w14:paraId="1CF9B518" w14:textId="77777777" w:rsidTr="00B42CEF">
        <w:trPr>
          <w:jc w:val="center"/>
        </w:trPr>
        <w:tc>
          <w:tcPr>
            <w:tcW w:w="793" w:type="pct"/>
            <w:tcBorders>
              <w:top w:val="nil"/>
              <w:left w:val="nil"/>
              <w:bottom w:val="nil"/>
              <w:right w:val="nil"/>
            </w:tcBorders>
          </w:tcPr>
          <w:p w14:paraId="63354C54"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roofErr w:type="spellStart"/>
            <w:r w:rsidRPr="00D96B8F">
              <w:rPr>
                <w:rFonts w:ascii="Times New Roman" w:hAnsi="Times New Roman" w:cs="Times New Roman"/>
                <w:sz w:val="16"/>
                <w:szCs w:val="16"/>
              </w:rPr>
              <w:t>VoteHHI</w:t>
            </w:r>
            <w:proofErr w:type="spellEnd"/>
          </w:p>
        </w:tc>
        <w:tc>
          <w:tcPr>
            <w:tcW w:w="490" w:type="pct"/>
            <w:gridSpan w:val="3"/>
            <w:tcBorders>
              <w:top w:val="nil"/>
              <w:left w:val="nil"/>
              <w:bottom w:val="nil"/>
              <w:right w:val="nil"/>
            </w:tcBorders>
          </w:tcPr>
          <w:p w14:paraId="0EBE1FD7"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1" w:type="pct"/>
            <w:gridSpan w:val="2"/>
            <w:tcBorders>
              <w:top w:val="nil"/>
              <w:left w:val="nil"/>
              <w:bottom w:val="nil"/>
              <w:right w:val="nil"/>
            </w:tcBorders>
          </w:tcPr>
          <w:p w14:paraId="2ED82F1B"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-0.027</w:t>
            </w:r>
          </w:p>
        </w:tc>
        <w:tc>
          <w:tcPr>
            <w:tcW w:w="470" w:type="pct"/>
            <w:gridSpan w:val="2"/>
            <w:tcBorders>
              <w:top w:val="nil"/>
              <w:left w:val="nil"/>
              <w:bottom w:val="nil"/>
              <w:right w:val="nil"/>
            </w:tcBorders>
          </w:tcPr>
          <w:p w14:paraId="3693FAE5"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nil"/>
              <w:left w:val="nil"/>
              <w:bottom w:val="nil"/>
              <w:right w:val="nil"/>
            </w:tcBorders>
          </w:tcPr>
          <w:p w14:paraId="660D0618"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7" w:type="pct"/>
            <w:gridSpan w:val="2"/>
            <w:tcBorders>
              <w:top w:val="nil"/>
              <w:left w:val="nil"/>
              <w:bottom w:val="nil"/>
              <w:right w:val="nil"/>
            </w:tcBorders>
          </w:tcPr>
          <w:p w14:paraId="1CAFBDEF"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6" w:type="pct"/>
            <w:gridSpan w:val="2"/>
            <w:tcBorders>
              <w:top w:val="nil"/>
              <w:left w:val="nil"/>
              <w:bottom w:val="nil"/>
              <w:right w:val="nil"/>
            </w:tcBorders>
          </w:tcPr>
          <w:p w14:paraId="1D162CEE"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-0.023</w:t>
            </w:r>
          </w:p>
        </w:tc>
        <w:tc>
          <w:tcPr>
            <w:tcW w:w="577" w:type="pct"/>
            <w:tcBorders>
              <w:top w:val="nil"/>
              <w:left w:val="nil"/>
              <w:bottom w:val="nil"/>
              <w:right w:val="nil"/>
            </w:tcBorders>
          </w:tcPr>
          <w:p w14:paraId="76C6554A"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6" w:type="pct"/>
            <w:tcBorders>
              <w:top w:val="nil"/>
              <w:left w:val="nil"/>
              <w:bottom w:val="nil"/>
              <w:right w:val="nil"/>
            </w:tcBorders>
          </w:tcPr>
          <w:p w14:paraId="31C2E5E1"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r>
      <w:tr w:rsidR="006658C5" w:rsidRPr="00D96B8F" w14:paraId="37005385" w14:textId="77777777" w:rsidTr="00B42CEF">
        <w:trPr>
          <w:jc w:val="center"/>
        </w:trPr>
        <w:tc>
          <w:tcPr>
            <w:tcW w:w="793" w:type="pct"/>
            <w:tcBorders>
              <w:top w:val="nil"/>
              <w:left w:val="nil"/>
              <w:bottom w:val="nil"/>
              <w:right w:val="nil"/>
            </w:tcBorders>
          </w:tcPr>
          <w:p w14:paraId="32A510B8"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
        </w:tc>
        <w:tc>
          <w:tcPr>
            <w:tcW w:w="490" w:type="pct"/>
            <w:gridSpan w:val="3"/>
            <w:tcBorders>
              <w:top w:val="nil"/>
              <w:left w:val="nil"/>
              <w:bottom w:val="nil"/>
              <w:right w:val="nil"/>
            </w:tcBorders>
          </w:tcPr>
          <w:p w14:paraId="017F22C3"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1" w:type="pct"/>
            <w:gridSpan w:val="2"/>
            <w:tcBorders>
              <w:top w:val="nil"/>
              <w:left w:val="nil"/>
              <w:bottom w:val="nil"/>
              <w:right w:val="nil"/>
            </w:tcBorders>
          </w:tcPr>
          <w:p w14:paraId="056543FF"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(0.021)</w:t>
            </w:r>
          </w:p>
        </w:tc>
        <w:tc>
          <w:tcPr>
            <w:tcW w:w="470" w:type="pct"/>
            <w:gridSpan w:val="2"/>
            <w:tcBorders>
              <w:top w:val="nil"/>
              <w:left w:val="nil"/>
              <w:bottom w:val="nil"/>
              <w:right w:val="nil"/>
            </w:tcBorders>
          </w:tcPr>
          <w:p w14:paraId="18EE471C"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nil"/>
              <w:left w:val="nil"/>
              <w:bottom w:val="nil"/>
              <w:right w:val="nil"/>
            </w:tcBorders>
          </w:tcPr>
          <w:p w14:paraId="082AC85E"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7" w:type="pct"/>
            <w:gridSpan w:val="2"/>
            <w:tcBorders>
              <w:top w:val="nil"/>
              <w:left w:val="nil"/>
              <w:bottom w:val="nil"/>
              <w:right w:val="nil"/>
            </w:tcBorders>
          </w:tcPr>
          <w:p w14:paraId="6C55690B"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6" w:type="pct"/>
            <w:gridSpan w:val="2"/>
            <w:tcBorders>
              <w:top w:val="nil"/>
              <w:left w:val="nil"/>
              <w:bottom w:val="nil"/>
              <w:right w:val="nil"/>
            </w:tcBorders>
          </w:tcPr>
          <w:p w14:paraId="23ABB79B"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(0.018)</w:t>
            </w:r>
          </w:p>
        </w:tc>
        <w:tc>
          <w:tcPr>
            <w:tcW w:w="577" w:type="pct"/>
            <w:tcBorders>
              <w:top w:val="nil"/>
              <w:left w:val="nil"/>
              <w:bottom w:val="nil"/>
              <w:right w:val="nil"/>
            </w:tcBorders>
          </w:tcPr>
          <w:p w14:paraId="0DAF870F"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6" w:type="pct"/>
            <w:tcBorders>
              <w:top w:val="nil"/>
              <w:left w:val="nil"/>
              <w:bottom w:val="nil"/>
              <w:right w:val="nil"/>
            </w:tcBorders>
          </w:tcPr>
          <w:p w14:paraId="21DD0472"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r>
      <w:tr w:rsidR="006658C5" w:rsidRPr="00D96B8F" w14:paraId="077E9015" w14:textId="77777777" w:rsidTr="00B42CEF">
        <w:trPr>
          <w:jc w:val="center"/>
        </w:trPr>
        <w:tc>
          <w:tcPr>
            <w:tcW w:w="793" w:type="pct"/>
            <w:tcBorders>
              <w:top w:val="nil"/>
              <w:left w:val="nil"/>
              <w:bottom w:val="nil"/>
              <w:right w:val="nil"/>
            </w:tcBorders>
          </w:tcPr>
          <w:p w14:paraId="2290E172"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roofErr w:type="spellStart"/>
            <w:r w:rsidRPr="00D96B8F">
              <w:rPr>
                <w:rFonts w:ascii="Times New Roman" w:hAnsi="Times New Roman" w:cs="Times New Roman"/>
                <w:sz w:val="16"/>
                <w:szCs w:val="16"/>
              </w:rPr>
              <w:t>VoteInsiders</w:t>
            </w:r>
            <w:proofErr w:type="spellEnd"/>
          </w:p>
        </w:tc>
        <w:tc>
          <w:tcPr>
            <w:tcW w:w="490" w:type="pct"/>
            <w:gridSpan w:val="3"/>
            <w:tcBorders>
              <w:top w:val="nil"/>
              <w:left w:val="nil"/>
              <w:bottom w:val="nil"/>
              <w:right w:val="nil"/>
            </w:tcBorders>
          </w:tcPr>
          <w:p w14:paraId="2B259ADF"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1" w:type="pct"/>
            <w:gridSpan w:val="2"/>
            <w:tcBorders>
              <w:top w:val="nil"/>
              <w:left w:val="nil"/>
              <w:bottom w:val="nil"/>
              <w:right w:val="nil"/>
            </w:tcBorders>
          </w:tcPr>
          <w:p w14:paraId="5CB3294A"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nil"/>
              <w:left w:val="nil"/>
              <w:bottom w:val="nil"/>
              <w:right w:val="nil"/>
            </w:tcBorders>
          </w:tcPr>
          <w:p w14:paraId="6043D246"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0.017</w:t>
            </w:r>
          </w:p>
        </w:tc>
        <w:tc>
          <w:tcPr>
            <w:tcW w:w="470" w:type="pct"/>
            <w:gridSpan w:val="2"/>
            <w:tcBorders>
              <w:top w:val="nil"/>
              <w:left w:val="nil"/>
              <w:bottom w:val="nil"/>
              <w:right w:val="nil"/>
            </w:tcBorders>
          </w:tcPr>
          <w:p w14:paraId="24E6B1D4"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7" w:type="pct"/>
            <w:gridSpan w:val="2"/>
            <w:tcBorders>
              <w:top w:val="nil"/>
              <w:left w:val="nil"/>
              <w:bottom w:val="nil"/>
              <w:right w:val="nil"/>
            </w:tcBorders>
          </w:tcPr>
          <w:p w14:paraId="4140E928"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6" w:type="pct"/>
            <w:gridSpan w:val="2"/>
            <w:tcBorders>
              <w:top w:val="nil"/>
              <w:left w:val="nil"/>
              <w:bottom w:val="nil"/>
              <w:right w:val="nil"/>
            </w:tcBorders>
          </w:tcPr>
          <w:p w14:paraId="723D86E2"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7" w:type="pct"/>
            <w:tcBorders>
              <w:top w:val="nil"/>
              <w:left w:val="nil"/>
              <w:bottom w:val="nil"/>
              <w:right w:val="nil"/>
            </w:tcBorders>
          </w:tcPr>
          <w:p w14:paraId="3D6C86C2"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-0.009</w:t>
            </w:r>
          </w:p>
        </w:tc>
        <w:tc>
          <w:tcPr>
            <w:tcW w:w="576" w:type="pct"/>
            <w:tcBorders>
              <w:top w:val="nil"/>
              <w:left w:val="nil"/>
              <w:bottom w:val="nil"/>
              <w:right w:val="nil"/>
            </w:tcBorders>
          </w:tcPr>
          <w:p w14:paraId="077AA7A8"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r>
      <w:tr w:rsidR="006658C5" w:rsidRPr="00D96B8F" w14:paraId="28631E9C" w14:textId="77777777" w:rsidTr="00B42CEF">
        <w:trPr>
          <w:jc w:val="center"/>
        </w:trPr>
        <w:tc>
          <w:tcPr>
            <w:tcW w:w="793" w:type="pct"/>
            <w:tcBorders>
              <w:top w:val="nil"/>
              <w:left w:val="nil"/>
              <w:bottom w:val="nil"/>
              <w:right w:val="nil"/>
            </w:tcBorders>
          </w:tcPr>
          <w:p w14:paraId="1D6A2403"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
        </w:tc>
        <w:tc>
          <w:tcPr>
            <w:tcW w:w="490" w:type="pct"/>
            <w:gridSpan w:val="3"/>
            <w:tcBorders>
              <w:top w:val="nil"/>
              <w:left w:val="nil"/>
              <w:bottom w:val="nil"/>
              <w:right w:val="nil"/>
            </w:tcBorders>
          </w:tcPr>
          <w:p w14:paraId="0BF44B47"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1" w:type="pct"/>
            <w:gridSpan w:val="2"/>
            <w:tcBorders>
              <w:top w:val="nil"/>
              <w:left w:val="nil"/>
              <w:bottom w:val="nil"/>
              <w:right w:val="nil"/>
            </w:tcBorders>
          </w:tcPr>
          <w:p w14:paraId="35F8A182"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nil"/>
              <w:left w:val="nil"/>
              <w:bottom w:val="nil"/>
              <w:right w:val="nil"/>
            </w:tcBorders>
          </w:tcPr>
          <w:p w14:paraId="1E58D357"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(0.020)</w:t>
            </w:r>
          </w:p>
        </w:tc>
        <w:tc>
          <w:tcPr>
            <w:tcW w:w="470" w:type="pct"/>
            <w:gridSpan w:val="2"/>
            <w:tcBorders>
              <w:top w:val="nil"/>
              <w:left w:val="nil"/>
              <w:bottom w:val="nil"/>
              <w:right w:val="nil"/>
            </w:tcBorders>
          </w:tcPr>
          <w:p w14:paraId="50B085A6"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7" w:type="pct"/>
            <w:gridSpan w:val="2"/>
            <w:tcBorders>
              <w:top w:val="nil"/>
              <w:left w:val="nil"/>
              <w:bottom w:val="nil"/>
              <w:right w:val="nil"/>
            </w:tcBorders>
          </w:tcPr>
          <w:p w14:paraId="1F04115D"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6" w:type="pct"/>
            <w:gridSpan w:val="2"/>
            <w:tcBorders>
              <w:top w:val="nil"/>
              <w:left w:val="nil"/>
              <w:bottom w:val="nil"/>
              <w:right w:val="nil"/>
            </w:tcBorders>
          </w:tcPr>
          <w:p w14:paraId="7A1AF160"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7" w:type="pct"/>
            <w:tcBorders>
              <w:top w:val="nil"/>
              <w:left w:val="nil"/>
              <w:bottom w:val="nil"/>
              <w:right w:val="nil"/>
            </w:tcBorders>
          </w:tcPr>
          <w:p w14:paraId="76AAF2D9"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(0.018)</w:t>
            </w:r>
          </w:p>
        </w:tc>
        <w:tc>
          <w:tcPr>
            <w:tcW w:w="576" w:type="pct"/>
            <w:tcBorders>
              <w:top w:val="nil"/>
              <w:left w:val="nil"/>
              <w:bottom w:val="nil"/>
              <w:right w:val="nil"/>
            </w:tcBorders>
          </w:tcPr>
          <w:p w14:paraId="17335C28"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r>
      <w:tr w:rsidR="006658C5" w:rsidRPr="00D96B8F" w14:paraId="46A0F4A1" w14:textId="77777777" w:rsidTr="00B42CEF">
        <w:trPr>
          <w:jc w:val="center"/>
        </w:trPr>
        <w:tc>
          <w:tcPr>
            <w:tcW w:w="793" w:type="pct"/>
            <w:tcBorders>
              <w:top w:val="nil"/>
              <w:left w:val="nil"/>
              <w:bottom w:val="nil"/>
              <w:right w:val="nil"/>
            </w:tcBorders>
          </w:tcPr>
          <w:p w14:paraId="7D9A035C"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roofErr w:type="spellStart"/>
            <w:r w:rsidRPr="00D96B8F">
              <w:rPr>
                <w:rFonts w:ascii="Times New Roman" w:hAnsi="Times New Roman" w:cs="Times New Roman"/>
                <w:sz w:val="16"/>
                <w:szCs w:val="16"/>
              </w:rPr>
              <w:t>VoteDir</w:t>
            </w:r>
            <w:proofErr w:type="spellEnd"/>
          </w:p>
        </w:tc>
        <w:tc>
          <w:tcPr>
            <w:tcW w:w="490" w:type="pct"/>
            <w:gridSpan w:val="3"/>
            <w:tcBorders>
              <w:top w:val="nil"/>
              <w:left w:val="nil"/>
              <w:bottom w:val="nil"/>
              <w:right w:val="nil"/>
            </w:tcBorders>
          </w:tcPr>
          <w:p w14:paraId="187FE592"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1" w:type="pct"/>
            <w:gridSpan w:val="2"/>
            <w:tcBorders>
              <w:top w:val="nil"/>
              <w:left w:val="nil"/>
              <w:bottom w:val="nil"/>
              <w:right w:val="nil"/>
            </w:tcBorders>
          </w:tcPr>
          <w:p w14:paraId="7D96E355"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nil"/>
              <w:left w:val="nil"/>
              <w:bottom w:val="nil"/>
              <w:right w:val="nil"/>
            </w:tcBorders>
          </w:tcPr>
          <w:p w14:paraId="209C3728"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nil"/>
              <w:left w:val="nil"/>
              <w:bottom w:val="nil"/>
              <w:right w:val="nil"/>
            </w:tcBorders>
          </w:tcPr>
          <w:p w14:paraId="23FCB600"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0.032</w:t>
            </w:r>
          </w:p>
        </w:tc>
        <w:tc>
          <w:tcPr>
            <w:tcW w:w="577" w:type="pct"/>
            <w:gridSpan w:val="2"/>
            <w:tcBorders>
              <w:top w:val="nil"/>
              <w:left w:val="nil"/>
              <w:bottom w:val="nil"/>
              <w:right w:val="nil"/>
            </w:tcBorders>
          </w:tcPr>
          <w:p w14:paraId="30DEE7E1"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6" w:type="pct"/>
            <w:gridSpan w:val="2"/>
            <w:tcBorders>
              <w:top w:val="nil"/>
              <w:left w:val="nil"/>
              <w:bottom w:val="nil"/>
              <w:right w:val="nil"/>
            </w:tcBorders>
          </w:tcPr>
          <w:p w14:paraId="72728052"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7" w:type="pct"/>
            <w:tcBorders>
              <w:top w:val="nil"/>
              <w:left w:val="nil"/>
              <w:bottom w:val="nil"/>
              <w:right w:val="nil"/>
            </w:tcBorders>
          </w:tcPr>
          <w:p w14:paraId="2DB1C4F9"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6" w:type="pct"/>
            <w:tcBorders>
              <w:top w:val="nil"/>
              <w:left w:val="nil"/>
              <w:bottom w:val="nil"/>
              <w:right w:val="nil"/>
            </w:tcBorders>
          </w:tcPr>
          <w:p w14:paraId="17DE4F9D"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-0.022</w:t>
            </w:r>
          </w:p>
        </w:tc>
      </w:tr>
      <w:tr w:rsidR="006658C5" w:rsidRPr="00D96B8F" w14:paraId="4CEE1626" w14:textId="77777777" w:rsidTr="00B42CEF">
        <w:trPr>
          <w:jc w:val="center"/>
        </w:trPr>
        <w:tc>
          <w:tcPr>
            <w:tcW w:w="793" w:type="pct"/>
            <w:tcBorders>
              <w:top w:val="nil"/>
              <w:left w:val="nil"/>
              <w:bottom w:val="nil"/>
              <w:right w:val="nil"/>
            </w:tcBorders>
          </w:tcPr>
          <w:p w14:paraId="27D59FFA"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
        </w:tc>
        <w:tc>
          <w:tcPr>
            <w:tcW w:w="490" w:type="pct"/>
            <w:gridSpan w:val="3"/>
            <w:tcBorders>
              <w:top w:val="nil"/>
              <w:left w:val="nil"/>
              <w:bottom w:val="nil"/>
              <w:right w:val="nil"/>
            </w:tcBorders>
          </w:tcPr>
          <w:p w14:paraId="49670B58"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1" w:type="pct"/>
            <w:gridSpan w:val="2"/>
            <w:tcBorders>
              <w:top w:val="nil"/>
              <w:left w:val="nil"/>
              <w:bottom w:val="nil"/>
              <w:right w:val="nil"/>
            </w:tcBorders>
          </w:tcPr>
          <w:p w14:paraId="112AFA6D"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nil"/>
              <w:left w:val="nil"/>
              <w:bottom w:val="nil"/>
              <w:right w:val="nil"/>
            </w:tcBorders>
          </w:tcPr>
          <w:p w14:paraId="38D5D7B4"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nil"/>
              <w:left w:val="nil"/>
              <w:bottom w:val="nil"/>
              <w:right w:val="nil"/>
            </w:tcBorders>
          </w:tcPr>
          <w:p w14:paraId="7EC0DF64"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(0.022)</w:t>
            </w:r>
          </w:p>
        </w:tc>
        <w:tc>
          <w:tcPr>
            <w:tcW w:w="577" w:type="pct"/>
            <w:gridSpan w:val="2"/>
            <w:tcBorders>
              <w:top w:val="nil"/>
              <w:left w:val="nil"/>
              <w:bottom w:val="nil"/>
              <w:right w:val="nil"/>
            </w:tcBorders>
          </w:tcPr>
          <w:p w14:paraId="4846F8B6"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6" w:type="pct"/>
            <w:gridSpan w:val="2"/>
            <w:tcBorders>
              <w:top w:val="nil"/>
              <w:left w:val="nil"/>
              <w:bottom w:val="nil"/>
              <w:right w:val="nil"/>
            </w:tcBorders>
          </w:tcPr>
          <w:p w14:paraId="65C041D8"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7" w:type="pct"/>
            <w:tcBorders>
              <w:top w:val="nil"/>
              <w:left w:val="nil"/>
              <w:bottom w:val="nil"/>
              <w:right w:val="nil"/>
            </w:tcBorders>
          </w:tcPr>
          <w:p w14:paraId="1BAAF29B"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6" w:type="pct"/>
            <w:tcBorders>
              <w:top w:val="nil"/>
              <w:left w:val="nil"/>
              <w:bottom w:val="nil"/>
              <w:right w:val="nil"/>
            </w:tcBorders>
          </w:tcPr>
          <w:p w14:paraId="0829F6CF"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(0.020)</w:t>
            </w:r>
          </w:p>
        </w:tc>
      </w:tr>
      <w:tr w:rsidR="006658C5" w:rsidRPr="00D96B8F" w14:paraId="7FC2371E" w14:textId="77777777" w:rsidTr="00B42CEF">
        <w:trPr>
          <w:jc w:val="center"/>
        </w:trPr>
        <w:tc>
          <w:tcPr>
            <w:tcW w:w="793" w:type="pct"/>
            <w:tcBorders>
              <w:top w:val="nil"/>
              <w:left w:val="nil"/>
              <w:bottom w:val="nil"/>
              <w:right w:val="nil"/>
            </w:tcBorders>
          </w:tcPr>
          <w:p w14:paraId="64D49D6C"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roofErr w:type="spellStart"/>
            <w:r w:rsidRPr="00D96B8F">
              <w:rPr>
                <w:rFonts w:ascii="Times New Roman" w:hAnsi="Times New Roman" w:cs="Times New Roman"/>
                <w:sz w:val="16"/>
                <w:szCs w:val="16"/>
              </w:rPr>
              <w:t>NumDir</w:t>
            </w:r>
            <w:proofErr w:type="spellEnd"/>
          </w:p>
        </w:tc>
        <w:tc>
          <w:tcPr>
            <w:tcW w:w="490" w:type="pct"/>
            <w:gridSpan w:val="3"/>
            <w:tcBorders>
              <w:top w:val="nil"/>
              <w:left w:val="nil"/>
              <w:bottom w:val="nil"/>
              <w:right w:val="nil"/>
            </w:tcBorders>
          </w:tcPr>
          <w:p w14:paraId="4BA82E79"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1" w:type="pct"/>
            <w:gridSpan w:val="2"/>
            <w:tcBorders>
              <w:top w:val="nil"/>
              <w:left w:val="nil"/>
              <w:bottom w:val="nil"/>
              <w:right w:val="nil"/>
            </w:tcBorders>
          </w:tcPr>
          <w:p w14:paraId="0E0BA390"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nil"/>
              <w:left w:val="nil"/>
              <w:bottom w:val="nil"/>
              <w:right w:val="nil"/>
            </w:tcBorders>
          </w:tcPr>
          <w:p w14:paraId="6F8E895A"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nil"/>
              <w:left w:val="nil"/>
              <w:bottom w:val="nil"/>
              <w:right w:val="nil"/>
            </w:tcBorders>
          </w:tcPr>
          <w:p w14:paraId="4A382AD2"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7" w:type="pct"/>
            <w:gridSpan w:val="2"/>
            <w:tcBorders>
              <w:top w:val="nil"/>
              <w:left w:val="nil"/>
              <w:bottom w:val="nil"/>
              <w:right w:val="nil"/>
            </w:tcBorders>
          </w:tcPr>
          <w:p w14:paraId="67CF8E22"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0.029***</w:t>
            </w:r>
          </w:p>
        </w:tc>
        <w:tc>
          <w:tcPr>
            <w:tcW w:w="576" w:type="pct"/>
            <w:gridSpan w:val="2"/>
            <w:tcBorders>
              <w:top w:val="nil"/>
              <w:left w:val="nil"/>
              <w:bottom w:val="nil"/>
              <w:right w:val="nil"/>
            </w:tcBorders>
          </w:tcPr>
          <w:p w14:paraId="208C9202"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0.030***</w:t>
            </w:r>
          </w:p>
        </w:tc>
        <w:tc>
          <w:tcPr>
            <w:tcW w:w="577" w:type="pct"/>
            <w:tcBorders>
              <w:top w:val="nil"/>
              <w:left w:val="nil"/>
              <w:bottom w:val="nil"/>
              <w:right w:val="nil"/>
            </w:tcBorders>
          </w:tcPr>
          <w:p w14:paraId="4BCA2088"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0.032***</w:t>
            </w:r>
          </w:p>
        </w:tc>
        <w:tc>
          <w:tcPr>
            <w:tcW w:w="576" w:type="pct"/>
            <w:tcBorders>
              <w:top w:val="nil"/>
              <w:left w:val="nil"/>
              <w:bottom w:val="nil"/>
              <w:right w:val="nil"/>
            </w:tcBorders>
          </w:tcPr>
          <w:p w14:paraId="244ED806"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0.033***</w:t>
            </w:r>
          </w:p>
        </w:tc>
      </w:tr>
      <w:tr w:rsidR="006658C5" w:rsidRPr="00D96B8F" w14:paraId="1E08D7D1" w14:textId="77777777" w:rsidTr="00B42CEF">
        <w:trPr>
          <w:jc w:val="center"/>
        </w:trPr>
        <w:tc>
          <w:tcPr>
            <w:tcW w:w="793" w:type="pct"/>
            <w:tcBorders>
              <w:top w:val="nil"/>
              <w:left w:val="nil"/>
              <w:bottom w:val="nil"/>
              <w:right w:val="nil"/>
            </w:tcBorders>
          </w:tcPr>
          <w:p w14:paraId="58C96B0A"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
        </w:tc>
        <w:tc>
          <w:tcPr>
            <w:tcW w:w="490" w:type="pct"/>
            <w:gridSpan w:val="3"/>
            <w:tcBorders>
              <w:top w:val="nil"/>
              <w:left w:val="nil"/>
              <w:bottom w:val="nil"/>
              <w:right w:val="nil"/>
            </w:tcBorders>
          </w:tcPr>
          <w:p w14:paraId="421C431D"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1" w:type="pct"/>
            <w:gridSpan w:val="2"/>
            <w:tcBorders>
              <w:top w:val="nil"/>
              <w:left w:val="nil"/>
              <w:bottom w:val="nil"/>
              <w:right w:val="nil"/>
            </w:tcBorders>
          </w:tcPr>
          <w:p w14:paraId="51477944"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nil"/>
              <w:left w:val="nil"/>
              <w:bottom w:val="nil"/>
              <w:right w:val="nil"/>
            </w:tcBorders>
          </w:tcPr>
          <w:p w14:paraId="3E03F55A"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nil"/>
              <w:left w:val="nil"/>
              <w:bottom w:val="nil"/>
              <w:right w:val="nil"/>
            </w:tcBorders>
          </w:tcPr>
          <w:p w14:paraId="38E85AC2"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7" w:type="pct"/>
            <w:gridSpan w:val="2"/>
            <w:tcBorders>
              <w:top w:val="nil"/>
              <w:left w:val="nil"/>
              <w:bottom w:val="nil"/>
              <w:right w:val="nil"/>
            </w:tcBorders>
          </w:tcPr>
          <w:p w14:paraId="44EE8EE1"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(0.010)</w:t>
            </w:r>
          </w:p>
        </w:tc>
        <w:tc>
          <w:tcPr>
            <w:tcW w:w="576" w:type="pct"/>
            <w:gridSpan w:val="2"/>
            <w:tcBorders>
              <w:top w:val="nil"/>
              <w:left w:val="nil"/>
              <w:bottom w:val="nil"/>
              <w:right w:val="nil"/>
            </w:tcBorders>
          </w:tcPr>
          <w:p w14:paraId="0EEC35BE"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(0.010)</w:t>
            </w:r>
          </w:p>
        </w:tc>
        <w:tc>
          <w:tcPr>
            <w:tcW w:w="577" w:type="pct"/>
            <w:tcBorders>
              <w:top w:val="nil"/>
              <w:left w:val="nil"/>
              <w:bottom w:val="nil"/>
              <w:right w:val="nil"/>
            </w:tcBorders>
          </w:tcPr>
          <w:p w14:paraId="16D671FF"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(0.010)</w:t>
            </w:r>
          </w:p>
        </w:tc>
        <w:tc>
          <w:tcPr>
            <w:tcW w:w="576" w:type="pct"/>
            <w:tcBorders>
              <w:top w:val="nil"/>
              <w:left w:val="nil"/>
              <w:bottom w:val="nil"/>
              <w:right w:val="nil"/>
            </w:tcBorders>
          </w:tcPr>
          <w:p w14:paraId="3BE0116A"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(0.010)</w:t>
            </w:r>
          </w:p>
        </w:tc>
      </w:tr>
      <w:tr w:rsidR="006658C5" w:rsidRPr="00D96B8F" w14:paraId="7AB31FE6" w14:textId="77777777" w:rsidTr="00B42CEF">
        <w:trPr>
          <w:jc w:val="center"/>
        </w:trPr>
        <w:tc>
          <w:tcPr>
            <w:tcW w:w="793" w:type="pct"/>
            <w:tcBorders>
              <w:top w:val="nil"/>
              <w:left w:val="nil"/>
              <w:bottom w:val="nil"/>
              <w:right w:val="nil"/>
            </w:tcBorders>
          </w:tcPr>
          <w:p w14:paraId="544C2B44"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r w:rsidRPr="00D96B8F">
              <w:rPr>
                <w:rFonts w:ascii="Times New Roman" w:hAnsi="Times New Roman" w:cs="Times New Roman"/>
                <w:sz w:val="16"/>
                <w:szCs w:val="16"/>
              </w:rPr>
              <w:t>ROA</w:t>
            </w:r>
          </w:p>
        </w:tc>
        <w:tc>
          <w:tcPr>
            <w:tcW w:w="490" w:type="pct"/>
            <w:gridSpan w:val="3"/>
            <w:tcBorders>
              <w:top w:val="nil"/>
              <w:left w:val="nil"/>
              <w:bottom w:val="nil"/>
              <w:right w:val="nil"/>
            </w:tcBorders>
          </w:tcPr>
          <w:p w14:paraId="0924AE57"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1" w:type="pct"/>
            <w:gridSpan w:val="2"/>
            <w:tcBorders>
              <w:top w:val="nil"/>
              <w:left w:val="nil"/>
              <w:bottom w:val="nil"/>
              <w:right w:val="nil"/>
            </w:tcBorders>
          </w:tcPr>
          <w:p w14:paraId="5F4102E4"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nil"/>
              <w:left w:val="nil"/>
              <w:bottom w:val="nil"/>
              <w:right w:val="nil"/>
            </w:tcBorders>
          </w:tcPr>
          <w:p w14:paraId="5C18C303"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nil"/>
              <w:left w:val="nil"/>
              <w:bottom w:val="nil"/>
              <w:right w:val="nil"/>
            </w:tcBorders>
          </w:tcPr>
          <w:p w14:paraId="3CFE304B"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7" w:type="pct"/>
            <w:gridSpan w:val="2"/>
            <w:tcBorders>
              <w:top w:val="nil"/>
              <w:left w:val="nil"/>
              <w:bottom w:val="nil"/>
              <w:right w:val="nil"/>
            </w:tcBorders>
          </w:tcPr>
          <w:p w14:paraId="7E8F7DCA"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4.003***</w:t>
            </w:r>
          </w:p>
        </w:tc>
        <w:tc>
          <w:tcPr>
            <w:tcW w:w="576" w:type="pct"/>
            <w:gridSpan w:val="2"/>
            <w:tcBorders>
              <w:top w:val="nil"/>
              <w:left w:val="nil"/>
              <w:bottom w:val="nil"/>
              <w:right w:val="nil"/>
            </w:tcBorders>
          </w:tcPr>
          <w:p w14:paraId="61D9B8B3"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4.010***</w:t>
            </w:r>
          </w:p>
        </w:tc>
        <w:tc>
          <w:tcPr>
            <w:tcW w:w="577" w:type="pct"/>
            <w:tcBorders>
              <w:top w:val="nil"/>
              <w:left w:val="nil"/>
              <w:bottom w:val="nil"/>
              <w:right w:val="nil"/>
            </w:tcBorders>
          </w:tcPr>
          <w:p w14:paraId="788F90B4"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3.974***</w:t>
            </w:r>
          </w:p>
        </w:tc>
        <w:tc>
          <w:tcPr>
            <w:tcW w:w="576" w:type="pct"/>
            <w:tcBorders>
              <w:top w:val="nil"/>
              <w:left w:val="nil"/>
              <w:bottom w:val="nil"/>
              <w:right w:val="nil"/>
            </w:tcBorders>
          </w:tcPr>
          <w:p w14:paraId="36AF35E3"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4.038***</w:t>
            </w:r>
          </w:p>
        </w:tc>
      </w:tr>
      <w:tr w:rsidR="006658C5" w:rsidRPr="00D96B8F" w14:paraId="48BCF3E1" w14:textId="77777777" w:rsidTr="00B42CEF">
        <w:trPr>
          <w:jc w:val="center"/>
        </w:trPr>
        <w:tc>
          <w:tcPr>
            <w:tcW w:w="793" w:type="pct"/>
            <w:tcBorders>
              <w:top w:val="nil"/>
              <w:left w:val="nil"/>
              <w:bottom w:val="nil"/>
              <w:right w:val="nil"/>
            </w:tcBorders>
          </w:tcPr>
          <w:p w14:paraId="44DBC3F9"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
        </w:tc>
        <w:tc>
          <w:tcPr>
            <w:tcW w:w="490" w:type="pct"/>
            <w:gridSpan w:val="3"/>
            <w:tcBorders>
              <w:top w:val="nil"/>
              <w:left w:val="nil"/>
              <w:bottom w:val="nil"/>
              <w:right w:val="nil"/>
            </w:tcBorders>
          </w:tcPr>
          <w:p w14:paraId="3DFA063E"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1" w:type="pct"/>
            <w:gridSpan w:val="2"/>
            <w:tcBorders>
              <w:top w:val="nil"/>
              <w:left w:val="nil"/>
              <w:bottom w:val="nil"/>
              <w:right w:val="nil"/>
            </w:tcBorders>
          </w:tcPr>
          <w:p w14:paraId="3BCE49BF"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nil"/>
              <w:left w:val="nil"/>
              <w:bottom w:val="nil"/>
              <w:right w:val="nil"/>
            </w:tcBorders>
          </w:tcPr>
          <w:p w14:paraId="73EFFA54"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nil"/>
              <w:left w:val="nil"/>
              <w:bottom w:val="nil"/>
              <w:right w:val="nil"/>
            </w:tcBorders>
          </w:tcPr>
          <w:p w14:paraId="58634F77"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7" w:type="pct"/>
            <w:gridSpan w:val="2"/>
            <w:tcBorders>
              <w:top w:val="nil"/>
              <w:left w:val="nil"/>
              <w:bottom w:val="nil"/>
              <w:right w:val="nil"/>
            </w:tcBorders>
          </w:tcPr>
          <w:p w14:paraId="74EC7818"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(0.678)</w:t>
            </w:r>
          </w:p>
        </w:tc>
        <w:tc>
          <w:tcPr>
            <w:tcW w:w="576" w:type="pct"/>
            <w:gridSpan w:val="2"/>
            <w:tcBorders>
              <w:top w:val="nil"/>
              <w:left w:val="nil"/>
              <w:bottom w:val="nil"/>
              <w:right w:val="nil"/>
            </w:tcBorders>
          </w:tcPr>
          <w:p w14:paraId="2EC83831"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(0.681)</w:t>
            </w:r>
          </w:p>
        </w:tc>
        <w:tc>
          <w:tcPr>
            <w:tcW w:w="577" w:type="pct"/>
            <w:tcBorders>
              <w:top w:val="nil"/>
              <w:left w:val="nil"/>
              <w:bottom w:val="nil"/>
              <w:right w:val="nil"/>
            </w:tcBorders>
          </w:tcPr>
          <w:p w14:paraId="522072DC"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(0.696)</w:t>
            </w:r>
          </w:p>
        </w:tc>
        <w:tc>
          <w:tcPr>
            <w:tcW w:w="576" w:type="pct"/>
            <w:tcBorders>
              <w:top w:val="nil"/>
              <w:left w:val="nil"/>
              <w:bottom w:val="nil"/>
              <w:right w:val="nil"/>
            </w:tcBorders>
          </w:tcPr>
          <w:p w14:paraId="41E35191"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(0.698)</w:t>
            </w:r>
          </w:p>
        </w:tc>
      </w:tr>
      <w:tr w:rsidR="006658C5" w:rsidRPr="00D96B8F" w14:paraId="715A3523" w14:textId="77777777" w:rsidTr="00B42CEF">
        <w:trPr>
          <w:jc w:val="center"/>
        </w:trPr>
        <w:tc>
          <w:tcPr>
            <w:tcW w:w="793" w:type="pct"/>
            <w:tcBorders>
              <w:top w:val="nil"/>
              <w:left w:val="nil"/>
              <w:bottom w:val="nil"/>
              <w:right w:val="nil"/>
            </w:tcBorders>
          </w:tcPr>
          <w:p w14:paraId="13E4CE2A"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roofErr w:type="spellStart"/>
            <w:r w:rsidRPr="00D96B8F">
              <w:rPr>
                <w:rFonts w:ascii="Times New Roman" w:hAnsi="Times New Roman" w:cs="Times New Roman"/>
                <w:sz w:val="16"/>
                <w:szCs w:val="16"/>
              </w:rPr>
              <w:t>EstDate</w:t>
            </w:r>
            <w:proofErr w:type="spellEnd"/>
          </w:p>
        </w:tc>
        <w:tc>
          <w:tcPr>
            <w:tcW w:w="490" w:type="pct"/>
            <w:gridSpan w:val="3"/>
            <w:tcBorders>
              <w:top w:val="nil"/>
              <w:left w:val="nil"/>
              <w:bottom w:val="nil"/>
              <w:right w:val="nil"/>
            </w:tcBorders>
          </w:tcPr>
          <w:p w14:paraId="4BC5E96A"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1" w:type="pct"/>
            <w:gridSpan w:val="2"/>
            <w:tcBorders>
              <w:top w:val="nil"/>
              <w:left w:val="nil"/>
              <w:bottom w:val="nil"/>
              <w:right w:val="nil"/>
            </w:tcBorders>
          </w:tcPr>
          <w:p w14:paraId="02985E47"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nil"/>
              <w:left w:val="nil"/>
              <w:bottom w:val="nil"/>
              <w:right w:val="nil"/>
            </w:tcBorders>
          </w:tcPr>
          <w:p w14:paraId="2A658A4F"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nil"/>
              <w:left w:val="nil"/>
              <w:bottom w:val="nil"/>
              <w:right w:val="nil"/>
            </w:tcBorders>
          </w:tcPr>
          <w:p w14:paraId="1477BB3E"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7" w:type="pct"/>
            <w:gridSpan w:val="2"/>
            <w:tcBorders>
              <w:top w:val="nil"/>
              <w:left w:val="nil"/>
              <w:bottom w:val="nil"/>
              <w:right w:val="nil"/>
            </w:tcBorders>
          </w:tcPr>
          <w:p w14:paraId="5056E907"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-0.001</w:t>
            </w:r>
          </w:p>
        </w:tc>
        <w:tc>
          <w:tcPr>
            <w:tcW w:w="576" w:type="pct"/>
            <w:gridSpan w:val="2"/>
            <w:tcBorders>
              <w:top w:val="nil"/>
              <w:left w:val="nil"/>
              <w:bottom w:val="nil"/>
              <w:right w:val="nil"/>
            </w:tcBorders>
          </w:tcPr>
          <w:p w14:paraId="31369187"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-0.001</w:t>
            </w:r>
          </w:p>
        </w:tc>
        <w:tc>
          <w:tcPr>
            <w:tcW w:w="577" w:type="pct"/>
            <w:tcBorders>
              <w:top w:val="nil"/>
              <w:left w:val="nil"/>
              <w:bottom w:val="nil"/>
              <w:right w:val="nil"/>
            </w:tcBorders>
          </w:tcPr>
          <w:p w14:paraId="1579B5AC"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-0.001</w:t>
            </w:r>
          </w:p>
        </w:tc>
        <w:tc>
          <w:tcPr>
            <w:tcW w:w="576" w:type="pct"/>
            <w:tcBorders>
              <w:top w:val="nil"/>
              <w:left w:val="nil"/>
              <w:bottom w:val="nil"/>
              <w:right w:val="nil"/>
            </w:tcBorders>
          </w:tcPr>
          <w:p w14:paraId="793B41DA"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-0.001</w:t>
            </w:r>
          </w:p>
        </w:tc>
      </w:tr>
      <w:tr w:rsidR="006658C5" w:rsidRPr="00D96B8F" w14:paraId="31C739D7" w14:textId="77777777" w:rsidTr="00B42CEF">
        <w:trPr>
          <w:jc w:val="center"/>
        </w:trPr>
        <w:tc>
          <w:tcPr>
            <w:tcW w:w="793" w:type="pct"/>
            <w:tcBorders>
              <w:top w:val="nil"/>
              <w:left w:val="nil"/>
              <w:bottom w:val="nil"/>
              <w:right w:val="nil"/>
            </w:tcBorders>
          </w:tcPr>
          <w:p w14:paraId="2CB583F7"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
        </w:tc>
        <w:tc>
          <w:tcPr>
            <w:tcW w:w="490" w:type="pct"/>
            <w:gridSpan w:val="3"/>
            <w:tcBorders>
              <w:top w:val="nil"/>
              <w:left w:val="nil"/>
              <w:bottom w:val="nil"/>
              <w:right w:val="nil"/>
            </w:tcBorders>
          </w:tcPr>
          <w:p w14:paraId="4A946522"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1" w:type="pct"/>
            <w:gridSpan w:val="2"/>
            <w:tcBorders>
              <w:top w:val="nil"/>
              <w:left w:val="nil"/>
              <w:bottom w:val="nil"/>
              <w:right w:val="nil"/>
            </w:tcBorders>
          </w:tcPr>
          <w:p w14:paraId="39F8B15A"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nil"/>
              <w:left w:val="nil"/>
              <w:bottom w:val="nil"/>
              <w:right w:val="nil"/>
            </w:tcBorders>
          </w:tcPr>
          <w:p w14:paraId="14B8A808"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nil"/>
              <w:left w:val="nil"/>
              <w:bottom w:val="nil"/>
              <w:right w:val="nil"/>
            </w:tcBorders>
          </w:tcPr>
          <w:p w14:paraId="0B1308AF"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7" w:type="pct"/>
            <w:gridSpan w:val="2"/>
            <w:tcBorders>
              <w:top w:val="nil"/>
              <w:left w:val="nil"/>
              <w:bottom w:val="nil"/>
              <w:right w:val="nil"/>
            </w:tcBorders>
          </w:tcPr>
          <w:p w14:paraId="7440E9E1"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(0.001)</w:t>
            </w:r>
          </w:p>
        </w:tc>
        <w:tc>
          <w:tcPr>
            <w:tcW w:w="576" w:type="pct"/>
            <w:gridSpan w:val="2"/>
            <w:tcBorders>
              <w:top w:val="nil"/>
              <w:left w:val="nil"/>
              <w:bottom w:val="nil"/>
              <w:right w:val="nil"/>
            </w:tcBorders>
          </w:tcPr>
          <w:p w14:paraId="79594170"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(0.001)</w:t>
            </w:r>
          </w:p>
        </w:tc>
        <w:tc>
          <w:tcPr>
            <w:tcW w:w="577" w:type="pct"/>
            <w:tcBorders>
              <w:top w:val="nil"/>
              <w:left w:val="nil"/>
              <w:bottom w:val="nil"/>
              <w:right w:val="nil"/>
            </w:tcBorders>
          </w:tcPr>
          <w:p w14:paraId="70306AAF"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(0.001)</w:t>
            </w:r>
          </w:p>
        </w:tc>
        <w:tc>
          <w:tcPr>
            <w:tcW w:w="576" w:type="pct"/>
            <w:tcBorders>
              <w:top w:val="nil"/>
              <w:left w:val="nil"/>
              <w:bottom w:val="nil"/>
              <w:right w:val="nil"/>
            </w:tcBorders>
          </w:tcPr>
          <w:p w14:paraId="0C79A54D"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(0.001)</w:t>
            </w:r>
          </w:p>
        </w:tc>
      </w:tr>
      <w:tr w:rsidR="006658C5" w:rsidRPr="00D96B8F" w14:paraId="6B7DAA23" w14:textId="77777777" w:rsidTr="00B42CEF">
        <w:trPr>
          <w:jc w:val="center"/>
        </w:trPr>
        <w:tc>
          <w:tcPr>
            <w:tcW w:w="793" w:type="pct"/>
            <w:tcBorders>
              <w:top w:val="nil"/>
              <w:left w:val="nil"/>
              <w:bottom w:val="nil"/>
              <w:right w:val="nil"/>
            </w:tcBorders>
          </w:tcPr>
          <w:p w14:paraId="4302AFCB"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r w:rsidRPr="00D96B8F">
              <w:rPr>
                <w:rFonts w:ascii="Times New Roman" w:hAnsi="Times New Roman" w:cs="Times New Roman"/>
                <w:sz w:val="16"/>
                <w:szCs w:val="16"/>
              </w:rPr>
              <w:t>Size</w:t>
            </w:r>
          </w:p>
        </w:tc>
        <w:tc>
          <w:tcPr>
            <w:tcW w:w="490" w:type="pct"/>
            <w:gridSpan w:val="3"/>
            <w:tcBorders>
              <w:top w:val="nil"/>
              <w:left w:val="nil"/>
              <w:bottom w:val="nil"/>
              <w:right w:val="nil"/>
            </w:tcBorders>
          </w:tcPr>
          <w:p w14:paraId="591ECB8C"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1" w:type="pct"/>
            <w:gridSpan w:val="2"/>
            <w:tcBorders>
              <w:top w:val="nil"/>
              <w:left w:val="nil"/>
              <w:bottom w:val="nil"/>
              <w:right w:val="nil"/>
            </w:tcBorders>
          </w:tcPr>
          <w:p w14:paraId="0D739AAC"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nil"/>
              <w:left w:val="nil"/>
              <w:bottom w:val="nil"/>
              <w:right w:val="nil"/>
            </w:tcBorders>
          </w:tcPr>
          <w:p w14:paraId="27015FAC"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nil"/>
              <w:left w:val="nil"/>
              <w:bottom w:val="nil"/>
              <w:right w:val="nil"/>
            </w:tcBorders>
          </w:tcPr>
          <w:p w14:paraId="7AC0233F"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7" w:type="pct"/>
            <w:gridSpan w:val="2"/>
            <w:tcBorders>
              <w:top w:val="nil"/>
              <w:left w:val="nil"/>
              <w:bottom w:val="nil"/>
              <w:right w:val="nil"/>
            </w:tcBorders>
          </w:tcPr>
          <w:p w14:paraId="381518F4"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-0.033</w:t>
            </w:r>
          </w:p>
        </w:tc>
        <w:tc>
          <w:tcPr>
            <w:tcW w:w="576" w:type="pct"/>
            <w:gridSpan w:val="2"/>
            <w:tcBorders>
              <w:top w:val="nil"/>
              <w:left w:val="nil"/>
              <w:bottom w:val="nil"/>
              <w:right w:val="nil"/>
            </w:tcBorders>
          </w:tcPr>
          <w:p w14:paraId="1C6B263B"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-0.034</w:t>
            </w:r>
          </w:p>
        </w:tc>
        <w:tc>
          <w:tcPr>
            <w:tcW w:w="577" w:type="pct"/>
            <w:tcBorders>
              <w:top w:val="nil"/>
              <w:left w:val="nil"/>
              <w:bottom w:val="nil"/>
              <w:right w:val="nil"/>
            </w:tcBorders>
          </w:tcPr>
          <w:p w14:paraId="55A653E3"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-0.033</w:t>
            </w:r>
          </w:p>
        </w:tc>
        <w:tc>
          <w:tcPr>
            <w:tcW w:w="576" w:type="pct"/>
            <w:tcBorders>
              <w:top w:val="nil"/>
              <w:left w:val="nil"/>
              <w:bottom w:val="nil"/>
              <w:right w:val="nil"/>
            </w:tcBorders>
          </w:tcPr>
          <w:p w14:paraId="68ED1CFB"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-0.032</w:t>
            </w:r>
          </w:p>
        </w:tc>
      </w:tr>
      <w:tr w:rsidR="006658C5" w:rsidRPr="00D96B8F" w14:paraId="2594546C" w14:textId="77777777" w:rsidTr="00B42CEF">
        <w:trPr>
          <w:jc w:val="center"/>
        </w:trPr>
        <w:tc>
          <w:tcPr>
            <w:tcW w:w="793" w:type="pct"/>
            <w:tcBorders>
              <w:top w:val="nil"/>
              <w:left w:val="nil"/>
              <w:bottom w:val="nil"/>
              <w:right w:val="nil"/>
            </w:tcBorders>
          </w:tcPr>
          <w:p w14:paraId="4EF50291"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
        </w:tc>
        <w:tc>
          <w:tcPr>
            <w:tcW w:w="490" w:type="pct"/>
            <w:gridSpan w:val="3"/>
            <w:tcBorders>
              <w:top w:val="nil"/>
              <w:left w:val="nil"/>
              <w:bottom w:val="nil"/>
              <w:right w:val="nil"/>
            </w:tcBorders>
          </w:tcPr>
          <w:p w14:paraId="28704646"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1" w:type="pct"/>
            <w:gridSpan w:val="2"/>
            <w:tcBorders>
              <w:top w:val="nil"/>
              <w:left w:val="nil"/>
              <w:bottom w:val="nil"/>
              <w:right w:val="nil"/>
            </w:tcBorders>
          </w:tcPr>
          <w:p w14:paraId="7644BDD9"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nil"/>
              <w:left w:val="nil"/>
              <w:bottom w:val="nil"/>
              <w:right w:val="nil"/>
            </w:tcBorders>
          </w:tcPr>
          <w:p w14:paraId="4634268B"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nil"/>
              <w:left w:val="nil"/>
              <w:bottom w:val="nil"/>
              <w:right w:val="nil"/>
            </w:tcBorders>
          </w:tcPr>
          <w:p w14:paraId="59B76DF3"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7" w:type="pct"/>
            <w:gridSpan w:val="2"/>
            <w:tcBorders>
              <w:top w:val="nil"/>
              <w:left w:val="nil"/>
              <w:bottom w:val="nil"/>
              <w:right w:val="nil"/>
            </w:tcBorders>
          </w:tcPr>
          <w:p w14:paraId="6D01D9BE"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(0.024)</w:t>
            </w:r>
          </w:p>
        </w:tc>
        <w:tc>
          <w:tcPr>
            <w:tcW w:w="576" w:type="pct"/>
            <w:gridSpan w:val="2"/>
            <w:tcBorders>
              <w:top w:val="nil"/>
              <w:left w:val="nil"/>
              <w:bottom w:val="nil"/>
              <w:right w:val="nil"/>
            </w:tcBorders>
          </w:tcPr>
          <w:p w14:paraId="7B0B3F63"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(0.024)</w:t>
            </w:r>
          </w:p>
        </w:tc>
        <w:tc>
          <w:tcPr>
            <w:tcW w:w="577" w:type="pct"/>
            <w:tcBorders>
              <w:top w:val="nil"/>
              <w:left w:val="nil"/>
              <w:bottom w:val="nil"/>
              <w:right w:val="nil"/>
            </w:tcBorders>
          </w:tcPr>
          <w:p w14:paraId="798BB26C"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(0.024)</w:t>
            </w:r>
          </w:p>
        </w:tc>
        <w:tc>
          <w:tcPr>
            <w:tcW w:w="576" w:type="pct"/>
            <w:tcBorders>
              <w:top w:val="nil"/>
              <w:left w:val="nil"/>
              <w:bottom w:val="nil"/>
              <w:right w:val="nil"/>
            </w:tcBorders>
          </w:tcPr>
          <w:p w14:paraId="7F48C401"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(0.024)</w:t>
            </w:r>
          </w:p>
        </w:tc>
      </w:tr>
      <w:tr w:rsidR="006658C5" w:rsidRPr="00D96B8F" w14:paraId="160A1D70" w14:textId="77777777" w:rsidTr="00B42CEF">
        <w:trPr>
          <w:jc w:val="center"/>
        </w:trPr>
        <w:tc>
          <w:tcPr>
            <w:tcW w:w="793" w:type="pct"/>
            <w:tcBorders>
              <w:top w:val="nil"/>
              <w:left w:val="nil"/>
              <w:bottom w:val="nil"/>
              <w:right w:val="nil"/>
            </w:tcBorders>
          </w:tcPr>
          <w:p w14:paraId="46778907"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roofErr w:type="spellStart"/>
            <w:r w:rsidRPr="00D96B8F">
              <w:rPr>
                <w:rFonts w:ascii="Times New Roman" w:hAnsi="Times New Roman" w:cs="Times New Roman"/>
                <w:sz w:val="16"/>
                <w:szCs w:val="16"/>
              </w:rPr>
              <w:t>DirectorQual</w:t>
            </w:r>
            <w:proofErr w:type="spellEnd"/>
          </w:p>
        </w:tc>
        <w:tc>
          <w:tcPr>
            <w:tcW w:w="490" w:type="pct"/>
            <w:gridSpan w:val="3"/>
            <w:tcBorders>
              <w:top w:val="nil"/>
              <w:left w:val="nil"/>
              <w:bottom w:val="nil"/>
              <w:right w:val="nil"/>
            </w:tcBorders>
          </w:tcPr>
          <w:p w14:paraId="72D0AA8E"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1" w:type="pct"/>
            <w:gridSpan w:val="2"/>
            <w:tcBorders>
              <w:top w:val="nil"/>
              <w:left w:val="nil"/>
              <w:bottom w:val="nil"/>
              <w:right w:val="nil"/>
            </w:tcBorders>
          </w:tcPr>
          <w:p w14:paraId="4A2C01B2"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nil"/>
              <w:left w:val="nil"/>
              <w:bottom w:val="nil"/>
              <w:right w:val="nil"/>
            </w:tcBorders>
          </w:tcPr>
          <w:p w14:paraId="1549EA1A"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nil"/>
              <w:left w:val="nil"/>
              <w:bottom w:val="nil"/>
              <w:right w:val="nil"/>
            </w:tcBorders>
          </w:tcPr>
          <w:p w14:paraId="4FA69227"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7" w:type="pct"/>
            <w:gridSpan w:val="2"/>
            <w:tcBorders>
              <w:top w:val="nil"/>
              <w:left w:val="nil"/>
              <w:bottom w:val="nil"/>
              <w:right w:val="nil"/>
            </w:tcBorders>
          </w:tcPr>
          <w:p w14:paraId="4441D08A"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0.085</w:t>
            </w:r>
          </w:p>
        </w:tc>
        <w:tc>
          <w:tcPr>
            <w:tcW w:w="576" w:type="pct"/>
            <w:gridSpan w:val="2"/>
            <w:tcBorders>
              <w:top w:val="nil"/>
              <w:left w:val="nil"/>
              <w:bottom w:val="nil"/>
              <w:right w:val="nil"/>
            </w:tcBorders>
          </w:tcPr>
          <w:p w14:paraId="2BEA06F7"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0.082</w:t>
            </w:r>
          </w:p>
        </w:tc>
        <w:tc>
          <w:tcPr>
            <w:tcW w:w="577" w:type="pct"/>
            <w:tcBorders>
              <w:top w:val="nil"/>
              <w:left w:val="nil"/>
              <w:bottom w:val="nil"/>
              <w:right w:val="nil"/>
            </w:tcBorders>
          </w:tcPr>
          <w:p w14:paraId="4C19FA7C"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0.074</w:t>
            </w:r>
          </w:p>
        </w:tc>
        <w:tc>
          <w:tcPr>
            <w:tcW w:w="576" w:type="pct"/>
            <w:tcBorders>
              <w:top w:val="nil"/>
              <w:left w:val="nil"/>
              <w:bottom w:val="nil"/>
              <w:right w:val="nil"/>
            </w:tcBorders>
          </w:tcPr>
          <w:p w14:paraId="1BAB4F33"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0.086</w:t>
            </w:r>
          </w:p>
        </w:tc>
      </w:tr>
      <w:tr w:rsidR="006658C5" w:rsidRPr="00D96B8F" w14:paraId="50131F7C" w14:textId="77777777" w:rsidTr="00B42CEF">
        <w:trPr>
          <w:jc w:val="center"/>
        </w:trPr>
        <w:tc>
          <w:tcPr>
            <w:tcW w:w="793" w:type="pct"/>
            <w:tcBorders>
              <w:top w:val="nil"/>
              <w:left w:val="nil"/>
              <w:bottom w:val="nil"/>
              <w:right w:val="nil"/>
            </w:tcBorders>
          </w:tcPr>
          <w:p w14:paraId="1D181739"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
        </w:tc>
        <w:tc>
          <w:tcPr>
            <w:tcW w:w="490" w:type="pct"/>
            <w:gridSpan w:val="3"/>
            <w:tcBorders>
              <w:top w:val="nil"/>
              <w:left w:val="nil"/>
              <w:bottom w:val="nil"/>
              <w:right w:val="nil"/>
            </w:tcBorders>
          </w:tcPr>
          <w:p w14:paraId="403FAEC3"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1" w:type="pct"/>
            <w:gridSpan w:val="2"/>
            <w:tcBorders>
              <w:top w:val="nil"/>
              <w:left w:val="nil"/>
              <w:bottom w:val="nil"/>
              <w:right w:val="nil"/>
            </w:tcBorders>
          </w:tcPr>
          <w:p w14:paraId="66204C80"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nil"/>
              <w:left w:val="nil"/>
              <w:bottom w:val="nil"/>
              <w:right w:val="nil"/>
            </w:tcBorders>
          </w:tcPr>
          <w:p w14:paraId="0023A64B"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nil"/>
              <w:left w:val="nil"/>
              <w:bottom w:val="nil"/>
              <w:right w:val="nil"/>
            </w:tcBorders>
          </w:tcPr>
          <w:p w14:paraId="72AF2BE9"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7" w:type="pct"/>
            <w:gridSpan w:val="2"/>
            <w:tcBorders>
              <w:top w:val="nil"/>
              <w:left w:val="nil"/>
              <w:bottom w:val="nil"/>
              <w:right w:val="nil"/>
            </w:tcBorders>
          </w:tcPr>
          <w:p w14:paraId="45349157"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(0.065)</w:t>
            </w:r>
          </w:p>
        </w:tc>
        <w:tc>
          <w:tcPr>
            <w:tcW w:w="576" w:type="pct"/>
            <w:gridSpan w:val="2"/>
            <w:tcBorders>
              <w:top w:val="nil"/>
              <w:left w:val="nil"/>
              <w:bottom w:val="nil"/>
              <w:right w:val="nil"/>
            </w:tcBorders>
          </w:tcPr>
          <w:p w14:paraId="0CB89CE3"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(0.065)</w:t>
            </w:r>
          </w:p>
        </w:tc>
        <w:tc>
          <w:tcPr>
            <w:tcW w:w="577" w:type="pct"/>
            <w:tcBorders>
              <w:top w:val="nil"/>
              <w:left w:val="nil"/>
              <w:bottom w:val="nil"/>
              <w:right w:val="nil"/>
            </w:tcBorders>
          </w:tcPr>
          <w:p w14:paraId="2167619F"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(0.065)</w:t>
            </w:r>
          </w:p>
        </w:tc>
        <w:tc>
          <w:tcPr>
            <w:tcW w:w="576" w:type="pct"/>
            <w:tcBorders>
              <w:top w:val="nil"/>
              <w:left w:val="nil"/>
              <w:bottom w:val="nil"/>
              <w:right w:val="nil"/>
            </w:tcBorders>
          </w:tcPr>
          <w:p w14:paraId="1618CA3C"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(0.067)</w:t>
            </w:r>
          </w:p>
        </w:tc>
      </w:tr>
      <w:tr w:rsidR="006658C5" w:rsidRPr="00D96B8F" w14:paraId="3CEB8FC6" w14:textId="77777777" w:rsidTr="00B42CEF">
        <w:trPr>
          <w:jc w:val="center"/>
        </w:trPr>
        <w:tc>
          <w:tcPr>
            <w:tcW w:w="793" w:type="pct"/>
            <w:tcBorders>
              <w:top w:val="nil"/>
              <w:left w:val="nil"/>
              <w:bottom w:val="nil"/>
              <w:right w:val="nil"/>
            </w:tcBorders>
          </w:tcPr>
          <w:p w14:paraId="08ABC106"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roofErr w:type="spellStart"/>
            <w:r w:rsidRPr="00D96B8F">
              <w:rPr>
                <w:rFonts w:ascii="Times New Roman" w:hAnsi="Times New Roman" w:cs="Times New Roman"/>
                <w:sz w:val="16"/>
                <w:szCs w:val="16"/>
              </w:rPr>
              <w:t>HeadLondon</w:t>
            </w:r>
            <w:proofErr w:type="spellEnd"/>
          </w:p>
        </w:tc>
        <w:tc>
          <w:tcPr>
            <w:tcW w:w="490" w:type="pct"/>
            <w:gridSpan w:val="3"/>
            <w:tcBorders>
              <w:top w:val="nil"/>
              <w:left w:val="nil"/>
              <w:bottom w:val="nil"/>
              <w:right w:val="nil"/>
            </w:tcBorders>
          </w:tcPr>
          <w:p w14:paraId="4018C903"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1" w:type="pct"/>
            <w:gridSpan w:val="2"/>
            <w:tcBorders>
              <w:top w:val="nil"/>
              <w:left w:val="nil"/>
              <w:bottom w:val="nil"/>
              <w:right w:val="nil"/>
            </w:tcBorders>
          </w:tcPr>
          <w:p w14:paraId="11E45D05"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nil"/>
              <w:left w:val="nil"/>
              <w:bottom w:val="nil"/>
              <w:right w:val="nil"/>
            </w:tcBorders>
          </w:tcPr>
          <w:p w14:paraId="00D155FF"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nil"/>
              <w:left w:val="nil"/>
              <w:bottom w:val="nil"/>
              <w:right w:val="nil"/>
            </w:tcBorders>
          </w:tcPr>
          <w:p w14:paraId="79DCCE8E"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7" w:type="pct"/>
            <w:gridSpan w:val="2"/>
            <w:tcBorders>
              <w:top w:val="nil"/>
              <w:left w:val="nil"/>
              <w:bottom w:val="nil"/>
              <w:right w:val="nil"/>
            </w:tcBorders>
          </w:tcPr>
          <w:p w14:paraId="26ED2343"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-0.006</w:t>
            </w:r>
          </w:p>
        </w:tc>
        <w:tc>
          <w:tcPr>
            <w:tcW w:w="576" w:type="pct"/>
            <w:gridSpan w:val="2"/>
            <w:tcBorders>
              <w:top w:val="nil"/>
              <w:left w:val="nil"/>
              <w:bottom w:val="nil"/>
              <w:right w:val="nil"/>
            </w:tcBorders>
          </w:tcPr>
          <w:p w14:paraId="726E8226"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-0.006</w:t>
            </w:r>
          </w:p>
        </w:tc>
        <w:tc>
          <w:tcPr>
            <w:tcW w:w="577" w:type="pct"/>
            <w:tcBorders>
              <w:top w:val="nil"/>
              <w:left w:val="nil"/>
              <w:bottom w:val="nil"/>
              <w:right w:val="nil"/>
            </w:tcBorders>
          </w:tcPr>
          <w:p w14:paraId="1483F095"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-0.008</w:t>
            </w:r>
          </w:p>
        </w:tc>
        <w:tc>
          <w:tcPr>
            <w:tcW w:w="576" w:type="pct"/>
            <w:tcBorders>
              <w:top w:val="nil"/>
              <w:left w:val="nil"/>
              <w:bottom w:val="nil"/>
              <w:right w:val="nil"/>
            </w:tcBorders>
          </w:tcPr>
          <w:p w14:paraId="24B13283"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-0.012</w:t>
            </w:r>
          </w:p>
        </w:tc>
      </w:tr>
      <w:tr w:rsidR="006658C5" w:rsidRPr="00D96B8F" w14:paraId="21AA142E" w14:textId="77777777" w:rsidTr="00B42CEF">
        <w:trPr>
          <w:jc w:val="center"/>
        </w:trPr>
        <w:tc>
          <w:tcPr>
            <w:tcW w:w="793" w:type="pct"/>
            <w:tcBorders>
              <w:top w:val="nil"/>
              <w:left w:val="nil"/>
              <w:bottom w:val="nil"/>
              <w:right w:val="nil"/>
            </w:tcBorders>
          </w:tcPr>
          <w:p w14:paraId="33F78402"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
        </w:tc>
        <w:tc>
          <w:tcPr>
            <w:tcW w:w="490" w:type="pct"/>
            <w:gridSpan w:val="3"/>
            <w:tcBorders>
              <w:top w:val="nil"/>
              <w:left w:val="nil"/>
              <w:bottom w:val="nil"/>
              <w:right w:val="nil"/>
            </w:tcBorders>
          </w:tcPr>
          <w:p w14:paraId="39901BD7"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1" w:type="pct"/>
            <w:gridSpan w:val="2"/>
            <w:tcBorders>
              <w:top w:val="nil"/>
              <w:left w:val="nil"/>
              <w:bottom w:val="nil"/>
              <w:right w:val="nil"/>
            </w:tcBorders>
          </w:tcPr>
          <w:p w14:paraId="6888DC26"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nil"/>
              <w:left w:val="nil"/>
              <w:bottom w:val="nil"/>
              <w:right w:val="nil"/>
            </w:tcBorders>
          </w:tcPr>
          <w:p w14:paraId="65727DDC"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nil"/>
              <w:left w:val="nil"/>
              <w:bottom w:val="nil"/>
              <w:right w:val="nil"/>
            </w:tcBorders>
          </w:tcPr>
          <w:p w14:paraId="74535BE0"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7" w:type="pct"/>
            <w:gridSpan w:val="2"/>
            <w:tcBorders>
              <w:top w:val="nil"/>
              <w:left w:val="nil"/>
              <w:bottom w:val="nil"/>
              <w:right w:val="nil"/>
            </w:tcBorders>
          </w:tcPr>
          <w:p w14:paraId="3CF8A35A"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(0.046)</w:t>
            </w:r>
          </w:p>
        </w:tc>
        <w:tc>
          <w:tcPr>
            <w:tcW w:w="576" w:type="pct"/>
            <w:gridSpan w:val="2"/>
            <w:tcBorders>
              <w:top w:val="nil"/>
              <w:left w:val="nil"/>
              <w:bottom w:val="nil"/>
              <w:right w:val="nil"/>
            </w:tcBorders>
          </w:tcPr>
          <w:p w14:paraId="299F7AA7"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(0.046)</w:t>
            </w:r>
          </w:p>
        </w:tc>
        <w:tc>
          <w:tcPr>
            <w:tcW w:w="577" w:type="pct"/>
            <w:tcBorders>
              <w:top w:val="nil"/>
              <w:left w:val="nil"/>
              <w:bottom w:val="nil"/>
              <w:right w:val="nil"/>
            </w:tcBorders>
          </w:tcPr>
          <w:p w14:paraId="66313308"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(0.047)</w:t>
            </w:r>
          </w:p>
        </w:tc>
        <w:tc>
          <w:tcPr>
            <w:tcW w:w="576" w:type="pct"/>
            <w:tcBorders>
              <w:top w:val="nil"/>
              <w:left w:val="nil"/>
              <w:bottom w:val="nil"/>
              <w:right w:val="nil"/>
            </w:tcBorders>
          </w:tcPr>
          <w:p w14:paraId="087F95FF"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(0.047)</w:t>
            </w:r>
          </w:p>
        </w:tc>
      </w:tr>
      <w:tr w:rsidR="006658C5" w:rsidRPr="00D96B8F" w14:paraId="6F6B728C" w14:textId="77777777" w:rsidTr="00B42CEF">
        <w:trPr>
          <w:jc w:val="center"/>
        </w:trPr>
        <w:tc>
          <w:tcPr>
            <w:tcW w:w="793" w:type="pct"/>
            <w:tcBorders>
              <w:top w:val="nil"/>
              <w:left w:val="nil"/>
              <w:bottom w:val="nil"/>
              <w:right w:val="nil"/>
            </w:tcBorders>
          </w:tcPr>
          <w:p w14:paraId="14D4F990"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r w:rsidRPr="00D96B8F">
              <w:rPr>
                <w:rFonts w:ascii="Times New Roman" w:hAnsi="Times New Roman" w:cs="Times New Roman"/>
                <w:sz w:val="16"/>
                <w:szCs w:val="16"/>
              </w:rPr>
              <w:t>Scottish</w:t>
            </w:r>
          </w:p>
        </w:tc>
        <w:tc>
          <w:tcPr>
            <w:tcW w:w="490" w:type="pct"/>
            <w:gridSpan w:val="3"/>
            <w:tcBorders>
              <w:top w:val="nil"/>
              <w:left w:val="nil"/>
              <w:bottom w:val="nil"/>
              <w:right w:val="nil"/>
            </w:tcBorders>
          </w:tcPr>
          <w:p w14:paraId="4976BC6A"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1" w:type="pct"/>
            <w:gridSpan w:val="2"/>
            <w:tcBorders>
              <w:top w:val="nil"/>
              <w:left w:val="nil"/>
              <w:bottom w:val="nil"/>
              <w:right w:val="nil"/>
            </w:tcBorders>
          </w:tcPr>
          <w:p w14:paraId="6B2703B3"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nil"/>
              <w:left w:val="nil"/>
              <w:bottom w:val="nil"/>
              <w:right w:val="nil"/>
            </w:tcBorders>
          </w:tcPr>
          <w:p w14:paraId="52C5D805"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nil"/>
              <w:left w:val="nil"/>
              <w:bottom w:val="nil"/>
              <w:right w:val="nil"/>
            </w:tcBorders>
          </w:tcPr>
          <w:p w14:paraId="0AFD2A89"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7" w:type="pct"/>
            <w:gridSpan w:val="2"/>
            <w:tcBorders>
              <w:top w:val="nil"/>
              <w:left w:val="nil"/>
              <w:bottom w:val="nil"/>
              <w:right w:val="nil"/>
            </w:tcBorders>
          </w:tcPr>
          <w:p w14:paraId="2D5580C5"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0.015</w:t>
            </w:r>
          </w:p>
        </w:tc>
        <w:tc>
          <w:tcPr>
            <w:tcW w:w="576" w:type="pct"/>
            <w:gridSpan w:val="2"/>
            <w:tcBorders>
              <w:top w:val="nil"/>
              <w:left w:val="nil"/>
              <w:bottom w:val="nil"/>
              <w:right w:val="nil"/>
            </w:tcBorders>
          </w:tcPr>
          <w:p w14:paraId="4439C57B"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0.018</w:t>
            </w:r>
          </w:p>
        </w:tc>
        <w:tc>
          <w:tcPr>
            <w:tcW w:w="577" w:type="pct"/>
            <w:tcBorders>
              <w:top w:val="nil"/>
              <w:left w:val="nil"/>
              <w:bottom w:val="nil"/>
              <w:right w:val="nil"/>
            </w:tcBorders>
          </w:tcPr>
          <w:p w14:paraId="7759D732"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0.024</w:t>
            </w:r>
          </w:p>
        </w:tc>
        <w:tc>
          <w:tcPr>
            <w:tcW w:w="576" w:type="pct"/>
            <w:tcBorders>
              <w:top w:val="nil"/>
              <w:left w:val="nil"/>
              <w:bottom w:val="nil"/>
              <w:right w:val="nil"/>
            </w:tcBorders>
          </w:tcPr>
          <w:p w14:paraId="4CA19F5C"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0.022</w:t>
            </w:r>
          </w:p>
        </w:tc>
      </w:tr>
      <w:tr w:rsidR="006658C5" w:rsidRPr="00D96B8F" w14:paraId="03D5343D" w14:textId="77777777" w:rsidTr="00B42CEF">
        <w:trPr>
          <w:jc w:val="center"/>
        </w:trPr>
        <w:tc>
          <w:tcPr>
            <w:tcW w:w="793" w:type="pct"/>
            <w:tcBorders>
              <w:top w:val="nil"/>
              <w:left w:val="nil"/>
              <w:bottom w:val="nil"/>
              <w:right w:val="nil"/>
            </w:tcBorders>
          </w:tcPr>
          <w:p w14:paraId="081654CE"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
        </w:tc>
        <w:tc>
          <w:tcPr>
            <w:tcW w:w="490" w:type="pct"/>
            <w:gridSpan w:val="3"/>
            <w:tcBorders>
              <w:top w:val="nil"/>
              <w:left w:val="nil"/>
              <w:bottom w:val="nil"/>
              <w:right w:val="nil"/>
            </w:tcBorders>
          </w:tcPr>
          <w:p w14:paraId="5BC0248C"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1" w:type="pct"/>
            <w:gridSpan w:val="2"/>
            <w:tcBorders>
              <w:top w:val="nil"/>
              <w:left w:val="nil"/>
              <w:bottom w:val="nil"/>
              <w:right w:val="nil"/>
            </w:tcBorders>
          </w:tcPr>
          <w:p w14:paraId="7546F429"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nil"/>
              <w:left w:val="nil"/>
              <w:bottom w:val="nil"/>
              <w:right w:val="nil"/>
            </w:tcBorders>
          </w:tcPr>
          <w:p w14:paraId="3E11B8EA"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nil"/>
              <w:left w:val="nil"/>
              <w:bottom w:val="nil"/>
              <w:right w:val="nil"/>
            </w:tcBorders>
          </w:tcPr>
          <w:p w14:paraId="48EFB1C3"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7" w:type="pct"/>
            <w:gridSpan w:val="2"/>
            <w:tcBorders>
              <w:top w:val="nil"/>
              <w:left w:val="nil"/>
              <w:bottom w:val="nil"/>
              <w:right w:val="nil"/>
            </w:tcBorders>
          </w:tcPr>
          <w:p w14:paraId="2E836DFE"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(0.060)</w:t>
            </w:r>
          </w:p>
        </w:tc>
        <w:tc>
          <w:tcPr>
            <w:tcW w:w="576" w:type="pct"/>
            <w:gridSpan w:val="2"/>
            <w:tcBorders>
              <w:top w:val="nil"/>
              <w:left w:val="nil"/>
              <w:bottom w:val="nil"/>
              <w:right w:val="nil"/>
            </w:tcBorders>
          </w:tcPr>
          <w:p w14:paraId="031F6F30"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(0.060)</w:t>
            </w:r>
          </w:p>
        </w:tc>
        <w:tc>
          <w:tcPr>
            <w:tcW w:w="577" w:type="pct"/>
            <w:tcBorders>
              <w:top w:val="nil"/>
              <w:left w:val="nil"/>
              <w:bottom w:val="nil"/>
              <w:right w:val="nil"/>
            </w:tcBorders>
          </w:tcPr>
          <w:p w14:paraId="67F9239B"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(0.060)</w:t>
            </w:r>
          </w:p>
        </w:tc>
        <w:tc>
          <w:tcPr>
            <w:tcW w:w="576" w:type="pct"/>
            <w:tcBorders>
              <w:top w:val="nil"/>
              <w:left w:val="nil"/>
              <w:bottom w:val="nil"/>
              <w:right w:val="nil"/>
            </w:tcBorders>
          </w:tcPr>
          <w:p w14:paraId="5BD7E0BA"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(0.060)</w:t>
            </w:r>
          </w:p>
        </w:tc>
      </w:tr>
      <w:tr w:rsidR="006658C5" w:rsidRPr="00D96B8F" w14:paraId="2D4FDA1A" w14:textId="77777777" w:rsidTr="00B42CEF">
        <w:trPr>
          <w:jc w:val="center"/>
        </w:trPr>
        <w:tc>
          <w:tcPr>
            <w:tcW w:w="793" w:type="pct"/>
            <w:tcBorders>
              <w:top w:val="nil"/>
              <w:left w:val="nil"/>
              <w:bottom w:val="nil"/>
              <w:right w:val="nil"/>
            </w:tcBorders>
          </w:tcPr>
          <w:p w14:paraId="2541B485"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roofErr w:type="spellStart"/>
            <w:r w:rsidRPr="00D96B8F">
              <w:rPr>
                <w:rFonts w:ascii="Times New Roman" w:hAnsi="Times New Roman" w:cs="Times New Roman"/>
                <w:sz w:val="16"/>
                <w:szCs w:val="16"/>
              </w:rPr>
              <w:t>LTDebt</w:t>
            </w:r>
            <w:proofErr w:type="spellEnd"/>
          </w:p>
        </w:tc>
        <w:tc>
          <w:tcPr>
            <w:tcW w:w="490" w:type="pct"/>
            <w:gridSpan w:val="3"/>
            <w:tcBorders>
              <w:top w:val="nil"/>
              <w:left w:val="nil"/>
              <w:bottom w:val="nil"/>
              <w:right w:val="nil"/>
            </w:tcBorders>
          </w:tcPr>
          <w:p w14:paraId="64B71A2C"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1" w:type="pct"/>
            <w:gridSpan w:val="2"/>
            <w:tcBorders>
              <w:top w:val="nil"/>
              <w:left w:val="nil"/>
              <w:bottom w:val="nil"/>
              <w:right w:val="nil"/>
            </w:tcBorders>
          </w:tcPr>
          <w:p w14:paraId="5F73EB3D"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nil"/>
              <w:left w:val="nil"/>
              <w:bottom w:val="nil"/>
              <w:right w:val="nil"/>
            </w:tcBorders>
          </w:tcPr>
          <w:p w14:paraId="7D147A84"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nil"/>
              <w:left w:val="nil"/>
              <w:bottom w:val="nil"/>
              <w:right w:val="nil"/>
            </w:tcBorders>
          </w:tcPr>
          <w:p w14:paraId="15AD27B8"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7" w:type="pct"/>
            <w:gridSpan w:val="2"/>
            <w:tcBorders>
              <w:top w:val="nil"/>
              <w:left w:val="nil"/>
              <w:bottom w:val="nil"/>
              <w:right w:val="nil"/>
            </w:tcBorders>
          </w:tcPr>
          <w:p w14:paraId="2ED98ACC"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0.232**</w:t>
            </w:r>
          </w:p>
        </w:tc>
        <w:tc>
          <w:tcPr>
            <w:tcW w:w="576" w:type="pct"/>
            <w:gridSpan w:val="2"/>
            <w:tcBorders>
              <w:top w:val="nil"/>
              <w:left w:val="nil"/>
              <w:bottom w:val="nil"/>
              <w:right w:val="nil"/>
            </w:tcBorders>
          </w:tcPr>
          <w:p w14:paraId="6AAE7C7D"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0.236**</w:t>
            </w:r>
          </w:p>
        </w:tc>
        <w:tc>
          <w:tcPr>
            <w:tcW w:w="577" w:type="pct"/>
            <w:tcBorders>
              <w:top w:val="nil"/>
              <w:left w:val="nil"/>
              <w:bottom w:val="nil"/>
              <w:right w:val="nil"/>
            </w:tcBorders>
          </w:tcPr>
          <w:p w14:paraId="42EAB315"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0.238***</w:t>
            </w:r>
          </w:p>
        </w:tc>
        <w:tc>
          <w:tcPr>
            <w:tcW w:w="576" w:type="pct"/>
            <w:tcBorders>
              <w:top w:val="nil"/>
              <w:left w:val="nil"/>
              <w:bottom w:val="nil"/>
              <w:right w:val="nil"/>
            </w:tcBorders>
          </w:tcPr>
          <w:p w14:paraId="40E50724"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0.243***</w:t>
            </w:r>
          </w:p>
        </w:tc>
      </w:tr>
      <w:tr w:rsidR="006658C5" w:rsidRPr="00D96B8F" w14:paraId="5C385D5D" w14:textId="77777777" w:rsidTr="00B42CEF">
        <w:trPr>
          <w:jc w:val="center"/>
        </w:trPr>
        <w:tc>
          <w:tcPr>
            <w:tcW w:w="793" w:type="pct"/>
            <w:tcBorders>
              <w:top w:val="nil"/>
              <w:left w:val="nil"/>
              <w:bottom w:val="nil"/>
              <w:right w:val="nil"/>
            </w:tcBorders>
          </w:tcPr>
          <w:p w14:paraId="6B6EF21B"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
        </w:tc>
        <w:tc>
          <w:tcPr>
            <w:tcW w:w="490" w:type="pct"/>
            <w:gridSpan w:val="3"/>
            <w:tcBorders>
              <w:top w:val="nil"/>
              <w:left w:val="nil"/>
              <w:bottom w:val="nil"/>
              <w:right w:val="nil"/>
            </w:tcBorders>
          </w:tcPr>
          <w:p w14:paraId="1A4AEDC5"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1" w:type="pct"/>
            <w:gridSpan w:val="2"/>
            <w:tcBorders>
              <w:top w:val="nil"/>
              <w:left w:val="nil"/>
              <w:bottom w:val="nil"/>
              <w:right w:val="nil"/>
            </w:tcBorders>
          </w:tcPr>
          <w:p w14:paraId="47907110"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nil"/>
              <w:left w:val="nil"/>
              <w:bottom w:val="nil"/>
              <w:right w:val="nil"/>
            </w:tcBorders>
          </w:tcPr>
          <w:p w14:paraId="0B4E4C21"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nil"/>
              <w:left w:val="nil"/>
              <w:bottom w:val="nil"/>
              <w:right w:val="nil"/>
            </w:tcBorders>
          </w:tcPr>
          <w:p w14:paraId="55CB553E"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7" w:type="pct"/>
            <w:gridSpan w:val="2"/>
            <w:tcBorders>
              <w:top w:val="nil"/>
              <w:left w:val="nil"/>
              <w:bottom w:val="nil"/>
              <w:right w:val="nil"/>
            </w:tcBorders>
          </w:tcPr>
          <w:p w14:paraId="749221C2"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(0.091)</w:t>
            </w:r>
          </w:p>
        </w:tc>
        <w:tc>
          <w:tcPr>
            <w:tcW w:w="576" w:type="pct"/>
            <w:gridSpan w:val="2"/>
            <w:tcBorders>
              <w:top w:val="nil"/>
              <w:left w:val="nil"/>
              <w:bottom w:val="nil"/>
              <w:right w:val="nil"/>
            </w:tcBorders>
          </w:tcPr>
          <w:p w14:paraId="25260172"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(0.091)</w:t>
            </w:r>
          </w:p>
        </w:tc>
        <w:tc>
          <w:tcPr>
            <w:tcW w:w="577" w:type="pct"/>
            <w:tcBorders>
              <w:top w:val="nil"/>
              <w:left w:val="nil"/>
              <w:bottom w:val="nil"/>
              <w:right w:val="nil"/>
            </w:tcBorders>
          </w:tcPr>
          <w:p w14:paraId="3E123088"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(0.090)</w:t>
            </w:r>
          </w:p>
        </w:tc>
        <w:tc>
          <w:tcPr>
            <w:tcW w:w="576" w:type="pct"/>
            <w:tcBorders>
              <w:top w:val="nil"/>
              <w:left w:val="nil"/>
              <w:bottom w:val="nil"/>
              <w:right w:val="nil"/>
            </w:tcBorders>
          </w:tcPr>
          <w:p w14:paraId="5ADC9B22"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(0.090)</w:t>
            </w:r>
          </w:p>
        </w:tc>
      </w:tr>
      <w:tr w:rsidR="006658C5" w:rsidRPr="00D96B8F" w14:paraId="3029F22B" w14:textId="77777777" w:rsidTr="00B42CEF">
        <w:trPr>
          <w:jc w:val="center"/>
        </w:trPr>
        <w:tc>
          <w:tcPr>
            <w:tcW w:w="793" w:type="pct"/>
            <w:tcBorders>
              <w:top w:val="nil"/>
              <w:left w:val="nil"/>
              <w:bottom w:val="nil"/>
              <w:right w:val="nil"/>
            </w:tcBorders>
          </w:tcPr>
          <w:p w14:paraId="796295D8"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r w:rsidRPr="00D96B8F">
              <w:rPr>
                <w:rFonts w:ascii="Times New Roman" w:hAnsi="Times New Roman" w:cs="Times New Roman"/>
                <w:sz w:val="16"/>
                <w:szCs w:val="16"/>
              </w:rPr>
              <w:t>Constant</w:t>
            </w:r>
          </w:p>
        </w:tc>
        <w:tc>
          <w:tcPr>
            <w:tcW w:w="490" w:type="pct"/>
            <w:gridSpan w:val="3"/>
            <w:tcBorders>
              <w:top w:val="nil"/>
              <w:left w:val="nil"/>
              <w:bottom w:val="nil"/>
              <w:right w:val="nil"/>
            </w:tcBorders>
          </w:tcPr>
          <w:p w14:paraId="561B703C"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0.147</w:t>
            </w:r>
          </w:p>
        </w:tc>
        <w:tc>
          <w:tcPr>
            <w:tcW w:w="471" w:type="pct"/>
            <w:gridSpan w:val="2"/>
            <w:tcBorders>
              <w:top w:val="nil"/>
              <w:left w:val="nil"/>
              <w:bottom w:val="nil"/>
              <w:right w:val="nil"/>
            </w:tcBorders>
          </w:tcPr>
          <w:p w14:paraId="75AD95DF"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0.115</w:t>
            </w:r>
          </w:p>
        </w:tc>
        <w:tc>
          <w:tcPr>
            <w:tcW w:w="470" w:type="pct"/>
            <w:gridSpan w:val="2"/>
            <w:tcBorders>
              <w:top w:val="nil"/>
              <w:left w:val="nil"/>
              <w:bottom w:val="nil"/>
              <w:right w:val="nil"/>
            </w:tcBorders>
          </w:tcPr>
          <w:p w14:paraId="1F5B7151"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0.261</w:t>
            </w:r>
          </w:p>
        </w:tc>
        <w:tc>
          <w:tcPr>
            <w:tcW w:w="470" w:type="pct"/>
            <w:gridSpan w:val="2"/>
            <w:tcBorders>
              <w:top w:val="nil"/>
              <w:left w:val="nil"/>
              <w:bottom w:val="nil"/>
              <w:right w:val="nil"/>
            </w:tcBorders>
          </w:tcPr>
          <w:p w14:paraId="1216FA15"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0.293</w:t>
            </w:r>
          </w:p>
        </w:tc>
        <w:tc>
          <w:tcPr>
            <w:tcW w:w="577" w:type="pct"/>
            <w:gridSpan w:val="2"/>
            <w:tcBorders>
              <w:top w:val="nil"/>
              <w:left w:val="nil"/>
              <w:bottom w:val="nil"/>
              <w:right w:val="nil"/>
            </w:tcBorders>
          </w:tcPr>
          <w:p w14:paraId="1684C050"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1.600</w:t>
            </w:r>
          </w:p>
        </w:tc>
        <w:tc>
          <w:tcPr>
            <w:tcW w:w="576" w:type="pct"/>
            <w:gridSpan w:val="2"/>
            <w:tcBorders>
              <w:top w:val="nil"/>
              <w:left w:val="nil"/>
              <w:bottom w:val="nil"/>
              <w:right w:val="nil"/>
            </w:tcBorders>
          </w:tcPr>
          <w:p w14:paraId="7DD277E1"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2.060</w:t>
            </w:r>
          </w:p>
        </w:tc>
        <w:tc>
          <w:tcPr>
            <w:tcW w:w="577" w:type="pct"/>
            <w:tcBorders>
              <w:top w:val="nil"/>
              <w:left w:val="nil"/>
              <w:bottom w:val="nil"/>
              <w:right w:val="nil"/>
            </w:tcBorders>
          </w:tcPr>
          <w:p w14:paraId="0E4DE322"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2.934</w:t>
            </w:r>
          </w:p>
        </w:tc>
        <w:tc>
          <w:tcPr>
            <w:tcW w:w="576" w:type="pct"/>
            <w:tcBorders>
              <w:top w:val="nil"/>
              <w:left w:val="nil"/>
              <w:bottom w:val="nil"/>
              <w:right w:val="nil"/>
            </w:tcBorders>
          </w:tcPr>
          <w:p w14:paraId="5D0F5482"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2.642</w:t>
            </w:r>
          </w:p>
        </w:tc>
      </w:tr>
      <w:tr w:rsidR="006658C5" w:rsidRPr="00D96B8F" w14:paraId="2C21EEF1" w14:textId="77777777" w:rsidTr="00B42CEF">
        <w:trPr>
          <w:jc w:val="center"/>
        </w:trPr>
        <w:tc>
          <w:tcPr>
            <w:tcW w:w="793" w:type="pct"/>
            <w:tcBorders>
              <w:top w:val="nil"/>
              <w:left w:val="nil"/>
              <w:bottom w:val="nil"/>
              <w:right w:val="nil"/>
            </w:tcBorders>
          </w:tcPr>
          <w:p w14:paraId="543C2786"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
        </w:tc>
        <w:tc>
          <w:tcPr>
            <w:tcW w:w="490" w:type="pct"/>
            <w:gridSpan w:val="3"/>
            <w:tcBorders>
              <w:top w:val="nil"/>
              <w:left w:val="nil"/>
              <w:bottom w:val="nil"/>
              <w:right w:val="nil"/>
            </w:tcBorders>
          </w:tcPr>
          <w:p w14:paraId="22C51999"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(0.322)</w:t>
            </w:r>
          </w:p>
        </w:tc>
        <w:tc>
          <w:tcPr>
            <w:tcW w:w="471" w:type="pct"/>
            <w:gridSpan w:val="2"/>
            <w:tcBorders>
              <w:top w:val="nil"/>
              <w:left w:val="nil"/>
              <w:bottom w:val="nil"/>
              <w:right w:val="nil"/>
            </w:tcBorders>
          </w:tcPr>
          <w:p w14:paraId="7E73B4DB"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(0.335)</w:t>
            </w:r>
          </w:p>
        </w:tc>
        <w:tc>
          <w:tcPr>
            <w:tcW w:w="470" w:type="pct"/>
            <w:gridSpan w:val="2"/>
            <w:tcBorders>
              <w:top w:val="nil"/>
              <w:left w:val="nil"/>
              <w:bottom w:val="nil"/>
              <w:right w:val="nil"/>
            </w:tcBorders>
          </w:tcPr>
          <w:p w14:paraId="37EE3131"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(0.320)</w:t>
            </w:r>
          </w:p>
        </w:tc>
        <w:tc>
          <w:tcPr>
            <w:tcW w:w="470" w:type="pct"/>
            <w:gridSpan w:val="2"/>
            <w:tcBorders>
              <w:top w:val="nil"/>
              <w:left w:val="nil"/>
              <w:bottom w:val="nil"/>
              <w:right w:val="nil"/>
            </w:tcBorders>
          </w:tcPr>
          <w:p w14:paraId="47E1F367"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(0.321)</w:t>
            </w:r>
          </w:p>
        </w:tc>
        <w:tc>
          <w:tcPr>
            <w:tcW w:w="577" w:type="pct"/>
            <w:gridSpan w:val="2"/>
            <w:tcBorders>
              <w:top w:val="nil"/>
              <w:left w:val="nil"/>
              <w:bottom w:val="nil"/>
              <w:right w:val="nil"/>
            </w:tcBorders>
          </w:tcPr>
          <w:p w14:paraId="42437EA6"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(2.802)</w:t>
            </w:r>
          </w:p>
        </w:tc>
        <w:tc>
          <w:tcPr>
            <w:tcW w:w="576" w:type="pct"/>
            <w:gridSpan w:val="2"/>
            <w:tcBorders>
              <w:top w:val="nil"/>
              <w:left w:val="nil"/>
              <w:bottom w:val="nil"/>
              <w:right w:val="nil"/>
            </w:tcBorders>
          </w:tcPr>
          <w:p w14:paraId="325E840B"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(2.708)</w:t>
            </w:r>
          </w:p>
        </w:tc>
        <w:tc>
          <w:tcPr>
            <w:tcW w:w="577" w:type="pct"/>
            <w:tcBorders>
              <w:top w:val="nil"/>
              <w:left w:val="nil"/>
              <w:bottom w:val="nil"/>
              <w:right w:val="nil"/>
            </w:tcBorders>
          </w:tcPr>
          <w:p w14:paraId="6EFC5663"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(2.530)</w:t>
            </w:r>
          </w:p>
        </w:tc>
        <w:tc>
          <w:tcPr>
            <w:tcW w:w="576" w:type="pct"/>
            <w:tcBorders>
              <w:top w:val="nil"/>
              <w:left w:val="nil"/>
              <w:bottom w:val="nil"/>
              <w:right w:val="nil"/>
            </w:tcBorders>
          </w:tcPr>
          <w:p w14:paraId="618AFD3D"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(2.464)</w:t>
            </w:r>
          </w:p>
        </w:tc>
      </w:tr>
      <w:tr w:rsidR="006658C5" w:rsidRPr="00D96B8F" w14:paraId="5233D37A" w14:textId="77777777" w:rsidTr="00B42CEF">
        <w:trPr>
          <w:jc w:val="center"/>
        </w:trPr>
        <w:tc>
          <w:tcPr>
            <w:tcW w:w="793" w:type="pct"/>
            <w:tcBorders>
              <w:top w:val="nil"/>
              <w:left w:val="nil"/>
              <w:bottom w:val="nil"/>
              <w:right w:val="nil"/>
            </w:tcBorders>
          </w:tcPr>
          <w:p w14:paraId="2CD86EF7"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p>
        </w:tc>
        <w:tc>
          <w:tcPr>
            <w:tcW w:w="490" w:type="pct"/>
            <w:gridSpan w:val="3"/>
            <w:tcBorders>
              <w:top w:val="nil"/>
              <w:left w:val="nil"/>
              <w:bottom w:val="nil"/>
              <w:right w:val="nil"/>
            </w:tcBorders>
          </w:tcPr>
          <w:p w14:paraId="0625C44A"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1" w:type="pct"/>
            <w:gridSpan w:val="2"/>
            <w:tcBorders>
              <w:top w:val="nil"/>
              <w:left w:val="nil"/>
              <w:bottom w:val="nil"/>
              <w:right w:val="nil"/>
            </w:tcBorders>
          </w:tcPr>
          <w:p w14:paraId="71E7F417"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nil"/>
              <w:left w:val="nil"/>
              <w:bottom w:val="nil"/>
              <w:right w:val="nil"/>
            </w:tcBorders>
          </w:tcPr>
          <w:p w14:paraId="6A8C12CF"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470" w:type="pct"/>
            <w:gridSpan w:val="2"/>
            <w:tcBorders>
              <w:top w:val="nil"/>
              <w:left w:val="nil"/>
              <w:bottom w:val="nil"/>
              <w:right w:val="nil"/>
            </w:tcBorders>
          </w:tcPr>
          <w:p w14:paraId="1ABA842A"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7" w:type="pct"/>
            <w:gridSpan w:val="2"/>
            <w:tcBorders>
              <w:top w:val="nil"/>
              <w:left w:val="nil"/>
              <w:bottom w:val="nil"/>
              <w:right w:val="nil"/>
            </w:tcBorders>
          </w:tcPr>
          <w:p w14:paraId="006D077E"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6" w:type="pct"/>
            <w:gridSpan w:val="2"/>
            <w:tcBorders>
              <w:top w:val="nil"/>
              <w:left w:val="nil"/>
              <w:bottom w:val="nil"/>
              <w:right w:val="nil"/>
            </w:tcBorders>
          </w:tcPr>
          <w:p w14:paraId="71C52425"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7" w:type="pct"/>
            <w:tcBorders>
              <w:top w:val="nil"/>
              <w:left w:val="nil"/>
              <w:bottom w:val="nil"/>
              <w:right w:val="nil"/>
            </w:tcBorders>
          </w:tcPr>
          <w:p w14:paraId="33088233"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c>
          <w:tcPr>
            <w:tcW w:w="576" w:type="pct"/>
            <w:tcBorders>
              <w:top w:val="nil"/>
              <w:left w:val="nil"/>
              <w:bottom w:val="nil"/>
              <w:right w:val="nil"/>
            </w:tcBorders>
          </w:tcPr>
          <w:p w14:paraId="6877ACFA"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p>
        </w:tc>
      </w:tr>
      <w:tr w:rsidR="006658C5" w:rsidRPr="00D96B8F" w14:paraId="01BF4AB7" w14:textId="77777777" w:rsidTr="00B42CEF">
        <w:trPr>
          <w:jc w:val="center"/>
        </w:trPr>
        <w:tc>
          <w:tcPr>
            <w:tcW w:w="793" w:type="pct"/>
            <w:tcBorders>
              <w:top w:val="nil"/>
              <w:left w:val="nil"/>
              <w:bottom w:val="nil"/>
              <w:right w:val="nil"/>
            </w:tcBorders>
          </w:tcPr>
          <w:p w14:paraId="2944D54D"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r w:rsidRPr="00D96B8F">
              <w:rPr>
                <w:rFonts w:ascii="Times New Roman" w:hAnsi="Times New Roman" w:cs="Times New Roman"/>
                <w:sz w:val="16"/>
                <w:szCs w:val="16"/>
              </w:rPr>
              <w:t>Year Dummies</w:t>
            </w:r>
          </w:p>
        </w:tc>
        <w:tc>
          <w:tcPr>
            <w:tcW w:w="490" w:type="pct"/>
            <w:gridSpan w:val="3"/>
            <w:tcBorders>
              <w:top w:val="nil"/>
              <w:left w:val="nil"/>
              <w:bottom w:val="nil"/>
              <w:right w:val="nil"/>
            </w:tcBorders>
          </w:tcPr>
          <w:p w14:paraId="50B7A69D"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YES</w:t>
            </w:r>
          </w:p>
        </w:tc>
        <w:tc>
          <w:tcPr>
            <w:tcW w:w="471" w:type="pct"/>
            <w:gridSpan w:val="2"/>
            <w:tcBorders>
              <w:top w:val="nil"/>
              <w:left w:val="nil"/>
              <w:bottom w:val="nil"/>
              <w:right w:val="nil"/>
            </w:tcBorders>
          </w:tcPr>
          <w:p w14:paraId="307FC55B"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YES</w:t>
            </w:r>
          </w:p>
        </w:tc>
        <w:tc>
          <w:tcPr>
            <w:tcW w:w="470" w:type="pct"/>
            <w:gridSpan w:val="2"/>
            <w:tcBorders>
              <w:top w:val="nil"/>
              <w:left w:val="nil"/>
              <w:bottom w:val="nil"/>
              <w:right w:val="nil"/>
            </w:tcBorders>
          </w:tcPr>
          <w:p w14:paraId="30C2F240"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YES</w:t>
            </w:r>
          </w:p>
        </w:tc>
        <w:tc>
          <w:tcPr>
            <w:tcW w:w="470" w:type="pct"/>
            <w:gridSpan w:val="2"/>
            <w:tcBorders>
              <w:top w:val="nil"/>
              <w:left w:val="nil"/>
              <w:bottom w:val="nil"/>
              <w:right w:val="nil"/>
            </w:tcBorders>
          </w:tcPr>
          <w:p w14:paraId="41D451F3"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YES</w:t>
            </w:r>
          </w:p>
        </w:tc>
        <w:tc>
          <w:tcPr>
            <w:tcW w:w="577" w:type="pct"/>
            <w:gridSpan w:val="2"/>
            <w:tcBorders>
              <w:top w:val="nil"/>
              <w:left w:val="nil"/>
              <w:bottom w:val="nil"/>
              <w:right w:val="nil"/>
            </w:tcBorders>
          </w:tcPr>
          <w:p w14:paraId="0958A2CF"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YES</w:t>
            </w:r>
          </w:p>
        </w:tc>
        <w:tc>
          <w:tcPr>
            <w:tcW w:w="576" w:type="pct"/>
            <w:gridSpan w:val="2"/>
            <w:tcBorders>
              <w:top w:val="nil"/>
              <w:left w:val="nil"/>
              <w:bottom w:val="nil"/>
              <w:right w:val="nil"/>
            </w:tcBorders>
          </w:tcPr>
          <w:p w14:paraId="286A9646"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YES</w:t>
            </w:r>
          </w:p>
        </w:tc>
        <w:tc>
          <w:tcPr>
            <w:tcW w:w="577" w:type="pct"/>
            <w:tcBorders>
              <w:top w:val="nil"/>
              <w:left w:val="nil"/>
              <w:bottom w:val="nil"/>
              <w:right w:val="nil"/>
            </w:tcBorders>
          </w:tcPr>
          <w:p w14:paraId="1C13C250"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YES</w:t>
            </w:r>
          </w:p>
        </w:tc>
        <w:tc>
          <w:tcPr>
            <w:tcW w:w="576" w:type="pct"/>
            <w:tcBorders>
              <w:top w:val="nil"/>
              <w:left w:val="nil"/>
              <w:bottom w:val="nil"/>
              <w:right w:val="nil"/>
            </w:tcBorders>
          </w:tcPr>
          <w:p w14:paraId="3D124A75"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YES</w:t>
            </w:r>
          </w:p>
        </w:tc>
      </w:tr>
      <w:tr w:rsidR="006658C5" w:rsidRPr="00D96B8F" w14:paraId="260EC7D9" w14:textId="77777777" w:rsidTr="00B42CEF">
        <w:trPr>
          <w:jc w:val="center"/>
        </w:trPr>
        <w:tc>
          <w:tcPr>
            <w:tcW w:w="793" w:type="pct"/>
            <w:tcBorders>
              <w:top w:val="nil"/>
              <w:left w:val="nil"/>
              <w:bottom w:val="nil"/>
              <w:right w:val="nil"/>
            </w:tcBorders>
          </w:tcPr>
          <w:p w14:paraId="22A20AA6"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r w:rsidRPr="00D96B8F">
              <w:rPr>
                <w:rFonts w:ascii="Times New Roman" w:hAnsi="Times New Roman" w:cs="Times New Roman"/>
                <w:sz w:val="16"/>
                <w:szCs w:val="16"/>
              </w:rPr>
              <w:t>Observations</w:t>
            </w:r>
          </w:p>
        </w:tc>
        <w:tc>
          <w:tcPr>
            <w:tcW w:w="490" w:type="pct"/>
            <w:gridSpan w:val="3"/>
            <w:tcBorders>
              <w:top w:val="nil"/>
              <w:left w:val="nil"/>
              <w:bottom w:val="nil"/>
              <w:right w:val="nil"/>
            </w:tcBorders>
          </w:tcPr>
          <w:p w14:paraId="3D7F56AD"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212</w:t>
            </w:r>
          </w:p>
        </w:tc>
        <w:tc>
          <w:tcPr>
            <w:tcW w:w="471" w:type="pct"/>
            <w:gridSpan w:val="2"/>
            <w:tcBorders>
              <w:top w:val="nil"/>
              <w:left w:val="nil"/>
              <w:bottom w:val="nil"/>
              <w:right w:val="nil"/>
            </w:tcBorders>
          </w:tcPr>
          <w:p w14:paraId="592D098E"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212</w:t>
            </w:r>
          </w:p>
        </w:tc>
        <w:tc>
          <w:tcPr>
            <w:tcW w:w="470" w:type="pct"/>
            <w:gridSpan w:val="2"/>
            <w:tcBorders>
              <w:top w:val="nil"/>
              <w:left w:val="nil"/>
              <w:bottom w:val="nil"/>
              <w:right w:val="nil"/>
            </w:tcBorders>
          </w:tcPr>
          <w:p w14:paraId="2FD47D34"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212</w:t>
            </w:r>
          </w:p>
        </w:tc>
        <w:tc>
          <w:tcPr>
            <w:tcW w:w="470" w:type="pct"/>
            <w:gridSpan w:val="2"/>
            <w:tcBorders>
              <w:top w:val="nil"/>
              <w:left w:val="nil"/>
              <w:bottom w:val="nil"/>
              <w:right w:val="nil"/>
            </w:tcBorders>
          </w:tcPr>
          <w:p w14:paraId="05D40DF5"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212</w:t>
            </w:r>
          </w:p>
        </w:tc>
        <w:tc>
          <w:tcPr>
            <w:tcW w:w="577" w:type="pct"/>
            <w:gridSpan w:val="2"/>
            <w:tcBorders>
              <w:top w:val="nil"/>
              <w:left w:val="nil"/>
              <w:bottom w:val="nil"/>
              <w:right w:val="nil"/>
            </w:tcBorders>
          </w:tcPr>
          <w:p w14:paraId="33283038"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211</w:t>
            </w:r>
          </w:p>
        </w:tc>
        <w:tc>
          <w:tcPr>
            <w:tcW w:w="576" w:type="pct"/>
            <w:gridSpan w:val="2"/>
            <w:tcBorders>
              <w:top w:val="nil"/>
              <w:left w:val="nil"/>
              <w:bottom w:val="nil"/>
              <w:right w:val="nil"/>
            </w:tcBorders>
          </w:tcPr>
          <w:p w14:paraId="27CEA15F"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211</w:t>
            </w:r>
          </w:p>
        </w:tc>
        <w:tc>
          <w:tcPr>
            <w:tcW w:w="577" w:type="pct"/>
            <w:tcBorders>
              <w:top w:val="nil"/>
              <w:left w:val="nil"/>
              <w:bottom w:val="nil"/>
              <w:right w:val="nil"/>
            </w:tcBorders>
          </w:tcPr>
          <w:p w14:paraId="3D1188DC"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211</w:t>
            </w:r>
          </w:p>
        </w:tc>
        <w:tc>
          <w:tcPr>
            <w:tcW w:w="576" w:type="pct"/>
            <w:tcBorders>
              <w:top w:val="nil"/>
              <w:left w:val="nil"/>
              <w:bottom w:val="nil"/>
              <w:right w:val="nil"/>
            </w:tcBorders>
          </w:tcPr>
          <w:p w14:paraId="64BC4779"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211</w:t>
            </w:r>
          </w:p>
        </w:tc>
      </w:tr>
      <w:tr w:rsidR="006658C5" w:rsidRPr="00D96B8F" w14:paraId="01555699" w14:textId="77777777" w:rsidTr="00B42CEF">
        <w:tblPrEx>
          <w:tblBorders>
            <w:bottom w:val="single" w:sz="6" w:space="0" w:color="auto"/>
          </w:tblBorders>
        </w:tblPrEx>
        <w:trPr>
          <w:jc w:val="center"/>
        </w:trPr>
        <w:tc>
          <w:tcPr>
            <w:tcW w:w="793" w:type="pct"/>
            <w:tcBorders>
              <w:top w:val="nil"/>
              <w:left w:val="nil"/>
              <w:bottom w:val="single" w:sz="6" w:space="0" w:color="auto"/>
              <w:right w:val="nil"/>
            </w:tcBorders>
          </w:tcPr>
          <w:p w14:paraId="20158FF9" w14:textId="77777777" w:rsidR="006658C5" w:rsidRPr="00D96B8F" w:rsidRDefault="006658C5" w:rsidP="00B42CEF">
            <w:pPr>
              <w:widowControl w:val="0"/>
              <w:autoSpaceDE w:val="0"/>
              <w:autoSpaceDN w:val="0"/>
              <w:adjustRightInd w:val="0"/>
              <w:rPr>
                <w:rFonts w:ascii="Times New Roman" w:hAnsi="Times New Roman" w:cs="Times New Roman"/>
                <w:sz w:val="16"/>
                <w:szCs w:val="16"/>
              </w:rPr>
            </w:pPr>
            <w:r w:rsidRPr="00D96B8F">
              <w:rPr>
                <w:rFonts w:ascii="Times New Roman" w:hAnsi="Times New Roman" w:cs="Times New Roman"/>
                <w:sz w:val="16"/>
                <w:szCs w:val="16"/>
              </w:rPr>
              <w:t>R-squared</w:t>
            </w:r>
          </w:p>
        </w:tc>
        <w:tc>
          <w:tcPr>
            <w:tcW w:w="490" w:type="pct"/>
            <w:gridSpan w:val="3"/>
            <w:tcBorders>
              <w:top w:val="nil"/>
              <w:left w:val="nil"/>
              <w:bottom w:val="single" w:sz="6" w:space="0" w:color="auto"/>
              <w:right w:val="nil"/>
            </w:tcBorders>
          </w:tcPr>
          <w:p w14:paraId="76410983"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0.107</w:t>
            </w:r>
          </w:p>
        </w:tc>
        <w:tc>
          <w:tcPr>
            <w:tcW w:w="471" w:type="pct"/>
            <w:gridSpan w:val="2"/>
            <w:tcBorders>
              <w:top w:val="nil"/>
              <w:left w:val="nil"/>
              <w:bottom w:val="single" w:sz="6" w:space="0" w:color="auto"/>
              <w:right w:val="nil"/>
            </w:tcBorders>
          </w:tcPr>
          <w:p w14:paraId="3816E06D"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0.099</w:t>
            </w:r>
          </w:p>
        </w:tc>
        <w:tc>
          <w:tcPr>
            <w:tcW w:w="470" w:type="pct"/>
            <w:gridSpan w:val="2"/>
            <w:tcBorders>
              <w:top w:val="nil"/>
              <w:left w:val="nil"/>
              <w:bottom w:val="single" w:sz="6" w:space="0" w:color="auto"/>
              <w:right w:val="nil"/>
            </w:tcBorders>
          </w:tcPr>
          <w:p w14:paraId="60AC7669"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0.095</w:t>
            </w:r>
          </w:p>
        </w:tc>
        <w:tc>
          <w:tcPr>
            <w:tcW w:w="470" w:type="pct"/>
            <w:gridSpan w:val="2"/>
            <w:tcBorders>
              <w:top w:val="nil"/>
              <w:left w:val="nil"/>
              <w:bottom w:val="single" w:sz="6" w:space="0" w:color="auto"/>
              <w:right w:val="nil"/>
            </w:tcBorders>
          </w:tcPr>
          <w:p w14:paraId="5347788E"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0.100</w:t>
            </w:r>
          </w:p>
        </w:tc>
        <w:tc>
          <w:tcPr>
            <w:tcW w:w="577" w:type="pct"/>
            <w:gridSpan w:val="2"/>
            <w:tcBorders>
              <w:top w:val="nil"/>
              <w:left w:val="nil"/>
              <w:bottom w:val="single" w:sz="6" w:space="0" w:color="auto"/>
              <w:right w:val="nil"/>
            </w:tcBorders>
          </w:tcPr>
          <w:p w14:paraId="77E8B454"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0.399</w:t>
            </w:r>
          </w:p>
        </w:tc>
        <w:tc>
          <w:tcPr>
            <w:tcW w:w="576" w:type="pct"/>
            <w:gridSpan w:val="2"/>
            <w:tcBorders>
              <w:top w:val="nil"/>
              <w:left w:val="nil"/>
              <w:bottom w:val="single" w:sz="6" w:space="0" w:color="auto"/>
              <w:right w:val="nil"/>
            </w:tcBorders>
          </w:tcPr>
          <w:p w14:paraId="355AE511"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0.398</w:t>
            </w:r>
          </w:p>
        </w:tc>
        <w:tc>
          <w:tcPr>
            <w:tcW w:w="577" w:type="pct"/>
            <w:tcBorders>
              <w:top w:val="nil"/>
              <w:left w:val="nil"/>
              <w:bottom w:val="single" w:sz="6" w:space="0" w:color="auto"/>
              <w:right w:val="nil"/>
            </w:tcBorders>
          </w:tcPr>
          <w:p w14:paraId="7B127BE3"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0.395</w:t>
            </w:r>
          </w:p>
        </w:tc>
        <w:tc>
          <w:tcPr>
            <w:tcW w:w="576" w:type="pct"/>
            <w:tcBorders>
              <w:top w:val="nil"/>
              <w:left w:val="nil"/>
              <w:bottom w:val="single" w:sz="6" w:space="0" w:color="auto"/>
              <w:right w:val="nil"/>
            </w:tcBorders>
          </w:tcPr>
          <w:p w14:paraId="0F27B4F2" w14:textId="77777777" w:rsidR="006658C5" w:rsidRPr="00D96B8F" w:rsidRDefault="006658C5" w:rsidP="00B42CEF">
            <w:pPr>
              <w:widowControl w:val="0"/>
              <w:autoSpaceDE w:val="0"/>
              <w:autoSpaceDN w:val="0"/>
              <w:adjustRightInd w:val="0"/>
              <w:jc w:val="center"/>
              <w:rPr>
                <w:rFonts w:ascii="Times New Roman" w:hAnsi="Times New Roman" w:cs="Times New Roman"/>
                <w:sz w:val="16"/>
                <w:szCs w:val="16"/>
              </w:rPr>
            </w:pPr>
            <w:r w:rsidRPr="00D96B8F">
              <w:rPr>
                <w:rFonts w:ascii="Times New Roman" w:hAnsi="Times New Roman" w:cs="Times New Roman"/>
                <w:sz w:val="16"/>
                <w:szCs w:val="16"/>
              </w:rPr>
              <w:t>0.397</w:t>
            </w:r>
          </w:p>
        </w:tc>
      </w:tr>
    </w:tbl>
    <w:p w14:paraId="7125BC38" w14:textId="5EE8BB6D" w:rsidR="00C33C52" w:rsidRPr="006658C5" w:rsidRDefault="006658C5" w:rsidP="006658C5">
      <w:pPr>
        <w:rPr>
          <w:rFonts w:ascii="Times New Roman" w:hAnsi="Times New Roman" w:cs="Times New Roman"/>
          <w:szCs w:val="24"/>
        </w:rPr>
      </w:pPr>
      <w:r w:rsidRPr="00D96B8F">
        <w:rPr>
          <w:rFonts w:ascii="Times New Roman" w:hAnsi="Times New Roman" w:cs="Times New Roman"/>
          <w:i/>
          <w:sz w:val="16"/>
          <w:szCs w:val="16"/>
        </w:rPr>
        <w:t>Notes</w:t>
      </w:r>
      <w:r w:rsidRPr="00D96B8F">
        <w:rPr>
          <w:rFonts w:ascii="Times New Roman" w:hAnsi="Times New Roman" w:cs="Times New Roman"/>
          <w:sz w:val="16"/>
          <w:szCs w:val="16"/>
        </w:rPr>
        <w:t xml:space="preserve">: In Panel </w:t>
      </w:r>
      <w:proofErr w:type="spellStart"/>
      <w:proofErr w:type="gramStart"/>
      <w:r w:rsidRPr="00D96B8F">
        <w:rPr>
          <w:rFonts w:ascii="Times New Roman" w:hAnsi="Times New Roman" w:cs="Times New Roman"/>
          <w:sz w:val="16"/>
          <w:szCs w:val="16"/>
        </w:rPr>
        <w:t>A</w:t>
      </w:r>
      <w:proofErr w:type="spellEnd"/>
      <w:proofErr w:type="gramEnd"/>
      <w:r w:rsidRPr="00D96B8F">
        <w:rPr>
          <w:rFonts w:ascii="Times New Roman" w:hAnsi="Times New Roman" w:cs="Times New Roman"/>
          <w:sz w:val="16"/>
          <w:szCs w:val="16"/>
        </w:rPr>
        <w:t xml:space="preserve"> </w:t>
      </w:r>
      <w:r>
        <w:rPr>
          <w:rFonts w:ascii="Times New Roman" w:hAnsi="Times New Roman" w:cs="Times New Roman"/>
          <w:sz w:val="16"/>
          <w:szCs w:val="16"/>
        </w:rPr>
        <w:t xml:space="preserve">industry-adjusted ROA </w:t>
      </w:r>
      <w:r w:rsidRPr="00D96B8F">
        <w:rPr>
          <w:rFonts w:ascii="Times New Roman" w:hAnsi="Times New Roman" w:cs="Times New Roman"/>
          <w:sz w:val="16"/>
          <w:szCs w:val="16"/>
        </w:rPr>
        <w:t xml:space="preserve">is the dependent variable and in Panel B </w:t>
      </w:r>
      <w:r>
        <w:rPr>
          <w:rFonts w:ascii="Times New Roman" w:hAnsi="Times New Roman" w:cs="Times New Roman"/>
          <w:sz w:val="16"/>
          <w:szCs w:val="16"/>
        </w:rPr>
        <w:t xml:space="preserve">industry-adjusted </w:t>
      </w:r>
      <w:r w:rsidRPr="00D96B8F">
        <w:rPr>
          <w:rFonts w:ascii="Times New Roman" w:hAnsi="Times New Roman" w:cs="Times New Roman"/>
          <w:sz w:val="16"/>
          <w:szCs w:val="16"/>
        </w:rPr>
        <w:t>Tobin’s Q is the dependent variable.</w:t>
      </w:r>
      <w:r>
        <w:rPr>
          <w:rFonts w:ascii="Times New Roman" w:hAnsi="Times New Roman" w:cs="Times New Roman"/>
          <w:sz w:val="16"/>
          <w:szCs w:val="16"/>
        </w:rPr>
        <w:t xml:space="preserve"> </w:t>
      </w:r>
      <w:r w:rsidRPr="00D96B8F">
        <w:rPr>
          <w:rFonts w:ascii="Times New Roman" w:hAnsi="Times New Roman" w:cs="Times New Roman"/>
          <w:sz w:val="16"/>
          <w:szCs w:val="16"/>
        </w:rPr>
        <w:t>*** p&lt;0.01, ** p&lt;0.05, * p&lt;0.1.  Robust stand</w:t>
      </w:r>
      <w:r>
        <w:rPr>
          <w:rFonts w:ascii="Times New Roman" w:hAnsi="Times New Roman" w:cs="Times New Roman"/>
          <w:sz w:val="16"/>
          <w:szCs w:val="16"/>
        </w:rPr>
        <w:t>ard errors are in parentheses</w:t>
      </w:r>
      <w:r w:rsidR="00C33C52" w:rsidRPr="006658C5">
        <w:rPr>
          <w:rFonts w:ascii="Times New Roman" w:hAnsi="Times New Roman" w:cs="Times New Roman"/>
          <w:sz w:val="18"/>
          <w:szCs w:val="20"/>
        </w:rPr>
        <w:br w:type="page"/>
      </w:r>
    </w:p>
    <w:p w14:paraId="2EF235D4" w14:textId="77777777" w:rsidR="00C33C52" w:rsidRPr="00BC68C4" w:rsidRDefault="00C33C52">
      <w:pPr>
        <w:spacing w:after="200" w:line="276" w:lineRule="auto"/>
        <w:jc w:val="left"/>
        <w:rPr>
          <w:rFonts w:ascii="Times New Roman" w:hAnsi="Times New Roman" w:cs="Times New Roman"/>
          <w:b/>
          <w:sz w:val="24"/>
          <w:szCs w:val="24"/>
        </w:rPr>
        <w:sectPr w:rsidR="00C33C52" w:rsidRPr="00BC68C4" w:rsidSect="00856319">
          <w:pgSz w:w="11906" w:h="16838"/>
          <w:pgMar w:top="1440" w:right="1440" w:bottom="1440" w:left="1440" w:header="708" w:footer="708" w:gutter="0"/>
          <w:cols w:space="708"/>
          <w:docGrid w:linePitch="360"/>
        </w:sectPr>
      </w:pPr>
    </w:p>
    <w:p w14:paraId="758534F9" w14:textId="1556B346" w:rsidR="00703AC0" w:rsidRPr="00703AC0" w:rsidRDefault="00703AC0" w:rsidP="00C33C52">
      <w:pPr>
        <w:jc w:val="center"/>
        <w:rPr>
          <w:rFonts w:ascii="Times New Roman" w:hAnsi="Times New Roman" w:cs="Times New Roman"/>
          <w:sz w:val="20"/>
          <w:szCs w:val="20"/>
        </w:rPr>
      </w:pPr>
      <w:r w:rsidRPr="00703AC0">
        <w:rPr>
          <w:rFonts w:ascii="Times New Roman" w:hAnsi="Times New Roman" w:cs="Times New Roman"/>
          <w:sz w:val="20"/>
          <w:szCs w:val="20"/>
        </w:rPr>
        <w:t xml:space="preserve">TABLE </w:t>
      </w:r>
      <w:r w:rsidR="00635C6E">
        <w:rPr>
          <w:rFonts w:ascii="Times New Roman" w:hAnsi="Times New Roman" w:cs="Times New Roman"/>
          <w:sz w:val="20"/>
          <w:szCs w:val="20"/>
        </w:rPr>
        <w:t xml:space="preserve">5 </w:t>
      </w:r>
    </w:p>
    <w:p w14:paraId="1D07E002" w14:textId="629E86D0" w:rsidR="00C33C52" w:rsidRPr="00703AC0" w:rsidRDefault="00703AC0" w:rsidP="00C33C52">
      <w:pPr>
        <w:jc w:val="center"/>
        <w:rPr>
          <w:rFonts w:ascii="Times New Roman" w:hAnsi="Times New Roman" w:cs="Times New Roman"/>
          <w:sz w:val="24"/>
          <w:szCs w:val="24"/>
        </w:rPr>
      </w:pPr>
      <w:r w:rsidRPr="00703AC0">
        <w:rPr>
          <w:rFonts w:ascii="Times New Roman" w:hAnsi="Times New Roman" w:cs="Times New Roman"/>
          <w:sz w:val="24"/>
          <w:szCs w:val="24"/>
        </w:rPr>
        <w:t>DIFFERENCES IN PERFORMANCE WITH ALTERNATIVE CONCENTRATION MEASURES</w:t>
      </w:r>
    </w:p>
    <w:tbl>
      <w:tblPr>
        <w:tblW w:w="5000" w:type="pct"/>
        <w:tblBorders>
          <w:top w:val="double" w:sz="4" w:space="0" w:color="auto"/>
          <w:bottom w:val="double" w:sz="4" w:space="0" w:color="auto"/>
        </w:tblBorders>
        <w:tblLayout w:type="fixed"/>
        <w:tblLook w:val="04A0" w:firstRow="1" w:lastRow="0" w:firstColumn="1" w:lastColumn="0" w:noHBand="0" w:noVBand="1"/>
      </w:tblPr>
      <w:tblGrid>
        <w:gridCol w:w="2101"/>
        <w:gridCol w:w="635"/>
        <w:gridCol w:w="774"/>
        <w:gridCol w:w="496"/>
        <w:gridCol w:w="496"/>
        <w:gridCol w:w="139"/>
        <w:gridCol w:w="706"/>
        <w:gridCol w:w="6"/>
        <w:gridCol w:w="558"/>
        <w:gridCol w:w="635"/>
        <w:gridCol w:w="785"/>
        <w:gridCol w:w="573"/>
        <w:gridCol w:w="142"/>
        <w:gridCol w:w="405"/>
        <w:gridCol w:w="635"/>
        <w:gridCol w:w="635"/>
        <w:gridCol w:w="635"/>
        <w:gridCol w:w="635"/>
        <w:gridCol w:w="635"/>
        <w:gridCol w:w="635"/>
        <w:gridCol w:w="635"/>
        <w:gridCol w:w="635"/>
        <w:gridCol w:w="643"/>
      </w:tblGrid>
      <w:tr w:rsidR="000336B0" w:rsidRPr="00BC68C4" w14:paraId="53A1CA5B" w14:textId="77777777" w:rsidTr="00665C7D">
        <w:trPr>
          <w:trHeight w:val="300"/>
        </w:trPr>
        <w:tc>
          <w:tcPr>
            <w:tcW w:w="741" w:type="pct"/>
            <w:tcBorders>
              <w:top w:val="double" w:sz="4" w:space="0" w:color="auto"/>
            </w:tcBorders>
            <w:shd w:val="clear" w:color="auto" w:fill="auto"/>
            <w:noWrap/>
            <w:vAlign w:val="center"/>
            <w:hideMark/>
          </w:tcPr>
          <w:p w14:paraId="522965F9" w14:textId="77777777" w:rsidR="00C33C52" w:rsidRPr="00BC68C4" w:rsidRDefault="00C33C52" w:rsidP="009912BC">
            <w:pPr>
              <w:jc w:val="left"/>
              <w:rPr>
                <w:rFonts w:ascii="Times New Roman" w:eastAsia="Times New Roman" w:hAnsi="Times New Roman" w:cs="Times New Roman"/>
                <w:color w:val="000000"/>
                <w:sz w:val="18"/>
                <w:szCs w:val="20"/>
                <w:lang w:eastAsia="en-GB"/>
              </w:rPr>
            </w:pPr>
          </w:p>
        </w:tc>
        <w:tc>
          <w:tcPr>
            <w:tcW w:w="224" w:type="pct"/>
            <w:tcBorders>
              <w:top w:val="double" w:sz="4" w:space="0" w:color="auto"/>
              <w:bottom w:val="nil"/>
            </w:tcBorders>
            <w:vAlign w:val="center"/>
          </w:tcPr>
          <w:p w14:paraId="1939D29B"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273" w:type="pct"/>
            <w:tcBorders>
              <w:top w:val="double" w:sz="4" w:space="0" w:color="auto"/>
              <w:bottom w:val="nil"/>
            </w:tcBorders>
            <w:vAlign w:val="center"/>
          </w:tcPr>
          <w:p w14:paraId="5A515348"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175" w:type="pct"/>
            <w:tcBorders>
              <w:top w:val="double" w:sz="4" w:space="0" w:color="auto"/>
              <w:bottom w:val="nil"/>
            </w:tcBorders>
            <w:vAlign w:val="center"/>
          </w:tcPr>
          <w:p w14:paraId="7CF4DC3A"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224" w:type="pct"/>
            <w:gridSpan w:val="2"/>
            <w:tcBorders>
              <w:top w:val="double" w:sz="4" w:space="0" w:color="auto"/>
              <w:bottom w:val="nil"/>
            </w:tcBorders>
            <w:shd w:val="clear" w:color="auto" w:fill="auto"/>
            <w:noWrap/>
            <w:vAlign w:val="center"/>
            <w:hideMark/>
          </w:tcPr>
          <w:p w14:paraId="58B18C90"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249" w:type="pct"/>
            <w:tcBorders>
              <w:top w:val="double" w:sz="4" w:space="0" w:color="auto"/>
              <w:bottom w:val="nil"/>
            </w:tcBorders>
            <w:vAlign w:val="center"/>
          </w:tcPr>
          <w:p w14:paraId="2E6A54F1"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199" w:type="pct"/>
            <w:gridSpan w:val="2"/>
            <w:tcBorders>
              <w:top w:val="double" w:sz="4" w:space="0" w:color="auto"/>
              <w:bottom w:val="nil"/>
            </w:tcBorders>
            <w:vAlign w:val="center"/>
          </w:tcPr>
          <w:p w14:paraId="40497938"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224" w:type="pct"/>
            <w:tcBorders>
              <w:top w:val="double" w:sz="4" w:space="0" w:color="auto"/>
              <w:bottom w:val="nil"/>
            </w:tcBorders>
            <w:shd w:val="clear" w:color="auto" w:fill="auto"/>
            <w:noWrap/>
            <w:vAlign w:val="center"/>
            <w:hideMark/>
          </w:tcPr>
          <w:p w14:paraId="5DBC20C0"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277" w:type="pct"/>
            <w:tcBorders>
              <w:top w:val="double" w:sz="4" w:space="0" w:color="auto"/>
              <w:bottom w:val="nil"/>
            </w:tcBorders>
            <w:vAlign w:val="center"/>
          </w:tcPr>
          <w:p w14:paraId="15414390"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252" w:type="pct"/>
            <w:gridSpan w:val="2"/>
            <w:tcBorders>
              <w:top w:val="double" w:sz="4" w:space="0" w:color="auto"/>
              <w:bottom w:val="nil"/>
            </w:tcBorders>
            <w:vAlign w:val="center"/>
          </w:tcPr>
          <w:p w14:paraId="03C9AEAD"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143" w:type="pct"/>
            <w:tcBorders>
              <w:top w:val="double" w:sz="4" w:space="0" w:color="auto"/>
              <w:bottom w:val="nil"/>
            </w:tcBorders>
            <w:shd w:val="clear" w:color="auto" w:fill="auto"/>
            <w:noWrap/>
            <w:vAlign w:val="center"/>
            <w:hideMark/>
          </w:tcPr>
          <w:p w14:paraId="6B3EE1A3"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224" w:type="pct"/>
            <w:tcBorders>
              <w:top w:val="double" w:sz="4" w:space="0" w:color="auto"/>
              <w:bottom w:val="nil"/>
            </w:tcBorders>
            <w:shd w:val="clear" w:color="auto" w:fill="auto"/>
            <w:noWrap/>
            <w:vAlign w:val="center"/>
            <w:hideMark/>
          </w:tcPr>
          <w:p w14:paraId="66630C4B"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224" w:type="pct"/>
            <w:tcBorders>
              <w:top w:val="double" w:sz="4" w:space="0" w:color="auto"/>
              <w:bottom w:val="nil"/>
            </w:tcBorders>
            <w:vAlign w:val="center"/>
          </w:tcPr>
          <w:p w14:paraId="00DB909C"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224" w:type="pct"/>
            <w:tcBorders>
              <w:top w:val="double" w:sz="4" w:space="0" w:color="auto"/>
              <w:bottom w:val="nil"/>
            </w:tcBorders>
            <w:vAlign w:val="center"/>
          </w:tcPr>
          <w:p w14:paraId="024771B7"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224" w:type="pct"/>
            <w:tcBorders>
              <w:top w:val="double" w:sz="4" w:space="0" w:color="auto"/>
              <w:bottom w:val="nil"/>
            </w:tcBorders>
            <w:shd w:val="clear" w:color="auto" w:fill="auto"/>
            <w:noWrap/>
            <w:vAlign w:val="center"/>
            <w:hideMark/>
          </w:tcPr>
          <w:p w14:paraId="09E22013"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224" w:type="pct"/>
            <w:tcBorders>
              <w:top w:val="double" w:sz="4" w:space="0" w:color="auto"/>
              <w:bottom w:val="nil"/>
            </w:tcBorders>
            <w:vAlign w:val="center"/>
          </w:tcPr>
          <w:p w14:paraId="42F5266B"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224" w:type="pct"/>
            <w:tcBorders>
              <w:top w:val="double" w:sz="4" w:space="0" w:color="auto"/>
              <w:bottom w:val="nil"/>
            </w:tcBorders>
            <w:vAlign w:val="center"/>
          </w:tcPr>
          <w:p w14:paraId="51CFBA32"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224" w:type="pct"/>
            <w:tcBorders>
              <w:top w:val="double" w:sz="4" w:space="0" w:color="auto"/>
              <w:bottom w:val="nil"/>
            </w:tcBorders>
            <w:shd w:val="clear" w:color="auto" w:fill="auto"/>
            <w:noWrap/>
            <w:vAlign w:val="center"/>
            <w:hideMark/>
          </w:tcPr>
          <w:p w14:paraId="29270368"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224" w:type="pct"/>
            <w:tcBorders>
              <w:top w:val="double" w:sz="4" w:space="0" w:color="auto"/>
              <w:bottom w:val="nil"/>
            </w:tcBorders>
            <w:shd w:val="clear" w:color="auto" w:fill="auto"/>
            <w:noWrap/>
            <w:vAlign w:val="center"/>
            <w:hideMark/>
          </w:tcPr>
          <w:p w14:paraId="58BA6E31"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227" w:type="pct"/>
            <w:tcBorders>
              <w:top w:val="double" w:sz="4" w:space="0" w:color="auto"/>
            </w:tcBorders>
            <w:vAlign w:val="center"/>
          </w:tcPr>
          <w:p w14:paraId="03223D99"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r>
      <w:tr w:rsidR="00C33C52" w:rsidRPr="00BC68C4" w14:paraId="098D40A2" w14:textId="77777777" w:rsidTr="009912BC">
        <w:trPr>
          <w:trHeight w:val="300"/>
        </w:trPr>
        <w:tc>
          <w:tcPr>
            <w:tcW w:w="741" w:type="pct"/>
            <w:shd w:val="clear" w:color="auto" w:fill="auto"/>
            <w:noWrap/>
            <w:vAlign w:val="center"/>
          </w:tcPr>
          <w:p w14:paraId="00DCF29C" w14:textId="77777777" w:rsidR="00C33C52" w:rsidRPr="00BC68C4" w:rsidRDefault="00C33C52" w:rsidP="009912BC">
            <w:pPr>
              <w:jc w:val="left"/>
              <w:rPr>
                <w:rFonts w:ascii="Times New Roman" w:eastAsia="Times New Roman" w:hAnsi="Times New Roman" w:cs="Times New Roman"/>
                <w:color w:val="000000"/>
                <w:sz w:val="18"/>
                <w:szCs w:val="20"/>
                <w:lang w:eastAsia="en-GB"/>
              </w:rPr>
            </w:pPr>
          </w:p>
        </w:tc>
        <w:tc>
          <w:tcPr>
            <w:tcW w:w="1845" w:type="pct"/>
            <w:gridSpan w:val="10"/>
            <w:tcBorders>
              <w:top w:val="nil"/>
              <w:bottom w:val="single" w:sz="6" w:space="0" w:color="auto"/>
            </w:tcBorders>
            <w:vAlign w:val="center"/>
          </w:tcPr>
          <w:p w14:paraId="37540438"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r w:rsidRPr="00BC68C4">
              <w:rPr>
                <w:rFonts w:ascii="Times New Roman" w:eastAsia="Times New Roman" w:hAnsi="Times New Roman" w:cs="Times New Roman"/>
                <w:color w:val="000000"/>
                <w:sz w:val="18"/>
                <w:szCs w:val="20"/>
                <w:lang w:eastAsia="en-GB"/>
              </w:rPr>
              <w:t>ROA</w:t>
            </w:r>
          </w:p>
        </w:tc>
        <w:tc>
          <w:tcPr>
            <w:tcW w:w="252" w:type="pct"/>
            <w:gridSpan w:val="2"/>
            <w:tcBorders>
              <w:top w:val="nil"/>
              <w:bottom w:val="nil"/>
            </w:tcBorders>
            <w:vAlign w:val="center"/>
          </w:tcPr>
          <w:p w14:paraId="2D329F01"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143" w:type="pct"/>
            <w:tcBorders>
              <w:top w:val="nil"/>
              <w:bottom w:val="nil"/>
            </w:tcBorders>
            <w:shd w:val="clear" w:color="auto" w:fill="auto"/>
            <w:noWrap/>
            <w:vAlign w:val="center"/>
          </w:tcPr>
          <w:p w14:paraId="0A0AB352"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1792" w:type="pct"/>
            <w:gridSpan w:val="8"/>
            <w:tcBorders>
              <w:top w:val="nil"/>
              <w:bottom w:val="single" w:sz="6" w:space="0" w:color="auto"/>
            </w:tcBorders>
            <w:shd w:val="clear" w:color="auto" w:fill="auto"/>
            <w:noWrap/>
            <w:vAlign w:val="center"/>
          </w:tcPr>
          <w:p w14:paraId="578E0EFA" w14:textId="15F7B23B" w:rsidR="00C33C52" w:rsidRPr="00BC68C4" w:rsidRDefault="00863AFC" w:rsidP="009912BC">
            <w:pPr>
              <w:jc w:val="center"/>
              <w:rPr>
                <w:rFonts w:ascii="Times New Roman" w:eastAsia="Times New Roman" w:hAnsi="Times New Roman" w:cs="Times New Roman"/>
                <w:color w:val="000000"/>
                <w:sz w:val="18"/>
                <w:szCs w:val="20"/>
                <w:lang w:eastAsia="en-GB"/>
              </w:rPr>
            </w:pPr>
            <w:r w:rsidRPr="00BC68C4">
              <w:rPr>
                <w:rFonts w:ascii="Times New Roman" w:eastAsia="Times New Roman" w:hAnsi="Times New Roman" w:cs="Times New Roman"/>
                <w:color w:val="000000"/>
                <w:sz w:val="18"/>
                <w:szCs w:val="20"/>
                <w:lang w:eastAsia="en-GB"/>
              </w:rPr>
              <w:t xml:space="preserve">TOBIN’S </w:t>
            </w:r>
            <w:r w:rsidR="00C33C52" w:rsidRPr="00BC68C4">
              <w:rPr>
                <w:rFonts w:ascii="Times New Roman" w:eastAsia="Times New Roman" w:hAnsi="Times New Roman" w:cs="Times New Roman"/>
                <w:color w:val="000000"/>
                <w:sz w:val="18"/>
                <w:szCs w:val="20"/>
                <w:lang w:eastAsia="en-GB"/>
              </w:rPr>
              <w:t>Q</w:t>
            </w:r>
          </w:p>
        </w:tc>
        <w:tc>
          <w:tcPr>
            <w:tcW w:w="227" w:type="pct"/>
            <w:vAlign w:val="center"/>
          </w:tcPr>
          <w:p w14:paraId="7FE183E1"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r>
      <w:tr w:rsidR="00C33C52" w:rsidRPr="00BC68C4" w14:paraId="44E51FE0" w14:textId="77777777" w:rsidTr="009912BC">
        <w:trPr>
          <w:trHeight w:val="300"/>
        </w:trPr>
        <w:tc>
          <w:tcPr>
            <w:tcW w:w="741" w:type="pct"/>
            <w:shd w:val="clear" w:color="auto" w:fill="auto"/>
            <w:noWrap/>
            <w:vAlign w:val="center"/>
          </w:tcPr>
          <w:p w14:paraId="0AF53DED" w14:textId="77777777" w:rsidR="00C33C52" w:rsidRPr="00BC68C4" w:rsidRDefault="00C33C52" w:rsidP="009912BC">
            <w:pPr>
              <w:jc w:val="left"/>
              <w:rPr>
                <w:rFonts w:ascii="Times New Roman" w:eastAsia="Times New Roman" w:hAnsi="Times New Roman" w:cs="Times New Roman"/>
                <w:color w:val="000000"/>
                <w:sz w:val="18"/>
                <w:szCs w:val="20"/>
                <w:lang w:eastAsia="en-GB"/>
              </w:rPr>
            </w:pPr>
            <w:r w:rsidRPr="00BC68C4">
              <w:rPr>
                <w:rFonts w:ascii="Times New Roman" w:eastAsia="Times New Roman" w:hAnsi="Times New Roman" w:cs="Times New Roman"/>
                <w:color w:val="000000"/>
                <w:sz w:val="18"/>
                <w:szCs w:val="20"/>
                <w:lang w:eastAsia="en-GB"/>
              </w:rPr>
              <w:t xml:space="preserve">Large </w:t>
            </w:r>
            <w:proofErr w:type="spellStart"/>
            <w:r w:rsidRPr="00BC68C4">
              <w:rPr>
                <w:rFonts w:ascii="Times New Roman" w:eastAsia="Times New Roman" w:hAnsi="Times New Roman" w:cs="Times New Roman"/>
                <w:color w:val="000000"/>
                <w:sz w:val="18"/>
                <w:szCs w:val="20"/>
                <w:lang w:eastAsia="en-GB"/>
              </w:rPr>
              <w:t>Blockholder</w:t>
            </w:r>
            <w:proofErr w:type="spellEnd"/>
            <w:r w:rsidRPr="00BC68C4">
              <w:rPr>
                <w:rFonts w:ascii="Times New Roman" w:eastAsia="Times New Roman" w:hAnsi="Times New Roman" w:cs="Times New Roman"/>
                <w:color w:val="000000"/>
                <w:sz w:val="18"/>
                <w:szCs w:val="20"/>
                <w:lang w:eastAsia="en-GB"/>
              </w:rPr>
              <w:t xml:space="preserve"> at:</w:t>
            </w:r>
          </w:p>
        </w:tc>
        <w:tc>
          <w:tcPr>
            <w:tcW w:w="497" w:type="pct"/>
            <w:gridSpan w:val="2"/>
            <w:tcBorders>
              <w:top w:val="nil"/>
              <w:bottom w:val="single" w:sz="6" w:space="0" w:color="auto"/>
            </w:tcBorders>
            <w:vAlign w:val="center"/>
          </w:tcPr>
          <w:p w14:paraId="7D5573FA"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r w:rsidRPr="00BC68C4">
              <w:rPr>
                <w:rFonts w:ascii="Times New Roman" w:eastAsia="Times New Roman" w:hAnsi="Times New Roman" w:cs="Times New Roman"/>
                <w:color w:val="000000"/>
                <w:sz w:val="18"/>
                <w:szCs w:val="20"/>
                <w:lang w:eastAsia="en-GB"/>
              </w:rPr>
              <w:t>5%</w:t>
            </w:r>
          </w:p>
        </w:tc>
        <w:tc>
          <w:tcPr>
            <w:tcW w:w="175" w:type="pct"/>
            <w:tcBorders>
              <w:top w:val="nil"/>
              <w:bottom w:val="nil"/>
            </w:tcBorders>
            <w:vAlign w:val="center"/>
          </w:tcPr>
          <w:p w14:paraId="524F3794"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473" w:type="pct"/>
            <w:gridSpan w:val="3"/>
            <w:tcBorders>
              <w:top w:val="nil"/>
              <w:bottom w:val="single" w:sz="6" w:space="0" w:color="auto"/>
            </w:tcBorders>
            <w:shd w:val="clear" w:color="auto" w:fill="auto"/>
            <w:noWrap/>
            <w:vAlign w:val="center"/>
          </w:tcPr>
          <w:p w14:paraId="4414090C"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r w:rsidRPr="00BC68C4">
              <w:rPr>
                <w:rFonts w:ascii="Times New Roman" w:eastAsia="Times New Roman" w:hAnsi="Times New Roman" w:cs="Times New Roman"/>
                <w:color w:val="000000"/>
                <w:sz w:val="18"/>
                <w:szCs w:val="20"/>
                <w:lang w:eastAsia="en-GB"/>
              </w:rPr>
              <w:t>10%</w:t>
            </w:r>
          </w:p>
        </w:tc>
        <w:tc>
          <w:tcPr>
            <w:tcW w:w="199" w:type="pct"/>
            <w:gridSpan w:val="2"/>
            <w:tcBorders>
              <w:top w:val="nil"/>
              <w:bottom w:val="nil"/>
            </w:tcBorders>
            <w:vAlign w:val="center"/>
          </w:tcPr>
          <w:p w14:paraId="4FABFADC"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501" w:type="pct"/>
            <w:gridSpan w:val="2"/>
            <w:tcBorders>
              <w:top w:val="nil"/>
              <w:bottom w:val="single" w:sz="6" w:space="0" w:color="auto"/>
            </w:tcBorders>
            <w:shd w:val="clear" w:color="auto" w:fill="auto"/>
            <w:noWrap/>
            <w:vAlign w:val="center"/>
          </w:tcPr>
          <w:p w14:paraId="13C39A2C"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r w:rsidRPr="00BC68C4">
              <w:rPr>
                <w:rFonts w:ascii="Times New Roman" w:eastAsia="Times New Roman" w:hAnsi="Times New Roman" w:cs="Times New Roman"/>
                <w:color w:val="000000"/>
                <w:sz w:val="18"/>
                <w:szCs w:val="20"/>
                <w:lang w:eastAsia="en-GB"/>
              </w:rPr>
              <w:t>20%</w:t>
            </w:r>
          </w:p>
        </w:tc>
        <w:tc>
          <w:tcPr>
            <w:tcW w:w="252" w:type="pct"/>
            <w:gridSpan w:val="2"/>
            <w:tcBorders>
              <w:top w:val="nil"/>
              <w:bottom w:val="nil"/>
            </w:tcBorders>
            <w:vAlign w:val="center"/>
          </w:tcPr>
          <w:p w14:paraId="51FE5211"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143" w:type="pct"/>
            <w:tcBorders>
              <w:top w:val="nil"/>
              <w:bottom w:val="nil"/>
            </w:tcBorders>
            <w:shd w:val="clear" w:color="auto" w:fill="auto"/>
            <w:noWrap/>
            <w:vAlign w:val="center"/>
          </w:tcPr>
          <w:p w14:paraId="249F25FA"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448" w:type="pct"/>
            <w:gridSpan w:val="2"/>
            <w:tcBorders>
              <w:top w:val="nil"/>
              <w:bottom w:val="single" w:sz="6" w:space="0" w:color="auto"/>
            </w:tcBorders>
            <w:shd w:val="clear" w:color="auto" w:fill="auto"/>
            <w:noWrap/>
            <w:vAlign w:val="center"/>
          </w:tcPr>
          <w:p w14:paraId="0880AC75"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r w:rsidRPr="00BC68C4">
              <w:rPr>
                <w:rFonts w:ascii="Times New Roman" w:eastAsia="Times New Roman" w:hAnsi="Times New Roman" w:cs="Times New Roman"/>
                <w:color w:val="000000"/>
                <w:sz w:val="18"/>
                <w:szCs w:val="20"/>
                <w:lang w:eastAsia="en-GB"/>
              </w:rPr>
              <w:t>5%</w:t>
            </w:r>
          </w:p>
        </w:tc>
        <w:tc>
          <w:tcPr>
            <w:tcW w:w="224" w:type="pct"/>
            <w:tcBorders>
              <w:top w:val="nil"/>
              <w:bottom w:val="nil"/>
            </w:tcBorders>
            <w:vAlign w:val="center"/>
          </w:tcPr>
          <w:p w14:paraId="4B64C6AA"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448" w:type="pct"/>
            <w:gridSpan w:val="2"/>
            <w:tcBorders>
              <w:top w:val="nil"/>
              <w:bottom w:val="single" w:sz="6" w:space="0" w:color="auto"/>
            </w:tcBorders>
            <w:shd w:val="clear" w:color="auto" w:fill="auto"/>
            <w:noWrap/>
            <w:vAlign w:val="center"/>
          </w:tcPr>
          <w:p w14:paraId="74265081"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r w:rsidRPr="00BC68C4">
              <w:rPr>
                <w:rFonts w:ascii="Times New Roman" w:eastAsia="Times New Roman" w:hAnsi="Times New Roman" w:cs="Times New Roman"/>
                <w:color w:val="000000"/>
                <w:sz w:val="18"/>
                <w:szCs w:val="20"/>
                <w:lang w:eastAsia="en-GB"/>
              </w:rPr>
              <w:t>10%</w:t>
            </w:r>
          </w:p>
        </w:tc>
        <w:tc>
          <w:tcPr>
            <w:tcW w:w="224" w:type="pct"/>
            <w:tcBorders>
              <w:top w:val="nil"/>
              <w:bottom w:val="nil"/>
            </w:tcBorders>
            <w:vAlign w:val="center"/>
          </w:tcPr>
          <w:p w14:paraId="7CEB6284"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448" w:type="pct"/>
            <w:gridSpan w:val="2"/>
            <w:tcBorders>
              <w:top w:val="nil"/>
              <w:bottom w:val="single" w:sz="6" w:space="0" w:color="auto"/>
            </w:tcBorders>
            <w:shd w:val="clear" w:color="auto" w:fill="auto"/>
            <w:noWrap/>
            <w:vAlign w:val="center"/>
          </w:tcPr>
          <w:p w14:paraId="6D2F5351"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r w:rsidRPr="00BC68C4">
              <w:rPr>
                <w:rFonts w:ascii="Times New Roman" w:eastAsia="Times New Roman" w:hAnsi="Times New Roman" w:cs="Times New Roman"/>
                <w:color w:val="000000"/>
                <w:sz w:val="18"/>
                <w:szCs w:val="20"/>
                <w:lang w:eastAsia="en-GB"/>
              </w:rPr>
              <w:t>20%</w:t>
            </w:r>
          </w:p>
        </w:tc>
        <w:tc>
          <w:tcPr>
            <w:tcW w:w="227" w:type="pct"/>
            <w:vAlign w:val="center"/>
          </w:tcPr>
          <w:p w14:paraId="4B9C43E2"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r>
      <w:tr w:rsidR="00C33C52" w:rsidRPr="00BC68C4" w14:paraId="04113526" w14:textId="77777777" w:rsidTr="009912BC">
        <w:trPr>
          <w:trHeight w:val="300"/>
        </w:trPr>
        <w:tc>
          <w:tcPr>
            <w:tcW w:w="741" w:type="pct"/>
            <w:shd w:val="clear" w:color="auto" w:fill="auto"/>
            <w:noWrap/>
            <w:vAlign w:val="center"/>
          </w:tcPr>
          <w:p w14:paraId="2504A7FF" w14:textId="77777777" w:rsidR="00C33C52" w:rsidRPr="00BC68C4" w:rsidRDefault="00C33C52" w:rsidP="009912BC">
            <w:pPr>
              <w:jc w:val="left"/>
              <w:rPr>
                <w:rFonts w:ascii="Times New Roman" w:eastAsia="Times New Roman" w:hAnsi="Times New Roman" w:cs="Times New Roman"/>
                <w:color w:val="000000"/>
                <w:sz w:val="18"/>
                <w:szCs w:val="20"/>
                <w:lang w:eastAsia="en-GB"/>
              </w:rPr>
            </w:pPr>
          </w:p>
        </w:tc>
        <w:tc>
          <w:tcPr>
            <w:tcW w:w="224" w:type="pct"/>
            <w:tcBorders>
              <w:top w:val="single" w:sz="6" w:space="0" w:color="auto"/>
            </w:tcBorders>
            <w:vAlign w:val="center"/>
          </w:tcPr>
          <w:p w14:paraId="3EADB063"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r w:rsidRPr="00BC68C4">
              <w:rPr>
                <w:rFonts w:ascii="Times New Roman" w:eastAsia="Times New Roman" w:hAnsi="Times New Roman" w:cs="Times New Roman"/>
                <w:color w:val="000000"/>
                <w:sz w:val="18"/>
                <w:szCs w:val="20"/>
                <w:lang w:eastAsia="en-GB"/>
              </w:rPr>
              <w:t>N</w:t>
            </w:r>
          </w:p>
        </w:tc>
        <w:tc>
          <w:tcPr>
            <w:tcW w:w="273" w:type="pct"/>
            <w:tcBorders>
              <w:top w:val="single" w:sz="6" w:space="0" w:color="auto"/>
            </w:tcBorders>
            <w:vAlign w:val="center"/>
          </w:tcPr>
          <w:p w14:paraId="28549C22"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r w:rsidRPr="00BC68C4">
              <w:rPr>
                <w:rFonts w:ascii="Times New Roman" w:eastAsia="Times New Roman" w:hAnsi="Times New Roman" w:cs="Times New Roman"/>
                <w:color w:val="000000"/>
                <w:sz w:val="18"/>
                <w:szCs w:val="20"/>
                <w:lang w:eastAsia="en-GB"/>
              </w:rPr>
              <w:t>Mean</w:t>
            </w:r>
          </w:p>
        </w:tc>
        <w:tc>
          <w:tcPr>
            <w:tcW w:w="175" w:type="pct"/>
            <w:tcBorders>
              <w:top w:val="nil"/>
              <w:bottom w:val="nil"/>
            </w:tcBorders>
            <w:vAlign w:val="center"/>
          </w:tcPr>
          <w:p w14:paraId="50F699D8"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224" w:type="pct"/>
            <w:gridSpan w:val="2"/>
            <w:tcBorders>
              <w:top w:val="single" w:sz="6" w:space="0" w:color="auto"/>
            </w:tcBorders>
            <w:shd w:val="clear" w:color="auto" w:fill="auto"/>
            <w:noWrap/>
            <w:vAlign w:val="center"/>
          </w:tcPr>
          <w:p w14:paraId="1F78D6FA"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r w:rsidRPr="00BC68C4">
              <w:rPr>
                <w:rFonts w:ascii="Times New Roman" w:eastAsia="Times New Roman" w:hAnsi="Times New Roman" w:cs="Times New Roman"/>
                <w:color w:val="000000"/>
                <w:sz w:val="18"/>
                <w:szCs w:val="20"/>
                <w:lang w:eastAsia="en-GB"/>
              </w:rPr>
              <w:t>N</w:t>
            </w:r>
          </w:p>
        </w:tc>
        <w:tc>
          <w:tcPr>
            <w:tcW w:w="249" w:type="pct"/>
            <w:tcBorders>
              <w:top w:val="single" w:sz="6" w:space="0" w:color="auto"/>
            </w:tcBorders>
            <w:vAlign w:val="center"/>
          </w:tcPr>
          <w:p w14:paraId="79DBF0AF"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r w:rsidRPr="00BC68C4">
              <w:rPr>
                <w:rFonts w:ascii="Times New Roman" w:eastAsia="Times New Roman" w:hAnsi="Times New Roman" w:cs="Times New Roman"/>
                <w:color w:val="000000"/>
                <w:sz w:val="18"/>
                <w:szCs w:val="20"/>
                <w:lang w:eastAsia="en-GB"/>
              </w:rPr>
              <w:t>Mean</w:t>
            </w:r>
          </w:p>
        </w:tc>
        <w:tc>
          <w:tcPr>
            <w:tcW w:w="199" w:type="pct"/>
            <w:gridSpan w:val="2"/>
            <w:tcBorders>
              <w:top w:val="nil"/>
              <w:bottom w:val="nil"/>
            </w:tcBorders>
            <w:vAlign w:val="center"/>
          </w:tcPr>
          <w:p w14:paraId="05AD6ECD"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224" w:type="pct"/>
            <w:tcBorders>
              <w:top w:val="single" w:sz="6" w:space="0" w:color="auto"/>
            </w:tcBorders>
            <w:shd w:val="clear" w:color="auto" w:fill="auto"/>
            <w:noWrap/>
            <w:vAlign w:val="center"/>
          </w:tcPr>
          <w:p w14:paraId="6980604C"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r w:rsidRPr="00BC68C4">
              <w:rPr>
                <w:rFonts w:ascii="Times New Roman" w:eastAsia="Times New Roman" w:hAnsi="Times New Roman" w:cs="Times New Roman"/>
                <w:color w:val="000000"/>
                <w:sz w:val="18"/>
                <w:szCs w:val="20"/>
                <w:lang w:eastAsia="en-GB"/>
              </w:rPr>
              <w:t>N</w:t>
            </w:r>
          </w:p>
        </w:tc>
        <w:tc>
          <w:tcPr>
            <w:tcW w:w="277" w:type="pct"/>
            <w:tcBorders>
              <w:top w:val="single" w:sz="6" w:space="0" w:color="auto"/>
            </w:tcBorders>
            <w:vAlign w:val="center"/>
          </w:tcPr>
          <w:p w14:paraId="7CFB3BCA"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r w:rsidRPr="00BC68C4">
              <w:rPr>
                <w:rFonts w:ascii="Times New Roman" w:eastAsia="Times New Roman" w:hAnsi="Times New Roman" w:cs="Times New Roman"/>
                <w:color w:val="000000"/>
                <w:sz w:val="18"/>
                <w:szCs w:val="20"/>
                <w:lang w:eastAsia="en-GB"/>
              </w:rPr>
              <w:t>Mean</w:t>
            </w:r>
          </w:p>
        </w:tc>
        <w:tc>
          <w:tcPr>
            <w:tcW w:w="252" w:type="pct"/>
            <w:gridSpan w:val="2"/>
            <w:tcBorders>
              <w:top w:val="nil"/>
              <w:bottom w:val="nil"/>
            </w:tcBorders>
            <w:vAlign w:val="center"/>
          </w:tcPr>
          <w:p w14:paraId="4D31C212"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143" w:type="pct"/>
            <w:tcBorders>
              <w:top w:val="nil"/>
              <w:bottom w:val="nil"/>
            </w:tcBorders>
            <w:shd w:val="clear" w:color="auto" w:fill="auto"/>
            <w:noWrap/>
            <w:vAlign w:val="center"/>
          </w:tcPr>
          <w:p w14:paraId="08EF18F7"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224" w:type="pct"/>
            <w:tcBorders>
              <w:top w:val="single" w:sz="6" w:space="0" w:color="auto"/>
            </w:tcBorders>
            <w:shd w:val="clear" w:color="auto" w:fill="auto"/>
            <w:noWrap/>
            <w:vAlign w:val="center"/>
          </w:tcPr>
          <w:p w14:paraId="579D68D6"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r w:rsidRPr="00BC68C4">
              <w:rPr>
                <w:rFonts w:ascii="Times New Roman" w:eastAsia="Times New Roman" w:hAnsi="Times New Roman" w:cs="Times New Roman"/>
                <w:color w:val="000000"/>
                <w:sz w:val="18"/>
                <w:szCs w:val="20"/>
                <w:lang w:eastAsia="en-GB"/>
              </w:rPr>
              <w:t>N</w:t>
            </w:r>
          </w:p>
        </w:tc>
        <w:tc>
          <w:tcPr>
            <w:tcW w:w="224" w:type="pct"/>
            <w:tcBorders>
              <w:top w:val="single" w:sz="6" w:space="0" w:color="auto"/>
            </w:tcBorders>
            <w:vAlign w:val="center"/>
          </w:tcPr>
          <w:p w14:paraId="4CCBC0EB"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r w:rsidRPr="00BC68C4">
              <w:rPr>
                <w:rFonts w:ascii="Times New Roman" w:eastAsia="Times New Roman" w:hAnsi="Times New Roman" w:cs="Times New Roman"/>
                <w:color w:val="000000"/>
                <w:sz w:val="18"/>
                <w:szCs w:val="20"/>
                <w:lang w:eastAsia="en-GB"/>
              </w:rPr>
              <w:t>Mean</w:t>
            </w:r>
          </w:p>
        </w:tc>
        <w:tc>
          <w:tcPr>
            <w:tcW w:w="224" w:type="pct"/>
            <w:tcBorders>
              <w:top w:val="nil"/>
              <w:bottom w:val="nil"/>
            </w:tcBorders>
            <w:vAlign w:val="center"/>
          </w:tcPr>
          <w:p w14:paraId="3FB4D5C8"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224" w:type="pct"/>
            <w:tcBorders>
              <w:top w:val="single" w:sz="6" w:space="0" w:color="auto"/>
            </w:tcBorders>
            <w:shd w:val="clear" w:color="auto" w:fill="auto"/>
            <w:noWrap/>
            <w:vAlign w:val="center"/>
          </w:tcPr>
          <w:p w14:paraId="177A2E67"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r w:rsidRPr="00BC68C4">
              <w:rPr>
                <w:rFonts w:ascii="Times New Roman" w:eastAsia="Times New Roman" w:hAnsi="Times New Roman" w:cs="Times New Roman"/>
                <w:color w:val="000000"/>
                <w:sz w:val="18"/>
                <w:szCs w:val="20"/>
                <w:lang w:eastAsia="en-GB"/>
              </w:rPr>
              <w:t>N</w:t>
            </w:r>
          </w:p>
        </w:tc>
        <w:tc>
          <w:tcPr>
            <w:tcW w:w="224" w:type="pct"/>
            <w:tcBorders>
              <w:top w:val="single" w:sz="6" w:space="0" w:color="auto"/>
            </w:tcBorders>
            <w:vAlign w:val="center"/>
          </w:tcPr>
          <w:p w14:paraId="4552E99A"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r w:rsidRPr="00BC68C4">
              <w:rPr>
                <w:rFonts w:ascii="Times New Roman" w:eastAsia="Times New Roman" w:hAnsi="Times New Roman" w:cs="Times New Roman"/>
                <w:color w:val="000000"/>
                <w:sz w:val="18"/>
                <w:szCs w:val="20"/>
                <w:lang w:eastAsia="en-GB"/>
              </w:rPr>
              <w:t>Mean</w:t>
            </w:r>
          </w:p>
        </w:tc>
        <w:tc>
          <w:tcPr>
            <w:tcW w:w="224" w:type="pct"/>
            <w:tcBorders>
              <w:top w:val="nil"/>
              <w:bottom w:val="nil"/>
            </w:tcBorders>
            <w:vAlign w:val="center"/>
          </w:tcPr>
          <w:p w14:paraId="18D89E07"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224" w:type="pct"/>
            <w:tcBorders>
              <w:top w:val="single" w:sz="6" w:space="0" w:color="auto"/>
            </w:tcBorders>
            <w:shd w:val="clear" w:color="auto" w:fill="auto"/>
            <w:noWrap/>
            <w:vAlign w:val="center"/>
          </w:tcPr>
          <w:p w14:paraId="4933274B"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r w:rsidRPr="00BC68C4">
              <w:rPr>
                <w:rFonts w:ascii="Times New Roman" w:eastAsia="Times New Roman" w:hAnsi="Times New Roman" w:cs="Times New Roman"/>
                <w:color w:val="000000"/>
                <w:sz w:val="18"/>
                <w:szCs w:val="20"/>
                <w:lang w:eastAsia="en-GB"/>
              </w:rPr>
              <w:t>N</w:t>
            </w:r>
          </w:p>
        </w:tc>
        <w:tc>
          <w:tcPr>
            <w:tcW w:w="224" w:type="pct"/>
            <w:tcBorders>
              <w:top w:val="single" w:sz="6" w:space="0" w:color="auto"/>
            </w:tcBorders>
            <w:shd w:val="clear" w:color="auto" w:fill="auto"/>
            <w:noWrap/>
            <w:vAlign w:val="center"/>
          </w:tcPr>
          <w:p w14:paraId="4A773D4A"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r w:rsidRPr="00BC68C4">
              <w:rPr>
                <w:rFonts w:ascii="Times New Roman" w:eastAsia="Times New Roman" w:hAnsi="Times New Roman" w:cs="Times New Roman"/>
                <w:color w:val="000000"/>
                <w:sz w:val="18"/>
                <w:szCs w:val="20"/>
                <w:lang w:eastAsia="en-GB"/>
              </w:rPr>
              <w:t>Mean</w:t>
            </w:r>
          </w:p>
        </w:tc>
        <w:tc>
          <w:tcPr>
            <w:tcW w:w="227" w:type="pct"/>
            <w:vAlign w:val="center"/>
          </w:tcPr>
          <w:p w14:paraId="5B771FF1"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r>
      <w:tr w:rsidR="00C33C52" w:rsidRPr="00BC68C4" w14:paraId="1683E2EC" w14:textId="77777777" w:rsidTr="009912BC">
        <w:trPr>
          <w:trHeight w:val="300"/>
        </w:trPr>
        <w:tc>
          <w:tcPr>
            <w:tcW w:w="741" w:type="pct"/>
            <w:tcBorders>
              <w:bottom w:val="single" w:sz="6" w:space="0" w:color="auto"/>
            </w:tcBorders>
            <w:shd w:val="clear" w:color="auto" w:fill="auto"/>
            <w:noWrap/>
            <w:vAlign w:val="center"/>
          </w:tcPr>
          <w:p w14:paraId="2330A90E" w14:textId="77777777" w:rsidR="00C33C52" w:rsidRPr="00BC68C4" w:rsidRDefault="00C33C52" w:rsidP="009912BC">
            <w:pPr>
              <w:jc w:val="left"/>
              <w:rPr>
                <w:rFonts w:ascii="Times New Roman" w:eastAsia="Times New Roman" w:hAnsi="Times New Roman" w:cs="Times New Roman"/>
                <w:color w:val="000000"/>
                <w:sz w:val="18"/>
                <w:szCs w:val="20"/>
                <w:lang w:eastAsia="en-GB"/>
              </w:rPr>
            </w:pPr>
            <w:r w:rsidRPr="00BC68C4">
              <w:rPr>
                <w:rFonts w:ascii="Times New Roman" w:eastAsia="Times New Roman" w:hAnsi="Times New Roman" w:cs="Times New Roman"/>
                <w:color w:val="000000"/>
                <w:sz w:val="18"/>
                <w:szCs w:val="20"/>
                <w:lang w:eastAsia="en-GB"/>
              </w:rPr>
              <w:t>Companies with:</w:t>
            </w:r>
          </w:p>
        </w:tc>
        <w:tc>
          <w:tcPr>
            <w:tcW w:w="224" w:type="pct"/>
            <w:tcBorders>
              <w:bottom w:val="single" w:sz="6" w:space="0" w:color="auto"/>
            </w:tcBorders>
            <w:vAlign w:val="center"/>
          </w:tcPr>
          <w:p w14:paraId="1CD2450C"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273" w:type="pct"/>
            <w:tcBorders>
              <w:bottom w:val="single" w:sz="6" w:space="0" w:color="auto"/>
            </w:tcBorders>
            <w:vAlign w:val="center"/>
          </w:tcPr>
          <w:p w14:paraId="49AF915C"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175" w:type="pct"/>
            <w:tcBorders>
              <w:top w:val="nil"/>
              <w:bottom w:val="single" w:sz="6" w:space="0" w:color="auto"/>
            </w:tcBorders>
            <w:vAlign w:val="center"/>
          </w:tcPr>
          <w:p w14:paraId="6F685282"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224" w:type="pct"/>
            <w:gridSpan w:val="2"/>
            <w:tcBorders>
              <w:bottom w:val="single" w:sz="6" w:space="0" w:color="auto"/>
            </w:tcBorders>
            <w:shd w:val="clear" w:color="auto" w:fill="auto"/>
            <w:noWrap/>
            <w:vAlign w:val="center"/>
          </w:tcPr>
          <w:p w14:paraId="10322823"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249" w:type="pct"/>
            <w:tcBorders>
              <w:bottom w:val="single" w:sz="6" w:space="0" w:color="auto"/>
            </w:tcBorders>
            <w:vAlign w:val="center"/>
          </w:tcPr>
          <w:p w14:paraId="6F3A7132"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199" w:type="pct"/>
            <w:gridSpan w:val="2"/>
            <w:tcBorders>
              <w:top w:val="nil"/>
              <w:bottom w:val="single" w:sz="6" w:space="0" w:color="auto"/>
            </w:tcBorders>
            <w:vAlign w:val="center"/>
          </w:tcPr>
          <w:p w14:paraId="30158AFE"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224" w:type="pct"/>
            <w:tcBorders>
              <w:bottom w:val="single" w:sz="6" w:space="0" w:color="auto"/>
            </w:tcBorders>
            <w:shd w:val="clear" w:color="auto" w:fill="auto"/>
            <w:noWrap/>
            <w:vAlign w:val="center"/>
          </w:tcPr>
          <w:p w14:paraId="45820778"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277" w:type="pct"/>
            <w:tcBorders>
              <w:bottom w:val="single" w:sz="6" w:space="0" w:color="auto"/>
            </w:tcBorders>
            <w:vAlign w:val="center"/>
          </w:tcPr>
          <w:p w14:paraId="28654E3A"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252" w:type="pct"/>
            <w:gridSpan w:val="2"/>
            <w:tcBorders>
              <w:top w:val="nil"/>
              <w:bottom w:val="single" w:sz="6" w:space="0" w:color="auto"/>
            </w:tcBorders>
            <w:vAlign w:val="center"/>
          </w:tcPr>
          <w:p w14:paraId="5176D36C"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143" w:type="pct"/>
            <w:tcBorders>
              <w:top w:val="nil"/>
              <w:bottom w:val="single" w:sz="6" w:space="0" w:color="auto"/>
            </w:tcBorders>
            <w:shd w:val="clear" w:color="auto" w:fill="auto"/>
            <w:noWrap/>
            <w:vAlign w:val="center"/>
          </w:tcPr>
          <w:p w14:paraId="5699B398"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224" w:type="pct"/>
            <w:tcBorders>
              <w:bottom w:val="single" w:sz="6" w:space="0" w:color="auto"/>
            </w:tcBorders>
            <w:shd w:val="clear" w:color="auto" w:fill="auto"/>
            <w:noWrap/>
            <w:vAlign w:val="center"/>
          </w:tcPr>
          <w:p w14:paraId="618BB47F"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224" w:type="pct"/>
            <w:tcBorders>
              <w:bottom w:val="single" w:sz="6" w:space="0" w:color="auto"/>
            </w:tcBorders>
            <w:vAlign w:val="center"/>
          </w:tcPr>
          <w:p w14:paraId="479843A7"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224" w:type="pct"/>
            <w:tcBorders>
              <w:top w:val="nil"/>
              <w:bottom w:val="single" w:sz="6" w:space="0" w:color="auto"/>
            </w:tcBorders>
            <w:vAlign w:val="center"/>
          </w:tcPr>
          <w:p w14:paraId="37683D81"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224" w:type="pct"/>
            <w:tcBorders>
              <w:bottom w:val="single" w:sz="6" w:space="0" w:color="auto"/>
            </w:tcBorders>
            <w:shd w:val="clear" w:color="auto" w:fill="auto"/>
            <w:noWrap/>
            <w:vAlign w:val="center"/>
          </w:tcPr>
          <w:p w14:paraId="350C3D8E"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224" w:type="pct"/>
            <w:tcBorders>
              <w:bottom w:val="single" w:sz="6" w:space="0" w:color="auto"/>
            </w:tcBorders>
            <w:vAlign w:val="center"/>
          </w:tcPr>
          <w:p w14:paraId="31A23333"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224" w:type="pct"/>
            <w:tcBorders>
              <w:top w:val="nil"/>
              <w:bottom w:val="single" w:sz="6" w:space="0" w:color="auto"/>
            </w:tcBorders>
            <w:vAlign w:val="center"/>
          </w:tcPr>
          <w:p w14:paraId="3692F15D"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224" w:type="pct"/>
            <w:tcBorders>
              <w:bottom w:val="single" w:sz="6" w:space="0" w:color="auto"/>
            </w:tcBorders>
            <w:shd w:val="clear" w:color="auto" w:fill="auto"/>
            <w:noWrap/>
            <w:vAlign w:val="center"/>
          </w:tcPr>
          <w:p w14:paraId="3E423B5A"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224" w:type="pct"/>
            <w:tcBorders>
              <w:bottom w:val="single" w:sz="6" w:space="0" w:color="auto"/>
            </w:tcBorders>
            <w:shd w:val="clear" w:color="auto" w:fill="auto"/>
            <w:noWrap/>
            <w:vAlign w:val="center"/>
          </w:tcPr>
          <w:p w14:paraId="0DEBB8E0"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c>
          <w:tcPr>
            <w:tcW w:w="227" w:type="pct"/>
            <w:tcBorders>
              <w:bottom w:val="single" w:sz="6" w:space="0" w:color="auto"/>
            </w:tcBorders>
            <w:vAlign w:val="center"/>
          </w:tcPr>
          <w:p w14:paraId="2720204D" w14:textId="77777777" w:rsidR="00C33C52" w:rsidRPr="00BC68C4" w:rsidRDefault="00C33C52" w:rsidP="009912BC">
            <w:pPr>
              <w:jc w:val="center"/>
              <w:rPr>
                <w:rFonts w:ascii="Times New Roman" w:eastAsia="Times New Roman" w:hAnsi="Times New Roman" w:cs="Times New Roman"/>
                <w:color w:val="000000"/>
                <w:sz w:val="18"/>
                <w:szCs w:val="20"/>
                <w:lang w:eastAsia="en-GB"/>
              </w:rPr>
            </w:pPr>
          </w:p>
        </w:tc>
      </w:tr>
      <w:tr w:rsidR="00C33C52" w:rsidRPr="00BC68C4" w14:paraId="47BC852F" w14:textId="77777777" w:rsidTr="00665C7D">
        <w:trPr>
          <w:trHeight w:val="300"/>
        </w:trPr>
        <w:tc>
          <w:tcPr>
            <w:tcW w:w="5000" w:type="pct"/>
            <w:gridSpan w:val="23"/>
            <w:tcBorders>
              <w:top w:val="single" w:sz="6" w:space="0" w:color="auto"/>
              <w:bottom w:val="single" w:sz="6" w:space="0" w:color="auto"/>
            </w:tcBorders>
            <w:shd w:val="clear" w:color="auto" w:fill="auto"/>
            <w:noWrap/>
            <w:vAlign w:val="center"/>
          </w:tcPr>
          <w:p w14:paraId="5CA52D02" w14:textId="77777777" w:rsidR="00C33C52" w:rsidRPr="00BC68C4" w:rsidRDefault="00C33C52" w:rsidP="00665C7D">
            <w:pPr>
              <w:jc w:val="center"/>
              <w:rPr>
                <w:rFonts w:ascii="Times New Roman" w:eastAsia="Times New Roman" w:hAnsi="Times New Roman" w:cs="Times New Roman"/>
                <w:color w:val="000000"/>
                <w:sz w:val="20"/>
                <w:szCs w:val="20"/>
                <w:lang w:eastAsia="en-GB"/>
              </w:rPr>
            </w:pPr>
            <w:r w:rsidRPr="00BC68C4">
              <w:rPr>
                <w:rFonts w:ascii="Times New Roman" w:eastAsia="Times New Roman" w:hAnsi="Times New Roman" w:cs="Times New Roman"/>
                <w:color w:val="000000"/>
                <w:sz w:val="20"/>
                <w:szCs w:val="20"/>
                <w:lang w:eastAsia="en-GB"/>
              </w:rPr>
              <w:t xml:space="preserve">Panel A: </w:t>
            </w:r>
            <w:r w:rsidR="00665C7D" w:rsidRPr="00BC68C4">
              <w:rPr>
                <w:rFonts w:ascii="Times New Roman" w:eastAsia="Times New Roman" w:hAnsi="Times New Roman" w:cs="Times New Roman"/>
                <w:color w:val="000000"/>
                <w:sz w:val="20"/>
                <w:szCs w:val="20"/>
                <w:lang w:eastAsia="en-GB"/>
              </w:rPr>
              <w:t xml:space="preserve">Active </w:t>
            </w:r>
            <w:proofErr w:type="spellStart"/>
            <w:r w:rsidR="00665C7D" w:rsidRPr="00BC68C4">
              <w:rPr>
                <w:rFonts w:ascii="Times New Roman" w:eastAsia="Times New Roman" w:hAnsi="Times New Roman" w:cs="Times New Roman"/>
                <w:color w:val="000000"/>
                <w:sz w:val="20"/>
                <w:szCs w:val="20"/>
                <w:lang w:eastAsia="en-GB"/>
              </w:rPr>
              <w:t>Blockholders</w:t>
            </w:r>
            <w:proofErr w:type="spellEnd"/>
          </w:p>
        </w:tc>
      </w:tr>
      <w:tr w:rsidR="00D2113B" w:rsidRPr="00BC68C4" w14:paraId="2BCDBEF6" w14:textId="77777777" w:rsidTr="00444E56">
        <w:trPr>
          <w:trHeight w:val="300"/>
        </w:trPr>
        <w:tc>
          <w:tcPr>
            <w:tcW w:w="741" w:type="pct"/>
            <w:tcBorders>
              <w:top w:val="single" w:sz="6" w:space="0" w:color="auto"/>
              <w:bottom w:val="nil"/>
            </w:tcBorders>
            <w:shd w:val="clear" w:color="auto" w:fill="auto"/>
            <w:noWrap/>
            <w:vAlign w:val="center"/>
          </w:tcPr>
          <w:p w14:paraId="264E45A6" w14:textId="77777777" w:rsidR="00D2113B" w:rsidRPr="00BC68C4" w:rsidRDefault="00D2113B" w:rsidP="001B191D">
            <w:pPr>
              <w:jc w:val="left"/>
              <w:rPr>
                <w:rFonts w:ascii="Times New Roman" w:eastAsia="Times New Roman" w:hAnsi="Times New Roman" w:cs="Times New Roman"/>
                <w:color w:val="000000"/>
                <w:sz w:val="18"/>
                <w:szCs w:val="20"/>
                <w:lang w:eastAsia="en-GB"/>
              </w:rPr>
            </w:pPr>
            <w:r w:rsidRPr="00BC68C4">
              <w:rPr>
                <w:rFonts w:ascii="Times New Roman" w:eastAsia="Times New Roman" w:hAnsi="Times New Roman" w:cs="Times New Roman"/>
                <w:color w:val="000000"/>
                <w:sz w:val="18"/>
                <w:szCs w:val="20"/>
                <w:lang w:eastAsia="en-GB"/>
              </w:rPr>
              <w:t xml:space="preserve">At least one Active </w:t>
            </w:r>
            <w:proofErr w:type="spellStart"/>
            <w:r w:rsidRPr="00BC68C4">
              <w:rPr>
                <w:rFonts w:ascii="Times New Roman" w:eastAsia="Times New Roman" w:hAnsi="Times New Roman" w:cs="Times New Roman"/>
                <w:color w:val="000000"/>
                <w:sz w:val="18"/>
                <w:szCs w:val="20"/>
                <w:lang w:eastAsia="en-GB"/>
              </w:rPr>
              <w:t>Blockholder</w:t>
            </w:r>
            <w:proofErr w:type="spellEnd"/>
          </w:p>
          <w:p w14:paraId="23D2C886" w14:textId="77777777" w:rsidR="00D2113B" w:rsidRPr="00BC68C4" w:rsidRDefault="00D2113B" w:rsidP="001B191D">
            <w:pPr>
              <w:jc w:val="left"/>
              <w:rPr>
                <w:rFonts w:ascii="Times New Roman" w:eastAsia="Times New Roman" w:hAnsi="Times New Roman" w:cs="Times New Roman"/>
                <w:color w:val="000000"/>
                <w:sz w:val="18"/>
                <w:szCs w:val="20"/>
                <w:lang w:eastAsia="en-GB"/>
              </w:rPr>
            </w:pPr>
          </w:p>
        </w:tc>
        <w:tc>
          <w:tcPr>
            <w:tcW w:w="224" w:type="pct"/>
            <w:tcBorders>
              <w:top w:val="single" w:sz="6" w:space="0" w:color="auto"/>
              <w:bottom w:val="nil"/>
            </w:tcBorders>
            <w:vAlign w:val="center"/>
          </w:tcPr>
          <w:p w14:paraId="686380A3" w14:textId="33DB507C" w:rsidR="00D2113B" w:rsidRPr="00BC68C4" w:rsidRDefault="00D2113B"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73</w:t>
            </w:r>
          </w:p>
        </w:tc>
        <w:tc>
          <w:tcPr>
            <w:tcW w:w="273" w:type="pct"/>
            <w:tcBorders>
              <w:top w:val="single" w:sz="6" w:space="0" w:color="auto"/>
              <w:bottom w:val="nil"/>
            </w:tcBorders>
            <w:vAlign w:val="center"/>
          </w:tcPr>
          <w:p w14:paraId="4C4AE3C0" w14:textId="7FAB7045" w:rsidR="00D2113B" w:rsidRPr="00BC68C4" w:rsidRDefault="00D2113B"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6.5%</w:t>
            </w:r>
          </w:p>
        </w:tc>
        <w:tc>
          <w:tcPr>
            <w:tcW w:w="175" w:type="pct"/>
            <w:tcBorders>
              <w:top w:val="single" w:sz="6" w:space="0" w:color="auto"/>
              <w:bottom w:val="nil"/>
            </w:tcBorders>
            <w:vAlign w:val="center"/>
          </w:tcPr>
          <w:p w14:paraId="70102439" w14:textId="7F1B8D37" w:rsidR="00D2113B" w:rsidRPr="00BC68C4" w:rsidRDefault="00D2113B" w:rsidP="00444E56">
            <w:pPr>
              <w:jc w:val="center"/>
              <w:rPr>
                <w:rFonts w:ascii="Times New Roman" w:hAnsi="Times New Roman" w:cs="Times New Roman"/>
                <w:color w:val="000000"/>
                <w:sz w:val="18"/>
                <w:szCs w:val="18"/>
              </w:rPr>
            </w:pPr>
          </w:p>
        </w:tc>
        <w:tc>
          <w:tcPr>
            <w:tcW w:w="224" w:type="pct"/>
            <w:gridSpan w:val="2"/>
            <w:tcBorders>
              <w:top w:val="single" w:sz="6" w:space="0" w:color="auto"/>
              <w:bottom w:val="nil"/>
            </w:tcBorders>
            <w:shd w:val="clear" w:color="auto" w:fill="auto"/>
            <w:noWrap/>
            <w:vAlign w:val="center"/>
          </w:tcPr>
          <w:p w14:paraId="364A98FE" w14:textId="33DBEF1A" w:rsidR="00D2113B" w:rsidRPr="00BC68C4" w:rsidRDefault="00D2113B"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37</w:t>
            </w:r>
          </w:p>
        </w:tc>
        <w:tc>
          <w:tcPr>
            <w:tcW w:w="251" w:type="pct"/>
            <w:gridSpan w:val="2"/>
            <w:tcBorders>
              <w:top w:val="single" w:sz="6" w:space="0" w:color="auto"/>
              <w:bottom w:val="nil"/>
            </w:tcBorders>
            <w:vAlign w:val="center"/>
          </w:tcPr>
          <w:p w14:paraId="66DC0C88" w14:textId="177092A9" w:rsidR="00D2113B" w:rsidRPr="00BC68C4" w:rsidRDefault="00D2113B"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7.6%</w:t>
            </w:r>
          </w:p>
        </w:tc>
        <w:tc>
          <w:tcPr>
            <w:tcW w:w="197" w:type="pct"/>
            <w:tcBorders>
              <w:top w:val="single" w:sz="6" w:space="0" w:color="auto"/>
              <w:bottom w:val="nil"/>
            </w:tcBorders>
            <w:vAlign w:val="center"/>
          </w:tcPr>
          <w:p w14:paraId="22D9A974" w14:textId="73807283" w:rsidR="00D2113B" w:rsidRPr="00BC68C4" w:rsidRDefault="00D2113B" w:rsidP="00444E56">
            <w:pPr>
              <w:jc w:val="center"/>
              <w:rPr>
                <w:rFonts w:ascii="Times New Roman" w:hAnsi="Times New Roman" w:cs="Times New Roman"/>
                <w:color w:val="000000"/>
                <w:sz w:val="18"/>
                <w:szCs w:val="18"/>
              </w:rPr>
            </w:pPr>
          </w:p>
        </w:tc>
        <w:tc>
          <w:tcPr>
            <w:tcW w:w="224" w:type="pct"/>
            <w:tcBorders>
              <w:top w:val="single" w:sz="6" w:space="0" w:color="auto"/>
              <w:bottom w:val="nil"/>
            </w:tcBorders>
            <w:shd w:val="clear" w:color="auto" w:fill="auto"/>
            <w:noWrap/>
            <w:vAlign w:val="center"/>
          </w:tcPr>
          <w:p w14:paraId="13469E23" w14:textId="645B7AF3" w:rsidR="00D2113B" w:rsidRPr="00BC68C4" w:rsidRDefault="00D2113B"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13</w:t>
            </w:r>
          </w:p>
        </w:tc>
        <w:tc>
          <w:tcPr>
            <w:tcW w:w="277" w:type="pct"/>
            <w:tcBorders>
              <w:top w:val="single" w:sz="6" w:space="0" w:color="auto"/>
              <w:bottom w:val="nil"/>
            </w:tcBorders>
            <w:vAlign w:val="center"/>
          </w:tcPr>
          <w:p w14:paraId="172D53C6" w14:textId="248896F1" w:rsidR="00D2113B" w:rsidRPr="00BC68C4" w:rsidRDefault="00D2113B"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8.4%</w:t>
            </w:r>
          </w:p>
        </w:tc>
        <w:tc>
          <w:tcPr>
            <w:tcW w:w="202" w:type="pct"/>
            <w:tcBorders>
              <w:top w:val="single" w:sz="6" w:space="0" w:color="auto"/>
              <w:bottom w:val="nil"/>
            </w:tcBorders>
            <w:vAlign w:val="center"/>
          </w:tcPr>
          <w:p w14:paraId="40F3891A" w14:textId="62620485" w:rsidR="00D2113B" w:rsidRPr="00BC68C4" w:rsidRDefault="00D2113B" w:rsidP="00444E56">
            <w:pPr>
              <w:jc w:val="center"/>
              <w:rPr>
                <w:rFonts w:ascii="Times New Roman" w:hAnsi="Times New Roman" w:cs="Times New Roman"/>
                <w:color w:val="000000"/>
                <w:sz w:val="18"/>
                <w:szCs w:val="18"/>
              </w:rPr>
            </w:pPr>
          </w:p>
        </w:tc>
        <w:tc>
          <w:tcPr>
            <w:tcW w:w="193" w:type="pct"/>
            <w:gridSpan w:val="2"/>
            <w:tcBorders>
              <w:top w:val="single" w:sz="6" w:space="0" w:color="auto"/>
              <w:bottom w:val="nil"/>
            </w:tcBorders>
            <w:shd w:val="clear" w:color="auto" w:fill="auto"/>
            <w:noWrap/>
            <w:vAlign w:val="center"/>
          </w:tcPr>
          <w:p w14:paraId="59DF90CC" w14:textId="77FEF006" w:rsidR="00D2113B" w:rsidRPr="00BC68C4" w:rsidRDefault="00D2113B" w:rsidP="00444E56">
            <w:pPr>
              <w:jc w:val="center"/>
              <w:rPr>
                <w:rFonts w:ascii="Times New Roman" w:hAnsi="Times New Roman" w:cs="Times New Roman"/>
                <w:color w:val="000000"/>
                <w:sz w:val="18"/>
                <w:szCs w:val="18"/>
              </w:rPr>
            </w:pPr>
          </w:p>
        </w:tc>
        <w:tc>
          <w:tcPr>
            <w:tcW w:w="224" w:type="pct"/>
            <w:tcBorders>
              <w:top w:val="single" w:sz="6" w:space="0" w:color="auto"/>
              <w:bottom w:val="nil"/>
            </w:tcBorders>
            <w:shd w:val="clear" w:color="auto" w:fill="auto"/>
            <w:noWrap/>
            <w:vAlign w:val="center"/>
          </w:tcPr>
          <w:p w14:paraId="70C2C097" w14:textId="26458B61" w:rsidR="00D2113B" w:rsidRPr="00BC68C4" w:rsidRDefault="00D2113B"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59</w:t>
            </w:r>
          </w:p>
        </w:tc>
        <w:tc>
          <w:tcPr>
            <w:tcW w:w="224" w:type="pct"/>
            <w:tcBorders>
              <w:top w:val="single" w:sz="6" w:space="0" w:color="auto"/>
              <w:bottom w:val="nil"/>
            </w:tcBorders>
            <w:vAlign w:val="center"/>
          </w:tcPr>
          <w:p w14:paraId="7A6362EE" w14:textId="5500D32A" w:rsidR="00D2113B" w:rsidRPr="00BC68C4" w:rsidRDefault="00D2113B"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0.94</w:t>
            </w:r>
          </w:p>
        </w:tc>
        <w:tc>
          <w:tcPr>
            <w:tcW w:w="224" w:type="pct"/>
            <w:tcBorders>
              <w:top w:val="single" w:sz="6" w:space="0" w:color="auto"/>
              <w:bottom w:val="nil"/>
            </w:tcBorders>
            <w:vAlign w:val="center"/>
          </w:tcPr>
          <w:p w14:paraId="51D72AE3" w14:textId="0A4B1ACE" w:rsidR="00D2113B" w:rsidRPr="00BC68C4" w:rsidRDefault="00D2113B" w:rsidP="00444E56">
            <w:pPr>
              <w:jc w:val="center"/>
              <w:rPr>
                <w:rFonts w:ascii="Times New Roman" w:hAnsi="Times New Roman" w:cs="Times New Roman"/>
                <w:color w:val="000000"/>
                <w:sz w:val="18"/>
                <w:szCs w:val="18"/>
              </w:rPr>
            </w:pPr>
          </w:p>
        </w:tc>
        <w:tc>
          <w:tcPr>
            <w:tcW w:w="224" w:type="pct"/>
            <w:tcBorders>
              <w:top w:val="single" w:sz="6" w:space="0" w:color="auto"/>
              <w:bottom w:val="nil"/>
            </w:tcBorders>
            <w:shd w:val="clear" w:color="auto" w:fill="auto"/>
            <w:noWrap/>
            <w:vAlign w:val="center"/>
          </w:tcPr>
          <w:p w14:paraId="46952BFE" w14:textId="3B0D00A3" w:rsidR="00D2113B" w:rsidRPr="00BC68C4" w:rsidRDefault="00D2113B"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30</w:t>
            </w:r>
          </w:p>
        </w:tc>
        <w:tc>
          <w:tcPr>
            <w:tcW w:w="224" w:type="pct"/>
            <w:tcBorders>
              <w:top w:val="single" w:sz="6" w:space="0" w:color="auto"/>
              <w:bottom w:val="nil"/>
            </w:tcBorders>
            <w:vAlign w:val="center"/>
          </w:tcPr>
          <w:p w14:paraId="63C58DD5" w14:textId="7CDE52F7" w:rsidR="00D2113B" w:rsidRPr="00BC68C4" w:rsidRDefault="00D2113B"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0.93</w:t>
            </w:r>
          </w:p>
        </w:tc>
        <w:tc>
          <w:tcPr>
            <w:tcW w:w="224" w:type="pct"/>
            <w:tcBorders>
              <w:top w:val="single" w:sz="6" w:space="0" w:color="auto"/>
              <w:bottom w:val="nil"/>
            </w:tcBorders>
            <w:vAlign w:val="center"/>
          </w:tcPr>
          <w:p w14:paraId="2CDF0710" w14:textId="7E5017A4" w:rsidR="00D2113B" w:rsidRPr="00BC68C4" w:rsidRDefault="00D2113B" w:rsidP="00444E56">
            <w:pPr>
              <w:jc w:val="center"/>
              <w:rPr>
                <w:rFonts w:ascii="Times New Roman" w:hAnsi="Times New Roman" w:cs="Times New Roman"/>
                <w:color w:val="000000"/>
                <w:sz w:val="18"/>
                <w:szCs w:val="18"/>
              </w:rPr>
            </w:pPr>
          </w:p>
        </w:tc>
        <w:tc>
          <w:tcPr>
            <w:tcW w:w="224" w:type="pct"/>
            <w:tcBorders>
              <w:top w:val="single" w:sz="6" w:space="0" w:color="auto"/>
              <w:bottom w:val="nil"/>
            </w:tcBorders>
            <w:shd w:val="clear" w:color="auto" w:fill="auto"/>
            <w:noWrap/>
            <w:vAlign w:val="center"/>
          </w:tcPr>
          <w:p w14:paraId="031EACC2" w14:textId="6075C924" w:rsidR="00D2113B" w:rsidRPr="00BC68C4" w:rsidRDefault="00D2113B"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8</w:t>
            </w:r>
          </w:p>
        </w:tc>
        <w:tc>
          <w:tcPr>
            <w:tcW w:w="224" w:type="pct"/>
            <w:tcBorders>
              <w:top w:val="single" w:sz="6" w:space="0" w:color="auto"/>
              <w:bottom w:val="nil"/>
            </w:tcBorders>
            <w:shd w:val="clear" w:color="auto" w:fill="auto"/>
            <w:noWrap/>
            <w:vAlign w:val="center"/>
          </w:tcPr>
          <w:p w14:paraId="4AD64DF1" w14:textId="21B2548E" w:rsidR="00D2113B" w:rsidRPr="00BC68C4" w:rsidRDefault="00D2113B"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0.90</w:t>
            </w:r>
          </w:p>
        </w:tc>
        <w:tc>
          <w:tcPr>
            <w:tcW w:w="227" w:type="pct"/>
            <w:tcBorders>
              <w:top w:val="single" w:sz="6" w:space="0" w:color="auto"/>
              <w:bottom w:val="nil"/>
            </w:tcBorders>
            <w:vAlign w:val="center"/>
          </w:tcPr>
          <w:p w14:paraId="1A78EAA0" w14:textId="77777777" w:rsidR="00D2113B" w:rsidRPr="00BC68C4" w:rsidRDefault="00D2113B" w:rsidP="009912BC">
            <w:pPr>
              <w:jc w:val="center"/>
              <w:rPr>
                <w:rFonts w:ascii="Times New Roman" w:hAnsi="Times New Roman" w:cs="Times New Roman"/>
                <w:color w:val="000000"/>
                <w:sz w:val="18"/>
                <w:szCs w:val="18"/>
              </w:rPr>
            </w:pPr>
          </w:p>
        </w:tc>
      </w:tr>
      <w:tr w:rsidR="00D2113B" w:rsidRPr="00BC68C4" w14:paraId="4335C105" w14:textId="77777777" w:rsidTr="00444E56">
        <w:trPr>
          <w:trHeight w:val="300"/>
        </w:trPr>
        <w:tc>
          <w:tcPr>
            <w:tcW w:w="741" w:type="pct"/>
            <w:tcBorders>
              <w:top w:val="nil"/>
              <w:bottom w:val="nil"/>
            </w:tcBorders>
            <w:shd w:val="clear" w:color="auto" w:fill="auto"/>
            <w:noWrap/>
            <w:vAlign w:val="center"/>
          </w:tcPr>
          <w:p w14:paraId="0F23BE1C" w14:textId="77777777" w:rsidR="00D2113B" w:rsidRPr="00BC68C4" w:rsidRDefault="00D2113B" w:rsidP="001B191D">
            <w:pPr>
              <w:jc w:val="left"/>
              <w:rPr>
                <w:rFonts w:ascii="Times New Roman" w:eastAsia="Times New Roman" w:hAnsi="Times New Roman" w:cs="Times New Roman"/>
                <w:color w:val="000000"/>
                <w:sz w:val="18"/>
                <w:szCs w:val="20"/>
                <w:lang w:eastAsia="en-GB"/>
              </w:rPr>
            </w:pPr>
            <w:r w:rsidRPr="00BC68C4">
              <w:rPr>
                <w:rFonts w:ascii="Times New Roman" w:eastAsia="Times New Roman" w:hAnsi="Times New Roman" w:cs="Times New Roman"/>
                <w:color w:val="000000"/>
                <w:sz w:val="18"/>
                <w:szCs w:val="20"/>
                <w:lang w:eastAsia="en-GB"/>
              </w:rPr>
              <w:t xml:space="preserve">No Active </w:t>
            </w:r>
            <w:proofErr w:type="spellStart"/>
            <w:r w:rsidRPr="00BC68C4">
              <w:rPr>
                <w:rFonts w:ascii="Times New Roman" w:eastAsia="Times New Roman" w:hAnsi="Times New Roman" w:cs="Times New Roman"/>
                <w:color w:val="000000"/>
                <w:sz w:val="18"/>
                <w:szCs w:val="20"/>
                <w:lang w:eastAsia="en-GB"/>
              </w:rPr>
              <w:t>Blockholders</w:t>
            </w:r>
            <w:proofErr w:type="spellEnd"/>
          </w:p>
        </w:tc>
        <w:tc>
          <w:tcPr>
            <w:tcW w:w="224" w:type="pct"/>
            <w:tcBorders>
              <w:top w:val="nil"/>
              <w:bottom w:val="nil"/>
            </w:tcBorders>
            <w:vAlign w:val="center"/>
          </w:tcPr>
          <w:p w14:paraId="6940EA5F" w14:textId="6EFF155A" w:rsidR="00D2113B" w:rsidRPr="00BC68C4" w:rsidRDefault="00D2113B"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172</w:t>
            </w:r>
          </w:p>
        </w:tc>
        <w:tc>
          <w:tcPr>
            <w:tcW w:w="273" w:type="pct"/>
            <w:tcBorders>
              <w:top w:val="nil"/>
              <w:bottom w:val="nil"/>
            </w:tcBorders>
            <w:vAlign w:val="center"/>
          </w:tcPr>
          <w:p w14:paraId="7A6C332C" w14:textId="4AE31B80" w:rsidR="00D2113B" w:rsidRPr="00BC68C4" w:rsidRDefault="00D2113B"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4.3%</w:t>
            </w:r>
          </w:p>
        </w:tc>
        <w:tc>
          <w:tcPr>
            <w:tcW w:w="175" w:type="pct"/>
            <w:tcBorders>
              <w:top w:val="nil"/>
              <w:bottom w:val="nil"/>
            </w:tcBorders>
            <w:vAlign w:val="center"/>
          </w:tcPr>
          <w:p w14:paraId="23F41812" w14:textId="77777777" w:rsidR="00D2113B" w:rsidRPr="00BC68C4" w:rsidRDefault="00D2113B" w:rsidP="00444E56">
            <w:pPr>
              <w:jc w:val="center"/>
              <w:rPr>
                <w:rFonts w:ascii="Times New Roman" w:hAnsi="Times New Roman" w:cs="Times New Roman"/>
                <w:color w:val="000000"/>
                <w:sz w:val="18"/>
                <w:szCs w:val="18"/>
              </w:rPr>
            </w:pPr>
          </w:p>
        </w:tc>
        <w:tc>
          <w:tcPr>
            <w:tcW w:w="224" w:type="pct"/>
            <w:gridSpan w:val="2"/>
            <w:tcBorders>
              <w:top w:val="nil"/>
              <w:bottom w:val="nil"/>
            </w:tcBorders>
            <w:shd w:val="clear" w:color="auto" w:fill="auto"/>
            <w:noWrap/>
            <w:vAlign w:val="center"/>
          </w:tcPr>
          <w:p w14:paraId="664C3265" w14:textId="54B72B8B" w:rsidR="00D2113B" w:rsidRPr="00BC68C4" w:rsidRDefault="00D2113B"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208</w:t>
            </w:r>
          </w:p>
        </w:tc>
        <w:tc>
          <w:tcPr>
            <w:tcW w:w="251" w:type="pct"/>
            <w:gridSpan w:val="2"/>
            <w:tcBorders>
              <w:top w:val="nil"/>
              <w:bottom w:val="nil"/>
            </w:tcBorders>
            <w:vAlign w:val="center"/>
          </w:tcPr>
          <w:p w14:paraId="14362DF4" w14:textId="120E5EA6" w:rsidR="00D2113B" w:rsidRPr="00BC68C4" w:rsidRDefault="00D2113B"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4.5%</w:t>
            </w:r>
          </w:p>
        </w:tc>
        <w:tc>
          <w:tcPr>
            <w:tcW w:w="197" w:type="pct"/>
            <w:tcBorders>
              <w:top w:val="nil"/>
              <w:bottom w:val="nil"/>
            </w:tcBorders>
            <w:vAlign w:val="center"/>
          </w:tcPr>
          <w:p w14:paraId="7D8D9445" w14:textId="77777777" w:rsidR="00D2113B" w:rsidRPr="00BC68C4" w:rsidRDefault="00D2113B" w:rsidP="00444E56">
            <w:pPr>
              <w:jc w:val="center"/>
              <w:rPr>
                <w:rFonts w:ascii="Times New Roman" w:hAnsi="Times New Roman" w:cs="Times New Roman"/>
                <w:color w:val="000000"/>
                <w:sz w:val="18"/>
                <w:szCs w:val="18"/>
              </w:rPr>
            </w:pPr>
          </w:p>
        </w:tc>
        <w:tc>
          <w:tcPr>
            <w:tcW w:w="224" w:type="pct"/>
            <w:tcBorders>
              <w:top w:val="nil"/>
              <w:bottom w:val="nil"/>
            </w:tcBorders>
            <w:shd w:val="clear" w:color="auto" w:fill="auto"/>
            <w:noWrap/>
            <w:vAlign w:val="center"/>
          </w:tcPr>
          <w:p w14:paraId="3B7E28D5" w14:textId="27136D26" w:rsidR="00D2113B" w:rsidRPr="00BC68C4" w:rsidRDefault="00D2113B"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232</w:t>
            </w:r>
          </w:p>
        </w:tc>
        <w:tc>
          <w:tcPr>
            <w:tcW w:w="277" w:type="pct"/>
            <w:tcBorders>
              <w:top w:val="nil"/>
              <w:bottom w:val="nil"/>
            </w:tcBorders>
            <w:vAlign w:val="center"/>
          </w:tcPr>
          <w:p w14:paraId="71F14054" w14:textId="2F4F1D3A" w:rsidR="00D2113B" w:rsidRPr="00BC68C4" w:rsidRDefault="00D2113B"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4.8%</w:t>
            </w:r>
          </w:p>
        </w:tc>
        <w:tc>
          <w:tcPr>
            <w:tcW w:w="202" w:type="pct"/>
            <w:tcBorders>
              <w:top w:val="nil"/>
              <w:bottom w:val="nil"/>
            </w:tcBorders>
            <w:vAlign w:val="center"/>
          </w:tcPr>
          <w:p w14:paraId="4F3DC542" w14:textId="77777777" w:rsidR="00D2113B" w:rsidRPr="00BC68C4" w:rsidRDefault="00D2113B" w:rsidP="00444E56">
            <w:pPr>
              <w:jc w:val="center"/>
              <w:rPr>
                <w:rFonts w:ascii="Times New Roman" w:hAnsi="Times New Roman" w:cs="Times New Roman"/>
                <w:color w:val="000000"/>
                <w:sz w:val="18"/>
                <w:szCs w:val="18"/>
              </w:rPr>
            </w:pPr>
          </w:p>
        </w:tc>
        <w:tc>
          <w:tcPr>
            <w:tcW w:w="193" w:type="pct"/>
            <w:gridSpan w:val="2"/>
            <w:tcBorders>
              <w:top w:val="nil"/>
              <w:bottom w:val="nil"/>
            </w:tcBorders>
            <w:shd w:val="clear" w:color="auto" w:fill="auto"/>
            <w:noWrap/>
            <w:vAlign w:val="center"/>
          </w:tcPr>
          <w:p w14:paraId="0FC560A7" w14:textId="77777777" w:rsidR="00D2113B" w:rsidRPr="00BC68C4" w:rsidRDefault="00D2113B" w:rsidP="00444E56">
            <w:pPr>
              <w:jc w:val="center"/>
              <w:rPr>
                <w:rFonts w:ascii="Times New Roman" w:hAnsi="Times New Roman" w:cs="Times New Roman"/>
                <w:color w:val="000000"/>
                <w:sz w:val="18"/>
                <w:szCs w:val="18"/>
              </w:rPr>
            </w:pPr>
          </w:p>
        </w:tc>
        <w:tc>
          <w:tcPr>
            <w:tcW w:w="224" w:type="pct"/>
            <w:tcBorders>
              <w:top w:val="nil"/>
              <w:bottom w:val="nil"/>
            </w:tcBorders>
            <w:shd w:val="clear" w:color="auto" w:fill="auto"/>
            <w:noWrap/>
            <w:vAlign w:val="center"/>
          </w:tcPr>
          <w:p w14:paraId="22199AD2" w14:textId="1BB1E4AD" w:rsidR="00D2113B" w:rsidRPr="00BC68C4" w:rsidRDefault="00D2113B"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153</w:t>
            </w:r>
          </w:p>
        </w:tc>
        <w:tc>
          <w:tcPr>
            <w:tcW w:w="224" w:type="pct"/>
            <w:tcBorders>
              <w:top w:val="nil"/>
              <w:bottom w:val="nil"/>
            </w:tcBorders>
            <w:vAlign w:val="center"/>
          </w:tcPr>
          <w:p w14:paraId="4B552DF3" w14:textId="129E8257" w:rsidR="00D2113B" w:rsidRPr="00BC68C4" w:rsidRDefault="00D2113B"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0.95</w:t>
            </w:r>
          </w:p>
        </w:tc>
        <w:tc>
          <w:tcPr>
            <w:tcW w:w="224" w:type="pct"/>
            <w:tcBorders>
              <w:top w:val="nil"/>
              <w:bottom w:val="nil"/>
            </w:tcBorders>
            <w:vAlign w:val="center"/>
          </w:tcPr>
          <w:p w14:paraId="1DD09DF1" w14:textId="77777777" w:rsidR="00D2113B" w:rsidRPr="00BC68C4" w:rsidRDefault="00D2113B" w:rsidP="00444E56">
            <w:pPr>
              <w:jc w:val="center"/>
              <w:rPr>
                <w:rFonts w:ascii="Times New Roman" w:hAnsi="Times New Roman" w:cs="Times New Roman"/>
                <w:color w:val="000000"/>
                <w:sz w:val="18"/>
                <w:szCs w:val="18"/>
              </w:rPr>
            </w:pPr>
          </w:p>
        </w:tc>
        <w:tc>
          <w:tcPr>
            <w:tcW w:w="224" w:type="pct"/>
            <w:tcBorders>
              <w:top w:val="nil"/>
              <w:bottom w:val="nil"/>
            </w:tcBorders>
            <w:shd w:val="clear" w:color="auto" w:fill="auto"/>
            <w:noWrap/>
            <w:vAlign w:val="center"/>
          </w:tcPr>
          <w:p w14:paraId="6747F825" w14:textId="7821C131" w:rsidR="00D2113B" w:rsidRPr="00BC68C4" w:rsidRDefault="00D2113B"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182</w:t>
            </w:r>
          </w:p>
        </w:tc>
        <w:tc>
          <w:tcPr>
            <w:tcW w:w="224" w:type="pct"/>
            <w:tcBorders>
              <w:top w:val="nil"/>
              <w:bottom w:val="nil"/>
            </w:tcBorders>
            <w:vAlign w:val="center"/>
          </w:tcPr>
          <w:p w14:paraId="4F079C3A" w14:textId="41FD718E" w:rsidR="00D2113B" w:rsidRPr="00BC68C4" w:rsidRDefault="00D2113B"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0.95</w:t>
            </w:r>
          </w:p>
        </w:tc>
        <w:tc>
          <w:tcPr>
            <w:tcW w:w="224" w:type="pct"/>
            <w:tcBorders>
              <w:top w:val="nil"/>
              <w:bottom w:val="nil"/>
            </w:tcBorders>
            <w:vAlign w:val="center"/>
          </w:tcPr>
          <w:p w14:paraId="72012F6A" w14:textId="77777777" w:rsidR="00D2113B" w:rsidRPr="00BC68C4" w:rsidRDefault="00D2113B" w:rsidP="00444E56">
            <w:pPr>
              <w:jc w:val="center"/>
              <w:rPr>
                <w:rFonts w:ascii="Times New Roman" w:hAnsi="Times New Roman" w:cs="Times New Roman"/>
                <w:color w:val="000000"/>
                <w:sz w:val="18"/>
                <w:szCs w:val="18"/>
              </w:rPr>
            </w:pPr>
          </w:p>
        </w:tc>
        <w:tc>
          <w:tcPr>
            <w:tcW w:w="224" w:type="pct"/>
            <w:tcBorders>
              <w:top w:val="nil"/>
              <w:bottom w:val="nil"/>
            </w:tcBorders>
            <w:shd w:val="clear" w:color="auto" w:fill="auto"/>
            <w:noWrap/>
            <w:vAlign w:val="center"/>
          </w:tcPr>
          <w:p w14:paraId="3284E740" w14:textId="51628355" w:rsidR="00D2113B" w:rsidRPr="00BC68C4" w:rsidRDefault="00D2113B"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204</w:t>
            </w:r>
          </w:p>
        </w:tc>
        <w:tc>
          <w:tcPr>
            <w:tcW w:w="224" w:type="pct"/>
            <w:tcBorders>
              <w:top w:val="nil"/>
              <w:bottom w:val="nil"/>
            </w:tcBorders>
            <w:shd w:val="clear" w:color="auto" w:fill="auto"/>
            <w:noWrap/>
            <w:vAlign w:val="center"/>
          </w:tcPr>
          <w:p w14:paraId="2FA851C0" w14:textId="4B55331D" w:rsidR="00D2113B" w:rsidRPr="00BC68C4" w:rsidRDefault="00D2113B"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0.95</w:t>
            </w:r>
          </w:p>
        </w:tc>
        <w:tc>
          <w:tcPr>
            <w:tcW w:w="227" w:type="pct"/>
            <w:tcBorders>
              <w:top w:val="nil"/>
              <w:bottom w:val="nil"/>
            </w:tcBorders>
            <w:vAlign w:val="center"/>
          </w:tcPr>
          <w:p w14:paraId="675501DF" w14:textId="77777777" w:rsidR="00D2113B" w:rsidRPr="00BC68C4" w:rsidRDefault="00D2113B" w:rsidP="009912BC">
            <w:pPr>
              <w:jc w:val="center"/>
              <w:rPr>
                <w:rFonts w:ascii="Times New Roman" w:hAnsi="Times New Roman" w:cs="Times New Roman"/>
                <w:color w:val="000000"/>
                <w:sz w:val="18"/>
                <w:szCs w:val="18"/>
              </w:rPr>
            </w:pPr>
          </w:p>
        </w:tc>
      </w:tr>
      <w:tr w:rsidR="00D2113B" w:rsidRPr="00BC68C4" w14:paraId="07B0ABDC" w14:textId="77777777" w:rsidTr="00276ED1">
        <w:trPr>
          <w:trHeight w:val="300"/>
        </w:trPr>
        <w:tc>
          <w:tcPr>
            <w:tcW w:w="741" w:type="pct"/>
            <w:tcBorders>
              <w:top w:val="nil"/>
              <w:bottom w:val="single" w:sz="6" w:space="0" w:color="auto"/>
            </w:tcBorders>
            <w:shd w:val="clear" w:color="auto" w:fill="auto"/>
            <w:noWrap/>
            <w:vAlign w:val="bottom"/>
          </w:tcPr>
          <w:p w14:paraId="003AC412" w14:textId="77777777" w:rsidR="00D2113B" w:rsidRPr="00BC68C4" w:rsidRDefault="00D2113B" w:rsidP="00665C7D">
            <w:pPr>
              <w:jc w:val="left"/>
              <w:rPr>
                <w:rFonts w:ascii="Times New Roman" w:eastAsia="Times New Roman" w:hAnsi="Times New Roman" w:cs="Times New Roman"/>
                <w:color w:val="000000"/>
                <w:sz w:val="18"/>
                <w:szCs w:val="20"/>
                <w:lang w:eastAsia="en-GB"/>
              </w:rPr>
            </w:pPr>
          </w:p>
          <w:p w14:paraId="6980A58D" w14:textId="77777777" w:rsidR="00D2113B" w:rsidRPr="00BC68C4" w:rsidRDefault="00D2113B" w:rsidP="00665C7D">
            <w:pPr>
              <w:jc w:val="left"/>
              <w:rPr>
                <w:rFonts w:ascii="Times New Roman" w:eastAsia="Times New Roman" w:hAnsi="Times New Roman" w:cs="Times New Roman"/>
                <w:color w:val="000000"/>
                <w:sz w:val="18"/>
                <w:szCs w:val="20"/>
                <w:lang w:eastAsia="en-GB"/>
              </w:rPr>
            </w:pPr>
            <w:r w:rsidRPr="00BC68C4">
              <w:rPr>
                <w:rFonts w:ascii="Times New Roman" w:eastAsia="Times New Roman" w:hAnsi="Times New Roman" w:cs="Times New Roman"/>
                <w:color w:val="000000"/>
                <w:sz w:val="18"/>
                <w:szCs w:val="20"/>
                <w:lang w:eastAsia="en-GB"/>
              </w:rPr>
              <w:t>Difference in means</w:t>
            </w:r>
          </w:p>
        </w:tc>
        <w:tc>
          <w:tcPr>
            <w:tcW w:w="224" w:type="pct"/>
            <w:tcBorders>
              <w:top w:val="nil"/>
              <w:bottom w:val="single" w:sz="6" w:space="0" w:color="auto"/>
            </w:tcBorders>
            <w:vAlign w:val="center"/>
          </w:tcPr>
          <w:p w14:paraId="075C0937" w14:textId="530B0DE2" w:rsidR="00D2113B" w:rsidRPr="00BC68C4" w:rsidRDefault="00D2113B" w:rsidP="00444E56">
            <w:pPr>
              <w:jc w:val="center"/>
              <w:rPr>
                <w:rFonts w:ascii="Times New Roman" w:hAnsi="Times New Roman" w:cs="Times New Roman"/>
                <w:color w:val="000000"/>
                <w:sz w:val="18"/>
                <w:szCs w:val="18"/>
              </w:rPr>
            </w:pPr>
          </w:p>
        </w:tc>
        <w:tc>
          <w:tcPr>
            <w:tcW w:w="273" w:type="pct"/>
            <w:tcBorders>
              <w:top w:val="nil"/>
              <w:bottom w:val="single" w:sz="6" w:space="0" w:color="auto"/>
            </w:tcBorders>
            <w:vAlign w:val="bottom"/>
          </w:tcPr>
          <w:p w14:paraId="70DA2F8F" w14:textId="3D260659" w:rsidR="00D2113B" w:rsidRPr="00BC68C4" w:rsidRDefault="00D2113B" w:rsidP="0044062C">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2.3%</w:t>
            </w:r>
          </w:p>
        </w:tc>
        <w:tc>
          <w:tcPr>
            <w:tcW w:w="175" w:type="pct"/>
            <w:tcBorders>
              <w:top w:val="nil"/>
              <w:bottom w:val="single" w:sz="6" w:space="0" w:color="auto"/>
            </w:tcBorders>
            <w:vAlign w:val="bottom"/>
          </w:tcPr>
          <w:p w14:paraId="7D5F8412" w14:textId="78883483" w:rsidR="00D2113B" w:rsidRPr="00BC68C4" w:rsidRDefault="00D2113B" w:rsidP="00276ED1">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w:t>
            </w:r>
          </w:p>
        </w:tc>
        <w:tc>
          <w:tcPr>
            <w:tcW w:w="224" w:type="pct"/>
            <w:gridSpan w:val="2"/>
            <w:tcBorders>
              <w:top w:val="nil"/>
              <w:bottom w:val="single" w:sz="6" w:space="0" w:color="auto"/>
            </w:tcBorders>
            <w:shd w:val="clear" w:color="auto" w:fill="auto"/>
            <w:noWrap/>
            <w:vAlign w:val="bottom"/>
          </w:tcPr>
          <w:p w14:paraId="545AA1CC" w14:textId="49B43D59" w:rsidR="00D2113B" w:rsidRPr="00BC68C4" w:rsidRDefault="00D2113B" w:rsidP="00276ED1">
            <w:pPr>
              <w:jc w:val="center"/>
              <w:rPr>
                <w:rFonts w:ascii="Times New Roman" w:hAnsi="Times New Roman" w:cs="Times New Roman"/>
                <w:color w:val="000000"/>
                <w:sz w:val="18"/>
                <w:szCs w:val="18"/>
              </w:rPr>
            </w:pPr>
          </w:p>
        </w:tc>
        <w:tc>
          <w:tcPr>
            <w:tcW w:w="251" w:type="pct"/>
            <w:gridSpan w:val="2"/>
            <w:tcBorders>
              <w:top w:val="nil"/>
              <w:bottom w:val="single" w:sz="6" w:space="0" w:color="auto"/>
            </w:tcBorders>
            <w:vAlign w:val="bottom"/>
          </w:tcPr>
          <w:p w14:paraId="33FDE14F" w14:textId="4C51B00A" w:rsidR="00D2113B" w:rsidRPr="00BC68C4" w:rsidRDefault="00D2113B" w:rsidP="00276ED1">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3.1%</w:t>
            </w:r>
          </w:p>
        </w:tc>
        <w:tc>
          <w:tcPr>
            <w:tcW w:w="197" w:type="pct"/>
            <w:tcBorders>
              <w:top w:val="nil"/>
              <w:bottom w:val="single" w:sz="6" w:space="0" w:color="auto"/>
            </w:tcBorders>
            <w:vAlign w:val="bottom"/>
          </w:tcPr>
          <w:p w14:paraId="2DB95124" w14:textId="0A7E61AF" w:rsidR="00D2113B" w:rsidRPr="00BC68C4" w:rsidRDefault="00D2113B" w:rsidP="00276ED1">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w:t>
            </w:r>
          </w:p>
        </w:tc>
        <w:tc>
          <w:tcPr>
            <w:tcW w:w="224" w:type="pct"/>
            <w:tcBorders>
              <w:top w:val="nil"/>
              <w:bottom w:val="single" w:sz="6" w:space="0" w:color="auto"/>
            </w:tcBorders>
            <w:shd w:val="clear" w:color="auto" w:fill="auto"/>
            <w:noWrap/>
            <w:vAlign w:val="bottom"/>
          </w:tcPr>
          <w:p w14:paraId="396AA9D2" w14:textId="321C3FC9" w:rsidR="00D2113B" w:rsidRPr="00BC68C4" w:rsidRDefault="00D2113B" w:rsidP="00276ED1">
            <w:pPr>
              <w:jc w:val="center"/>
              <w:rPr>
                <w:rFonts w:ascii="Times New Roman" w:hAnsi="Times New Roman" w:cs="Times New Roman"/>
                <w:color w:val="000000"/>
                <w:sz w:val="18"/>
                <w:szCs w:val="18"/>
              </w:rPr>
            </w:pPr>
          </w:p>
        </w:tc>
        <w:tc>
          <w:tcPr>
            <w:tcW w:w="277" w:type="pct"/>
            <w:tcBorders>
              <w:top w:val="nil"/>
              <w:bottom w:val="single" w:sz="6" w:space="0" w:color="auto"/>
            </w:tcBorders>
            <w:vAlign w:val="bottom"/>
          </w:tcPr>
          <w:p w14:paraId="4C01ABAA" w14:textId="09210C6C" w:rsidR="00D2113B" w:rsidRPr="00BC68C4" w:rsidRDefault="00D2113B" w:rsidP="00276ED1">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3.6%</w:t>
            </w:r>
          </w:p>
        </w:tc>
        <w:tc>
          <w:tcPr>
            <w:tcW w:w="202" w:type="pct"/>
            <w:tcBorders>
              <w:top w:val="nil"/>
              <w:bottom w:val="single" w:sz="6" w:space="0" w:color="auto"/>
            </w:tcBorders>
            <w:vAlign w:val="bottom"/>
          </w:tcPr>
          <w:p w14:paraId="77237272" w14:textId="4B46BF75" w:rsidR="00D2113B" w:rsidRPr="00BC68C4" w:rsidRDefault="00212C69" w:rsidP="00276ED1">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w:t>
            </w:r>
          </w:p>
        </w:tc>
        <w:tc>
          <w:tcPr>
            <w:tcW w:w="193" w:type="pct"/>
            <w:gridSpan w:val="2"/>
            <w:tcBorders>
              <w:top w:val="nil"/>
              <w:bottom w:val="single" w:sz="6" w:space="0" w:color="auto"/>
            </w:tcBorders>
            <w:shd w:val="clear" w:color="auto" w:fill="auto"/>
            <w:noWrap/>
            <w:vAlign w:val="bottom"/>
          </w:tcPr>
          <w:p w14:paraId="25EA6984" w14:textId="61A7E15E" w:rsidR="00D2113B" w:rsidRPr="00BC68C4" w:rsidRDefault="00D2113B" w:rsidP="00276ED1">
            <w:pPr>
              <w:jc w:val="center"/>
              <w:rPr>
                <w:rFonts w:ascii="Times New Roman" w:hAnsi="Times New Roman" w:cs="Times New Roman"/>
                <w:color w:val="000000"/>
                <w:sz w:val="18"/>
                <w:szCs w:val="18"/>
              </w:rPr>
            </w:pPr>
          </w:p>
        </w:tc>
        <w:tc>
          <w:tcPr>
            <w:tcW w:w="224" w:type="pct"/>
            <w:tcBorders>
              <w:top w:val="nil"/>
              <w:bottom w:val="single" w:sz="6" w:space="0" w:color="auto"/>
            </w:tcBorders>
            <w:shd w:val="clear" w:color="auto" w:fill="auto"/>
            <w:noWrap/>
            <w:vAlign w:val="bottom"/>
          </w:tcPr>
          <w:p w14:paraId="2CDEA839" w14:textId="23C7CEAC" w:rsidR="00D2113B" w:rsidRPr="00BC68C4" w:rsidRDefault="00D2113B" w:rsidP="00276ED1">
            <w:pPr>
              <w:jc w:val="center"/>
              <w:rPr>
                <w:rFonts w:ascii="Times New Roman" w:hAnsi="Times New Roman" w:cs="Times New Roman"/>
                <w:color w:val="000000"/>
                <w:sz w:val="18"/>
                <w:szCs w:val="18"/>
              </w:rPr>
            </w:pPr>
          </w:p>
        </w:tc>
        <w:tc>
          <w:tcPr>
            <w:tcW w:w="224" w:type="pct"/>
            <w:tcBorders>
              <w:top w:val="nil"/>
              <w:bottom w:val="single" w:sz="6" w:space="0" w:color="auto"/>
            </w:tcBorders>
            <w:vAlign w:val="bottom"/>
          </w:tcPr>
          <w:p w14:paraId="74E8602E" w14:textId="65FAEDA3" w:rsidR="00D2113B" w:rsidRPr="00BC68C4" w:rsidRDefault="00D2113B" w:rsidP="00276ED1">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-0.01</w:t>
            </w:r>
          </w:p>
        </w:tc>
        <w:tc>
          <w:tcPr>
            <w:tcW w:w="224" w:type="pct"/>
            <w:tcBorders>
              <w:top w:val="nil"/>
              <w:bottom w:val="single" w:sz="6" w:space="0" w:color="auto"/>
            </w:tcBorders>
            <w:vAlign w:val="bottom"/>
          </w:tcPr>
          <w:p w14:paraId="11BEBDE0" w14:textId="007DB77B" w:rsidR="00D2113B" w:rsidRPr="00BC68C4" w:rsidRDefault="00D2113B" w:rsidP="00276ED1">
            <w:pPr>
              <w:jc w:val="center"/>
              <w:rPr>
                <w:rFonts w:ascii="Times New Roman" w:hAnsi="Times New Roman" w:cs="Times New Roman"/>
                <w:color w:val="000000"/>
                <w:sz w:val="18"/>
                <w:szCs w:val="18"/>
              </w:rPr>
            </w:pPr>
          </w:p>
        </w:tc>
        <w:tc>
          <w:tcPr>
            <w:tcW w:w="224" w:type="pct"/>
            <w:tcBorders>
              <w:top w:val="nil"/>
              <w:bottom w:val="single" w:sz="6" w:space="0" w:color="auto"/>
            </w:tcBorders>
            <w:shd w:val="clear" w:color="auto" w:fill="auto"/>
            <w:noWrap/>
            <w:vAlign w:val="bottom"/>
          </w:tcPr>
          <w:p w14:paraId="5D86E2E9" w14:textId="27D0D967" w:rsidR="00D2113B" w:rsidRPr="00BC68C4" w:rsidRDefault="00D2113B" w:rsidP="00276ED1">
            <w:pPr>
              <w:jc w:val="center"/>
              <w:rPr>
                <w:rFonts w:ascii="Times New Roman" w:hAnsi="Times New Roman" w:cs="Times New Roman"/>
                <w:color w:val="000000"/>
                <w:sz w:val="18"/>
                <w:szCs w:val="18"/>
              </w:rPr>
            </w:pPr>
          </w:p>
        </w:tc>
        <w:tc>
          <w:tcPr>
            <w:tcW w:w="224" w:type="pct"/>
            <w:tcBorders>
              <w:top w:val="nil"/>
              <w:bottom w:val="single" w:sz="6" w:space="0" w:color="auto"/>
            </w:tcBorders>
            <w:vAlign w:val="bottom"/>
          </w:tcPr>
          <w:p w14:paraId="1ABBE8C0" w14:textId="35DD9698" w:rsidR="00D2113B" w:rsidRPr="00BC68C4" w:rsidRDefault="00D2113B" w:rsidP="00276ED1">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-0.01</w:t>
            </w:r>
          </w:p>
        </w:tc>
        <w:tc>
          <w:tcPr>
            <w:tcW w:w="224" w:type="pct"/>
            <w:tcBorders>
              <w:top w:val="nil"/>
              <w:bottom w:val="single" w:sz="6" w:space="0" w:color="auto"/>
            </w:tcBorders>
            <w:vAlign w:val="bottom"/>
          </w:tcPr>
          <w:p w14:paraId="35DCDB01" w14:textId="71F4A579" w:rsidR="00D2113B" w:rsidRPr="00BC68C4" w:rsidRDefault="00D2113B" w:rsidP="00276ED1">
            <w:pPr>
              <w:jc w:val="center"/>
              <w:rPr>
                <w:rFonts w:ascii="Times New Roman" w:hAnsi="Times New Roman" w:cs="Times New Roman"/>
                <w:color w:val="000000"/>
                <w:sz w:val="18"/>
                <w:szCs w:val="18"/>
              </w:rPr>
            </w:pPr>
          </w:p>
        </w:tc>
        <w:tc>
          <w:tcPr>
            <w:tcW w:w="224" w:type="pct"/>
            <w:tcBorders>
              <w:top w:val="nil"/>
              <w:bottom w:val="single" w:sz="6" w:space="0" w:color="auto"/>
            </w:tcBorders>
            <w:shd w:val="clear" w:color="auto" w:fill="auto"/>
            <w:noWrap/>
            <w:vAlign w:val="bottom"/>
          </w:tcPr>
          <w:p w14:paraId="74CA7340" w14:textId="1445F75E" w:rsidR="00D2113B" w:rsidRPr="00BC68C4" w:rsidRDefault="00D2113B" w:rsidP="00276ED1">
            <w:pPr>
              <w:jc w:val="center"/>
              <w:rPr>
                <w:rFonts w:ascii="Times New Roman" w:hAnsi="Times New Roman" w:cs="Times New Roman"/>
                <w:color w:val="000000"/>
                <w:sz w:val="18"/>
                <w:szCs w:val="18"/>
              </w:rPr>
            </w:pPr>
          </w:p>
        </w:tc>
        <w:tc>
          <w:tcPr>
            <w:tcW w:w="224" w:type="pct"/>
            <w:tcBorders>
              <w:top w:val="nil"/>
              <w:bottom w:val="single" w:sz="6" w:space="0" w:color="auto"/>
            </w:tcBorders>
            <w:shd w:val="clear" w:color="auto" w:fill="auto"/>
            <w:noWrap/>
            <w:vAlign w:val="bottom"/>
          </w:tcPr>
          <w:p w14:paraId="15B45FCE" w14:textId="1E96B435" w:rsidR="00D2113B" w:rsidRPr="00BC68C4" w:rsidRDefault="00D2113B" w:rsidP="00276ED1">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-0.04</w:t>
            </w:r>
          </w:p>
        </w:tc>
        <w:tc>
          <w:tcPr>
            <w:tcW w:w="227" w:type="pct"/>
            <w:tcBorders>
              <w:top w:val="nil"/>
              <w:bottom w:val="single" w:sz="6" w:space="0" w:color="auto"/>
            </w:tcBorders>
            <w:vAlign w:val="bottom"/>
          </w:tcPr>
          <w:p w14:paraId="43CC178F" w14:textId="77777777" w:rsidR="00D2113B" w:rsidRPr="00BC68C4" w:rsidRDefault="00D2113B" w:rsidP="00665C7D">
            <w:pPr>
              <w:jc w:val="left"/>
              <w:rPr>
                <w:rFonts w:ascii="Times New Roman" w:hAnsi="Times New Roman" w:cs="Times New Roman"/>
                <w:color w:val="000000"/>
                <w:sz w:val="18"/>
                <w:szCs w:val="18"/>
              </w:rPr>
            </w:pPr>
          </w:p>
        </w:tc>
      </w:tr>
      <w:tr w:rsidR="00665C7D" w:rsidRPr="00BC68C4" w14:paraId="4DB18C3F" w14:textId="77777777" w:rsidTr="00665C7D">
        <w:trPr>
          <w:trHeight w:val="300"/>
        </w:trPr>
        <w:tc>
          <w:tcPr>
            <w:tcW w:w="5000" w:type="pct"/>
            <w:gridSpan w:val="23"/>
            <w:tcBorders>
              <w:top w:val="single" w:sz="6" w:space="0" w:color="auto"/>
              <w:bottom w:val="single" w:sz="6" w:space="0" w:color="auto"/>
            </w:tcBorders>
            <w:shd w:val="clear" w:color="auto" w:fill="auto"/>
            <w:noWrap/>
            <w:vAlign w:val="center"/>
          </w:tcPr>
          <w:p w14:paraId="1FBDC169" w14:textId="77777777" w:rsidR="00665C7D" w:rsidRPr="00BC68C4" w:rsidRDefault="00665C7D" w:rsidP="009912BC">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 xml:space="preserve">Panel B: Passive </w:t>
            </w:r>
            <w:proofErr w:type="spellStart"/>
            <w:r w:rsidRPr="00BC68C4">
              <w:rPr>
                <w:rFonts w:ascii="Times New Roman" w:hAnsi="Times New Roman" w:cs="Times New Roman"/>
                <w:color w:val="000000"/>
                <w:sz w:val="18"/>
                <w:szCs w:val="18"/>
              </w:rPr>
              <w:t>Blockholders</w:t>
            </w:r>
            <w:proofErr w:type="spellEnd"/>
          </w:p>
        </w:tc>
      </w:tr>
      <w:tr w:rsidR="00212C69" w:rsidRPr="00BC68C4" w14:paraId="26BD9163" w14:textId="77777777" w:rsidTr="00444E56">
        <w:trPr>
          <w:trHeight w:val="300"/>
        </w:trPr>
        <w:tc>
          <w:tcPr>
            <w:tcW w:w="741" w:type="pct"/>
            <w:tcBorders>
              <w:top w:val="single" w:sz="6" w:space="0" w:color="auto"/>
              <w:bottom w:val="nil"/>
            </w:tcBorders>
            <w:shd w:val="clear" w:color="auto" w:fill="auto"/>
            <w:noWrap/>
            <w:vAlign w:val="center"/>
          </w:tcPr>
          <w:p w14:paraId="2F5E2215" w14:textId="77777777" w:rsidR="00212C69" w:rsidRPr="00BC68C4" w:rsidRDefault="00212C69" w:rsidP="001B191D">
            <w:pPr>
              <w:jc w:val="left"/>
              <w:rPr>
                <w:rFonts w:ascii="Times New Roman" w:eastAsia="Times New Roman" w:hAnsi="Times New Roman" w:cs="Times New Roman"/>
                <w:color w:val="000000"/>
                <w:sz w:val="18"/>
                <w:szCs w:val="20"/>
                <w:lang w:eastAsia="en-GB"/>
              </w:rPr>
            </w:pPr>
            <w:r w:rsidRPr="00BC68C4">
              <w:rPr>
                <w:rFonts w:ascii="Times New Roman" w:eastAsia="Times New Roman" w:hAnsi="Times New Roman" w:cs="Times New Roman"/>
                <w:color w:val="000000"/>
                <w:sz w:val="18"/>
                <w:szCs w:val="20"/>
                <w:lang w:eastAsia="en-GB"/>
              </w:rPr>
              <w:t xml:space="preserve">At least one Passive </w:t>
            </w:r>
            <w:proofErr w:type="spellStart"/>
            <w:r w:rsidRPr="00BC68C4">
              <w:rPr>
                <w:rFonts w:ascii="Times New Roman" w:eastAsia="Times New Roman" w:hAnsi="Times New Roman" w:cs="Times New Roman"/>
                <w:color w:val="000000"/>
                <w:sz w:val="18"/>
                <w:szCs w:val="20"/>
                <w:lang w:eastAsia="en-GB"/>
              </w:rPr>
              <w:t>Blockholder</w:t>
            </w:r>
            <w:proofErr w:type="spellEnd"/>
          </w:p>
          <w:p w14:paraId="494E4743" w14:textId="77777777" w:rsidR="00212C69" w:rsidRPr="00BC68C4" w:rsidRDefault="00212C69" w:rsidP="001B191D">
            <w:pPr>
              <w:jc w:val="left"/>
              <w:rPr>
                <w:rFonts w:ascii="Times New Roman" w:eastAsia="Times New Roman" w:hAnsi="Times New Roman" w:cs="Times New Roman"/>
                <w:color w:val="000000"/>
                <w:sz w:val="18"/>
                <w:szCs w:val="20"/>
                <w:lang w:eastAsia="en-GB"/>
              </w:rPr>
            </w:pPr>
          </w:p>
        </w:tc>
        <w:tc>
          <w:tcPr>
            <w:tcW w:w="224" w:type="pct"/>
            <w:tcBorders>
              <w:top w:val="single" w:sz="6" w:space="0" w:color="auto"/>
              <w:bottom w:val="nil"/>
            </w:tcBorders>
            <w:vAlign w:val="center"/>
          </w:tcPr>
          <w:p w14:paraId="5B10A1B1" w14:textId="2F83BB1C"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93</w:t>
            </w:r>
          </w:p>
        </w:tc>
        <w:tc>
          <w:tcPr>
            <w:tcW w:w="273" w:type="pct"/>
            <w:tcBorders>
              <w:top w:val="single" w:sz="6" w:space="0" w:color="auto"/>
              <w:bottom w:val="nil"/>
            </w:tcBorders>
            <w:vAlign w:val="center"/>
          </w:tcPr>
          <w:p w14:paraId="2817E0AA" w14:textId="6BADEC66"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5.6%</w:t>
            </w:r>
          </w:p>
        </w:tc>
        <w:tc>
          <w:tcPr>
            <w:tcW w:w="175" w:type="pct"/>
            <w:tcBorders>
              <w:top w:val="single" w:sz="6" w:space="0" w:color="auto"/>
              <w:bottom w:val="nil"/>
            </w:tcBorders>
            <w:vAlign w:val="center"/>
          </w:tcPr>
          <w:p w14:paraId="371299AC" w14:textId="517D1136" w:rsidR="00212C69" w:rsidRPr="00BC68C4" w:rsidRDefault="00212C69" w:rsidP="00444E56">
            <w:pPr>
              <w:jc w:val="center"/>
              <w:rPr>
                <w:rFonts w:ascii="Times New Roman" w:hAnsi="Times New Roman" w:cs="Times New Roman"/>
                <w:color w:val="000000"/>
                <w:sz w:val="18"/>
                <w:szCs w:val="18"/>
              </w:rPr>
            </w:pPr>
          </w:p>
        </w:tc>
        <w:tc>
          <w:tcPr>
            <w:tcW w:w="224" w:type="pct"/>
            <w:gridSpan w:val="2"/>
            <w:tcBorders>
              <w:top w:val="single" w:sz="6" w:space="0" w:color="auto"/>
              <w:bottom w:val="nil"/>
            </w:tcBorders>
            <w:shd w:val="clear" w:color="auto" w:fill="auto"/>
            <w:noWrap/>
            <w:vAlign w:val="center"/>
          </w:tcPr>
          <w:p w14:paraId="5F9E3300" w14:textId="7C3F41FC"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28</w:t>
            </w:r>
          </w:p>
        </w:tc>
        <w:tc>
          <w:tcPr>
            <w:tcW w:w="251" w:type="pct"/>
            <w:gridSpan w:val="2"/>
            <w:tcBorders>
              <w:top w:val="single" w:sz="6" w:space="0" w:color="auto"/>
              <w:bottom w:val="nil"/>
            </w:tcBorders>
            <w:vAlign w:val="center"/>
          </w:tcPr>
          <w:p w14:paraId="531766D5" w14:textId="21D34A93"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5.5%</w:t>
            </w:r>
          </w:p>
        </w:tc>
        <w:tc>
          <w:tcPr>
            <w:tcW w:w="197" w:type="pct"/>
            <w:tcBorders>
              <w:top w:val="single" w:sz="6" w:space="0" w:color="auto"/>
              <w:bottom w:val="nil"/>
            </w:tcBorders>
            <w:vAlign w:val="center"/>
          </w:tcPr>
          <w:p w14:paraId="43D0DF6E" w14:textId="460A2C65" w:rsidR="00212C69" w:rsidRPr="00BC68C4" w:rsidRDefault="00212C69" w:rsidP="00444E56">
            <w:pPr>
              <w:jc w:val="center"/>
              <w:rPr>
                <w:rFonts w:ascii="Times New Roman" w:hAnsi="Times New Roman" w:cs="Times New Roman"/>
                <w:color w:val="000000"/>
                <w:sz w:val="18"/>
                <w:szCs w:val="18"/>
              </w:rPr>
            </w:pPr>
          </w:p>
        </w:tc>
        <w:tc>
          <w:tcPr>
            <w:tcW w:w="224" w:type="pct"/>
            <w:tcBorders>
              <w:top w:val="single" w:sz="6" w:space="0" w:color="auto"/>
              <w:bottom w:val="nil"/>
            </w:tcBorders>
            <w:shd w:val="clear" w:color="auto" w:fill="auto"/>
            <w:noWrap/>
            <w:vAlign w:val="center"/>
          </w:tcPr>
          <w:p w14:paraId="3F1867F0" w14:textId="4978195C"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9</w:t>
            </w:r>
          </w:p>
        </w:tc>
        <w:tc>
          <w:tcPr>
            <w:tcW w:w="277" w:type="pct"/>
            <w:tcBorders>
              <w:top w:val="single" w:sz="6" w:space="0" w:color="auto"/>
              <w:bottom w:val="nil"/>
            </w:tcBorders>
            <w:vAlign w:val="center"/>
          </w:tcPr>
          <w:p w14:paraId="26582806" w14:textId="1F71AE5F"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4.4%</w:t>
            </w:r>
          </w:p>
        </w:tc>
        <w:tc>
          <w:tcPr>
            <w:tcW w:w="202" w:type="pct"/>
            <w:tcBorders>
              <w:top w:val="single" w:sz="6" w:space="0" w:color="auto"/>
              <w:bottom w:val="nil"/>
            </w:tcBorders>
            <w:vAlign w:val="center"/>
          </w:tcPr>
          <w:p w14:paraId="1F042CBF" w14:textId="0F55E820" w:rsidR="00212C69" w:rsidRPr="00BC68C4" w:rsidRDefault="00212C69" w:rsidP="00444E56">
            <w:pPr>
              <w:jc w:val="center"/>
              <w:rPr>
                <w:rFonts w:ascii="Times New Roman" w:hAnsi="Times New Roman" w:cs="Times New Roman"/>
                <w:color w:val="000000"/>
                <w:sz w:val="18"/>
                <w:szCs w:val="18"/>
              </w:rPr>
            </w:pPr>
          </w:p>
        </w:tc>
        <w:tc>
          <w:tcPr>
            <w:tcW w:w="193" w:type="pct"/>
            <w:gridSpan w:val="2"/>
            <w:tcBorders>
              <w:top w:val="single" w:sz="6" w:space="0" w:color="auto"/>
              <w:bottom w:val="nil"/>
            </w:tcBorders>
            <w:shd w:val="clear" w:color="auto" w:fill="auto"/>
            <w:noWrap/>
            <w:vAlign w:val="center"/>
          </w:tcPr>
          <w:p w14:paraId="7E35688F" w14:textId="6DB6C766" w:rsidR="00212C69" w:rsidRPr="00BC68C4" w:rsidRDefault="00212C69" w:rsidP="00444E56">
            <w:pPr>
              <w:jc w:val="center"/>
              <w:rPr>
                <w:rFonts w:ascii="Times New Roman" w:hAnsi="Times New Roman" w:cs="Times New Roman"/>
                <w:color w:val="000000"/>
                <w:sz w:val="18"/>
                <w:szCs w:val="18"/>
              </w:rPr>
            </w:pPr>
          </w:p>
        </w:tc>
        <w:tc>
          <w:tcPr>
            <w:tcW w:w="224" w:type="pct"/>
            <w:tcBorders>
              <w:top w:val="single" w:sz="6" w:space="0" w:color="auto"/>
              <w:bottom w:val="nil"/>
            </w:tcBorders>
            <w:shd w:val="clear" w:color="auto" w:fill="auto"/>
            <w:noWrap/>
            <w:vAlign w:val="center"/>
          </w:tcPr>
          <w:p w14:paraId="61F93999" w14:textId="64F73B2B"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76</w:t>
            </w:r>
          </w:p>
        </w:tc>
        <w:tc>
          <w:tcPr>
            <w:tcW w:w="224" w:type="pct"/>
            <w:tcBorders>
              <w:top w:val="single" w:sz="6" w:space="0" w:color="auto"/>
              <w:bottom w:val="nil"/>
            </w:tcBorders>
            <w:vAlign w:val="center"/>
          </w:tcPr>
          <w:p w14:paraId="312381F8" w14:textId="7BA5DC66"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0.90</w:t>
            </w:r>
          </w:p>
        </w:tc>
        <w:tc>
          <w:tcPr>
            <w:tcW w:w="224" w:type="pct"/>
            <w:tcBorders>
              <w:top w:val="single" w:sz="6" w:space="0" w:color="auto"/>
              <w:bottom w:val="nil"/>
            </w:tcBorders>
            <w:vAlign w:val="center"/>
          </w:tcPr>
          <w:p w14:paraId="3A3DC356" w14:textId="180C819A" w:rsidR="00212C69" w:rsidRPr="00BC68C4" w:rsidRDefault="00212C69" w:rsidP="00444E56">
            <w:pPr>
              <w:jc w:val="center"/>
              <w:rPr>
                <w:rFonts w:ascii="Times New Roman" w:hAnsi="Times New Roman" w:cs="Times New Roman"/>
                <w:color w:val="000000"/>
                <w:sz w:val="18"/>
                <w:szCs w:val="18"/>
              </w:rPr>
            </w:pPr>
          </w:p>
        </w:tc>
        <w:tc>
          <w:tcPr>
            <w:tcW w:w="224" w:type="pct"/>
            <w:tcBorders>
              <w:top w:val="single" w:sz="6" w:space="0" w:color="auto"/>
              <w:bottom w:val="nil"/>
            </w:tcBorders>
            <w:shd w:val="clear" w:color="auto" w:fill="auto"/>
            <w:noWrap/>
            <w:vAlign w:val="center"/>
          </w:tcPr>
          <w:p w14:paraId="6E7B9594" w14:textId="3317EF1C"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22</w:t>
            </w:r>
          </w:p>
        </w:tc>
        <w:tc>
          <w:tcPr>
            <w:tcW w:w="224" w:type="pct"/>
            <w:tcBorders>
              <w:top w:val="single" w:sz="6" w:space="0" w:color="auto"/>
              <w:bottom w:val="nil"/>
            </w:tcBorders>
            <w:vAlign w:val="center"/>
          </w:tcPr>
          <w:p w14:paraId="162638B8" w14:textId="383CCEE7"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0.88</w:t>
            </w:r>
          </w:p>
        </w:tc>
        <w:tc>
          <w:tcPr>
            <w:tcW w:w="224" w:type="pct"/>
            <w:tcBorders>
              <w:top w:val="single" w:sz="6" w:space="0" w:color="auto"/>
              <w:bottom w:val="nil"/>
            </w:tcBorders>
            <w:vAlign w:val="center"/>
          </w:tcPr>
          <w:p w14:paraId="535A982D" w14:textId="32D4B9DA" w:rsidR="00212C69" w:rsidRPr="00BC68C4" w:rsidRDefault="00212C69" w:rsidP="00444E56">
            <w:pPr>
              <w:jc w:val="center"/>
              <w:rPr>
                <w:rFonts w:ascii="Times New Roman" w:hAnsi="Times New Roman" w:cs="Times New Roman"/>
                <w:color w:val="000000"/>
                <w:sz w:val="18"/>
                <w:szCs w:val="18"/>
              </w:rPr>
            </w:pPr>
          </w:p>
        </w:tc>
        <w:tc>
          <w:tcPr>
            <w:tcW w:w="224" w:type="pct"/>
            <w:tcBorders>
              <w:top w:val="single" w:sz="6" w:space="0" w:color="auto"/>
              <w:bottom w:val="nil"/>
            </w:tcBorders>
            <w:shd w:val="clear" w:color="auto" w:fill="auto"/>
            <w:noWrap/>
            <w:vAlign w:val="center"/>
          </w:tcPr>
          <w:p w14:paraId="558CCC11" w14:textId="7FDADDF2"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7</w:t>
            </w:r>
          </w:p>
        </w:tc>
        <w:tc>
          <w:tcPr>
            <w:tcW w:w="224" w:type="pct"/>
            <w:tcBorders>
              <w:top w:val="single" w:sz="6" w:space="0" w:color="auto"/>
              <w:bottom w:val="nil"/>
            </w:tcBorders>
            <w:shd w:val="clear" w:color="auto" w:fill="auto"/>
            <w:noWrap/>
            <w:vAlign w:val="center"/>
          </w:tcPr>
          <w:p w14:paraId="157D7A3A" w14:textId="0A81822E"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0.93</w:t>
            </w:r>
          </w:p>
        </w:tc>
        <w:tc>
          <w:tcPr>
            <w:tcW w:w="227" w:type="pct"/>
            <w:tcBorders>
              <w:top w:val="single" w:sz="6" w:space="0" w:color="auto"/>
              <w:bottom w:val="nil"/>
            </w:tcBorders>
            <w:vAlign w:val="center"/>
          </w:tcPr>
          <w:p w14:paraId="09C6B294" w14:textId="77777777" w:rsidR="00212C69" w:rsidRPr="00BC68C4" w:rsidRDefault="00212C69" w:rsidP="00444E56">
            <w:pPr>
              <w:jc w:val="center"/>
              <w:rPr>
                <w:rFonts w:ascii="Times New Roman" w:hAnsi="Times New Roman" w:cs="Times New Roman"/>
                <w:color w:val="000000"/>
                <w:sz w:val="18"/>
                <w:szCs w:val="18"/>
              </w:rPr>
            </w:pPr>
          </w:p>
        </w:tc>
      </w:tr>
      <w:tr w:rsidR="00212C69" w:rsidRPr="00BC68C4" w14:paraId="71075046" w14:textId="77777777" w:rsidTr="00444E56">
        <w:trPr>
          <w:trHeight w:val="300"/>
        </w:trPr>
        <w:tc>
          <w:tcPr>
            <w:tcW w:w="741" w:type="pct"/>
            <w:tcBorders>
              <w:top w:val="nil"/>
              <w:bottom w:val="nil"/>
            </w:tcBorders>
            <w:shd w:val="clear" w:color="auto" w:fill="auto"/>
            <w:noWrap/>
            <w:vAlign w:val="center"/>
          </w:tcPr>
          <w:p w14:paraId="517F5097" w14:textId="77777777" w:rsidR="00212C69" w:rsidRPr="00BC68C4" w:rsidRDefault="00212C69" w:rsidP="001B191D">
            <w:pPr>
              <w:jc w:val="left"/>
              <w:rPr>
                <w:rFonts w:ascii="Times New Roman" w:eastAsia="Times New Roman" w:hAnsi="Times New Roman" w:cs="Times New Roman"/>
                <w:color w:val="000000"/>
                <w:sz w:val="18"/>
                <w:szCs w:val="20"/>
                <w:lang w:eastAsia="en-GB"/>
              </w:rPr>
            </w:pPr>
            <w:r w:rsidRPr="00BC68C4">
              <w:rPr>
                <w:rFonts w:ascii="Times New Roman" w:eastAsia="Times New Roman" w:hAnsi="Times New Roman" w:cs="Times New Roman"/>
                <w:color w:val="000000"/>
                <w:sz w:val="18"/>
                <w:szCs w:val="20"/>
                <w:lang w:eastAsia="en-GB"/>
              </w:rPr>
              <w:t xml:space="preserve">No Passive </w:t>
            </w:r>
            <w:proofErr w:type="spellStart"/>
            <w:r w:rsidRPr="00BC68C4">
              <w:rPr>
                <w:rFonts w:ascii="Times New Roman" w:eastAsia="Times New Roman" w:hAnsi="Times New Roman" w:cs="Times New Roman"/>
                <w:color w:val="000000"/>
                <w:sz w:val="18"/>
                <w:szCs w:val="20"/>
                <w:lang w:eastAsia="en-GB"/>
              </w:rPr>
              <w:t>Blockholders</w:t>
            </w:r>
            <w:proofErr w:type="spellEnd"/>
          </w:p>
        </w:tc>
        <w:tc>
          <w:tcPr>
            <w:tcW w:w="224" w:type="pct"/>
            <w:tcBorders>
              <w:top w:val="nil"/>
              <w:bottom w:val="nil"/>
            </w:tcBorders>
            <w:vAlign w:val="center"/>
          </w:tcPr>
          <w:p w14:paraId="1C439197" w14:textId="0A52ECFC"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152</w:t>
            </w:r>
          </w:p>
        </w:tc>
        <w:tc>
          <w:tcPr>
            <w:tcW w:w="273" w:type="pct"/>
            <w:tcBorders>
              <w:top w:val="nil"/>
              <w:bottom w:val="nil"/>
            </w:tcBorders>
            <w:vAlign w:val="center"/>
          </w:tcPr>
          <w:p w14:paraId="67351470" w14:textId="2A5A30A0"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4.5%</w:t>
            </w:r>
          </w:p>
        </w:tc>
        <w:tc>
          <w:tcPr>
            <w:tcW w:w="175" w:type="pct"/>
            <w:tcBorders>
              <w:top w:val="nil"/>
              <w:bottom w:val="nil"/>
            </w:tcBorders>
            <w:vAlign w:val="center"/>
          </w:tcPr>
          <w:p w14:paraId="7A5DEA92" w14:textId="77777777" w:rsidR="00212C69" w:rsidRPr="00BC68C4" w:rsidRDefault="00212C69" w:rsidP="00444E56">
            <w:pPr>
              <w:jc w:val="center"/>
              <w:rPr>
                <w:rFonts w:ascii="Times New Roman" w:hAnsi="Times New Roman" w:cs="Times New Roman"/>
                <w:color w:val="000000"/>
                <w:sz w:val="18"/>
                <w:szCs w:val="18"/>
              </w:rPr>
            </w:pPr>
          </w:p>
        </w:tc>
        <w:tc>
          <w:tcPr>
            <w:tcW w:w="224" w:type="pct"/>
            <w:gridSpan w:val="2"/>
            <w:tcBorders>
              <w:top w:val="nil"/>
              <w:bottom w:val="nil"/>
            </w:tcBorders>
            <w:shd w:val="clear" w:color="auto" w:fill="auto"/>
            <w:noWrap/>
            <w:vAlign w:val="center"/>
          </w:tcPr>
          <w:p w14:paraId="7FFCD3BA" w14:textId="41E09DC7"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217</w:t>
            </w:r>
          </w:p>
        </w:tc>
        <w:tc>
          <w:tcPr>
            <w:tcW w:w="251" w:type="pct"/>
            <w:gridSpan w:val="2"/>
            <w:tcBorders>
              <w:top w:val="nil"/>
              <w:bottom w:val="nil"/>
            </w:tcBorders>
            <w:vAlign w:val="center"/>
          </w:tcPr>
          <w:p w14:paraId="21538DF8" w14:textId="6111B3DB"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4.9%</w:t>
            </w:r>
          </w:p>
        </w:tc>
        <w:tc>
          <w:tcPr>
            <w:tcW w:w="197" w:type="pct"/>
            <w:tcBorders>
              <w:top w:val="nil"/>
              <w:bottom w:val="nil"/>
            </w:tcBorders>
            <w:vAlign w:val="center"/>
          </w:tcPr>
          <w:p w14:paraId="1D7A1F43" w14:textId="77777777" w:rsidR="00212C69" w:rsidRPr="00BC68C4" w:rsidRDefault="00212C69" w:rsidP="00444E56">
            <w:pPr>
              <w:jc w:val="center"/>
              <w:rPr>
                <w:rFonts w:ascii="Times New Roman" w:hAnsi="Times New Roman" w:cs="Times New Roman"/>
                <w:color w:val="000000"/>
                <w:sz w:val="18"/>
                <w:szCs w:val="18"/>
              </w:rPr>
            </w:pPr>
          </w:p>
        </w:tc>
        <w:tc>
          <w:tcPr>
            <w:tcW w:w="224" w:type="pct"/>
            <w:tcBorders>
              <w:top w:val="nil"/>
              <w:bottom w:val="nil"/>
            </w:tcBorders>
            <w:shd w:val="clear" w:color="auto" w:fill="auto"/>
            <w:noWrap/>
            <w:vAlign w:val="center"/>
          </w:tcPr>
          <w:p w14:paraId="710E21B5" w14:textId="673B4515"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236</w:t>
            </w:r>
          </w:p>
        </w:tc>
        <w:tc>
          <w:tcPr>
            <w:tcW w:w="277" w:type="pct"/>
            <w:tcBorders>
              <w:top w:val="nil"/>
              <w:bottom w:val="nil"/>
            </w:tcBorders>
            <w:vAlign w:val="center"/>
          </w:tcPr>
          <w:p w14:paraId="46300AD3" w14:textId="67D616E9"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5.0%</w:t>
            </w:r>
          </w:p>
        </w:tc>
        <w:tc>
          <w:tcPr>
            <w:tcW w:w="202" w:type="pct"/>
            <w:tcBorders>
              <w:top w:val="nil"/>
              <w:bottom w:val="nil"/>
            </w:tcBorders>
            <w:vAlign w:val="center"/>
          </w:tcPr>
          <w:p w14:paraId="3C1C140C" w14:textId="77777777" w:rsidR="00212C69" w:rsidRPr="00BC68C4" w:rsidRDefault="00212C69" w:rsidP="00444E56">
            <w:pPr>
              <w:jc w:val="center"/>
              <w:rPr>
                <w:rFonts w:ascii="Times New Roman" w:hAnsi="Times New Roman" w:cs="Times New Roman"/>
                <w:color w:val="000000"/>
                <w:sz w:val="18"/>
                <w:szCs w:val="18"/>
              </w:rPr>
            </w:pPr>
          </w:p>
        </w:tc>
        <w:tc>
          <w:tcPr>
            <w:tcW w:w="193" w:type="pct"/>
            <w:gridSpan w:val="2"/>
            <w:tcBorders>
              <w:top w:val="nil"/>
              <w:bottom w:val="nil"/>
            </w:tcBorders>
            <w:shd w:val="clear" w:color="auto" w:fill="auto"/>
            <w:noWrap/>
            <w:vAlign w:val="center"/>
          </w:tcPr>
          <w:p w14:paraId="1C39F092" w14:textId="77777777" w:rsidR="00212C69" w:rsidRPr="00BC68C4" w:rsidRDefault="00212C69" w:rsidP="00444E56">
            <w:pPr>
              <w:jc w:val="center"/>
              <w:rPr>
                <w:rFonts w:ascii="Times New Roman" w:hAnsi="Times New Roman" w:cs="Times New Roman"/>
                <w:color w:val="000000"/>
                <w:sz w:val="18"/>
                <w:szCs w:val="18"/>
              </w:rPr>
            </w:pPr>
          </w:p>
        </w:tc>
        <w:tc>
          <w:tcPr>
            <w:tcW w:w="224" w:type="pct"/>
            <w:tcBorders>
              <w:top w:val="nil"/>
              <w:bottom w:val="nil"/>
            </w:tcBorders>
            <w:shd w:val="clear" w:color="auto" w:fill="auto"/>
            <w:noWrap/>
            <w:vAlign w:val="center"/>
          </w:tcPr>
          <w:p w14:paraId="75CECD34" w14:textId="250537F5"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136</w:t>
            </w:r>
          </w:p>
        </w:tc>
        <w:tc>
          <w:tcPr>
            <w:tcW w:w="224" w:type="pct"/>
            <w:tcBorders>
              <w:top w:val="nil"/>
              <w:bottom w:val="nil"/>
            </w:tcBorders>
            <w:vAlign w:val="center"/>
          </w:tcPr>
          <w:p w14:paraId="19A33EA0" w14:textId="54407211"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0.97</w:t>
            </w:r>
          </w:p>
        </w:tc>
        <w:tc>
          <w:tcPr>
            <w:tcW w:w="224" w:type="pct"/>
            <w:tcBorders>
              <w:top w:val="nil"/>
              <w:bottom w:val="nil"/>
            </w:tcBorders>
            <w:vAlign w:val="center"/>
          </w:tcPr>
          <w:p w14:paraId="26A647D5" w14:textId="77777777" w:rsidR="00212C69" w:rsidRPr="00BC68C4" w:rsidRDefault="00212C69" w:rsidP="00444E56">
            <w:pPr>
              <w:jc w:val="center"/>
              <w:rPr>
                <w:rFonts w:ascii="Times New Roman" w:hAnsi="Times New Roman" w:cs="Times New Roman"/>
                <w:color w:val="000000"/>
                <w:sz w:val="18"/>
                <w:szCs w:val="18"/>
              </w:rPr>
            </w:pPr>
          </w:p>
        </w:tc>
        <w:tc>
          <w:tcPr>
            <w:tcW w:w="224" w:type="pct"/>
            <w:tcBorders>
              <w:top w:val="nil"/>
              <w:bottom w:val="nil"/>
            </w:tcBorders>
            <w:shd w:val="clear" w:color="auto" w:fill="auto"/>
            <w:noWrap/>
            <w:vAlign w:val="center"/>
          </w:tcPr>
          <w:p w14:paraId="541E89B3" w14:textId="0FDA4392"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190</w:t>
            </w:r>
          </w:p>
        </w:tc>
        <w:tc>
          <w:tcPr>
            <w:tcW w:w="224" w:type="pct"/>
            <w:tcBorders>
              <w:top w:val="nil"/>
              <w:bottom w:val="nil"/>
            </w:tcBorders>
            <w:vAlign w:val="center"/>
          </w:tcPr>
          <w:p w14:paraId="32957145" w14:textId="435EEEBD"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0.95</w:t>
            </w:r>
          </w:p>
        </w:tc>
        <w:tc>
          <w:tcPr>
            <w:tcW w:w="224" w:type="pct"/>
            <w:tcBorders>
              <w:top w:val="nil"/>
              <w:bottom w:val="nil"/>
            </w:tcBorders>
            <w:vAlign w:val="center"/>
          </w:tcPr>
          <w:p w14:paraId="2A27245B" w14:textId="77777777" w:rsidR="00212C69" w:rsidRPr="00BC68C4" w:rsidRDefault="00212C69" w:rsidP="00444E56">
            <w:pPr>
              <w:jc w:val="center"/>
              <w:rPr>
                <w:rFonts w:ascii="Times New Roman" w:hAnsi="Times New Roman" w:cs="Times New Roman"/>
                <w:color w:val="000000"/>
                <w:sz w:val="18"/>
                <w:szCs w:val="18"/>
              </w:rPr>
            </w:pPr>
          </w:p>
        </w:tc>
        <w:tc>
          <w:tcPr>
            <w:tcW w:w="224" w:type="pct"/>
            <w:tcBorders>
              <w:top w:val="nil"/>
              <w:bottom w:val="nil"/>
            </w:tcBorders>
            <w:shd w:val="clear" w:color="auto" w:fill="auto"/>
            <w:noWrap/>
            <w:vAlign w:val="center"/>
          </w:tcPr>
          <w:p w14:paraId="3AAA8B0E" w14:textId="256BDC87"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205</w:t>
            </w:r>
          </w:p>
        </w:tc>
        <w:tc>
          <w:tcPr>
            <w:tcW w:w="224" w:type="pct"/>
            <w:tcBorders>
              <w:top w:val="nil"/>
              <w:bottom w:val="nil"/>
            </w:tcBorders>
            <w:shd w:val="clear" w:color="auto" w:fill="auto"/>
            <w:noWrap/>
            <w:vAlign w:val="center"/>
          </w:tcPr>
          <w:p w14:paraId="3BA56351" w14:textId="35F7FB43"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0.94</w:t>
            </w:r>
          </w:p>
        </w:tc>
        <w:tc>
          <w:tcPr>
            <w:tcW w:w="227" w:type="pct"/>
            <w:tcBorders>
              <w:top w:val="nil"/>
              <w:bottom w:val="nil"/>
            </w:tcBorders>
            <w:vAlign w:val="center"/>
          </w:tcPr>
          <w:p w14:paraId="52DFDBFD" w14:textId="77777777" w:rsidR="00212C69" w:rsidRPr="00BC68C4" w:rsidRDefault="00212C69" w:rsidP="00444E56">
            <w:pPr>
              <w:jc w:val="center"/>
              <w:rPr>
                <w:rFonts w:ascii="Times New Roman" w:hAnsi="Times New Roman" w:cs="Times New Roman"/>
                <w:color w:val="000000"/>
                <w:sz w:val="18"/>
                <w:szCs w:val="18"/>
              </w:rPr>
            </w:pPr>
          </w:p>
        </w:tc>
      </w:tr>
      <w:tr w:rsidR="00212C69" w:rsidRPr="00BC68C4" w14:paraId="35714156" w14:textId="77777777" w:rsidTr="00276ED1">
        <w:trPr>
          <w:trHeight w:val="300"/>
        </w:trPr>
        <w:tc>
          <w:tcPr>
            <w:tcW w:w="741" w:type="pct"/>
            <w:tcBorders>
              <w:top w:val="nil"/>
              <w:bottom w:val="single" w:sz="6" w:space="0" w:color="auto"/>
            </w:tcBorders>
            <w:shd w:val="clear" w:color="auto" w:fill="auto"/>
            <w:noWrap/>
            <w:vAlign w:val="bottom"/>
          </w:tcPr>
          <w:p w14:paraId="409F85B1" w14:textId="77777777" w:rsidR="00212C69" w:rsidRPr="00BC68C4" w:rsidRDefault="00212C69" w:rsidP="00665C7D">
            <w:pPr>
              <w:jc w:val="left"/>
              <w:rPr>
                <w:rFonts w:ascii="Times New Roman" w:eastAsia="Times New Roman" w:hAnsi="Times New Roman" w:cs="Times New Roman"/>
                <w:color w:val="000000"/>
                <w:sz w:val="18"/>
                <w:szCs w:val="20"/>
                <w:lang w:eastAsia="en-GB"/>
              </w:rPr>
            </w:pPr>
          </w:p>
          <w:p w14:paraId="42D89F4F" w14:textId="77777777" w:rsidR="00212C69" w:rsidRPr="00BC68C4" w:rsidRDefault="00212C69" w:rsidP="00665C7D">
            <w:pPr>
              <w:jc w:val="left"/>
              <w:rPr>
                <w:rFonts w:ascii="Times New Roman" w:eastAsia="Times New Roman" w:hAnsi="Times New Roman" w:cs="Times New Roman"/>
                <w:color w:val="000000"/>
                <w:sz w:val="18"/>
                <w:szCs w:val="20"/>
                <w:lang w:eastAsia="en-GB"/>
              </w:rPr>
            </w:pPr>
            <w:r w:rsidRPr="00BC68C4">
              <w:rPr>
                <w:rFonts w:ascii="Times New Roman" w:eastAsia="Times New Roman" w:hAnsi="Times New Roman" w:cs="Times New Roman"/>
                <w:color w:val="000000"/>
                <w:sz w:val="18"/>
                <w:szCs w:val="20"/>
                <w:lang w:eastAsia="en-GB"/>
              </w:rPr>
              <w:t>Difference in means</w:t>
            </w:r>
          </w:p>
        </w:tc>
        <w:tc>
          <w:tcPr>
            <w:tcW w:w="224" w:type="pct"/>
            <w:tcBorders>
              <w:top w:val="nil"/>
              <w:bottom w:val="single" w:sz="6" w:space="0" w:color="auto"/>
            </w:tcBorders>
            <w:vAlign w:val="center"/>
          </w:tcPr>
          <w:p w14:paraId="0B646288" w14:textId="242040DB" w:rsidR="00212C69" w:rsidRPr="00BC68C4" w:rsidRDefault="00212C69" w:rsidP="00444E56">
            <w:pPr>
              <w:jc w:val="center"/>
              <w:rPr>
                <w:rFonts w:ascii="Times New Roman" w:hAnsi="Times New Roman" w:cs="Times New Roman"/>
                <w:color w:val="000000"/>
                <w:sz w:val="18"/>
                <w:szCs w:val="18"/>
              </w:rPr>
            </w:pPr>
          </w:p>
        </w:tc>
        <w:tc>
          <w:tcPr>
            <w:tcW w:w="273" w:type="pct"/>
            <w:tcBorders>
              <w:top w:val="nil"/>
              <w:bottom w:val="single" w:sz="6" w:space="0" w:color="auto"/>
            </w:tcBorders>
            <w:vAlign w:val="bottom"/>
          </w:tcPr>
          <w:p w14:paraId="2524C42A" w14:textId="610842FD" w:rsidR="00212C69" w:rsidRPr="00BC68C4" w:rsidRDefault="00212C69" w:rsidP="0044062C">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1.1%</w:t>
            </w:r>
          </w:p>
        </w:tc>
        <w:tc>
          <w:tcPr>
            <w:tcW w:w="175" w:type="pct"/>
            <w:tcBorders>
              <w:top w:val="nil"/>
              <w:bottom w:val="single" w:sz="6" w:space="0" w:color="auto"/>
            </w:tcBorders>
            <w:vAlign w:val="bottom"/>
          </w:tcPr>
          <w:p w14:paraId="0E86410C" w14:textId="25EAAFEC" w:rsidR="00212C69" w:rsidRPr="00BC68C4" w:rsidRDefault="00212C69" w:rsidP="00276ED1">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w:t>
            </w:r>
          </w:p>
        </w:tc>
        <w:tc>
          <w:tcPr>
            <w:tcW w:w="224" w:type="pct"/>
            <w:gridSpan w:val="2"/>
            <w:tcBorders>
              <w:top w:val="nil"/>
              <w:bottom w:val="single" w:sz="6" w:space="0" w:color="auto"/>
            </w:tcBorders>
            <w:shd w:val="clear" w:color="auto" w:fill="auto"/>
            <w:noWrap/>
            <w:vAlign w:val="bottom"/>
          </w:tcPr>
          <w:p w14:paraId="4F7A2F44" w14:textId="443E5286" w:rsidR="00212C69" w:rsidRPr="00BC68C4" w:rsidRDefault="00212C69" w:rsidP="00276ED1">
            <w:pPr>
              <w:jc w:val="center"/>
              <w:rPr>
                <w:rFonts w:ascii="Times New Roman" w:hAnsi="Times New Roman" w:cs="Times New Roman"/>
                <w:color w:val="000000"/>
                <w:sz w:val="18"/>
                <w:szCs w:val="18"/>
              </w:rPr>
            </w:pPr>
          </w:p>
        </w:tc>
        <w:tc>
          <w:tcPr>
            <w:tcW w:w="251" w:type="pct"/>
            <w:gridSpan w:val="2"/>
            <w:tcBorders>
              <w:top w:val="nil"/>
              <w:bottom w:val="single" w:sz="6" w:space="0" w:color="auto"/>
            </w:tcBorders>
            <w:vAlign w:val="bottom"/>
          </w:tcPr>
          <w:p w14:paraId="1D742F9A" w14:textId="7F2DCD38" w:rsidR="00212C69" w:rsidRPr="00BC68C4" w:rsidRDefault="00212C69" w:rsidP="00276ED1">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0.6%</w:t>
            </w:r>
          </w:p>
        </w:tc>
        <w:tc>
          <w:tcPr>
            <w:tcW w:w="197" w:type="pct"/>
            <w:tcBorders>
              <w:top w:val="nil"/>
              <w:bottom w:val="single" w:sz="6" w:space="0" w:color="auto"/>
            </w:tcBorders>
            <w:vAlign w:val="bottom"/>
          </w:tcPr>
          <w:p w14:paraId="0D52F001" w14:textId="376BAE67" w:rsidR="00212C69" w:rsidRPr="00BC68C4" w:rsidRDefault="00212C69" w:rsidP="00276ED1">
            <w:pPr>
              <w:jc w:val="center"/>
              <w:rPr>
                <w:rFonts w:ascii="Times New Roman" w:hAnsi="Times New Roman" w:cs="Times New Roman"/>
                <w:color w:val="000000"/>
                <w:sz w:val="18"/>
                <w:szCs w:val="18"/>
              </w:rPr>
            </w:pPr>
          </w:p>
        </w:tc>
        <w:tc>
          <w:tcPr>
            <w:tcW w:w="224" w:type="pct"/>
            <w:tcBorders>
              <w:top w:val="nil"/>
              <w:bottom w:val="single" w:sz="6" w:space="0" w:color="auto"/>
            </w:tcBorders>
            <w:shd w:val="clear" w:color="auto" w:fill="auto"/>
            <w:noWrap/>
            <w:vAlign w:val="bottom"/>
          </w:tcPr>
          <w:p w14:paraId="41CE0DA9" w14:textId="2C4D613B" w:rsidR="00212C69" w:rsidRPr="00BC68C4" w:rsidRDefault="00212C69" w:rsidP="00276ED1">
            <w:pPr>
              <w:jc w:val="center"/>
              <w:rPr>
                <w:rFonts w:ascii="Times New Roman" w:hAnsi="Times New Roman" w:cs="Times New Roman"/>
                <w:color w:val="000000"/>
                <w:sz w:val="18"/>
                <w:szCs w:val="18"/>
              </w:rPr>
            </w:pPr>
          </w:p>
        </w:tc>
        <w:tc>
          <w:tcPr>
            <w:tcW w:w="277" w:type="pct"/>
            <w:tcBorders>
              <w:top w:val="nil"/>
              <w:bottom w:val="single" w:sz="6" w:space="0" w:color="auto"/>
            </w:tcBorders>
            <w:vAlign w:val="bottom"/>
          </w:tcPr>
          <w:p w14:paraId="18EEE82F" w14:textId="1B39D225" w:rsidR="00212C69" w:rsidRPr="00BC68C4" w:rsidRDefault="00212C69" w:rsidP="00276ED1">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-0.6%</w:t>
            </w:r>
          </w:p>
        </w:tc>
        <w:tc>
          <w:tcPr>
            <w:tcW w:w="202" w:type="pct"/>
            <w:tcBorders>
              <w:top w:val="nil"/>
              <w:bottom w:val="single" w:sz="6" w:space="0" w:color="auto"/>
            </w:tcBorders>
            <w:vAlign w:val="bottom"/>
          </w:tcPr>
          <w:p w14:paraId="204E1A1C" w14:textId="390E6BB4" w:rsidR="00212C69" w:rsidRPr="00BC68C4" w:rsidRDefault="00212C69" w:rsidP="00276ED1">
            <w:pPr>
              <w:jc w:val="center"/>
              <w:rPr>
                <w:rFonts w:ascii="Times New Roman" w:hAnsi="Times New Roman" w:cs="Times New Roman"/>
                <w:color w:val="000000"/>
                <w:sz w:val="18"/>
                <w:szCs w:val="18"/>
              </w:rPr>
            </w:pPr>
          </w:p>
        </w:tc>
        <w:tc>
          <w:tcPr>
            <w:tcW w:w="193" w:type="pct"/>
            <w:gridSpan w:val="2"/>
            <w:tcBorders>
              <w:top w:val="nil"/>
              <w:bottom w:val="single" w:sz="6" w:space="0" w:color="auto"/>
            </w:tcBorders>
            <w:shd w:val="clear" w:color="auto" w:fill="auto"/>
            <w:noWrap/>
            <w:vAlign w:val="bottom"/>
          </w:tcPr>
          <w:p w14:paraId="6F4C5F23" w14:textId="79469A66" w:rsidR="00212C69" w:rsidRPr="00BC68C4" w:rsidRDefault="00212C69" w:rsidP="00276ED1">
            <w:pPr>
              <w:jc w:val="center"/>
              <w:rPr>
                <w:rFonts w:ascii="Times New Roman" w:hAnsi="Times New Roman" w:cs="Times New Roman"/>
                <w:color w:val="000000"/>
                <w:sz w:val="18"/>
                <w:szCs w:val="18"/>
              </w:rPr>
            </w:pPr>
          </w:p>
        </w:tc>
        <w:tc>
          <w:tcPr>
            <w:tcW w:w="224" w:type="pct"/>
            <w:tcBorders>
              <w:top w:val="nil"/>
              <w:bottom w:val="single" w:sz="6" w:space="0" w:color="auto"/>
            </w:tcBorders>
            <w:shd w:val="clear" w:color="auto" w:fill="auto"/>
            <w:noWrap/>
            <w:vAlign w:val="bottom"/>
          </w:tcPr>
          <w:p w14:paraId="5FEAC00B" w14:textId="4467D87D" w:rsidR="00212C69" w:rsidRPr="00BC68C4" w:rsidRDefault="00212C69" w:rsidP="00276ED1">
            <w:pPr>
              <w:jc w:val="center"/>
              <w:rPr>
                <w:rFonts w:ascii="Times New Roman" w:hAnsi="Times New Roman" w:cs="Times New Roman"/>
                <w:color w:val="000000"/>
                <w:sz w:val="18"/>
                <w:szCs w:val="18"/>
              </w:rPr>
            </w:pPr>
          </w:p>
        </w:tc>
        <w:tc>
          <w:tcPr>
            <w:tcW w:w="224" w:type="pct"/>
            <w:tcBorders>
              <w:top w:val="nil"/>
              <w:bottom w:val="single" w:sz="6" w:space="0" w:color="auto"/>
            </w:tcBorders>
            <w:vAlign w:val="bottom"/>
          </w:tcPr>
          <w:p w14:paraId="4BD64947" w14:textId="4764DBA1" w:rsidR="00212C69" w:rsidRPr="00BC68C4" w:rsidRDefault="00212C69" w:rsidP="00276ED1">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-0.07</w:t>
            </w:r>
          </w:p>
        </w:tc>
        <w:tc>
          <w:tcPr>
            <w:tcW w:w="224" w:type="pct"/>
            <w:tcBorders>
              <w:top w:val="nil"/>
              <w:bottom w:val="single" w:sz="6" w:space="0" w:color="auto"/>
            </w:tcBorders>
            <w:vAlign w:val="bottom"/>
          </w:tcPr>
          <w:p w14:paraId="76C5F61E" w14:textId="249E3C3C" w:rsidR="00212C69" w:rsidRPr="00BC68C4" w:rsidRDefault="00212C69" w:rsidP="00276ED1">
            <w:pPr>
              <w:jc w:val="center"/>
              <w:rPr>
                <w:rFonts w:ascii="Times New Roman" w:hAnsi="Times New Roman" w:cs="Times New Roman"/>
                <w:color w:val="000000"/>
                <w:sz w:val="18"/>
                <w:szCs w:val="18"/>
              </w:rPr>
            </w:pPr>
          </w:p>
        </w:tc>
        <w:tc>
          <w:tcPr>
            <w:tcW w:w="224" w:type="pct"/>
            <w:tcBorders>
              <w:top w:val="nil"/>
              <w:bottom w:val="single" w:sz="6" w:space="0" w:color="auto"/>
            </w:tcBorders>
            <w:shd w:val="clear" w:color="auto" w:fill="auto"/>
            <w:noWrap/>
            <w:vAlign w:val="bottom"/>
          </w:tcPr>
          <w:p w14:paraId="237FC81F" w14:textId="7E0DC96F" w:rsidR="00212C69" w:rsidRPr="00BC68C4" w:rsidRDefault="00212C69" w:rsidP="00276ED1">
            <w:pPr>
              <w:jc w:val="center"/>
              <w:rPr>
                <w:rFonts w:ascii="Times New Roman" w:hAnsi="Times New Roman" w:cs="Times New Roman"/>
                <w:color w:val="000000"/>
                <w:sz w:val="18"/>
                <w:szCs w:val="18"/>
              </w:rPr>
            </w:pPr>
          </w:p>
        </w:tc>
        <w:tc>
          <w:tcPr>
            <w:tcW w:w="224" w:type="pct"/>
            <w:tcBorders>
              <w:top w:val="nil"/>
              <w:bottom w:val="single" w:sz="6" w:space="0" w:color="auto"/>
            </w:tcBorders>
            <w:vAlign w:val="bottom"/>
          </w:tcPr>
          <w:p w14:paraId="782D2466" w14:textId="2BF99311" w:rsidR="00212C69" w:rsidRPr="00BC68C4" w:rsidRDefault="00212C69" w:rsidP="00276ED1">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-0.07</w:t>
            </w:r>
          </w:p>
        </w:tc>
        <w:tc>
          <w:tcPr>
            <w:tcW w:w="224" w:type="pct"/>
            <w:tcBorders>
              <w:top w:val="nil"/>
              <w:bottom w:val="single" w:sz="6" w:space="0" w:color="auto"/>
            </w:tcBorders>
            <w:vAlign w:val="bottom"/>
          </w:tcPr>
          <w:p w14:paraId="76DA66C5" w14:textId="657982F7" w:rsidR="00212C69" w:rsidRPr="00BC68C4" w:rsidRDefault="00212C69" w:rsidP="00276ED1">
            <w:pPr>
              <w:jc w:val="center"/>
              <w:rPr>
                <w:rFonts w:ascii="Times New Roman" w:hAnsi="Times New Roman" w:cs="Times New Roman"/>
                <w:color w:val="000000"/>
                <w:sz w:val="18"/>
                <w:szCs w:val="18"/>
              </w:rPr>
            </w:pPr>
          </w:p>
        </w:tc>
        <w:tc>
          <w:tcPr>
            <w:tcW w:w="224" w:type="pct"/>
            <w:tcBorders>
              <w:top w:val="nil"/>
              <w:bottom w:val="single" w:sz="6" w:space="0" w:color="auto"/>
            </w:tcBorders>
            <w:shd w:val="clear" w:color="auto" w:fill="auto"/>
            <w:noWrap/>
            <w:vAlign w:val="bottom"/>
          </w:tcPr>
          <w:p w14:paraId="33A58E3A" w14:textId="5BC2A913" w:rsidR="00212C69" w:rsidRPr="00BC68C4" w:rsidRDefault="00212C69" w:rsidP="00276ED1">
            <w:pPr>
              <w:jc w:val="center"/>
              <w:rPr>
                <w:rFonts w:ascii="Times New Roman" w:hAnsi="Times New Roman" w:cs="Times New Roman"/>
                <w:color w:val="000000"/>
                <w:sz w:val="18"/>
                <w:szCs w:val="18"/>
              </w:rPr>
            </w:pPr>
          </w:p>
        </w:tc>
        <w:tc>
          <w:tcPr>
            <w:tcW w:w="224" w:type="pct"/>
            <w:tcBorders>
              <w:top w:val="nil"/>
              <w:bottom w:val="single" w:sz="6" w:space="0" w:color="auto"/>
            </w:tcBorders>
            <w:shd w:val="clear" w:color="auto" w:fill="auto"/>
            <w:noWrap/>
            <w:vAlign w:val="bottom"/>
          </w:tcPr>
          <w:p w14:paraId="714E07E1" w14:textId="056F197A" w:rsidR="00212C69" w:rsidRPr="00BC68C4" w:rsidRDefault="00212C69" w:rsidP="00276ED1">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-0.01</w:t>
            </w:r>
          </w:p>
        </w:tc>
        <w:tc>
          <w:tcPr>
            <w:tcW w:w="227" w:type="pct"/>
            <w:tcBorders>
              <w:top w:val="nil"/>
              <w:bottom w:val="single" w:sz="6" w:space="0" w:color="auto"/>
            </w:tcBorders>
            <w:vAlign w:val="center"/>
          </w:tcPr>
          <w:p w14:paraId="59914783" w14:textId="77777777" w:rsidR="00212C69" w:rsidRPr="00BC68C4" w:rsidRDefault="00212C69" w:rsidP="00444E56">
            <w:pPr>
              <w:jc w:val="center"/>
              <w:rPr>
                <w:rFonts w:ascii="Times New Roman" w:hAnsi="Times New Roman" w:cs="Times New Roman"/>
                <w:color w:val="000000"/>
                <w:sz w:val="18"/>
                <w:szCs w:val="18"/>
              </w:rPr>
            </w:pPr>
          </w:p>
        </w:tc>
      </w:tr>
      <w:tr w:rsidR="00665C7D" w:rsidRPr="00BC68C4" w14:paraId="5421EEAD" w14:textId="77777777" w:rsidTr="00665C7D">
        <w:trPr>
          <w:trHeight w:val="300"/>
        </w:trPr>
        <w:tc>
          <w:tcPr>
            <w:tcW w:w="5000" w:type="pct"/>
            <w:gridSpan w:val="23"/>
            <w:tcBorders>
              <w:top w:val="single" w:sz="6" w:space="0" w:color="auto"/>
            </w:tcBorders>
            <w:shd w:val="clear" w:color="auto" w:fill="auto"/>
            <w:noWrap/>
            <w:vAlign w:val="center"/>
          </w:tcPr>
          <w:p w14:paraId="54E4446D" w14:textId="77777777" w:rsidR="00665C7D" w:rsidRPr="00BC68C4" w:rsidRDefault="00665C7D" w:rsidP="009912BC">
            <w:pPr>
              <w:jc w:val="center"/>
              <w:rPr>
                <w:rFonts w:ascii="Times New Roman" w:hAnsi="Times New Roman" w:cs="Times New Roman"/>
                <w:color w:val="000000"/>
                <w:sz w:val="18"/>
                <w:szCs w:val="18"/>
              </w:rPr>
            </w:pPr>
            <w:r w:rsidRPr="00BC68C4">
              <w:rPr>
                <w:rFonts w:ascii="Times New Roman" w:eastAsia="Times New Roman" w:hAnsi="Times New Roman" w:cs="Times New Roman"/>
                <w:color w:val="000000"/>
                <w:sz w:val="18"/>
                <w:szCs w:val="18"/>
                <w:lang w:eastAsia="en-GB"/>
              </w:rPr>
              <w:t>Panel C: Solely Directors</w:t>
            </w:r>
          </w:p>
        </w:tc>
      </w:tr>
      <w:tr w:rsidR="00212C69" w:rsidRPr="00BC68C4" w14:paraId="1F1AAA9D" w14:textId="77777777" w:rsidTr="00444E56">
        <w:trPr>
          <w:trHeight w:val="300"/>
        </w:trPr>
        <w:tc>
          <w:tcPr>
            <w:tcW w:w="741" w:type="pct"/>
            <w:tcBorders>
              <w:top w:val="single" w:sz="6" w:space="0" w:color="auto"/>
            </w:tcBorders>
            <w:shd w:val="clear" w:color="auto" w:fill="auto"/>
            <w:noWrap/>
            <w:vAlign w:val="center"/>
          </w:tcPr>
          <w:p w14:paraId="34CE3DF6" w14:textId="77777777" w:rsidR="00212C69" w:rsidRPr="00BC68C4" w:rsidRDefault="00212C69" w:rsidP="009912BC">
            <w:pPr>
              <w:jc w:val="left"/>
              <w:rPr>
                <w:rFonts w:ascii="Times New Roman" w:eastAsia="Times New Roman" w:hAnsi="Times New Roman" w:cs="Times New Roman"/>
                <w:color w:val="000000"/>
                <w:sz w:val="18"/>
                <w:szCs w:val="20"/>
                <w:lang w:eastAsia="en-GB"/>
              </w:rPr>
            </w:pPr>
            <w:r w:rsidRPr="00BC68C4">
              <w:rPr>
                <w:rFonts w:ascii="Times New Roman" w:eastAsia="Times New Roman" w:hAnsi="Times New Roman" w:cs="Times New Roman"/>
                <w:color w:val="000000"/>
                <w:sz w:val="18"/>
                <w:szCs w:val="20"/>
                <w:lang w:eastAsia="en-GB"/>
              </w:rPr>
              <w:t>Above Median number of individuals who were Solely Directors</w:t>
            </w:r>
          </w:p>
          <w:p w14:paraId="672BDB69" w14:textId="77777777" w:rsidR="00212C69" w:rsidRPr="00BC68C4" w:rsidRDefault="00212C69" w:rsidP="009912BC">
            <w:pPr>
              <w:jc w:val="left"/>
              <w:rPr>
                <w:rFonts w:ascii="Times New Roman" w:eastAsia="Times New Roman" w:hAnsi="Times New Roman" w:cs="Times New Roman"/>
                <w:color w:val="000000"/>
                <w:sz w:val="18"/>
                <w:szCs w:val="20"/>
                <w:lang w:eastAsia="en-GB"/>
              </w:rPr>
            </w:pPr>
          </w:p>
        </w:tc>
        <w:tc>
          <w:tcPr>
            <w:tcW w:w="224" w:type="pct"/>
            <w:tcBorders>
              <w:top w:val="single" w:sz="6" w:space="0" w:color="auto"/>
            </w:tcBorders>
            <w:vAlign w:val="center"/>
          </w:tcPr>
          <w:p w14:paraId="188D2B35" w14:textId="15221435"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108</w:t>
            </w:r>
          </w:p>
        </w:tc>
        <w:tc>
          <w:tcPr>
            <w:tcW w:w="273" w:type="pct"/>
            <w:tcBorders>
              <w:top w:val="single" w:sz="6" w:space="0" w:color="auto"/>
            </w:tcBorders>
            <w:vAlign w:val="center"/>
          </w:tcPr>
          <w:p w14:paraId="7ABF3E7B" w14:textId="576DE4E8"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4.8%</w:t>
            </w:r>
          </w:p>
        </w:tc>
        <w:tc>
          <w:tcPr>
            <w:tcW w:w="175" w:type="pct"/>
            <w:tcBorders>
              <w:top w:val="single" w:sz="6" w:space="0" w:color="auto"/>
            </w:tcBorders>
            <w:vAlign w:val="center"/>
          </w:tcPr>
          <w:p w14:paraId="15CCF7A9" w14:textId="01A22E47" w:rsidR="00212C69" w:rsidRPr="00BC68C4" w:rsidRDefault="00212C69" w:rsidP="00444E56">
            <w:pPr>
              <w:jc w:val="center"/>
              <w:rPr>
                <w:rFonts w:ascii="Times New Roman" w:hAnsi="Times New Roman" w:cs="Times New Roman"/>
                <w:color w:val="000000"/>
                <w:sz w:val="18"/>
                <w:szCs w:val="18"/>
              </w:rPr>
            </w:pPr>
          </w:p>
        </w:tc>
        <w:tc>
          <w:tcPr>
            <w:tcW w:w="175" w:type="pct"/>
            <w:tcBorders>
              <w:top w:val="single" w:sz="6" w:space="0" w:color="auto"/>
            </w:tcBorders>
            <w:shd w:val="clear" w:color="auto" w:fill="auto"/>
            <w:noWrap/>
            <w:vAlign w:val="center"/>
          </w:tcPr>
          <w:p w14:paraId="7345D559" w14:textId="3453EEFC"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118</w:t>
            </w:r>
          </w:p>
        </w:tc>
        <w:tc>
          <w:tcPr>
            <w:tcW w:w="300" w:type="pct"/>
            <w:gridSpan w:val="3"/>
            <w:tcBorders>
              <w:top w:val="single" w:sz="6" w:space="0" w:color="auto"/>
            </w:tcBorders>
            <w:vAlign w:val="center"/>
          </w:tcPr>
          <w:p w14:paraId="5916B80F" w14:textId="13041809"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4.9%</w:t>
            </w:r>
          </w:p>
        </w:tc>
        <w:tc>
          <w:tcPr>
            <w:tcW w:w="197" w:type="pct"/>
            <w:tcBorders>
              <w:top w:val="single" w:sz="6" w:space="0" w:color="auto"/>
            </w:tcBorders>
            <w:vAlign w:val="center"/>
          </w:tcPr>
          <w:p w14:paraId="579FF389" w14:textId="45D60686" w:rsidR="00212C69" w:rsidRPr="00BC68C4" w:rsidRDefault="00212C69" w:rsidP="00444E56">
            <w:pPr>
              <w:jc w:val="center"/>
              <w:rPr>
                <w:rFonts w:ascii="Times New Roman" w:hAnsi="Times New Roman" w:cs="Times New Roman"/>
                <w:color w:val="000000"/>
                <w:sz w:val="18"/>
                <w:szCs w:val="18"/>
              </w:rPr>
            </w:pPr>
          </w:p>
        </w:tc>
        <w:tc>
          <w:tcPr>
            <w:tcW w:w="224" w:type="pct"/>
            <w:tcBorders>
              <w:top w:val="single" w:sz="6" w:space="0" w:color="auto"/>
            </w:tcBorders>
            <w:shd w:val="clear" w:color="auto" w:fill="auto"/>
            <w:noWrap/>
            <w:vAlign w:val="center"/>
          </w:tcPr>
          <w:p w14:paraId="2E4EB1AD" w14:textId="04948D01"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75</w:t>
            </w:r>
          </w:p>
        </w:tc>
        <w:tc>
          <w:tcPr>
            <w:tcW w:w="277" w:type="pct"/>
            <w:tcBorders>
              <w:top w:val="single" w:sz="6" w:space="0" w:color="auto"/>
            </w:tcBorders>
            <w:vAlign w:val="center"/>
          </w:tcPr>
          <w:p w14:paraId="1C030AB3" w14:textId="51F2093F"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4.8%</w:t>
            </w:r>
          </w:p>
        </w:tc>
        <w:tc>
          <w:tcPr>
            <w:tcW w:w="202" w:type="pct"/>
            <w:tcBorders>
              <w:top w:val="single" w:sz="6" w:space="0" w:color="auto"/>
            </w:tcBorders>
            <w:vAlign w:val="center"/>
          </w:tcPr>
          <w:p w14:paraId="3BBE2821" w14:textId="3EC52D61" w:rsidR="00212C69" w:rsidRPr="00BC68C4" w:rsidRDefault="00212C69" w:rsidP="00444E56">
            <w:pPr>
              <w:jc w:val="center"/>
              <w:rPr>
                <w:rFonts w:ascii="Times New Roman" w:hAnsi="Times New Roman" w:cs="Times New Roman"/>
                <w:color w:val="000000"/>
                <w:sz w:val="18"/>
                <w:szCs w:val="18"/>
              </w:rPr>
            </w:pPr>
          </w:p>
        </w:tc>
        <w:tc>
          <w:tcPr>
            <w:tcW w:w="193" w:type="pct"/>
            <w:gridSpan w:val="2"/>
            <w:tcBorders>
              <w:top w:val="single" w:sz="6" w:space="0" w:color="auto"/>
            </w:tcBorders>
            <w:shd w:val="clear" w:color="auto" w:fill="auto"/>
            <w:noWrap/>
            <w:vAlign w:val="center"/>
          </w:tcPr>
          <w:p w14:paraId="09164F2F" w14:textId="2D6ABA5B" w:rsidR="00212C69" w:rsidRPr="00BC68C4" w:rsidRDefault="00212C69" w:rsidP="00444E56">
            <w:pPr>
              <w:jc w:val="center"/>
              <w:rPr>
                <w:rFonts w:ascii="Times New Roman" w:hAnsi="Times New Roman" w:cs="Times New Roman"/>
                <w:color w:val="000000"/>
                <w:sz w:val="18"/>
                <w:szCs w:val="18"/>
              </w:rPr>
            </w:pPr>
          </w:p>
        </w:tc>
        <w:tc>
          <w:tcPr>
            <w:tcW w:w="224" w:type="pct"/>
            <w:tcBorders>
              <w:top w:val="single" w:sz="6" w:space="0" w:color="auto"/>
            </w:tcBorders>
            <w:shd w:val="clear" w:color="auto" w:fill="auto"/>
            <w:noWrap/>
            <w:vAlign w:val="center"/>
          </w:tcPr>
          <w:p w14:paraId="37E885B5" w14:textId="57213B01"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101</w:t>
            </w:r>
          </w:p>
        </w:tc>
        <w:tc>
          <w:tcPr>
            <w:tcW w:w="224" w:type="pct"/>
            <w:tcBorders>
              <w:top w:val="single" w:sz="6" w:space="0" w:color="auto"/>
            </w:tcBorders>
            <w:vAlign w:val="center"/>
          </w:tcPr>
          <w:p w14:paraId="6E5E3D1A" w14:textId="30E16790"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1.02</w:t>
            </w:r>
          </w:p>
        </w:tc>
        <w:tc>
          <w:tcPr>
            <w:tcW w:w="224" w:type="pct"/>
            <w:tcBorders>
              <w:top w:val="single" w:sz="6" w:space="0" w:color="auto"/>
            </w:tcBorders>
            <w:vAlign w:val="center"/>
          </w:tcPr>
          <w:p w14:paraId="305B122C" w14:textId="5EE91DBB" w:rsidR="00212C69" w:rsidRPr="00BC68C4" w:rsidRDefault="00212C69" w:rsidP="00444E56">
            <w:pPr>
              <w:jc w:val="center"/>
              <w:rPr>
                <w:rFonts w:ascii="Times New Roman" w:hAnsi="Times New Roman" w:cs="Times New Roman"/>
                <w:color w:val="000000"/>
                <w:sz w:val="18"/>
                <w:szCs w:val="18"/>
              </w:rPr>
            </w:pPr>
          </w:p>
        </w:tc>
        <w:tc>
          <w:tcPr>
            <w:tcW w:w="224" w:type="pct"/>
            <w:tcBorders>
              <w:top w:val="single" w:sz="6" w:space="0" w:color="auto"/>
            </w:tcBorders>
            <w:shd w:val="clear" w:color="auto" w:fill="auto"/>
            <w:noWrap/>
            <w:vAlign w:val="center"/>
          </w:tcPr>
          <w:p w14:paraId="30D4E1E6" w14:textId="0E46D9E2"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111</w:t>
            </w:r>
          </w:p>
        </w:tc>
        <w:tc>
          <w:tcPr>
            <w:tcW w:w="224" w:type="pct"/>
            <w:tcBorders>
              <w:top w:val="single" w:sz="6" w:space="0" w:color="auto"/>
            </w:tcBorders>
            <w:vAlign w:val="center"/>
          </w:tcPr>
          <w:p w14:paraId="71EB0C11" w14:textId="4F217A82"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1.01</w:t>
            </w:r>
          </w:p>
        </w:tc>
        <w:tc>
          <w:tcPr>
            <w:tcW w:w="224" w:type="pct"/>
            <w:tcBorders>
              <w:top w:val="single" w:sz="6" w:space="0" w:color="auto"/>
            </w:tcBorders>
            <w:vAlign w:val="center"/>
          </w:tcPr>
          <w:p w14:paraId="613AEE5F" w14:textId="71F595B1" w:rsidR="00212C69" w:rsidRPr="00BC68C4" w:rsidRDefault="00212C69" w:rsidP="00444E56">
            <w:pPr>
              <w:jc w:val="center"/>
              <w:rPr>
                <w:rFonts w:ascii="Times New Roman" w:hAnsi="Times New Roman" w:cs="Times New Roman"/>
                <w:color w:val="000000"/>
                <w:sz w:val="18"/>
                <w:szCs w:val="18"/>
              </w:rPr>
            </w:pPr>
          </w:p>
        </w:tc>
        <w:tc>
          <w:tcPr>
            <w:tcW w:w="224" w:type="pct"/>
            <w:tcBorders>
              <w:top w:val="single" w:sz="6" w:space="0" w:color="auto"/>
            </w:tcBorders>
            <w:shd w:val="clear" w:color="auto" w:fill="auto"/>
            <w:noWrap/>
            <w:vAlign w:val="center"/>
          </w:tcPr>
          <w:p w14:paraId="2CD798A4" w14:textId="2FB2A207"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70</w:t>
            </w:r>
          </w:p>
        </w:tc>
        <w:tc>
          <w:tcPr>
            <w:tcW w:w="224" w:type="pct"/>
            <w:tcBorders>
              <w:top w:val="single" w:sz="6" w:space="0" w:color="auto"/>
            </w:tcBorders>
            <w:shd w:val="clear" w:color="auto" w:fill="auto"/>
            <w:noWrap/>
            <w:vAlign w:val="center"/>
          </w:tcPr>
          <w:p w14:paraId="66079528" w14:textId="72FEA794"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1.07</w:t>
            </w:r>
          </w:p>
        </w:tc>
        <w:tc>
          <w:tcPr>
            <w:tcW w:w="227" w:type="pct"/>
            <w:tcBorders>
              <w:top w:val="single" w:sz="6" w:space="0" w:color="auto"/>
            </w:tcBorders>
            <w:vAlign w:val="center"/>
          </w:tcPr>
          <w:p w14:paraId="4BF2079B" w14:textId="55DD29CC" w:rsidR="00212C69" w:rsidRPr="00BC68C4" w:rsidRDefault="00212C69" w:rsidP="00444E56">
            <w:pPr>
              <w:jc w:val="center"/>
              <w:rPr>
                <w:rFonts w:ascii="Times New Roman" w:hAnsi="Times New Roman" w:cs="Times New Roman"/>
                <w:color w:val="000000"/>
                <w:sz w:val="18"/>
                <w:szCs w:val="18"/>
              </w:rPr>
            </w:pPr>
          </w:p>
        </w:tc>
      </w:tr>
      <w:tr w:rsidR="00212C69" w:rsidRPr="00BC68C4" w14:paraId="53773C93" w14:textId="77777777" w:rsidTr="00444E56">
        <w:trPr>
          <w:trHeight w:val="300"/>
        </w:trPr>
        <w:tc>
          <w:tcPr>
            <w:tcW w:w="741" w:type="pct"/>
            <w:shd w:val="clear" w:color="auto" w:fill="auto"/>
            <w:noWrap/>
            <w:vAlign w:val="center"/>
            <w:hideMark/>
          </w:tcPr>
          <w:p w14:paraId="5D1012B0" w14:textId="77777777" w:rsidR="00212C69" w:rsidRPr="00BC68C4" w:rsidRDefault="00212C69" w:rsidP="009912BC">
            <w:pPr>
              <w:jc w:val="left"/>
              <w:rPr>
                <w:rFonts w:ascii="Times New Roman" w:eastAsia="Times New Roman" w:hAnsi="Times New Roman" w:cs="Times New Roman"/>
                <w:color w:val="000000"/>
                <w:sz w:val="18"/>
                <w:szCs w:val="20"/>
                <w:lang w:eastAsia="en-GB"/>
              </w:rPr>
            </w:pPr>
            <w:r w:rsidRPr="00BC68C4">
              <w:rPr>
                <w:rFonts w:ascii="Times New Roman" w:eastAsia="Times New Roman" w:hAnsi="Times New Roman" w:cs="Times New Roman"/>
                <w:color w:val="000000"/>
                <w:sz w:val="18"/>
                <w:szCs w:val="20"/>
                <w:lang w:eastAsia="en-GB"/>
              </w:rPr>
              <w:t>Below Median number of individuals who were Solely Directors</w:t>
            </w:r>
          </w:p>
          <w:p w14:paraId="4CA9D8FB" w14:textId="77777777" w:rsidR="00212C69" w:rsidRPr="00BC68C4" w:rsidRDefault="00212C69" w:rsidP="009912BC">
            <w:pPr>
              <w:jc w:val="left"/>
              <w:rPr>
                <w:rFonts w:ascii="Times New Roman" w:eastAsia="Times New Roman" w:hAnsi="Times New Roman" w:cs="Times New Roman"/>
                <w:color w:val="000000"/>
                <w:sz w:val="18"/>
                <w:szCs w:val="20"/>
                <w:lang w:eastAsia="en-GB"/>
              </w:rPr>
            </w:pPr>
          </w:p>
        </w:tc>
        <w:tc>
          <w:tcPr>
            <w:tcW w:w="224" w:type="pct"/>
            <w:vAlign w:val="center"/>
          </w:tcPr>
          <w:p w14:paraId="2AF5F65E" w14:textId="2DF38634"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137</w:t>
            </w:r>
          </w:p>
        </w:tc>
        <w:tc>
          <w:tcPr>
            <w:tcW w:w="273" w:type="pct"/>
            <w:vAlign w:val="center"/>
          </w:tcPr>
          <w:p w14:paraId="38F93E2E" w14:textId="72703E45"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5.1%</w:t>
            </w:r>
          </w:p>
        </w:tc>
        <w:tc>
          <w:tcPr>
            <w:tcW w:w="175" w:type="pct"/>
            <w:vAlign w:val="center"/>
          </w:tcPr>
          <w:p w14:paraId="4CD32FDF" w14:textId="77777777" w:rsidR="00212C69" w:rsidRPr="00BC68C4" w:rsidRDefault="00212C69" w:rsidP="00444E56">
            <w:pPr>
              <w:jc w:val="center"/>
              <w:rPr>
                <w:rFonts w:ascii="Times New Roman" w:hAnsi="Times New Roman" w:cs="Times New Roman"/>
                <w:color w:val="000000"/>
                <w:sz w:val="18"/>
                <w:szCs w:val="18"/>
              </w:rPr>
            </w:pPr>
          </w:p>
        </w:tc>
        <w:tc>
          <w:tcPr>
            <w:tcW w:w="175" w:type="pct"/>
            <w:shd w:val="clear" w:color="auto" w:fill="auto"/>
            <w:noWrap/>
            <w:vAlign w:val="center"/>
          </w:tcPr>
          <w:p w14:paraId="5CE04A96" w14:textId="1F1AC69F"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127</w:t>
            </w:r>
          </w:p>
        </w:tc>
        <w:tc>
          <w:tcPr>
            <w:tcW w:w="300" w:type="pct"/>
            <w:gridSpan w:val="3"/>
            <w:vAlign w:val="center"/>
          </w:tcPr>
          <w:p w14:paraId="239A4EC3" w14:textId="614281D3"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5.0%</w:t>
            </w:r>
          </w:p>
        </w:tc>
        <w:tc>
          <w:tcPr>
            <w:tcW w:w="197" w:type="pct"/>
            <w:vAlign w:val="center"/>
          </w:tcPr>
          <w:p w14:paraId="71CC4263" w14:textId="77777777" w:rsidR="00212C69" w:rsidRPr="00BC68C4" w:rsidRDefault="00212C69" w:rsidP="00444E56">
            <w:pPr>
              <w:jc w:val="center"/>
              <w:rPr>
                <w:rFonts w:ascii="Times New Roman" w:hAnsi="Times New Roman" w:cs="Times New Roman"/>
                <w:color w:val="000000"/>
                <w:sz w:val="18"/>
                <w:szCs w:val="18"/>
              </w:rPr>
            </w:pPr>
          </w:p>
        </w:tc>
        <w:tc>
          <w:tcPr>
            <w:tcW w:w="224" w:type="pct"/>
            <w:shd w:val="clear" w:color="auto" w:fill="auto"/>
            <w:noWrap/>
            <w:vAlign w:val="center"/>
          </w:tcPr>
          <w:p w14:paraId="441BCEF8" w14:textId="4D59A455"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170</w:t>
            </w:r>
          </w:p>
        </w:tc>
        <w:tc>
          <w:tcPr>
            <w:tcW w:w="277" w:type="pct"/>
            <w:vAlign w:val="center"/>
          </w:tcPr>
          <w:p w14:paraId="79DFD56F" w14:textId="030220AE"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5.0%</w:t>
            </w:r>
          </w:p>
        </w:tc>
        <w:tc>
          <w:tcPr>
            <w:tcW w:w="202" w:type="pct"/>
            <w:vAlign w:val="center"/>
          </w:tcPr>
          <w:p w14:paraId="1B0BFF42" w14:textId="77777777" w:rsidR="00212C69" w:rsidRPr="00BC68C4" w:rsidRDefault="00212C69" w:rsidP="00444E56">
            <w:pPr>
              <w:jc w:val="center"/>
              <w:rPr>
                <w:rFonts w:ascii="Times New Roman" w:hAnsi="Times New Roman" w:cs="Times New Roman"/>
                <w:color w:val="000000"/>
                <w:sz w:val="18"/>
                <w:szCs w:val="18"/>
              </w:rPr>
            </w:pPr>
          </w:p>
        </w:tc>
        <w:tc>
          <w:tcPr>
            <w:tcW w:w="193" w:type="pct"/>
            <w:gridSpan w:val="2"/>
            <w:shd w:val="clear" w:color="auto" w:fill="auto"/>
            <w:noWrap/>
            <w:vAlign w:val="center"/>
          </w:tcPr>
          <w:p w14:paraId="364C4B16" w14:textId="77777777" w:rsidR="00212C69" w:rsidRPr="00BC68C4" w:rsidRDefault="00212C69" w:rsidP="00444E56">
            <w:pPr>
              <w:jc w:val="center"/>
              <w:rPr>
                <w:rFonts w:ascii="Times New Roman" w:hAnsi="Times New Roman" w:cs="Times New Roman"/>
                <w:color w:val="000000"/>
                <w:sz w:val="18"/>
                <w:szCs w:val="18"/>
              </w:rPr>
            </w:pPr>
          </w:p>
        </w:tc>
        <w:tc>
          <w:tcPr>
            <w:tcW w:w="224" w:type="pct"/>
            <w:shd w:val="clear" w:color="auto" w:fill="auto"/>
            <w:noWrap/>
            <w:vAlign w:val="center"/>
          </w:tcPr>
          <w:p w14:paraId="27E9691B" w14:textId="524EBCC1"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111</w:t>
            </w:r>
          </w:p>
        </w:tc>
        <w:tc>
          <w:tcPr>
            <w:tcW w:w="224" w:type="pct"/>
            <w:vAlign w:val="center"/>
          </w:tcPr>
          <w:p w14:paraId="4071E9AE" w14:textId="31AC0FDB"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0.87</w:t>
            </w:r>
          </w:p>
        </w:tc>
        <w:tc>
          <w:tcPr>
            <w:tcW w:w="224" w:type="pct"/>
            <w:vAlign w:val="center"/>
          </w:tcPr>
          <w:p w14:paraId="6D1E8CE1" w14:textId="77777777" w:rsidR="00212C69" w:rsidRPr="00BC68C4" w:rsidRDefault="00212C69" w:rsidP="00444E56">
            <w:pPr>
              <w:jc w:val="center"/>
              <w:rPr>
                <w:rFonts w:ascii="Times New Roman" w:hAnsi="Times New Roman" w:cs="Times New Roman"/>
                <w:color w:val="000000"/>
                <w:sz w:val="18"/>
                <w:szCs w:val="18"/>
              </w:rPr>
            </w:pPr>
          </w:p>
        </w:tc>
        <w:tc>
          <w:tcPr>
            <w:tcW w:w="224" w:type="pct"/>
            <w:shd w:val="clear" w:color="auto" w:fill="auto"/>
            <w:noWrap/>
            <w:vAlign w:val="center"/>
          </w:tcPr>
          <w:p w14:paraId="480F7751" w14:textId="5265AB09"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101</w:t>
            </w:r>
          </w:p>
        </w:tc>
        <w:tc>
          <w:tcPr>
            <w:tcW w:w="224" w:type="pct"/>
            <w:vAlign w:val="center"/>
          </w:tcPr>
          <w:p w14:paraId="146147B4" w14:textId="215F61FF"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0.87</w:t>
            </w:r>
          </w:p>
        </w:tc>
        <w:tc>
          <w:tcPr>
            <w:tcW w:w="224" w:type="pct"/>
            <w:vAlign w:val="center"/>
          </w:tcPr>
          <w:p w14:paraId="73087FBB" w14:textId="77777777" w:rsidR="00212C69" w:rsidRPr="00BC68C4" w:rsidRDefault="00212C69" w:rsidP="00444E56">
            <w:pPr>
              <w:jc w:val="center"/>
              <w:rPr>
                <w:rFonts w:ascii="Times New Roman" w:hAnsi="Times New Roman" w:cs="Times New Roman"/>
                <w:color w:val="000000"/>
                <w:sz w:val="18"/>
                <w:szCs w:val="18"/>
              </w:rPr>
            </w:pPr>
          </w:p>
        </w:tc>
        <w:tc>
          <w:tcPr>
            <w:tcW w:w="224" w:type="pct"/>
            <w:shd w:val="clear" w:color="auto" w:fill="auto"/>
            <w:noWrap/>
            <w:vAlign w:val="center"/>
          </w:tcPr>
          <w:p w14:paraId="281923BE" w14:textId="2E6FCC15"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142</w:t>
            </w:r>
          </w:p>
        </w:tc>
        <w:tc>
          <w:tcPr>
            <w:tcW w:w="224" w:type="pct"/>
            <w:shd w:val="clear" w:color="auto" w:fill="auto"/>
            <w:noWrap/>
            <w:vAlign w:val="center"/>
          </w:tcPr>
          <w:p w14:paraId="677CFEC5" w14:textId="11F50A16"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0.88</w:t>
            </w:r>
          </w:p>
        </w:tc>
        <w:tc>
          <w:tcPr>
            <w:tcW w:w="227" w:type="pct"/>
            <w:vAlign w:val="center"/>
          </w:tcPr>
          <w:p w14:paraId="4146C819" w14:textId="77777777" w:rsidR="00212C69" w:rsidRPr="00BC68C4" w:rsidRDefault="00212C69" w:rsidP="00444E56">
            <w:pPr>
              <w:jc w:val="center"/>
              <w:rPr>
                <w:rFonts w:ascii="Times New Roman" w:hAnsi="Times New Roman" w:cs="Times New Roman"/>
                <w:color w:val="000000"/>
                <w:sz w:val="18"/>
                <w:szCs w:val="18"/>
              </w:rPr>
            </w:pPr>
          </w:p>
        </w:tc>
      </w:tr>
      <w:tr w:rsidR="00212C69" w:rsidRPr="00BC68C4" w14:paraId="3D0C79E1" w14:textId="77777777" w:rsidTr="00444E56">
        <w:trPr>
          <w:trHeight w:val="300"/>
        </w:trPr>
        <w:tc>
          <w:tcPr>
            <w:tcW w:w="741" w:type="pct"/>
            <w:tcBorders>
              <w:bottom w:val="double" w:sz="4" w:space="0" w:color="auto"/>
            </w:tcBorders>
            <w:shd w:val="clear" w:color="auto" w:fill="auto"/>
            <w:noWrap/>
            <w:vAlign w:val="center"/>
            <w:hideMark/>
          </w:tcPr>
          <w:p w14:paraId="205BB6E9" w14:textId="77777777" w:rsidR="00212C69" w:rsidRPr="00BC68C4" w:rsidRDefault="00212C69" w:rsidP="009912BC">
            <w:pPr>
              <w:jc w:val="left"/>
              <w:rPr>
                <w:rFonts w:ascii="Times New Roman" w:eastAsia="Times New Roman" w:hAnsi="Times New Roman" w:cs="Times New Roman"/>
                <w:color w:val="000000"/>
                <w:sz w:val="18"/>
                <w:szCs w:val="20"/>
                <w:lang w:eastAsia="en-GB"/>
              </w:rPr>
            </w:pPr>
            <w:r w:rsidRPr="00BC68C4">
              <w:rPr>
                <w:rFonts w:ascii="Times New Roman" w:eastAsia="Times New Roman" w:hAnsi="Times New Roman" w:cs="Times New Roman"/>
                <w:color w:val="000000"/>
                <w:sz w:val="18"/>
                <w:szCs w:val="20"/>
                <w:lang w:eastAsia="en-GB"/>
              </w:rPr>
              <w:t>Difference in means</w:t>
            </w:r>
          </w:p>
        </w:tc>
        <w:tc>
          <w:tcPr>
            <w:tcW w:w="224" w:type="pct"/>
            <w:tcBorders>
              <w:bottom w:val="double" w:sz="4" w:space="0" w:color="auto"/>
            </w:tcBorders>
            <w:vAlign w:val="center"/>
          </w:tcPr>
          <w:p w14:paraId="7984C482" w14:textId="21A2D461" w:rsidR="00212C69" w:rsidRPr="00BC68C4" w:rsidRDefault="00212C69" w:rsidP="00444E56">
            <w:pPr>
              <w:jc w:val="center"/>
              <w:rPr>
                <w:rFonts w:ascii="Times New Roman" w:hAnsi="Times New Roman" w:cs="Times New Roman"/>
                <w:color w:val="000000"/>
                <w:sz w:val="18"/>
                <w:szCs w:val="18"/>
              </w:rPr>
            </w:pPr>
          </w:p>
        </w:tc>
        <w:tc>
          <w:tcPr>
            <w:tcW w:w="273" w:type="pct"/>
            <w:tcBorders>
              <w:bottom w:val="double" w:sz="4" w:space="0" w:color="auto"/>
            </w:tcBorders>
            <w:vAlign w:val="center"/>
          </w:tcPr>
          <w:p w14:paraId="7573B472" w14:textId="5711E4E9"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-0.3%</w:t>
            </w:r>
          </w:p>
        </w:tc>
        <w:tc>
          <w:tcPr>
            <w:tcW w:w="175" w:type="pct"/>
            <w:tcBorders>
              <w:bottom w:val="double" w:sz="4" w:space="0" w:color="auto"/>
            </w:tcBorders>
            <w:vAlign w:val="center"/>
          </w:tcPr>
          <w:p w14:paraId="72DE77F7" w14:textId="77777777" w:rsidR="00212C69" w:rsidRPr="00BC68C4" w:rsidRDefault="00212C69" w:rsidP="00444E56">
            <w:pPr>
              <w:jc w:val="center"/>
              <w:rPr>
                <w:rFonts w:ascii="Times New Roman" w:hAnsi="Times New Roman" w:cs="Times New Roman"/>
                <w:color w:val="000000"/>
                <w:sz w:val="18"/>
                <w:szCs w:val="18"/>
              </w:rPr>
            </w:pPr>
          </w:p>
        </w:tc>
        <w:tc>
          <w:tcPr>
            <w:tcW w:w="175" w:type="pct"/>
            <w:tcBorders>
              <w:bottom w:val="double" w:sz="4" w:space="0" w:color="auto"/>
            </w:tcBorders>
            <w:shd w:val="clear" w:color="auto" w:fill="auto"/>
            <w:noWrap/>
            <w:vAlign w:val="center"/>
          </w:tcPr>
          <w:p w14:paraId="5BAD36FD" w14:textId="3434A31B" w:rsidR="00212C69" w:rsidRPr="00BC68C4" w:rsidRDefault="00212C69" w:rsidP="00444E56">
            <w:pPr>
              <w:jc w:val="center"/>
              <w:rPr>
                <w:rFonts w:ascii="Times New Roman" w:hAnsi="Times New Roman" w:cs="Times New Roman"/>
                <w:color w:val="000000"/>
                <w:sz w:val="18"/>
                <w:szCs w:val="18"/>
              </w:rPr>
            </w:pPr>
          </w:p>
        </w:tc>
        <w:tc>
          <w:tcPr>
            <w:tcW w:w="300" w:type="pct"/>
            <w:gridSpan w:val="3"/>
            <w:tcBorders>
              <w:bottom w:val="double" w:sz="4" w:space="0" w:color="auto"/>
            </w:tcBorders>
            <w:vAlign w:val="center"/>
          </w:tcPr>
          <w:p w14:paraId="1F237648" w14:textId="4F7B611B"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-0.2%</w:t>
            </w:r>
          </w:p>
        </w:tc>
        <w:tc>
          <w:tcPr>
            <w:tcW w:w="197" w:type="pct"/>
            <w:tcBorders>
              <w:bottom w:val="double" w:sz="4" w:space="0" w:color="auto"/>
            </w:tcBorders>
            <w:vAlign w:val="center"/>
          </w:tcPr>
          <w:p w14:paraId="2E7D70FD" w14:textId="727BFFE9" w:rsidR="00212C69" w:rsidRPr="00BC68C4" w:rsidRDefault="00212C69" w:rsidP="00444E56">
            <w:pPr>
              <w:jc w:val="center"/>
              <w:rPr>
                <w:rFonts w:ascii="Times New Roman" w:hAnsi="Times New Roman" w:cs="Times New Roman"/>
                <w:color w:val="000000"/>
                <w:sz w:val="18"/>
                <w:szCs w:val="18"/>
              </w:rPr>
            </w:pPr>
          </w:p>
        </w:tc>
        <w:tc>
          <w:tcPr>
            <w:tcW w:w="224" w:type="pct"/>
            <w:tcBorders>
              <w:bottom w:val="double" w:sz="4" w:space="0" w:color="auto"/>
            </w:tcBorders>
            <w:shd w:val="clear" w:color="auto" w:fill="auto"/>
            <w:noWrap/>
            <w:vAlign w:val="center"/>
          </w:tcPr>
          <w:p w14:paraId="1D6462AB" w14:textId="62DE80FD" w:rsidR="00212C69" w:rsidRPr="00BC68C4" w:rsidRDefault="00212C69" w:rsidP="00444E56">
            <w:pPr>
              <w:jc w:val="center"/>
              <w:rPr>
                <w:rFonts w:ascii="Times New Roman" w:hAnsi="Times New Roman" w:cs="Times New Roman"/>
                <w:color w:val="000000"/>
                <w:sz w:val="18"/>
                <w:szCs w:val="18"/>
              </w:rPr>
            </w:pPr>
          </w:p>
        </w:tc>
        <w:tc>
          <w:tcPr>
            <w:tcW w:w="277" w:type="pct"/>
            <w:tcBorders>
              <w:bottom w:val="double" w:sz="4" w:space="0" w:color="auto"/>
            </w:tcBorders>
            <w:vAlign w:val="center"/>
          </w:tcPr>
          <w:p w14:paraId="2F29FBE9" w14:textId="03AC77D9"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-0.3%</w:t>
            </w:r>
          </w:p>
        </w:tc>
        <w:tc>
          <w:tcPr>
            <w:tcW w:w="202" w:type="pct"/>
            <w:tcBorders>
              <w:bottom w:val="double" w:sz="4" w:space="0" w:color="auto"/>
            </w:tcBorders>
            <w:vAlign w:val="center"/>
          </w:tcPr>
          <w:p w14:paraId="78B1DF8D" w14:textId="1A157918" w:rsidR="00212C69" w:rsidRPr="00BC68C4" w:rsidRDefault="00212C69" w:rsidP="00444E56">
            <w:pPr>
              <w:jc w:val="center"/>
              <w:rPr>
                <w:rFonts w:ascii="Times New Roman" w:hAnsi="Times New Roman" w:cs="Times New Roman"/>
                <w:color w:val="000000"/>
                <w:sz w:val="18"/>
                <w:szCs w:val="18"/>
              </w:rPr>
            </w:pPr>
          </w:p>
        </w:tc>
        <w:tc>
          <w:tcPr>
            <w:tcW w:w="193" w:type="pct"/>
            <w:gridSpan w:val="2"/>
            <w:tcBorders>
              <w:bottom w:val="double" w:sz="4" w:space="0" w:color="auto"/>
            </w:tcBorders>
            <w:shd w:val="clear" w:color="auto" w:fill="auto"/>
            <w:noWrap/>
            <w:vAlign w:val="center"/>
          </w:tcPr>
          <w:p w14:paraId="5ADA101E" w14:textId="44D35354" w:rsidR="00212C69" w:rsidRPr="00BC68C4" w:rsidRDefault="00212C69" w:rsidP="00444E56">
            <w:pPr>
              <w:jc w:val="center"/>
              <w:rPr>
                <w:rFonts w:ascii="Times New Roman" w:hAnsi="Times New Roman" w:cs="Times New Roman"/>
                <w:color w:val="000000"/>
                <w:sz w:val="18"/>
                <w:szCs w:val="18"/>
              </w:rPr>
            </w:pPr>
          </w:p>
        </w:tc>
        <w:tc>
          <w:tcPr>
            <w:tcW w:w="224" w:type="pct"/>
            <w:tcBorders>
              <w:bottom w:val="double" w:sz="4" w:space="0" w:color="auto"/>
            </w:tcBorders>
            <w:shd w:val="clear" w:color="auto" w:fill="auto"/>
            <w:noWrap/>
            <w:vAlign w:val="center"/>
          </w:tcPr>
          <w:p w14:paraId="7AA93E50" w14:textId="6F9D9EBC" w:rsidR="00212C69" w:rsidRPr="00BC68C4" w:rsidRDefault="00212C69" w:rsidP="00444E56">
            <w:pPr>
              <w:jc w:val="center"/>
              <w:rPr>
                <w:rFonts w:ascii="Times New Roman" w:hAnsi="Times New Roman" w:cs="Times New Roman"/>
                <w:color w:val="000000"/>
                <w:sz w:val="18"/>
                <w:szCs w:val="18"/>
              </w:rPr>
            </w:pPr>
          </w:p>
        </w:tc>
        <w:tc>
          <w:tcPr>
            <w:tcW w:w="224" w:type="pct"/>
            <w:tcBorders>
              <w:bottom w:val="double" w:sz="4" w:space="0" w:color="auto"/>
            </w:tcBorders>
            <w:vAlign w:val="center"/>
          </w:tcPr>
          <w:p w14:paraId="49C88716" w14:textId="30E912EF"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0.15</w:t>
            </w:r>
          </w:p>
        </w:tc>
        <w:tc>
          <w:tcPr>
            <w:tcW w:w="224" w:type="pct"/>
            <w:tcBorders>
              <w:bottom w:val="double" w:sz="4" w:space="0" w:color="auto"/>
            </w:tcBorders>
            <w:vAlign w:val="center"/>
          </w:tcPr>
          <w:p w14:paraId="2CF332C8" w14:textId="47F09492"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w:t>
            </w:r>
          </w:p>
        </w:tc>
        <w:tc>
          <w:tcPr>
            <w:tcW w:w="224" w:type="pct"/>
            <w:tcBorders>
              <w:bottom w:val="double" w:sz="4" w:space="0" w:color="auto"/>
            </w:tcBorders>
            <w:shd w:val="clear" w:color="auto" w:fill="auto"/>
            <w:noWrap/>
            <w:vAlign w:val="center"/>
          </w:tcPr>
          <w:p w14:paraId="08EFE9B1" w14:textId="65D2AB36" w:rsidR="00212C69" w:rsidRPr="00BC68C4" w:rsidRDefault="00212C69" w:rsidP="00444E56">
            <w:pPr>
              <w:jc w:val="center"/>
              <w:rPr>
                <w:rFonts w:ascii="Times New Roman" w:hAnsi="Times New Roman" w:cs="Times New Roman"/>
                <w:color w:val="000000"/>
                <w:sz w:val="18"/>
                <w:szCs w:val="18"/>
              </w:rPr>
            </w:pPr>
          </w:p>
        </w:tc>
        <w:tc>
          <w:tcPr>
            <w:tcW w:w="224" w:type="pct"/>
            <w:tcBorders>
              <w:bottom w:val="double" w:sz="4" w:space="0" w:color="auto"/>
            </w:tcBorders>
            <w:vAlign w:val="center"/>
          </w:tcPr>
          <w:p w14:paraId="76E4E644" w14:textId="633F326D"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0.14</w:t>
            </w:r>
          </w:p>
        </w:tc>
        <w:tc>
          <w:tcPr>
            <w:tcW w:w="224" w:type="pct"/>
            <w:tcBorders>
              <w:bottom w:val="double" w:sz="4" w:space="0" w:color="auto"/>
            </w:tcBorders>
            <w:vAlign w:val="center"/>
          </w:tcPr>
          <w:p w14:paraId="4662BD08" w14:textId="2D762123"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w:t>
            </w:r>
          </w:p>
        </w:tc>
        <w:tc>
          <w:tcPr>
            <w:tcW w:w="224" w:type="pct"/>
            <w:tcBorders>
              <w:bottom w:val="double" w:sz="4" w:space="0" w:color="auto"/>
            </w:tcBorders>
            <w:shd w:val="clear" w:color="auto" w:fill="auto"/>
            <w:noWrap/>
            <w:vAlign w:val="center"/>
          </w:tcPr>
          <w:p w14:paraId="54FABF2F" w14:textId="16288C76" w:rsidR="00212C69" w:rsidRPr="00BC68C4" w:rsidRDefault="00212C69" w:rsidP="00444E56">
            <w:pPr>
              <w:jc w:val="center"/>
              <w:rPr>
                <w:rFonts w:ascii="Times New Roman" w:hAnsi="Times New Roman" w:cs="Times New Roman"/>
                <w:color w:val="000000"/>
                <w:sz w:val="18"/>
                <w:szCs w:val="18"/>
              </w:rPr>
            </w:pPr>
          </w:p>
        </w:tc>
        <w:tc>
          <w:tcPr>
            <w:tcW w:w="224" w:type="pct"/>
            <w:tcBorders>
              <w:bottom w:val="double" w:sz="4" w:space="0" w:color="auto"/>
            </w:tcBorders>
            <w:shd w:val="clear" w:color="auto" w:fill="auto"/>
            <w:noWrap/>
            <w:vAlign w:val="center"/>
          </w:tcPr>
          <w:p w14:paraId="328561C4" w14:textId="0090BA46"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0.19</w:t>
            </w:r>
          </w:p>
        </w:tc>
        <w:tc>
          <w:tcPr>
            <w:tcW w:w="227" w:type="pct"/>
            <w:tcBorders>
              <w:bottom w:val="double" w:sz="4" w:space="0" w:color="auto"/>
            </w:tcBorders>
            <w:vAlign w:val="center"/>
          </w:tcPr>
          <w:p w14:paraId="42046110" w14:textId="742BD5E6" w:rsidR="00212C69" w:rsidRPr="00BC68C4" w:rsidRDefault="00212C69" w:rsidP="00444E56">
            <w:pPr>
              <w:jc w:val="center"/>
              <w:rPr>
                <w:rFonts w:ascii="Times New Roman" w:hAnsi="Times New Roman" w:cs="Times New Roman"/>
                <w:color w:val="000000"/>
                <w:sz w:val="18"/>
                <w:szCs w:val="18"/>
              </w:rPr>
            </w:pPr>
            <w:r w:rsidRPr="00BC68C4">
              <w:rPr>
                <w:rFonts w:ascii="Times New Roman" w:hAnsi="Times New Roman" w:cs="Times New Roman"/>
                <w:color w:val="000000"/>
                <w:sz w:val="18"/>
                <w:szCs w:val="18"/>
              </w:rPr>
              <w:t>***</w:t>
            </w:r>
          </w:p>
        </w:tc>
      </w:tr>
    </w:tbl>
    <w:p w14:paraId="22AC8921" w14:textId="77777777" w:rsidR="00C33C52" w:rsidRPr="00BC68C4" w:rsidRDefault="00C33C52">
      <w:pPr>
        <w:spacing w:after="200" w:line="276" w:lineRule="auto"/>
        <w:jc w:val="left"/>
        <w:rPr>
          <w:rFonts w:ascii="Times New Roman" w:hAnsi="Times New Roman" w:cs="Times New Roman"/>
          <w:sz w:val="18"/>
          <w:szCs w:val="18"/>
        </w:rPr>
      </w:pPr>
      <w:r w:rsidRPr="00BC68C4">
        <w:rPr>
          <w:rFonts w:ascii="Times New Roman" w:hAnsi="Times New Roman" w:cs="Times New Roman"/>
          <w:i/>
          <w:sz w:val="18"/>
          <w:szCs w:val="18"/>
        </w:rPr>
        <w:t>Notes</w:t>
      </w:r>
      <w:r w:rsidRPr="00BC68C4">
        <w:rPr>
          <w:rFonts w:ascii="Times New Roman" w:hAnsi="Times New Roman" w:cs="Times New Roman"/>
          <w:sz w:val="18"/>
          <w:szCs w:val="18"/>
        </w:rPr>
        <w:t xml:space="preserve">: *** p&lt;0.01, ** p&lt;0.05, * p&lt;0.1.  </w:t>
      </w:r>
    </w:p>
    <w:p w14:paraId="5015690A" w14:textId="77777777" w:rsidR="00C33C52" w:rsidRPr="00BC68C4" w:rsidRDefault="00C33C52">
      <w:pPr>
        <w:spacing w:after="200" w:line="276" w:lineRule="auto"/>
        <w:jc w:val="left"/>
        <w:rPr>
          <w:rFonts w:ascii="Times New Roman" w:hAnsi="Times New Roman" w:cs="Times New Roman"/>
          <w:b/>
          <w:sz w:val="24"/>
          <w:szCs w:val="24"/>
        </w:rPr>
        <w:sectPr w:rsidR="00C33C52" w:rsidRPr="00BC68C4" w:rsidSect="000336B0">
          <w:pgSz w:w="16838" w:h="11906" w:orient="landscape"/>
          <w:pgMar w:top="1440" w:right="1440" w:bottom="1440" w:left="1440" w:header="708" w:footer="708" w:gutter="0"/>
          <w:cols w:space="708"/>
          <w:docGrid w:linePitch="360"/>
        </w:sectPr>
      </w:pPr>
    </w:p>
    <w:p w14:paraId="2B9DBEFA" w14:textId="3A2844F2" w:rsidR="00703AC0" w:rsidRPr="00703AC0" w:rsidRDefault="00703AC0" w:rsidP="00FF779A">
      <w:pPr>
        <w:jc w:val="center"/>
        <w:rPr>
          <w:rFonts w:ascii="Times New Roman" w:hAnsi="Times New Roman" w:cs="Times New Roman"/>
          <w:sz w:val="20"/>
          <w:szCs w:val="20"/>
        </w:rPr>
      </w:pPr>
      <w:r w:rsidRPr="00703AC0">
        <w:rPr>
          <w:rFonts w:ascii="Times New Roman" w:hAnsi="Times New Roman" w:cs="Times New Roman"/>
          <w:sz w:val="20"/>
          <w:szCs w:val="20"/>
        </w:rPr>
        <w:t xml:space="preserve">TABLE </w:t>
      </w:r>
      <w:r w:rsidR="00635C6E">
        <w:rPr>
          <w:rFonts w:ascii="Times New Roman" w:hAnsi="Times New Roman" w:cs="Times New Roman"/>
          <w:sz w:val="20"/>
          <w:szCs w:val="20"/>
        </w:rPr>
        <w:t>6</w:t>
      </w:r>
    </w:p>
    <w:p w14:paraId="30E0A233" w14:textId="00981795" w:rsidR="000178D7" w:rsidRDefault="00703AC0" w:rsidP="00703AC0">
      <w:pPr>
        <w:jc w:val="center"/>
        <w:rPr>
          <w:rFonts w:ascii="Times New Roman" w:hAnsi="Times New Roman" w:cs="Times New Roman"/>
          <w:sz w:val="24"/>
          <w:szCs w:val="24"/>
        </w:rPr>
      </w:pPr>
      <w:r w:rsidRPr="00703AC0">
        <w:rPr>
          <w:rFonts w:ascii="Times New Roman" w:hAnsi="Times New Roman" w:cs="Times New Roman"/>
          <w:sz w:val="24"/>
          <w:szCs w:val="24"/>
        </w:rPr>
        <w:t>DETERMINANTS OF RETURN ON ASSETS, DISTINGUISHING THE INTERACTION BET</w:t>
      </w:r>
      <w:r w:rsidRPr="001344F0">
        <w:rPr>
          <w:rFonts w:ascii="Times New Roman" w:hAnsi="Times New Roman" w:cs="Times New Roman"/>
          <w:sz w:val="24"/>
          <w:szCs w:val="24"/>
        </w:rPr>
        <w:t>WEEN LARGE BLOCKHOLDERS AND DIRECTORS</w:t>
      </w:r>
    </w:p>
    <w:tbl>
      <w:tblPr>
        <w:tblW w:w="5000" w:type="pct"/>
        <w:jc w:val="center"/>
        <w:tblCellMar>
          <w:left w:w="75" w:type="dxa"/>
          <w:right w:w="75" w:type="dxa"/>
        </w:tblCellMar>
        <w:tblLook w:val="0000" w:firstRow="0" w:lastRow="0" w:firstColumn="0" w:lastColumn="0" w:noHBand="0" w:noVBand="0"/>
      </w:tblPr>
      <w:tblGrid>
        <w:gridCol w:w="2128"/>
        <w:gridCol w:w="820"/>
        <w:gridCol w:w="752"/>
        <w:gridCol w:w="752"/>
        <w:gridCol w:w="752"/>
        <w:gridCol w:w="993"/>
        <w:gridCol w:w="993"/>
        <w:gridCol w:w="993"/>
        <w:gridCol w:w="993"/>
      </w:tblGrid>
      <w:tr w:rsidR="00D97E2F" w:rsidRPr="009F7BB7" w14:paraId="01EBCFE6" w14:textId="77777777" w:rsidTr="009B09A3">
        <w:trPr>
          <w:jc w:val="center"/>
        </w:trPr>
        <w:tc>
          <w:tcPr>
            <w:tcW w:w="1159" w:type="pct"/>
            <w:tcBorders>
              <w:top w:val="single" w:sz="6" w:space="0" w:color="auto"/>
              <w:left w:val="nil"/>
              <w:bottom w:val="single" w:sz="6" w:space="0" w:color="auto"/>
              <w:right w:val="nil"/>
            </w:tcBorders>
          </w:tcPr>
          <w:p w14:paraId="682EB47B"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p>
        </w:tc>
        <w:tc>
          <w:tcPr>
            <w:tcW w:w="447" w:type="pct"/>
            <w:tcBorders>
              <w:top w:val="single" w:sz="6" w:space="0" w:color="auto"/>
              <w:left w:val="nil"/>
              <w:bottom w:val="single" w:sz="6" w:space="0" w:color="auto"/>
              <w:right w:val="nil"/>
            </w:tcBorders>
          </w:tcPr>
          <w:p w14:paraId="62CEB37D"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(1)</w:t>
            </w:r>
          </w:p>
        </w:tc>
        <w:tc>
          <w:tcPr>
            <w:tcW w:w="410" w:type="pct"/>
            <w:tcBorders>
              <w:top w:val="single" w:sz="6" w:space="0" w:color="auto"/>
              <w:left w:val="nil"/>
              <w:bottom w:val="single" w:sz="6" w:space="0" w:color="auto"/>
              <w:right w:val="nil"/>
            </w:tcBorders>
          </w:tcPr>
          <w:p w14:paraId="2EC8B653"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(2)</w:t>
            </w:r>
          </w:p>
        </w:tc>
        <w:tc>
          <w:tcPr>
            <w:tcW w:w="410" w:type="pct"/>
            <w:tcBorders>
              <w:top w:val="single" w:sz="6" w:space="0" w:color="auto"/>
              <w:left w:val="nil"/>
              <w:bottom w:val="single" w:sz="6" w:space="0" w:color="auto"/>
              <w:right w:val="nil"/>
            </w:tcBorders>
          </w:tcPr>
          <w:p w14:paraId="650767EA"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(3)</w:t>
            </w:r>
          </w:p>
        </w:tc>
        <w:tc>
          <w:tcPr>
            <w:tcW w:w="410" w:type="pct"/>
            <w:tcBorders>
              <w:top w:val="single" w:sz="6" w:space="0" w:color="auto"/>
              <w:left w:val="nil"/>
              <w:bottom w:val="single" w:sz="6" w:space="0" w:color="auto"/>
              <w:right w:val="nil"/>
            </w:tcBorders>
          </w:tcPr>
          <w:p w14:paraId="682A6D13"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(4)</w:t>
            </w:r>
          </w:p>
        </w:tc>
        <w:tc>
          <w:tcPr>
            <w:tcW w:w="541" w:type="pct"/>
            <w:tcBorders>
              <w:top w:val="single" w:sz="6" w:space="0" w:color="auto"/>
              <w:left w:val="nil"/>
              <w:bottom w:val="single" w:sz="6" w:space="0" w:color="auto"/>
              <w:right w:val="nil"/>
            </w:tcBorders>
          </w:tcPr>
          <w:p w14:paraId="3EA74F6A"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(5)</w:t>
            </w:r>
          </w:p>
        </w:tc>
        <w:tc>
          <w:tcPr>
            <w:tcW w:w="541" w:type="pct"/>
            <w:tcBorders>
              <w:top w:val="single" w:sz="6" w:space="0" w:color="auto"/>
              <w:left w:val="nil"/>
              <w:bottom w:val="single" w:sz="6" w:space="0" w:color="auto"/>
              <w:right w:val="nil"/>
            </w:tcBorders>
          </w:tcPr>
          <w:p w14:paraId="339E635C"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(6)</w:t>
            </w:r>
          </w:p>
        </w:tc>
        <w:tc>
          <w:tcPr>
            <w:tcW w:w="541" w:type="pct"/>
            <w:tcBorders>
              <w:top w:val="single" w:sz="6" w:space="0" w:color="auto"/>
              <w:left w:val="nil"/>
              <w:bottom w:val="single" w:sz="6" w:space="0" w:color="auto"/>
              <w:right w:val="nil"/>
            </w:tcBorders>
          </w:tcPr>
          <w:p w14:paraId="5E568FB2"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(7)</w:t>
            </w:r>
          </w:p>
        </w:tc>
        <w:tc>
          <w:tcPr>
            <w:tcW w:w="541" w:type="pct"/>
            <w:tcBorders>
              <w:top w:val="single" w:sz="6" w:space="0" w:color="auto"/>
              <w:left w:val="nil"/>
              <w:bottom w:val="single" w:sz="6" w:space="0" w:color="auto"/>
              <w:right w:val="nil"/>
            </w:tcBorders>
          </w:tcPr>
          <w:p w14:paraId="39D3803F"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(8)</w:t>
            </w:r>
          </w:p>
        </w:tc>
      </w:tr>
      <w:tr w:rsidR="00D97E2F" w:rsidRPr="009F7BB7" w14:paraId="1B1D731B" w14:textId="77777777" w:rsidTr="009B09A3">
        <w:trPr>
          <w:jc w:val="center"/>
        </w:trPr>
        <w:tc>
          <w:tcPr>
            <w:tcW w:w="1159" w:type="pct"/>
            <w:tcBorders>
              <w:top w:val="single" w:sz="6" w:space="0" w:color="auto"/>
              <w:left w:val="nil"/>
              <w:bottom w:val="nil"/>
              <w:right w:val="nil"/>
            </w:tcBorders>
          </w:tcPr>
          <w:p w14:paraId="4E936A51"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p>
        </w:tc>
        <w:tc>
          <w:tcPr>
            <w:tcW w:w="447" w:type="pct"/>
            <w:tcBorders>
              <w:top w:val="single" w:sz="6" w:space="0" w:color="auto"/>
              <w:left w:val="nil"/>
              <w:bottom w:val="nil"/>
              <w:right w:val="nil"/>
            </w:tcBorders>
          </w:tcPr>
          <w:p w14:paraId="08629560"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single" w:sz="6" w:space="0" w:color="auto"/>
              <w:left w:val="nil"/>
              <w:bottom w:val="nil"/>
              <w:right w:val="nil"/>
            </w:tcBorders>
          </w:tcPr>
          <w:p w14:paraId="4909363A"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single" w:sz="6" w:space="0" w:color="auto"/>
              <w:left w:val="nil"/>
              <w:bottom w:val="nil"/>
              <w:right w:val="nil"/>
            </w:tcBorders>
          </w:tcPr>
          <w:p w14:paraId="01722B50"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single" w:sz="6" w:space="0" w:color="auto"/>
              <w:left w:val="nil"/>
              <w:bottom w:val="nil"/>
              <w:right w:val="nil"/>
            </w:tcBorders>
          </w:tcPr>
          <w:p w14:paraId="13F4402E"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single" w:sz="6" w:space="0" w:color="auto"/>
              <w:left w:val="nil"/>
              <w:bottom w:val="nil"/>
              <w:right w:val="nil"/>
            </w:tcBorders>
          </w:tcPr>
          <w:p w14:paraId="1C4EED52"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single" w:sz="6" w:space="0" w:color="auto"/>
              <w:left w:val="nil"/>
              <w:bottom w:val="nil"/>
              <w:right w:val="nil"/>
            </w:tcBorders>
          </w:tcPr>
          <w:p w14:paraId="1AF32225"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single" w:sz="6" w:space="0" w:color="auto"/>
              <w:left w:val="nil"/>
              <w:bottom w:val="nil"/>
              <w:right w:val="nil"/>
            </w:tcBorders>
          </w:tcPr>
          <w:p w14:paraId="7C719BE0"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single" w:sz="6" w:space="0" w:color="auto"/>
              <w:left w:val="nil"/>
              <w:bottom w:val="nil"/>
              <w:right w:val="nil"/>
            </w:tcBorders>
          </w:tcPr>
          <w:p w14:paraId="2D75CBF0"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r>
      <w:tr w:rsidR="00D97E2F" w:rsidRPr="009F7BB7" w14:paraId="7535CE56" w14:textId="77777777" w:rsidTr="009B09A3">
        <w:trPr>
          <w:jc w:val="center"/>
        </w:trPr>
        <w:tc>
          <w:tcPr>
            <w:tcW w:w="1159" w:type="pct"/>
            <w:tcBorders>
              <w:top w:val="nil"/>
              <w:left w:val="nil"/>
              <w:bottom w:val="nil"/>
              <w:right w:val="nil"/>
            </w:tcBorders>
          </w:tcPr>
          <w:p w14:paraId="53D5A022"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proofErr w:type="spellStart"/>
            <w:r w:rsidRPr="009F7BB7">
              <w:rPr>
                <w:rFonts w:ascii="Times New Roman" w:hAnsi="Times New Roman" w:cs="Times New Roman"/>
                <w:sz w:val="20"/>
                <w:szCs w:val="24"/>
              </w:rPr>
              <w:t>ActiveBlock</w:t>
            </w:r>
            <w:proofErr w:type="spellEnd"/>
          </w:p>
        </w:tc>
        <w:tc>
          <w:tcPr>
            <w:tcW w:w="447" w:type="pct"/>
            <w:tcBorders>
              <w:top w:val="nil"/>
              <w:left w:val="nil"/>
              <w:bottom w:val="nil"/>
              <w:right w:val="nil"/>
            </w:tcBorders>
          </w:tcPr>
          <w:p w14:paraId="456D2393"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0.060**</w:t>
            </w:r>
          </w:p>
        </w:tc>
        <w:tc>
          <w:tcPr>
            <w:tcW w:w="410" w:type="pct"/>
            <w:tcBorders>
              <w:top w:val="nil"/>
              <w:left w:val="nil"/>
              <w:bottom w:val="nil"/>
              <w:right w:val="nil"/>
            </w:tcBorders>
          </w:tcPr>
          <w:p w14:paraId="06FA9579"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5644F8FB"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2F108D9A"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29150D4F"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0.302***</w:t>
            </w:r>
          </w:p>
        </w:tc>
        <w:tc>
          <w:tcPr>
            <w:tcW w:w="541" w:type="pct"/>
            <w:tcBorders>
              <w:top w:val="nil"/>
              <w:left w:val="nil"/>
              <w:bottom w:val="nil"/>
              <w:right w:val="nil"/>
            </w:tcBorders>
          </w:tcPr>
          <w:p w14:paraId="27AC6AAA"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0.285***</w:t>
            </w:r>
          </w:p>
        </w:tc>
        <w:tc>
          <w:tcPr>
            <w:tcW w:w="541" w:type="pct"/>
            <w:tcBorders>
              <w:top w:val="nil"/>
              <w:left w:val="nil"/>
              <w:bottom w:val="nil"/>
              <w:right w:val="nil"/>
            </w:tcBorders>
          </w:tcPr>
          <w:p w14:paraId="1C84C2DE"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2C348096"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0.262***</w:t>
            </w:r>
          </w:p>
        </w:tc>
      </w:tr>
      <w:tr w:rsidR="00D97E2F" w:rsidRPr="009F7BB7" w14:paraId="1DB04036" w14:textId="77777777" w:rsidTr="009B09A3">
        <w:trPr>
          <w:jc w:val="center"/>
        </w:trPr>
        <w:tc>
          <w:tcPr>
            <w:tcW w:w="1159" w:type="pct"/>
            <w:tcBorders>
              <w:top w:val="nil"/>
              <w:left w:val="nil"/>
              <w:bottom w:val="nil"/>
              <w:right w:val="nil"/>
            </w:tcBorders>
          </w:tcPr>
          <w:p w14:paraId="2C399CE6"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p>
        </w:tc>
        <w:tc>
          <w:tcPr>
            <w:tcW w:w="447" w:type="pct"/>
            <w:tcBorders>
              <w:top w:val="nil"/>
              <w:left w:val="nil"/>
              <w:bottom w:val="nil"/>
              <w:right w:val="nil"/>
            </w:tcBorders>
          </w:tcPr>
          <w:p w14:paraId="3944ED5C"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(0.027)</w:t>
            </w:r>
          </w:p>
        </w:tc>
        <w:tc>
          <w:tcPr>
            <w:tcW w:w="410" w:type="pct"/>
            <w:tcBorders>
              <w:top w:val="nil"/>
              <w:left w:val="nil"/>
              <w:bottom w:val="nil"/>
              <w:right w:val="nil"/>
            </w:tcBorders>
          </w:tcPr>
          <w:p w14:paraId="2452B90A"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14918D93"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2EF10B2F"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7046C830"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(0.090)</w:t>
            </w:r>
          </w:p>
        </w:tc>
        <w:tc>
          <w:tcPr>
            <w:tcW w:w="541" w:type="pct"/>
            <w:tcBorders>
              <w:top w:val="nil"/>
              <w:left w:val="nil"/>
              <w:bottom w:val="nil"/>
              <w:right w:val="nil"/>
            </w:tcBorders>
          </w:tcPr>
          <w:p w14:paraId="667AC987"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(0.095)</w:t>
            </w:r>
          </w:p>
        </w:tc>
        <w:tc>
          <w:tcPr>
            <w:tcW w:w="541" w:type="pct"/>
            <w:tcBorders>
              <w:top w:val="nil"/>
              <w:left w:val="nil"/>
              <w:bottom w:val="nil"/>
              <w:right w:val="nil"/>
            </w:tcBorders>
          </w:tcPr>
          <w:p w14:paraId="0F92360F"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77309425"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(0.095)</w:t>
            </w:r>
          </w:p>
        </w:tc>
      </w:tr>
      <w:tr w:rsidR="00D97E2F" w:rsidRPr="009F7BB7" w14:paraId="29562B9D" w14:textId="77777777" w:rsidTr="009B09A3">
        <w:trPr>
          <w:jc w:val="center"/>
        </w:trPr>
        <w:tc>
          <w:tcPr>
            <w:tcW w:w="1159" w:type="pct"/>
            <w:tcBorders>
              <w:top w:val="nil"/>
              <w:left w:val="nil"/>
              <w:bottom w:val="nil"/>
              <w:right w:val="nil"/>
            </w:tcBorders>
          </w:tcPr>
          <w:p w14:paraId="0D9C1955"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proofErr w:type="spellStart"/>
            <w:r w:rsidRPr="009F7BB7">
              <w:rPr>
                <w:rFonts w:ascii="Times New Roman" w:hAnsi="Times New Roman" w:cs="Times New Roman"/>
                <w:sz w:val="20"/>
                <w:szCs w:val="24"/>
              </w:rPr>
              <w:t>PassiveBlock</w:t>
            </w:r>
            <w:proofErr w:type="spellEnd"/>
          </w:p>
        </w:tc>
        <w:tc>
          <w:tcPr>
            <w:tcW w:w="447" w:type="pct"/>
            <w:tcBorders>
              <w:top w:val="nil"/>
              <w:left w:val="nil"/>
              <w:bottom w:val="nil"/>
              <w:right w:val="nil"/>
            </w:tcBorders>
          </w:tcPr>
          <w:p w14:paraId="388490D2"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50B491F1"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-0.021</w:t>
            </w:r>
          </w:p>
        </w:tc>
        <w:tc>
          <w:tcPr>
            <w:tcW w:w="410" w:type="pct"/>
            <w:tcBorders>
              <w:top w:val="nil"/>
              <w:left w:val="nil"/>
              <w:bottom w:val="nil"/>
              <w:right w:val="nil"/>
            </w:tcBorders>
          </w:tcPr>
          <w:p w14:paraId="3A4FB998"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1F8FDD67"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6D2D8272"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-0.014</w:t>
            </w:r>
          </w:p>
        </w:tc>
        <w:tc>
          <w:tcPr>
            <w:tcW w:w="541" w:type="pct"/>
            <w:tcBorders>
              <w:top w:val="nil"/>
              <w:left w:val="nil"/>
              <w:bottom w:val="nil"/>
              <w:right w:val="nil"/>
            </w:tcBorders>
          </w:tcPr>
          <w:p w14:paraId="05F23AF1"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-0.020</w:t>
            </w:r>
          </w:p>
        </w:tc>
        <w:tc>
          <w:tcPr>
            <w:tcW w:w="541" w:type="pct"/>
            <w:tcBorders>
              <w:top w:val="nil"/>
              <w:left w:val="nil"/>
              <w:bottom w:val="nil"/>
              <w:right w:val="nil"/>
            </w:tcBorders>
          </w:tcPr>
          <w:p w14:paraId="38CBD5D7"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-0.023</w:t>
            </w:r>
          </w:p>
        </w:tc>
        <w:tc>
          <w:tcPr>
            <w:tcW w:w="541" w:type="pct"/>
            <w:tcBorders>
              <w:top w:val="nil"/>
              <w:left w:val="nil"/>
              <w:bottom w:val="nil"/>
              <w:right w:val="nil"/>
            </w:tcBorders>
          </w:tcPr>
          <w:p w14:paraId="7ED76BF9"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-0.020</w:t>
            </w:r>
          </w:p>
        </w:tc>
      </w:tr>
      <w:tr w:rsidR="00D97E2F" w:rsidRPr="009F7BB7" w14:paraId="08DFB231" w14:textId="77777777" w:rsidTr="009B09A3">
        <w:trPr>
          <w:jc w:val="center"/>
        </w:trPr>
        <w:tc>
          <w:tcPr>
            <w:tcW w:w="1159" w:type="pct"/>
            <w:tcBorders>
              <w:top w:val="nil"/>
              <w:left w:val="nil"/>
              <w:bottom w:val="nil"/>
              <w:right w:val="nil"/>
            </w:tcBorders>
          </w:tcPr>
          <w:p w14:paraId="69D3FF1F"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p>
        </w:tc>
        <w:tc>
          <w:tcPr>
            <w:tcW w:w="447" w:type="pct"/>
            <w:tcBorders>
              <w:top w:val="nil"/>
              <w:left w:val="nil"/>
              <w:bottom w:val="nil"/>
              <w:right w:val="nil"/>
            </w:tcBorders>
          </w:tcPr>
          <w:p w14:paraId="04EF4758"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6A90B0D7"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(0.028)</w:t>
            </w:r>
          </w:p>
        </w:tc>
        <w:tc>
          <w:tcPr>
            <w:tcW w:w="410" w:type="pct"/>
            <w:tcBorders>
              <w:top w:val="nil"/>
              <w:left w:val="nil"/>
              <w:bottom w:val="nil"/>
              <w:right w:val="nil"/>
            </w:tcBorders>
          </w:tcPr>
          <w:p w14:paraId="4BDD18F2"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7C12EAE1"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7CC9BA50"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(0.032)</w:t>
            </w:r>
          </w:p>
        </w:tc>
        <w:tc>
          <w:tcPr>
            <w:tcW w:w="541" w:type="pct"/>
            <w:tcBorders>
              <w:top w:val="nil"/>
              <w:left w:val="nil"/>
              <w:bottom w:val="nil"/>
              <w:right w:val="nil"/>
            </w:tcBorders>
          </w:tcPr>
          <w:p w14:paraId="61FD8393"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(0.031)</w:t>
            </w:r>
          </w:p>
        </w:tc>
        <w:tc>
          <w:tcPr>
            <w:tcW w:w="541" w:type="pct"/>
            <w:tcBorders>
              <w:top w:val="nil"/>
              <w:left w:val="nil"/>
              <w:bottom w:val="nil"/>
              <w:right w:val="nil"/>
            </w:tcBorders>
          </w:tcPr>
          <w:p w14:paraId="55AD89A0"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(0.032)</w:t>
            </w:r>
          </w:p>
        </w:tc>
        <w:tc>
          <w:tcPr>
            <w:tcW w:w="541" w:type="pct"/>
            <w:tcBorders>
              <w:top w:val="nil"/>
              <w:left w:val="nil"/>
              <w:bottom w:val="nil"/>
              <w:right w:val="nil"/>
            </w:tcBorders>
          </w:tcPr>
          <w:p w14:paraId="7D859630"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(0.031)</w:t>
            </w:r>
          </w:p>
        </w:tc>
      </w:tr>
      <w:tr w:rsidR="00D97E2F" w:rsidRPr="009F7BB7" w14:paraId="70999C38" w14:textId="77777777" w:rsidTr="009B09A3">
        <w:trPr>
          <w:jc w:val="center"/>
        </w:trPr>
        <w:tc>
          <w:tcPr>
            <w:tcW w:w="1159" w:type="pct"/>
            <w:tcBorders>
              <w:top w:val="nil"/>
              <w:left w:val="nil"/>
              <w:bottom w:val="nil"/>
              <w:right w:val="nil"/>
            </w:tcBorders>
          </w:tcPr>
          <w:p w14:paraId="08C3B3EE"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proofErr w:type="spellStart"/>
            <w:r w:rsidRPr="009F7BB7">
              <w:rPr>
                <w:rFonts w:ascii="Times New Roman" w:hAnsi="Times New Roman" w:cs="Times New Roman"/>
                <w:sz w:val="20"/>
                <w:szCs w:val="24"/>
              </w:rPr>
              <w:t>DirOnlyVote</w:t>
            </w:r>
            <w:proofErr w:type="spellEnd"/>
          </w:p>
        </w:tc>
        <w:tc>
          <w:tcPr>
            <w:tcW w:w="447" w:type="pct"/>
            <w:tcBorders>
              <w:top w:val="nil"/>
              <w:left w:val="nil"/>
              <w:bottom w:val="nil"/>
              <w:right w:val="nil"/>
            </w:tcBorders>
          </w:tcPr>
          <w:p w14:paraId="56DA78CB"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1658DA97"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69C69A56"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0.015</w:t>
            </w:r>
          </w:p>
        </w:tc>
        <w:tc>
          <w:tcPr>
            <w:tcW w:w="410" w:type="pct"/>
            <w:tcBorders>
              <w:top w:val="nil"/>
              <w:left w:val="nil"/>
              <w:bottom w:val="nil"/>
              <w:right w:val="nil"/>
            </w:tcBorders>
          </w:tcPr>
          <w:p w14:paraId="031BBA06"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59BC376B"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-0.015</w:t>
            </w:r>
          </w:p>
        </w:tc>
        <w:tc>
          <w:tcPr>
            <w:tcW w:w="541" w:type="pct"/>
            <w:tcBorders>
              <w:top w:val="nil"/>
              <w:left w:val="nil"/>
              <w:bottom w:val="nil"/>
              <w:right w:val="nil"/>
            </w:tcBorders>
          </w:tcPr>
          <w:p w14:paraId="24A6E967"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0.007</w:t>
            </w:r>
          </w:p>
        </w:tc>
        <w:tc>
          <w:tcPr>
            <w:tcW w:w="541" w:type="pct"/>
            <w:tcBorders>
              <w:top w:val="nil"/>
              <w:left w:val="nil"/>
              <w:bottom w:val="nil"/>
              <w:right w:val="nil"/>
            </w:tcBorders>
          </w:tcPr>
          <w:p w14:paraId="3254E39E"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0.018</w:t>
            </w:r>
          </w:p>
        </w:tc>
        <w:tc>
          <w:tcPr>
            <w:tcW w:w="541" w:type="pct"/>
            <w:tcBorders>
              <w:top w:val="nil"/>
              <w:left w:val="nil"/>
              <w:bottom w:val="nil"/>
              <w:right w:val="nil"/>
            </w:tcBorders>
          </w:tcPr>
          <w:p w14:paraId="7DACFE02"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0.013</w:t>
            </w:r>
          </w:p>
        </w:tc>
      </w:tr>
      <w:tr w:rsidR="00D97E2F" w:rsidRPr="009F7BB7" w14:paraId="6A80477C" w14:textId="77777777" w:rsidTr="009B09A3">
        <w:trPr>
          <w:jc w:val="center"/>
        </w:trPr>
        <w:tc>
          <w:tcPr>
            <w:tcW w:w="1159" w:type="pct"/>
            <w:tcBorders>
              <w:top w:val="nil"/>
              <w:left w:val="nil"/>
              <w:bottom w:val="nil"/>
              <w:right w:val="nil"/>
            </w:tcBorders>
          </w:tcPr>
          <w:p w14:paraId="500AF62C"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p>
        </w:tc>
        <w:tc>
          <w:tcPr>
            <w:tcW w:w="447" w:type="pct"/>
            <w:tcBorders>
              <w:top w:val="nil"/>
              <w:left w:val="nil"/>
              <w:bottom w:val="nil"/>
              <w:right w:val="nil"/>
            </w:tcBorders>
          </w:tcPr>
          <w:p w14:paraId="4F92CA21"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4D612D27"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240E10DA"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(0.042)</w:t>
            </w:r>
          </w:p>
        </w:tc>
        <w:tc>
          <w:tcPr>
            <w:tcW w:w="410" w:type="pct"/>
            <w:tcBorders>
              <w:top w:val="nil"/>
              <w:left w:val="nil"/>
              <w:bottom w:val="nil"/>
              <w:right w:val="nil"/>
            </w:tcBorders>
          </w:tcPr>
          <w:p w14:paraId="4AA95350"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5CEDEEEA"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(0.046)</w:t>
            </w:r>
          </w:p>
        </w:tc>
        <w:tc>
          <w:tcPr>
            <w:tcW w:w="541" w:type="pct"/>
            <w:tcBorders>
              <w:top w:val="nil"/>
              <w:left w:val="nil"/>
              <w:bottom w:val="nil"/>
              <w:right w:val="nil"/>
            </w:tcBorders>
          </w:tcPr>
          <w:p w14:paraId="2EF37275"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(0.048)</w:t>
            </w:r>
          </w:p>
        </w:tc>
        <w:tc>
          <w:tcPr>
            <w:tcW w:w="541" w:type="pct"/>
            <w:tcBorders>
              <w:top w:val="nil"/>
              <w:left w:val="nil"/>
              <w:bottom w:val="nil"/>
              <w:right w:val="nil"/>
            </w:tcBorders>
          </w:tcPr>
          <w:p w14:paraId="4C7AB81D"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(0.050)</w:t>
            </w:r>
          </w:p>
        </w:tc>
        <w:tc>
          <w:tcPr>
            <w:tcW w:w="541" w:type="pct"/>
            <w:tcBorders>
              <w:top w:val="nil"/>
              <w:left w:val="nil"/>
              <w:bottom w:val="nil"/>
              <w:right w:val="nil"/>
            </w:tcBorders>
          </w:tcPr>
          <w:p w14:paraId="1AF60090"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(0.051)</w:t>
            </w:r>
          </w:p>
        </w:tc>
      </w:tr>
      <w:tr w:rsidR="00D97E2F" w:rsidRPr="009F7BB7" w14:paraId="388816AA" w14:textId="77777777" w:rsidTr="009B09A3">
        <w:trPr>
          <w:jc w:val="center"/>
        </w:trPr>
        <w:tc>
          <w:tcPr>
            <w:tcW w:w="1159" w:type="pct"/>
            <w:tcBorders>
              <w:top w:val="nil"/>
              <w:left w:val="nil"/>
              <w:bottom w:val="nil"/>
              <w:right w:val="nil"/>
            </w:tcBorders>
          </w:tcPr>
          <w:p w14:paraId="56436292"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proofErr w:type="spellStart"/>
            <w:r w:rsidRPr="009F7BB7">
              <w:rPr>
                <w:rFonts w:ascii="Times New Roman" w:hAnsi="Times New Roman" w:cs="Times New Roman"/>
                <w:sz w:val="20"/>
                <w:szCs w:val="24"/>
              </w:rPr>
              <w:t>DirOnlyNum</w:t>
            </w:r>
            <w:proofErr w:type="spellEnd"/>
          </w:p>
        </w:tc>
        <w:tc>
          <w:tcPr>
            <w:tcW w:w="447" w:type="pct"/>
            <w:tcBorders>
              <w:top w:val="nil"/>
              <w:left w:val="nil"/>
              <w:bottom w:val="nil"/>
              <w:right w:val="nil"/>
            </w:tcBorders>
          </w:tcPr>
          <w:p w14:paraId="722964E9"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391131BC"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63ADD322"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1E89B764"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-0.000</w:t>
            </w:r>
          </w:p>
        </w:tc>
        <w:tc>
          <w:tcPr>
            <w:tcW w:w="541" w:type="pct"/>
            <w:tcBorders>
              <w:top w:val="nil"/>
              <w:left w:val="nil"/>
              <w:bottom w:val="nil"/>
              <w:right w:val="nil"/>
            </w:tcBorders>
          </w:tcPr>
          <w:p w14:paraId="244D2A5B"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0.001</w:t>
            </w:r>
          </w:p>
        </w:tc>
        <w:tc>
          <w:tcPr>
            <w:tcW w:w="541" w:type="pct"/>
            <w:tcBorders>
              <w:top w:val="nil"/>
              <w:left w:val="nil"/>
              <w:bottom w:val="nil"/>
              <w:right w:val="nil"/>
            </w:tcBorders>
          </w:tcPr>
          <w:p w14:paraId="3F5EB349"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-0.000</w:t>
            </w:r>
          </w:p>
        </w:tc>
        <w:tc>
          <w:tcPr>
            <w:tcW w:w="541" w:type="pct"/>
            <w:tcBorders>
              <w:top w:val="nil"/>
              <w:left w:val="nil"/>
              <w:bottom w:val="nil"/>
              <w:right w:val="nil"/>
            </w:tcBorders>
          </w:tcPr>
          <w:p w14:paraId="2F10C346"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-0.000</w:t>
            </w:r>
          </w:p>
        </w:tc>
        <w:tc>
          <w:tcPr>
            <w:tcW w:w="541" w:type="pct"/>
            <w:tcBorders>
              <w:top w:val="nil"/>
              <w:left w:val="nil"/>
              <w:bottom w:val="nil"/>
              <w:right w:val="nil"/>
            </w:tcBorders>
          </w:tcPr>
          <w:p w14:paraId="31202069"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r>
      <w:tr w:rsidR="00D97E2F" w:rsidRPr="009F7BB7" w14:paraId="07884EA2" w14:textId="77777777" w:rsidTr="009B09A3">
        <w:trPr>
          <w:jc w:val="center"/>
        </w:trPr>
        <w:tc>
          <w:tcPr>
            <w:tcW w:w="1159" w:type="pct"/>
            <w:tcBorders>
              <w:top w:val="nil"/>
              <w:left w:val="nil"/>
              <w:bottom w:val="nil"/>
              <w:right w:val="nil"/>
            </w:tcBorders>
          </w:tcPr>
          <w:p w14:paraId="57DA4C47"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p>
        </w:tc>
        <w:tc>
          <w:tcPr>
            <w:tcW w:w="447" w:type="pct"/>
            <w:tcBorders>
              <w:top w:val="nil"/>
              <w:left w:val="nil"/>
              <w:bottom w:val="nil"/>
              <w:right w:val="nil"/>
            </w:tcBorders>
          </w:tcPr>
          <w:p w14:paraId="6CAD156F"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471C34C4"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20211D32"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3169C069"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(0.001)</w:t>
            </w:r>
          </w:p>
        </w:tc>
        <w:tc>
          <w:tcPr>
            <w:tcW w:w="541" w:type="pct"/>
            <w:tcBorders>
              <w:top w:val="nil"/>
              <w:left w:val="nil"/>
              <w:bottom w:val="nil"/>
              <w:right w:val="nil"/>
            </w:tcBorders>
          </w:tcPr>
          <w:p w14:paraId="41074D4B"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(0.001)</w:t>
            </w:r>
          </w:p>
        </w:tc>
        <w:tc>
          <w:tcPr>
            <w:tcW w:w="541" w:type="pct"/>
            <w:tcBorders>
              <w:top w:val="nil"/>
              <w:left w:val="nil"/>
              <w:bottom w:val="nil"/>
              <w:right w:val="nil"/>
            </w:tcBorders>
          </w:tcPr>
          <w:p w14:paraId="502D0538"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(0.001)</w:t>
            </w:r>
          </w:p>
        </w:tc>
        <w:tc>
          <w:tcPr>
            <w:tcW w:w="541" w:type="pct"/>
            <w:tcBorders>
              <w:top w:val="nil"/>
              <w:left w:val="nil"/>
              <w:bottom w:val="nil"/>
              <w:right w:val="nil"/>
            </w:tcBorders>
          </w:tcPr>
          <w:p w14:paraId="6A2E206A"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(0.001)</w:t>
            </w:r>
          </w:p>
        </w:tc>
        <w:tc>
          <w:tcPr>
            <w:tcW w:w="541" w:type="pct"/>
            <w:tcBorders>
              <w:top w:val="nil"/>
              <w:left w:val="nil"/>
              <w:bottom w:val="nil"/>
              <w:right w:val="nil"/>
            </w:tcBorders>
          </w:tcPr>
          <w:p w14:paraId="069E7201"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r>
      <w:tr w:rsidR="00D97E2F" w:rsidRPr="009F7BB7" w14:paraId="517643E7" w14:textId="77777777" w:rsidTr="009B09A3">
        <w:trPr>
          <w:jc w:val="center"/>
        </w:trPr>
        <w:tc>
          <w:tcPr>
            <w:tcW w:w="1159" w:type="pct"/>
            <w:tcBorders>
              <w:top w:val="nil"/>
              <w:left w:val="nil"/>
              <w:bottom w:val="nil"/>
              <w:right w:val="nil"/>
            </w:tcBorders>
          </w:tcPr>
          <w:p w14:paraId="133D4E28"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proofErr w:type="spellStart"/>
            <w:r w:rsidRPr="009F7BB7">
              <w:rPr>
                <w:rFonts w:ascii="Times New Roman" w:hAnsi="Times New Roman" w:cs="Times New Roman"/>
                <w:sz w:val="20"/>
                <w:szCs w:val="24"/>
              </w:rPr>
              <w:t>ActiveCEOBlock</w:t>
            </w:r>
            <w:proofErr w:type="spellEnd"/>
          </w:p>
        </w:tc>
        <w:tc>
          <w:tcPr>
            <w:tcW w:w="447" w:type="pct"/>
            <w:tcBorders>
              <w:top w:val="nil"/>
              <w:left w:val="nil"/>
              <w:bottom w:val="nil"/>
              <w:right w:val="nil"/>
            </w:tcBorders>
          </w:tcPr>
          <w:p w14:paraId="31EC1BF0"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49F8A3FF"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62B8575C"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54FC4993"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6D9F6E7B"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185E5BF9"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76FB1986"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0.321*</w:t>
            </w:r>
          </w:p>
        </w:tc>
        <w:tc>
          <w:tcPr>
            <w:tcW w:w="541" w:type="pct"/>
            <w:tcBorders>
              <w:top w:val="nil"/>
              <w:left w:val="nil"/>
              <w:bottom w:val="nil"/>
              <w:right w:val="nil"/>
            </w:tcBorders>
          </w:tcPr>
          <w:p w14:paraId="1A0F211E"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r>
      <w:tr w:rsidR="00D97E2F" w:rsidRPr="009F7BB7" w14:paraId="2B0A1CE5" w14:textId="77777777" w:rsidTr="009B09A3">
        <w:trPr>
          <w:jc w:val="center"/>
        </w:trPr>
        <w:tc>
          <w:tcPr>
            <w:tcW w:w="1159" w:type="pct"/>
            <w:tcBorders>
              <w:top w:val="nil"/>
              <w:left w:val="nil"/>
              <w:bottom w:val="nil"/>
              <w:right w:val="nil"/>
            </w:tcBorders>
          </w:tcPr>
          <w:p w14:paraId="4117E41D"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p>
        </w:tc>
        <w:tc>
          <w:tcPr>
            <w:tcW w:w="447" w:type="pct"/>
            <w:tcBorders>
              <w:top w:val="nil"/>
              <w:left w:val="nil"/>
              <w:bottom w:val="nil"/>
              <w:right w:val="nil"/>
            </w:tcBorders>
          </w:tcPr>
          <w:p w14:paraId="4C96F54A"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564D0008"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63071F2D"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2343ED3F"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7FF152F0"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6807C536"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0D258468"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(0.171)</w:t>
            </w:r>
          </w:p>
        </w:tc>
        <w:tc>
          <w:tcPr>
            <w:tcW w:w="541" w:type="pct"/>
            <w:tcBorders>
              <w:top w:val="nil"/>
              <w:left w:val="nil"/>
              <w:bottom w:val="nil"/>
              <w:right w:val="nil"/>
            </w:tcBorders>
          </w:tcPr>
          <w:p w14:paraId="735550CF"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r>
      <w:tr w:rsidR="00D97E2F" w:rsidRPr="009F7BB7" w14:paraId="66CD1F69" w14:textId="77777777" w:rsidTr="009B09A3">
        <w:trPr>
          <w:jc w:val="center"/>
        </w:trPr>
        <w:tc>
          <w:tcPr>
            <w:tcW w:w="1159" w:type="pct"/>
            <w:tcBorders>
              <w:top w:val="nil"/>
              <w:left w:val="nil"/>
              <w:bottom w:val="nil"/>
              <w:right w:val="nil"/>
            </w:tcBorders>
          </w:tcPr>
          <w:p w14:paraId="3E03553C"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proofErr w:type="spellStart"/>
            <w:r w:rsidRPr="009F7BB7">
              <w:rPr>
                <w:rFonts w:ascii="Times New Roman" w:hAnsi="Times New Roman" w:cs="Times New Roman"/>
                <w:sz w:val="20"/>
                <w:szCs w:val="24"/>
              </w:rPr>
              <w:t>ActiveNotCEOBlock</w:t>
            </w:r>
            <w:proofErr w:type="spellEnd"/>
          </w:p>
        </w:tc>
        <w:tc>
          <w:tcPr>
            <w:tcW w:w="447" w:type="pct"/>
            <w:tcBorders>
              <w:top w:val="nil"/>
              <w:left w:val="nil"/>
              <w:bottom w:val="nil"/>
              <w:right w:val="nil"/>
            </w:tcBorders>
          </w:tcPr>
          <w:p w14:paraId="20E9A2AF"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3E12DCC8"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74ACA9E3"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1EFE6360"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203721BC"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7E15E430"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28DFFCCD"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0.278**</w:t>
            </w:r>
          </w:p>
        </w:tc>
        <w:tc>
          <w:tcPr>
            <w:tcW w:w="541" w:type="pct"/>
            <w:tcBorders>
              <w:top w:val="nil"/>
              <w:left w:val="nil"/>
              <w:bottom w:val="nil"/>
              <w:right w:val="nil"/>
            </w:tcBorders>
          </w:tcPr>
          <w:p w14:paraId="33F20596"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r>
      <w:tr w:rsidR="00D97E2F" w:rsidRPr="009F7BB7" w14:paraId="10EB925F" w14:textId="77777777" w:rsidTr="009B09A3">
        <w:trPr>
          <w:jc w:val="center"/>
        </w:trPr>
        <w:tc>
          <w:tcPr>
            <w:tcW w:w="1159" w:type="pct"/>
            <w:tcBorders>
              <w:top w:val="nil"/>
              <w:left w:val="nil"/>
              <w:bottom w:val="nil"/>
              <w:right w:val="nil"/>
            </w:tcBorders>
          </w:tcPr>
          <w:p w14:paraId="663AE9C4"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p>
        </w:tc>
        <w:tc>
          <w:tcPr>
            <w:tcW w:w="447" w:type="pct"/>
            <w:tcBorders>
              <w:top w:val="nil"/>
              <w:left w:val="nil"/>
              <w:bottom w:val="nil"/>
              <w:right w:val="nil"/>
            </w:tcBorders>
          </w:tcPr>
          <w:p w14:paraId="7D26F03F"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59DB9E3E"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59528604"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4DEC2AF5"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7838DB3B"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383F6BA8"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7411E438"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(0.139)</w:t>
            </w:r>
          </w:p>
        </w:tc>
        <w:tc>
          <w:tcPr>
            <w:tcW w:w="541" w:type="pct"/>
            <w:tcBorders>
              <w:top w:val="nil"/>
              <w:left w:val="nil"/>
              <w:bottom w:val="nil"/>
              <w:right w:val="nil"/>
            </w:tcBorders>
          </w:tcPr>
          <w:p w14:paraId="6D6D3087"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r>
      <w:tr w:rsidR="00D97E2F" w:rsidRPr="009F7BB7" w14:paraId="0485B31E" w14:textId="77777777" w:rsidTr="009B09A3">
        <w:trPr>
          <w:jc w:val="center"/>
        </w:trPr>
        <w:tc>
          <w:tcPr>
            <w:tcW w:w="1159" w:type="pct"/>
            <w:tcBorders>
              <w:top w:val="nil"/>
              <w:left w:val="nil"/>
              <w:bottom w:val="nil"/>
              <w:right w:val="nil"/>
            </w:tcBorders>
          </w:tcPr>
          <w:p w14:paraId="385B0C92"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proofErr w:type="spellStart"/>
            <w:r w:rsidRPr="009F7BB7">
              <w:rPr>
                <w:rFonts w:ascii="Times New Roman" w:hAnsi="Times New Roman" w:cs="Times New Roman"/>
                <w:sz w:val="20"/>
                <w:szCs w:val="24"/>
              </w:rPr>
              <w:t>ActiveCEOBlockSq</w:t>
            </w:r>
            <w:proofErr w:type="spellEnd"/>
          </w:p>
        </w:tc>
        <w:tc>
          <w:tcPr>
            <w:tcW w:w="447" w:type="pct"/>
            <w:tcBorders>
              <w:top w:val="nil"/>
              <w:left w:val="nil"/>
              <w:bottom w:val="nil"/>
              <w:right w:val="nil"/>
            </w:tcBorders>
          </w:tcPr>
          <w:p w14:paraId="17FE1083"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08CC3268"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1CB677D5"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1F1FD4C3"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23320107"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505E2842"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473B4717"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54F72">
              <w:rPr>
                <w:rFonts w:ascii="Times New Roman" w:hAnsi="Times New Roman" w:cs="Times New Roman"/>
                <w:sz w:val="20"/>
                <w:szCs w:val="24"/>
              </w:rPr>
              <w:t>-0.894*</w:t>
            </w:r>
          </w:p>
        </w:tc>
        <w:tc>
          <w:tcPr>
            <w:tcW w:w="541" w:type="pct"/>
            <w:tcBorders>
              <w:top w:val="nil"/>
              <w:left w:val="nil"/>
              <w:bottom w:val="nil"/>
              <w:right w:val="nil"/>
            </w:tcBorders>
          </w:tcPr>
          <w:p w14:paraId="48231266"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r>
      <w:tr w:rsidR="00D97E2F" w:rsidRPr="009F7BB7" w14:paraId="197BB909" w14:textId="77777777" w:rsidTr="009B09A3">
        <w:trPr>
          <w:jc w:val="center"/>
        </w:trPr>
        <w:tc>
          <w:tcPr>
            <w:tcW w:w="1159" w:type="pct"/>
            <w:tcBorders>
              <w:top w:val="nil"/>
              <w:left w:val="nil"/>
              <w:bottom w:val="nil"/>
              <w:right w:val="nil"/>
            </w:tcBorders>
          </w:tcPr>
          <w:p w14:paraId="18353422"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p>
        </w:tc>
        <w:tc>
          <w:tcPr>
            <w:tcW w:w="447" w:type="pct"/>
            <w:tcBorders>
              <w:top w:val="nil"/>
              <w:left w:val="nil"/>
              <w:bottom w:val="nil"/>
              <w:right w:val="nil"/>
            </w:tcBorders>
          </w:tcPr>
          <w:p w14:paraId="4C1DB299"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2A5984E7"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474C6C48"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59E2E23E"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700E476D"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6ED717CE"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4CB939BD"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(0.497)</w:t>
            </w:r>
          </w:p>
        </w:tc>
        <w:tc>
          <w:tcPr>
            <w:tcW w:w="541" w:type="pct"/>
            <w:tcBorders>
              <w:top w:val="nil"/>
              <w:left w:val="nil"/>
              <w:bottom w:val="nil"/>
              <w:right w:val="nil"/>
            </w:tcBorders>
          </w:tcPr>
          <w:p w14:paraId="78E8E3E5"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r>
      <w:tr w:rsidR="00D97E2F" w:rsidRPr="009F7BB7" w14:paraId="1A7A1502" w14:textId="77777777" w:rsidTr="009B09A3">
        <w:trPr>
          <w:jc w:val="center"/>
        </w:trPr>
        <w:tc>
          <w:tcPr>
            <w:tcW w:w="1159" w:type="pct"/>
            <w:tcBorders>
              <w:top w:val="nil"/>
              <w:left w:val="nil"/>
              <w:bottom w:val="nil"/>
              <w:right w:val="nil"/>
            </w:tcBorders>
          </w:tcPr>
          <w:p w14:paraId="3A7656E0"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proofErr w:type="spellStart"/>
            <w:r w:rsidRPr="009F7BB7">
              <w:rPr>
                <w:rFonts w:ascii="Times New Roman" w:hAnsi="Times New Roman" w:cs="Times New Roman"/>
                <w:sz w:val="20"/>
                <w:szCs w:val="24"/>
              </w:rPr>
              <w:t>ActiveNotCEOBlockSq</w:t>
            </w:r>
            <w:proofErr w:type="spellEnd"/>
          </w:p>
        </w:tc>
        <w:tc>
          <w:tcPr>
            <w:tcW w:w="447" w:type="pct"/>
            <w:tcBorders>
              <w:top w:val="nil"/>
              <w:left w:val="nil"/>
              <w:bottom w:val="nil"/>
              <w:right w:val="nil"/>
            </w:tcBorders>
          </w:tcPr>
          <w:p w14:paraId="68EFA996"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4D49D401"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24571583"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3BE112B0"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4496CA72"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67E14F74"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49B1FF64"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-0.510*</w:t>
            </w:r>
          </w:p>
        </w:tc>
        <w:tc>
          <w:tcPr>
            <w:tcW w:w="541" w:type="pct"/>
            <w:tcBorders>
              <w:top w:val="nil"/>
              <w:left w:val="nil"/>
              <w:bottom w:val="nil"/>
              <w:right w:val="nil"/>
            </w:tcBorders>
          </w:tcPr>
          <w:p w14:paraId="4C9F6888"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r>
      <w:tr w:rsidR="00D97E2F" w:rsidRPr="009F7BB7" w14:paraId="45C99349" w14:textId="77777777" w:rsidTr="009B09A3">
        <w:trPr>
          <w:jc w:val="center"/>
        </w:trPr>
        <w:tc>
          <w:tcPr>
            <w:tcW w:w="1159" w:type="pct"/>
            <w:tcBorders>
              <w:top w:val="nil"/>
              <w:left w:val="nil"/>
              <w:bottom w:val="nil"/>
              <w:right w:val="nil"/>
            </w:tcBorders>
          </w:tcPr>
          <w:p w14:paraId="58849AE8"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p>
        </w:tc>
        <w:tc>
          <w:tcPr>
            <w:tcW w:w="447" w:type="pct"/>
            <w:tcBorders>
              <w:top w:val="nil"/>
              <w:left w:val="nil"/>
              <w:bottom w:val="nil"/>
              <w:right w:val="nil"/>
            </w:tcBorders>
          </w:tcPr>
          <w:p w14:paraId="7237A46C"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5BABC3E3"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6786B0A8"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35340B07"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2897D7E6"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6442498D"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5E0C8C80"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(0.284)</w:t>
            </w:r>
          </w:p>
        </w:tc>
        <w:tc>
          <w:tcPr>
            <w:tcW w:w="541" w:type="pct"/>
            <w:tcBorders>
              <w:top w:val="nil"/>
              <w:left w:val="nil"/>
              <w:bottom w:val="nil"/>
              <w:right w:val="nil"/>
            </w:tcBorders>
          </w:tcPr>
          <w:p w14:paraId="2276E205"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r>
      <w:tr w:rsidR="00D97E2F" w:rsidRPr="009F7BB7" w14:paraId="0F004018" w14:textId="77777777" w:rsidTr="009B09A3">
        <w:trPr>
          <w:jc w:val="center"/>
        </w:trPr>
        <w:tc>
          <w:tcPr>
            <w:tcW w:w="1159" w:type="pct"/>
            <w:tcBorders>
              <w:top w:val="nil"/>
              <w:left w:val="nil"/>
              <w:bottom w:val="nil"/>
              <w:right w:val="nil"/>
            </w:tcBorders>
          </w:tcPr>
          <w:p w14:paraId="61243D92"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proofErr w:type="spellStart"/>
            <w:r w:rsidRPr="009F7BB7">
              <w:rPr>
                <w:rFonts w:ascii="Times New Roman" w:hAnsi="Times New Roman" w:cs="Times New Roman"/>
                <w:sz w:val="20"/>
                <w:szCs w:val="24"/>
              </w:rPr>
              <w:t>NumDir</w:t>
            </w:r>
            <w:proofErr w:type="spellEnd"/>
          </w:p>
        </w:tc>
        <w:tc>
          <w:tcPr>
            <w:tcW w:w="447" w:type="pct"/>
            <w:tcBorders>
              <w:top w:val="nil"/>
              <w:left w:val="nil"/>
              <w:bottom w:val="nil"/>
              <w:right w:val="nil"/>
            </w:tcBorders>
          </w:tcPr>
          <w:p w14:paraId="465AF303"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2A29A64A"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1ADD2373"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30A5BFF4"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61C1D0ED"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6378F368"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321EB86B"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5F95C054"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-0.000</w:t>
            </w:r>
          </w:p>
        </w:tc>
      </w:tr>
      <w:tr w:rsidR="00D97E2F" w:rsidRPr="009F7BB7" w14:paraId="1CC76453" w14:textId="77777777" w:rsidTr="009B09A3">
        <w:trPr>
          <w:jc w:val="center"/>
        </w:trPr>
        <w:tc>
          <w:tcPr>
            <w:tcW w:w="1159" w:type="pct"/>
            <w:tcBorders>
              <w:top w:val="nil"/>
              <w:left w:val="nil"/>
              <w:bottom w:val="nil"/>
              <w:right w:val="nil"/>
            </w:tcBorders>
          </w:tcPr>
          <w:p w14:paraId="17A78993"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p>
        </w:tc>
        <w:tc>
          <w:tcPr>
            <w:tcW w:w="447" w:type="pct"/>
            <w:tcBorders>
              <w:top w:val="nil"/>
              <w:left w:val="nil"/>
              <w:bottom w:val="nil"/>
              <w:right w:val="nil"/>
            </w:tcBorders>
          </w:tcPr>
          <w:p w14:paraId="1155905E"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1A900FF6"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23C1117B"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40C86F9B"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646E5191"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773C13B8"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56CD7733"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2362B506"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(0.001)</w:t>
            </w:r>
          </w:p>
        </w:tc>
      </w:tr>
      <w:tr w:rsidR="00D97E2F" w:rsidRPr="009F7BB7" w14:paraId="005B356E" w14:textId="77777777" w:rsidTr="009B09A3">
        <w:trPr>
          <w:jc w:val="center"/>
        </w:trPr>
        <w:tc>
          <w:tcPr>
            <w:tcW w:w="1159" w:type="pct"/>
            <w:tcBorders>
              <w:top w:val="nil"/>
              <w:left w:val="nil"/>
              <w:bottom w:val="nil"/>
              <w:right w:val="nil"/>
            </w:tcBorders>
          </w:tcPr>
          <w:p w14:paraId="28608006"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proofErr w:type="spellStart"/>
            <w:r w:rsidRPr="009F7BB7">
              <w:rPr>
                <w:rFonts w:ascii="Times New Roman" w:hAnsi="Times New Roman" w:cs="Times New Roman"/>
                <w:sz w:val="20"/>
                <w:szCs w:val="24"/>
              </w:rPr>
              <w:t>PropDirectorsBlock</w:t>
            </w:r>
            <w:proofErr w:type="spellEnd"/>
          </w:p>
        </w:tc>
        <w:tc>
          <w:tcPr>
            <w:tcW w:w="447" w:type="pct"/>
            <w:tcBorders>
              <w:top w:val="nil"/>
              <w:left w:val="nil"/>
              <w:bottom w:val="nil"/>
              <w:right w:val="nil"/>
            </w:tcBorders>
          </w:tcPr>
          <w:p w14:paraId="191C1EAE"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66D1AB09"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149B7075"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2A35F978"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73B03693"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4A2A9844"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5F205413"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764641E7"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0.021</w:t>
            </w:r>
          </w:p>
        </w:tc>
      </w:tr>
      <w:tr w:rsidR="00D97E2F" w:rsidRPr="009F7BB7" w14:paraId="29551928" w14:textId="77777777" w:rsidTr="009B09A3">
        <w:trPr>
          <w:jc w:val="center"/>
        </w:trPr>
        <w:tc>
          <w:tcPr>
            <w:tcW w:w="1159" w:type="pct"/>
            <w:tcBorders>
              <w:top w:val="nil"/>
              <w:left w:val="nil"/>
              <w:bottom w:val="nil"/>
              <w:right w:val="nil"/>
            </w:tcBorders>
          </w:tcPr>
          <w:p w14:paraId="461D6FD6"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p>
        </w:tc>
        <w:tc>
          <w:tcPr>
            <w:tcW w:w="447" w:type="pct"/>
            <w:tcBorders>
              <w:top w:val="nil"/>
              <w:left w:val="nil"/>
              <w:bottom w:val="nil"/>
              <w:right w:val="nil"/>
            </w:tcBorders>
          </w:tcPr>
          <w:p w14:paraId="72584B65"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40514413"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08AD536A"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7C65BA0F"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659FC643"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3D85D913"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52E5747C"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47B296EF"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(0.034)</w:t>
            </w:r>
          </w:p>
        </w:tc>
      </w:tr>
      <w:tr w:rsidR="00D97E2F" w:rsidRPr="009F7BB7" w14:paraId="0CDBC830" w14:textId="77777777" w:rsidTr="009B09A3">
        <w:trPr>
          <w:jc w:val="center"/>
        </w:trPr>
        <w:tc>
          <w:tcPr>
            <w:tcW w:w="1159" w:type="pct"/>
            <w:tcBorders>
              <w:top w:val="nil"/>
              <w:left w:val="nil"/>
              <w:bottom w:val="nil"/>
              <w:right w:val="nil"/>
            </w:tcBorders>
          </w:tcPr>
          <w:p w14:paraId="40B2CE33"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proofErr w:type="spellStart"/>
            <w:r w:rsidRPr="009F7BB7">
              <w:rPr>
                <w:rFonts w:ascii="Times New Roman" w:hAnsi="Times New Roman" w:cs="Times New Roman"/>
                <w:sz w:val="20"/>
                <w:szCs w:val="24"/>
              </w:rPr>
              <w:t>ActiveBlockSq</w:t>
            </w:r>
            <w:proofErr w:type="spellEnd"/>
          </w:p>
        </w:tc>
        <w:tc>
          <w:tcPr>
            <w:tcW w:w="447" w:type="pct"/>
            <w:tcBorders>
              <w:top w:val="nil"/>
              <w:left w:val="nil"/>
              <w:bottom w:val="nil"/>
              <w:right w:val="nil"/>
            </w:tcBorders>
          </w:tcPr>
          <w:p w14:paraId="269D5CFC"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7E04FCF2"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2068C21B"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6DEB58C0"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78B8C0DF"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-0.558***</w:t>
            </w:r>
          </w:p>
        </w:tc>
        <w:tc>
          <w:tcPr>
            <w:tcW w:w="541" w:type="pct"/>
            <w:tcBorders>
              <w:top w:val="nil"/>
              <w:left w:val="nil"/>
              <w:bottom w:val="nil"/>
              <w:right w:val="nil"/>
            </w:tcBorders>
          </w:tcPr>
          <w:p w14:paraId="62CC2644"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-0.513***</w:t>
            </w:r>
          </w:p>
        </w:tc>
        <w:tc>
          <w:tcPr>
            <w:tcW w:w="541" w:type="pct"/>
            <w:tcBorders>
              <w:top w:val="nil"/>
              <w:left w:val="nil"/>
              <w:bottom w:val="nil"/>
              <w:right w:val="nil"/>
            </w:tcBorders>
          </w:tcPr>
          <w:p w14:paraId="4CE4F743"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06EEA926"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-0.501***</w:t>
            </w:r>
          </w:p>
        </w:tc>
      </w:tr>
      <w:tr w:rsidR="00D97E2F" w:rsidRPr="009F7BB7" w14:paraId="4AA26DA8" w14:textId="77777777" w:rsidTr="009B09A3">
        <w:trPr>
          <w:jc w:val="center"/>
        </w:trPr>
        <w:tc>
          <w:tcPr>
            <w:tcW w:w="1159" w:type="pct"/>
            <w:tcBorders>
              <w:top w:val="nil"/>
              <w:left w:val="nil"/>
              <w:bottom w:val="nil"/>
              <w:right w:val="nil"/>
            </w:tcBorders>
          </w:tcPr>
          <w:p w14:paraId="669B8172"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p>
        </w:tc>
        <w:tc>
          <w:tcPr>
            <w:tcW w:w="447" w:type="pct"/>
            <w:tcBorders>
              <w:top w:val="nil"/>
              <w:left w:val="nil"/>
              <w:bottom w:val="nil"/>
              <w:right w:val="nil"/>
            </w:tcBorders>
          </w:tcPr>
          <w:p w14:paraId="76C1F277"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097FA955"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018FDD27"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0723C849"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02C744F5"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(0.179)</w:t>
            </w:r>
          </w:p>
        </w:tc>
        <w:tc>
          <w:tcPr>
            <w:tcW w:w="541" w:type="pct"/>
            <w:tcBorders>
              <w:top w:val="nil"/>
              <w:left w:val="nil"/>
              <w:bottom w:val="nil"/>
              <w:right w:val="nil"/>
            </w:tcBorders>
          </w:tcPr>
          <w:p w14:paraId="31AD1EF8"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(0.180)</w:t>
            </w:r>
          </w:p>
        </w:tc>
        <w:tc>
          <w:tcPr>
            <w:tcW w:w="541" w:type="pct"/>
            <w:tcBorders>
              <w:top w:val="nil"/>
              <w:left w:val="nil"/>
              <w:bottom w:val="nil"/>
              <w:right w:val="nil"/>
            </w:tcBorders>
          </w:tcPr>
          <w:p w14:paraId="5989D584"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17D111BE"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(0.173)</w:t>
            </w:r>
          </w:p>
        </w:tc>
      </w:tr>
      <w:tr w:rsidR="00D97E2F" w:rsidRPr="009F7BB7" w14:paraId="6437C724" w14:textId="77777777" w:rsidTr="009B09A3">
        <w:trPr>
          <w:jc w:val="center"/>
        </w:trPr>
        <w:tc>
          <w:tcPr>
            <w:tcW w:w="1159" w:type="pct"/>
            <w:tcBorders>
              <w:top w:val="nil"/>
              <w:left w:val="nil"/>
              <w:bottom w:val="nil"/>
              <w:right w:val="nil"/>
            </w:tcBorders>
          </w:tcPr>
          <w:p w14:paraId="54559262"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proofErr w:type="spellStart"/>
            <w:r w:rsidRPr="009F7BB7">
              <w:rPr>
                <w:rFonts w:ascii="Times New Roman" w:hAnsi="Times New Roman" w:cs="Times New Roman"/>
                <w:sz w:val="20"/>
                <w:szCs w:val="24"/>
              </w:rPr>
              <w:t>ActiveCashWedge</w:t>
            </w:r>
            <w:proofErr w:type="spellEnd"/>
          </w:p>
        </w:tc>
        <w:tc>
          <w:tcPr>
            <w:tcW w:w="447" w:type="pct"/>
            <w:tcBorders>
              <w:top w:val="nil"/>
              <w:left w:val="nil"/>
              <w:bottom w:val="nil"/>
              <w:right w:val="nil"/>
            </w:tcBorders>
          </w:tcPr>
          <w:p w14:paraId="71DD96F6"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5CF541A5"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47E42E88"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17D9FE36"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20FA1930"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-0.175</w:t>
            </w:r>
          </w:p>
        </w:tc>
        <w:tc>
          <w:tcPr>
            <w:tcW w:w="541" w:type="pct"/>
            <w:tcBorders>
              <w:top w:val="nil"/>
              <w:left w:val="nil"/>
              <w:bottom w:val="nil"/>
              <w:right w:val="nil"/>
            </w:tcBorders>
          </w:tcPr>
          <w:p w14:paraId="35A5096D"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-0.160</w:t>
            </w:r>
          </w:p>
        </w:tc>
        <w:tc>
          <w:tcPr>
            <w:tcW w:w="541" w:type="pct"/>
            <w:tcBorders>
              <w:top w:val="nil"/>
              <w:left w:val="nil"/>
              <w:bottom w:val="nil"/>
              <w:right w:val="nil"/>
            </w:tcBorders>
          </w:tcPr>
          <w:p w14:paraId="17675CE9"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-0.132</w:t>
            </w:r>
          </w:p>
        </w:tc>
        <w:tc>
          <w:tcPr>
            <w:tcW w:w="541" w:type="pct"/>
            <w:tcBorders>
              <w:top w:val="nil"/>
              <w:left w:val="nil"/>
              <w:bottom w:val="nil"/>
              <w:right w:val="nil"/>
            </w:tcBorders>
          </w:tcPr>
          <w:p w14:paraId="736426F7"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-0.169</w:t>
            </w:r>
          </w:p>
        </w:tc>
      </w:tr>
      <w:tr w:rsidR="00D97E2F" w:rsidRPr="009F7BB7" w14:paraId="5662437C" w14:textId="77777777" w:rsidTr="009B09A3">
        <w:trPr>
          <w:jc w:val="center"/>
        </w:trPr>
        <w:tc>
          <w:tcPr>
            <w:tcW w:w="1159" w:type="pct"/>
            <w:tcBorders>
              <w:top w:val="nil"/>
              <w:left w:val="nil"/>
              <w:bottom w:val="nil"/>
              <w:right w:val="nil"/>
            </w:tcBorders>
          </w:tcPr>
          <w:p w14:paraId="4ADFA232"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p>
        </w:tc>
        <w:tc>
          <w:tcPr>
            <w:tcW w:w="447" w:type="pct"/>
            <w:tcBorders>
              <w:top w:val="nil"/>
              <w:left w:val="nil"/>
              <w:bottom w:val="nil"/>
              <w:right w:val="nil"/>
            </w:tcBorders>
          </w:tcPr>
          <w:p w14:paraId="005E2425"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369D59F6"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4D9106E3"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4FC2167E"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63E5CC6B"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(0.122)</w:t>
            </w:r>
          </w:p>
        </w:tc>
        <w:tc>
          <w:tcPr>
            <w:tcW w:w="541" w:type="pct"/>
            <w:tcBorders>
              <w:top w:val="nil"/>
              <w:left w:val="nil"/>
              <w:bottom w:val="nil"/>
              <w:right w:val="nil"/>
            </w:tcBorders>
          </w:tcPr>
          <w:p w14:paraId="01E00D40"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(0.112)</w:t>
            </w:r>
          </w:p>
        </w:tc>
        <w:tc>
          <w:tcPr>
            <w:tcW w:w="541" w:type="pct"/>
            <w:tcBorders>
              <w:top w:val="nil"/>
              <w:left w:val="nil"/>
              <w:bottom w:val="nil"/>
              <w:right w:val="nil"/>
            </w:tcBorders>
          </w:tcPr>
          <w:p w14:paraId="0B6904B4"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(0.105)</w:t>
            </w:r>
          </w:p>
        </w:tc>
        <w:tc>
          <w:tcPr>
            <w:tcW w:w="541" w:type="pct"/>
            <w:tcBorders>
              <w:top w:val="nil"/>
              <w:left w:val="nil"/>
              <w:bottom w:val="nil"/>
              <w:right w:val="nil"/>
            </w:tcBorders>
          </w:tcPr>
          <w:p w14:paraId="56E62690"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(0.113)</w:t>
            </w:r>
          </w:p>
        </w:tc>
      </w:tr>
      <w:tr w:rsidR="00D97E2F" w:rsidRPr="009F7BB7" w14:paraId="69E47989" w14:textId="77777777" w:rsidTr="009B09A3">
        <w:trPr>
          <w:jc w:val="center"/>
        </w:trPr>
        <w:tc>
          <w:tcPr>
            <w:tcW w:w="1159" w:type="pct"/>
            <w:tcBorders>
              <w:top w:val="nil"/>
              <w:left w:val="nil"/>
              <w:bottom w:val="nil"/>
              <w:right w:val="nil"/>
            </w:tcBorders>
          </w:tcPr>
          <w:p w14:paraId="12C3CD28"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proofErr w:type="spellStart"/>
            <w:r w:rsidRPr="009F7BB7">
              <w:rPr>
                <w:rFonts w:ascii="Times New Roman" w:hAnsi="Times New Roman" w:cs="Times New Roman"/>
                <w:sz w:val="20"/>
                <w:szCs w:val="24"/>
              </w:rPr>
              <w:t>DirFamily</w:t>
            </w:r>
            <w:proofErr w:type="spellEnd"/>
          </w:p>
        </w:tc>
        <w:tc>
          <w:tcPr>
            <w:tcW w:w="447" w:type="pct"/>
            <w:tcBorders>
              <w:top w:val="nil"/>
              <w:left w:val="nil"/>
              <w:bottom w:val="nil"/>
              <w:right w:val="nil"/>
            </w:tcBorders>
          </w:tcPr>
          <w:p w14:paraId="7CA23A97"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76AEA27F"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249CD4B4"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2F98CCE4"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13F915F5"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-0.008</w:t>
            </w:r>
          </w:p>
        </w:tc>
        <w:tc>
          <w:tcPr>
            <w:tcW w:w="541" w:type="pct"/>
            <w:tcBorders>
              <w:top w:val="nil"/>
              <w:left w:val="nil"/>
              <w:bottom w:val="nil"/>
              <w:right w:val="nil"/>
            </w:tcBorders>
          </w:tcPr>
          <w:p w14:paraId="55CC0449"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-0.009</w:t>
            </w:r>
          </w:p>
        </w:tc>
        <w:tc>
          <w:tcPr>
            <w:tcW w:w="541" w:type="pct"/>
            <w:tcBorders>
              <w:top w:val="nil"/>
              <w:left w:val="nil"/>
              <w:bottom w:val="nil"/>
              <w:right w:val="nil"/>
            </w:tcBorders>
          </w:tcPr>
          <w:p w14:paraId="0ECD4BC6"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-0.012</w:t>
            </w:r>
          </w:p>
        </w:tc>
        <w:tc>
          <w:tcPr>
            <w:tcW w:w="541" w:type="pct"/>
            <w:tcBorders>
              <w:top w:val="nil"/>
              <w:left w:val="nil"/>
              <w:bottom w:val="nil"/>
              <w:right w:val="nil"/>
            </w:tcBorders>
          </w:tcPr>
          <w:p w14:paraId="74E0A9F1"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-0.011</w:t>
            </w:r>
          </w:p>
        </w:tc>
      </w:tr>
      <w:tr w:rsidR="00D97E2F" w:rsidRPr="009F7BB7" w14:paraId="77665B50" w14:textId="77777777" w:rsidTr="009B09A3">
        <w:trPr>
          <w:jc w:val="center"/>
        </w:trPr>
        <w:tc>
          <w:tcPr>
            <w:tcW w:w="1159" w:type="pct"/>
            <w:tcBorders>
              <w:top w:val="nil"/>
              <w:left w:val="nil"/>
              <w:bottom w:val="nil"/>
              <w:right w:val="nil"/>
            </w:tcBorders>
          </w:tcPr>
          <w:p w14:paraId="7D1767B0"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p>
        </w:tc>
        <w:tc>
          <w:tcPr>
            <w:tcW w:w="447" w:type="pct"/>
            <w:tcBorders>
              <w:top w:val="nil"/>
              <w:left w:val="nil"/>
              <w:bottom w:val="nil"/>
              <w:right w:val="nil"/>
            </w:tcBorders>
          </w:tcPr>
          <w:p w14:paraId="05F1D2DC"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2933086E"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25D73AE1"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4CFA9830"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44AD4A18"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(0.008)</w:t>
            </w:r>
          </w:p>
        </w:tc>
        <w:tc>
          <w:tcPr>
            <w:tcW w:w="541" w:type="pct"/>
            <w:tcBorders>
              <w:top w:val="nil"/>
              <w:left w:val="nil"/>
              <w:bottom w:val="nil"/>
              <w:right w:val="nil"/>
            </w:tcBorders>
          </w:tcPr>
          <w:p w14:paraId="470060B2"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(0.008)</w:t>
            </w:r>
          </w:p>
        </w:tc>
        <w:tc>
          <w:tcPr>
            <w:tcW w:w="541" w:type="pct"/>
            <w:tcBorders>
              <w:top w:val="nil"/>
              <w:left w:val="nil"/>
              <w:bottom w:val="nil"/>
              <w:right w:val="nil"/>
            </w:tcBorders>
          </w:tcPr>
          <w:p w14:paraId="748A6EAB"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(0.008)</w:t>
            </w:r>
          </w:p>
        </w:tc>
        <w:tc>
          <w:tcPr>
            <w:tcW w:w="541" w:type="pct"/>
            <w:tcBorders>
              <w:top w:val="nil"/>
              <w:left w:val="nil"/>
              <w:bottom w:val="nil"/>
              <w:right w:val="nil"/>
            </w:tcBorders>
          </w:tcPr>
          <w:p w14:paraId="7DC4866F"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(0.008)</w:t>
            </w:r>
          </w:p>
        </w:tc>
      </w:tr>
      <w:tr w:rsidR="00D97E2F" w:rsidRPr="009F7BB7" w14:paraId="0E4D3A5E" w14:textId="77777777" w:rsidTr="009B09A3">
        <w:trPr>
          <w:jc w:val="center"/>
        </w:trPr>
        <w:tc>
          <w:tcPr>
            <w:tcW w:w="1159" w:type="pct"/>
            <w:tcBorders>
              <w:top w:val="nil"/>
              <w:left w:val="nil"/>
              <w:bottom w:val="nil"/>
              <w:right w:val="nil"/>
            </w:tcBorders>
          </w:tcPr>
          <w:p w14:paraId="2CCA0A2B"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proofErr w:type="spellStart"/>
            <w:r w:rsidRPr="009F7BB7">
              <w:rPr>
                <w:rFonts w:ascii="Times New Roman" w:hAnsi="Times New Roman" w:cs="Times New Roman"/>
                <w:sz w:val="20"/>
                <w:szCs w:val="24"/>
              </w:rPr>
              <w:t>EstDate</w:t>
            </w:r>
            <w:proofErr w:type="spellEnd"/>
          </w:p>
        </w:tc>
        <w:tc>
          <w:tcPr>
            <w:tcW w:w="447" w:type="pct"/>
            <w:tcBorders>
              <w:top w:val="nil"/>
              <w:left w:val="nil"/>
              <w:bottom w:val="nil"/>
              <w:right w:val="nil"/>
            </w:tcBorders>
          </w:tcPr>
          <w:p w14:paraId="5DF4E212"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1691AD33"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6DAE3D24"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506C7015"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6B14C5F2"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16FAB978"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0.000</w:t>
            </w:r>
          </w:p>
        </w:tc>
        <w:tc>
          <w:tcPr>
            <w:tcW w:w="541" w:type="pct"/>
            <w:tcBorders>
              <w:top w:val="nil"/>
              <w:left w:val="nil"/>
              <w:bottom w:val="nil"/>
              <w:right w:val="nil"/>
            </w:tcBorders>
          </w:tcPr>
          <w:p w14:paraId="2BAA014B"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0.000</w:t>
            </w:r>
          </w:p>
        </w:tc>
        <w:tc>
          <w:tcPr>
            <w:tcW w:w="541" w:type="pct"/>
            <w:tcBorders>
              <w:top w:val="nil"/>
              <w:left w:val="nil"/>
              <w:bottom w:val="nil"/>
              <w:right w:val="nil"/>
            </w:tcBorders>
          </w:tcPr>
          <w:p w14:paraId="340065C6"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0.000</w:t>
            </w:r>
          </w:p>
        </w:tc>
      </w:tr>
      <w:tr w:rsidR="00D97E2F" w:rsidRPr="009F7BB7" w14:paraId="7F4AB3D6" w14:textId="77777777" w:rsidTr="009B09A3">
        <w:trPr>
          <w:jc w:val="center"/>
        </w:trPr>
        <w:tc>
          <w:tcPr>
            <w:tcW w:w="1159" w:type="pct"/>
            <w:tcBorders>
              <w:top w:val="nil"/>
              <w:left w:val="nil"/>
              <w:bottom w:val="nil"/>
              <w:right w:val="nil"/>
            </w:tcBorders>
          </w:tcPr>
          <w:p w14:paraId="43C4EF08"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p>
        </w:tc>
        <w:tc>
          <w:tcPr>
            <w:tcW w:w="447" w:type="pct"/>
            <w:tcBorders>
              <w:top w:val="nil"/>
              <w:left w:val="nil"/>
              <w:bottom w:val="nil"/>
              <w:right w:val="nil"/>
            </w:tcBorders>
          </w:tcPr>
          <w:p w14:paraId="7512D94C"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6F273F2E"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4FAFAA3E"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2122E0F8"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521D58C5"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4AE34CC4"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(0.000)</w:t>
            </w:r>
          </w:p>
        </w:tc>
        <w:tc>
          <w:tcPr>
            <w:tcW w:w="541" w:type="pct"/>
            <w:tcBorders>
              <w:top w:val="nil"/>
              <w:left w:val="nil"/>
              <w:bottom w:val="nil"/>
              <w:right w:val="nil"/>
            </w:tcBorders>
          </w:tcPr>
          <w:p w14:paraId="0D04D4D2"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(0.000)</w:t>
            </w:r>
          </w:p>
        </w:tc>
        <w:tc>
          <w:tcPr>
            <w:tcW w:w="541" w:type="pct"/>
            <w:tcBorders>
              <w:top w:val="nil"/>
              <w:left w:val="nil"/>
              <w:bottom w:val="nil"/>
              <w:right w:val="nil"/>
            </w:tcBorders>
          </w:tcPr>
          <w:p w14:paraId="0D65390F"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(0.000)</w:t>
            </w:r>
          </w:p>
        </w:tc>
      </w:tr>
      <w:tr w:rsidR="00D97E2F" w:rsidRPr="009F7BB7" w14:paraId="4BB0FCD1" w14:textId="77777777" w:rsidTr="009B09A3">
        <w:trPr>
          <w:jc w:val="center"/>
        </w:trPr>
        <w:tc>
          <w:tcPr>
            <w:tcW w:w="1159" w:type="pct"/>
            <w:tcBorders>
              <w:top w:val="nil"/>
              <w:left w:val="nil"/>
              <w:bottom w:val="nil"/>
              <w:right w:val="nil"/>
            </w:tcBorders>
          </w:tcPr>
          <w:p w14:paraId="6FE20C34"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r w:rsidRPr="009F7BB7">
              <w:rPr>
                <w:rFonts w:ascii="Times New Roman" w:hAnsi="Times New Roman" w:cs="Times New Roman"/>
                <w:sz w:val="20"/>
                <w:szCs w:val="24"/>
              </w:rPr>
              <w:t>Size</w:t>
            </w:r>
          </w:p>
        </w:tc>
        <w:tc>
          <w:tcPr>
            <w:tcW w:w="447" w:type="pct"/>
            <w:tcBorders>
              <w:top w:val="nil"/>
              <w:left w:val="nil"/>
              <w:bottom w:val="nil"/>
              <w:right w:val="nil"/>
            </w:tcBorders>
          </w:tcPr>
          <w:p w14:paraId="4DFB23A5"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36935B6A"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4E26CF9E"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41F7BFA2"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587F7E85"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2E2597E6"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0.000</w:t>
            </w:r>
          </w:p>
        </w:tc>
        <w:tc>
          <w:tcPr>
            <w:tcW w:w="541" w:type="pct"/>
            <w:tcBorders>
              <w:top w:val="nil"/>
              <w:left w:val="nil"/>
              <w:bottom w:val="nil"/>
              <w:right w:val="nil"/>
            </w:tcBorders>
          </w:tcPr>
          <w:p w14:paraId="73411563"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0.001</w:t>
            </w:r>
          </w:p>
        </w:tc>
        <w:tc>
          <w:tcPr>
            <w:tcW w:w="541" w:type="pct"/>
            <w:tcBorders>
              <w:top w:val="nil"/>
              <w:left w:val="nil"/>
              <w:bottom w:val="nil"/>
              <w:right w:val="nil"/>
            </w:tcBorders>
          </w:tcPr>
          <w:p w14:paraId="22DE7812"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0.000</w:t>
            </w:r>
          </w:p>
        </w:tc>
      </w:tr>
      <w:tr w:rsidR="00D97E2F" w:rsidRPr="009F7BB7" w14:paraId="6CE9F948" w14:textId="77777777" w:rsidTr="009B09A3">
        <w:trPr>
          <w:jc w:val="center"/>
        </w:trPr>
        <w:tc>
          <w:tcPr>
            <w:tcW w:w="1159" w:type="pct"/>
            <w:tcBorders>
              <w:top w:val="nil"/>
              <w:left w:val="nil"/>
              <w:bottom w:val="nil"/>
              <w:right w:val="nil"/>
            </w:tcBorders>
          </w:tcPr>
          <w:p w14:paraId="5FDFB331"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p>
        </w:tc>
        <w:tc>
          <w:tcPr>
            <w:tcW w:w="447" w:type="pct"/>
            <w:tcBorders>
              <w:top w:val="nil"/>
              <w:left w:val="nil"/>
              <w:bottom w:val="nil"/>
              <w:right w:val="nil"/>
            </w:tcBorders>
          </w:tcPr>
          <w:p w14:paraId="23EA53C4"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6F9C4E6E"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5A79D60F"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0F15E048"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5549F409"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1123DADC"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(0.004)</w:t>
            </w:r>
          </w:p>
        </w:tc>
        <w:tc>
          <w:tcPr>
            <w:tcW w:w="541" w:type="pct"/>
            <w:tcBorders>
              <w:top w:val="nil"/>
              <w:left w:val="nil"/>
              <w:bottom w:val="nil"/>
              <w:right w:val="nil"/>
            </w:tcBorders>
          </w:tcPr>
          <w:p w14:paraId="278FD861"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(0.004)</w:t>
            </w:r>
          </w:p>
        </w:tc>
        <w:tc>
          <w:tcPr>
            <w:tcW w:w="541" w:type="pct"/>
            <w:tcBorders>
              <w:top w:val="nil"/>
              <w:left w:val="nil"/>
              <w:bottom w:val="nil"/>
              <w:right w:val="nil"/>
            </w:tcBorders>
          </w:tcPr>
          <w:p w14:paraId="546CCC64"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(0.004)</w:t>
            </w:r>
          </w:p>
        </w:tc>
      </w:tr>
      <w:tr w:rsidR="00D97E2F" w:rsidRPr="009F7BB7" w14:paraId="1DAC7081" w14:textId="77777777" w:rsidTr="009B09A3">
        <w:trPr>
          <w:jc w:val="center"/>
        </w:trPr>
        <w:tc>
          <w:tcPr>
            <w:tcW w:w="1159" w:type="pct"/>
            <w:tcBorders>
              <w:top w:val="nil"/>
              <w:left w:val="nil"/>
              <w:bottom w:val="nil"/>
              <w:right w:val="nil"/>
            </w:tcBorders>
          </w:tcPr>
          <w:p w14:paraId="670D4101"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proofErr w:type="spellStart"/>
            <w:r w:rsidRPr="009F7BB7">
              <w:rPr>
                <w:rFonts w:ascii="Times New Roman" w:hAnsi="Times New Roman" w:cs="Times New Roman"/>
                <w:sz w:val="20"/>
                <w:szCs w:val="24"/>
              </w:rPr>
              <w:t>DirectorQual</w:t>
            </w:r>
            <w:proofErr w:type="spellEnd"/>
          </w:p>
        </w:tc>
        <w:tc>
          <w:tcPr>
            <w:tcW w:w="447" w:type="pct"/>
            <w:tcBorders>
              <w:top w:val="nil"/>
              <w:left w:val="nil"/>
              <w:bottom w:val="nil"/>
              <w:right w:val="nil"/>
            </w:tcBorders>
          </w:tcPr>
          <w:p w14:paraId="0283BB54"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12B63194"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7298A6C0"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6541F621"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2E8C3CDC"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55079AD6"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-0.005</w:t>
            </w:r>
          </w:p>
        </w:tc>
        <w:tc>
          <w:tcPr>
            <w:tcW w:w="541" w:type="pct"/>
            <w:tcBorders>
              <w:top w:val="nil"/>
              <w:left w:val="nil"/>
              <w:bottom w:val="nil"/>
              <w:right w:val="nil"/>
            </w:tcBorders>
          </w:tcPr>
          <w:p w14:paraId="1FCBF88F"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-0.007</w:t>
            </w:r>
          </w:p>
        </w:tc>
        <w:tc>
          <w:tcPr>
            <w:tcW w:w="541" w:type="pct"/>
            <w:tcBorders>
              <w:top w:val="nil"/>
              <w:left w:val="nil"/>
              <w:bottom w:val="nil"/>
              <w:right w:val="nil"/>
            </w:tcBorders>
          </w:tcPr>
          <w:p w14:paraId="6F0B403E"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-0.006</w:t>
            </w:r>
          </w:p>
        </w:tc>
      </w:tr>
      <w:tr w:rsidR="00D97E2F" w:rsidRPr="009F7BB7" w14:paraId="302EDB74" w14:textId="77777777" w:rsidTr="009B09A3">
        <w:trPr>
          <w:jc w:val="center"/>
        </w:trPr>
        <w:tc>
          <w:tcPr>
            <w:tcW w:w="1159" w:type="pct"/>
            <w:tcBorders>
              <w:top w:val="nil"/>
              <w:left w:val="nil"/>
              <w:bottom w:val="nil"/>
              <w:right w:val="nil"/>
            </w:tcBorders>
          </w:tcPr>
          <w:p w14:paraId="7B64C094"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p>
        </w:tc>
        <w:tc>
          <w:tcPr>
            <w:tcW w:w="447" w:type="pct"/>
            <w:tcBorders>
              <w:top w:val="nil"/>
              <w:left w:val="nil"/>
              <w:bottom w:val="nil"/>
              <w:right w:val="nil"/>
            </w:tcBorders>
          </w:tcPr>
          <w:p w14:paraId="633CE50D"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322C0428"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5DA8439A"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1B365951"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0F0D4142"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0A8D49BC"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(0.009)</w:t>
            </w:r>
          </w:p>
        </w:tc>
        <w:tc>
          <w:tcPr>
            <w:tcW w:w="541" w:type="pct"/>
            <w:tcBorders>
              <w:top w:val="nil"/>
              <w:left w:val="nil"/>
              <w:bottom w:val="nil"/>
              <w:right w:val="nil"/>
            </w:tcBorders>
          </w:tcPr>
          <w:p w14:paraId="69527315"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(0.009)</w:t>
            </w:r>
          </w:p>
        </w:tc>
        <w:tc>
          <w:tcPr>
            <w:tcW w:w="541" w:type="pct"/>
            <w:tcBorders>
              <w:top w:val="nil"/>
              <w:left w:val="nil"/>
              <w:bottom w:val="nil"/>
              <w:right w:val="nil"/>
            </w:tcBorders>
          </w:tcPr>
          <w:p w14:paraId="1B15D8E7"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(0.009)</w:t>
            </w:r>
          </w:p>
        </w:tc>
      </w:tr>
      <w:tr w:rsidR="00D97E2F" w:rsidRPr="009F7BB7" w14:paraId="374D8EBE" w14:textId="77777777" w:rsidTr="009B09A3">
        <w:trPr>
          <w:jc w:val="center"/>
        </w:trPr>
        <w:tc>
          <w:tcPr>
            <w:tcW w:w="1159" w:type="pct"/>
            <w:tcBorders>
              <w:top w:val="nil"/>
              <w:left w:val="nil"/>
              <w:bottom w:val="nil"/>
              <w:right w:val="nil"/>
            </w:tcBorders>
          </w:tcPr>
          <w:p w14:paraId="10A5BA33"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proofErr w:type="spellStart"/>
            <w:r w:rsidRPr="009F7BB7">
              <w:rPr>
                <w:rFonts w:ascii="Times New Roman" w:hAnsi="Times New Roman" w:cs="Times New Roman"/>
                <w:sz w:val="20"/>
                <w:szCs w:val="24"/>
              </w:rPr>
              <w:t>HeadLondon</w:t>
            </w:r>
            <w:proofErr w:type="spellEnd"/>
          </w:p>
        </w:tc>
        <w:tc>
          <w:tcPr>
            <w:tcW w:w="447" w:type="pct"/>
            <w:tcBorders>
              <w:top w:val="nil"/>
              <w:left w:val="nil"/>
              <w:bottom w:val="nil"/>
              <w:right w:val="nil"/>
            </w:tcBorders>
          </w:tcPr>
          <w:p w14:paraId="40E4EDD3"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29849371"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5E191D15"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047D8FF7"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6008A855"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472EA829"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0.007</w:t>
            </w:r>
          </w:p>
        </w:tc>
        <w:tc>
          <w:tcPr>
            <w:tcW w:w="541" w:type="pct"/>
            <w:tcBorders>
              <w:top w:val="nil"/>
              <w:left w:val="nil"/>
              <w:bottom w:val="nil"/>
              <w:right w:val="nil"/>
            </w:tcBorders>
          </w:tcPr>
          <w:p w14:paraId="63F5FA38"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0.007</w:t>
            </w:r>
          </w:p>
        </w:tc>
        <w:tc>
          <w:tcPr>
            <w:tcW w:w="541" w:type="pct"/>
            <w:tcBorders>
              <w:top w:val="nil"/>
              <w:left w:val="nil"/>
              <w:bottom w:val="nil"/>
              <w:right w:val="nil"/>
            </w:tcBorders>
          </w:tcPr>
          <w:p w14:paraId="6E8D2190"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0.007</w:t>
            </w:r>
          </w:p>
        </w:tc>
      </w:tr>
      <w:tr w:rsidR="00D97E2F" w:rsidRPr="009F7BB7" w14:paraId="448868C0" w14:textId="77777777" w:rsidTr="009B09A3">
        <w:trPr>
          <w:jc w:val="center"/>
        </w:trPr>
        <w:tc>
          <w:tcPr>
            <w:tcW w:w="1159" w:type="pct"/>
            <w:tcBorders>
              <w:top w:val="nil"/>
              <w:left w:val="nil"/>
              <w:bottom w:val="nil"/>
              <w:right w:val="nil"/>
            </w:tcBorders>
          </w:tcPr>
          <w:p w14:paraId="3569EB69"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p>
        </w:tc>
        <w:tc>
          <w:tcPr>
            <w:tcW w:w="447" w:type="pct"/>
            <w:tcBorders>
              <w:top w:val="nil"/>
              <w:left w:val="nil"/>
              <w:bottom w:val="nil"/>
              <w:right w:val="nil"/>
            </w:tcBorders>
          </w:tcPr>
          <w:p w14:paraId="3B78F38F"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2A249BAD"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597516CF"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7BF8F0AB"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1835B86D"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5FF0DB14"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(0.006)</w:t>
            </w:r>
          </w:p>
        </w:tc>
        <w:tc>
          <w:tcPr>
            <w:tcW w:w="541" w:type="pct"/>
            <w:tcBorders>
              <w:top w:val="nil"/>
              <w:left w:val="nil"/>
              <w:bottom w:val="nil"/>
              <w:right w:val="nil"/>
            </w:tcBorders>
          </w:tcPr>
          <w:p w14:paraId="361171EC"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(0.007)</w:t>
            </w:r>
          </w:p>
        </w:tc>
        <w:tc>
          <w:tcPr>
            <w:tcW w:w="541" w:type="pct"/>
            <w:tcBorders>
              <w:top w:val="nil"/>
              <w:left w:val="nil"/>
              <w:bottom w:val="nil"/>
              <w:right w:val="nil"/>
            </w:tcBorders>
          </w:tcPr>
          <w:p w14:paraId="564C348A"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(0.007)</w:t>
            </w:r>
          </w:p>
        </w:tc>
      </w:tr>
      <w:tr w:rsidR="00D97E2F" w:rsidRPr="009F7BB7" w14:paraId="7C4CFBB3" w14:textId="77777777" w:rsidTr="009B09A3">
        <w:trPr>
          <w:jc w:val="center"/>
        </w:trPr>
        <w:tc>
          <w:tcPr>
            <w:tcW w:w="1159" w:type="pct"/>
            <w:tcBorders>
              <w:top w:val="nil"/>
              <w:left w:val="nil"/>
              <w:bottom w:val="nil"/>
              <w:right w:val="nil"/>
            </w:tcBorders>
          </w:tcPr>
          <w:p w14:paraId="402766B1"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r w:rsidRPr="009F7BB7">
              <w:rPr>
                <w:rFonts w:ascii="Times New Roman" w:hAnsi="Times New Roman" w:cs="Times New Roman"/>
                <w:sz w:val="20"/>
                <w:szCs w:val="24"/>
              </w:rPr>
              <w:t>Scottish</w:t>
            </w:r>
          </w:p>
        </w:tc>
        <w:tc>
          <w:tcPr>
            <w:tcW w:w="447" w:type="pct"/>
            <w:tcBorders>
              <w:top w:val="nil"/>
              <w:left w:val="nil"/>
              <w:bottom w:val="nil"/>
              <w:right w:val="nil"/>
            </w:tcBorders>
          </w:tcPr>
          <w:p w14:paraId="429B5F14"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5D9B66BE"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2DC1771E"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7203898B"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0CC09CEC"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5450D423"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0.017**</w:t>
            </w:r>
          </w:p>
        </w:tc>
        <w:tc>
          <w:tcPr>
            <w:tcW w:w="541" w:type="pct"/>
            <w:tcBorders>
              <w:top w:val="nil"/>
              <w:left w:val="nil"/>
              <w:bottom w:val="nil"/>
              <w:right w:val="nil"/>
            </w:tcBorders>
          </w:tcPr>
          <w:p w14:paraId="3BE72AB7"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0.017**</w:t>
            </w:r>
          </w:p>
        </w:tc>
        <w:tc>
          <w:tcPr>
            <w:tcW w:w="541" w:type="pct"/>
            <w:tcBorders>
              <w:top w:val="nil"/>
              <w:left w:val="nil"/>
              <w:bottom w:val="nil"/>
              <w:right w:val="nil"/>
            </w:tcBorders>
          </w:tcPr>
          <w:p w14:paraId="2E5E8CD1"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0.017**</w:t>
            </w:r>
          </w:p>
        </w:tc>
      </w:tr>
      <w:tr w:rsidR="00D97E2F" w:rsidRPr="009F7BB7" w14:paraId="6872B4F1" w14:textId="77777777" w:rsidTr="009B09A3">
        <w:trPr>
          <w:jc w:val="center"/>
        </w:trPr>
        <w:tc>
          <w:tcPr>
            <w:tcW w:w="1159" w:type="pct"/>
            <w:tcBorders>
              <w:top w:val="nil"/>
              <w:left w:val="nil"/>
              <w:bottom w:val="nil"/>
              <w:right w:val="nil"/>
            </w:tcBorders>
          </w:tcPr>
          <w:p w14:paraId="3060F0B3"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p>
        </w:tc>
        <w:tc>
          <w:tcPr>
            <w:tcW w:w="447" w:type="pct"/>
            <w:tcBorders>
              <w:top w:val="nil"/>
              <w:left w:val="nil"/>
              <w:bottom w:val="nil"/>
              <w:right w:val="nil"/>
            </w:tcBorders>
          </w:tcPr>
          <w:p w14:paraId="11FEC172"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754FF1A7"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16F67933"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089451CD"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3D12E8C2"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197838AA"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(0.008)</w:t>
            </w:r>
          </w:p>
        </w:tc>
        <w:tc>
          <w:tcPr>
            <w:tcW w:w="541" w:type="pct"/>
            <w:tcBorders>
              <w:top w:val="nil"/>
              <w:left w:val="nil"/>
              <w:bottom w:val="nil"/>
              <w:right w:val="nil"/>
            </w:tcBorders>
          </w:tcPr>
          <w:p w14:paraId="34229199"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(0.008)</w:t>
            </w:r>
          </w:p>
        </w:tc>
        <w:tc>
          <w:tcPr>
            <w:tcW w:w="541" w:type="pct"/>
            <w:tcBorders>
              <w:top w:val="nil"/>
              <w:left w:val="nil"/>
              <w:bottom w:val="nil"/>
              <w:right w:val="nil"/>
            </w:tcBorders>
          </w:tcPr>
          <w:p w14:paraId="2D386B22"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(0.008)</w:t>
            </w:r>
          </w:p>
        </w:tc>
      </w:tr>
      <w:tr w:rsidR="00D97E2F" w:rsidRPr="009F7BB7" w14:paraId="31C6879F" w14:textId="77777777" w:rsidTr="009B09A3">
        <w:trPr>
          <w:jc w:val="center"/>
        </w:trPr>
        <w:tc>
          <w:tcPr>
            <w:tcW w:w="1159" w:type="pct"/>
            <w:tcBorders>
              <w:top w:val="nil"/>
              <w:left w:val="nil"/>
              <w:bottom w:val="nil"/>
              <w:right w:val="nil"/>
            </w:tcBorders>
          </w:tcPr>
          <w:p w14:paraId="1394673B"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proofErr w:type="spellStart"/>
            <w:r w:rsidRPr="009F7BB7">
              <w:rPr>
                <w:rFonts w:ascii="Times New Roman" w:hAnsi="Times New Roman" w:cs="Times New Roman"/>
                <w:sz w:val="20"/>
                <w:szCs w:val="24"/>
              </w:rPr>
              <w:t>LTDebt</w:t>
            </w:r>
            <w:proofErr w:type="spellEnd"/>
          </w:p>
        </w:tc>
        <w:tc>
          <w:tcPr>
            <w:tcW w:w="447" w:type="pct"/>
            <w:tcBorders>
              <w:top w:val="nil"/>
              <w:left w:val="nil"/>
              <w:bottom w:val="nil"/>
              <w:right w:val="nil"/>
            </w:tcBorders>
          </w:tcPr>
          <w:p w14:paraId="3F490891"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6FDA7D1D"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2BFEA498"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62FD13A3"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21E74BCD"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4153CD6A"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-0.052***</w:t>
            </w:r>
          </w:p>
        </w:tc>
        <w:tc>
          <w:tcPr>
            <w:tcW w:w="541" w:type="pct"/>
            <w:tcBorders>
              <w:top w:val="nil"/>
              <w:left w:val="nil"/>
              <w:bottom w:val="nil"/>
              <w:right w:val="nil"/>
            </w:tcBorders>
          </w:tcPr>
          <w:p w14:paraId="46FC4276"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-0.053***</w:t>
            </w:r>
          </w:p>
        </w:tc>
        <w:tc>
          <w:tcPr>
            <w:tcW w:w="541" w:type="pct"/>
            <w:tcBorders>
              <w:top w:val="nil"/>
              <w:left w:val="nil"/>
              <w:bottom w:val="nil"/>
              <w:right w:val="nil"/>
            </w:tcBorders>
          </w:tcPr>
          <w:p w14:paraId="568E725F"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-0.053***</w:t>
            </w:r>
          </w:p>
        </w:tc>
      </w:tr>
      <w:tr w:rsidR="00D97E2F" w:rsidRPr="009F7BB7" w14:paraId="18C8176D" w14:textId="77777777" w:rsidTr="009B09A3">
        <w:trPr>
          <w:jc w:val="center"/>
        </w:trPr>
        <w:tc>
          <w:tcPr>
            <w:tcW w:w="1159" w:type="pct"/>
            <w:tcBorders>
              <w:top w:val="nil"/>
              <w:left w:val="nil"/>
              <w:bottom w:val="nil"/>
              <w:right w:val="nil"/>
            </w:tcBorders>
          </w:tcPr>
          <w:p w14:paraId="284DA1D3"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p>
        </w:tc>
        <w:tc>
          <w:tcPr>
            <w:tcW w:w="447" w:type="pct"/>
            <w:tcBorders>
              <w:top w:val="nil"/>
              <w:left w:val="nil"/>
              <w:bottom w:val="nil"/>
              <w:right w:val="nil"/>
            </w:tcBorders>
          </w:tcPr>
          <w:p w14:paraId="4545E4EF"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256C7107"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4C38E8F7"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3E4E3A40"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5A1D8004"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38C50055"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(0.012)</w:t>
            </w:r>
          </w:p>
        </w:tc>
        <w:tc>
          <w:tcPr>
            <w:tcW w:w="541" w:type="pct"/>
            <w:tcBorders>
              <w:top w:val="nil"/>
              <w:left w:val="nil"/>
              <w:bottom w:val="nil"/>
              <w:right w:val="nil"/>
            </w:tcBorders>
          </w:tcPr>
          <w:p w14:paraId="78AA7F69"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(0.012)</w:t>
            </w:r>
          </w:p>
        </w:tc>
        <w:tc>
          <w:tcPr>
            <w:tcW w:w="541" w:type="pct"/>
            <w:tcBorders>
              <w:top w:val="nil"/>
              <w:left w:val="nil"/>
              <w:bottom w:val="nil"/>
              <w:right w:val="nil"/>
            </w:tcBorders>
          </w:tcPr>
          <w:p w14:paraId="3FE6EABC"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(0.012)</w:t>
            </w:r>
          </w:p>
        </w:tc>
      </w:tr>
      <w:tr w:rsidR="00D97E2F" w:rsidRPr="009F7BB7" w14:paraId="7D1AC771" w14:textId="77777777" w:rsidTr="009B09A3">
        <w:trPr>
          <w:jc w:val="center"/>
        </w:trPr>
        <w:tc>
          <w:tcPr>
            <w:tcW w:w="1159" w:type="pct"/>
            <w:tcBorders>
              <w:top w:val="nil"/>
              <w:left w:val="nil"/>
              <w:bottom w:val="nil"/>
              <w:right w:val="nil"/>
            </w:tcBorders>
          </w:tcPr>
          <w:p w14:paraId="4F375E01"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r w:rsidRPr="009F7BB7">
              <w:rPr>
                <w:rFonts w:ascii="Times New Roman" w:hAnsi="Times New Roman" w:cs="Times New Roman"/>
                <w:sz w:val="20"/>
                <w:szCs w:val="24"/>
              </w:rPr>
              <w:t>Constant</w:t>
            </w:r>
          </w:p>
        </w:tc>
        <w:tc>
          <w:tcPr>
            <w:tcW w:w="447" w:type="pct"/>
            <w:tcBorders>
              <w:top w:val="nil"/>
              <w:left w:val="nil"/>
              <w:bottom w:val="nil"/>
              <w:right w:val="nil"/>
            </w:tcBorders>
          </w:tcPr>
          <w:p w14:paraId="1A1E290D"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0.018</w:t>
            </w:r>
          </w:p>
        </w:tc>
        <w:tc>
          <w:tcPr>
            <w:tcW w:w="410" w:type="pct"/>
            <w:tcBorders>
              <w:top w:val="nil"/>
              <w:left w:val="nil"/>
              <w:bottom w:val="nil"/>
              <w:right w:val="nil"/>
            </w:tcBorders>
          </w:tcPr>
          <w:p w14:paraId="1219A5A7"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0.020</w:t>
            </w:r>
          </w:p>
        </w:tc>
        <w:tc>
          <w:tcPr>
            <w:tcW w:w="410" w:type="pct"/>
            <w:tcBorders>
              <w:top w:val="nil"/>
              <w:left w:val="nil"/>
              <w:bottom w:val="nil"/>
              <w:right w:val="nil"/>
            </w:tcBorders>
          </w:tcPr>
          <w:p w14:paraId="7CF4A78B"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0.018</w:t>
            </w:r>
          </w:p>
        </w:tc>
        <w:tc>
          <w:tcPr>
            <w:tcW w:w="410" w:type="pct"/>
            <w:tcBorders>
              <w:top w:val="nil"/>
              <w:left w:val="nil"/>
              <w:bottom w:val="nil"/>
              <w:right w:val="nil"/>
            </w:tcBorders>
          </w:tcPr>
          <w:p w14:paraId="50CC8252"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0.021</w:t>
            </w:r>
          </w:p>
        </w:tc>
        <w:tc>
          <w:tcPr>
            <w:tcW w:w="541" w:type="pct"/>
            <w:tcBorders>
              <w:top w:val="nil"/>
              <w:left w:val="nil"/>
              <w:bottom w:val="nil"/>
              <w:right w:val="nil"/>
            </w:tcBorders>
          </w:tcPr>
          <w:p w14:paraId="50B0632C"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0.008</w:t>
            </w:r>
          </w:p>
        </w:tc>
        <w:tc>
          <w:tcPr>
            <w:tcW w:w="541" w:type="pct"/>
            <w:tcBorders>
              <w:top w:val="nil"/>
              <w:left w:val="nil"/>
              <w:bottom w:val="nil"/>
              <w:right w:val="nil"/>
            </w:tcBorders>
          </w:tcPr>
          <w:p w14:paraId="19D97198"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-0.138</w:t>
            </w:r>
          </w:p>
        </w:tc>
        <w:tc>
          <w:tcPr>
            <w:tcW w:w="541" w:type="pct"/>
            <w:tcBorders>
              <w:top w:val="nil"/>
              <w:left w:val="nil"/>
              <w:bottom w:val="nil"/>
              <w:right w:val="nil"/>
            </w:tcBorders>
          </w:tcPr>
          <w:p w14:paraId="45E78931"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-0.133</w:t>
            </w:r>
          </w:p>
        </w:tc>
        <w:tc>
          <w:tcPr>
            <w:tcW w:w="541" w:type="pct"/>
            <w:tcBorders>
              <w:top w:val="nil"/>
              <w:left w:val="nil"/>
              <w:bottom w:val="nil"/>
              <w:right w:val="nil"/>
            </w:tcBorders>
          </w:tcPr>
          <w:p w14:paraId="5E8706BF"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-0.141</w:t>
            </w:r>
          </w:p>
        </w:tc>
      </w:tr>
      <w:tr w:rsidR="00D97E2F" w:rsidRPr="009F7BB7" w14:paraId="11FD7045" w14:textId="77777777" w:rsidTr="009B09A3">
        <w:trPr>
          <w:jc w:val="center"/>
        </w:trPr>
        <w:tc>
          <w:tcPr>
            <w:tcW w:w="1159" w:type="pct"/>
            <w:tcBorders>
              <w:top w:val="nil"/>
              <w:left w:val="nil"/>
              <w:bottom w:val="nil"/>
              <w:right w:val="nil"/>
            </w:tcBorders>
          </w:tcPr>
          <w:p w14:paraId="07623623"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p>
        </w:tc>
        <w:tc>
          <w:tcPr>
            <w:tcW w:w="447" w:type="pct"/>
            <w:tcBorders>
              <w:top w:val="nil"/>
              <w:left w:val="nil"/>
              <w:bottom w:val="nil"/>
              <w:right w:val="nil"/>
            </w:tcBorders>
          </w:tcPr>
          <w:p w14:paraId="5DC38866"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(0.020)</w:t>
            </w:r>
          </w:p>
        </w:tc>
        <w:tc>
          <w:tcPr>
            <w:tcW w:w="410" w:type="pct"/>
            <w:tcBorders>
              <w:top w:val="nil"/>
              <w:left w:val="nil"/>
              <w:bottom w:val="nil"/>
              <w:right w:val="nil"/>
            </w:tcBorders>
          </w:tcPr>
          <w:p w14:paraId="315486EC"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(0.021)</w:t>
            </w:r>
          </w:p>
        </w:tc>
        <w:tc>
          <w:tcPr>
            <w:tcW w:w="410" w:type="pct"/>
            <w:tcBorders>
              <w:top w:val="nil"/>
              <w:left w:val="nil"/>
              <w:bottom w:val="nil"/>
              <w:right w:val="nil"/>
            </w:tcBorders>
          </w:tcPr>
          <w:p w14:paraId="12C8EBB8"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(0.023)</w:t>
            </w:r>
          </w:p>
        </w:tc>
        <w:tc>
          <w:tcPr>
            <w:tcW w:w="410" w:type="pct"/>
            <w:tcBorders>
              <w:top w:val="nil"/>
              <w:left w:val="nil"/>
              <w:bottom w:val="nil"/>
              <w:right w:val="nil"/>
            </w:tcBorders>
          </w:tcPr>
          <w:p w14:paraId="4107BF78"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(0.022)</w:t>
            </w:r>
          </w:p>
        </w:tc>
        <w:tc>
          <w:tcPr>
            <w:tcW w:w="541" w:type="pct"/>
            <w:tcBorders>
              <w:top w:val="nil"/>
              <w:left w:val="nil"/>
              <w:bottom w:val="nil"/>
              <w:right w:val="nil"/>
            </w:tcBorders>
          </w:tcPr>
          <w:p w14:paraId="61493F53"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(0.020)</w:t>
            </w:r>
          </w:p>
        </w:tc>
        <w:tc>
          <w:tcPr>
            <w:tcW w:w="541" w:type="pct"/>
            <w:tcBorders>
              <w:top w:val="nil"/>
              <w:left w:val="nil"/>
              <w:bottom w:val="nil"/>
              <w:right w:val="nil"/>
            </w:tcBorders>
          </w:tcPr>
          <w:p w14:paraId="520F4019"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(0.396)</w:t>
            </w:r>
          </w:p>
        </w:tc>
        <w:tc>
          <w:tcPr>
            <w:tcW w:w="541" w:type="pct"/>
            <w:tcBorders>
              <w:top w:val="nil"/>
              <w:left w:val="nil"/>
              <w:bottom w:val="nil"/>
              <w:right w:val="nil"/>
            </w:tcBorders>
          </w:tcPr>
          <w:p w14:paraId="2E1ADCF8"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(0.413)</w:t>
            </w:r>
          </w:p>
        </w:tc>
        <w:tc>
          <w:tcPr>
            <w:tcW w:w="541" w:type="pct"/>
            <w:tcBorders>
              <w:top w:val="nil"/>
              <w:left w:val="nil"/>
              <w:bottom w:val="nil"/>
              <w:right w:val="nil"/>
            </w:tcBorders>
          </w:tcPr>
          <w:p w14:paraId="579BE06C"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(0.398)</w:t>
            </w:r>
          </w:p>
        </w:tc>
      </w:tr>
      <w:tr w:rsidR="00D97E2F" w:rsidRPr="009F7BB7" w14:paraId="324AC9A7" w14:textId="77777777" w:rsidTr="009B09A3">
        <w:trPr>
          <w:jc w:val="center"/>
        </w:trPr>
        <w:tc>
          <w:tcPr>
            <w:tcW w:w="1159" w:type="pct"/>
            <w:tcBorders>
              <w:top w:val="nil"/>
              <w:left w:val="nil"/>
              <w:bottom w:val="nil"/>
              <w:right w:val="nil"/>
            </w:tcBorders>
          </w:tcPr>
          <w:p w14:paraId="42C8C329"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p>
        </w:tc>
        <w:tc>
          <w:tcPr>
            <w:tcW w:w="447" w:type="pct"/>
            <w:tcBorders>
              <w:top w:val="nil"/>
              <w:left w:val="nil"/>
              <w:bottom w:val="nil"/>
              <w:right w:val="nil"/>
            </w:tcBorders>
          </w:tcPr>
          <w:p w14:paraId="2AF3C94C"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657E346F"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35AE7FA2"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0263469E"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3598C9EE"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41878196"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068324F9"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702E10E3"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r>
      <w:tr w:rsidR="00D97E2F" w:rsidRPr="009F7BB7" w14:paraId="0BDF9171" w14:textId="77777777" w:rsidTr="009B09A3">
        <w:trPr>
          <w:jc w:val="center"/>
        </w:trPr>
        <w:tc>
          <w:tcPr>
            <w:tcW w:w="1159" w:type="pct"/>
            <w:tcBorders>
              <w:top w:val="nil"/>
              <w:left w:val="nil"/>
              <w:bottom w:val="nil"/>
              <w:right w:val="nil"/>
            </w:tcBorders>
          </w:tcPr>
          <w:p w14:paraId="7A26E8CD"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Year Dummies</w:t>
            </w:r>
          </w:p>
        </w:tc>
        <w:tc>
          <w:tcPr>
            <w:tcW w:w="447" w:type="pct"/>
            <w:tcBorders>
              <w:top w:val="nil"/>
              <w:left w:val="nil"/>
              <w:bottom w:val="nil"/>
              <w:right w:val="nil"/>
            </w:tcBorders>
          </w:tcPr>
          <w:p w14:paraId="41BDF835"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Pr>
                <w:rFonts w:ascii="Times New Roman" w:hAnsi="Times New Roman" w:cs="Times New Roman"/>
                <w:sz w:val="20"/>
                <w:szCs w:val="24"/>
              </w:rPr>
              <w:t>YES</w:t>
            </w:r>
          </w:p>
        </w:tc>
        <w:tc>
          <w:tcPr>
            <w:tcW w:w="410" w:type="pct"/>
            <w:tcBorders>
              <w:top w:val="nil"/>
              <w:left w:val="nil"/>
              <w:bottom w:val="nil"/>
              <w:right w:val="nil"/>
            </w:tcBorders>
          </w:tcPr>
          <w:p w14:paraId="2FE7ED22"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Pr>
                <w:rFonts w:ascii="Times New Roman" w:hAnsi="Times New Roman" w:cs="Times New Roman"/>
                <w:sz w:val="20"/>
                <w:szCs w:val="24"/>
              </w:rPr>
              <w:t>YES</w:t>
            </w:r>
          </w:p>
        </w:tc>
        <w:tc>
          <w:tcPr>
            <w:tcW w:w="410" w:type="pct"/>
            <w:tcBorders>
              <w:top w:val="nil"/>
              <w:left w:val="nil"/>
              <w:bottom w:val="nil"/>
              <w:right w:val="nil"/>
            </w:tcBorders>
          </w:tcPr>
          <w:p w14:paraId="6F81100F"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Pr>
                <w:rFonts w:ascii="Times New Roman" w:hAnsi="Times New Roman" w:cs="Times New Roman"/>
                <w:sz w:val="20"/>
                <w:szCs w:val="24"/>
              </w:rPr>
              <w:t>YES</w:t>
            </w:r>
          </w:p>
        </w:tc>
        <w:tc>
          <w:tcPr>
            <w:tcW w:w="410" w:type="pct"/>
            <w:tcBorders>
              <w:top w:val="nil"/>
              <w:left w:val="nil"/>
              <w:bottom w:val="nil"/>
              <w:right w:val="nil"/>
            </w:tcBorders>
          </w:tcPr>
          <w:p w14:paraId="45520011"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Pr>
                <w:rFonts w:ascii="Times New Roman" w:hAnsi="Times New Roman" w:cs="Times New Roman"/>
                <w:sz w:val="20"/>
                <w:szCs w:val="24"/>
              </w:rPr>
              <w:t>YES</w:t>
            </w:r>
          </w:p>
        </w:tc>
        <w:tc>
          <w:tcPr>
            <w:tcW w:w="541" w:type="pct"/>
            <w:tcBorders>
              <w:top w:val="nil"/>
              <w:left w:val="nil"/>
              <w:bottom w:val="nil"/>
              <w:right w:val="nil"/>
            </w:tcBorders>
          </w:tcPr>
          <w:p w14:paraId="75D96650"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Pr>
                <w:rFonts w:ascii="Times New Roman" w:hAnsi="Times New Roman" w:cs="Times New Roman"/>
                <w:sz w:val="20"/>
                <w:szCs w:val="24"/>
              </w:rPr>
              <w:t>YES</w:t>
            </w:r>
          </w:p>
        </w:tc>
        <w:tc>
          <w:tcPr>
            <w:tcW w:w="541" w:type="pct"/>
            <w:tcBorders>
              <w:top w:val="nil"/>
              <w:left w:val="nil"/>
              <w:bottom w:val="nil"/>
              <w:right w:val="nil"/>
            </w:tcBorders>
          </w:tcPr>
          <w:p w14:paraId="3036F89C"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Pr>
                <w:rFonts w:ascii="Times New Roman" w:hAnsi="Times New Roman" w:cs="Times New Roman"/>
                <w:sz w:val="20"/>
                <w:szCs w:val="24"/>
              </w:rPr>
              <w:t>YES</w:t>
            </w:r>
          </w:p>
        </w:tc>
        <w:tc>
          <w:tcPr>
            <w:tcW w:w="541" w:type="pct"/>
            <w:tcBorders>
              <w:top w:val="nil"/>
              <w:left w:val="nil"/>
              <w:bottom w:val="nil"/>
              <w:right w:val="nil"/>
            </w:tcBorders>
          </w:tcPr>
          <w:p w14:paraId="47EC4194"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Pr>
                <w:rFonts w:ascii="Times New Roman" w:hAnsi="Times New Roman" w:cs="Times New Roman"/>
                <w:sz w:val="20"/>
                <w:szCs w:val="24"/>
              </w:rPr>
              <w:t>YES</w:t>
            </w:r>
          </w:p>
        </w:tc>
        <w:tc>
          <w:tcPr>
            <w:tcW w:w="541" w:type="pct"/>
            <w:tcBorders>
              <w:top w:val="nil"/>
              <w:left w:val="nil"/>
              <w:bottom w:val="nil"/>
              <w:right w:val="nil"/>
            </w:tcBorders>
          </w:tcPr>
          <w:p w14:paraId="4D9C9A7D"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Pr>
                <w:rFonts w:ascii="Times New Roman" w:hAnsi="Times New Roman" w:cs="Times New Roman"/>
                <w:sz w:val="20"/>
                <w:szCs w:val="24"/>
              </w:rPr>
              <w:t>YES</w:t>
            </w:r>
          </w:p>
        </w:tc>
      </w:tr>
      <w:tr w:rsidR="00D97E2F" w:rsidRPr="009F7BB7" w14:paraId="12610FD5" w14:textId="77777777" w:rsidTr="009B09A3">
        <w:trPr>
          <w:jc w:val="center"/>
        </w:trPr>
        <w:tc>
          <w:tcPr>
            <w:tcW w:w="1159" w:type="pct"/>
            <w:tcBorders>
              <w:top w:val="nil"/>
              <w:left w:val="nil"/>
              <w:bottom w:val="nil"/>
              <w:right w:val="nil"/>
            </w:tcBorders>
          </w:tcPr>
          <w:p w14:paraId="1ADB6256"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p>
        </w:tc>
        <w:tc>
          <w:tcPr>
            <w:tcW w:w="447" w:type="pct"/>
            <w:tcBorders>
              <w:top w:val="nil"/>
              <w:left w:val="nil"/>
              <w:bottom w:val="nil"/>
              <w:right w:val="nil"/>
            </w:tcBorders>
          </w:tcPr>
          <w:p w14:paraId="6D583F40"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6D7F7B6D"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4EAEE421"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410" w:type="pct"/>
            <w:tcBorders>
              <w:top w:val="nil"/>
              <w:left w:val="nil"/>
              <w:bottom w:val="nil"/>
              <w:right w:val="nil"/>
            </w:tcBorders>
          </w:tcPr>
          <w:p w14:paraId="2672B69B"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19D43260"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7C9D4D16"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39A33862"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c>
          <w:tcPr>
            <w:tcW w:w="541" w:type="pct"/>
            <w:tcBorders>
              <w:top w:val="nil"/>
              <w:left w:val="nil"/>
              <w:bottom w:val="nil"/>
              <w:right w:val="nil"/>
            </w:tcBorders>
          </w:tcPr>
          <w:p w14:paraId="45B6D6F3"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p>
        </w:tc>
      </w:tr>
      <w:tr w:rsidR="00D97E2F" w:rsidRPr="009F7BB7" w14:paraId="34F44344" w14:textId="77777777" w:rsidTr="009B09A3">
        <w:trPr>
          <w:jc w:val="center"/>
        </w:trPr>
        <w:tc>
          <w:tcPr>
            <w:tcW w:w="1159" w:type="pct"/>
            <w:tcBorders>
              <w:top w:val="nil"/>
              <w:left w:val="nil"/>
              <w:bottom w:val="nil"/>
              <w:right w:val="nil"/>
            </w:tcBorders>
          </w:tcPr>
          <w:p w14:paraId="30A912E8"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r w:rsidRPr="009F7BB7">
              <w:rPr>
                <w:rFonts w:ascii="Times New Roman" w:hAnsi="Times New Roman" w:cs="Times New Roman"/>
                <w:sz w:val="20"/>
                <w:szCs w:val="24"/>
              </w:rPr>
              <w:t>Observations</w:t>
            </w:r>
          </w:p>
        </w:tc>
        <w:tc>
          <w:tcPr>
            <w:tcW w:w="447" w:type="pct"/>
            <w:tcBorders>
              <w:top w:val="nil"/>
              <w:left w:val="nil"/>
              <w:bottom w:val="nil"/>
              <w:right w:val="nil"/>
            </w:tcBorders>
          </w:tcPr>
          <w:p w14:paraId="61470E6B"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245</w:t>
            </w:r>
          </w:p>
        </w:tc>
        <w:tc>
          <w:tcPr>
            <w:tcW w:w="410" w:type="pct"/>
            <w:tcBorders>
              <w:top w:val="nil"/>
              <w:left w:val="nil"/>
              <w:bottom w:val="nil"/>
              <w:right w:val="nil"/>
            </w:tcBorders>
          </w:tcPr>
          <w:p w14:paraId="7E010B4A"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245</w:t>
            </w:r>
          </w:p>
        </w:tc>
        <w:tc>
          <w:tcPr>
            <w:tcW w:w="410" w:type="pct"/>
            <w:tcBorders>
              <w:top w:val="nil"/>
              <w:left w:val="nil"/>
              <w:bottom w:val="nil"/>
              <w:right w:val="nil"/>
            </w:tcBorders>
          </w:tcPr>
          <w:p w14:paraId="091B0FB8"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245</w:t>
            </w:r>
          </w:p>
        </w:tc>
        <w:tc>
          <w:tcPr>
            <w:tcW w:w="410" w:type="pct"/>
            <w:tcBorders>
              <w:top w:val="nil"/>
              <w:left w:val="nil"/>
              <w:bottom w:val="nil"/>
              <w:right w:val="nil"/>
            </w:tcBorders>
          </w:tcPr>
          <w:p w14:paraId="6E36C6A7"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245</w:t>
            </w:r>
          </w:p>
        </w:tc>
        <w:tc>
          <w:tcPr>
            <w:tcW w:w="541" w:type="pct"/>
            <w:tcBorders>
              <w:top w:val="nil"/>
              <w:left w:val="nil"/>
              <w:bottom w:val="nil"/>
              <w:right w:val="nil"/>
            </w:tcBorders>
          </w:tcPr>
          <w:p w14:paraId="466FF971"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224</w:t>
            </w:r>
          </w:p>
        </w:tc>
        <w:tc>
          <w:tcPr>
            <w:tcW w:w="541" w:type="pct"/>
            <w:tcBorders>
              <w:top w:val="nil"/>
              <w:left w:val="nil"/>
              <w:bottom w:val="nil"/>
              <w:right w:val="nil"/>
            </w:tcBorders>
          </w:tcPr>
          <w:p w14:paraId="50C138CB"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221</w:t>
            </w:r>
          </w:p>
        </w:tc>
        <w:tc>
          <w:tcPr>
            <w:tcW w:w="541" w:type="pct"/>
            <w:tcBorders>
              <w:top w:val="nil"/>
              <w:left w:val="nil"/>
              <w:bottom w:val="nil"/>
              <w:right w:val="nil"/>
            </w:tcBorders>
          </w:tcPr>
          <w:p w14:paraId="1FACAE4C"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219</w:t>
            </w:r>
          </w:p>
        </w:tc>
        <w:tc>
          <w:tcPr>
            <w:tcW w:w="541" w:type="pct"/>
            <w:tcBorders>
              <w:top w:val="nil"/>
              <w:left w:val="nil"/>
              <w:bottom w:val="nil"/>
              <w:right w:val="nil"/>
            </w:tcBorders>
          </w:tcPr>
          <w:p w14:paraId="3EA75853"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221</w:t>
            </w:r>
          </w:p>
        </w:tc>
      </w:tr>
      <w:tr w:rsidR="00D97E2F" w:rsidRPr="009F7BB7" w14:paraId="4AAF5F1F" w14:textId="77777777" w:rsidTr="009B09A3">
        <w:tblPrEx>
          <w:tblBorders>
            <w:bottom w:val="single" w:sz="6" w:space="0" w:color="auto"/>
          </w:tblBorders>
        </w:tblPrEx>
        <w:trPr>
          <w:jc w:val="center"/>
        </w:trPr>
        <w:tc>
          <w:tcPr>
            <w:tcW w:w="1159" w:type="pct"/>
            <w:tcBorders>
              <w:top w:val="nil"/>
              <w:left w:val="nil"/>
              <w:bottom w:val="single" w:sz="6" w:space="0" w:color="auto"/>
              <w:right w:val="nil"/>
            </w:tcBorders>
          </w:tcPr>
          <w:p w14:paraId="19C55CC0" w14:textId="77777777" w:rsidR="00D97E2F" w:rsidRPr="009F7BB7" w:rsidRDefault="00D97E2F" w:rsidP="009B09A3">
            <w:pPr>
              <w:widowControl w:val="0"/>
              <w:autoSpaceDE w:val="0"/>
              <w:autoSpaceDN w:val="0"/>
              <w:adjustRightInd w:val="0"/>
              <w:rPr>
                <w:rFonts w:ascii="Times New Roman" w:hAnsi="Times New Roman" w:cs="Times New Roman"/>
                <w:sz w:val="20"/>
                <w:szCs w:val="24"/>
              </w:rPr>
            </w:pPr>
            <w:r w:rsidRPr="009F7BB7">
              <w:rPr>
                <w:rFonts w:ascii="Times New Roman" w:hAnsi="Times New Roman" w:cs="Times New Roman"/>
                <w:sz w:val="20"/>
                <w:szCs w:val="24"/>
              </w:rPr>
              <w:t>R-squared</w:t>
            </w:r>
          </w:p>
        </w:tc>
        <w:tc>
          <w:tcPr>
            <w:tcW w:w="447" w:type="pct"/>
            <w:tcBorders>
              <w:top w:val="nil"/>
              <w:left w:val="nil"/>
              <w:bottom w:val="single" w:sz="6" w:space="0" w:color="auto"/>
              <w:right w:val="nil"/>
            </w:tcBorders>
          </w:tcPr>
          <w:p w14:paraId="4383EB72"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0.119</w:t>
            </w:r>
          </w:p>
        </w:tc>
        <w:tc>
          <w:tcPr>
            <w:tcW w:w="410" w:type="pct"/>
            <w:tcBorders>
              <w:top w:val="nil"/>
              <w:left w:val="nil"/>
              <w:bottom w:val="single" w:sz="6" w:space="0" w:color="auto"/>
              <w:right w:val="nil"/>
            </w:tcBorders>
          </w:tcPr>
          <w:p w14:paraId="36EC4902"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0.097</w:t>
            </w:r>
          </w:p>
        </w:tc>
        <w:tc>
          <w:tcPr>
            <w:tcW w:w="410" w:type="pct"/>
            <w:tcBorders>
              <w:top w:val="nil"/>
              <w:left w:val="nil"/>
              <w:bottom w:val="single" w:sz="6" w:space="0" w:color="auto"/>
              <w:right w:val="nil"/>
            </w:tcBorders>
          </w:tcPr>
          <w:p w14:paraId="21B9AE57"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0.095</w:t>
            </w:r>
          </w:p>
        </w:tc>
        <w:tc>
          <w:tcPr>
            <w:tcW w:w="410" w:type="pct"/>
            <w:tcBorders>
              <w:top w:val="nil"/>
              <w:left w:val="nil"/>
              <w:bottom w:val="single" w:sz="6" w:space="0" w:color="auto"/>
              <w:right w:val="nil"/>
            </w:tcBorders>
          </w:tcPr>
          <w:p w14:paraId="6B62068F"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0.095</w:t>
            </w:r>
          </w:p>
        </w:tc>
        <w:tc>
          <w:tcPr>
            <w:tcW w:w="541" w:type="pct"/>
            <w:tcBorders>
              <w:top w:val="nil"/>
              <w:left w:val="nil"/>
              <w:bottom w:val="single" w:sz="6" w:space="0" w:color="auto"/>
              <w:right w:val="nil"/>
            </w:tcBorders>
          </w:tcPr>
          <w:p w14:paraId="2AA29CAD"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0.168</w:t>
            </w:r>
          </w:p>
        </w:tc>
        <w:tc>
          <w:tcPr>
            <w:tcW w:w="541" w:type="pct"/>
            <w:tcBorders>
              <w:top w:val="nil"/>
              <w:left w:val="nil"/>
              <w:bottom w:val="single" w:sz="6" w:space="0" w:color="auto"/>
              <w:right w:val="nil"/>
            </w:tcBorders>
          </w:tcPr>
          <w:p w14:paraId="3B6174EF"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0.239</w:t>
            </w:r>
          </w:p>
        </w:tc>
        <w:tc>
          <w:tcPr>
            <w:tcW w:w="541" w:type="pct"/>
            <w:tcBorders>
              <w:top w:val="nil"/>
              <w:left w:val="nil"/>
              <w:bottom w:val="single" w:sz="6" w:space="0" w:color="auto"/>
              <w:right w:val="nil"/>
            </w:tcBorders>
          </w:tcPr>
          <w:p w14:paraId="24CFD7BB"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0.234</w:t>
            </w:r>
          </w:p>
        </w:tc>
        <w:tc>
          <w:tcPr>
            <w:tcW w:w="541" w:type="pct"/>
            <w:tcBorders>
              <w:top w:val="nil"/>
              <w:left w:val="nil"/>
              <w:bottom w:val="single" w:sz="6" w:space="0" w:color="auto"/>
              <w:right w:val="nil"/>
            </w:tcBorders>
          </w:tcPr>
          <w:p w14:paraId="5493F1C8" w14:textId="77777777" w:rsidR="00D97E2F" w:rsidRPr="009F7BB7" w:rsidRDefault="00D97E2F" w:rsidP="009B09A3">
            <w:pPr>
              <w:widowControl w:val="0"/>
              <w:autoSpaceDE w:val="0"/>
              <w:autoSpaceDN w:val="0"/>
              <w:adjustRightInd w:val="0"/>
              <w:jc w:val="center"/>
              <w:rPr>
                <w:rFonts w:ascii="Times New Roman" w:hAnsi="Times New Roman" w:cs="Times New Roman"/>
                <w:sz w:val="20"/>
                <w:szCs w:val="24"/>
              </w:rPr>
            </w:pPr>
            <w:r w:rsidRPr="009F7BB7">
              <w:rPr>
                <w:rFonts w:ascii="Times New Roman" w:hAnsi="Times New Roman" w:cs="Times New Roman"/>
                <w:sz w:val="20"/>
                <w:szCs w:val="24"/>
              </w:rPr>
              <w:t>0.239</w:t>
            </w:r>
          </w:p>
        </w:tc>
      </w:tr>
    </w:tbl>
    <w:p w14:paraId="14E60E16" w14:textId="02F70929" w:rsidR="008D3BC4" w:rsidRPr="00703AC0" w:rsidRDefault="00685367" w:rsidP="00703AC0">
      <w:pPr>
        <w:widowControl w:val="0"/>
        <w:autoSpaceDE w:val="0"/>
        <w:autoSpaceDN w:val="0"/>
        <w:adjustRightInd w:val="0"/>
        <w:spacing w:line="276" w:lineRule="auto"/>
        <w:rPr>
          <w:rFonts w:ascii="Times New Roman" w:hAnsi="Times New Roman" w:cs="Times New Roman"/>
          <w:sz w:val="16"/>
          <w:szCs w:val="18"/>
        </w:rPr>
      </w:pPr>
      <w:r w:rsidRPr="001344F0">
        <w:rPr>
          <w:rFonts w:ascii="Times New Roman" w:hAnsi="Times New Roman" w:cs="Times New Roman"/>
          <w:i/>
          <w:sz w:val="16"/>
          <w:szCs w:val="18"/>
        </w:rPr>
        <w:t>Notes</w:t>
      </w:r>
      <w:r w:rsidRPr="001344F0">
        <w:rPr>
          <w:rFonts w:ascii="Times New Roman" w:hAnsi="Times New Roman" w:cs="Times New Roman"/>
          <w:sz w:val="16"/>
          <w:szCs w:val="18"/>
        </w:rPr>
        <w:t xml:space="preserve">: *** p&lt;0.01, ** p&lt;0.05, * p&lt;0.1.  Robust standard errors are in parentheses.  Dependent variable is industry-adjusted ROA. </w:t>
      </w:r>
      <w:r w:rsidR="0025535E" w:rsidRPr="001344F0">
        <w:rPr>
          <w:rFonts w:ascii="Times New Roman" w:hAnsi="Times New Roman" w:cs="Times New Roman"/>
          <w:sz w:val="16"/>
          <w:szCs w:val="18"/>
        </w:rPr>
        <w:t xml:space="preserve">All outliers have been </w:t>
      </w:r>
      <w:proofErr w:type="spellStart"/>
      <w:r w:rsidR="0025535E" w:rsidRPr="001344F0">
        <w:rPr>
          <w:rFonts w:ascii="Times New Roman" w:hAnsi="Times New Roman" w:cs="Times New Roman"/>
          <w:sz w:val="16"/>
          <w:szCs w:val="18"/>
        </w:rPr>
        <w:t>winsorized</w:t>
      </w:r>
      <w:proofErr w:type="spellEnd"/>
      <w:r w:rsidR="0025535E" w:rsidRPr="001344F0">
        <w:rPr>
          <w:rFonts w:ascii="Times New Roman" w:hAnsi="Times New Roman" w:cs="Times New Roman"/>
          <w:sz w:val="16"/>
          <w:szCs w:val="18"/>
        </w:rPr>
        <w:t xml:space="preserve"> at the 1% and 99% levels.</w:t>
      </w:r>
      <w:r w:rsidR="00A906AA" w:rsidRPr="008D3BC4">
        <w:rPr>
          <w:rFonts w:ascii="Times New Roman" w:hAnsi="Times New Roman" w:cs="Times New Roman"/>
          <w:sz w:val="16"/>
          <w:szCs w:val="18"/>
        </w:rPr>
        <w:t xml:space="preserve"> </w:t>
      </w:r>
      <w:r w:rsidR="008D3BC4">
        <w:rPr>
          <w:rFonts w:ascii="Times New Roman" w:hAnsi="Times New Roman" w:cs="Times New Roman"/>
          <w:sz w:val="18"/>
          <w:szCs w:val="18"/>
        </w:rPr>
        <w:br w:type="page"/>
      </w:r>
    </w:p>
    <w:p w14:paraId="00E4E273" w14:textId="35E9BA74" w:rsidR="00703AC0" w:rsidRPr="00703AC0" w:rsidRDefault="00703AC0" w:rsidP="00FF779A">
      <w:pPr>
        <w:jc w:val="center"/>
        <w:rPr>
          <w:rFonts w:ascii="Times New Roman" w:hAnsi="Times New Roman" w:cs="Times New Roman"/>
          <w:sz w:val="20"/>
          <w:szCs w:val="20"/>
        </w:rPr>
      </w:pPr>
      <w:r w:rsidRPr="00703AC0">
        <w:rPr>
          <w:rFonts w:ascii="Times New Roman" w:hAnsi="Times New Roman" w:cs="Times New Roman"/>
          <w:sz w:val="20"/>
          <w:szCs w:val="20"/>
        </w:rPr>
        <w:t xml:space="preserve">TABLE </w:t>
      </w:r>
      <w:r w:rsidR="00635C6E">
        <w:rPr>
          <w:rFonts w:ascii="Times New Roman" w:hAnsi="Times New Roman" w:cs="Times New Roman"/>
          <w:sz w:val="20"/>
          <w:szCs w:val="20"/>
        </w:rPr>
        <w:t xml:space="preserve">7 </w:t>
      </w:r>
    </w:p>
    <w:p w14:paraId="4DC78228" w14:textId="5932398A" w:rsidR="0085766B" w:rsidRDefault="00703AC0" w:rsidP="00703AC0">
      <w:pPr>
        <w:jc w:val="center"/>
        <w:rPr>
          <w:rFonts w:ascii="Times New Roman" w:hAnsi="Times New Roman" w:cs="Times New Roman"/>
          <w:sz w:val="24"/>
          <w:szCs w:val="24"/>
        </w:rPr>
      </w:pPr>
      <w:r w:rsidRPr="00703AC0">
        <w:rPr>
          <w:rFonts w:ascii="Times New Roman" w:hAnsi="Times New Roman" w:cs="Times New Roman"/>
          <w:sz w:val="24"/>
          <w:szCs w:val="24"/>
        </w:rPr>
        <w:t>DETE</w:t>
      </w:r>
      <w:r w:rsidRPr="001344F0">
        <w:rPr>
          <w:rFonts w:ascii="Times New Roman" w:hAnsi="Times New Roman" w:cs="Times New Roman"/>
          <w:sz w:val="24"/>
          <w:szCs w:val="24"/>
        </w:rPr>
        <w:t>RMINANTS OF TOBIN’S Q, DISTINGUISHING THE INTERACTION BETWEEN LARGE BLOCKHOLDERS AND DIRECTORS</w:t>
      </w:r>
    </w:p>
    <w:tbl>
      <w:tblPr>
        <w:tblW w:w="5000" w:type="pct"/>
        <w:jc w:val="center"/>
        <w:tblCellMar>
          <w:left w:w="75" w:type="dxa"/>
          <w:right w:w="75" w:type="dxa"/>
        </w:tblCellMar>
        <w:tblLook w:val="0000" w:firstRow="0" w:lastRow="0" w:firstColumn="0" w:lastColumn="0" w:noHBand="0" w:noVBand="0"/>
      </w:tblPr>
      <w:tblGrid>
        <w:gridCol w:w="2194"/>
        <w:gridCol w:w="777"/>
        <w:gridCol w:w="776"/>
        <w:gridCol w:w="776"/>
        <w:gridCol w:w="846"/>
        <w:gridCol w:w="952"/>
        <w:gridCol w:w="952"/>
        <w:gridCol w:w="952"/>
        <w:gridCol w:w="951"/>
      </w:tblGrid>
      <w:tr w:rsidR="00DE52A8" w:rsidRPr="00461D3B" w14:paraId="5222B0C3" w14:textId="77777777" w:rsidTr="009B09A3">
        <w:trPr>
          <w:jc w:val="center"/>
        </w:trPr>
        <w:tc>
          <w:tcPr>
            <w:tcW w:w="1195" w:type="pct"/>
            <w:tcBorders>
              <w:top w:val="single" w:sz="6" w:space="0" w:color="auto"/>
              <w:left w:val="nil"/>
              <w:bottom w:val="single" w:sz="6" w:space="0" w:color="auto"/>
              <w:right w:val="nil"/>
            </w:tcBorders>
          </w:tcPr>
          <w:p w14:paraId="6E3809F0"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p>
        </w:tc>
        <w:tc>
          <w:tcPr>
            <w:tcW w:w="423" w:type="pct"/>
            <w:tcBorders>
              <w:top w:val="single" w:sz="6" w:space="0" w:color="auto"/>
              <w:left w:val="nil"/>
              <w:bottom w:val="single" w:sz="6" w:space="0" w:color="auto"/>
              <w:right w:val="nil"/>
            </w:tcBorders>
          </w:tcPr>
          <w:p w14:paraId="76E23245"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(1)</w:t>
            </w:r>
          </w:p>
        </w:tc>
        <w:tc>
          <w:tcPr>
            <w:tcW w:w="423" w:type="pct"/>
            <w:tcBorders>
              <w:top w:val="single" w:sz="6" w:space="0" w:color="auto"/>
              <w:left w:val="nil"/>
              <w:bottom w:val="single" w:sz="6" w:space="0" w:color="auto"/>
              <w:right w:val="nil"/>
            </w:tcBorders>
          </w:tcPr>
          <w:p w14:paraId="5EAF8B75"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(2)</w:t>
            </w:r>
          </w:p>
        </w:tc>
        <w:tc>
          <w:tcPr>
            <w:tcW w:w="423" w:type="pct"/>
            <w:tcBorders>
              <w:top w:val="single" w:sz="6" w:space="0" w:color="auto"/>
              <w:left w:val="nil"/>
              <w:bottom w:val="single" w:sz="6" w:space="0" w:color="auto"/>
              <w:right w:val="nil"/>
            </w:tcBorders>
          </w:tcPr>
          <w:p w14:paraId="0F85F43A"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(3)</w:t>
            </w:r>
          </w:p>
        </w:tc>
        <w:tc>
          <w:tcPr>
            <w:tcW w:w="461" w:type="pct"/>
            <w:tcBorders>
              <w:top w:val="single" w:sz="6" w:space="0" w:color="auto"/>
              <w:left w:val="nil"/>
              <w:bottom w:val="single" w:sz="6" w:space="0" w:color="auto"/>
              <w:right w:val="nil"/>
            </w:tcBorders>
          </w:tcPr>
          <w:p w14:paraId="20F71E0D"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(4)</w:t>
            </w:r>
          </w:p>
        </w:tc>
        <w:tc>
          <w:tcPr>
            <w:tcW w:w="519" w:type="pct"/>
            <w:tcBorders>
              <w:top w:val="single" w:sz="6" w:space="0" w:color="auto"/>
              <w:left w:val="nil"/>
              <w:bottom w:val="single" w:sz="6" w:space="0" w:color="auto"/>
              <w:right w:val="nil"/>
            </w:tcBorders>
          </w:tcPr>
          <w:p w14:paraId="4348AF6A"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(5)</w:t>
            </w:r>
          </w:p>
        </w:tc>
        <w:tc>
          <w:tcPr>
            <w:tcW w:w="519" w:type="pct"/>
            <w:tcBorders>
              <w:top w:val="single" w:sz="6" w:space="0" w:color="auto"/>
              <w:left w:val="nil"/>
              <w:bottom w:val="single" w:sz="6" w:space="0" w:color="auto"/>
              <w:right w:val="nil"/>
            </w:tcBorders>
          </w:tcPr>
          <w:p w14:paraId="567E556A"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(6)</w:t>
            </w:r>
          </w:p>
        </w:tc>
        <w:tc>
          <w:tcPr>
            <w:tcW w:w="519" w:type="pct"/>
            <w:tcBorders>
              <w:top w:val="single" w:sz="6" w:space="0" w:color="auto"/>
              <w:left w:val="nil"/>
              <w:bottom w:val="single" w:sz="6" w:space="0" w:color="auto"/>
              <w:right w:val="nil"/>
            </w:tcBorders>
          </w:tcPr>
          <w:p w14:paraId="479FB087"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(7)</w:t>
            </w:r>
          </w:p>
        </w:tc>
        <w:tc>
          <w:tcPr>
            <w:tcW w:w="519" w:type="pct"/>
            <w:tcBorders>
              <w:top w:val="single" w:sz="6" w:space="0" w:color="auto"/>
              <w:left w:val="nil"/>
              <w:bottom w:val="single" w:sz="6" w:space="0" w:color="auto"/>
              <w:right w:val="nil"/>
            </w:tcBorders>
          </w:tcPr>
          <w:p w14:paraId="54440FE5"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(8)</w:t>
            </w:r>
          </w:p>
        </w:tc>
      </w:tr>
      <w:tr w:rsidR="00DE52A8" w:rsidRPr="00461D3B" w14:paraId="2F4F59BF" w14:textId="77777777" w:rsidTr="009B09A3">
        <w:trPr>
          <w:jc w:val="center"/>
        </w:trPr>
        <w:tc>
          <w:tcPr>
            <w:tcW w:w="1195" w:type="pct"/>
            <w:tcBorders>
              <w:top w:val="single" w:sz="6" w:space="0" w:color="auto"/>
              <w:left w:val="nil"/>
              <w:bottom w:val="nil"/>
              <w:right w:val="nil"/>
            </w:tcBorders>
          </w:tcPr>
          <w:p w14:paraId="17E40A40"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p>
        </w:tc>
        <w:tc>
          <w:tcPr>
            <w:tcW w:w="423" w:type="pct"/>
            <w:tcBorders>
              <w:top w:val="single" w:sz="6" w:space="0" w:color="auto"/>
              <w:left w:val="nil"/>
              <w:bottom w:val="nil"/>
              <w:right w:val="nil"/>
            </w:tcBorders>
          </w:tcPr>
          <w:p w14:paraId="2269F1D3"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single" w:sz="6" w:space="0" w:color="auto"/>
              <w:left w:val="nil"/>
              <w:bottom w:val="nil"/>
              <w:right w:val="nil"/>
            </w:tcBorders>
          </w:tcPr>
          <w:p w14:paraId="556EE472"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single" w:sz="6" w:space="0" w:color="auto"/>
              <w:left w:val="nil"/>
              <w:bottom w:val="nil"/>
              <w:right w:val="nil"/>
            </w:tcBorders>
          </w:tcPr>
          <w:p w14:paraId="1A3EDD7B"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61" w:type="pct"/>
            <w:tcBorders>
              <w:top w:val="single" w:sz="6" w:space="0" w:color="auto"/>
              <w:left w:val="nil"/>
              <w:bottom w:val="nil"/>
              <w:right w:val="nil"/>
            </w:tcBorders>
          </w:tcPr>
          <w:p w14:paraId="78C37905"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single" w:sz="6" w:space="0" w:color="auto"/>
              <w:left w:val="nil"/>
              <w:bottom w:val="nil"/>
              <w:right w:val="nil"/>
            </w:tcBorders>
          </w:tcPr>
          <w:p w14:paraId="7E069DA3"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single" w:sz="6" w:space="0" w:color="auto"/>
              <w:left w:val="nil"/>
              <w:bottom w:val="nil"/>
              <w:right w:val="nil"/>
            </w:tcBorders>
          </w:tcPr>
          <w:p w14:paraId="5EDA7AE9"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single" w:sz="6" w:space="0" w:color="auto"/>
              <w:left w:val="nil"/>
              <w:bottom w:val="nil"/>
              <w:right w:val="nil"/>
            </w:tcBorders>
          </w:tcPr>
          <w:p w14:paraId="7EAA30DB"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single" w:sz="6" w:space="0" w:color="auto"/>
              <w:left w:val="nil"/>
              <w:bottom w:val="nil"/>
              <w:right w:val="nil"/>
            </w:tcBorders>
          </w:tcPr>
          <w:p w14:paraId="62213732"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r>
      <w:tr w:rsidR="00DE52A8" w:rsidRPr="00461D3B" w14:paraId="579B93CC" w14:textId="77777777" w:rsidTr="009B09A3">
        <w:trPr>
          <w:jc w:val="center"/>
        </w:trPr>
        <w:tc>
          <w:tcPr>
            <w:tcW w:w="1195" w:type="pct"/>
            <w:tcBorders>
              <w:top w:val="nil"/>
              <w:left w:val="nil"/>
              <w:bottom w:val="nil"/>
              <w:right w:val="nil"/>
            </w:tcBorders>
          </w:tcPr>
          <w:p w14:paraId="1232D366"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proofErr w:type="spellStart"/>
            <w:r w:rsidRPr="00461D3B">
              <w:rPr>
                <w:rFonts w:ascii="Times New Roman" w:hAnsi="Times New Roman" w:cs="Times New Roman"/>
                <w:sz w:val="20"/>
                <w:szCs w:val="24"/>
              </w:rPr>
              <w:t>ActiveBlock</w:t>
            </w:r>
            <w:proofErr w:type="spellEnd"/>
          </w:p>
        </w:tc>
        <w:tc>
          <w:tcPr>
            <w:tcW w:w="423" w:type="pct"/>
            <w:tcBorders>
              <w:top w:val="nil"/>
              <w:left w:val="nil"/>
              <w:bottom w:val="nil"/>
              <w:right w:val="nil"/>
            </w:tcBorders>
          </w:tcPr>
          <w:p w14:paraId="42E4AFD2"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0.183</w:t>
            </w:r>
          </w:p>
        </w:tc>
        <w:tc>
          <w:tcPr>
            <w:tcW w:w="423" w:type="pct"/>
            <w:tcBorders>
              <w:top w:val="nil"/>
              <w:left w:val="nil"/>
              <w:bottom w:val="nil"/>
              <w:right w:val="nil"/>
            </w:tcBorders>
          </w:tcPr>
          <w:p w14:paraId="5A39D4DE"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77A830B9"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61" w:type="pct"/>
            <w:tcBorders>
              <w:top w:val="nil"/>
              <w:left w:val="nil"/>
              <w:bottom w:val="nil"/>
              <w:right w:val="nil"/>
            </w:tcBorders>
          </w:tcPr>
          <w:p w14:paraId="0A620E84"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6ED3813E"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0.794</w:t>
            </w:r>
          </w:p>
        </w:tc>
        <w:tc>
          <w:tcPr>
            <w:tcW w:w="519" w:type="pct"/>
            <w:tcBorders>
              <w:top w:val="nil"/>
              <w:left w:val="nil"/>
              <w:bottom w:val="nil"/>
              <w:right w:val="nil"/>
            </w:tcBorders>
          </w:tcPr>
          <w:p w14:paraId="43121691"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0.190</w:t>
            </w:r>
          </w:p>
        </w:tc>
        <w:tc>
          <w:tcPr>
            <w:tcW w:w="519" w:type="pct"/>
            <w:tcBorders>
              <w:top w:val="nil"/>
              <w:left w:val="nil"/>
              <w:bottom w:val="nil"/>
              <w:right w:val="nil"/>
            </w:tcBorders>
          </w:tcPr>
          <w:p w14:paraId="27F899DC"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073356F4"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-0.707</w:t>
            </w:r>
          </w:p>
        </w:tc>
      </w:tr>
      <w:tr w:rsidR="00DE52A8" w:rsidRPr="00461D3B" w14:paraId="426080CB" w14:textId="77777777" w:rsidTr="009B09A3">
        <w:trPr>
          <w:jc w:val="center"/>
        </w:trPr>
        <w:tc>
          <w:tcPr>
            <w:tcW w:w="1195" w:type="pct"/>
            <w:tcBorders>
              <w:top w:val="nil"/>
              <w:left w:val="nil"/>
              <w:bottom w:val="nil"/>
              <w:right w:val="nil"/>
            </w:tcBorders>
          </w:tcPr>
          <w:p w14:paraId="0681EC0E"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p>
        </w:tc>
        <w:tc>
          <w:tcPr>
            <w:tcW w:w="423" w:type="pct"/>
            <w:tcBorders>
              <w:top w:val="nil"/>
              <w:left w:val="nil"/>
              <w:bottom w:val="nil"/>
              <w:right w:val="nil"/>
            </w:tcBorders>
          </w:tcPr>
          <w:p w14:paraId="41497AA0"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(0.273)</w:t>
            </w:r>
          </w:p>
        </w:tc>
        <w:tc>
          <w:tcPr>
            <w:tcW w:w="423" w:type="pct"/>
            <w:tcBorders>
              <w:top w:val="nil"/>
              <w:left w:val="nil"/>
              <w:bottom w:val="nil"/>
              <w:right w:val="nil"/>
            </w:tcBorders>
          </w:tcPr>
          <w:p w14:paraId="3AF2260A"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76AA2645"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61" w:type="pct"/>
            <w:tcBorders>
              <w:top w:val="nil"/>
              <w:left w:val="nil"/>
              <w:bottom w:val="nil"/>
              <w:right w:val="nil"/>
            </w:tcBorders>
          </w:tcPr>
          <w:p w14:paraId="788B20B2"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0C7241A1"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(1.411)</w:t>
            </w:r>
          </w:p>
        </w:tc>
        <w:tc>
          <w:tcPr>
            <w:tcW w:w="519" w:type="pct"/>
            <w:tcBorders>
              <w:top w:val="nil"/>
              <w:left w:val="nil"/>
              <w:bottom w:val="nil"/>
              <w:right w:val="nil"/>
            </w:tcBorders>
          </w:tcPr>
          <w:p w14:paraId="164C85CC"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(1.401)</w:t>
            </w:r>
          </w:p>
        </w:tc>
        <w:tc>
          <w:tcPr>
            <w:tcW w:w="519" w:type="pct"/>
            <w:tcBorders>
              <w:top w:val="nil"/>
              <w:left w:val="nil"/>
              <w:bottom w:val="nil"/>
              <w:right w:val="nil"/>
            </w:tcBorders>
          </w:tcPr>
          <w:p w14:paraId="10B5A174"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22FF976A"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(1.899)</w:t>
            </w:r>
          </w:p>
        </w:tc>
      </w:tr>
      <w:tr w:rsidR="00DE52A8" w:rsidRPr="00461D3B" w14:paraId="18A99C63" w14:textId="77777777" w:rsidTr="009B09A3">
        <w:trPr>
          <w:jc w:val="center"/>
        </w:trPr>
        <w:tc>
          <w:tcPr>
            <w:tcW w:w="1195" w:type="pct"/>
            <w:tcBorders>
              <w:top w:val="nil"/>
              <w:left w:val="nil"/>
              <w:bottom w:val="nil"/>
              <w:right w:val="nil"/>
            </w:tcBorders>
          </w:tcPr>
          <w:p w14:paraId="0B39C9EF"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proofErr w:type="spellStart"/>
            <w:r w:rsidRPr="00461D3B">
              <w:rPr>
                <w:rFonts w:ascii="Times New Roman" w:hAnsi="Times New Roman" w:cs="Times New Roman"/>
                <w:sz w:val="20"/>
                <w:szCs w:val="24"/>
              </w:rPr>
              <w:t>PassiveBlock</w:t>
            </w:r>
            <w:proofErr w:type="spellEnd"/>
          </w:p>
        </w:tc>
        <w:tc>
          <w:tcPr>
            <w:tcW w:w="423" w:type="pct"/>
            <w:tcBorders>
              <w:top w:val="nil"/>
              <w:left w:val="nil"/>
              <w:bottom w:val="nil"/>
              <w:right w:val="nil"/>
            </w:tcBorders>
          </w:tcPr>
          <w:p w14:paraId="430495AA"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21EE6B4F"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-0.198</w:t>
            </w:r>
          </w:p>
        </w:tc>
        <w:tc>
          <w:tcPr>
            <w:tcW w:w="423" w:type="pct"/>
            <w:tcBorders>
              <w:top w:val="nil"/>
              <w:left w:val="nil"/>
              <w:bottom w:val="nil"/>
              <w:right w:val="nil"/>
            </w:tcBorders>
          </w:tcPr>
          <w:p w14:paraId="5297734A"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61" w:type="pct"/>
            <w:tcBorders>
              <w:top w:val="nil"/>
              <w:left w:val="nil"/>
              <w:bottom w:val="nil"/>
              <w:right w:val="nil"/>
            </w:tcBorders>
          </w:tcPr>
          <w:p w14:paraId="172EC390"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78113171"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-0.084</w:t>
            </w:r>
          </w:p>
        </w:tc>
        <w:tc>
          <w:tcPr>
            <w:tcW w:w="519" w:type="pct"/>
            <w:tcBorders>
              <w:top w:val="nil"/>
              <w:left w:val="nil"/>
              <w:bottom w:val="nil"/>
              <w:right w:val="nil"/>
            </w:tcBorders>
          </w:tcPr>
          <w:p w14:paraId="46A2BCDA"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0.041</w:t>
            </w:r>
          </w:p>
        </w:tc>
        <w:tc>
          <w:tcPr>
            <w:tcW w:w="519" w:type="pct"/>
            <w:tcBorders>
              <w:top w:val="nil"/>
              <w:left w:val="nil"/>
              <w:bottom w:val="nil"/>
              <w:right w:val="nil"/>
            </w:tcBorders>
          </w:tcPr>
          <w:p w14:paraId="6C33DA53"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0.041</w:t>
            </w:r>
          </w:p>
        </w:tc>
        <w:tc>
          <w:tcPr>
            <w:tcW w:w="519" w:type="pct"/>
            <w:tcBorders>
              <w:top w:val="nil"/>
              <w:left w:val="nil"/>
              <w:bottom w:val="nil"/>
              <w:right w:val="nil"/>
            </w:tcBorders>
          </w:tcPr>
          <w:p w14:paraId="1C4B87E8"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0.042</w:t>
            </w:r>
          </w:p>
        </w:tc>
      </w:tr>
      <w:tr w:rsidR="00DE52A8" w:rsidRPr="00461D3B" w14:paraId="7DEEAA4B" w14:textId="77777777" w:rsidTr="009B09A3">
        <w:trPr>
          <w:jc w:val="center"/>
        </w:trPr>
        <w:tc>
          <w:tcPr>
            <w:tcW w:w="1195" w:type="pct"/>
            <w:tcBorders>
              <w:top w:val="nil"/>
              <w:left w:val="nil"/>
              <w:bottom w:val="nil"/>
              <w:right w:val="nil"/>
            </w:tcBorders>
          </w:tcPr>
          <w:p w14:paraId="3DE131EB"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p>
        </w:tc>
        <w:tc>
          <w:tcPr>
            <w:tcW w:w="423" w:type="pct"/>
            <w:tcBorders>
              <w:top w:val="nil"/>
              <w:left w:val="nil"/>
              <w:bottom w:val="nil"/>
              <w:right w:val="nil"/>
            </w:tcBorders>
          </w:tcPr>
          <w:p w14:paraId="0344E7CE"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057D7EBD"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(0.201)</w:t>
            </w:r>
          </w:p>
        </w:tc>
        <w:tc>
          <w:tcPr>
            <w:tcW w:w="423" w:type="pct"/>
            <w:tcBorders>
              <w:top w:val="nil"/>
              <w:left w:val="nil"/>
              <w:bottom w:val="nil"/>
              <w:right w:val="nil"/>
            </w:tcBorders>
          </w:tcPr>
          <w:p w14:paraId="3A73D548"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61" w:type="pct"/>
            <w:tcBorders>
              <w:top w:val="nil"/>
              <w:left w:val="nil"/>
              <w:bottom w:val="nil"/>
              <w:right w:val="nil"/>
            </w:tcBorders>
          </w:tcPr>
          <w:p w14:paraId="08C9F39C"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46936C4E"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(0.181)</w:t>
            </w:r>
          </w:p>
        </w:tc>
        <w:tc>
          <w:tcPr>
            <w:tcW w:w="519" w:type="pct"/>
            <w:tcBorders>
              <w:top w:val="nil"/>
              <w:left w:val="nil"/>
              <w:bottom w:val="nil"/>
              <w:right w:val="nil"/>
            </w:tcBorders>
          </w:tcPr>
          <w:p w14:paraId="20AED4DD"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(0.171)</w:t>
            </w:r>
          </w:p>
        </w:tc>
        <w:tc>
          <w:tcPr>
            <w:tcW w:w="519" w:type="pct"/>
            <w:tcBorders>
              <w:top w:val="nil"/>
              <w:left w:val="nil"/>
              <w:bottom w:val="nil"/>
              <w:right w:val="nil"/>
            </w:tcBorders>
          </w:tcPr>
          <w:p w14:paraId="6E28E4AB"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(0.171)</w:t>
            </w:r>
          </w:p>
        </w:tc>
        <w:tc>
          <w:tcPr>
            <w:tcW w:w="519" w:type="pct"/>
            <w:tcBorders>
              <w:top w:val="nil"/>
              <w:left w:val="nil"/>
              <w:bottom w:val="nil"/>
              <w:right w:val="nil"/>
            </w:tcBorders>
          </w:tcPr>
          <w:p w14:paraId="31D971C7"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(0.175)</w:t>
            </w:r>
          </w:p>
        </w:tc>
      </w:tr>
      <w:tr w:rsidR="00DE52A8" w:rsidRPr="00461D3B" w14:paraId="519A63C5" w14:textId="77777777" w:rsidTr="009B09A3">
        <w:trPr>
          <w:jc w:val="center"/>
        </w:trPr>
        <w:tc>
          <w:tcPr>
            <w:tcW w:w="1195" w:type="pct"/>
            <w:tcBorders>
              <w:top w:val="nil"/>
              <w:left w:val="nil"/>
              <w:bottom w:val="nil"/>
              <w:right w:val="nil"/>
            </w:tcBorders>
          </w:tcPr>
          <w:p w14:paraId="4807F8A1"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proofErr w:type="spellStart"/>
            <w:r w:rsidRPr="00461D3B">
              <w:rPr>
                <w:rFonts w:ascii="Times New Roman" w:hAnsi="Times New Roman" w:cs="Times New Roman"/>
                <w:sz w:val="20"/>
                <w:szCs w:val="24"/>
              </w:rPr>
              <w:t>DirOnlyVote</w:t>
            </w:r>
            <w:proofErr w:type="spellEnd"/>
          </w:p>
        </w:tc>
        <w:tc>
          <w:tcPr>
            <w:tcW w:w="423" w:type="pct"/>
            <w:tcBorders>
              <w:top w:val="nil"/>
              <w:left w:val="nil"/>
              <w:bottom w:val="nil"/>
              <w:right w:val="nil"/>
            </w:tcBorders>
          </w:tcPr>
          <w:p w14:paraId="74DA1C37"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6E79611D"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418F8E65"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0.126</w:t>
            </w:r>
          </w:p>
        </w:tc>
        <w:tc>
          <w:tcPr>
            <w:tcW w:w="461" w:type="pct"/>
            <w:tcBorders>
              <w:top w:val="nil"/>
              <w:left w:val="nil"/>
              <w:bottom w:val="nil"/>
              <w:right w:val="nil"/>
            </w:tcBorders>
          </w:tcPr>
          <w:p w14:paraId="3B569215"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032EFDDC"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-0.312</w:t>
            </w:r>
          </w:p>
        </w:tc>
        <w:tc>
          <w:tcPr>
            <w:tcW w:w="519" w:type="pct"/>
            <w:tcBorders>
              <w:top w:val="nil"/>
              <w:left w:val="nil"/>
              <w:bottom w:val="nil"/>
              <w:right w:val="nil"/>
            </w:tcBorders>
          </w:tcPr>
          <w:p w14:paraId="3CCD8650"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-0.390</w:t>
            </w:r>
          </w:p>
        </w:tc>
        <w:tc>
          <w:tcPr>
            <w:tcW w:w="519" w:type="pct"/>
            <w:tcBorders>
              <w:top w:val="nil"/>
              <w:left w:val="nil"/>
              <w:bottom w:val="nil"/>
              <w:right w:val="nil"/>
            </w:tcBorders>
          </w:tcPr>
          <w:p w14:paraId="33A6770B"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-0.392</w:t>
            </w:r>
          </w:p>
        </w:tc>
        <w:tc>
          <w:tcPr>
            <w:tcW w:w="519" w:type="pct"/>
            <w:tcBorders>
              <w:top w:val="nil"/>
              <w:left w:val="nil"/>
              <w:bottom w:val="nil"/>
              <w:right w:val="nil"/>
            </w:tcBorders>
          </w:tcPr>
          <w:p w14:paraId="1431B285"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-0.309</w:t>
            </w:r>
          </w:p>
        </w:tc>
      </w:tr>
      <w:tr w:rsidR="00DE52A8" w:rsidRPr="00461D3B" w14:paraId="68955410" w14:textId="77777777" w:rsidTr="009B09A3">
        <w:trPr>
          <w:jc w:val="center"/>
        </w:trPr>
        <w:tc>
          <w:tcPr>
            <w:tcW w:w="1195" w:type="pct"/>
            <w:tcBorders>
              <w:top w:val="nil"/>
              <w:left w:val="nil"/>
              <w:bottom w:val="nil"/>
              <w:right w:val="nil"/>
            </w:tcBorders>
          </w:tcPr>
          <w:p w14:paraId="2AF25309"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p>
        </w:tc>
        <w:tc>
          <w:tcPr>
            <w:tcW w:w="423" w:type="pct"/>
            <w:tcBorders>
              <w:top w:val="nil"/>
              <w:left w:val="nil"/>
              <w:bottom w:val="nil"/>
              <w:right w:val="nil"/>
            </w:tcBorders>
          </w:tcPr>
          <w:p w14:paraId="2D684B46"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151C8F74"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03B81283"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(0.352)</w:t>
            </w:r>
          </w:p>
        </w:tc>
        <w:tc>
          <w:tcPr>
            <w:tcW w:w="461" w:type="pct"/>
            <w:tcBorders>
              <w:top w:val="nil"/>
              <w:left w:val="nil"/>
              <w:bottom w:val="nil"/>
              <w:right w:val="nil"/>
            </w:tcBorders>
          </w:tcPr>
          <w:p w14:paraId="47AAD600"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7FE0907E"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(0.341)</w:t>
            </w:r>
          </w:p>
        </w:tc>
        <w:tc>
          <w:tcPr>
            <w:tcW w:w="519" w:type="pct"/>
            <w:tcBorders>
              <w:top w:val="nil"/>
              <w:left w:val="nil"/>
              <w:bottom w:val="nil"/>
              <w:right w:val="nil"/>
            </w:tcBorders>
          </w:tcPr>
          <w:p w14:paraId="65143173"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(0.338)</w:t>
            </w:r>
          </w:p>
        </w:tc>
        <w:tc>
          <w:tcPr>
            <w:tcW w:w="519" w:type="pct"/>
            <w:tcBorders>
              <w:top w:val="nil"/>
              <w:left w:val="nil"/>
              <w:bottom w:val="nil"/>
              <w:right w:val="nil"/>
            </w:tcBorders>
          </w:tcPr>
          <w:p w14:paraId="52B9F666"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(0.328)</w:t>
            </w:r>
          </w:p>
        </w:tc>
        <w:tc>
          <w:tcPr>
            <w:tcW w:w="519" w:type="pct"/>
            <w:tcBorders>
              <w:top w:val="nil"/>
              <w:left w:val="nil"/>
              <w:bottom w:val="nil"/>
              <w:right w:val="nil"/>
            </w:tcBorders>
          </w:tcPr>
          <w:p w14:paraId="432E76EE"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(0.346)</w:t>
            </w:r>
          </w:p>
        </w:tc>
      </w:tr>
      <w:tr w:rsidR="00DE52A8" w:rsidRPr="00461D3B" w14:paraId="5ED3A440" w14:textId="77777777" w:rsidTr="009B09A3">
        <w:trPr>
          <w:jc w:val="center"/>
        </w:trPr>
        <w:tc>
          <w:tcPr>
            <w:tcW w:w="1195" w:type="pct"/>
            <w:tcBorders>
              <w:top w:val="nil"/>
              <w:left w:val="nil"/>
              <w:bottom w:val="nil"/>
              <w:right w:val="nil"/>
            </w:tcBorders>
          </w:tcPr>
          <w:p w14:paraId="43C6CE37"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proofErr w:type="spellStart"/>
            <w:r w:rsidRPr="00461D3B">
              <w:rPr>
                <w:rFonts w:ascii="Times New Roman" w:hAnsi="Times New Roman" w:cs="Times New Roman"/>
                <w:sz w:val="20"/>
                <w:szCs w:val="24"/>
              </w:rPr>
              <w:t>DirOnlyNum</w:t>
            </w:r>
            <w:proofErr w:type="spellEnd"/>
          </w:p>
        </w:tc>
        <w:tc>
          <w:tcPr>
            <w:tcW w:w="423" w:type="pct"/>
            <w:tcBorders>
              <w:top w:val="nil"/>
              <w:left w:val="nil"/>
              <w:bottom w:val="nil"/>
              <w:right w:val="nil"/>
            </w:tcBorders>
          </w:tcPr>
          <w:p w14:paraId="3CE1FD1B"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44B7C894"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5996B273"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61" w:type="pct"/>
            <w:tcBorders>
              <w:top w:val="nil"/>
              <w:left w:val="nil"/>
              <w:bottom w:val="nil"/>
              <w:right w:val="nil"/>
            </w:tcBorders>
          </w:tcPr>
          <w:p w14:paraId="0548DA12"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0.025**</w:t>
            </w:r>
          </w:p>
        </w:tc>
        <w:tc>
          <w:tcPr>
            <w:tcW w:w="519" w:type="pct"/>
            <w:tcBorders>
              <w:top w:val="nil"/>
              <w:left w:val="nil"/>
              <w:bottom w:val="nil"/>
              <w:right w:val="nil"/>
            </w:tcBorders>
          </w:tcPr>
          <w:p w14:paraId="56E2946B"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0.027***</w:t>
            </w:r>
          </w:p>
        </w:tc>
        <w:tc>
          <w:tcPr>
            <w:tcW w:w="519" w:type="pct"/>
            <w:tcBorders>
              <w:top w:val="nil"/>
              <w:left w:val="nil"/>
              <w:bottom w:val="nil"/>
              <w:right w:val="nil"/>
            </w:tcBorders>
          </w:tcPr>
          <w:p w14:paraId="4D64A955"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0.032***</w:t>
            </w:r>
          </w:p>
        </w:tc>
        <w:tc>
          <w:tcPr>
            <w:tcW w:w="519" w:type="pct"/>
            <w:tcBorders>
              <w:top w:val="nil"/>
              <w:left w:val="nil"/>
              <w:bottom w:val="nil"/>
              <w:right w:val="nil"/>
            </w:tcBorders>
          </w:tcPr>
          <w:p w14:paraId="29C10144"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0.032***</w:t>
            </w:r>
          </w:p>
        </w:tc>
        <w:tc>
          <w:tcPr>
            <w:tcW w:w="519" w:type="pct"/>
            <w:tcBorders>
              <w:top w:val="nil"/>
              <w:left w:val="nil"/>
              <w:bottom w:val="nil"/>
              <w:right w:val="nil"/>
            </w:tcBorders>
          </w:tcPr>
          <w:p w14:paraId="6C5A49F1"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r>
      <w:tr w:rsidR="00DE52A8" w:rsidRPr="00461D3B" w14:paraId="7264FF98" w14:textId="77777777" w:rsidTr="009B09A3">
        <w:trPr>
          <w:jc w:val="center"/>
        </w:trPr>
        <w:tc>
          <w:tcPr>
            <w:tcW w:w="1195" w:type="pct"/>
            <w:tcBorders>
              <w:top w:val="nil"/>
              <w:left w:val="nil"/>
              <w:bottom w:val="nil"/>
              <w:right w:val="nil"/>
            </w:tcBorders>
          </w:tcPr>
          <w:p w14:paraId="78511545"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p>
        </w:tc>
        <w:tc>
          <w:tcPr>
            <w:tcW w:w="423" w:type="pct"/>
            <w:tcBorders>
              <w:top w:val="nil"/>
              <w:left w:val="nil"/>
              <w:bottom w:val="nil"/>
              <w:right w:val="nil"/>
            </w:tcBorders>
          </w:tcPr>
          <w:p w14:paraId="59A9F917"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68C5DF50"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0A14F8DA"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61" w:type="pct"/>
            <w:tcBorders>
              <w:top w:val="nil"/>
              <w:left w:val="nil"/>
              <w:bottom w:val="nil"/>
              <w:right w:val="nil"/>
            </w:tcBorders>
          </w:tcPr>
          <w:p w14:paraId="619B6F2D"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(0.012)</w:t>
            </w:r>
          </w:p>
        </w:tc>
        <w:tc>
          <w:tcPr>
            <w:tcW w:w="519" w:type="pct"/>
            <w:tcBorders>
              <w:top w:val="nil"/>
              <w:left w:val="nil"/>
              <w:bottom w:val="nil"/>
              <w:right w:val="nil"/>
            </w:tcBorders>
          </w:tcPr>
          <w:p w14:paraId="23050317"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(0.009)</w:t>
            </w:r>
          </w:p>
        </w:tc>
        <w:tc>
          <w:tcPr>
            <w:tcW w:w="519" w:type="pct"/>
            <w:tcBorders>
              <w:top w:val="nil"/>
              <w:left w:val="nil"/>
              <w:bottom w:val="nil"/>
              <w:right w:val="nil"/>
            </w:tcBorders>
          </w:tcPr>
          <w:p w14:paraId="125458DC"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(0.011)</w:t>
            </w:r>
          </w:p>
        </w:tc>
        <w:tc>
          <w:tcPr>
            <w:tcW w:w="519" w:type="pct"/>
            <w:tcBorders>
              <w:top w:val="nil"/>
              <w:left w:val="nil"/>
              <w:bottom w:val="nil"/>
              <w:right w:val="nil"/>
            </w:tcBorders>
          </w:tcPr>
          <w:p w14:paraId="48E198AF"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(0.011)</w:t>
            </w:r>
          </w:p>
        </w:tc>
        <w:tc>
          <w:tcPr>
            <w:tcW w:w="519" w:type="pct"/>
            <w:tcBorders>
              <w:top w:val="nil"/>
              <w:left w:val="nil"/>
              <w:bottom w:val="nil"/>
              <w:right w:val="nil"/>
            </w:tcBorders>
          </w:tcPr>
          <w:p w14:paraId="11AB4439"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r>
      <w:tr w:rsidR="00DE52A8" w:rsidRPr="00461D3B" w14:paraId="00195F04" w14:textId="77777777" w:rsidTr="009B09A3">
        <w:trPr>
          <w:jc w:val="center"/>
        </w:trPr>
        <w:tc>
          <w:tcPr>
            <w:tcW w:w="1195" w:type="pct"/>
            <w:tcBorders>
              <w:top w:val="nil"/>
              <w:left w:val="nil"/>
              <w:bottom w:val="nil"/>
              <w:right w:val="nil"/>
            </w:tcBorders>
          </w:tcPr>
          <w:p w14:paraId="27AE4F99"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proofErr w:type="spellStart"/>
            <w:r w:rsidRPr="00461D3B">
              <w:rPr>
                <w:rFonts w:ascii="Times New Roman" w:hAnsi="Times New Roman" w:cs="Times New Roman"/>
                <w:sz w:val="20"/>
                <w:szCs w:val="24"/>
              </w:rPr>
              <w:t>ActiveCEOBlock</w:t>
            </w:r>
            <w:proofErr w:type="spellEnd"/>
          </w:p>
        </w:tc>
        <w:tc>
          <w:tcPr>
            <w:tcW w:w="423" w:type="pct"/>
            <w:tcBorders>
              <w:top w:val="nil"/>
              <w:left w:val="nil"/>
              <w:bottom w:val="nil"/>
              <w:right w:val="nil"/>
            </w:tcBorders>
          </w:tcPr>
          <w:p w14:paraId="65307147"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0E76A2B0"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784BF102"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61" w:type="pct"/>
            <w:tcBorders>
              <w:top w:val="nil"/>
              <w:left w:val="nil"/>
              <w:bottom w:val="nil"/>
              <w:right w:val="nil"/>
            </w:tcBorders>
          </w:tcPr>
          <w:p w14:paraId="1469C6FA"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390311DA"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45D0B867"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733F29F2"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0.246</w:t>
            </w:r>
          </w:p>
        </w:tc>
        <w:tc>
          <w:tcPr>
            <w:tcW w:w="519" w:type="pct"/>
            <w:tcBorders>
              <w:top w:val="nil"/>
              <w:left w:val="nil"/>
              <w:bottom w:val="nil"/>
              <w:right w:val="nil"/>
            </w:tcBorders>
          </w:tcPr>
          <w:p w14:paraId="593923A5"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r>
      <w:tr w:rsidR="00DE52A8" w:rsidRPr="00461D3B" w14:paraId="7D0E7E66" w14:textId="77777777" w:rsidTr="009B09A3">
        <w:trPr>
          <w:jc w:val="center"/>
        </w:trPr>
        <w:tc>
          <w:tcPr>
            <w:tcW w:w="1195" w:type="pct"/>
            <w:tcBorders>
              <w:top w:val="nil"/>
              <w:left w:val="nil"/>
              <w:bottom w:val="nil"/>
              <w:right w:val="nil"/>
            </w:tcBorders>
          </w:tcPr>
          <w:p w14:paraId="685EC968"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p>
        </w:tc>
        <w:tc>
          <w:tcPr>
            <w:tcW w:w="423" w:type="pct"/>
            <w:tcBorders>
              <w:top w:val="nil"/>
              <w:left w:val="nil"/>
              <w:bottom w:val="nil"/>
              <w:right w:val="nil"/>
            </w:tcBorders>
          </w:tcPr>
          <w:p w14:paraId="17619A63"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166C95E5"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5EBF2212"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61" w:type="pct"/>
            <w:tcBorders>
              <w:top w:val="nil"/>
              <w:left w:val="nil"/>
              <w:bottom w:val="nil"/>
              <w:right w:val="nil"/>
            </w:tcBorders>
          </w:tcPr>
          <w:p w14:paraId="658AE900"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1D198463"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76F88634"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37417A98"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(2.614)</w:t>
            </w:r>
          </w:p>
        </w:tc>
        <w:tc>
          <w:tcPr>
            <w:tcW w:w="519" w:type="pct"/>
            <w:tcBorders>
              <w:top w:val="nil"/>
              <w:left w:val="nil"/>
              <w:bottom w:val="nil"/>
              <w:right w:val="nil"/>
            </w:tcBorders>
          </w:tcPr>
          <w:p w14:paraId="6608DCE1"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r>
      <w:tr w:rsidR="00DE52A8" w:rsidRPr="00461D3B" w14:paraId="0C3A0169" w14:textId="77777777" w:rsidTr="009B09A3">
        <w:trPr>
          <w:jc w:val="center"/>
        </w:trPr>
        <w:tc>
          <w:tcPr>
            <w:tcW w:w="1195" w:type="pct"/>
            <w:tcBorders>
              <w:top w:val="nil"/>
              <w:left w:val="nil"/>
              <w:bottom w:val="nil"/>
              <w:right w:val="nil"/>
            </w:tcBorders>
          </w:tcPr>
          <w:p w14:paraId="30140704"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proofErr w:type="spellStart"/>
            <w:r w:rsidRPr="00461D3B">
              <w:rPr>
                <w:rFonts w:ascii="Times New Roman" w:hAnsi="Times New Roman" w:cs="Times New Roman"/>
                <w:sz w:val="20"/>
                <w:szCs w:val="24"/>
              </w:rPr>
              <w:t>ActiveNotCEOBlock</w:t>
            </w:r>
            <w:proofErr w:type="spellEnd"/>
          </w:p>
        </w:tc>
        <w:tc>
          <w:tcPr>
            <w:tcW w:w="423" w:type="pct"/>
            <w:tcBorders>
              <w:top w:val="nil"/>
              <w:left w:val="nil"/>
              <w:bottom w:val="nil"/>
              <w:right w:val="nil"/>
            </w:tcBorders>
          </w:tcPr>
          <w:p w14:paraId="0B5DF6F4"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2ED7A198"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215F0B7A"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61" w:type="pct"/>
            <w:tcBorders>
              <w:top w:val="nil"/>
              <w:left w:val="nil"/>
              <w:bottom w:val="nil"/>
              <w:right w:val="nil"/>
            </w:tcBorders>
          </w:tcPr>
          <w:p w14:paraId="56481731"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26AEA4C5"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14F3D79C"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69A33E6E"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0.410</w:t>
            </w:r>
          </w:p>
        </w:tc>
        <w:tc>
          <w:tcPr>
            <w:tcW w:w="519" w:type="pct"/>
            <w:tcBorders>
              <w:top w:val="nil"/>
              <w:left w:val="nil"/>
              <w:bottom w:val="nil"/>
              <w:right w:val="nil"/>
            </w:tcBorders>
          </w:tcPr>
          <w:p w14:paraId="369EFC18"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r>
      <w:tr w:rsidR="00DE52A8" w:rsidRPr="00461D3B" w14:paraId="1C95A6BA" w14:textId="77777777" w:rsidTr="009B09A3">
        <w:trPr>
          <w:jc w:val="center"/>
        </w:trPr>
        <w:tc>
          <w:tcPr>
            <w:tcW w:w="1195" w:type="pct"/>
            <w:tcBorders>
              <w:top w:val="nil"/>
              <w:left w:val="nil"/>
              <w:bottom w:val="nil"/>
              <w:right w:val="nil"/>
            </w:tcBorders>
          </w:tcPr>
          <w:p w14:paraId="2854C0B5"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p>
        </w:tc>
        <w:tc>
          <w:tcPr>
            <w:tcW w:w="423" w:type="pct"/>
            <w:tcBorders>
              <w:top w:val="nil"/>
              <w:left w:val="nil"/>
              <w:bottom w:val="nil"/>
              <w:right w:val="nil"/>
            </w:tcBorders>
          </w:tcPr>
          <w:p w14:paraId="5671B5FF"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635FD419"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6E58A277"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61" w:type="pct"/>
            <w:tcBorders>
              <w:top w:val="nil"/>
              <w:left w:val="nil"/>
              <w:bottom w:val="nil"/>
              <w:right w:val="nil"/>
            </w:tcBorders>
          </w:tcPr>
          <w:p w14:paraId="595D91D6"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75B09A14"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1313DB38"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7BCDA0AC"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(1.392)</w:t>
            </w:r>
          </w:p>
        </w:tc>
        <w:tc>
          <w:tcPr>
            <w:tcW w:w="519" w:type="pct"/>
            <w:tcBorders>
              <w:top w:val="nil"/>
              <w:left w:val="nil"/>
              <w:bottom w:val="nil"/>
              <w:right w:val="nil"/>
            </w:tcBorders>
          </w:tcPr>
          <w:p w14:paraId="1A99E291"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r>
      <w:tr w:rsidR="00DE52A8" w:rsidRPr="00461D3B" w14:paraId="29C5BC6F" w14:textId="77777777" w:rsidTr="009B09A3">
        <w:trPr>
          <w:jc w:val="center"/>
        </w:trPr>
        <w:tc>
          <w:tcPr>
            <w:tcW w:w="1195" w:type="pct"/>
            <w:tcBorders>
              <w:top w:val="nil"/>
              <w:left w:val="nil"/>
              <w:bottom w:val="nil"/>
              <w:right w:val="nil"/>
            </w:tcBorders>
          </w:tcPr>
          <w:p w14:paraId="3429DD13"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proofErr w:type="spellStart"/>
            <w:r w:rsidRPr="00461D3B">
              <w:rPr>
                <w:rFonts w:ascii="Times New Roman" w:hAnsi="Times New Roman" w:cs="Times New Roman"/>
                <w:sz w:val="20"/>
                <w:szCs w:val="24"/>
              </w:rPr>
              <w:t>ActiveCEOBlockSq</w:t>
            </w:r>
            <w:proofErr w:type="spellEnd"/>
          </w:p>
        </w:tc>
        <w:tc>
          <w:tcPr>
            <w:tcW w:w="423" w:type="pct"/>
            <w:tcBorders>
              <w:top w:val="nil"/>
              <w:left w:val="nil"/>
              <w:bottom w:val="nil"/>
              <w:right w:val="nil"/>
            </w:tcBorders>
          </w:tcPr>
          <w:p w14:paraId="451301E3"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053C2F18"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70E76616"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61" w:type="pct"/>
            <w:tcBorders>
              <w:top w:val="nil"/>
              <w:left w:val="nil"/>
              <w:bottom w:val="nil"/>
              <w:right w:val="nil"/>
            </w:tcBorders>
          </w:tcPr>
          <w:p w14:paraId="784446EF"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6E624312"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4AB3FA4E"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75966A69"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-4.590</w:t>
            </w:r>
          </w:p>
        </w:tc>
        <w:tc>
          <w:tcPr>
            <w:tcW w:w="519" w:type="pct"/>
            <w:tcBorders>
              <w:top w:val="nil"/>
              <w:left w:val="nil"/>
              <w:bottom w:val="nil"/>
              <w:right w:val="nil"/>
            </w:tcBorders>
          </w:tcPr>
          <w:p w14:paraId="267D2373"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r>
      <w:tr w:rsidR="00DE52A8" w:rsidRPr="00461D3B" w14:paraId="6B823296" w14:textId="77777777" w:rsidTr="009B09A3">
        <w:trPr>
          <w:jc w:val="center"/>
        </w:trPr>
        <w:tc>
          <w:tcPr>
            <w:tcW w:w="1195" w:type="pct"/>
            <w:tcBorders>
              <w:top w:val="nil"/>
              <w:left w:val="nil"/>
              <w:bottom w:val="nil"/>
              <w:right w:val="nil"/>
            </w:tcBorders>
          </w:tcPr>
          <w:p w14:paraId="21DAB702"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p>
        </w:tc>
        <w:tc>
          <w:tcPr>
            <w:tcW w:w="423" w:type="pct"/>
            <w:tcBorders>
              <w:top w:val="nil"/>
              <w:left w:val="nil"/>
              <w:bottom w:val="nil"/>
              <w:right w:val="nil"/>
            </w:tcBorders>
          </w:tcPr>
          <w:p w14:paraId="5EAB828B"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74BBFEE3"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6B2E35FC"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61" w:type="pct"/>
            <w:tcBorders>
              <w:top w:val="nil"/>
              <w:left w:val="nil"/>
              <w:bottom w:val="nil"/>
              <w:right w:val="nil"/>
            </w:tcBorders>
          </w:tcPr>
          <w:p w14:paraId="66D9F78F"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52FB2242"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075E1ABE"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4034998E"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(5.333)</w:t>
            </w:r>
          </w:p>
        </w:tc>
        <w:tc>
          <w:tcPr>
            <w:tcW w:w="519" w:type="pct"/>
            <w:tcBorders>
              <w:top w:val="nil"/>
              <w:left w:val="nil"/>
              <w:bottom w:val="nil"/>
              <w:right w:val="nil"/>
            </w:tcBorders>
          </w:tcPr>
          <w:p w14:paraId="3CF3AEB5"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r>
      <w:tr w:rsidR="00DE52A8" w:rsidRPr="00461D3B" w14:paraId="506DF3A1" w14:textId="77777777" w:rsidTr="009B09A3">
        <w:trPr>
          <w:jc w:val="center"/>
        </w:trPr>
        <w:tc>
          <w:tcPr>
            <w:tcW w:w="1195" w:type="pct"/>
            <w:tcBorders>
              <w:top w:val="nil"/>
              <w:left w:val="nil"/>
              <w:bottom w:val="nil"/>
              <w:right w:val="nil"/>
            </w:tcBorders>
          </w:tcPr>
          <w:p w14:paraId="7CDBA6B7"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proofErr w:type="spellStart"/>
            <w:r w:rsidRPr="00461D3B">
              <w:rPr>
                <w:rFonts w:ascii="Times New Roman" w:hAnsi="Times New Roman" w:cs="Times New Roman"/>
                <w:sz w:val="20"/>
                <w:szCs w:val="24"/>
              </w:rPr>
              <w:t>ActiveNotCEOBlockSq</w:t>
            </w:r>
            <w:proofErr w:type="spellEnd"/>
          </w:p>
        </w:tc>
        <w:tc>
          <w:tcPr>
            <w:tcW w:w="423" w:type="pct"/>
            <w:tcBorders>
              <w:top w:val="nil"/>
              <w:left w:val="nil"/>
              <w:bottom w:val="nil"/>
              <w:right w:val="nil"/>
            </w:tcBorders>
          </w:tcPr>
          <w:p w14:paraId="1197AED9"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031B71C2"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4EE7D86C"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61" w:type="pct"/>
            <w:tcBorders>
              <w:top w:val="nil"/>
              <w:left w:val="nil"/>
              <w:bottom w:val="nil"/>
              <w:right w:val="nil"/>
            </w:tcBorders>
          </w:tcPr>
          <w:p w14:paraId="2F6682E0"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0AB79B7A"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40D45177"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2C461A46"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-4.480</w:t>
            </w:r>
          </w:p>
        </w:tc>
        <w:tc>
          <w:tcPr>
            <w:tcW w:w="519" w:type="pct"/>
            <w:tcBorders>
              <w:top w:val="nil"/>
              <w:left w:val="nil"/>
              <w:bottom w:val="nil"/>
              <w:right w:val="nil"/>
            </w:tcBorders>
          </w:tcPr>
          <w:p w14:paraId="186AB351"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r>
      <w:tr w:rsidR="00DE52A8" w:rsidRPr="00461D3B" w14:paraId="70F4B7A4" w14:textId="77777777" w:rsidTr="009B09A3">
        <w:trPr>
          <w:jc w:val="center"/>
        </w:trPr>
        <w:tc>
          <w:tcPr>
            <w:tcW w:w="1195" w:type="pct"/>
            <w:tcBorders>
              <w:top w:val="nil"/>
              <w:left w:val="nil"/>
              <w:bottom w:val="nil"/>
              <w:right w:val="nil"/>
            </w:tcBorders>
          </w:tcPr>
          <w:p w14:paraId="25285316"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p>
        </w:tc>
        <w:tc>
          <w:tcPr>
            <w:tcW w:w="423" w:type="pct"/>
            <w:tcBorders>
              <w:top w:val="nil"/>
              <w:left w:val="nil"/>
              <w:bottom w:val="nil"/>
              <w:right w:val="nil"/>
            </w:tcBorders>
          </w:tcPr>
          <w:p w14:paraId="1708468A"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3386E3EA"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58E2624C"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61" w:type="pct"/>
            <w:tcBorders>
              <w:top w:val="nil"/>
              <w:left w:val="nil"/>
              <w:bottom w:val="nil"/>
              <w:right w:val="nil"/>
            </w:tcBorders>
          </w:tcPr>
          <w:p w14:paraId="7FE1D2B9"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155E109A"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54AF8E21"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6DEC6BF1"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(3.385)</w:t>
            </w:r>
          </w:p>
        </w:tc>
        <w:tc>
          <w:tcPr>
            <w:tcW w:w="519" w:type="pct"/>
            <w:tcBorders>
              <w:top w:val="nil"/>
              <w:left w:val="nil"/>
              <w:bottom w:val="nil"/>
              <w:right w:val="nil"/>
            </w:tcBorders>
          </w:tcPr>
          <w:p w14:paraId="21F5E23B"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r>
      <w:tr w:rsidR="00DE52A8" w:rsidRPr="00461D3B" w14:paraId="62B82C1C" w14:textId="77777777" w:rsidTr="009B09A3">
        <w:trPr>
          <w:jc w:val="center"/>
        </w:trPr>
        <w:tc>
          <w:tcPr>
            <w:tcW w:w="1195" w:type="pct"/>
            <w:tcBorders>
              <w:top w:val="nil"/>
              <w:left w:val="nil"/>
              <w:bottom w:val="nil"/>
              <w:right w:val="nil"/>
            </w:tcBorders>
          </w:tcPr>
          <w:p w14:paraId="7735EFFB"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proofErr w:type="spellStart"/>
            <w:r w:rsidRPr="00461D3B">
              <w:rPr>
                <w:rFonts w:ascii="Times New Roman" w:hAnsi="Times New Roman" w:cs="Times New Roman"/>
                <w:sz w:val="20"/>
                <w:szCs w:val="24"/>
              </w:rPr>
              <w:t>NumDir</w:t>
            </w:r>
            <w:proofErr w:type="spellEnd"/>
          </w:p>
        </w:tc>
        <w:tc>
          <w:tcPr>
            <w:tcW w:w="423" w:type="pct"/>
            <w:tcBorders>
              <w:top w:val="nil"/>
              <w:left w:val="nil"/>
              <w:bottom w:val="nil"/>
              <w:right w:val="nil"/>
            </w:tcBorders>
          </w:tcPr>
          <w:p w14:paraId="6B44757B"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3C5BCEEB"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291DE21E"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61" w:type="pct"/>
            <w:tcBorders>
              <w:top w:val="nil"/>
              <w:left w:val="nil"/>
              <w:bottom w:val="nil"/>
              <w:right w:val="nil"/>
            </w:tcBorders>
          </w:tcPr>
          <w:p w14:paraId="7A785D14"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7697D3B4"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39A1A1F1"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08CE76A4"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73AA2E1E"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0.032***</w:t>
            </w:r>
          </w:p>
        </w:tc>
      </w:tr>
      <w:tr w:rsidR="00DE52A8" w:rsidRPr="00461D3B" w14:paraId="15D2D451" w14:textId="77777777" w:rsidTr="009B09A3">
        <w:trPr>
          <w:jc w:val="center"/>
        </w:trPr>
        <w:tc>
          <w:tcPr>
            <w:tcW w:w="1195" w:type="pct"/>
            <w:tcBorders>
              <w:top w:val="nil"/>
              <w:left w:val="nil"/>
              <w:bottom w:val="nil"/>
              <w:right w:val="nil"/>
            </w:tcBorders>
          </w:tcPr>
          <w:p w14:paraId="4E8107B6"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p>
        </w:tc>
        <w:tc>
          <w:tcPr>
            <w:tcW w:w="423" w:type="pct"/>
            <w:tcBorders>
              <w:top w:val="nil"/>
              <w:left w:val="nil"/>
              <w:bottom w:val="nil"/>
              <w:right w:val="nil"/>
            </w:tcBorders>
          </w:tcPr>
          <w:p w14:paraId="4711AD47"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0C3166AC"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5E3C7AD9"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61" w:type="pct"/>
            <w:tcBorders>
              <w:top w:val="nil"/>
              <w:left w:val="nil"/>
              <w:bottom w:val="nil"/>
              <w:right w:val="nil"/>
            </w:tcBorders>
          </w:tcPr>
          <w:p w14:paraId="5141B0AC"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60238828"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4E2B3FEC"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6C400EF5"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708ABF1E"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(0.011)</w:t>
            </w:r>
          </w:p>
        </w:tc>
      </w:tr>
      <w:tr w:rsidR="00DE52A8" w:rsidRPr="00461D3B" w14:paraId="492488D9" w14:textId="77777777" w:rsidTr="009B09A3">
        <w:trPr>
          <w:jc w:val="center"/>
        </w:trPr>
        <w:tc>
          <w:tcPr>
            <w:tcW w:w="1195" w:type="pct"/>
            <w:tcBorders>
              <w:top w:val="nil"/>
              <w:left w:val="nil"/>
              <w:bottom w:val="nil"/>
              <w:right w:val="nil"/>
            </w:tcBorders>
          </w:tcPr>
          <w:p w14:paraId="5427E8FD"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proofErr w:type="spellStart"/>
            <w:r w:rsidRPr="00461D3B">
              <w:rPr>
                <w:rFonts w:ascii="Times New Roman" w:hAnsi="Times New Roman" w:cs="Times New Roman"/>
                <w:sz w:val="20"/>
                <w:szCs w:val="24"/>
              </w:rPr>
              <w:t>PropDirectorsBlock</w:t>
            </w:r>
            <w:proofErr w:type="spellEnd"/>
          </w:p>
        </w:tc>
        <w:tc>
          <w:tcPr>
            <w:tcW w:w="423" w:type="pct"/>
            <w:tcBorders>
              <w:top w:val="nil"/>
              <w:left w:val="nil"/>
              <w:bottom w:val="nil"/>
              <w:right w:val="nil"/>
            </w:tcBorders>
          </w:tcPr>
          <w:p w14:paraId="1A220947"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26CABAB1"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4A68E03B"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61" w:type="pct"/>
            <w:tcBorders>
              <w:top w:val="nil"/>
              <w:left w:val="nil"/>
              <w:bottom w:val="nil"/>
              <w:right w:val="nil"/>
            </w:tcBorders>
          </w:tcPr>
          <w:p w14:paraId="346F1FA9"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261E6346"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76D335D7"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1FC568E7"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735619B1"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0.373</w:t>
            </w:r>
          </w:p>
        </w:tc>
      </w:tr>
      <w:tr w:rsidR="00DE52A8" w:rsidRPr="00461D3B" w14:paraId="752F5D1B" w14:textId="77777777" w:rsidTr="009B09A3">
        <w:trPr>
          <w:jc w:val="center"/>
        </w:trPr>
        <w:tc>
          <w:tcPr>
            <w:tcW w:w="1195" w:type="pct"/>
            <w:tcBorders>
              <w:top w:val="nil"/>
              <w:left w:val="nil"/>
              <w:bottom w:val="nil"/>
              <w:right w:val="nil"/>
            </w:tcBorders>
          </w:tcPr>
          <w:p w14:paraId="19A2B5BD"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p>
        </w:tc>
        <w:tc>
          <w:tcPr>
            <w:tcW w:w="423" w:type="pct"/>
            <w:tcBorders>
              <w:top w:val="nil"/>
              <w:left w:val="nil"/>
              <w:bottom w:val="nil"/>
              <w:right w:val="nil"/>
            </w:tcBorders>
          </w:tcPr>
          <w:p w14:paraId="1222E363"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5F7A0AA1"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67F6AF22"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61" w:type="pct"/>
            <w:tcBorders>
              <w:top w:val="nil"/>
              <w:left w:val="nil"/>
              <w:bottom w:val="nil"/>
              <w:right w:val="nil"/>
            </w:tcBorders>
          </w:tcPr>
          <w:p w14:paraId="7DA993B9"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6D952162"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0D2E8C23"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4DC2E4F8"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48D6D828"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(0.506)</w:t>
            </w:r>
          </w:p>
        </w:tc>
      </w:tr>
      <w:tr w:rsidR="00DE52A8" w:rsidRPr="00461D3B" w14:paraId="483CCCC0" w14:textId="77777777" w:rsidTr="009B09A3">
        <w:trPr>
          <w:jc w:val="center"/>
        </w:trPr>
        <w:tc>
          <w:tcPr>
            <w:tcW w:w="1195" w:type="pct"/>
            <w:tcBorders>
              <w:top w:val="nil"/>
              <w:left w:val="nil"/>
              <w:bottom w:val="nil"/>
              <w:right w:val="nil"/>
            </w:tcBorders>
          </w:tcPr>
          <w:p w14:paraId="3513C833"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proofErr w:type="spellStart"/>
            <w:r w:rsidRPr="00461D3B">
              <w:rPr>
                <w:rFonts w:ascii="Times New Roman" w:hAnsi="Times New Roman" w:cs="Times New Roman"/>
                <w:sz w:val="20"/>
                <w:szCs w:val="24"/>
              </w:rPr>
              <w:t>ActiveBlockSq</w:t>
            </w:r>
            <w:proofErr w:type="spellEnd"/>
          </w:p>
        </w:tc>
        <w:tc>
          <w:tcPr>
            <w:tcW w:w="423" w:type="pct"/>
            <w:tcBorders>
              <w:top w:val="nil"/>
              <w:left w:val="nil"/>
              <w:bottom w:val="nil"/>
              <w:right w:val="nil"/>
            </w:tcBorders>
          </w:tcPr>
          <w:p w14:paraId="52F41BE0"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79DE47EC"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5F7A29FC"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61" w:type="pct"/>
            <w:tcBorders>
              <w:top w:val="nil"/>
              <w:left w:val="nil"/>
              <w:bottom w:val="nil"/>
              <w:right w:val="nil"/>
            </w:tcBorders>
          </w:tcPr>
          <w:p w14:paraId="6CA98F1F"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3FE48BA7"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-2.256</w:t>
            </w:r>
          </w:p>
        </w:tc>
        <w:tc>
          <w:tcPr>
            <w:tcW w:w="519" w:type="pct"/>
            <w:tcBorders>
              <w:top w:val="nil"/>
              <w:left w:val="nil"/>
              <w:bottom w:val="nil"/>
              <w:right w:val="nil"/>
            </w:tcBorders>
          </w:tcPr>
          <w:p w14:paraId="3DCE5504"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-0.637</w:t>
            </w:r>
          </w:p>
        </w:tc>
        <w:tc>
          <w:tcPr>
            <w:tcW w:w="519" w:type="pct"/>
            <w:tcBorders>
              <w:top w:val="nil"/>
              <w:left w:val="nil"/>
              <w:bottom w:val="nil"/>
              <w:right w:val="nil"/>
            </w:tcBorders>
          </w:tcPr>
          <w:p w14:paraId="2FA06201"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2.838</w:t>
            </w:r>
          </w:p>
        </w:tc>
        <w:tc>
          <w:tcPr>
            <w:tcW w:w="519" w:type="pct"/>
            <w:tcBorders>
              <w:top w:val="nil"/>
              <w:left w:val="nil"/>
              <w:bottom w:val="nil"/>
              <w:right w:val="nil"/>
            </w:tcBorders>
          </w:tcPr>
          <w:p w14:paraId="36DC9B41"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0.515</w:t>
            </w:r>
          </w:p>
        </w:tc>
      </w:tr>
      <w:tr w:rsidR="00DE52A8" w:rsidRPr="00461D3B" w14:paraId="02866B77" w14:textId="77777777" w:rsidTr="009B09A3">
        <w:trPr>
          <w:jc w:val="center"/>
        </w:trPr>
        <w:tc>
          <w:tcPr>
            <w:tcW w:w="1195" w:type="pct"/>
            <w:tcBorders>
              <w:top w:val="nil"/>
              <w:left w:val="nil"/>
              <w:bottom w:val="nil"/>
              <w:right w:val="nil"/>
            </w:tcBorders>
          </w:tcPr>
          <w:p w14:paraId="5F87CE2B"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p>
        </w:tc>
        <w:tc>
          <w:tcPr>
            <w:tcW w:w="423" w:type="pct"/>
            <w:tcBorders>
              <w:top w:val="nil"/>
              <w:left w:val="nil"/>
              <w:bottom w:val="nil"/>
              <w:right w:val="nil"/>
            </w:tcBorders>
          </w:tcPr>
          <w:p w14:paraId="77FD4174"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49C4E651"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21C48FEA"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61" w:type="pct"/>
            <w:tcBorders>
              <w:top w:val="nil"/>
              <w:left w:val="nil"/>
              <w:bottom w:val="nil"/>
              <w:right w:val="nil"/>
            </w:tcBorders>
          </w:tcPr>
          <w:p w14:paraId="0CD1B95C"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64C0BE7C"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(3.078)</w:t>
            </w:r>
          </w:p>
        </w:tc>
        <w:tc>
          <w:tcPr>
            <w:tcW w:w="519" w:type="pct"/>
            <w:tcBorders>
              <w:top w:val="nil"/>
              <w:left w:val="nil"/>
              <w:bottom w:val="nil"/>
              <w:right w:val="nil"/>
            </w:tcBorders>
          </w:tcPr>
          <w:p w14:paraId="51588080"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(3.009)</w:t>
            </w:r>
          </w:p>
        </w:tc>
        <w:tc>
          <w:tcPr>
            <w:tcW w:w="519" w:type="pct"/>
            <w:tcBorders>
              <w:top w:val="nil"/>
              <w:left w:val="nil"/>
              <w:bottom w:val="nil"/>
              <w:right w:val="nil"/>
            </w:tcBorders>
          </w:tcPr>
          <w:p w14:paraId="4B468617"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(3.641)</w:t>
            </w:r>
          </w:p>
        </w:tc>
        <w:tc>
          <w:tcPr>
            <w:tcW w:w="519" w:type="pct"/>
            <w:tcBorders>
              <w:top w:val="nil"/>
              <w:left w:val="nil"/>
              <w:bottom w:val="nil"/>
              <w:right w:val="nil"/>
            </w:tcBorders>
          </w:tcPr>
          <w:p w14:paraId="6B930728"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(3.616)</w:t>
            </w:r>
          </w:p>
        </w:tc>
      </w:tr>
      <w:tr w:rsidR="00DE52A8" w:rsidRPr="00461D3B" w14:paraId="45BF5311" w14:textId="77777777" w:rsidTr="009B09A3">
        <w:trPr>
          <w:jc w:val="center"/>
        </w:trPr>
        <w:tc>
          <w:tcPr>
            <w:tcW w:w="1195" w:type="pct"/>
            <w:tcBorders>
              <w:top w:val="nil"/>
              <w:left w:val="nil"/>
              <w:bottom w:val="nil"/>
              <w:right w:val="nil"/>
            </w:tcBorders>
          </w:tcPr>
          <w:p w14:paraId="79D5774A"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proofErr w:type="spellStart"/>
            <w:r w:rsidRPr="00461D3B">
              <w:rPr>
                <w:rFonts w:ascii="Times New Roman" w:hAnsi="Times New Roman" w:cs="Times New Roman"/>
                <w:sz w:val="20"/>
                <w:szCs w:val="24"/>
              </w:rPr>
              <w:t>ActiveCashWedge</w:t>
            </w:r>
            <w:proofErr w:type="spellEnd"/>
          </w:p>
        </w:tc>
        <w:tc>
          <w:tcPr>
            <w:tcW w:w="423" w:type="pct"/>
            <w:tcBorders>
              <w:top w:val="nil"/>
              <w:left w:val="nil"/>
              <w:bottom w:val="nil"/>
              <w:right w:val="nil"/>
            </w:tcBorders>
          </w:tcPr>
          <w:p w14:paraId="0D4E4188"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0E34BB2D"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17FD6CBD"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61" w:type="pct"/>
            <w:tcBorders>
              <w:top w:val="nil"/>
              <w:left w:val="nil"/>
              <w:bottom w:val="nil"/>
              <w:right w:val="nil"/>
            </w:tcBorders>
          </w:tcPr>
          <w:p w14:paraId="70415BC2"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166A1E29"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-0.875</w:t>
            </w:r>
          </w:p>
        </w:tc>
        <w:tc>
          <w:tcPr>
            <w:tcW w:w="519" w:type="pct"/>
            <w:tcBorders>
              <w:top w:val="nil"/>
              <w:left w:val="nil"/>
              <w:bottom w:val="nil"/>
              <w:right w:val="nil"/>
            </w:tcBorders>
          </w:tcPr>
          <w:p w14:paraId="0013C7F7"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-0.536</w:t>
            </w:r>
          </w:p>
        </w:tc>
        <w:tc>
          <w:tcPr>
            <w:tcW w:w="519" w:type="pct"/>
            <w:tcBorders>
              <w:top w:val="nil"/>
              <w:left w:val="nil"/>
              <w:bottom w:val="nil"/>
              <w:right w:val="nil"/>
            </w:tcBorders>
          </w:tcPr>
          <w:p w14:paraId="11EB03A2"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-1.015</w:t>
            </w:r>
          </w:p>
        </w:tc>
        <w:tc>
          <w:tcPr>
            <w:tcW w:w="519" w:type="pct"/>
            <w:tcBorders>
              <w:top w:val="nil"/>
              <w:left w:val="nil"/>
              <w:bottom w:val="nil"/>
              <w:right w:val="nil"/>
            </w:tcBorders>
          </w:tcPr>
          <w:p w14:paraId="7FF71A77"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-0.659</w:t>
            </w:r>
          </w:p>
        </w:tc>
      </w:tr>
      <w:tr w:rsidR="00DE52A8" w:rsidRPr="00461D3B" w14:paraId="0C9687ED" w14:textId="77777777" w:rsidTr="009B09A3">
        <w:trPr>
          <w:jc w:val="center"/>
        </w:trPr>
        <w:tc>
          <w:tcPr>
            <w:tcW w:w="1195" w:type="pct"/>
            <w:tcBorders>
              <w:top w:val="nil"/>
              <w:left w:val="nil"/>
              <w:bottom w:val="nil"/>
              <w:right w:val="nil"/>
            </w:tcBorders>
          </w:tcPr>
          <w:p w14:paraId="57E282F9"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p>
        </w:tc>
        <w:tc>
          <w:tcPr>
            <w:tcW w:w="423" w:type="pct"/>
            <w:tcBorders>
              <w:top w:val="nil"/>
              <w:left w:val="nil"/>
              <w:bottom w:val="nil"/>
              <w:right w:val="nil"/>
            </w:tcBorders>
          </w:tcPr>
          <w:p w14:paraId="27C77575"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29F1CBAB"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3C1F2182"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61" w:type="pct"/>
            <w:tcBorders>
              <w:top w:val="nil"/>
              <w:left w:val="nil"/>
              <w:bottom w:val="nil"/>
              <w:right w:val="nil"/>
            </w:tcBorders>
          </w:tcPr>
          <w:p w14:paraId="11554F85"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10D86C3F"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(1.763)</w:t>
            </w:r>
          </w:p>
        </w:tc>
        <w:tc>
          <w:tcPr>
            <w:tcW w:w="519" w:type="pct"/>
            <w:tcBorders>
              <w:top w:val="nil"/>
              <w:left w:val="nil"/>
              <w:bottom w:val="nil"/>
              <w:right w:val="nil"/>
            </w:tcBorders>
          </w:tcPr>
          <w:p w14:paraId="59BD78F0"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(1.509)</w:t>
            </w:r>
          </w:p>
        </w:tc>
        <w:tc>
          <w:tcPr>
            <w:tcW w:w="519" w:type="pct"/>
            <w:tcBorders>
              <w:top w:val="nil"/>
              <w:left w:val="nil"/>
              <w:bottom w:val="nil"/>
              <w:right w:val="nil"/>
            </w:tcBorders>
          </w:tcPr>
          <w:p w14:paraId="54D5770A"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(1.664)</w:t>
            </w:r>
          </w:p>
        </w:tc>
        <w:tc>
          <w:tcPr>
            <w:tcW w:w="519" w:type="pct"/>
            <w:tcBorders>
              <w:top w:val="nil"/>
              <w:left w:val="nil"/>
              <w:bottom w:val="nil"/>
              <w:right w:val="nil"/>
            </w:tcBorders>
          </w:tcPr>
          <w:p w14:paraId="1C448B09"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(1.421)</w:t>
            </w:r>
          </w:p>
        </w:tc>
      </w:tr>
      <w:tr w:rsidR="00DE52A8" w:rsidRPr="00461D3B" w14:paraId="21EDFA14" w14:textId="77777777" w:rsidTr="009B09A3">
        <w:trPr>
          <w:jc w:val="center"/>
        </w:trPr>
        <w:tc>
          <w:tcPr>
            <w:tcW w:w="1195" w:type="pct"/>
            <w:tcBorders>
              <w:top w:val="nil"/>
              <w:left w:val="nil"/>
              <w:bottom w:val="nil"/>
              <w:right w:val="nil"/>
            </w:tcBorders>
          </w:tcPr>
          <w:p w14:paraId="05E956A8"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proofErr w:type="spellStart"/>
            <w:r w:rsidRPr="00461D3B">
              <w:rPr>
                <w:rFonts w:ascii="Times New Roman" w:hAnsi="Times New Roman" w:cs="Times New Roman"/>
                <w:sz w:val="20"/>
                <w:szCs w:val="24"/>
              </w:rPr>
              <w:t>DirFamily</w:t>
            </w:r>
            <w:proofErr w:type="spellEnd"/>
          </w:p>
        </w:tc>
        <w:tc>
          <w:tcPr>
            <w:tcW w:w="423" w:type="pct"/>
            <w:tcBorders>
              <w:top w:val="nil"/>
              <w:left w:val="nil"/>
              <w:bottom w:val="nil"/>
              <w:right w:val="nil"/>
            </w:tcBorders>
          </w:tcPr>
          <w:p w14:paraId="63AE306A"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2C8433FE"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66CB56D0"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61" w:type="pct"/>
            <w:tcBorders>
              <w:top w:val="nil"/>
              <w:left w:val="nil"/>
              <w:bottom w:val="nil"/>
              <w:right w:val="nil"/>
            </w:tcBorders>
          </w:tcPr>
          <w:p w14:paraId="21CE449A"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012A9606"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-0.074</w:t>
            </w:r>
          </w:p>
        </w:tc>
        <w:tc>
          <w:tcPr>
            <w:tcW w:w="519" w:type="pct"/>
            <w:tcBorders>
              <w:top w:val="nil"/>
              <w:left w:val="nil"/>
              <w:bottom w:val="nil"/>
              <w:right w:val="nil"/>
            </w:tcBorders>
          </w:tcPr>
          <w:p w14:paraId="59CA21FF"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-0.048</w:t>
            </w:r>
          </w:p>
        </w:tc>
        <w:tc>
          <w:tcPr>
            <w:tcW w:w="519" w:type="pct"/>
            <w:tcBorders>
              <w:top w:val="nil"/>
              <w:left w:val="nil"/>
              <w:bottom w:val="nil"/>
              <w:right w:val="nil"/>
            </w:tcBorders>
          </w:tcPr>
          <w:p w14:paraId="3A8707DC"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-0.061</w:t>
            </w:r>
          </w:p>
        </w:tc>
        <w:tc>
          <w:tcPr>
            <w:tcW w:w="519" w:type="pct"/>
            <w:tcBorders>
              <w:top w:val="nil"/>
              <w:left w:val="nil"/>
              <w:bottom w:val="nil"/>
              <w:right w:val="nil"/>
            </w:tcBorders>
          </w:tcPr>
          <w:p w14:paraId="69454827"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-0.074</w:t>
            </w:r>
          </w:p>
        </w:tc>
      </w:tr>
      <w:tr w:rsidR="00DE52A8" w:rsidRPr="00461D3B" w14:paraId="762A6A48" w14:textId="77777777" w:rsidTr="009B09A3">
        <w:trPr>
          <w:jc w:val="center"/>
        </w:trPr>
        <w:tc>
          <w:tcPr>
            <w:tcW w:w="1195" w:type="pct"/>
            <w:tcBorders>
              <w:top w:val="nil"/>
              <w:left w:val="nil"/>
              <w:bottom w:val="nil"/>
              <w:right w:val="nil"/>
            </w:tcBorders>
          </w:tcPr>
          <w:p w14:paraId="419F990C"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p>
        </w:tc>
        <w:tc>
          <w:tcPr>
            <w:tcW w:w="423" w:type="pct"/>
            <w:tcBorders>
              <w:top w:val="nil"/>
              <w:left w:val="nil"/>
              <w:bottom w:val="nil"/>
              <w:right w:val="nil"/>
            </w:tcBorders>
          </w:tcPr>
          <w:p w14:paraId="22BF3BA6"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1D60246D"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0C622A44"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61" w:type="pct"/>
            <w:tcBorders>
              <w:top w:val="nil"/>
              <w:left w:val="nil"/>
              <w:bottom w:val="nil"/>
              <w:right w:val="nil"/>
            </w:tcBorders>
          </w:tcPr>
          <w:p w14:paraId="2CFC1CD0"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5EEA348C"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(0.103)</w:t>
            </w:r>
          </w:p>
        </w:tc>
        <w:tc>
          <w:tcPr>
            <w:tcW w:w="519" w:type="pct"/>
            <w:tcBorders>
              <w:top w:val="nil"/>
              <w:left w:val="nil"/>
              <w:bottom w:val="nil"/>
              <w:right w:val="nil"/>
            </w:tcBorders>
          </w:tcPr>
          <w:p w14:paraId="59EEC8A8"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(0.099)</w:t>
            </w:r>
          </w:p>
        </w:tc>
        <w:tc>
          <w:tcPr>
            <w:tcW w:w="519" w:type="pct"/>
            <w:tcBorders>
              <w:top w:val="nil"/>
              <w:left w:val="nil"/>
              <w:bottom w:val="nil"/>
              <w:right w:val="nil"/>
            </w:tcBorders>
          </w:tcPr>
          <w:p w14:paraId="3894C127"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(0.099)</w:t>
            </w:r>
          </w:p>
        </w:tc>
        <w:tc>
          <w:tcPr>
            <w:tcW w:w="519" w:type="pct"/>
            <w:tcBorders>
              <w:top w:val="nil"/>
              <w:left w:val="nil"/>
              <w:bottom w:val="nil"/>
              <w:right w:val="nil"/>
            </w:tcBorders>
          </w:tcPr>
          <w:p w14:paraId="3DC2D321"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(0.102)</w:t>
            </w:r>
          </w:p>
        </w:tc>
      </w:tr>
      <w:tr w:rsidR="00DE52A8" w:rsidRPr="00461D3B" w14:paraId="1ABAA9E4" w14:textId="77777777" w:rsidTr="009B09A3">
        <w:trPr>
          <w:jc w:val="center"/>
        </w:trPr>
        <w:tc>
          <w:tcPr>
            <w:tcW w:w="1195" w:type="pct"/>
            <w:tcBorders>
              <w:top w:val="nil"/>
              <w:left w:val="nil"/>
              <w:bottom w:val="nil"/>
              <w:right w:val="nil"/>
            </w:tcBorders>
          </w:tcPr>
          <w:p w14:paraId="543C4F6E" w14:textId="2CF6A6DA" w:rsidR="00DE52A8" w:rsidRPr="00461D3B" w:rsidRDefault="00E77841" w:rsidP="009B09A3">
            <w:pPr>
              <w:widowControl w:val="0"/>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ROA</w:t>
            </w:r>
          </w:p>
        </w:tc>
        <w:tc>
          <w:tcPr>
            <w:tcW w:w="423" w:type="pct"/>
            <w:tcBorders>
              <w:top w:val="nil"/>
              <w:left w:val="nil"/>
              <w:bottom w:val="nil"/>
              <w:right w:val="nil"/>
            </w:tcBorders>
          </w:tcPr>
          <w:p w14:paraId="28C011CB"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6B7762A0"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5E0F71B5"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61" w:type="pct"/>
            <w:tcBorders>
              <w:top w:val="nil"/>
              <w:left w:val="nil"/>
              <w:bottom w:val="nil"/>
              <w:right w:val="nil"/>
            </w:tcBorders>
          </w:tcPr>
          <w:p w14:paraId="118A2804"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7C2DCD35"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3.933***</w:t>
            </w:r>
          </w:p>
        </w:tc>
        <w:tc>
          <w:tcPr>
            <w:tcW w:w="519" w:type="pct"/>
            <w:tcBorders>
              <w:top w:val="nil"/>
              <w:left w:val="nil"/>
              <w:bottom w:val="nil"/>
              <w:right w:val="nil"/>
            </w:tcBorders>
          </w:tcPr>
          <w:p w14:paraId="04266D75"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4.247***</w:t>
            </w:r>
          </w:p>
        </w:tc>
        <w:tc>
          <w:tcPr>
            <w:tcW w:w="519" w:type="pct"/>
            <w:tcBorders>
              <w:top w:val="nil"/>
              <w:left w:val="nil"/>
              <w:bottom w:val="nil"/>
              <w:right w:val="nil"/>
            </w:tcBorders>
          </w:tcPr>
          <w:p w14:paraId="5141D714"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4.260***</w:t>
            </w:r>
          </w:p>
        </w:tc>
        <w:tc>
          <w:tcPr>
            <w:tcW w:w="519" w:type="pct"/>
            <w:tcBorders>
              <w:top w:val="nil"/>
              <w:left w:val="nil"/>
              <w:bottom w:val="nil"/>
              <w:right w:val="nil"/>
            </w:tcBorders>
          </w:tcPr>
          <w:p w14:paraId="65E4EF3B"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4.238***</w:t>
            </w:r>
          </w:p>
        </w:tc>
      </w:tr>
      <w:tr w:rsidR="00DE52A8" w:rsidRPr="00461D3B" w14:paraId="50F286A1" w14:textId="77777777" w:rsidTr="009B09A3">
        <w:trPr>
          <w:jc w:val="center"/>
        </w:trPr>
        <w:tc>
          <w:tcPr>
            <w:tcW w:w="1195" w:type="pct"/>
            <w:tcBorders>
              <w:top w:val="nil"/>
              <w:left w:val="nil"/>
              <w:bottom w:val="nil"/>
              <w:right w:val="nil"/>
            </w:tcBorders>
          </w:tcPr>
          <w:p w14:paraId="0614422F"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p>
        </w:tc>
        <w:tc>
          <w:tcPr>
            <w:tcW w:w="423" w:type="pct"/>
            <w:tcBorders>
              <w:top w:val="nil"/>
              <w:left w:val="nil"/>
              <w:bottom w:val="nil"/>
              <w:right w:val="nil"/>
            </w:tcBorders>
          </w:tcPr>
          <w:p w14:paraId="523BBAF2"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587FC6C1"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38F8C915"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61" w:type="pct"/>
            <w:tcBorders>
              <w:top w:val="nil"/>
              <w:left w:val="nil"/>
              <w:bottom w:val="nil"/>
              <w:right w:val="nil"/>
            </w:tcBorders>
          </w:tcPr>
          <w:p w14:paraId="3B4704D8"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2E91A09F"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(0.720)</w:t>
            </w:r>
          </w:p>
        </w:tc>
        <w:tc>
          <w:tcPr>
            <w:tcW w:w="519" w:type="pct"/>
            <w:tcBorders>
              <w:top w:val="nil"/>
              <w:left w:val="nil"/>
              <w:bottom w:val="nil"/>
              <w:right w:val="nil"/>
            </w:tcBorders>
          </w:tcPr>
          <w:p w14:paraId="23CBB88C"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(0.718)</w:t>
            </w:r>
          </w:p>
        </w:tc>
        <w:tc>
          <w:tcPr>
            <w:tcW w:w="519" w:type="pct"/>
            <w:tcBorders>
              <w:top w:val="nil"/>
              <w:left w:val="nil"/>
              <w:bottom w:val="nil"/>
              <w:right w:val="nil"/>
            </w:tcBorders>
          </w:tcPr>
          <w:p w14:paraId="5973A2F5"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(0.723)</w:t>
            </w:r>
          </w:p>
        </w:tc>
        <w:tc>
          <w:tcPr>
            <w:tcW w:w="519" w:type="pct"/>
            <w:tcBorders>
              <w:top w:val="nil"/>
              <w:left w:val="nil"/>
              <w:bottom w:val="nil"/>
              <w:right w:val="nil"/>
            </w:tcBorders>
          </w:tcPr>
          <w:p w14:paraId="443F7183"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(0.725)</w:t>
            </w:r>
          </w:p>
        </w:tc>
      </w:tr>
      <w:tr w:rsidR="00DE52A8" w:rsidRPr="00461D3B" w14:paraId="34FA5D41" w14:textId="77777777" w:rsidTr="009B09A3">
        <w:trPr>
          <w:jc w:val="center"/>
        </w:trPr>
        <w:tc>
          <w:tcPr>
            <w:tcW w:w="1195" w:type="pct"/>
            <w:tcBorders>
              <w:top w:val="nil"/>
              <w:left w:val="nil"/>
              <w:bottom w:val="nil"/>
              <w:right w:val="nil"/>
            </w:tcBorders>
          </w:tcPr>
          <w:p w14:paraId="0323B8BE"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proofErr w:type="spellStart"/>
            <w:r w:rsidRPr="00461D3B">
              <w:rPr>
                <w:rFonts w:ascii="Times New Roman" w:hAnsi="Times New Roman" w:cs="Times New Roman"/>
                <w:sz w:val="20"/>
                <w:szCs w:val="24"/>
              </w:rPr>
              <w:t>EstDate</w:t>
            </w:r>
            <w:proofErr w:type="spellEnd"/>
          </w:p>
        </w:tc>
        <w:tc>
          <w:tcPr>
            <w:tcW w:w="423" w:type="pct"/>
            <w:tcBorders>
              <w:top w:val="nil"/>
              <w:left w:val="nil"/>
              <w:bottom w:val="nil"/>
              <w:right w:val="nil"/>
            </w:tcBorders>
          </w:tcPr>
          <w:p w14:paraId="0C72F3DE"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310250E3"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40E5D8A4"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61" w:type="pct"/>
            <w:tcBorders>
              <w:top w:val="nil"/>
              <w:left w:val="nil"/>
              <w:bottom w:val="nil"/>
              <w:right w:val="nil"/>
            </w:tcBorders>
          </w:tcPr>
          <w:p w14:paraId="4CB4E168"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52384280"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535BFBAB"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-0.001</w:t>
            </w:r>
          </w:p>
        </w:tc>
        <w:tc>
          <w:tcPr>
            <w:tcW w:w="519" w:type="pct"/>
            <w:tcBorders>
              <w:top w:val="nil"/>
              <w:left w:val="nil"/>
              <w:bottom w:val="nil"/>
              <w:right w:val="nil"/>
            </w:tcBorders>
          </w:tcPr>
          <w:p w14:paraId="0AD2C0CA"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-0.001</w:t>
            </w:r>
          </w:p>
        </w:tc>
        <w:tc>
          <w:tcPr>
            <w:tcW w:w="519" w:type="pct"/>
            <w:tcBorders>
              <w:top w:val="nil"/>
              <w:left w:val="nil"/>
              <w:bottom w:val="nil"/>
              <w:right w:val="nil"/>
            </w:tcBorders>
          </w:tcPr>
          <w:p w14:paraId="523ACDEA"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-0.001</w:t>
            </w:r>
          </w:p>
        </w:tc>
      </w:tr>
      <w:tr w:rsidR="00DE52A8" w:rsidRPr="00461D3B" w14:paraId="324EA14D" w14:textId="77777777" w:rsidTr="009B09A3">
        <w:trPr>
          <w:jc w:val="center"/>
        </w:trPr>
        <w:tc>
          <w:tcPr>
            <w:tcW w:w="1195" w:type="pct"/>
            <w:tcBorders>
              <w:top w:val="nil"/>
              <w:left w:val="nil"/>
              <w:bottom w:val="nil"/>
              <w:right w:val="nil"/>
            </w:tcBorders>
          </w:tcPr>
          <w:p w14:paraId="03D858E3"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p>
        </w:tc>
        <w:tc>
          <w:tcPr>
            <w:tcW w:w="423" w:type="pct"/>
            <w:tcBorders>
              <w:top w:val="nil"/>
              <w:left w:val="nil"/>
              <w:bottom w:val="nil"/>
              <w:right w:val="nil"/>
            </w:tcBorders>
          </w:tcPr>
          <w:p w14:paraId="1DD6C0E0"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52B224FF"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17421964"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61" w:type="pct"/>
            <w:tcBorders>
              <w:top w:val="nil"/>
              <w:left w:val="nil"/>
              <w:bottom w:val="nil"/>
              <w:right w:val="nil"/>
            </w:tcBorders>
          </w:tcPr>
          <w:p w14:paraId="5DD4C122"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46020AD8"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5766E3F9"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(0.001)</w:t>
            </w:r>
          </w:p>
        </w:tc>
        <w:tc>
          <w:tcPr>
            <w:tcW w:w="519" w:type="pct"/>
            <w:tcBorders>
              <w:top w:val="nil"/>
              <w:left w:val="nil"/>
              <w:bottom w:val="nil"/>
              <w:right w:val="nil"/>
            </w:tcBorders>
          </w:tcPr>
          <w:p w14:paraId="2144A9B1"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(0.001)</w:t>
            </w:r>
          </w:p>
        </w:tc>
        <w:tc>
          <w:tcPr>
            <w:tcW w:w="519" w:type="pct"/>
            <w:tcBorders>
              <w:top w:val="nil"/>
              <w:left w:val="nil"/>
              <w:bottom w:val="nil"/>
              <w:right w:val="nil"/>
            </w:tcBorders>
          </w:tcPr>
          <w:p w14:paraId="622EA3CC"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(0.001)</w:t>
            </w:r>
          </w:p>
        </w:tc>
      </w:tr>
      <w:tr w:rsidR="00DE52A8" w:rsidRPr="00461D3B" w14:paraId="3DBB7393" w14:textId="77777777" w:rsidTr="009B09A3">
        <w:trPr>
          <w:jc w:val="center"/>
        </w:trPr>
        <w:tc>
          <w:tcPr>
            <w:tcW w:w="1195" w:type="pct"/>
            <w:tcBorders>
              <w:top w:val="nil"/>
              <w:left w:val="nil"/>
              <w:bottom w:val="nil"/>
              <w:right w:val="nil"/>
            </w:tcBorders>
          </w:tcPr>
          <w:p w14:paraId="0D8ED8CC"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r w:rsidRPr="00461D3B">
              <w:rPr>
                <w:rFonts w:ascii="Times New Roman" w:hAnsi="Times New Roman" w:cs="Times New Roman"/>
                <w:sz w:val="20"/>
                <w:szCs w:val="24"/>
              </w:rPr>
              <w:t>Size</w:t>
            </w:r>
          </w:p>
        </w:tc>
        <w:tc>
          <w:tcPr>
            <w:tcW w:w="423" w:type="pct"/>
            <w:tcBorders>
              <w:top w:val="nil"/>
              <w:left w:val="nil"/>
              <w:bottom w:val="nil"/>
              <w:right w:val="nil"/>
            </w:tcBorders>
          </w:tcPr>
          <w:p w14:paraId="3C1FCB13"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2ABE5DE3"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642499F7"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61" w:type="pct"/>
            <w:tcBorders>
              <w:top w:val="nil"/>
              <w:left w:val="nil"/>
              <w:bottom w:val="nil"/>
              <w:right w:val="nil"/>
            </w:tcBorders>
          </w:tcPr>
          <w:p w14:paraId="6B338407"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325CDE94"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2FD3AC1B"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-0.033</w:t>
            </w:r>
          </w:p>
        </w:tc>
        <w:tc>
          <w:tcPr>
            <w:tcW w:w="519" w:type="pct"/>
            <w:tcBorders>
              <w:top w:val="nil"/>
              <w:left w:val="nil"/>
              <w:bottom w:val="nil"/>
              <w:right w:val="nil"/>
            </w:tcBorders>
          </w:tcPr>
          <w:p w14:paraId="667E6791"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-0.029</w:t>
            </w:r>
          </w:p>
        </w:tc>
        <w:tc>
          <w:tcPr>
            <w:tcW w:w="519" w:type="pct"/>
            <w:tcBorders>
              <w:top w:val="nil"/>
              <w:left w:val="nil"/>
              <w:bottom w:val="nil"/>
              <w:right w:val="nil"/>
            </w:tcBorders>
          </w:tcPr>
          <w:p w14:paraId="1A5804C3"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-0.033</w:t>
            </w:r>
          </w:p>
        </w:tc>
      </w:tr>
      <w:tr w:rsidR="00DE52A8" w:rsidRPr="00461D3B" w14:paraId="7C8F09A2" w14:textId="77777777" w:rsidTr="009B09A3">
        <w:trPr>
          <w:jc w:val="center"/>
        </w:trPr>
        <w:tc>
          <w:tcPr>
            <w:tcW w:w="1195" w:type="pct"/>
            <w:tcBorders>
              <w:top w:val="nil"/>
              <w:left w:val="nil"/>
              <w:bottom w:val="nil"/>
              <w:right w:val="nil"/>
            </w:tcBorders>
          </w:tcPr>
          <w:p w14:paraId="5B4D93DC"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p>
        </w:tc>
        <w:tc>
          <w:tcPr>
            <w:tcW w:w="423" w:type="pct"/>
            <w:tcBorders>
              <w:top w:val="nil"/>
              <w:left w:val="nil"/>
              <w:bottom w:val="nil"/>
              <w:right w:val="nil"/>
            </w:tcBorders>
          </w:tcPr>
          <w:p w14:paraId="4A2E475F"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6C74E94A"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5C26BDA8"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61" w:type="pct"/>
            <w:tcBorders>
              <w:top w:val="nil"/>
              <w:left w:val="nil"/>
              <w:bottom w:val="nil"/>
              <w:right w:val="nil"/>
            </w:tcBorders>
          </w:tcPr>
          <w:p w14:paraId="5546C6F2"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174B27DB"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3944AC4A"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(0.027)</w:t>
            </w:r>
          </w:p>
        </w:tc>
        <w:tc>
          <w:tcPr>
            <w:tcW w:w="519" w:type="pct"/>
            <w:tcBorders>
              <w:top w:val="nil"/>
              <w:left w:val="nil"/>
              <w:bottom w:val="nil"/>
              <w:right w:val="nil"/>
            </w:tcBorders>
          </w:tcPr>
          <w:p w14:paraId="1A926169"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(0.027)</w:t>
            </w:r>
          </w:p>
        </w:tc>
        <w:tc>
          <w:tcPr>
            <w:tcW w:w="519" w:type="pct"/>
            <w:tcBorders>
              <w:top w:val="nil"/>
              <w:left w:val="nil"/>
              <w:bottom w:val="nil"/>
              <w:right w:val="nil"/>
            </w:tcBorders>
          </w:tcPr>
          <w:p w14:paraId="7CAFBA67"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(0.027)</w:t>
            </w:r>
          </w:p>
        </w:tc>
      </w:tr>
      <w:tr w:rsidR="00DE52A8" w:rsidRPr="00461D3B" w14:paraId="4F5C4BB5" w14:textId="77777777" w:rsidTr="009B09A3">
        <w:trPr>
          <w:jc w:val="center"/>
        </w:trPr>
        <w:tc>
          <w:tcPr>
            <w:tcW w:w="1195" w:type="pct"/>
            <w:tcBorders>
              <w:top w:val="nil"/>
              <w:left w:val="nil"/>
              <w:bottom w:val="nil"/>
              <w:right w:val="nil"/>
            </w:tcBorders>
          </w:tcPr>
          <w:p w14:paraId="16719499"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proofErr w:type="spellStart"/>
            <w:r w:rsidRPr="00461D3B">
              <w:rPr>
                <w:rFonts w:ascii="Times New Roman" w:hAnsi="Times New Roman" w:cs="Times New Roman"/>
                <w:sz w:val="20"/>
                <w:szCs w:val="24"/>
              </w:rPr>
              <w:t>DirectorQual</w:t>
            </w:r>
            <w:proofErr w:type="spellEnd"/>
          </w:p>
        </w:tc>
        <w:tc>
          <w:tcPr>
            <w:tcW w:w="423" w:type="pct"/>
            <w:tcBorders>
              <w:top w:val="nil"/>
              <w:left w:val="nil"/>
              <w:bottom w:val="nil"/>
              <w:right w:val="nil"/>
            </w:tcBorders>
          </w:tcPr>
          <w:p w14:paraId="1E5E7818"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2931E146"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799C08E0"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61" w:type="pct"/>
            <w:tcBorders>
              <w:top w:val="nil"/>
              <w:left w:val="nil"/>
              <w:bottom w:val="nil"/>
              <w:right w:val="nil"/>
            </w:tcBorders>
          </w:tcPr>
          <w:p w14:paraId="720D8065"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0B0388AC"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219EEA34"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0.089</w:t>
            </w:r>
          </w:p>
        </w:tc>
        <w:tc>
          <w:tcPr>
            <w:tcW w:w="519" w:type="pct"/>
            <w:tcBorders>
              <w:top w:val="nil"/>
              <w:left w:val="nil"/>
              <w:bottom w:val="nil"/>
              <w:right w:val="nil"/>
            </w:tcBorders>
          </w:tcPr>
          <w:p w14:paraId="688B9DD0"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0.086</w:t>
            </w:r>
          </w:p>
        </w:tc>
        <w:tc>
          <w:tcPr>
            <w:tcW w:w="519" w:type="pct"/>
            <w:tcBorders>
              <w:top w:val="nil"/>
              <w:left w:val="nil"/>
              <w:bottom w:val="nil"/>
              <w:right w:val="nil"/>
            </w:tcBorders>
          </w:tcPr>
          <w:p w14:paraId="4F3214FF"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0.076</w:t>
            </w:r>
          </w:p>
        </w:tc>
      </w:tr>
      <w:tr w:rsidR="00DE52A8" w:rsidRPr="00461D3B" w14:paraId="01AA1129" w14:textId="77777777" w:rsidTr="009B09A3">
        <w:trPr>
          <w:jc w:val="center"/>
        </w:trPr>
        <w:tc>
          <w:tcPr>
            <w:tcW w:w="1195" w:type="pct"/>
            <w:tcBorders>
              <w:top w:val="nil"/>
              <w:left w:val="nil"/>
              <w:bottom w:val="nil"/>
              <w:right w:val="nil"/>
            </w:tcBorders>
          </w:tcPr>
          <w:p w14:paraId="22D14D20"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p>
        </w:tc>
        <w:tc>
          <w:tcPr>
            <w:tcW w:w="423" w:type="pct"/>
            <w:tcBorders>
              <w:top w:val="nil"/>
              <w:left w:val="nil"/>
              <w:bottom w:val="nil"/>
              <w:right w:val="nil"/>
            </w:tcBorders>
          </w:tcPr>
          <w:p w14:paraId="52888D74"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5BA78A42"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456FEE20"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61" w:type="pct"/>
            <w:tcBorders>
              <w:top w:val="nil"/>
              <w:left w:val="nil"/>
              <w:bottom w:val="nil"/>
              <w:right w:val="nil"/>
            </w:tcBorders>
          </w:tcPr>
          <w:p w14:paraId="720F2DE5"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4B609616"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536AB969"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(0.071)</w:t>
            </w:r>
          </w:p>
        </w:tc>
        <w:tc>
          <w:tcPr>
            <w:tcW w:w="519" w:type="pct"/>
            <w:tcBorders>
              <w:top w:val="nil"/>
              <w:left w:val="nil"/>
              <w:bottom w:val="nil"/>
              <w:right w:val="nil"/>
            </w:tcBorders>
          </w:tcPr>
          <w:p w14:paraId="4057CECE"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(0.078)</w:t>
            </w:r>
          </w:p>
        </w:tc>
        <w:tc>
          <w:tcPr>
            <w:tcW w:w="519" w:type="pct"/>
            <w:tcBorders>
              <w:top w:val="nil"/>
              <w:left w:val="nil"/>
              <w:bottom w:val="nil"/>
              <w:right w:val="nil"/>
            </w:tcBorders>
          </w:tcPr>
          <w:p w14:paraId="03A590A1"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(0.071)</w:t>
            </w:r>
          </w:p>
        </w:tc>
      </w:tr>
      <w:tr w:rsidR="00DE52A8" w:rsidRPr="00461D3B" w14:paraId="2F4D41C3" w14:textId="77777777" w:rsidTr="009B09A3">
        <w:trPr>
          <w:jc w:val="center"/>
        </w:trPr>
        <w:tc>
          <w:tcPr>
            <w:tcW w:w="1195" w:type="pct"/>
            <w:tcBorders>
              <w:top w:val="nil"/>
              <w:left w:val="nil"/>
              <w:bottom w:val="nil"/>
              <w:right w:val="nil"/>
            </w:tcBorders>
          </w:tcPr>
          <w:p w14:paraId="74610CDC"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proofErr w:type="spellStart"/>
            <w:r w:rsidRPr="00461D3B">
              <w:rPr>
                <w:rFonts w:ascii="Times New Roman" w:hAnsi="Times New Roman" w:cs="Times New Roman"/>
                <w:sz w:val="20"/>
                <w:szCs w:val="24"/>
              </w:rPr>
              <w:t>HeadLondon</w:t>
            </w:r>
            <w:proofErr w:type="spellEnd"/>
          </w:p>
        </w:tc>
        <w:tc>
          <w:tcPr>
            <w:tcW w:w="423" w:type="pct"/>
            <w:tcBorders>
              <w:top w:val="nil"/>
              <w:left w:val="nil"/>
              <w:bottom w:val="nil"/>
              <w:right w:val="nil"/>
            </w:tcBorders>
          </w:tcPr>
          <w:p w14:paraId="4A375240"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475B5012"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151B8ED2"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61" w:type="pct"/>
            <w:tcBorders>
              <w:top w:val="nil"/>
              <w:left w:val="nil"/>
              <w:bottom w:val="nil"/>
              <w:right w:val="nil"/>
            </w:tcBorders>
          </w:tcPr>
          <w:p w14:paraId="5D42BE51"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648C13D2"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6CE15CCB"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-0.017</w:t>
            </w:r>
          </w:p>
        </w:tc>
        <w:tc>
          <w:tcPr>
            <w:tcW w:w="519" w:type="pct"/>
            <w:tcBorders>
              <w:top w:val="nil"/>
              <w:left w:val="nil"/>
              <w:bottom w:val="nil"/>
              <w:right w:val="nil"/>
            </w:tcBorders>
          </w:tcPr>
          <w:p w14:paraId="1CB1BB1A"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-0.026</w:t>
            </w:r>
          </w:p>
        </w:tc>
        <w:tc>
          <w:tcPr>
            <w:tcW w:w="519" w:type="pct"/>
            <w:tcBorders>
              <w:top w:val="nil"/>
              <w:left w:val="nil"/>
              <w:bottom w:val="nil"/>
              <w:right w:val="nil"/>
            </w:tcBorders>
          </w:tcPr>
          <w:p w14:paraId="6963A8BD"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-0.019</w:t>
            </w:r>
          </w:p>
        </w:tc>
      </w:tr>
      <w:tr w:rsidR="00DE52A8" w:rsidRPr="00461D3B" w14:paraId="52A3DD6C" w14:textId="77777777" w:rsidTr="009B09A3">
        <w:trPr>
          <w:jc w:val="center"/>
        </w:trPr>
        <w:tc>
          <w:tcPr>
            <w:tcW w:w="1195" w:type="pct"/>
            <w:tcBorders>
              <w:top w:val="nil"/>
              <w:left w:val="nil"/>
              <w:bottom w:val="nil"/>
              <w:right w:val="nil"/>
            </w:tcBorders>
          </w:tcPr>
          <w:p w14:paraId="41E0AD48"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p>
        </w:tc>
        <w:tc>
          <w:tcPr>
            <w:tcW w:w="423" w:type="pct"/>
            <w:tcBorders>
              <w:top w:val="nil"/>
              <w:left w:val="nil"/>
              <w:bottom w:val="nil"/>
              <w:right w:val="nil"/>
            </w:tcBorders>
          </w:tcPr>
          <w:p w14:paraId="63647C05"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20F6B5FE"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33B09383"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61" w:type="pct"/>
            <w:tcBorders>
              <w:top w:val="nil"/>
              <w:left w:val="nil"/>
              <w:bottom w:val="nil"/>
              <w:right w:val="nil"/>
            </w:tcBorders>
          </w:tcPr>
          <w:p w14:paraId="1817D1F3"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64DE0415"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344F8B4C"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(0.052)</w:t>
            </w:r>
          </w:p>
        </w:tc>
        <w:tc>
          <w:tcPr>
            <w:tcW w:w="519" w:type="pct"/>
            <w:tcBorders>
              <w:top w:val="nil"/>
              <w:left w:val="nil"/>
              <w:bottom w:val="nil"/>
              <w:right w:val="nil"/>
            </w:tcBorders>
          </w:tcPr>
          <w:p w14:paraId="6A9FAB23"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(0.051)</w:t>
            </w:r>
          </w:p>
        </w:tc>
        <w:tc>
          <w:tcPr>
            <w:tcW w:w="519" w:type="pct"/>
            <w:tcBorders>
              <w:top w:val="nil"/>
              <w:left w:val="nil"/>
              <w:bottom w:val="nil"/>
              <w:right w:val="nil"/>
            </w:tcBorders>
          </w:tcPr>
          <w:p w14:paraId="0A755754"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(0.052)</w:t>
            </w:r>
          </w:p>
        </w:tc>
      </w:tr>
      <w:tr w:rsidR="00DE52A8" w:rsidRPr="00461D3B" w14:paraId="65C73378" w14:textId="77777777" w:rsidTr="009B09A3">
        <w:trPr>
          <w:jc w:val="center"/>
        </w:trPr>
        <w:tc>
          <w:tcPr>
            <w:tcW w:w="1195" w:type="pct"/>
            <w:tcBorders>
              <w:top w:val="nil"/>
              <w:left w:val="nil"/>
              <w:bottom w:val="nil"/>
              <w:right w:val="nil"/>
            </w:tcBorders>
          </w:tcPr>
          <w:p w14:paraId="73726301"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r w:rsidRPr="00461D3B">
              <w:rPr>
                <w:rFonts w:ascii="Times New Roman" w:hAnsi="Times New Roman" w:cs="Times New Roman"/>
                <w:sz w:val="20"/>
                <w:szCs w:val="24"/>
              </w:rPr>
              <w:t>Scottish</w:t>
            </w:r>
          </w:p>
        </w:tc>
        <w:tc>
          <w:tcPr>
            <w:tcW w:w="423" w:type="pct"/>
            <w:tcBorders>
              <w:top w:val="nil"/>
              <w:left w:val="nil"/>
              <w:bottom w:val="nil"/>
              <w:right w:val="nil"/>
            </w:tcBorders>
          </w:tcPr>
          <w:p w14:paraId="064D175A"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56858015"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5A8F7BCC"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61" w:type="pct"/>
            <w:tcBorders>
              <w:top w:val="nil"/>
              <w:left w:val="nil"/>
              <w:bottom w:val="nil"/>
              <w:right w:val="nil"/>
            </w:tcBorders>
          </w:tcPr>
          <w:p w14:paraId="4D8D169A"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38A8F573"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44DD1F02"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-0.014</w:t>
            </w:r>
          </w:p>
        </w:tc>
        <w:tc>
          <w:tcPr>
            <w:tcW w:w="519" w:type="pct"/>
            <w:tcBorders>
              <w:top w:val="nil"/>
              <w:left w:val="nil"/>
              <w:bottom w:val="nil"/>
              <w:right w:val="nil"/>
            </w:tcBorders>
          </w:tcPr>
          <w:p w14:paraId="71FB6E95"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-0.016</w:t>
            </w:r>
          </w:p>
        </w:tc>
        <w:tc>
          <w:tcPr>
            <w:tcW w:w="519" w:type="pct"/>
            <w:tcBorders>
              <w:top w:val="nil"/>
              <w:left w:val="nil"/>
              <w:bottom w:val="nil"/>
              <w:right w:val="nil"/>
            </w:tcBorders>
          </w:tcPr>
          <w:p w14:paraId="55CE48AF"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-0.017</w:t>
            </w:r>
          </w:p>
        </w:tc>
      </w:tr>
      <w:tr w:rsidR="00DE52A8" w:rsidRPr="00461D3B" w14:paraId="0A6D6CAA" w14:textId="77777777" w:rsidTr="009B09A3">
        <w:trPr>
          <w:jc w:val="center"/>
        </w:trPr>
        <w:tc>
          <w:tcPr>
            <w:tcW w:w="1195" w:type="pct"/>
            <w:tcBorders>
              <w:top w:val="nil"/>
              <w:left w:val="nil"/>
              <w:bottom w:val="nil"/>
              <w:right w:val="nil"/>
            </w:tcBorders>
          </w:tcPr>
          <w:p w14:paraId="260E70E4"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p>
        </w:tc>
        <w:tc>
          <w:tcPr>
            <w:tcW w:w="423" w:type="pct"/>
            <w:tcBorders>
              <w:top w:val="nil"/>
              <w:left w:val="nil"/>
              <w:bottom w:val="nil"/>
              <w:right w:val="nil"/>
            </w:tcBorders>
          </w:tcPr>
          <w:p w14:paraId="130D9CB1"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0C40FF2E"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348A4920"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61" w:type="pct"/>
            <w:tcBorders>
              <w:top w:val="nil"/>
              <w:left w:val="nil"/>
              <w:bottom w:val="nil"/>
              <w:right w:val="nil"/>
            </w:tcBorders>
          </w:tcPr>
          <w:p w14:paraId="38241A0E"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5C086539"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49202941"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(0.066)</w:t>
            </w:r>
          </w:p>
        </w:tc>
        <w:tc>
          <w:tcPr>
            <w:tcW w:w="519" w:type="pct"/>
            <w:tcBorders>
              <w:top w:val="nil"/>
              <w:left w:val="nil"/>
              <w:bottom w:val="nil"/>
              <w:right w:val="nil"/>
            </w:tcBorders>
          </w:tcPr>
          <w:p w14:paraId="71DB6B84"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(0.068)</w:t>
            </w:r>
          </w:p>
        </w:tc>
        <w:tc>
          <w:tcPr>
            <w:tcW w:w="519" w:type="pct"/>
            <w:tcBorders>
              <w:top w:val="nil"/>
              <w:left w:val="nil"/>
              <w:bottom w:val="nil"/>
              <w:right w:val="nil"/>
            </w:tcBorders>
          </w:tcPr>
          <w:p w14:paraId="09B89D0B"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(0.066)</w:t>
            </w:r>
          </w:p>
        </w:tc>
      </w:tr>
      <w:tr w:rsidR="00DE52A8" w:rsidRPr="00461D3B" w14:paraId="45652281" w14:textId="77777777" w:rsidTr="009B09A3">
        <w:trPr>
          <w:jc w:val="center"/>
        </w:trPr>
        <w:tc>
          <w:tcPr>
            <w:tcW w:w="1195" w:type="pct"/>
            <w:tcBorders>
              <w:top w:val="nil"/>
              <w:left w:val="nil"/>
              <w:bottom w:val="nil"/>
              <w:right w:val="nil"/>
            </w:tcBorders>
          </w:tcPr>
          <w:p w14:paraId="22EE7C0B"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proofErr w:type="spellStart"/>
            <w:r w:rsidRPr="00461D3B">
              <w:rPr>
                <w:rFonts w:ascii="Times New Roman" w:hAnsi="Times New Roman" w:cs="Times New Roman"/>
                <w:sz w:val="20"/>
                <w:szCs w:val="24"/>
              </w:rPr>
              <w:t>LTDebt</w:t>
            </w:r>
            <w:proofErr w:type="spellEnd"/>
          </w:p>
        </w:tc>
        <w:tc>
          <w:tcPr>
            <w:tcW w:w="423" w:type="pct"/>
            <w:tcBorders>
              <w:top w:val="nil"/>
              <w:left w:val="nil"/>
              <w:bottom w:val="nil"/>
              <w:right w:val="nil"/>
            </w:tcBorders>
          </w:tcPr>
          <w:p w14:paraId="32197402"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15844B8B"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0F52CCAB"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61" w:type="pct"/>
            <w:tcBorders>
              <w:top w:val="nil"/>
              <w:left w:val="nil"/>
              <w:bottom w:val="nil"/>
              <w:right w:val="nil"/>
            </w:tcBorders>
          </w:tcPr>
          <w:p w14:paraId="7682864C"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08670B12"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742075F2"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0.253**</w:t>
            </w:r>
          </w:p>
        </w:tc>
        <w:tc>
          <w:tcPr>
            <w:tcW w:w="519" w:type="pct"/>
            <w:tcBorders>
              <w:top w:val="nil"/>
              <w:left w:val="nil"/>
              <w:bottom w:val="nil"/>
              <w:right w:val="nil"/>
            </w:tcBorders>
          </w:tcPr>
          <w:p w14:paraId="1C59BEE6"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0.253***</w:t>
            </w:r>
          </w:p>
        </w:tc>
        <w:tc>
          <w:tcPr>
            <w:tcW w:w="519" w:type="pct"/>
            <w:tcBorders>
              <w:top w:val="nil"/>
              <w:left w:val="nil"/>
              <w:bottom w:val="nil"/>
              <w:right w:val="nil"/>
            </w:tcBorders>
          </w:tcPr>
          <w:p w14:paraId="39FD4C4E"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0.250**</w:t>
            </w:r>
          </w:p>
        </w:tc>
      </w:tr>
      <w:tr w:rsidR="00DE52A8" w:rsidRPr="00461D3B" w14:paraId="2B40A112" w14:textId="77777777" w:rsidTr="009B09A3">
        <w:trPr>
          <w:jc w:val="center"/>
        </w:trPr>
        <w:tc>
          <w:tcPr>
            <w:tcW w:w="1195" w:type="pct"/>
            <w:tcBorders>
              <w:top w:val="nil"/>
              <w:left w:val="nil"/>
              <w:bottom w:val="nil"/>
              <w:right w:val="nil"/>
            </w:tcBorders>
          </w:tcPr>
          <w:p w14:paraId="53E9845B"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p>
        </w:tc>
        <w:tc>
          <w:tcPr>
            <w:tcW w:w="423" w:type="pct"/>
            <w:tcBorders>
              <w:top w:val="nil"/>
              <w:left w:val="nil"/>
              <w:bottom w:val="nil"/>
              <w:right w:val="nil"/>
            </w:tcBorders>
          </w:tcPr>
          <w:p w14:paraId="40877A90"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2875C88C"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499B5B5B"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61" w:type="pct"/>
            <w:tcBorders>
              <w:top w:val="nil"/>
              <w:left w:val="nil"/>
              <w:bottom w:val="nil"/>
              <w:right w:val="nil"/>
            </w:tcBorders>
          </w:tcPr>
          <w:p w14:paraId="680C8A3F"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44208B12"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2F8418DE"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(0.097)</w:t>
            </w:r>
          </w:p>
        </w:tc>
        <w:tc>
          <w:tcPr>
            <w:tcW w:w="519" w:type="pct"/>
            <w:tcBorders>
              <w:top w:val="nil"/>
              <w:left w:val="nil"/>
              <w:bottom w:val="nil"/>
              <w:right w:val="nil"/>
            </w:tcBorders>
          </w:tcPr>
          <w:p w14:paraId="79BAC2A1"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(0.097)</w:t>
            </w:r>
          </w:p>
        </w:tc>
        <w:tc>
          <w:tcPr>
            <w:tcW w:w="519" w:type="pct"/>
            <w:tcBorders>
              <w:top w:val="nil"/>
              <w:left w:val="nil"/>
              <w:bottom w:val="nil"/>
              <w:right w:val="nil"/>
            </w:tcBorders>
          </w:tcPr>
          <w:p w14:paraId="0CC98D5B"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(0.097)</w:t>
            </w:r>
          </w:p>
        </w:tc>
      </w:tr>
      <w:tr w:rsidR="00DE52A8" w:rsidRPr="00461D3B" w14:paraId="5FA49077" w14:textId="77777777" w:rsidTr="009B09A3">
        <w:trPr>
          <w:jc w:val="center"/>
        </w:trPr>
        <w:tc>
          <w:tcPr>
            <w:tcW w:w="1195" w:type="pct"/>
            <w:tcBorders>
              <w:top w:val="nil"/>
              <w:left w:val="nil"/>
              <w:bottom w:val="nil"/>
              <w:right w:val="nil"/>
            </w:tcBorders>
          </w:tcPr>
          <w:p w14:paraId="696FEE2D"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r w:rsidRPr="00461D3B">
              <w:rPr>
                <w:rFonts w:ascii="Times New Roman" w:hAnsi="Times New Roman" w:cs="Times New Roman"/>
                <w:sz w:val="20"/>
                <w:szCs w:val="24"/>
              </w:rPr>
              <w:t>Constant</w:t>
            </w:r>
          </w:p>
        </w:tc>
        <w:tc>
          <w:tcPr>
            <w:tcW w:w="423" w:type="pct"/>
            <w:tcBorders>
              <w:top w:val="nil"/>
              <w:left w:val="nil"/>
              <w:bottom w:val="nil"/>
              <w:right w:val="nil"/>
            </w:tcBorders>
          </w:tcPr>
          <w:p w14:paraId="06112EDC"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0.217</w:t>
            </w:r>
          </w:p>
        </w:tc>
        <w:tc>
          <w:tcPr>
            <w:tcW w:w="423" w:type="pct"/>
            <w:tcBorders>
              <w:top w:val="nil"/>
              <w:left w:val="nil"/>
              <w:bottom w:val="nil"/>
              <w:right w:val="nil"/>
            </w:tcBorders>
          </w:tcPr>
          <w:p w14:paraId="5C3F60B9"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0.225</w:t>
            </w:r>
          </w:p>
        </w:tc>
        <w:tc>
          <w:tcPr>
            <w:tcW w:w="423" w:type="pct"/>
            <w:tcBorders>
              <w:top w:val="nil"/>
              <w:left w:val="nil"/>
              <w:bottom w:val="nil"/>
              <w:right w:val="nil"/>
            </w:tcBorders>
          </w:tcPr>
          <w:p w14:paraId="066E78E5"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0.210</w:t>
            </w:r>
          </w:p>
        </w:tc>
        <w:tc>
          <w:tcPr>
            <w:tcW w:w="461" w:type="pct"/>
            <w:tcBorders>
              <w:top w:val="nil"/>
              <w:left w:val="nil"/>
              <w:bottom w:val="nil"/>
              <w:right w:val="nil"/>
            </w:tcBorders>
          </w:tcPr>
          <w:p w14:paraId="57209AF1"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0.058</w:t>
            </w:r>
          </w:p>
        </w:tc>
        <w:tc>
          <w:tcPr>
            <w:tcW w:w="519" w:type="pct"/>
            <w:tcBorders>
              <w:top w:val="nil"/>
              <w:left w:val="nil"/>
              <w:bottom w:val="nil"/>
              <w:right w:val="nil"/>
            </w:tcBorders>
          </w:tcPr>
          <w:p w14:paraId="18E500C5"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-0.018</w:t>
            </w:r>
          </w:p>
        </w:tc>
        <w:tc>
          <w:tcPr>
            <w:tcW w:w="519" w:type="pct"/>
            <w:tcBorders>
              <w:top w:val="nil"/>
              <w:left w:val="nil"/>
              <w:bottom w:val="nil"/>
              <w:right w:val="nil"/>
            </w:tcBorders>
          </w:tcPr>
          <w:p w14:paraId="245B4AA7"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2.682</w:t>
            </w:r>
          </w:p>
        </w:tc>
        <w:tc>
          <w:tcPr>
            <w:tcW w:w="519" w:type="pct"/>
            <w:tcBorders>
              <w:top w:val="nil"/>
              <w:left w:val="nil"/>
              <w:bottom w:val="nil"/>
              <w:right w:val="nil"/>
            </w:tcBorders>
          </w:tcPr>
          <w:p w14:paraId="5D4BAE46"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2.599</w:t>
            </w:r>
          </w:p>
        </w:tc>
        <w:tc>
          <w:tcPr>
            <w:tcW w:w="519" w:type="pct"/>
            <w:tcBorders>
              <w:top w:val="nil"/>
              <w:left w:val="nil"/>
              <w:bottom w:val="nil"/>
              <w:right w:val="nil"/>
            </w:tcBorders>
          </w:tcPr>
          <w:p w14:paraId="3B69A9D1"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2.554</w:t>
            </w:r>
          </w:p>
        </w:tc>
      </w:tr>
      <w:tr w:rsidR="00DE52A8" w:rsidRPr="00461D3B" w14:paraId="401F5334" w14:textId="77777777" w:rsidTr="009B09A3">
        <w:trPr>
          <w:jc w:val="center"/>
        </w:trPr>
        <w:tc>
          <w:tcPr>
            <w:tcW w:w="1195" w:type="pct"/>
            <w:tcBorders>
              <w:top w:val="nil"/>
              <w:left w:val="nil"/>
              <w:bottom w:val="nil"/>
              <w:right w:val="nil"/>
            </w:tcBorders>
          </w:tcPr>
          <w:p w14:paraId="47470164"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p>
        </w:tc>
        <w:tc>
          <w:tcPr>
            <w:tcW w:w="423" w:type="pct"/>
            <w:tcBorders>
              <w:top w:val="nil"/>
              <w:left w:val="nil"/>
              <w:bottom w:val="nil"/>
              <w:right w:val="nil"/>
            </w:tcBorders>
          </w:tcPr>
          <w:p w14:paraId="0A0D4335"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(0.310)</w:t>
            </w:r>
          </w:p>
        </w:tc>
        <w:tc>
          <w:tcPr>
            <w:tcW w:w="423" w:type="pct"/>
            <w:tcBorders>
              <w:top w:val="nil"/>
              <w:left w:val="nil"/>
              <w:bottom w:val="nil"/>
              <w:right w:val="nil"/>
            </w:tcBorders>
          </w:tcPr>
          <w:p w14:paraId="39D7EE9E"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(0.312)</w:t>
            </w:r>
          </w:p>
        </w:tc>
        <w:tc>
          <w:tcPr>
            <w:tcW w:w="423" w:type="pct"/>
            <w:tcBorders>
              <w:top w:val="nil"/>
              <w:left w:val="nil"/>
              <w:bottom w:val="nil"/>
              <w:right w:val="nil"/>
            </w:tcBorders>
          </w:tcPr>
          <w:p w14:paraId="2BE9FD3D"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(0.318)</w:t>
            </w:r>
          </w:p>
        </w:tc>
        <w:tc>
          <w:tcPr>
            <w:tcW w:w="461" w:type="pct"/>
            <w:tcBorders>
              <w:top w:val="nil"/>
              <w:left w:val="nil"/>
              <w:bottom w:val="nil"/>
              <w:right w:val="nil"/>
            </w:tcBorders>
          </w:tcPr>
          <w:p w14:paraId="4AA4DED5"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(0.320)</w:t>
            </w:r>
          </w:p>
        </w:tc>
        <w:tc>
          <w:tcPr>
            <w:tcW w:w="519" w:type="pct"/>
            <w:tcBorders>
              <w:top w:val="nil"/>
              <w:left w:val="nil"/>
              <w:bottom w:val="nil"/>
              <w:right w:val="nil"/>
            </w:tcBorders>
          </w:tcPr>
          <w:p w14:paraId="32056AC5"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(0.291)</w:t>
            </w:r>
          </w:p>
        </w:tc>
        <w:tc>
          <w:tcPr>
            <w:tcW w:w="519" w:type="pct"/>
            <w:tcBorders>
              <w:top w:val="nil"/>
              <w:left w:val="nil"/>
              <w:bottom w:val="nil"/>
              <w:right w:val="nil"/>
            </w:tcBorders>
          </w:tcPr>
          <w:p w14:paraId="14DDD5CB"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(2.705)</w:t>
            </w:r>
          </w:p>
        </w:tc>
        <w:tc>
          <w:tcPr>
            <w:tcW w:w="519" w:type="pct"/>
            <w:tcBorders>
              <w:top w:val="nil"/>
              <w:left w:val="nil"/>
              <w:bottom w:val="nil"/>
              <w:right w:val="nil"/>
            </w:tcBorders>
          </w:tcPr>
          <w:p w14:paraId="1D5F9880"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(2.625)</w:t>
            </w:r>
          </w:p>
        </w:tc>
        <w:tc>
          <w:tcPr>
            <w:tcW w:w="519" w:type="pct"/>
            <w:tcBorders>
              <w:top w:val="nil"/>
              <w:left w:val="nil"/>
              <w:bottom w:val="nil"/>
              <w:right w:val="nil"/>
            </w:tcBorders>
          </w:tcPr>
          <w:p w14:paraId="776A3279"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(2.727)</w:t>
            </w:r>
          </w:p>
        </w:tc>
      </w:tr>
      <w:tr w:rsidR="00DE52A8" w:rsidRPr="00461D3B" w14:paraId="3F7CA3BA" w14:textId="77777777" w:rsidTr="009B09A3">
        <w:trPr>
          <w:jc w:val="center"/>
        </w:trPr>
        <w:tc>
          <w:tcPr>
            <w:tcW w:w="1195" w:type="pct"/>
            <w:tcBorders>
              <w:top w:val="nil"/>
              <w:left w:val="nil"/>
              <w:bottom w:val="nil"/>
              <w:right w:val="nil"/>
            </w:tcBorders>
          </w:tcPr>
          <w:p w14:paraId="2C7E4766"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p>
        </w:tc>
        <w:tc>
          <w:tcPr>
            <w:tcW w:w="423" w:type="pct"/>
            <w:tcBorders>
              <w:top w:val="nil"/>
              <w:left w:val="nil"/>
              <w:bottom w:val="nil"/>
              <w:right w:val="nil"/>
            </w:tcBorders>
          </w:tcPr>
          <w:p w14:paraId="0385CE81"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3F4FD20D"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743A167C"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61" w:type="pct"/>
            <w:tcBorders>
              <w:top w:val="nil"/>
              <w:left w:val="nil"/>
              <w:bottom w:val="nil"/>
              <w:right w:val="nil"/>
            </w:tcBorders>
          </w:tcPr>
          <w:p w14:paraId="737D841C"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31422A1F"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5256BC28"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647D1CA7"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2EC10F81"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r>
      <w:tr w:rsidR="00DE52A8" w:rsidRPr="00461D3B" w14:paraId="51027EBB" w14:textId="77777777" w:rsidTr="009B09A3">
        <w:trPr>
          <w:jc w:val="center"/>
        </w:trPr>
        <w:tc>
          <w:tcPr>
            <w:tcW w:w="1195" w:type="pct"/>
            <w:tcBorders>
              <w:top w:val="nil"/>
              <w:left w:val="nil"/>
              <w:bottom w:val="nil"/>
              <w:right w:val="nil"/>
            </w:tcBorders>
          </w:tcPr>
          <w:p w14:paraId="287BB009" w14:textId="2BA1E492" w:rsidR="00DE52A8" w:rsidRPr="00461D3B" w:rsidRDefault="00DE52A8" w:rsidP="009B09A3">
            <w:pPr>
              <w:widowControl w:val="0"/>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Year Dummies</w:t>
            </w:r>
          </w:p>
        </w:tc>
        <w:tc>
          <w:tcPr>
            <w:tcW w:w="423" w:type="pct"/>
            <w:tcBorders>
              <w:top w:val="nil"/>
              <w:left w:val="nil"/>
              <w:bottom w:val="nil"/>
              <w:right w:val="nil"/>
            </w:tcBorders>
          </w:tcPr>
          <w:p w14:paraId="2C1D18D8" w14:textId="7CCA923F"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Pr>
                <w:rFonts w:ascii="Times New Roman" w:hAnsi="Times New Roman" w:cs="Times New Roman"/>
                <w:sz w:val="20"/>
                <w:szCs w:val="24"/>
              </w:rPr>
              <w:t>YES</w:t>
            </w:r>
          </w:p>
        </w:tc>
        <w:tc>
          <w:tcPr>
            <w:tcW w:w="423" w:type="pct"/>
            <w:tcBorders>
              <w:top w:val="nil"/>
              <w:left w:val="nil"/>
              <w:bottom w:val="nil"/>
              <w:right w:val="nil"/>
            </w:tcBorders>
          </w:tcPr>
          <w:p w14:paraId="734EEC8F" w14:textId="02597998"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Pr>
                <w:rFonts w:ascii="Times New Roman" w:hAnsi="Times New Roman" w:cs="Times New Roman"/>
                <w:sz w:val="20"/>
                <w:szCs w:val="24"/>
              </w:rPr>
              <w:t>YES</w:t>
            </w:r>
          </w:p>
        </w:tc>
        <w:tc>
          <w:tcPr>
            <w:tcW w:w="423" w:type="pct"/>
            <w:tcBorders>
              <w:top w:val="nil"/>
              <w:left w:val="nil"/>
              <w:bottom w:val="nil"/>
              <w:right w:val="nil"/>
            </w:tcBorders>
          </w:tcPr>
          <w:p w14:paraId="35D61ED7" w14:textId="3D9A75B0"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Pr>
                <w:rFonts w:ascii="Times New Roman" w:hAnsi="Times New Roman" w:cs="Times New Roman"/>
                <w:sz w:val="20"/>
                <w:szCs w:val="24"/>
              </w:rPr>
              <w:t>YES</w:t>
            </w:r>
          </w:p>
        </w:tc>
        <w:tc>
          <w:tcPr>
            <w:tcW w:w="461" w:type="pct"/>
            <w:tcBorders>
              <w:top w:val="nil"/>
              <w:left w:val="nil"/>
              <w:bottom w:val="nil"/>
              <w:right w:val="nil"/>
            </w:tcBorders>
          </w:tcPr>
          <w:p w14:paraId="7269DF5E" w14:textId="69A1C6FD"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Pr>
                <w:rFonts w:ascii="Times New Roman" w:hAnsi="Times New Roman" w:cs="Times New Roman"/>
                <w:sz w:val="20"/>
                <w:szCs w:val="24"/>
              </w:rPr>
              <w:t>YES</w:t>
            </w:r>
          </w:p>
        </w:tc>
        <w:tc>
          <w:tcPr>
            <w:tcW w:w="519" w:type="pct"/>
            <w:tcBorders>
              <w:top w:val="nil"/>
              <w:left w:val="nil"/>
              <w:bottom w:val="nil"/>
              <w:right w:val="nil"/>
            </w:tcBorders>
          </w:tcPr>
          <w:p w14:paraId="62AAFB01" w14:textId="7E5BD7E2"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Pr>
                <w:rFonts w:ascii="Times New Roman" w:hAnsi="Times New Roman" w:cs="Times New Roman"/>
                <w:sz w:val="20"/>
                <w:szCs w:val="24"/>
              </w:rPr>
              <w:t>YES</w:t>
            </w:r>
          </w:p>
        </w:tc>
        <w:tc>
          <w:tcPr>
            <w:tcW w:w="519" w:type="pct"/>
            <w:tcBorders>
              <w:top w:val="nil"/>
              <w:left w:val="nil"/>
              <w:bottom w:val="nil"/>
              <w:right w:val="nil"/>
            </w:tcBorders>
          </w:tcPr>
          <w:p w14:paraId="546C37BE" w14:textId="24760299"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Pr>
                <w:rFonts w:ascii="Times New Roman" w:hAnsi="Times New Roman" w:cs="Times New Roman"/>
                <w:sz w:val="20"/>
                <w:szCs w:val="24"/>
              </w:rPr>
              <w:t>YES</w:t>
            </w:r>
          </w:p>
        </w:tc>
        <w:tc>
          <w:tcPr>
            <w:tcW w:w="519" w:type="pct"/>
            <w:tcBorders>
              <w:top w:val="nil"/>
              <w:left w:val="nil"/>
              <w:bottom w:val="nil"/>
              <w:right w:val="nil"/>
            </w:tcBorders>
          </w:tcPr>
          <w:p w14:paraId="56A360D1" w14:textId="5E4E670B"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Pr>
                <w:rFonts w:ascii="Times New Roman" w:hAnsi="Times New Roman" w:cs="Times New Roman"/>
                <w:sz w:val="20"/>
                <w:szCs w:val="24"/>
              </w:rPr>
              <w:t>YES</w:t>
            </w:r>
          </w:p>
        </w:tc>
        <w:tc>
          <w:tcPr>
            <w:tcW w:w="519" w:type="pct"/>
            <w:tcBorders>
              <w:top w:val="nil"/>
              <w:left w:val="nil"/>
              <w:bottom w:val="nil"/>
              <w:right w:val="nil"/>
            </w:tcBorders>
          </w:tcPr>
          <w:p w14:paraId="54C6283D" w14:textId="00D40B6F"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Pr>
                <w:rFonts w:ascii="Times New Roman" w:hAnsi="Times New Roman" w:cs="Times New Roman"/>
                <w:sz w:val="20"/>
                <w:szCs w:val="24"/>
              </w:rPr>
              <w:t>YES</w:t>
            </w:r>
          </w:p>
        </w:tc>
      </w:tr>
      <w:tr w:rsidR="00DE52A8" w:rsidRPr="00461D3B" w14:paraId="78C01546" w14:textId="77777777" w:rsidTr="009B09A3">
        <w:trPr>
          <w:jc w:val="center"/>
        </w:trPr>
        <w:tc>
          <w:tcPr>
            <w:tcW w:w="1195" w:type="pct"/>
            <w:tcBorders>
              <w:top w:val="nil"/>
              <w:left w:val="nil"/>
              <w:bottom w:val="nil"/>
              <w:right w:val="nil"/>
            </w:tcBorders>
          </w:tcPr>
          <w:p w14:paraId="0CC7C67D"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p>
        </w:tc>
        <w:tc>
          <w:tcPr>
            <w:tcW w:w="423" w:type="pct"/>
            <w:tcBorders>
              <w:top w:val="nil"/>
              <w:left w:val="nil"/>
              <w:bottom w:val="nil"/>
              <w:right w:val="nil"/>
            </w:tcBorders>
          </w:tcPr>
          <w:p w14:paraId="67165FA8"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60609D5A"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23" w:type="pct"/>
            <w:tcBorders>
              <w:top w:val="nil"/>
              <w:left w:val="nil"/>
              <w:bottom w:val="nil"/>
              <w:right w:val="nil"/>
            </w:tcBorders>
          </w:tcPr>
          <w:p w14:paraId="7581600E"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461" w:type="pct"/>
            <w:tcBorders>
              <w:top w:val="nil"/>
              <w:left w:val="nil"/>
              <w:bottom w:val="nil"/>
              <w:right w:val="nil"/>
            </w:tcBorders>
          </w:tcPr>
          <w:p w14:paraId="7F4EFB88"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141499C1"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755B32A3"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46B299E4"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c>
          <w:tcPr>
            <w:tcW w:w="519" w:type="pct"/>
            <w:tcBorders>
              <w:top w:val="nil"/>
              <w:left w:val="nil"/>
              <w:bottom w:val="nil"/>
              <w:right w:val="nil"/>
            </w:tcBorders>
          </w:tcPr>
          <w:p w14:paraId="4CC69146"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p>
        </w:tc>
      </w:tr>
      <w:tr w:rsidR="00DE52A8" w:rsidRPr="00461D3B" w14:paraId="295F0941" w14:textId="77777777" w:rsidTr="009B09A3">
        <w:trPr>
          <w:jc w:val="center"/>
        </w:trPr>
        <w:tc>
          <w:tcPr>
            <w:tcW w:w="1195" w:type="pct"/>
            <w:tcBorders>
              <w:top w:val="nil"/>
              <w:left w:val="nil"/>
              <w:bottom w:val="nil"/>
              <w:right w:val="nil"/>
            </w:tcBorders>
          </w:tcPr>
          <w:p w14:paraId="7BFD1F61"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r w:rsidRPr="00461D3B">
              <w:rPr>
                <w:rFonts w:ascii="Times New Roman" w:hAnsi="Times New Roman" w:cs="Times New Roman"/>
                <w:sz w:val="20"/>
                <w:szCs w:val="24"/>
              </w:rPr>
              <w:t>Observations</w:t>
            </w:r>
          </w:p>
        </w:tc>
        <w:tc>
          <w:tcPr>
            <w:tcW w:w="423" w:type="pct"/>
            <w:tcBorders>
              <w:top w:val="nil"/>
              <w:left w:val="nil"/>
              <w:bottom w:val="nil"/>
              <w:right w:val="nil"/>
            </w:tcBorders>
          </w:tcPr>
          <w:p w14:paraId="38A9BD4E"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212</w:t>
            </w:r>
          </w:p>
        </w:tc>
        <w:tc>
          <w:tcPr>
            <w:tcW w:w="423" w:type="pct"/>
            <w:tcBorders>
              <w:top w:val="nil"/>
              <w:left w:val="nil"/>
              <w:bottom w:val="nil"/>
              <w:right w:val="nil"/>
            </w:tcBorders>
          </w:tcPr>
          <w:p w14:paraId="62D036EB"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212</w:t>
            </w:r>
          </w:p>
        </w:tc>
        <w:tc>
          <w:tcPr>
            <w:tcW w:w="423" w:type="pct"/>
            <w:tcBorders>
              <w:top w:val="nil"/>
              <w:left w:val="nil"/>
              <w:bottom w:val="nil"/>
              <w:right w:val="nil"/>
            </w:tcBorders>
          </w:tcPr>
          <w:p w14:paraId="68D7D08D"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212</w:t>
            </w:r>
          </w:p>
        </w:tc>
        <w:tc>
          <w:tcPr>
            <w:tcW w:w="461" w:type="pct"/>
            <w:tcBorders>
              <w:top w:val="nil"/>
              <w:left w:val="nil"/>
              <w:bottom w:val="nil"/>
              <w:right w:val="nil"/>
            </w:tcBorders>
          </w:tcPr>
          <w:p w14:paraId="3A68A2BD"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212</w:t>
            </w:r>
          </w:p>
        </w:tc>
        <w:tc>
          <w:tcPr>
            <w:tcW w:w="519" w:type="pct"/>
            <w:tcBorders>
              <w:top w:val="nil"/>
              <w:left w:val="nil"/>
              <w:bottom w:val="nil"/>
              <w:right w:val="nil"/>
            </w:tcBorders>
          </w:tcPr>
          <w:p w14:paraId="5B380D9E"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193</w:t>
            </w:r>
          </w:p>
        </w:tc>
        <w:tc>
          <w:tcPr>
            <w:tcW w:w="519" w:type="pct"/>
            <w:tcBorders>
              <w:top w:val="nil"/>
              <w:left w:val="nil"/>
              <w:bottom w:val="nil"/>
              <w:right w:val="nil"/>
            </w:tcBorders>
          </w:tcPr>
          <w:p w14:paraId="106F41E4"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192</w:t>
            </w:r>
          </w:p>
        </w:tc>
        <w:tc>
          <w:tcPr>
            <w:tcW w:w="519" w:type="pct"/>
            <w:tcBorders>
              <w:top w:val="nil"/>
              <w:left w:val="nil"/>
              <w:bottom w:val="nil"/>
              <w:right w:val="nil"/>
            </w:tcBorders>
          </w:tcPr>
          <w:p w14:paraId="173F72FD"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191</w:t>
            </w:r>
          </w:p>
        </w:tc>
        <w:tc>
          <w:tcPr>
            <w:tcW w:w="519" w:type="pct"/>
            <w:tcBorders>
              <w:top w:val="nil"/>
              <w:left w:val="nil"/>
              <w:bottom w:val="nil"/>
              <w:right w:val="nil"/>
            </w:tcBorders>
          </w:tcPr>
          <w:p w14:paraId="782B1F5C"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192</w:t>
            </w:r>
          </w:p>
        </w:tc>
      </w:tr>
      <w:tr w:rsidR="00DE52A8" w:rsidRPr="00461D3B" w14:paraId="0894B330" w14:textId="77777777" w:rsidTr="009B09A3">
        <w:tblPrEx>
          <w:tblBorders>
            <w:bottom w:val="single" w:sz="6" w:space="0" w:color="auto"/>
          </w:tblBorders>
        </w:tblPrEx>
        <w:trPr>
          <w:jc w:val="center"/>
        </w:trPr>
        <w:tc>
          <w:tcPr>
            <w:tcW w:w="1195" w:type="pct"/>
            <w:tcBorders>
              <w:top w:val="nil"/>
              <w:left w:val="nil"/>
              <w:bottom w:val="single" w:sz="6" w:space="0" w:color="auto"/>
              <w:right w:val="nil"/>
            </w:tcBorders>
          </w:tcPr>
          <w:p w14:paraId="3DF2CD9E" w14:textId="77777777" w:rsidR="00DE52A8" w:rsidRPr="00461D3B" w:rsidRDefault="00DE52A8" w:rsidP="009B09A3">
            <w:pPr>
              <w:widowControl w:val="0"/>
              <w:autoSpaceDE w:val="0"/>
              <w:autoSpaceDN w:val="0"/>
              <w:adjustRightInd w:val="0"/>
              <w:rPr>
                <w:rFonts w:ascii="Times New Roman" w:hAnsi="Times New Roman" w:cs="Times New Roman"/>
                <w:sz w:val="20"/>
                <w:szCs w:val="24"/>
              </w:rPr>
            </w:pPr>
            <w:r w:rsidRPr="00461D3B">
              <w:rPr>
                <w:rFonts w:ascii="Times New Roman" w:hAnsi="Times New Roman" w:cs="Times New Roman"/>
                <w:sz w:val="20"/>
                <w:szCs w:val="24"/>
              </w:rPr>
              <w:t>R-squared</w:t>
            </w:r>
          </w:p>
        </w:tc>
        <w:tc>
          <w:tcPr>
            <w:tcW w:w="423" w:type="pct"/>
            <w:tcBorders>
              <w:top w:val="nil"/>
              <w:left w:val="nil"/>
              <w:bottom w:val="single" w:sz="6" w:space="0" w:color="auto"/>
              <w:right w:val="nil"/>
            </w:tcBorders>
          </w:tcPr>
          <w:p w14:paraId="26C6F96C"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0.094</w:t>
            </w:r>
          </w:p>
        </w:tc>
        <w:tc>
          <w:tcPr>
            <w:tcW w:w="423" w:type="pct"/>
            <w:tcBorders>
              <w:top w:val="nil"/>
              <w:left w:val="nil"/>
              <w:bottom w:val="single" w:sz="6" w:space="0" w:color="auto"/>
              <w:right w:val="nil"/>
            </w:tcBorders>
          </w:tcPr>
          <w:p w14:paraId="3A5B619A"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0.094</w:t>
            </w:r>
          </w:p>
        </w:tc>
        <w:tc>
          <w:tcPr>
            <w:tcW w:w="423" w:type="pct"/>
            <w:tcBorders>
              <w:top w:val="nil"/>
              <w:left w:val="nil"/>
              <w:bottom w:val="single" w:sz="6" w:space="0" w:color="auto"/>
              <w:right w:val="nil"/>
            </w:tcBorders>
          </w:tcPr>
          <w:p w14:paraId="5EBC21B7"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0.092</w:t>
            </w:r>
          </w:p>
        </w:tc>
        <w:tc>
          <w:tcPr>
            <w:tcW w:w="461" w:type="pct"/>
            <w:tcBorders>
              <w:top w:val="nil"/>
              <w:left w:val="nil"/>
              <w:bottom w:val="single" w:sz="6" w:space="0" w:color="auto"/>
              <w:right w:val="nil"/>
            </w:tcBorders>
          </w:tcPr>
          <w:p w14:paraId="72666256"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0.145</w:t>
            </w:r>
          </w:p>
        </w:tc>
        <w:tc>
          <w:tcPr>
            <w:tcW w:w="519" w:type="pct"/>
            <w:tcBorders>
              <w:top w:val="nil"/>
              <w:left w:val="nil"/>
              <w:bottom w:val="single" w:sz="6" w:space="0" w:color="auto"/>
              <w:right w:val="nil"/>
            </w:tcBorders>
          </w:tcPr>
          <w:p w14:paraId="5CD77CEB"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0.374</w:t>
            </w:r>
          </w:p>
        </w:tc>
        <w:tc>
          <w:tcPr>
            <w:tcW w:w="519" w:type="pct"/>
            <w:tcBorders>
              <w:top w:val="nil"/>
              <w:left w:val="nil"/>
              <w:bottom w:val="single" w:sz="6" w:space="0" w:color="auto"/>
              <w:right w:val="nil"/>
            </w:tcBorders>
          </w:tcPr>
          <w:p w14:paraId="51E030FE"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0.409</w:t>
            </w:r>
          </w:p>
        </w:tc>
        <w:tc>
          <w:tcPr>
            <w:tcW w:w="519" w:type="pct"/>
            <w:tcBorders>
              <w:top w:val="nil"/>
              <w:left w:val="nil"/>
              <w:bottom w:val="single" w:sz="6" w:space="0" w:color="auto"/>
              <w:right w:val="nil"/>
            </w:tcBorders>
          </w:tcPr>
          <w:p w14:paraId="20C45026"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0.415</w:t>
            </w:r>
          </w:p>
        </w:tc>
        <w:tc>
          <w:tcPr>
            <w:tcW w:w="519" w:type="pct"/>
            <w:tcBorders>
              <w:top w:val="nil"/>
              <w:left w:val="nil"/>
              <w:bottom w:val="single" w:sz="6" w:space="0" w:color="auto"/>
              <w:right w:val="nil"/>
            </w:tcBorders>
          </w:tcPr>
          <w:p w14:paraId="26438D69" w14:textId="77777777" w:rsidR="00DE52A8" w:rsidRPr="00461D3B" w:rsidRDefault="00DE52A8" w:rsidP="009B09A3">
            <w:pPr>
              <w:widowControl w:val="0"/>
              <w:autoSpaceDE w:val="0"/>
              <w:autoSpaceDN w:val="0"/>
              <w:adjustRightInd w:val="0"/>
              <w:jc w:val="center"/>
              <w:rPr>
                <w:rFonts w:ascii="Times New Roman" w:hAnsi="Times New Roman" w:cs="Times New Roman"/>
                <w:sz w:val="20"/>
                <w:szCs w:val="24"/>
              </w:rPr>
            </w:pPr>
            <w:r w:rsidRPr="00461D3B">
              <w:rPr>
                <w:rFonts w:ascii="Times New Roman" w:hAnsi="Times New Roman" w:cs="Times New Roman"/>
                <w:sz w:val="20"/>
                <w:szCs w:val="24"/>
              </w:rPr>
              <w:t>0.410</w:t>
            </w:r>
          </w:p>
        </w:tc>
      </w:tr>
    </w:tbl>
    <w:p w14:paraId="54278B92" w14:textId="026C366D" w:rsidR="00FF779A" w:rsidRPr="00C179DC" w:rsidRDefault="00FF779A" w:rsidP="0025535E">
      <w:pPr>
        <w:widowControl w:val="0"/>
        <w:autoSpaceDE w:val="0"/>
        <w:autoSpaceDN w:val="0"/>
        <w:adjustRightInd w:val="0"/>
        <w:spacing w:line="276" w:lineRule="auto"/>
        <w:rPr>
          <w:rFonts w:ascii="Times New Roman" w:hAnsi="Times New Roman" w:cs="Times New Roman"/>
          <w:sz w:val="16"/>
          <w:szCs w:val="18"/>
        </w:rPr>
      </w:pPr>
      <w:r w:rsidRPr="001344F0">
        <w:rPr>
          <w:rFonts w:ascii="Times New Roman" w:hAnsi="Times New Roman" w:cs="Times New Roman"/>
          <w:i/>
          <w:sz w:val="16"/>
          <w:szCs w:val="18"/>
        </w:rPr>
        <w:t>Notes</w:t>
      </w:r>
      <w:r w:rsidRPr="001344F0">
        <w:rPr>
          <w:rFonts w:ascii="Times New Roman" w:hAnsi="Times New Roman" w:cs="Times New Roman"/>
          <w:sz w:val="16"/>
          <w:szCs w:val="18"/>
        </w:rPr>
        <w:t xml:space="preserve">: *** p&lt;0.01, ** p&lt;0.05, * p&lt;0.1.  Robust standard errors are in parentheses.  Dependent variable is industry-adjusted Q.  ROA is the industry-adjusted ROA.  </w:t>
      </w:r>
      <w:r w:rsidR="0025535E" w:rsidRPr="001344F0">
        <w:rPr>
          <w:rFonts w:ascii="Times New Roman" w:hAnsi="Times New Roman" w:cs="Times New Roman"/>
          <w:sz w:val="16"/>
          <w:szCs w:val="18"/>
        </w:rPr>
        <w:t xml:space="preserve">All outliers have been </w:t>
      </w:r>
      <w:proofErr w:type="spellStart"/>
      <w:r w:rsidR="0025535E" w:rsidRPr="001344F0">
        <w:rPr>
          <w:rFonts w:ascii="Times New Roman" w:hAnsi="Times New Roman" w:cs="Times New Roman"/>
          <w:sz w:val="16"/>
          <w:szCs w:val="18"/>
        </w:rPr>
        <w:t>winsorized</w:t>
      </w:r>
      <w:proofErr w:type="spellEnd"/>
      <w:r w:rsidR="0025535E" w:rsidRPr="001344F0">
        <w:rPr>
          <w:rFonts w:ascii="Times New Roman" w:hAnsi="Times New Roman" w:cs="Times New Roman"/>
          <w:sz w:val="16"/>
          <w:szCs w:val="18"/>
        </w:rPr>
        <w:t xml:space="preserve"> at the 1% and 99% levels.</w:t>
      </w:r>
      <w:r w:rsidR="00A906AA" w:rsidRPr="001344F0">
        <w:rPr>
          <w:rFonts w:ascii="Times New Roman" w:hAnsi="Times New Roman" w:cs="Times New Roman"/>
          <w:sz w:val="16"/>
          <w:szCs w:val="18"/>
        </w:rPr>
        <w:t xml:space="preserve">  </w:t>
      </w:r>
      <w:r w:rsidR="0025535E" w:rsidRPr="001344F0">
        <w:rPr>
          <w:rFonts w:ascii="Times New Roman" w:hAnsi="Times New Roman" w:cs="Times New Roman"/>
          <w:sz w:val="16"/>
          <w:szCs w:val="18"/>
        </w:rPr>
        <w:t>“</w:t>
      </w:r>
    </w:p>
    <w:p w14:paraId="0C225096" w14:textId="46E7DDCD" w:rsidR="008D3BC4" w:rsidRDefault="008D3BC4">
      <w:pPr>
        <w:spacing w:after="200" w:line="276" w:lineRule="auto"/>
        <w:jc w:val="left"/>
        <w:rPr>
          <w:rFonts w:ascii="Times New Roman" w:hAnsi="Times New Roman" w:cs="Times New Roman"/>
          <w:sz w:val="18"/>
          <w:szCs w:val="18"/>
        </w:rPr>
      </w:pPr>
      <w:r>
        <w:rPr>
          <w:rFonts w:ascii="Times New Roman" w:hAnsi="Times New Roman" w:cs="Times New Roman"/>
          <w:sz w:val="18"/>
          <w:szCs w:val="18"/>
        </w:rPr>
        <w:br w:type="page"/>
      </w:r>
    </w:p>
    <w:p w14:paraId="165CA1D0" w14:textId="62A2B301" w:rsidR="00703AC0" w:rsidRPr="00703AC0" w:rsidRDefault="00703AC0" w:rsidP="00703AC0">
      <w:pPr>
        <w:jc w:val="center"/>
        <w:rPr>
          <w:rFonts w:ascii="Times New Roman" w:hAnsi="Times New Roman" w:cs="Times New Roman"/>
          <w:sz w:val="20"/>
          <w:szCs w:val="20"/>
        </w:rPr>
      </w:pPr>
      <w:r w:rsidRPr="00703AC0">
        <w:rPr>
          <w:rFonts w:ascii="Times New Roman" w:hAnsi="Times New Roman" w:cs="Times New Roman"/>
          <w:sz w:val="20"/>
          <w:szCs w:val="20"/>
        </w:rPr>
        <w:t xml:space="preserve">TABLE </w:t>
      </w:r>
      <w:r w:rsidR="00635C6E">
        <w:rPr>
          <w:rFonts w:ascii="Times New Roman" w:hAnsi="Times New Roman" w:cs="Times New Roman"/>
          <w:sz w:val="20"/>
          <w:szCs w:val="20"/>
        </w:rPr>
        <w:t xml:space="preserve">8 </w:t>
      </w:r>
    </w:p>
    <w:p w14:paraId="77D6126E" w14:textId="68C29EF9" w:rsidR="002A173B" w:rsidRDefault="00703AC0" w:rsidP="00703AC0">
      <w:pPr>
        <w:jc w:val="center"/>
        <w:rPr>
          <w:rFonts w:ascii="Times New Roman" w:hAnsi="Times New Roman" w:cs="Times New Roman"/>
          <w:sz w:val="24"/>
          <w:szCs w:val="24"/>
        </w:rPr>
      </w:pPr>
      <w:r w:rsidRPr="00703AC0">
        <w:rPr>
          <w:rFonts w:ascii="Times New Roman" w:hAnsi="Times New Roman" w:cs="Times New Roman"/>
          <w:sz w:val="24"/>
          <w:szCs w:val="24"/>
        </w:rPr>
        <w:t>ROA ROBUSTNESS TESTS – ALTERNATIVE DEFINITIONS OF LARGE BLOCKHOLDERS</w:t>
      </w:r>
    </w:p>
    <w:tbl>
      <w:tblPr>
        <w:tblW w:w="5000" w:type="pct"/>
        <w:jc w:val="center"/>
        <w:tblCellMar>
          <w:left w:w="75" w:type="dxa"/>
          <w:right w:w="75" w:type="dxa"/>
        </w:tblCellMar>
        <w:tblLook w:val="0000" w:firstRow="0" w:lastRow="0" w:firstColumn="0" w:lastColumn="0" w:noHBand="0" w:noVBand="0"/>
      </w:tblPr>
      <w:tblGrid>
        <w:gridCol w:w="2032"/>
        <w:gridCol w:w="1191"/>
        <w:gridCol w:w="1191"/>
        <w:gridCol w:w="1191"/>
        <w:gridCol w:w="1191"/>
        <w:gridCol w:w="1191"/>
        <w:gridCol w:w="1189"/>
      </w:tblGrid>
      <w:tr w:rsidR="00B3764A" w:rsidRPr="00E57103" w14:paraId="32FEF077" w14:textId="77777777" w:rsidTr="00B3764A">
        <w:trPr>
          <w:jc w:val="center"/>
        </w:trPr>
        <w:tc>
          <w:tcPr>
            <w:tcW w:w="1107" w:type="pct"/>
            <w:tcBorders>
              <w:top w:val="single" w:sz="6" w:space="0" w:color="auto"/>
              <w:left w:val="nil"/>
              <w:bottom w:val="nil"/>
              <w:right w:val="nil"/>
            </w:tcBorders>
          </w:tcPr>
          <w:p w14:paraId="1208C2F2" w14:textId="77777777" w:rsidR="00B3764A" w:rsidRDefault="00B3764A" w:rsidP="009B09A3">
            <w:pPr>
              <w:widowControl w:val="0"/>
              <w:autoSpaceDE w:val="0"/>
              <w:autoSpaceDN w:val="0"/>
              <w:adjustRightInd w:val="0"/>
              <w:rPr>
                <w:rFonts w:ascii="Times New Roman" w:hAnsi="Times New Roman" w:cs="Times New Roman"/>
                <w:sz w:val="24"/>
                <w:szCs w:val="24"/>
              </w:rPr>
            </w:pPr>
          </w:p>
        </w:tc>
        <w:tc>
          <w:tcPr>
            <w:tcW w:w="1946" w:type="pct"/>
            <w:gridSpan w:val="3"/>
            <w:tcBorders>
              <w:top w:val="single" w:sz="6" w:space="0" w:color="auto"/>
              <w:left w:val="nil"/>
              <w:bottom w:val="nil"/>
              <w:right w:val="single" w:sz="6" w:space="0" w:color="auto"/>
            </w:tcBorders>
          </w:tcPr>
          <w:p w14:paraId="2F8B4CDE" w14:textId="74EEB3C6"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Voting Concentration</w:t>
            </w:r>
          </w:p>
        </w:tc>
        <w:tc>
          <w:tcPr>
            <w:tcW w:w="1946" w:type="pct"/>
            <w:gridSpan w:val="3"/>
            <w:tcBorders>
              <w:top w:val="single" w:sz="6" w:space="0" w:color="auto"/>
              <w:left w:val="single" w:sz="6" w:space="0" w:color="auto"/>
              <w:bottom w:val="nil"/>
              <w:right w:val="nil"/>
            </w:tcBorders>
          </w:tcPr>
          <w:p w14:paraId="3FD03E9D" w14:textId="0473B8AE"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Capital Concentration</w:t>
            </w:r>
          </w:p>
        </w:tc>
      </w:tr>
      <w:tr w:rsidR="00B3764A" w:rsidRPr="00E57103" w14:paraId="5360BB21" w14:textId="77777777" w:rsidTr="008E3209">
        <w:trPr>
          <w:trHeight w:val="199"/>
          <w:jc w:val="center"/>
        </w:trPr>
        <w:tc>
          <w:tcPr>
            <w:tcW w:w="1107" w:type="pct"/>
            <w:tcBorders>
              <w:top w:val="single" w:sz="6" w:space="0" w:color="auto"/>
              <w:left w:val="nil"/>
              <w:bottom w:val="single" w:sz="6" w:space="0" w:color="auto"/>
              <w:right w:val="nil"/>
            </w:tcBorders>
          </w:tcPr>
          <w:p w14:paraId="791BA168" w14:textId="77777777" w:rsidR="00B3764A" w:rsidRDefault="00B3764A" w:rsidP="009B09A3">
            <w:pPr>
              <w:widowControl w:val="0"/>
              <w:autoSpaceDE w:val="0"/>
              <w:autoSpaceDN w:val="0"/>
              <w:adjustRightInd w:val="0"/>
              <w:rPr>
                <w:rFonts w:ascii="Times New Roman" w:hAnsi="Times New Roman" w:cs="Times New Roman"/>
                <w:sz w:val="24"/>
                <w:szCs w:val="24"/>
              </w:rPr>
            </w:pPr>
          </w:p>
        </w:tc>
        <w:tc>
          <w:tcPr>
            <w:tcW w:w="649" w:type="pct"/>
            <w:tcBorders>
              <w:top w:val="single" w:sz="6" w:space="0" w:color="auto"/>
              <w:left w:val="nil"/>
              <w:bottom w:val="single" w:sz="6" w:space="0" w:color="auto"/>
              <w:right w:val="nil"/>
            </w:tcBorders>
          </w:tcPr>
          <w:p w14:paraId="340BFE4E" w14:textId="7495EEC0"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5%</w:t>
            </w:r>
          </w:p>
        </w:tc>
        <w:tc>
          <w:tcPr>
            <w:tcW w:w="649" w:type="pct"/>
            <w:tcBorders>
              <w:top w:val="single" w:sz="6" w:space="0" w:color="auto"/>
              <w:left w:val="nil"/>
              <w:bottom w:val="single" w:sz="6" w:space="0" w:color="auto"/>
              <w:right w:val="nil"/>
            </w:tcBorders>
          </w:tcPr>
          <w:p w14:paraId="4B27C2FD" w14:textId="36F53309"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10%</w:t>
            </w:r>
          </w:p>
        </w:tc>
        <w:tc>
          <w:tcPr>
            <w:tcW w:w="649" w:type="pct"/>
            <w:tcBorders>
              <w:top w:val="single" w:sz="6" w:space="0" w:color="auto"/>
              <w:left w:val="nil"/>
              <w:bottom w:val="single" w:sz="6" w:space="0" w:color="auto"/>
              <w:right w:val="single" w:sz="6" w:space="0" w:color="auto"/>
            </w:tcBorders>
          </w:tcPr>
          <w:p w14:paraId="4F7036C8" w14:textId="77B3C0B3"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20%</w:t>
            </w:r>
          </w:p>
        </w:tc>
        <w:tc>
          <w:tcPr>
            <w:tcW w:w="649" w:type="pct"/>
            <w:tcBorders>
              <w:top w:val="single" w:sz="6" w:space="0" w:color="auto"/>
              <w:left w:val="single" w:sz="6" w:space="0" w:color="auto"/>
              <w:bottom w:val="single" w:sz="6" w:space="0" w:color="auto"/>
              <w:right w:val="nil"/>
            </w:tcBorders>
          </w:tcPr>
          <w:p w14:paraId="1EF26C74" w14:textId="45F48A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5%</w:t>
            </w:r>
          </w:p>
        </w:tc>
        <w:tc>
          <w:tcPr>
            <w:tcW w:w="649" w:type="pct"/>
            <w:tcBorders>
              <w:top w:val="single" w:sz="6" w:space="0" w:color="auto"/>
              <w:left w:val="nil"/>
              <w:bottom w:val="single" w:sz="6" w:space="0" w:color="auto"/>
              <w:right w:val="nil"/>
            </w:tcBorders>
          </w:tcPr>
          <w:p w14:paraId="553750CB" w14:textId="5170BF3C"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10%</w:t>
            </w:r>
          </w:p>
        </w:tc>
        <w:tc>
          <w:tcPr>
            <w:tcW w:w="649" w:type="pct"/>
            <w:tcBorders>
              <w:top w:val="single" w:sz="6" w:space="0" w:color="auto"/>
              <w:left w:val="nil"/>
              <w:bottom w:val="single" w:sz="6" w:space="0" w:color="auto"/>
              <w:right w:val="nil"/>
            </w:tcBorders>
          </w:tcPr>
          <w:p w14:paraId="46234D7E" w14:textId="6D654FFD"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20%</w:t>
            </w:r>
          </w:p>
        </w:tc>
      </w:tr>
      <w:tr w:rsidR="00B3764A" w:rsidRPr="00E57103" w14:paraId="0729582B" w14:textId="77777777" w:rsidTr="00B3764A">
        <w:trPr>
          <w:jc w:val="center"/>
        </w:trPr>
        <w:tc>
          <w:tcPr>
            <w:tcW w:w="1107" w:type="pct"/>
            <w:tcBorders>
              <w:top w:val="single" w:sz="6" w:space="0" w:color="auto"/>
              <w:left w:val="nil"/>
              <w:bottom w:val="single" w:sz="6" w:space="0" w:color="auto"/>
              <w:right w:val="nil"/>
            </w:tcBorders>
          </w:tcPr>
          <w:p w14:paraId="54939D91" w14:textId="0F01B036" w:rsidR="00B3764A" w:rsidRPr="00E57103" w:rsidRDefault="00B3764A" w:rsidP="009B09A3">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4"/>
                <w:szCs w:val="24"/>
              </w:rPr>
              <w:br w:type="page"/>
            </w:r>
          </w:p>
        </w:tc>
        <w:tc>
          <w:tcPr>
            <w:tcW w:w="649" w:type="pct"/>
            <w:tcBorders>
              <w:top w:val="single" w:sz="6" w:space="0" w:color="auto"/>
              <w:left w:val="nil"/>
              <w:bottom w:val="single" w:sz="6" w:space="0" w:color="auto"/>
              <w:right w:val="nil"/>
            </w:tcBorders>
          </w:tcPr>
          <w:p w14:paraId="3E10B3D8"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(1)</w:t>
            </w:r>
          </w:p>
        </w:tc>
        <w:tc>
          <w:tcPr>
            <w:tcW w:w="649" w:type="pct"/>
            <w:tcBorders>
              <w:top w:val="single" w:sz="6" w:space="0" w:color="auto"/>
              <w:left w:val="nil"/>
              <w:bottom w:val="single" w:sz="6" w:space="0" w:color="auto"/>
              <w:right w:val="nil"/>
            </w:tcBorders>
          </w:tcPr>
          <w:p w14:paraId="21D03C17"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(2)</w:t>
            </w:r>
          </w:p>
        </w:tc>
        <w:tc>
          <w:tcPr>
            <w:tcW w:w="649" w:type="pct"/>
            <w:tcBorders>
              <w:top w:val="single" w:sz="6" w:space="0" w:color="auto"/>
              <w:left w:val="nil"/>
              <w:bottom w:val="single" w:sz="6" w:space="0" w:color="auto"/>
              <w:right w:val="single" w:sz="6" w:space="0" w:color="auto"/>
            </w:tcBorders>
          </w:tcPr>
          <w:p w14:paraId="4C9DF0EE"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(3)</w:t>
            </w:r>
          </w:p>
        </w:tc>
        <w:tc>
          <w:tcPr>
            <w:tcW w:w="649" w:type="pct"/>
            <w:tcBorders>
              <w:top w:val="single" w:sz="6" w:space="0" w:color="auto"/>
              <w:left w:val="single" w:sz="6" w:space="0" w:color="auto"/>
              <w:bottom w:val="single" w:sz="6" w:space="0" w:color="auto"/>
              <w:right w:val="nil"/>
            </w:tcBorders>
          </w:tcPr>
          <w:p w14:paraId="6230CB9A"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(4)</w:t>
            </w:r>
          </w:p>
        </w:tc>
        <w:tc>
          <w:tcPr>
            <w:tcW w:w="649" w:type="pct"/>
            <w:tcBorders>
              <w:top w:val="single" w:sz="6" w:space="0" w:color="auto"/>
              <w:left w:val="nil"/>
              <w:bottom w:val="single" w:sz="6" w:space="0" w:color="auto"/>
              <w:right w:val="nil"/>
            </w:tcBorders>
          </w:tcPr>
          <w:p w14:paraId="04FFB76E"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(5)</w:t>
            </w:r>
          </w:p>
        </w:tc>
        <w:tc>
          <w:tcPr>
            <w:tcW w:w="649" w:type="pct"/>
            <w:tcBorders>
              <w:top w:val="single" w:sz="6" w:space="0" w:color="auto"/>
              <w:left w:val="nil"/>
              <w:bottom w:val="single" w:sz="6" w:space="0" w:color="auto"/>
              <w:right w:val="nil"/>
            </w:tcBorders>
          </w:tcPr>
          <w:p w14:paraId="612C9A53"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(6)</w:t>
            </w:r>
          </w:p>
        </w:tc>
      </w:tr>
      <w:tr w:rsidR="00B3764A" w:rsidRPr="00E57103" w14:paraId="1F575327" w14:textId="77777777" w:rsidTr="00B3764A">
        <w:trPr>
          <w:jc w:val="center"/>
        </w:trPr>
        <w:tc>
          <w:tcPr>
            <w:tcW w:w="1107" w:type="pct"/>
            <w:tcBorders>
              <w:top w:val="single" w:sz="6" w:space="0" w:color="auto"/>
              <w:left w:val="nil"/>
              <w:bottom w:val="nil"/>
              <w:right w:val="nil"/>
            </w:tcBorders>
          </w:tcPr>
          <w:p w14:paraId="58282051" w14:textId="77777777" w:rsidR="00B3764A" w:rsidRPr="00E57103" w:rsidRDefault="00B3764A" w:rsidP="009B09A3">
            <w:pPr>
              <w:widowControl w:val="0"/>
              <w:autoSpaceDE w:val="0"/>
              <w:autoSpaceDN w:val="0"/>
              <w:adjustRightInd w:val="0"/>
              <w:rPr>
                <w:rFonts w:ascii="Times New Roman" w:hAnsi="Times New Roman" w:cs="Times New Roman"/>
                <w:sz w:val="20"/>
                <w:szCs w:val="20"/>
              </w:rPr>
            </w:pPr>
          </w:p>
        </w:tc>
        <w:tc>
          <w:tcPr>
            <w:tcW w:w="649" w:type="pct"/>
            <w:tcBorders>
              <w:top w:val="single" w:sz="6" w:space="0" w:color="auto"/>
              <w:left w:val="nil"/>
              <w:bottom w:val="nil"/>
              <w:right w:val="nil"/>
            </w:tcBorders>
          </w:tcPr>
          <w:p w14:paraId="166CB432"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p>
        </w:tc>
        <w:tc>
          <w:tcPr>
            <w:tcW w:w="649" w:type="pct"/>
            <w:tcBorders>
              <w:top w:val="single" w:sz="6" w:space="0" w:color="auto"/>
              <w:left w:val="nil"/>
              <w:bottom w:val="nil"/>
              <w:right w:val="nil"/>
            </w:tcBorders>
          </w:tcPr>
          <w:p w14:paraId="6349A3CD"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p>
        </w:tc>
        <w:tc>
          <w:tcPr>
            <w:tcW w:w="649" w:type="pct"/>
            <w:tcBorders>
              <w:top w:val="single" w:sz="6" w:space="0" w:color="auto"/>
              <w:left w:val="nil"/>
              <w:bottom w:val="nil"/>
              <w:right w:val="single" w:sz="6" w:space="0" w:color="auto"/>
            </w:tcBorders>
          </w:tcPr>
          <w:p w14:paraId="1B1DCDCF"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p>
        </w:tc>
        <w:tc>
          <w:tcPr>
            <w:tcW w:w="649" w:type="pct"/>
            <w:tcBorders>
              <w:top w:val="single" w:sz="6" w:space="0" w:color="auto"/>
              <w:left w:val="single" w:sz="6" w:space="0" w:color="auto"/>
              <w:bottom w:val="nil"/>
              <w:right w:val="nil"/>
            </w:tcBorders>
          </w:tcPr>
          <w:p w14:paraId="616D4BF9"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p>
        </w:tc>
        <w:tc>
          <w:tcPr>
            <w:tcW w:w="649" w:type="pct"/>
            <w:tcBorders>
              <w:top w:val="single" w:sz="6" w:space="0" w:color="auto"/>
              <w:left w:val="nil"/>
              <w:bottom w:val="nil"/>
              <w:right w:val="nil"/>
            </w:tcBorders>
          </w:tcPr>
          <w:p w14:paraId="39087E20"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p>
        </w:tc>
        <w:tc>
          <w:tcPr>
            <w:tcW w:w="649" w:type="pct"/>
            <w:tcBorders>
              <w:top w:val="single" w:sz="6" w:space="0" w:color="auto"/>
              <w:left w:val="nil"/>
              <w:bottom w:val="nil"/>
              <w:right w:val="nil"/>
            </w:tcBorders>
          </w:tcPr>
          <w:p w14:paraId="15DB7655"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p>
        </w:tc>
      </w:tr>
      <w:tr w:rsidR="00B3764A" w:rsidRPr="00E57103" w14:paraId="727A70CA" w14:textId="77777777" w:rsidTr="00B3764A">
        <w:trPr>
          <w:jc w:val="center"/>
        </w:trPr>
        <w:tc>
          <w:tcPr>
            <w:tcW w:w="1107" w:type="pct"/>
            <w:tcBorders>
              <w:top w:val="nil"/>
              <w:left w:val="nil"/>
              <w:bottom w:val="nil"/>
              <w:right w:val="nil"/>
            </w:tcBorders>
          </w:tcPr>
          <w:p w14:paraId="741DC273" w14:textId="0F3AB8ED" w:rsidR="00B3764A" w:rsidRPr="00E57103" w:rsidRDefault="00B3764A" w:rsidP="009B09A3">
            <w:pPr>
              <w:widowControl w:val="0"/>
              <w:autoSpaceDE w:val="0"/>
              <w:autoSpaceDN w:val="0"/>
              <w:adjustRightInd w:val="0"/>
              <w:rPr>
                <w:rFonts w:ascii="Times New Roman" w:hAnsi="Times New Roman" w:cs="Times New Roman"/>
                <w:sz w:val="20"/>
                <w:szCs w:val="20"/>
              </w:rPr>
            </w:pPr>
            <w:proofErr w:type="spellStart"/>
            <w:r w:rsidRPr="00BC68C4">
              <w:rPr>
                <w:rFonts w:ascii="Times New Roman" w:hAnsi="Times New Roman" w:cs="Times New Roman"/>
                <w:sz w:val="20"/>
                <w:szCs w:val="20"/>
              </w:rPr>
              <w:t>ActiveBlock</w:t>
            </w:r>
            <w:proofErr w:type="spellEnd"/>
          </w:p>
        </w:tc>
        <w:tc>
          <w:tcPr>
            <w:tcW w:w="649" w:type="pct"/>
            <w:tcBorders>
              <w:top w:val="nil"/>
              <w:left w:val="nil"/>
              <w:bottom w:val="nil"/>
              <w:right w:val="nil"/>
            </w:tcBorders>
          </w:tcPr>
          <w:p w14:paraId="34B9BA54"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0.202***</w:t>
            </w:r>
          </w:p>
        </w:tc>
        <w:tc>
          <w:tcPr>
            <w:tcW w:w="649" w:type="pct"/>
            <w:tcBorders>
              <w:top w:val="nil"/>
              <w:left w:val="nil"/>
              <w:bottom w:val="nil"/>
              <w:right w:val="nil"/>
            </w:tcBorders>
          </w:tcPr>
          <w:p w14:paraId="542DE86E"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0.285***</w:t>
            </w:r>
          </w:p>
        </w:tc>
        <w:tc>
          <w:tcPr>
            <w:tcW w:w="649" w:type="pct"/>
            <w:tcBorders>
              <w:top w:val="nil"/>
              <w:left w:val="nil"/>
              <w:bottom w:val="nil"/>
              <w:right w:val="single" w:sz="6" w:space="0" w:color="auto"/>
            </w:tcBorders>
          </w:tcPr>
          <w:p w14:paraId="003A9B7B"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0.378**</w:t>
            </w:r>
          </w:p>
        </w:tc>
        <w:tc>
          <w:tcPr>
            <w:tcW w:w="649" w:type="pct"/>
            <w:tcBorders>
              <w:top w:val="nil"/>
              <w:left w:val="single" w:sz="6" w:space="0" w:color="auto"/>
              <w:bottom w:val="nil"/>
              <w:right w:val="nil"/>
            </w:tcBorders>
          </w:tcPr>
          <w:p w14:paraId="636B7727"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0.215***</w:t>
            </w:r>
          </w:p>
        </w:tc>
        <w:tc>
          <w:tcPr>
            <w:tcW w:w="649" w:type="pct"/>
            <w:tcBorders>
              <w:top w:val="nil"/>
              <w:left w:val="nil"/>
              <w:bottom w:val="nil"/>
              <w:right w:val="nil"/>
            </w:tcBorders>
          </w:tcPr>
          <w:p w14:paraId="2CC6F939"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0.300***</w:t>
            </w:r>
          </w:p>
        </w:tc>
        <w:tc>
          <w:tcPr>
            <w:tcW w:w="649" w:type="pct"/>
            <w:tcBorders>
              <w:top w:val="nil"/>
              <w:left w:val="nil"/>
              <w:bottom w:val="nil"/>
              <w:right w:val="nil"/>
            </w:tcBorders>
          </w:tcPr>
          <w:p w14:paraId="6853D0B4"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0.332*</w:t>
            </w:r>
          </w:p>
        </w:tc>
      </w:tr>
      <w:tr w:rsidR="00B3764A" w:rsidRPr="00E57103" w14:paraId="0A032E18" w14:textId="77777777" w:rsidTr="00B3764A">
        <w:trPr>
          <w:jc w:val="center"/>
        </w:trPr>
        <w:tc>
          <w:tcPr>
            <w:tcW w:w="1107" w:type="pct"/>
            <w:tcBorders>
              <w:top w:val="nil"/>
              <w:left w:val="nil"/>
              <w:bottom w:val="nil"/>
              <w:right w:val="nil"/>
            </w:tcBorders>
          </w:tcPr>
          <w:p w14:paraId="5E45E8B2" w14:textId="77777777" w:rsidR="00B3764A" w:rsidRPr="00E57103" w:rsidRDefault="00B3764A" w:rsidP="009B09A3">
            <w:pPr>
              <w:widowControl w:val="0"/>
              <w:autoSpaceDE w:val="0"/>
              <w:autoSpaceDN w:val="0"/>
              <w:adjustRightInd w:val="0"/>
              <w:rPr>
                <w:rFonts w:ascii="Times New Roman" w:hAnsi="Times New Roman" w:cs="Times New Roman"/>
                <w:sz w:val="20"/>
                <w:szCs w:val="20"/>
              </w:rPr>
            </w:pPr>
          </w:p>
        </w:tc>
        <w:tc>
          <w:tcPr>
            <w:tcW w:w="649" w:type="pct"/>
            <w:tcBorders>
              <w:top w:val="nil"/>
              <w:left w:val="nil"/>
              <w:bottom w:val="nil"/>
              <w:right w:val="nil"/>
            </w:tcBorders>
          </w:tcPr>
          <w:p w14:paraId="3AFCE37C"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(0.065)</w:t>
            </w:r>
          </w:p>
        </w:tc>
        <w:tc>
          <w:tcPr>
            <w:tcW w:w="649" w:type="pct"/>
            <w:tcBorders>
              <w:top w:val="nil"/>
              <w:left w:val="nil"/>
              <w:bottom w:val="nil"/>
              <w:right w:val="nil"/>
            </w:tcBorders>
          </w:tcPr>
          <w:p w14:paraId="12AFD854"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(0.095)</w:t>
            </w:r>
          </w:p>
        </w:tc>
        <w:tc>
          <w:tcPr>
            <w:tcW w:w="649" w:type="pct"/>
            <w:tcBorders>
              <w:top w:val="nil"/>
              <w:left w:val="nil"/>
              <w:bottom w:val="nil"/>
              <w:right w:val="single" w:sz="6" w:space="0" w:color="auto"/>
            </w:tcBorders>
          </w:tcPr>
          <w:p w14:paraId="7F0ABE8B"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(0.190)</w:t>
            </w:r>
          </w:p>
        </w:tc>
        <w:tc>
          <w:tcPr>
            <w:tcW w:w="649" w:type="pct"/>
            <w:tcBorders>
              <w:top w:val="nil"/>
              <w:left w:val="single" w:sz="6" w:space="0" w:color="auto"/>
              <w:bottom w:val="nil"/>
              <w:right w:val="nil"/>
            </w:tcBorders>
          </w:tcPr>
          <w:p w14:paraId="5A3CC4E5"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(0.079)</w:t>
            </w:r>
          </w:p>
        </w:tc>
        <w:tc>
          <w:tcPr>
            <w:tcW w:w="649" w:type="pct"/>
            <w:tcBorders>
              <w:top w:val="nil"/>
              <w:left w:val="nil"/>
              <w:bottom w:val="nil"/>
              <w:right w:val="nil"/>
            </w:tcBorders>
          </w:tcPr>
          <w:p w14:paraId="685A5C55"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(0.115)</w:t>
            </w:r>
          </w:p>
        </w:tc>
        <w:tc>
          <w:tcPr>
            <w:tcW w:w="649" w:type="pct"/>
            <w:tcBorders>
              <w:top w:val="nil"/>
              <w:left w:val="nil"/>
              <w:bottom w:val="nil"/>
              <w:right w:val="nil"/>
            </w:tcBorders>
          </w:tcPr>
          <w:p w14:paraId="6D950C3B"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(0.177)</w:t>
            </w:r>
          </w:p>
        </w:tc>
      </w:tr>
      <w:tr w:rsidR="00B3764A" w:rsidRPr="00E57103" w14:paraId="5E8005D1" w14:textId="77777777" w:rsidTr="00B3764A">
        <w:trPr>
          <w:jc w:val="center"/>
        </w:trPr>
        <w:tc>
          <w:tcPr>
            <w:tcW w:w="1107" w:type="pct"/>
            <w:tcBorders>
              <w:top w:val="nil"/>
              <w:left w:val="nil"/>
              <w:bottom w:val="nil"/>
              <w:right w:val="nil"/>
            </w:tcBorders>
          </w:tcPr>
          <w:p w14:paraId="370C0F88" w14:textId="3E35C45F" w:rsidR="00B3764A" w:rsidRPr="00E57103" w:rsidRDefault="00B3764A" w:rsidP="009B09A3">
            <w:pPr>
              <w:widowControl w:val="0"/>
              <w:autoSpaceDE w:val="0"/>
              <w:autoSpaceDN w:val="0"/>
              <w:adjustRightInd w:val="0"/>
              <w:rPr>
                <w:rFonts w:ascii="Times New Roman" w:hAnsi="Times New Roman" w:cs="Times New Roman"/>
                <w:sz w:val="20"/>
                <w:szCs w:val="20"/>
              </w:rPr>
            </w:pPr>
            <w:proofErr w:type="spellStart"/>
            <w:r w:rsidRPr="00BC68C4">
              <w:rPr>
                <w:rFonts w:ascii="Times New Roman" w:hAnsi="Times New Roman" w:cs="Times New Roman"/>
                <w:sz w:val="20"/>
                <w:szCs w:val="20"/>
              </w:rPr>
              <w:t>PassiveBlock</w:t>
            </w:r>
            <w:proofErr w:type="spellEnd"/>
          </w:p>
        </w:tc>
        <w:tc>
          <w:tcPr>
            <w:tcW w:w="649" w:type="pct"/>
            <w:tcBorders>
              <w:top w:val="nil"/>
              <w:left w:val="nil"/>
              <w:bottom w:val="nil"/>
              <w:right w:val="nil"/>
            </w:tcBorders>
          </w:tcPr>
          <w:p w14:paraId="64BCB2D0"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0.005</w:t>
            </w:r>
          </w:p>
        </w:tc>
        <w:tc>
          <w:tcPr>
            <w:tcW w:w="649" w:type="pct"/>
            <w:tcBorders>
              <w:top w:val="nil"/>
              <w:left w:val="nil"/>
              <w:bottom w:val="nil"/>
              <w:right w:val="nil"/>
            </w:tcBorders>
          </w:tcPr>
          <w:p w14:paraId="3624D0AC"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-0.020</w:t>
            </w:r>
          </w:p>
        </w:tc>
        <w:tc>
          <w:tcPr>
            <w:tcW w:w="649" w:type="pct"/>
            <w:tcBorders>
              <w:top w:val="nil"/>
              <w:left w:val="nil"/>
              <w:bottom w:val="nil"/>
              <w:right w:val="single" w:sz="6" w:space="0" w:color="auto"/>
            </w:tcBorders>
          </w:tcPr>
          <w:p w14:paraId="3D661AAB"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-0.033</w:t>
            </w:r>
          </w:p>
        </w:tc>
        <w:tc>
          <w:tcPr>
            <w:tcW w:w="649" w:type="pct"/>
            <w:tcBorders>
              <w:top w:val="nil"/>
              <w:left w:val="single" w:sz="6" w:space="0" w:color="auto"/>
              <w:bottom w:val="nil"/>
              <w:right w:val="nil"/>
            </w:tcBorders>
          </w:tcPr>
          <w:p w14:paraId="1119F734"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-0.001</w:t>
            </w:r>
          </w:p>
        </w:tc>
        <w:tc>
          <w:tcPr>
            <w:tcW w:w="649" w:type="pct"/>
            <w:tcBorders>
              <w:top w:val="nil"/>
              <w:left w:val="nil"/>
              <w:bottom w:val="nil"/>
              <w:right w:val="nil"/>
            </w:tcBorders>
          </w:tcPr>
          <w:p w14:paraId="2C2D3AA4"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-0.032</w:t>
            </w:r>
          </w:p>
        </w:tc>
        <w:tc>
          <w:tcPr>
            <w:tcW w:w="649" w:type="pct"/>
            <w:tcBorders>
              <w:top w:val="nil"/>
              <w:left w:val="nil"/>
              <w:bottom w:val="nil"/>
              <w:right w:val="nil"/>
            </w:tcBorders>
          </w:tcPr>
          <w:p w14:paraId="5E2F7A9F"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-0.034</w:t>
            </w:r>
          </w:p>
        </w:tc>
      </w:tr>
      <w:tr w:rsidR="00B3764A" w:rsidRPr="00E57103" w14:paraId="4B7DCCDD" w14:textId="77777777" w:rsidTr="00B3764A">
        <w:trPr>
          <w:jc w:val="center"/>
        </w:trPr>
        <w:tc>
          <w:tcPr>
            <w:tcW w:w="1107" w:type="pct"/>
            <w:tcBorders>
              <w:top w:val="nil"/>
              <w:left w:val="nil"/>
              <w:bottom w:val="nil"/>
              <w:right w:val="nil"/>
            </w:tcBorders>
          </w:tcPr>
          <w:p w14:paraId="706C1DE1" w14:textId="77777777" w:rsidR="00B3764A" w:rsidRPr="00E57103" w:rsidRDefault="00B3764A" w:rsidP="009B09A3">
            <w:pPr>
              <w:widowControl w:val="0"/>
              <w:autoSpaceDE w:val="0"/>
              <w:autoSpaceDN w:val="0"/>
              <w:adjustRightInd w:val="0"/>
              <w:rPr>
                <w:rFonts w:ascii="Times New Roman" w:hAnsi="Times New Roman" w:cs="Times New Roman"/>
                <w:sz w:val="20"/>
                <w:szCs w:val="20"/>
              </w:rPr>
            </w:pPr>
          </w:p>
        </w:tc>
        <w:tc>
          <w:tcPr>
            <w:tcW w:w="649" w:type="pct"/>
            <w:tcBorders>
              <w:top w:val="nil"/>
              <w:left w:val="nil"/>
              <w:bottom w:val="nil"/>
              <w:right w:val="nil"/>
            </w:tcBorders>
          </w:tcPr>
          <w:p w14:paraId="7EC343B6"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(0.027)</w:t>
            </w:r>
          </w:p>
        </w:tc>
        <w:tc>
          <w:tcPr>
            <w:tcW w:w="649" w:type="pct"/>
            <w:tcBorders>
              <w:top w:val="nil"/>
              <w:left w:val="nil"/>
              <w:bottom w:val="nil"/>
              <w:right w:val="nil"/>
            </w:tcBorders>
          </w:tcPr>
          <w:p w14:paraId="24098A71"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(0.031)</w:t>
            </w:r>
          </w:p>
        </w:tc>
        <w:tc>
          <w:tcPr>
            <w:tcW w:w="649" w:type="pct"/>
            <w:tcBorders>
              <w:top w:val="nil"/>
              <w:left w:val="nil"/>
              <w:bottom w:val="nil"/>
              <w:right w:val="single" w:sz="6" w:space="0" w:color="auto"/>
            </w:tcBorders>
          </w:tcPr>
          <w:p w14:paraId="1D10C521"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(0.032)</w:t>
            </w:r>
          </w:p>
        </w:tc>
        <w:tc>
          <w:tcPr>
            <w:tcW w:w="649" w:type="pct"/>
            <w:tcBorders>
              <w:top w:val="nil"/>
              <w:left w:val="single" w:sz="6" w:space="0" w:color="auto"/>
              <w:bottom w:val="nil"/>
              <w:right w:val="nil"/>
            </w:tcBorders>
          </w:tcPr>
          <w:p w14:paraId="27673FAF"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(0.031)</w:t>
            </w:r>
          </w:p>
        </w:tc>
        <w:tc>
          <w:tcPr>
            <w:tcW w:w="649" w:type="pct"/>
            <w:tcBorders>
              <w:top w:val="nil"/>
              <w:left w:val="nil"/>
              <w:bottom w:val="nil"/>
              <w:right w:val="nil"/>
            </w:tcBorders>
          </w:tcPr>
          <w:p w14:paraId="3F02D4FF"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(0.036)</w:t>
            </w:r>
          </w:p>
        </w:tc>
        <w:tc>
          <w:tcPr>
            <w:tcW w:w="649" w:type="pct"/>
            <w:tcBorders>
              <w:top w:val="nil"/>
              <w:left w:val="nil"/>
              <w:bottom w:val="nil"/>
              <w:right w:val="nil"/>
            </w:tcBorders>
          </w:tcPr>
          <w:p w14:paraId="6AB20BDB"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(0.047)</w:t>
            </w:r>
          </w:p>
        </w:tc>
      </w:tr>
      <w:tr w:rsidR="00B3764A" w:rsidRPr="00E57103" w14:paraId="4E3BE993" w14:textId="77777777" w:rsidTr="00B3764A">
        <w:trPr>
          <w:jc w:val="center"/>
        </w:trPr>
        <w:tc>
          <w:tcPr>
            <w:tcW w:w="1107" w:type="pct"/>
            <w:tcBorders>
              <w:top w:val="nil"/>
              <w:left w:val="nil"/>
              <w:bottom w:val="nil"/>
              <w:right w:val="nil"/>
            </w:tcBorders>
          </w:tcPr>
          <w:p w14:paraId="3429213D" w14:textId="3F2E8FB9" w:rsidR="00B3764A" w:rsidRPr="00E57103" w:rsidRDefault="00B3764A" w:rsidP="009B09A3">
            <w:pPr>
              <w:widowControl w:val="0"/>
              <w:autoSpaceDE w:val="0"/>
              <w:autoSpaceDN w:val="0"/>
              <w:adjustRightInd w:val="0"/>
              <w:rPr>
                <w:rFonts w:ascii="Times New Roman" w:hAnsi="Times New Roman" w:cs="Times New Roman"/>
                <w:sz w:val="20"/>
                <w:szCs w:val="20"/>
              </w:rPr>
            </w:pPr>
            <w:proofErr w:type="spellStart"/>
            <w:r w:rsidRPr="00BC68C4">
              <w:rPr>
                <w:rFonts w:ascii="Times New Roman" w:hAnsi="Times New Roman" w:cs="Times New Roman"/>
                <w:sz w:val="20"/>
                <w:szCs w:val="20"/>
              </w:rPr>
              <w:t>DirOnlyVote</w:t>
            </w:r>
            <w:proofErr w:type="spellEnd"/>
          </w:p>
        </w:tc>
        <w:tc>
          <w:tcPr>
            <w:tcW w:w="649" w:type="pct"/>
            <w:tcBorders>
              <w:top w:val="nil"/>
              <w:left w:val="nil"/>
              <w:bottom w:val="nil"/>
              <w:right w:val="nil"/>
            </w:tcBorders>
          </w:tcPr>
          <w:p w14:paraId="28ECEAAB"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-0.041</w:t>
            </w:r>
          </w:p>
        </w:tc>
        <w:tc>
          <w:tcPr>
            <w:tcW w:w="649" w:type="pct"/>
            <w:tcBorders>
              <w:top w:val="nil"/>
              <w:left w:val="nil"/>
              <w:bottom w:val="nil"/>
              <w:right w:val="nil"/>
            </w:tcBorders>
          </w:tcPr>
          <w:p w14:paraId="23F35CDE"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0.007</w:t>
            </w:r>
          </w:p>
        </w:tc>
        <w:tc>
          <w:tcPr>
            <w:tcW w:w="649" w:type="pct"/>
            <w:tcBorders>
              <w:top w:val="nil"/>
              <w:left w:val="nil"/>
              <w:bottom w:val="nil"/>
              <w:right w:val="single" w:sz="6" w:space="0" w:color="auto"/>
            </w:tcBorders>
          </w:tcPr>
          <w:p w14:paraId="4A3E73B5"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0.058</w:t>
            </w:r>
          </w:p>
        </w:tc>
        <w:tc>
          <w:tcPr>
            <w:tcW w:w="649" w:type="pct"/>
            <w:tcBorders>
              <w:top w:val="nil"/>
              <w:left w:val="single" w:sz="6" w:space="0" w:color="auto"/>
              <w:bottom w:val="nil"/>
              <w:right w:val="nil"/>
            </w:tcBorders>
          </w:tcPr>
          <w:p w14:paraId="58E9D665"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0.021</w:t>
            </w:r>
          </w:p>
        </w:tc>
        <w:tc>
          <w:tcPr>
            <w:tcW w:w="649" w:type="pct"/>
            <w:tcBorders>
              <w:top w:val="nil"/>
              <w:left w:val="nil"/>
              <w:bottom w:val="nil"/>
              <w:right w:val="nil"/>
            </w:tcBorders>
          </w:tcPr>
          <w:p w14:paraId="1DD2D342"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0.033</w:t>
            </w:r>
          </w:p>
        </w:tc>
        <w:tc>
          <w:tcPr>
            <w:tcW w:w="649" w:type="pct"/>
            <w:tcBorders>
              <w:top w:val="nil"/>
              <w:left w:val="nil"/>
              <w:bottom w:val="nil"/>
              <w:right w:val="nil"/>
            </w:tcBorders>
          </w:tcPr>
          <w:p w14:paraId="3BFF5A67"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0.075*</w:t>
            </w:r>
          </w:p>
        </w:tc>
      </w:tr>
      <w:tr w:rsidR="00B3764A" w:rsidRPr="00E57103" w14:paraId="6877E38D" w14:textId="77777777" w:rsidTr="00B3764A">
        <w:trPr>
          <w:jc w:val="center"/>
        </w:trPr>
        <w:tc>
          <w:tcPr>
            <w:tcW w:w="1107" w:type="pct"/>
            <w:tcBorders>
              <w:top w:val="nil"/>
              <w:left w:val="nil"/>
              <w:bottom w:val="nil"/>
              <w:right w:val="nil"/>
            </w:tcBorders>
          </w:tcPr>
          <w:p w14:paraId="6B7C832B" w14:textId="77777777" w:rsidR="00B3764A" w:rsidRPr="00E57103" w:rsidRDefault="00B3764A" w:rsidP="009B09A3">
            <w:pPr>
              <w:widowControl w:val="0"/>
              <w:autoSpaceDE w:val="0"/>
              <w:autoSpaceDN w:val="0"/>
              <w:adjustRightInd w:val="0"/>
              <w:rPr>
                <w:rFonts w:ascii="Times New Roman" w:hAnsi="Times New Roman" w:cs="Times New Roman"/>
                <w:sz w:val="20"/>
                <w:szCs w:val="20"/>
              </w:rPr>
            </w:pPr>
          </w:p>
        </w:tc>
        <w:tc>
          <w:tcPr>
            <w:tcW w:w="649" w:type="pct"/>
            <w:tcBorders>
              <w:top w:val="nil"/>
              <w:left w:val="nil"/>
              <w:bottom w:val="nil"/>
              <w:right w:val="nil"/>
            </w:tcBorders>
          </w:tcPr>
          <w:p w14:paraId="22C0EF80"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(0.085)</w:t>
            </w:r>
          </w:p>
        </w:tc>
        <w:tc>
          <w:tcPr>
            <w:tcW w:w="649" w:type="pct"/>
            <w:tcBorders>
              <w:top w:val="nil"/>
              <w:left w:val="nil"/>
              <w:bottom w:val="nil"/>
              <w:right w:val="nil"/>
            </w:tcBorders>
          </w:tcPr>
          <w:p w14:paraId="5EB0C41C"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(0.048)</w:t>
            </w:r>
          </w:p>
        </w:tc>
        <w:tc>
          <w:tcPr>
            <w:tcW w:w="649" w:type="pct"/>
            <w:tcBorders>
              <w:top w:val="nil"/>
              <w:left w:val="nil"/>
              <w:bottom w:val="nil"/>
              <w:right w:val="single" w:sz="6" w:space="0" w:color="auto"/>
            </w:tcBorders>
          </w:tcPr>
          <w:p w14:paraId="3E60525E"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(0.039)</w:t>
            </w:r>
          </w:p>
        </w:tc>
        <w:tc>
          <w:tcPr>
            <w:tcW w:w="649" w:type="pct"/>
            <w:tcBorders>
              <w:top w:val="nil"/>
              <w:left w:val="single" w:sz="6" w:space="0" w:color="auto"/>
              <w:bottom w:val="nil"/>
              <w:right w:val="nil"/>
            </w:tcBorders>
          </w:tcPr>
          <w:p w14:paraId="1044C515"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(0.082)</w:t>
            </w:r>
          </w:p>
        </w:tc>
        <w:tc>
          <w:tcPr>
            <w:tcW w:w="649" w:type="pct"/>
            <w:tcBorders>
              <w:top w:val="nil"/>
              <w:left w:val="nil"/>
              <w:bottom w:val="nil"/>
              <w:right w:val="nil"/>
            </w:tcBorders>
          </w:tcPr>
          <w:p w14:paraId="39495D71"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(0.049)</w:t>
            </w:r>
          </w:p>
        </w:tc>
        <w:tc>
          <w:tcPr>
            <w:tcW w:w="649" w:type="pct"/>
            <w:tcBorders>
              <w:top w:val="nil"/>
              <w:left w:val="nil"/>
              <w:bottom w:val="nil"/>
              <w:right w:val="nil"/>
            </w:tcBorders>
          </w:tcPr>
          <w:p w14:paraId="4E929556"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(0.041)</w:t>
            </w:r>
          </w:p>
        </w:tc>
      </w:tr>
      <w:tr w:rsidR="00B3764A" w:rsidRPr="00E57103" w14:paraId="7799AEF2" w14:textId="77777777" w:rsidTr="00B3764A">
        <w:trPr>
          <w:jc w:val="center"/>
        </w:trPr>
        <w:tc>
          <w:tcPr>
            <w:tcW w:w="1107" w:type="pct"/>
            <w:tcBorders>
              <w:top w:val="nil"/>
              <w:left w:val="nil"/>
              <w:bottom w:val="nil"/>
              <w:right w:val="nil"/>
            </w:tcBorders>
          </w:tcPr>
          <w:p w14:paraId="5A6173DC" w14:textId="27979060" w:rsidR="00B3764A" w:rsidRPr="00E57103" w:rsidRDefault="00B3764A" w:rsidP="009B09A3">
            <w:pPr>
              <w:widowControl w:val="0"/>
              <w:autoSpaceDE w:val="0"/>
              <w:autoSpaceDN w:val="0"/>
              <w:adjustRightInd w:val="0"/>
              <w:rPr>
                <w:rFonts w:ascii="Times New Roman" w:hAnsi="Times New Roman" w:cs="Times New Roman"/>
                <w:sz w:val="20"/>
                <w:szCs w:val="20"/>
              </w:rPr>
            </w:pPr>
            <w:proofErr w:type="spellStart"/>
            <w:r w:rsidRPr="00BC68C4">
              <w:rPr>
                <w:rFonts w:ascii="Times New Roman" w:hAnsi="Times New Roman" w:cs="Times New Roman"/>
                <w:sz w:val="20"/>
                <w:szCs w:val="20"/>
              </w:rPr>
              <w:t>DirOnlyNum</w:t>
            </w:r>
            <w:proofErr w:type="spellEnd"/>
          </w:p>
        </w:tc>
        <w:tc>
          <w:tcPr>
            <w:tcW w:w="649" w:type="pct"/>
            <w:tcBorders>
              <w:top w:val="nil"/>
              <w:left w:val="nil"/>
              <w:bottom w:val="nil"/>
              <w:right w:val="nil"/>
            </w:tcBorders>
          </w:tcPr>
          <w:p w14:paraId="67A69E61"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0.000</w:t>
            </w:r>
          </w:p>
        </w:tc>
        <w:tc>
          <w:tcPr>
            <w:tcW w:w="649" w:type="pct"/>
            <w:tcBorders>
              <w:top w:val="nil"/>
              <w:left w:val="nil"/>
              <w:bottom w:val="nil"/>
              <w:right w:val="nil"/>
            </w:tcBorders>
          </w:tcPr>
          <w:p w14:paraId="7E16D8CF"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-0.000</w:t>
            </w:r>
          </w:p>
        </w:tc>
        <w:tc>
          <w:tcPr>
            <w:tcW w:w="649" w:type="pct"/>
            <w:tcBorders>
              <w:top w:val="nil"/>
              <w:left w:val="nil"/>
              <w:bottom w:val="nil"/>
              <w:right w:val="single" w:sz="6" w:space="0" w:color="auto"/>
            </w:tcBorders>
          </w:tcPr>
          <w:p w14:paraId="4D887AC7"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0.000</w:t>
            </w:r>
          </w:p>
        </w:tc>
        <w:tc>
          <w:tcPr>
            <w:tcW w:w="649" w:type="pct"/>
            <w:tcBorders>
              <w:top w:val="nil"/>
              <w:left w:val="single" w:sz="6" w:space="0" w:color="auto"/>
              <w:bottom w:val="nil"/>
              <w:right w:val="nil"/>
            </w:tcBorders>
          </w:tcPr>
          <w:p w14:paraId="07DB0E9F"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0.000</w:t>
            </w:r>
          </w:p>
        </w:tc>
        <w:tc>
          <w:tcPr>
            <w:tcW w:w="649" w:type="pct"/>
            <w:tcBorders>
              <w:top w:val="nil"/>
              <w:left w:val="nil"/>
              <w:bottom w:val="nil"/>
              <w:right w:val="nil"/>
            </w:tcBorders>
          </w:tcPr>
          <w:p w14:paraId="79CC9392"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-0.000</w:t>
            </w:r>
          </w:p>
        </w:tc>
        <w:tc>
          <w:tcPr>
            <w:tcW w:w="649" w:type="pct"/>
            <w:tcBorders>
              <w:top w:val="nil"/>
              <w:left w:val="nil"/>
              <w:bottom w:val="nil"/>
              <w:right w:val="nil"/>
            </w:tcBorders>
          </w:tcPr>
          <w:p w14:paraId="38462F84"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-0.000</w:t>
            </w:r>
          </w:p>
        </w:tc>
      </w:tr>
      <w:tr w:rsidR="00B3764A" w:rsidRPr="00E57103" w14:paraId="5985BBDC" w14:textId="77777777" w:rsidTr="00B3764A">
        <w:trPr>
          <w:jc w:val="center"/>
        </w:trPr>
        <w:tc>
          <w:tcPr>
            <w:tcW w:w="1107" w:type="pct"/>
            <w:tcBorders>
              <w:top w:val="nil"/>
              <w:left w:val="nil"/>
              <w:bottom w:val="nil"/>
              <w:right w:val="nil"/>
            </w:tcBorders>
          </w:tcPr>
          <w:p w14:paraId="5DD96B81" w14:textId="77777777" w:rsidR="00B3764A" w:rsidRPr="00E57103" w:rsidRDefault="00B3764A" w:rsidP="009B09A3">
            <w:pPr>
              <w:widowControl w:val="0"/>
              <w:autoSpaceDE w:val="0"/>
              <w:autoSpaceDN w:val="0"/>
              <w:adjustRightInd w:val="0"/>
              <w:rPr>
                <w:rFonts w:ascii="Times New Roman" w:hAnsi="Times New Roman" w:cs="Times New Roman"/>
                <w:sz w:val="20"/>
                <w:szCs w:val="20"/>
              </w:rPr>
            </w:pPr>
          </w:p>
        </w:tc>
        <w:tc>
          <w:tcPr>
            <w:tcW w:w="649" w:type="pct"/>
            <w:tcBorders>
              <w:top w:val="nil"/>
              <w:left w:val="nil"/>
              <w:bottom w:val="nil"/>
              <w:right w:val="nil"/>
            </w:tcBorders>
          </w:tcPr>
          <w:p w14:paraId="78FE1BC9"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(0.001)</w:t>
            </w:r>
          </w:p>
        </w:tc>
        <w:tc>
          <w:tcPr>
            <w:tcW w:w="649" w:type="pct"/>
            <w:tcBorders>
              <w:top w:val="nil"/>
              <w:left w:val="nil"/>
              <w:bottom w:val="nil"/>
              <w:right w:val="nil"/>
            </w:tcBorders>
          </w:tcPr>
          <w:p w14:paraId="477CEBC0"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(0.001)</w:t>
            </w:r>
          </w:p>
        </w:tc>
        <w:tc>
          <w:tcPr>
            <w:tcW w:w="649" w:type="pct"/>
            <w:tcBorders>
              <w:top w:val="nil"/>
              <w:left w:val="nil"/>
              <w:bottom w:val="nil"/>
              <w:right w:val="single" w:sz="6" w:space="0" w:color="auto"/>
            </w:tcBorders>
          </w:tcPr>
          <w:p w14:paraId="1E6CF6A6"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(0.001)</w:t>
            </w:r>
          </w:p>
        </w:tc>
        <w:tc>
          <w:tcPr>
            <w:tcW w:w="649" w:type="pct"/>
            <w:tcBorders>
              <w:top w:val="nil"/>
              <w:left w:val="single" w:sz="6" w:space="0" w:color="auto"/>
              <w:bottom w:val="nil"/>
              <w:right w:val="nil"/>
            </w:tcBorders>
          </w:tcPr>
          <w:p w14:paraId="553F063C"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(0.001)</w:t>
            </w:r>
          </w:p>
        </w:tc>
        <w:tc>
          <w:tcPr>
            <w:tcW w:w="649" w:type="pct"/>
            <w:tcBorders>
              <w:top w:val="nil"/>
              <w:left w:val="nil"/>
              <w:bottom w:val="nil"/>
              <w:right w:val="nil"/>
            </w:tcBorders>
          </w:tcPr>
          <w:p w14:paraId="6DDF1405"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(0.001)</w:t>
            </w:r>
          </w:p>
        </w:tc>
        <w:tc>
          <w:tcPr>
            <w:tcW w:w="649" w:type="pct"/>
            <w:tcBorders>
              <w:top w:val="nil"/>
              <w:left w:val="nil"/>
              <w:bottom w:val="nil"/>
              <w:right w:val="nil"/>
            </w:tcBorders>
          </w:tcPr>
          <w:p w14:paraId="220FF70F"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(0.001)</w:t>
            </w:r>
          </w:p>
        </w:tc>
      </w:tr>
      <w:tr w:rsidR="00B3764A" w:rsidRPr="00E57103" w14:paraId="2C2757C7" w14:textId="77777777" w:rsidTr="00B3764A">
        <w:trPr>
          <w:jc w:val="center"/>
        </w:trPr>
        <w:tc>
          <w:tcPr>
            <w:tcW w:w="1107" w:type="pct"/>
            <w:tcBorders>
              <w:top w:val="nil"/>
              <w:left w:val="nil"/>
              <w:bottom w:val="nil"/>
              <w:right w:val="nil"/>
            </w:tcBorders>
          </w:tcPr>
          <w:p w14:paraId="7A84D6B6" w14:textId="658810BA" w:rsidR="00B3764A" w:rsidRPr="00E57103" w:rsidRDefault="00B3764A" w:rsidP="009B09A3">
            <w:pPr>
              <w:widowControl w:val="0"/>
              <w:autoSpaceDE w:val="0"/>
              <w:autoSpaceDN w:val="0"/>
              <w:adjustRightInd w:val="0"/>
              <w:rPr>
                <w:rFonts w:ascii="Times New Roman" w:hAnsi="Times New Roman" w:cs="Times New Roman"/>
                <w:sz w:val="20"/>
                <w:szCs w:val="20"/>
              </w:rPr>
            </w:pPr>
            <w:proofErr w:type="spellStart"/>
            <w:r w:rsidRPr="00BC68C4">
              <w:rPr>
                <w:rFonts w:ascii="Times New Roman" w:hAnsi="Times New Roman" w:cs="Times New Roman"/>
                <w:sz w:val="20"/>
                <w:szCs w:val="20"/>
              </w:rPr>
              <w:t>ActiveBlockSq</w:t>
            </w:r>
            <w:proofErr w:type="spellEnd"/>
          </w:p>
        </w:tc>
        <w:tc>
          <w:tcPr>
            <w:tcW w:w="649" w:type="pct"/>
            <w:tcBorders>
              <w:top w:val="nil"/>
              <w:left w:val="nil"/>
              <w:bottom w:val="nil"/>
              <w:right w:val="nil"/>
            </w:tcBorders>
          </w:tcPr>
          <w:p w14:paraId="552E049E"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-0.316***</w:t>
            </w:r>
          </w:p>
        </w:tc>
        <w:tc>
          <w:tcPr>
            <w:tcW w:w="649" w:type="pct"/>
            <w:tcBorders>
              <w:top w:val="nil"/>
              <w:left w:val="nil"/>
              <w:bottom w:val="nil"/>
              <w:right w:val="nil"/>
            </w:tcBorders>
          </w:tcPr>
          <w:p w14:paraId="61740F04"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-0.513***</w:t>
            </w:r>
          </w:p>
        </w:tc>
        <w:tc>
          <w:tcPr>
            <w:tcW w:w="649" w:type="pct"/>
            <w:tcBorders>
              <w:top w:val="nil"/>
              <w:left w:val="nil"/>
              <w:bottom w:val="nil"/>
              <w:right w:val="single" w:sz="6" w:space="0" w:color="auto"/>
            </w:tcBorders>
          </w:tcPr>
          <w:p w14:paraId="3C7102B1"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-0.782**</w:t>
            </w:r>
          </w:p>
        </w:tc>
        <w:tc>
          <w:tcPr>
            <w:tcW w:w="649" w:type="pct"/>
            <w:tcBorders>
              <w:top w:val="nil"/>
              <w:left w:val="single" w:sz="6" w:space="0" w:color="auto"/>
              <w:bottom w:val="nil"/>
              <w:right w:val="nil"/>
            </w:tcBorders>
          </w:tcPr>
          <w:p w14:paraId="56810BE7"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-0.374**</w:t>
            </w:r>
          </w:p>
        </w:tc>
        <w:tc>
          <w:tcPr>
            <w:tcW w:w="649" w:type="pct"/>
            <w:tcBorders>
              <w:top w:val="nil"/>
              <w:left w:val="nil"/>
              <w:bottom w:val="nil"/>
              <w:right w:val="nil"/>
            </w:tcBorders>
          </w:tcPr>
          <w:p w14:paraId="2FB28153"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-0.591**</w:t>
            </w:r>
          </w:p>
        </w:tc>
        <w:tc>
          <w:tcPr>
            <w:tcW w:w="649" w:type="pct"/>
            <w:tcBorders>
              <w:top w:val="nil"/>
              <w:left w:val="nil"/>
              <w:bottom w:val="nil"/>
              <w:right w:val="nil"/>
            </w:tcBorders>
          </w:tcPr>
          <w:p w14:paraId="6E180FE9"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-0.722*</w:t>
            </w:r>
          </w:p>
        </w:tc>
      </w:tr>
      <w:tr w:rsidR="00B3764A" w:rsidRPr="00E57103" w14:paraId="25F553D9" w14:textId="77777777" w:rsidTr="00B3764A">
        <w:trPr>
          <w:jc w:val="center"/>
        </w:trPr>
        <w:tc>
          <w:tcPr>
            <w:tcW w:w="1107" w:type="pct"/>
            <w:tcBorders>
              <w:top w:val="nil"/>
              <w:left w:val="nil"/>
              <w:bottom w:val="nil"/>
              <w:right w:val="nil"/>
            </w:tcBorders>
          </w:tcPr>
          <w:p w14:paraId="7C5F49FA" w14:textId="77777777" w:rsidR="00B3764A" w:rsidRPr="00E57103" w:rsidRDefault="00B3764A" w:rsidP="009B09A3">
            <w:pPr>
              <w:widowControl w:val="0"/>
              <w:autoSpaceDE w:val="0"/>
              <w:autoSpaceDN w:val="0"/>
              <w:adjustRightInd w:val="0"/>
              <w:rPr>
                <w:rFonts w:ascii="Times New Roman" w:hAnsi="Times New Roman" w:cs="Times New Roman"/>
                <w:sz w:val="20"/>
                <w:szCs w:val="20"/>
              </w:rPr>
            </w:pPr>
          </w:p>
        </w:tc>
        <w:tc>
          <w:tcPr>
            <w:tcW w:w="649" w:type="pct"/>
            <w:tcBorders>
              <w:top w:val="nil"/>
              <w:left w:val="nil"/>
              <w:bottom w:val="nil"/>
              <w:right w:val="nil"/>
            </w:tcBorders>
          </w:tcPr>
          <w:p w14:paraId="6EA5F01B"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(0.113)</w:t>
            </w:r>
          </w:p>
        </w:tc>
        <w:tc>
          <w:tcPr>
            <w:tcW w:w="649" w:type="pct"/>
            <w:tcBorders>
              <w:top w:val="nil"/>
              <w:left w:val="nil"/>
              <w:bottom w:val="nil"/>
              <w:right w:val="nil"/>
            </w:tcBorders>
          </w:tcPr>
          <w:p w14:paraId="6EF93869"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(0.180)</w:t>
            </w:r>
          </w:p>
        </w:tc>
        <w:tc>
          <w:tcPr>
            <w:tcW w:w="649" w:type="pct"/>
            <w:tcBorders>
              <w:top w:val="nil"/>
              <w:left w:val="nil"/>
              <w:bottom w:val="nil"/>
              <w:right w:val="single" w:sz="6" w:space="0" w:color="auto"/>
            </w:tcBorders>
          </w:tcPr>
          <w:p w14:paraId="69F6170B"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(0.370)</w:t>
            </w:r>
          </w:p>
        </w:tc>
        <w:tc>
          <w:tcPr>
            <w:tcW w:w="649" w:type="pct"/>
            <w:tcBorders>
              <w:top w:val="nil"/>
              <w:left w:val="single" w:sz="6" w:space="0" w:color="auto"/>
              <w:bottom w:val="nil"/>
              <w:right w:val="nil"/>
            </w:tcBorders>
          </w:tcPr>
          <w:p w14:paraId="20DEE76D"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(0.173)</w:t>
            </w:r>
          </w:p>
        </w:tc>
        <w:tc>
          <w:tcPr>
            <w:tcW w:w="649" w:type="pct"/>
            <w:tcBorders>
              <w:top w:val="nil"/>
              <w:left w:val="nil"/>
              <w:bottom w:val="nil"/>
              <w:right w:val="nil"/>
            </w:tcBorders>
          </w:tcPr>
          <w:p w14:paraId="2260FFB0"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(0.232)</w:t>
            </w:r>
          </w:p>
        </w:tc>
        <w:tc>
          <w:tcPr>
            <w:tcW w:w="649" w:type="pct"/>
            <w:tcBorders>
              <w:top w:val="nil"/>
              <w:left w:val="nil"/>
              <w:bottom w:val="nil"/>
              <w:right w:val="nil"/>
            </w:tcBorders>
          </w:tcPr>
          <w:p w14:paraId="7E3DDA86"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(0.382)</w:t>
            </w:r>
          </w:p>
        </w:tc>
      </w:tr>
      <w:tr w:rsidR="00B3764A" w:rsidRPr="00E57103" w14:paraId="3A745395" w14:textId="77777777" w:rsidTr="00B3764A">
        <w:trPr>
          <w:jc w:val="center"/>
        </w:trPr>
        <w:tc>
          <w:tcPr>
            <w:tcW w:w="1107" w:type="pct"/>
            <w:tcBorders>
              <w:top w:val="nil"/>
              <w:left w:val="nil"/>
              <w:bottom w:val="nil"/>
              <w:right w:val="nil"/>
            </w:tcBorders>
          </w:tcPr>
          <w:p w14:paraId="4F9E6766" w14:textId="77777777" w:rsidR="00B3764A" w:rsidRPr="00E57103" w:rsidRDefault="00B3764A" w:rsidP="009B09A3">
            <w:pPr>
              <w:widowControl w:val="0"/>
              <w:autoSpaceDE w:val="0"/>
              <w:autoSpaceDN w:val="0"/>
              <w:adjustRightInd w:val="0"/>
              <w:rPr>
                <w:rFonts w:ascii="Times New Roman" w:hAnsi="Times New Roman" w:cs="Times New Roman"/>
                <w:sz w:val="20"/>
                <w:szCs w:val="20"/>
              </w:rPr>
            </w:pPr>
            <w:proofErr w:type="spellStart"/>
            <w:r w:rsidRPr="00E57103">
              <w:rPr>
                <w:rFonts w:ascii="Times New Roman" w:hAnsi="Times New Roman" w:cs="Times New Roman"/>
                <w:sz w:val="20"/>
                <w:szCs w:val="20"/>
              </w:rPr>
              <w:t>ActiveCashWedge</w:t>
            </w:r>
            <w:proofErr w:type="spellEnd"/>
          </w:p>
        </w:tc>
        <w:tc>
          <w:tcPr>
            <w:tcW w:w="649" w:type="pct"/>
            <w:tcBorders>
              <w:top w:val="nil"/>
              <w:left w:val="nil"/>
              <w:bottom w:val="nil"/>
              <w:right w:val="nil"/>
            </w:tcBorders>
          </w:tcPr>
          <w:p w14:paraId="0AF19D68"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-0.181*</w:t>
            </w:r>
          </w:p>
        </w:tc>
        <w:tc>
          <w:tcPr>
            <w:tcW w:w="649" w:type="pct"/>
            <w:tcBorders>
              <w:top w:val="nil"/>
              <w:left w:val="nil"/>
              <w:bottom w:val="nil"/>
              <w:right w:val="nil"/>
            </w:tcBorders>
          </w:tcPr>
          <w:p w14:paraId="72306117"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-0.160</w:t>
            </w:r>
          </w:p>
        </w:tc>
        <w:tc>
          <w:tcPr>
            <w:tcW w:w="649" w:type="pct"/>
            <w:tcBorders>
              <w:top w:val="nil"/>
              <w:left w:val="nil"/>
              <w:bottom w:val="nil"/>
              <w:right w:val="single" w:sz="6" w:space="0" w:color="auto"/>
            </w:tcBorders>
          </w:tcPr>
          <w:p w14:paraId="4509A60B"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-0.148*</w:t>
            </w:r>
          </w:p>
        </w:tc>
        <w:tc>
          <w:tcPr>
            <w:tcW w:w="649" w:type="pct"/>
            <w:tcBorders>
              <w:top w:val="nil"/>
              <w:left w:val="single" w:sz="6" w:space="0" w:color="auto"/>
              <w:bottom w:val="nil"/>
              <w:right w:val="nil"/>
            </w:tcBorders>
          </w:tcPr>
          <w:p w14:paraId="1E33C30C"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-0.098</w:t>
            </w:r>
          </w:p>
        </w:tc>
        <w:tc>
          <w:tcPr>
            <w:tcW w:w="649" w:type="pct"/>
            <w:tcBorders>
              <w:top w:val="nil"/>
              <w:left w:val="nil"/>
              <w:bottom w:val="nil"/>
              <w:right w:val="nil"/>
            </w:tcBorders>
          </w:tcPr>
          <w:p w14:paraId="42CE6F09"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-0.090</w:t>
            </w:r>
          </w:p>
        </w:tc>
        <w:tc>
          <w:tcPr>
            <w:tcW w:w="649" w:type="pct"/>
            <w:tcBorders>
              <w:top w:val="nil"/>
              <w:left w:val="nil"/>
              <w:bottom w:val="nil"/>
              <w:right w:val="nil"/>
            </w:tcBorders>
          </w:tcPr>
          <w:p w14:paraId="048697A5"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-0.132*</w:t>
            </w:r>
          </w:p>
        </w:tc>
      </w:tr>
      <w:tr w:rsidR="00B3764A" w:rsidRPr="00E57103" w14:paraId="1E8B5799" w14:textId="77777777" w:rsidTr="00B3764A">
        <w:trPr>
          <w:jc w:val="center"/>
        </w:trPr>
        <w:tc>
          <w:tcPr>
            <w:tcW w:w="1107" w:type="pct"/>
            <w:tcBorders>
              <w:top w:val="nil"/>
              <w:left w:val="nil"/>
              <w:bottom w:val="nil"/>
              <w:right w:val="nil"/>
            </w:tcBorders>
          </w:tcPr>
          <w:p w14:paraId="1BB74F47" w14:textId="77777777" w:rsidR="00B3764A" w:rsidRPr="00E57103" w:rsidRDefault="00B3764A" w:rsidP="009B09A3">
            <w:pPr>
              <w:widowControl w:val="0"/>
              <w:autoSpaceDE w:val="0"/>
              <w:autoSpaceDN w:val="0"/>
              <w:adjustRightInd w:val="0"/>
              <w:rPr>
                <w:rFonts w:ascii="Times New Roman" w:hAnsi="Times New Roman" w:cs="Times New Roman"/>
                <w:sz w:val="20"/>
                <w:szCs w:val="20"/>
              </w:rPr>
            </w:pPr>
          </w:p>
        </w:tc>
        <w:tc>
          <w:tcPr>
            <w:tcW w:w="649" w:type="pct"/>
            <w:tcBorders>
              <w:top w:val="nil"/>
              <w:left w:val="nil"/>
              <w:bottom w:val="nil"/>
              <w:right w:val="nil"/>
            </w:tcBorders>
          </w:tcPr>
          <w:p w14:paraId="62690998"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(0.103)</w:t>
            </w:r>
          </w:p>
        </w:tc>
        <w:tc>
          <w:tcPr>
            <w:tcW w:w="649" w:type="pct"/>
            <w:tcBorders>
              <w:top w:val="nil"/>
              <w:left w:val="nil"/>
              <w:bottom w:val="nil"/>
              <w:right w:val="nil"/>
            </w:tcBorders>
          </w:tcPr>
          <w:p w14:paraId="72A1EBE6"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(0.112)</w:t>
            </w:r>
          </w:p>
        </w:tc>
        <w:tc>
          <w:tcPr>
            <w:tcW w:w="649" w:type="pct"/>
            <w:tcBorders>
              <w:top w:val="nil"/>
              <w:left w:val="nil"/>
              <w:bottom w:val="nil"/>
              <w:right w:val="single" w:sz="6" w:space="0" w:color="auto"/>
            </w:tcBorders>
          </w:tcPr>
          <w:p w14:paraId="48E3D509"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(0.083)</w:t>
            </w:r>
          </w:p>
        </w:tc>
        <w:tc>
          <w:tcPr>
            <w:tcW w:w="649" w:type="pct"/>
            <w:tcBorders>
              <w:top w:val="nil"/>
              <w:left w:val="single" w:sz="6" w:space="0" w:color="auto"/>
              <w:bottom w:val="nil"/>
              <w:right w:val="nil"/>
            </w:tcBorders>
          </w:tcPr>
          <w:p w14:paraId="6770851F"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(0.061)</w:t>
            </w:r>
          </w:p>
        </w:tc>
        <w:tc>
          <w:tcPr>
            <w:tcW w:w="649" w:type="pct"/>
            <w:tcBorders>
              <w:top w:val="nil"/>
              <w:left w:val="nil"/>
              <w:bottom w:val="nil"/>
              <w:right w:val="nil"/>
            </w:tcBorders>
          </w:tcPr>
          <w:p w14:paraId="62AFE1B5"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(0.068)</w:t>
            </w:r>
          </w:p>
        </w:tc>
        <w:tc>
          <w:tcPr>
            <w:tcW w:w="649" w:type="pct"/>
            <w:tcBorders>
              <w:top w:val="nil"/>
              <w:left w:val="nil"/>
              <w:bottom w:val="nil"/>
              <w:right w:val="nil"/>
            </w:tcBorders>
          </w:tcPr>
          <w:p w14:paraId="1072C8BB"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(0.076)</w:t>
            </w:r>
          </w:p>
        </w:tc>
      </w:tr>
      <w:tr w:rsidR="00B3764A" w:rsidRPr="00E57103" w14:paraId="492171D6" w14:textId="77777777" w:rsidTr="00B3764A">
        <w:trPr>
          <w:jc w:val="center"/>
        </w:trPr>
        <w:tc>
          <w:tcPr>
            <w:tcW w:w="1107" w:type="pct"/>
            <w:tcBorders>
              <w:top w:val="nil"/>
              <w:left w:val="nil"/>
              <w:bottom w:val="nil"/>
              <w:right w:val="nil"/>
            </w:tcBorders>
          </w:tcPr>
          <w:p w14:paraId="62AC3BC2" w14:textId="77777777" w:rsidR="00B3764A" w:rsidRPr="00E57103" w:rsidRDefault="00B3764A" w:rsidP="009B09A3">
            <w:pPr>
              <w:widowControl w:val="0"/>
              <w:autoSpaceDE w:val="0"/>
              <w:autoSpaceDN w:val="0"/>
              <w:adjustRightInd w:val="0"/>
              <w:rPr>
                <w:rFonts w:ascii="Times New Roman" w:hAnsi="Times New Roman" w:cs="Times New Roman"/>
                <w:sz w:val="20"/>
                <w:szCs w:val="20"/>
              </w:rPr>
            </w:pPr>
            <w:proofErr w:type="spellStart"/>
            <w:r w:rsidRPr="00E57103">
              <w:rPr>
                <w:rFonts w:ascii="Times New Roman" w:hAnsi="Times New Roman" w:cs="Times New Roman"/>
                <w:sz w:val="20"/>
                <w:szCs w:val="20"/>
              </w:rPr>
              <w:t>DirFamily</w:t>
            </w:r>
            <w:proofErr w:type="spellEnd"/>
          </w:p>
        </w:tc>
        <w:tc>
          <w:tcPr>
            <w:tcW w:w="649" w:type="pct"/>
            <w:tcBorders>
              <w:top w:val="nil"/>
              <w:left w:val="nil"/>
              <w:bottom w:val="nil"/>
              <w:right w:val="nil"/>
            </w:tcBorders>
          </w:tcPr>
          <w:p w14:paraId="047D5DA4"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-0.007</w:t>
            </w:r>
          </w:p>
        </w:tc>
        <w:tc>
          <w:tcPr>
            <w:tcW w:w="649" w:type="pct"/>
            <w:tcBorders>
              <w:top w:val="nil"/>
              <w:left w:val="nil"/>
              <w:bottom w:val="nil"/>
              <w:right w:val="nil"/>
            </w:tcBorders>
          </w:tcPr>
          <w:p w14:paraId="587E2016"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-0.009</w:t>
            </w:r>
          </w:p>
        </w:tc>
        <w:tc>
          <w:tcPr>
            <w:tcW w:w="649" w:type="pct"/>
            <w:tcBorders>
              <w:top w:val="nil"/>
              <w:left w:val="nil"/>
              <w:bottom w:val="nil"/>
              <w:right w:val="single" w:sz="6" w:space="0" w:color="auto"/>
            </w:tcBorders>
          </w:tcPr>
          <w:p w14:paraId="79A1DF14"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-0.006</w:t>
            </w:r>
          </w:p>
        </w:tc>
        <w:tc>
          <w:tcPr>
            <w:tcW w:w="649" w:type="pct"/>
            <w:tcBorders>
              <w:top w:val="nil"/>
              <w:left w:val="single" w:sz="6" w:space="0" w:color="auto"/>
              <w:bottom w:val="nil"/>
              <w:right w:val="nil"/>
            </w:tcBorders>
          </w:tcPr>
          <w:p w14:paraId="51F80278"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-0.007</w:t>
            </w:r>
          </w:p>
        </w:tc>
        <w:tc>
          <w:tcPr>
            <w:tcW w:w="649" w:type="pct"/>
            <w:tcBorders>
              <w:top w:val="nil"/>
              <w:left w:val="nil"/>
              <w:bottom w:val="nil"/>
              <w:right w:val="nil"/>
            </w:tcBorders>
          </w:tcPr>
          <w:p w14:paraId="32838757"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-0.011</w:t>
            </w:r>
          </w:p>
        </w:tc>
        <w:tc>
          <w:tcPr>
            <w:tcW w:w="649" w:type="pct"/>
            <w:tcBorders>
              <w:top w:val="nil"/>
              <w:left w:val="nil"/>
              <w:bottom w:val="nil"/>
              <w:right w:val="nil"/>
            </w:tcBorders>
          </w:tcPr>
          <w:p w14:paraId="7AEBF4F6"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-0.011</w:t>
            </w:r>
          </w:p>
        </w:tc>
      </w:tr>
      <w:tr w:rsidR="00B3764A" w:rsidRPr="00E57103" w14:paraId="3A0D9CA0" w14:textId="77777777" w:rsidTr="00B3764A">
        <w:trPr>
          <w:jc w:val="center"/>
        </w:trPr>
        <w:tc>
          <w:tcPr>
            <w:tcW w:w="1107" w:type="pct"/>
            <w:tcBorders>
              <w:top w:val="nil"/>
              <w:left w:val="nil"/>
              <w:bottom w:val="nil"/>
              <w:right w:val="nil"/>
            </w:tcBorders>
          </w:tcPr>
          <w:p w14:paraId="2318EAF2" w14:textId="77777777" w:rsidR="00B3764A" w:rsidRPr="00E57103" w:rsidRDefault="00B3764A" w:rsidP="009B09A3">
            <w:pPr>
              <w:widowControl w:val="0"/>
              <w:autoSpaceDE w:val="0"/>
              <w:autoSpaceDN w:val="0"/>
              <w:adjustRightInd w:val="0"/>
              <w:rPr>
                <w:rFonts w:ascii="Times New Roman" w:hAnsi="Times New Roman" w:cs="Times New Roman"/>
                <w:sz w:val="20"/>
                <w:szCs w:val="20"/>
              </w:rPr>
            </w:pPr>
          </w:p>
        </w:tc>
        <w:tc>
          <w:tcPr>
            <w:tcW w:w="649" w:type="pct"/>
            <w:tcBorders>
              <w:top w:val="nil"/>
              <w:left w:val="nil"/>
              <w:bottom w:val="nil"/>
              <w:right w:val="nil"/>
            </w:tcBorders>
          </w:tcPr>
          <w:p w14:paraId="0DFA1557"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(0.007)</w:t>
            </w:r>
          </w:p>
        </w:tc>
        <w:tc>
          <w:tcPr>
            <w:tcW w:w="649" w:type="pct"/>
            <w:tcBorders>
              <w:top w:val="nil"/>
              <w:left w:val="nil"/>
              <w:bottom w:val="nil"/>
              <w:right w:val="nil"/>
            </w:tcBorders>
          </w:tcPr>
          <w:p w14:paraId="4E1172C3"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(0.008)</w:t>
            </w:r>
          </w:p>
        </w:tc>
        <w:tc>
          <w:tcPr>
            <w:tcW w:w="649" w:type="pct"/>
            <w:tcBorders>
              <w:top w:val="nil"/>
              <w:left w:val="nil"/>
              <w:bottom w:val="nil"/>
              <w:right w:val="single" w:sz="6" w:space="0" w:color="auto"/>
            </w:tcBorders>
          </w:tcPr>
          <w:p w14:paraId="0E6C799C"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(0.007)</w:t>
            </w:r>
          </w:p>
        </w:tc>
        <w:tc>
          <w:tcPr>
            <w:tcW w:w="649" w:type="pct"/>
            <w:tcBorders>
              <w:top w:val="nil"/>
              <w:left w:val="single" w:sz="6" w:space="0" w:color="auto"/>
              <w:bottom w:val="nil"/>
              <w:right w:val="nil"/>
            </w:tcBorders>
          </w:tcPr>
          <w:p w14:paraId="7282162F"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(0.008)</w:t>
            </w:r>
          </w:p>
        </w:tc>
        <w:tc>
          <w:tcPr>
            <w:tcW w:w="649" w:type="pct"/>
            <w:tcBorders>
              <w:top w:val="nil"/>
              <w:left w:val="nil"/>
              <w:bottom w:val="nil"/>
              <w:right w:val="nil"/>
            </w:tcBorders>
          </w:tcPr>
          <w:p w14:paraId="0399F1FA"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(0.008)</w:t>
            </w:r>
          </w:p>
        </w:tc>
        <w:tc>
          <w:tcPr>
            <w:tcW w:w="649" w:type="pct"/>
            <w:tcBorders>
              <w:top w:val="nil"/>
              <w:left w:val="nil"/>
              <w:bottom w:val="nil"/>
              <w:right w:val="nil"/>
            </w:tcBorders>
          </w:tcPr>
          <w:p w14:paraId="43E4C2AF"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(0.009)</w:t>
            </w:r>
          </w:p>
        </w:tc>
      </w:tr>
      <w:tr w:rsidR="00B3764A" w:rsidRPr="00E57103" w14:paraId="38073FE2" w14:textId="77777777" w:rsidTr="00B3764A">
        <w:trPr>
          <w:jc w:val="center"/>
        </w:trPr>
        <w:tc>
          <w:tcPr>
            <w:tcW w:w="1107" w:type="pct"/>
            <w:tcBorders>
              <w:top w:val="nil"/>
              <w:left w:val="nil"/>
              <w:bottom w:val="nil"/>
              <w:right w:val="nil"/>
            </w:tcBorders>
          </w:tcPr>
          <w:p w14:paraId="373E72ED" w14:textId="77777777" w:rsidR="00B3764A" w:rsidRPr="00E57103" w:rsidRDefault="00B3764A" w:rsidP="009B09A3">
            <w:pPr>
              <w:widowControl w:val="0"/>
              <w:autoSpaceDE w:val="0"/>
              <w:autoSpaceDN w:val="0"/>
              <w:adjustRightInd w:val="0"/>
              <w:rPr>
                <w:rFonts w:ascii="Times New Roman" w:hAnsi="Times New Roman" w:cs="Times New Roman"/>
                <w:sz w:val="20"/>
                <w:szCs w:val="20"/>
              </w:rPr>
            </w:pPr>
            <w:proofErr w:type="spellStart"/>
            <w:r w:rsidRPr="00E57103">
              <w:rPr>
                <w:rFonts w:ascii="Times New Roman" w:hAnsi="Times New Roman" w:cs="Times New Roman"/>
                <w:sz w:val="20"/>
                <w:szCs w:val="20"/>
              </w:rPr>
              <w:t>EstDate</w:t>
            </w:r>
            <w:proofErr w:type="spellEnd"/>
          </w:p>
        </w:tc>
        <w:tc>
          <w:tcPr>
            <w:tcW w:w="649" w:type="pct"/>
            <w:tcBorders>
              <w:top w:val="nil"/>
              <w:left w:val="nil"/>
              <w:bottom w:val="nil"/>
              <w:right w:val="nil"/>
            </w:tcBorders>
          </w:tcPr>
          <w:p w14:paraId="71CBCEE7"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0.000</w:t>
            </w:r>
          </w:p>
        </w:tc>
        <w:tc>
          <w:tcPr>
            <w:tcW w:w="649" w:type="pct"/>
            <w:tcBorders>
              <w:top w:val="nil"/>
              <w:left w:val="nil"/>
              <w:bottom w:val="nil"/>
              <w:right w:val="nil"/>
            </w:tcBorders>
          </w:tcPr>
          <w:p w14:paraId="32CD67D5"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0.000</w:t>
            </w:r>
          </w:p>
        </w:tc>
        <w:tc>
          <w:tcPr>
            <w:tcW w:w="649" w:type="pct"/>
            <w:tcBorders>
              <w:top w:val="nil"/>
              <w:left w:val="nil"/>
              <w:bottom w:val="nil"/>
              <w:right w:val="single" w:sz="6" w:space="0" w:color="auto"/>
            </w:tcBorders>
          </w:tcPr>
          <w:p w14:paraId="0D153039"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0.000</w:t>
            </w:r>
          </w:p>
        </w:tc>
        <w:tc>
          <w:tcPr>
            <w:tcW w:w="649" w:type="pct"/>
            <w:tcBorders>
              <w:top w:val="nil"/>
              <w:left w:val="single" w:sz="6" w:space="0" w:color="auto"/>
              <w:bottom w:val="nil"/>
              <w:right w:val="nil"/>
            </w:tcBorders>
          </w:tcPr>
          <w:p w14:paraId="00E7A605"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0.000</w:t>
            </w:r>
          </w:p>
        </w:tc>
        <w:tc>
          <w:tcPr>
            <w:tcW w:w="649" w:type="pct"/>
            <w:tcBorders>
              <w:top w:val="nil"/>
              <w:left w:val="nil"/>
              <w:bottom w:val="nil"/>
              <w:right w:val="nil"/>
            </w:tcBorders>
          </w:tcPr>
          <w:p w14:paraId="51D8C0D8"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0.000</w:t>
            </w:r>
          </w:p>
        </w:tc>
        <w:tc>
          <w:tcPr>
            <w:tcW w:w="649" w:type="pct"/>
            <w:tcBorders>
              <w:top w:val="nil"/>
              <w:left w:val="nil"/>
              <w:bottom w:val="nil"/>
              <w:right w:val="nil"/>
            </w:tcBorders>
          </w:tcPr>
          <w:p w14:paraId="036AECB3"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0.000</w:t>
            </w:r>
          </w:p>
        </w:tc>
      </w:tr>
      <w:tr w:rsidR="00B3764A" w:rsidRPr="00E57103" w14:paraId="64868FCF" w14:textId="77777777" w:rsidTr="00B3764A">
        <w:trPr>
          <w:jc w:val="center"/>
        </w:trPr>
        <w:tc>
          <w:tcPr>
            <w:tcW w:w="1107" w:type="pct"/>
            <w:tcBorders>
              <w:top w:val="nil"/>
              <w:left w:val="nil"/>
              <w:bottom w:val="nil"/>
              <w:right w:val="nil"/>
            </w:tcBorders>
          </w:tcPr>
          <w:p w14:paraId="092A8511" w14:textId="77777777" w:rsidR="00B3764A" w:rsidRPr="00E57103" w:rsidRDefault="00B3764A" w:rsidP="009B09A3">
            <w:pPr>
              <w:widowControl w:val="0"/>
              <w:autoSpaceDE w:val="0"/>
              <w:autoSpaceDN w:val="0"/>
              <w:adjustRightInd w:val="0"/>
              <w:rPr>
                <w:rFonts w:ascii="Times New Roman" w:hAnsi="Times New Roman" w:cs="Times New Roman"/>
                <w:sz w:val="20"/>
                <w:szCs w:val="20"/>
              </w:rPr>
            </w:pPr>
          </w:p>
        </w:tc>
        <w:tc>
          <w:tcPr>
            <w:tcW w:w="649" w:type="pct"/>
            <w:tcBorders>
              <w:top w:val="nil"/>
              <w:left w:val="nil"/>
              <w:bottom w:val="nil"/>
              <w:right w:val="nil"/>
            </w:tcBorders>
          </w:tcPr>
          <w:p w14:paraId="3F3F86FC"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(0.000)</w:t>
            </w:r>
          </w:p>
        </w:tc>
        <w:tc>
          <w:tcPr>
            <w:tcW w:w="649" w:type="pct"/>
            <w:tcBorders>
              <w:top w:val="nil"/>
              <w:left w:val="nil"/>
              <w:bottom w:val="nil"/>
              <w:right w:val="nil"/>
            </w:tcBorders>
          </w:tcPr>
          <w:p w14:paraId="032A5907"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(0.000)</w:t>
            </w:r>
          </w:p>
        </w:tc>
        <w:tc>
          <w:tcPr>
            <w:tcW w:w="649" w:type="pct"/>
            <w:tcBorders>
              <w:top w:val="nil"/>
              <w:left w:val="nil"/>
              <w:bottom w:val="nil"/>
              <w:right w:val="single" w:sz="6" w:space="0" w:color="auto"/>
            </w:tcBorders>
          </w:tcPr>
          <w:p w14:paraId="0AA60F1A"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(0.000)</w:t>
            </w:r>
          </w:p>
        </w:tc>
        <w:tc>
          <w:tcPr>
            <w:tcW w:w="649" w:type="pct"/>
            <w:tcBorders>
              <w:top w:val="nil"/>
              <w:left w:val="single" w:sz="6" w:space="0" w:color="auto"/>
              <w:bottom w:val="nil"/>
              <w:right w:val="nil"/>
            </w:tcBorders>
          </w:tcPr>
          <w:p w14:paraId="1F9E1CB6"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(0.000)</w:t>
            </w:r>
          </w:p>
        </w:tc>
        <w:tc>
          <w:tcPr>
            <w:tcW w:w="649" w:type="pct"/>
            <w:tcBorders>
              <w:top w:val="nil"/>
              <w:left w:val="nil"/>
              <w:bottom w:val="nil"/>
              <w:right w:val="nil"/>
            </w:tcBorders>
          </w:tcPr>
          <w:p w14:paraId="0FC0286F"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(0.000)</w:t>
            </w:r>
          </w:p>
        </w:tc>
        <w:tc>
          <w:tcPr>
            <w:tcW w:w="649" w:type="pct"/>
            <w:tcBorders>
              <w:top w:val="nil"/>
              <w:left w:val="nil"/>
              <w:bottom w:val="nil"/>
              <w:right w:val="nil"/>
            </w:tcBorders>
          </w:tcPr>
          <w:p w14:paraId="59DBE900"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(0.000)</w:t>
            </w:r>
          </w:p>
        </w:tc>
      </w:tr>
      <w:tr w:rsidR="00B3764A" w:rsidRPr="00E57103" w14:paraId="3DBEF0AE" w14:textId="77777777" w:rsidTr="00B3764A">
        <w:trPr>
          <w:jc w:val="center"/>
        </w:trPr>
        <w:tc>
          <w:tcPr>
            <w:tcW w:w="1107" w:type="pct"/>
            <w:tcBorders>
              <w:top w:val="nil"/>
              <w:left w:val="nil"/>
              <w:bottom w:val="nil"/>
              <w:right w:val="nil"/>
            </w:tcBorders>
          </w:tcPr>
          <w:p w14:paraId="1947E286" w14:textId="77777777" w:rsidR="00B3764A" w:rsidRPr="00E57103" w:rsidRDefault="00B3764A" w:rsidP="009B09A3">
            <w:pPr>
              <w:widowControl w:val="0"/>
              <w:autoSpaceDE w:val="0"/>
              <w:autoSpaceDN w:val="0"/>
              <w:adjustRightInd w:val="0"/>
              <w:rPr>
                <w:rFonts w:ascii="Times New Roman" w:hAnsi="Times New Roman" w:cs="Times New Roman"/>
                <w:sz w:val="20"/>
                <w:szCs w:val="20"/>
              </w:rPr>
            </w:pPr>
            <w:r w:rsidRPr="00E57103">
              <w:rPr>
                <w:rFonts w:ascii="Times New Roman" w:hAnsi="Times New Roman" w:cs="Times New Roman"/>
                <w:sz w:val="20"/>
                <w:szCs w:val="20"/>
              </w:rPr>
              <w:t>Size</w:t>
            </w:r>
          </w:p>
        </w:tc>
        <w:tc>
          <w:tcPr>
            <w:tcW w:w="649" w:type="pct"/>
            <w:tcBorders>
              <w:top w:val="nil"/>
              <w:left w:val="nil"/>
              <w:bottom w:val="nil"/>
              <w:right w:val="nil"/>
            </w:tcBorders>
          </w:tcPr>
          <w:p w14:paraId="75C9FEDA"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-0.000</w:t>
            </w:r>
          </w:p>
        </w:tc>
        <w:tc>
          <w:tcPr>
            <w:tcW w:w="649" w:type="pct"/>
            <w:tcBorders>
              <w:top w:val="nil"/>
              <w:left w:val="nil"/>
              <w:bottom w:val="nil"/>
              <w:right w:val="nil"/>
            </w:tcBorders>
          </w:tcPr>
          <w:p w14:paraId="6142D8AB"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0.000</w:t>
            </w:r>
          </w:p>
        </w:tc>
        <w:tc>
          <w:tcPr>
            <w:tcW w:w="649" w:type="pct"/>
            <w:tcBorders>
              <w:top w:val="nil"/>
              <w:left w:val="nil"/>
              <w:bottom w:val="nil"/>
              <w:right w:val="single" w:sz="6" w:space="0" w:color="auto"/>
            </w:tcBorders>
          </w:tcPr>
          <w:p w14:paraId="5C7F127A"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0.001</w:t>
            </w:r>
          </w:p>
        </w:tc>
        <w:tc>
          <w:tcPr>
            <w:tcW w:w="649" w:type="pct"/>
            <w:tcBorders>
              <w:top w:val="nil"/>
              <w:left w:val="single" w:sz="6" w:space="0" w:color="auto"/>
              <w:bottom w:val="nil"/>
              <w:right w:val="nil"/>
            </w:tcBorders>
          </w:tcPr>
          <w:p w14:paraId="11F4C3EA"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0.000</w:t>
            </w:r>
          </w:p>
        </w:tc>
        <w:tc>
          <w:tcPr>
            <w:tcW w:w="649" w:type="pct"/>
            <w:tcBorders>
              <w:top w:val="nil"/>
              <w:left w:val="nil"/>
              <w:bottom w:val="nil"/>
              <w:right w:val="nil"/>
            </w:tcBorders>
          </w:tcPr>
          <w:p w14:paraId="760CA991"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0.001</w:t>
            </w:r>
          </w:p>
        </w:tc>
        <w:tc>
          <w:tcPr>
            <w:tcW w:w="649" w:type="pct"/>
            <w:tcBorders>
              <w:top w:val="nil"/>
              <w:left w:val="nil"/>
              <w:bottom w:val="nil"/>
              <w:right w:val="nil"/>
            </w:tcBorders>
          </w:tcPr>
          <w:p w14:paraId="5ED21D67"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0.001</w:t>
            </w:r>
          </w:p>
        </w:tc>
      </w:tr>
      <w:tr w:rsidR="00B3764A" w:rsidRPr="00E57103" w14:paraId="7EBB21D9" w14:textId="77777777" w:rsidTr="00B3764A">
        <w:trPr>
          <w:jc w:val="center"/>
        </w:trPr>
        <w:tc>
          <w:tcPr>
            <w:tcW w:w="1107" w:type="pct"/>
            <w:tcBorders>
              <w:top w:val="nil"/>
              <w:left w:val="nil"/>
              <w:bottom w:val="nil"/>
              <w:right w:val="nil"/>
            </w:tcBorders>
          </w:tcPr>
          <w:p w14:paraId="61240B24" w14:textId="77777777" w:rsidR="00B3764A" w:rsidRPr="00E57103" w:rsidRDefault="00B3764A" w:rsidP="009B09A3">
            <w:pPr>
              <w:widowControl w:val="0"/>
              <w:autoSpaceDE w:val="0"/>
              <w:autoSpaceDN w:val="0"/>
              <w:adjustRightInd w:val="0"/>
              <w:rPr>
                <w:rFonts w:ascii="Times New Roman" w:hAnsi="Times New Roman" w:cs="Times New Roman"/>
                <w:sz w:val="20"/>
                <w:szCs w:val="20"/>
              </w:rPr>
            </w:pPr>
          </w:p>
        </w:tc>
        <w:tc>
          <w:tcPr>
            <w:tcW w:w="649" w:type="pct"/>
            <w:tcBorders>
              <w:top w:val="nil"/>
              <w:left w:val="nil"/>
              <w:bottom w:val="nil"/>
              <w:right w:val="nil"/>
            </w:tcBorders>
          </w:tcPr>
          <w:p w14:paraId="3ECC4C4E"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(0.004)</w:t>
            </w:r>
          </w:p>
        </w:tc>
        <w:tc>
          <w:tcPr>
            <w:tcW w:w="649" w:type="pct"/>
            <w:tcBorders>
              <w:top w:val="nil"/>
              <w:left w:val="nil"/>
              <w:bottom w:val="nil"/>
              <w:right w:val="nil"/>
            </w:tcBorders>
          </w:tcPr>
          <w:p w14:paraId="3E981936"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(0.004)</w:t>
            </w:r>
          </w:p>
        </w:tc>
        <w:tc>
          <w:tcPr>
            <w:tcW w:w="649" w:type="pct"/>
            <w:tcBorders>
              <w:top w:val="nil"/>
              <w:left w:val="nil"/>
              <w:bottom w:val="nil"/>
              <w:right w:val="single" w:sz="6" w:space="0" w:color="auto"/>
            </w:tcBorders>
          </w:tcPr>
          <w:p w14:paraId="6C0C1464"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(0.004)</w:t>
            </w:r>
          </w:p>
        </w:tc>
        <w:tc>
          <w:tcPr>
            <w:tcW w:w="649" w:type="pct"/>
            <w:tcBorders>
              <w:top w:val="nil"/>
              <w:left w:val="single" w:sz="6" w:space="0" w:color="auto"/>
              <w:bottom w:val="nil"/>
              <w:right w:val="nil"/>
            </w:tcBorders>
          </w:tcPr>
          <w:p w14:paraId="2677301F"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(0.004)</w:t>
            </w:r>
          </w:p>
        </w:tc>
        <w:tc>
          <w:tcPr>
            <w:tcW w:w="649" w:type="pct"/>
            <w:tcBorders>
              <w:top w:val="nil"/>
              <w:left w:val="nil"/>
              <w:bottom w:val="nil"/>
              <w:right w:val="nil"/>
            </w:tcBorders>
          </w:tcPr>
          <w:p w14:paraId="457DEF67"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(0.004)</w:t>
            </w:r>
          </w:p>
        </w:tc>
        <w:tc>
          <w:tcPr>
            <w:tcW w:w="649" w:type="pct"/>
            <w:tcBorders>
              <w:top w:val="nil"/>
              <w:left w:val="nil"/>
              <w:bottom w:val="nil"/>
              <w:right w:val="nil"/>
            </w:tcBorders>
          </w:tcPr>
          <w:p w14:paraId="0B56099A"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(0.004)</w:t>
            </w:r>
          </w:p>
        </w:tc>
      </w:tr>
      <w:tr w:rsidR="00B3764A" w:rsidRPr="00E57103" w14:paraId="4B1B8F7A" w14:textId="77777777" w:rsidTr="00B3764A">
        <w:trPr>
          <w:jc w:val="center"/>
        </w:trPr>
        <w:tc>
          <w:tcPr>
            <w:tcW w:w="1107" w:type="pct"/>
            <w:tcBorders>
              <w:top w:val="nil"/>
              <w:left w:val="nil"/>
              <w:bottom w:val="nil"/>
              <w:right w:val="nil"/>
            </w:tcBorders>
          </w:tcPr>
          <w:p w14:paraId="6C0E77EB" w14:textId="77777777" w:rsidR="00B3764A" w:rsidRPr="00E57103" w:rsidRDefault="00B3764A" w:rsidP="009B09A3">
            <w:pPr>
              <w:widowControl w:val="0"/>
              <w:autoSpaceDE w:val="0"/>
              <w:autoSpaceDN w:val="0"/>
              <w:adjustRightInd w:val="0"/>
              <w:rPr>
                <w:rFonts w:ascii="Times New Roman" w:hAnsi="Times New Roman" w:cs="Times New Roman"/>
                <w:sz w:val="20"/>
                <w:szCs w:val="20"/>
              </w:rPr>
            </w:pPr>
            <w:proofErr w:type="spellStart"/>
            <w:r w:rsidRPr="00E57103">
              <w:rPr>
                <w:rFonts w:ascii="Times New Roman" w:hAnsi="Times New Roman" w:cs="Times New Roman"/>
                <w:sz w:val="20"/>
                <w:szCs w:val="20"/>
              </w:rPr>
              <w:t>DirectorQual</w:t>
            </w:r>
            <w:proofErr w:type="spellEnd"/>
          </w:p>
        </w:tc>
        <w:tc>
          <w:tcPr>
            <w:tcW w:w="649" w:type="pct"/>
            <w:tcBorders>
              <w:top w:val="nil"/>
              <w:left w:val="nil"/>
              <w:bottom w:val="nil"/>
              <w:right w:val="nil"/>
            </w:tcBorders>
          </w:tcPr>
          <w:p w14:paraId="021B5668"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-0.003</w:t>
            </w:r>
          </w:p>
        </w:tc>
        <w:tc>
          <w:tcPr>
            <w:tcW w:w="649" w:type="pct"/>
            <w:tcBorders>
              <w:top w:val="nil"/>
              <w:left w:val="nil"/>
              <w:bottom w:val="nil"/>
              <w:right w:val="nil"/>
            </w:tcBorders>
          </w:tcPr>
          <w:p w14:paraId="6DCE73C6"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-0.005</w:t>
            </w:r>
          </w:p>
        </w:tc>
        <w:tc>
          <w:tcPr>
            <w:tcW w:w="649" w:type="pct"/>
            <w:tcBorders>
              <w:top w:val="nil"/>
              <w:left w:val="nil"/>
              <w:bottom w:val="nil"/>
              <w:right w:val="single" w:sz="6" w:space="0" w:color="auto"/>
            </w:tcBorders>
          </w:tcPr>
          <w:p w14:paraId="243C6247"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-0.001</w:t>
            </w:r>
          </w:p>
        </w:tc>
        <w:tc>
          <w:tcPr>
            <w:tcW w:w="649" w:type="pct"/>
            <w:tcBorders>
              <w:top w:val="nil"/>
              <w:left w:val="single" w:sz="6" w:space="0" w:color="auto"/>
              <w:bottom w:val="nil"/>
              <w:right w:val="nil"/>
            </w:tcBorders>
          </w:tcPr>
          <w:p w14:paraId="3B93050D"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-0.004</w:t>
            </w:r>
          </w:p>
        </w:tc>
        <w:tc>
          <w:tcPr>
            <w:tcW w:w="649" w:type="pct"/>
            <w:tcBorders>
              <w:top w:val="nil"/>
              <w:left w:val="nil"/>
              <w:bottom w:val="nil"/>
              <w:right w:val="nil"/>
            </w:tcBorders>
          </w:tcPr>
          <w:p w14:paraId="12359399"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-0.005</w:t>
            </w:r>
          </w:p>
        </w:tc>
        <w:tc>
          <w:tcPr>
            <w:tcW w:w="649" w:type="pct"/>
            <w:tcBorders>
              <w:top w:val="nil"/>
              <w:left w:val="nil"/>
              <w:bottom w:val="nil"/>
              <w:right w:val="nil"/>
            </w:tcBorders>
          </w:tcPr>
          <w:p w14:paraId="2C6C2030"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-0.001</w:t>
            </w:r>
          </w:p>
        </w:tc>
      </w:tr>
      <w:tr w:rsidR="00B3764A" w:rsidRPr="00E57103" w14:paraId="59035D15" w14:textId="77777777" w:rsidTr="00B3764A">
        <w:trPr>
          <w:jc w:val="center"/>
        </w:trPr>
        <w:tc>
          <w:tcPr>
            <w:tcW w:w="1107" w:type="pct"/>
            <w:tcBorders>
              <w:top w:val="nil"/>
              <w:left w:val="nil"/>
              <w:bottom w:val="nil"/>
              <w:right w:val="nil"/>
            </w:tcBorders>
          </w:tcPr>
          <w:p w14:paraId="7B5C2471" w14:textId="77777777" w:rsidR="00B3764A" w:rsidRPr="00E57103" w:rsidRDefault="00B3764A" w:rsidP="009B09A3">
            <w:pPr>
              <w:widowControl w:val="0"/>
              <w:autoSpaceDE w:val="0"/>
              <w:autoSpaceDN w:val="0"/>
              <w:adjustRightInd w:val="0"/>
              <w:rPr>
                <w:rFonts w:ascii="Times New Roman" w:hAnsi="Times New Roman" w:cs="Times New Roman"/>
                <w:sz w:val="20"/>
                <w:szCs w:val="20"/>
              </w:rPr>
            </w:pPr>
          </w:p>
        </w:tc>
        <w:tc>
          <w:tcPr>
            <w:tcW w:w="649" w:type="pct"/>
            <w:tcBorders>
              <w:top w:val="nil"/>
              <w:left w:val="nil"/>
              <w:bottom w:val="nil"/>
              <w:right w:val="nil"/>
            </w:tcBorders>
          </w:tcPr>
          <w:p w14:paraId="18EEFD30"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(0.009)</w:t>
            </w:r>
          </w:p>
        </w:tc>
        <w:tc>
          <w:tcPr>
            <w:tcW w:w="649" w:type="pct"/>
            <w:tcBorders>
              <w:top w:val="nil"/>
              <w:left w:val="nil"/>
              <w:bottom w:val="nil"/>
              <w:right w:val="nil"/>
            </w:tcBorders>
          </w:tcPr>
          <w:p w14:paraId="2373D0C3"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(0.009)</w:t>
            </w:r>
          </w:p>
        </w:tc>
        <w:tc>
          <w:tcPr>
            <w:tcW w:w="649" w:type="pct"/>
            <w:tcBorders>
              <w:top w:val="nil"/>
              <w:left w:val="nil"/>
              <w:bottom w:val="nil"/>
              <w:right w:val="single" w:sz="6" w:space="0" w:color="auto"/>
            </w:tcBorders>
          </w:tcPr>
          <w:p w14:paraId="2D1C96C4"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(0.009)</w:t>
            </w:r>
          </w:p>
        </w:tc>
        <w:tc>
          <w:tcPr>
            <w:tcW w:w="649" w:type="pct"/>
            <w:tcBorders>
              <w:top w:val="nil"/>
              <w:left w:val="single" w:sz="6" w:space="0" w:color="auto"/>
              <w:bottom w:val="nil"/>
              <w:right w:val="nil"/>
            </w:tcBorders>
          </w:tcPr>
          <w:p w14:paraId="3CD0B372"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(0.009)</w:t>
            </w:r>
          </w:p>
        </w:tc>
        <w:tc>
          <w:tcPr>
            <w:tcW w:w="649" w:type="pct"/>
            <w:tcBorders>
              <w:top w:val="nil"/>
              <w:left w:val="nil"/>
              <w:bottom w:val="nil"/>
              <w:right w:val="nil"/>
            </w:tcBorders>
          </w:tcPr>
          <w:p w14:paraId="2D80F8E1"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(0.009)</w:t>
            </w:r>
          </w:p>
        </w:tc>
        <w:tc>
          <w:tcPr>
            <w:tcW w:w="649" w:type="pct"/>
            <w:tcBorders>
              <w:top w:val="nil"/>
              <w:left w:val="nil"/>
              <w:bottom w:val="nil"/>
              <w:right w:val="nil"/>
            </w:tcBorders>
          </w:tcPr>
          <w:p w14:paraId="47D888C2"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(0.009)</w:t>
            </w:r>
          </w:p>
        </w:tc>
      </w:tr>
      <w:tr w:rsidR="00B3764A" w:rsidRPr="00E57103" w14:paraId="682B939A" w14:textId="77777777" w:rsidTr="00B3764A">
        <w:trPr>
          <w:jc w:val="center"/>
        </w:trPr>
        <w:tc>
          <w:tcPr>
            <w:tcW w:w="1107" w:type="pct"/>
            <w:tcBorders>
              <w:top w:val="nil"/>
              <w:left w:val="nil"/>
              <w:bottom w:val="nil"/>
              <w:right w:val="nil"/>
            </w:tcBorders>
          </w:tcPr>
          <w:p w14:paraId="7116C9F7" w14:textId="77777777" w:rsidR="00B3764A" w:rsidRPr="00E57103" w:rsidRDefault="00B3764A" w:rsidP="009B09A3">
            <w:pPr>
              <w:widowControl w:val="0"/>
              <w:autoSpaceDE w:val="0"/>
              <w:autoSpaceDN w:val="0"/>
              <w:adjustRightInd w:val="0"/>
              <w:rPr>
                <w:rFonts w:ascii="Times New Roman" w:hAnsi="Times New Roman" w:cs="Times New Roman"/>
                <w:sz w:val="20"/>
                <w:szCs w:val="20"/>
              </w:rPr>
            </w:pPr>
            <w:proofErr w:type="spellStart"/>
            <w:r w:rsidRPr="00E57103">
              <w:rPr>
                <w:rFonts w:ascii="Times New Roman" w:hAnsi="Times New Roman" w:cs="Times New Roman"/>
                <w:sz w:val="20"/>
                <w:szCs w:val="20"/>
              </w:rPr>
              <w:t>HeadLondon</w:t>
            </w:r>
            <w:proofErr w:type="spellEnd"/>
          </w:p>
        </w:tc>
        <w:tc>
          <w:tcPr>
            <w:tcW w:w="649" w:type="pct"/>
            <w:tcBorders>
              <w:top w:val="nil"/>
              <w:left w:val="nil"/>
              <w:bottom w:val="nil"/>
              <w:right w:val="nil"/>
            </w:tcBorders>
          </w:tcPr>
          <w:p w14:paraId="124EF2AF"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0.007</w:t>
            </w:r>
          </w:p>
        </w:tc>
        <w:tc>
          <w:tcPr>
            <w:tcW w:w="649" w:type="pct"/>
            <w:tcBorders>
              <w:top w:val="nil"/>
              <w:left w:val="nil"/>
              <w:bottom w:val="nil"/>
              <w:right w:val="nil"/>
            </w:tcBorders>
          </w:tcPr>
          <w:p w14:paraId="79C0D0E7"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0.007</w:t>
            </w:r>
          </w:p>
        </w:tc>
        <w:tc>
          <w:tcPr>
            <w:tcW w:w="649" w:type="pct"/>
            <w:tcBorders>
              <w:top w:val="nil"/>
              <w:left w:val="nil"/>
              <w:bottom w:val="nil"/>
              <w:right w:val="single" w:sz="6" w:space="0" w:color="auto"/>
            </w:tcBorders>
          </w:tcPr>
          <w:p w14:paraId="751B29FF"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0.005</w:t>
            </w:r>
          </w:p>
        </w:tc>
        <w:tc>
          <w:tcPr>
            <w:tcW w:w="649" w:type="pct"/>
            <w:tcBorders>
              <w:top w:val="nil"/>
              <w:left w:val="single" w:sz="6" w:space="0" w:color="auto"/>
              <w:bottom w:val="nil"/>
              <w:right w:val="nil"/>
            </w:tcBorders>
          </w:tcPr>
          <w:p w14:paraId="2E27140C"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0.008</w:t>
            </w:r>
          </w:p>
        </w:tc>
        <w:tc>
          <w:tcPr>
            <w:tcW w:w="649" w:type="pct"/>
            <w:tcBorders>
              <w:top w:val="nil"/>
              <w:left w:val="nil"/>
              <w:bottom w:val="nil"/>
              <w:right w:val="nil"/>
            </w:tcBorders>
          </w:tcPr>
          <w:p w14:paraId="2C38E64E"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0.007</w:t>
            </w:r>
          </w:p>
        </w:tc>
        <w:tc>
          <w:tcPr>
            <w:tcW w:w="649" w:type="pct"/>
            <w:tcBorders>
              <w:top w:val="nil"/>
              <w:left w:val="nil"/>
              <w:bottom w:val="nil"/>
              <w:right w:val="nil"/>
            </w:tcBorders>
          </w:tcPr>
          <w:p w14:paraId="1DE7FEED"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0.008</w:t>
            </w:r>
          </w:p>
        </w:tc>
      </w:tr>
      <w:tr w:rsidR="00B3764A" w:rsidRPr="00E57103" w14:paraId="622DA894" w14:textId="77777777" w:rsidTr="00B3764A">
        <w:trPr>
          <w:jc w:val="center"/>
        </w:trPr>
        <w:tc>
          <w:tcPr>
            <w:tcW w:w="1107" w:type="pct"/>
            <w:tcBorders>
              <w:top w:val="nil"/>
              <w:left w:val="nil"/>
              <w:bottom w:val="nil"/>
              <w:right w:val="nil"/>
            </w:tcBorders>
          </w:tcPr>
          <w:p w14:paraId="6ACA5C0D" w14:textId="77777777" w:rsidR="00B3764A" w:rsidRPr="00E57103" w:rsidRDefault="00B3764A" w:rsidP="009B09A3">
            <w:pPr>
              <w:widowControl w:val="0"/>
              <w:autoSpaceDE w:val="0"/>
              <w:autoSpaceDN w:val="0"/>
              <w:adjustRightInd w:val="0"/>
              <w:rPr>
                <w:rFonts w:ascii="Times New Roman" w:hAnsi="Times New Roman" w:cs="Times New Roman"/>
                <w:sz w:val="20"/>
                <w:szCs w:val="20"/>
              </w:rPr>
            </w:pPr>
          </w:p>
        </w:tc>
        <w:tc>
          <w:tcPr>
            <w:tcW w:w="649" w:type="pct"/>
            <w:tcBorders>
              <w:top w:val="nil"/>
              <w:left w:val="nil"/>
              <w:bottom w:val="nil"/>
              <w:right w:val="nil"/>
            </w:tcBorders>
          </w:tcPr>
          <w:p w14:paraId="703A4825"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(0.007)</w:t>
            </w:r>
          </w:p>
        </w:tc>
        <w:tc>
          <w:tcPr>
            <w:tcW w:w="649" w:type="pct"/>
            <w:tcBorders>
              <w:top w:val="nil"/>
              <w:left w:val="nil"/>
              <w:bottom w:val="nil"/>
              <w:right w:val="nil"/>
            </w:tcBorders>
          </w:tcPr>
          <w:p w14:paraId="06EEA32A"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(0.006)</w:t>
            </w:r>
          </w:p>
        </w:tc>
        <w:tc>
          <w:tcPr>
            <w:tcW w:w="649" w:type="pct"/>
            <w:tcBorders>
              <w:top w:val="nil"/>
              <w:left w:val="nil"/>
              <w:bottom w:val="nil"/>
              <w:right w:val="single" w:sz="6" w:space="0" w:color="auto"/>
            </w:tcBorders>
          </w:tcPr>
          <w:p w14:paraId="0BF62F25"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(0.007)</w:t>
            </w:r>
          </w:p>
        </w:tc>
        <w:tc>
          <w:tcPr>
            <w:tcW w:w="649" w:type="pct"/>
            <w:tcBorders>
              <w:top w:val="nil"/>
              <w:left w:val="single" w:sz="6" w:space="0" w:color="auto"/>
              <w:bottom w:val="nil"/>
              <w:right w:val="nil"/>
            </w:tcBorders>
          </w:tcPr>
          <w:p w14:paraId="7E7B4A59"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(0.007)</w:t>
            </w:r>
          </w:p>
        </w:tc>
        <w:tc>
          <w:tcPr>
            <w:tcW w:w="649" w:type="pct"/>
            <w:tcBorders>
              <w:top w:val="nil"/>
              <w:left w:val="nil"/>
              <w:bottom w:val="nil"/>
              <w:right w:val="nil"/>
            </w:tcBorders>
          </w:tcPr>
          <w:p w14:paraId="5AE0231B"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(0.006)</w:t>
            </w:r>
          </w:p>
        </w:tc>
        <w:tc>
          <w:tcPr>
            <w:tcW w:w="649" w:type="pct"/>
            <w:tcBorders>
              <w:top w:val="nil"/>
              <w:left w:val="nil"/>
              <w:bottom w:val="nil"/>
              <w:right w:val="nil"/>
            </w:tcBorders>
          </w:tcPr>
          <w:p w14:paraId="63AF9680"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(0.007)</w:t>
            </w:r>
          </w:p>
        </w:tc>
      </w:tr>
      <w:tr w:rsidR="00B3764A" w:rsidRPr="00E57103" w14:paraId="01C1FDFF" w14:textId="77777777" w:rsidTr="00B3764A">
        <w:trPr>
          <w:jc w:val="center"/>
        </w:trPr>
        <w:tc>
          <w:tcPr>
            <w:tcW w:w="1107" w:type="pct"/>
            <w:tcBorders>
              <w:top w:val="nil"/>
              <w:left w:val="nil"/>
              <w:bottom w:val="nil"/>
              <w:right w:val="nil"/>
            </w:tcBorders>
          </w:tcPr>
          <w:p w14:paraId="0CA92E2E" w14:textId="77777777" w:rsidR="00B3764A" w:rsidRPr="00E57103" w:rsidRDefault="00B3764A" w:rsidP="009B09A3">
            <w:pPr>
              <w:widowControl w:val="0"/>
              <w:autoSpaceDE w:val="0"/>
              <w:autoSpaceDN w:val="0"/>
              <w:adjustRightInd w:val="0"/>
              <w:rPr>
                <w:rFonts w:ascii="Times New Roman" w:hAnsi="Times New Roman" w:cs="Times New Roman"/>
                <w:sz w:val="20"/>
                <w:szCs w:val="20"/>
              </w:rPr>
            </w:pPr>
            <w:r w:rsidRPr="00E57103">
              <w:rPr>
                <w:rFonts w:ascii="Times New Roman" w:hAnsi="Times New Roman" w:cs="Times New Roman"/>
                <w:sz w:val="20"/>
                <w:szCs w:val="20"/>
              </w:rPr>
              <w:t>Scottish</w:t>
            </w:r>
          </w:p>
        </w:tc>
        <w:tc>
          <w:tcPr>
            <w:tcW w:w="649" w:type="pct"/>
            <w:tcBorders>
              <w:top w:val="nil"/>
              <w:left w:val="nil"/>
              <w:bottom w:val="nil"/>
              <w:right w:val="nil"/>
            </w:tcBorders>
          </w:tcPr>
          <w:p w14:paraId="515D4A37"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0.019**</w:t>
            </w:r>
          </w:p>
        </w:tc>
        <w:tc>
          <w:tcPr>
            <w:tcW w:w="649" w:type="pct"/>
            <w:tcBorders>
              <w:top w:val="nil"/>
              <w:left w:val="nil"/>
              <w:bottom w:val="nil"/>
              <w:right w:val="nil"/>
            </w:tcBorders>
          </w:tcPr>
          <w:p w14:paraId="02F4FFF8"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0.017**</w:t>
            </w:r>
          </w:p>
        </w:tc>
        <w:tc>
          <w:tcPr>
            <w:tcW w:w="649" w:type="pct"/>
            <w:tcBorders>
              <w:top w:val="nil"/>
              <w:left w:val="nil"/>
              <w:bottom w:val="nil"/>
              <w:right w:val="single" w:sz="6" w:space="0" w:color="auto"/>
            </w:tcBorders>
          </w:tcPr>
          <w:p w14:paraId="0C0C745C"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0.017**</w:t>
            </w:r>
          </w:p>
        </w:tc>
        <w:tc>
          <w:tcPr>
            <w:tcW w:w="649" w:type="pct"/>
            <w:tcBorders>
              <w:top w:val="nil"/>
              <w:left w:val="single" w:sz="6" w:space="0" w:color="auto"/>
              <w:bottom w:val="nil"/>
              <w:right w:val="nil"/>
            </w:tcBorders>
          </w:tcPr>
          <w:p w14:paraId="54D8A7CB"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0.020**</w:t>
            </w:r>
          </w:p>
        </w:tc>
        <w:tc>
          <w:tcPr>
            <w:tcW w:w="649" w:type="pct"/>
            <w:tcBorders>
              <w:top w:val="nil"/>
              <w:left w:val="nil"/>
              <w:bottom w:val="nil"/>
              <w:right w:val="nil"/>
            </w:tcBorders>
          </w:tcPr>
          <w:p w14:paraId="16A9F453"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0.017*</w:t>
            </w:r>
          </w:p>
        </w:tc>
        <w:tc>
          <w:tcPr>
            <w:tcW w:w="649" w:type="pct"/>
            <w:tcBorders>
              <w:top w:val="nil"/>
              <w:left w:val="nil"/>
              <w:bottom w:val="nil"/>
              <w:right w:val="nil"/>
            </w:tcBorders>
          </w:tcPr>
          <w:p w14:paraId="110ED9B0"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0.020**</w:t>
            </w:r>
          </w:p>
        </w:tc>
      </w:tr>
      <w:tr w:rsidR="00B3764A" w:rsidRPr="00E57103" w14:paraId="378D0804" w14:textId="77777777" w:rsidTr="00B3764A">
        <w:trPr>
          <w:jc w:val="center"/>
        </w:trPr>
        <w:tc>
          <w:tcPr>
            <w:tcW w:w="1107" w:type="pct"/>
            <w:tcBorders>
              <w:top w:val="nil"/>
              <w:left w:val="nil"/>
              <w:bottom w:val="nil"/>
              <w:right w:val="nil"/>
            </w:tcBorders>
          </w:tcPr>
          <w:p w14:paraId="0A39D6F0" w14:textId="77777777" w:rsidR="00B3764A" w:rsidRPr="00E57103" w:rsidRDefault="00B3764A" w:rsidP="009B09A3">
            <w:pPr>
              <w:widowControl w:val="0"/>
              <w:autoSpaceDE w:val="0"/>
              <w:autoSpaceDN w:val="0"/>
              <w:adjustRightInd w:val="0"/>
              <w:rPr>
                <w:rFonts w:ascii="Times New Roman" w:hAnsi="Times New Roman" w:cs="Times New Roman"/>
                <w:sz w:val="20"/>
                <w:szCs w:val="20"/>
              </w:rPr>
            </w:pPr>
          </w:p>
        </w:tc>
        <w:tc>
          <w:tcPr>
            <w:tcW w:w="649" w:type="pct"/>
            <w:tcBorders>
              <w:top w:val="nil"/>
              <w:left w:val="nil"/>
              <w:bottom w:val="nil"/>
              <w:right w:val="nil"/>
            </w:tcBorders>
          </w:tcPr>
          <w:p w14:paraId="67F76A9D"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(0.008)</w:t>
            </w:r>
          </w:p>
        </w:tc>
        <w:tc>
          <w:tcPr>
            <w:tcW w:w="649" w:type="pct"/>
            <w:tcBorders>
              <w:top w:val="nil"/>
              <w:left w:val="nil"/>
              <w:bottom w:val="nil"/>
              <w:right w:val="nil"/>
            </w:tcBorders>
          </w:tcPr>
          <w:p w14:paraId="19C1E710"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(0.008)</w:t>
            </w:r>
          </w:p>
        </w:tc>
        <w:tc>
          <w:tcPr>
            <w:tcW w:w="649" w:type="pct"/>
            <w:tcBorders>
              <w:top w:val="nil"/>
              <w:left w:val="nil"/>
              <w:bottom w:val="nil"/>
              <w:right w:val="single" w:sz="6" w:space="0" w:color="auto"/>
            </w:tcBorders>
          </w:tcPr>
          <w:p w14:paraId="3ECA19CB"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(0.008)</w:t>
            </w:r>
          </w:p>
        </w:tc>
        <w:tc>
          <w:tcPr>
            <w:tcW w:w="649" w:type="pct"/>
            <w:tcBorders>
              <w:top w:val="nil"/>
              <w:left w:val="single" w:sz="6" w:space="0" w:color="auto"/>
              <w:bottom w:val="nil"/>
              <w:right w:val="nil"/>
            </w:tcBorders>
          </w:tcPr>
          <w:p w14:paraId="6A4C5770"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(0.008)</w:t>
            </w:r>
          </w:p>
        </w:tc>
        <w:tc>
          <w:tcPr>
            <w:tcW w:w="649" w:type="pct"/>
            <w:tcBorders>
              <w:top w:val="nil"/>
              <w:left w:val="nil"/>
              <w:bottom w:val="nil"/>
              <w:right w:val="nil"/>
            </w:tcBorders>
          </w:tcPr>
          <w:p w14:paraId="0DC34399"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(0.008)</w:t>
            </w:r>
          </w:p>
        </w:tc>
        <w:tc>
          <w:tcPr>
            <w:tcW w:w="649" w:type="pct"/>
            <w:tcBorders>
              <w:top w:val="nil"/>
              <w:left w:val="nil"/>
              <w:bottom w:val="nil"/>
              <w:right w:val="nil"/>
            </w:tcBorders>
          </w:tcPr>
          <w:p w14:paraId="17050B3E"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(0.008)</w:t>
            </w:r>
          </w:p>
        </w:tc>
      </w:tr>
      <w:tr w:rsidR="00B3764A" w:rsidRPr="00E57103" w14:paraId="4585D5B5" w14:textId="77777777" w:rsidTr="00B3764A">
        <w:trPr>
          <w:jc w:val="center"/>
        </w:trPr>
        <w:tc>
          <w:tcPr>
            <w:tcW w:w="1107" w:type="pct"/>
            <w:tcBorders>
              <w:top w:val="nil"/>
              <w:left w:val="nil"/>
              <w:bottom w:val="nil"/>
              <w:right w:val="nil"/>
            </w:tcBorders>
          </w:tcPr>
          <w:p w14:paraId="387947A9" w14:textId="77777777" w:rsidR="00B3764A" w:rsidRPr="00E57103" w:rsidRDefault="00B3764A" w:rsidP="009B09A3">
            <w:pPr>
              <w:widowControl w:val="0"/>
              <w:autoSpaceDE w:val="0"/>
              <w:autoSpaceDN w:val="0"/>
              <w:adjustRightInd w:val="0"/>
              <w:rPr>
                <w:rFonts w:ascii="Times New Roman" w:hAnsi="Times New Roman" w:cs="Times New Roman"/>
                <w:sz w:val="20"/>
                <w:szCs w:val="20"/>
              </w:rPr>
            </w:pPr>
            <w:proofErr w:type="spellStart"/>
            <w:r w:rsidRPr="00E57103">
              <w:rPr>
                <w:rFonts w:ascii="Times New Roman" w:hAnsi="Times New Roman" w:cs="Times New Roman"/>
                <w:sz w:val="20"/>
                <w:szCs w:val="20"/>
              </w:rPr>
              <w:t>LTDebt</w:t>
            </w:r>
            <w:proofErr w:type="spellEnd"/>
          </w:p>
        </w:tc>
        <w:tc>
          <w:tcPr>
            <w:tcW w:w="649" w:type="pct"/>
            <w:tcBorders>
              <w:top w:val="nil"/>
              <w:left w:val="nil"/>
              <w:bottom w:val="nil"/>
              <w:right w:val="nil"/>
            </w:tcBorders>
          </w:tcPr>
          <w:p w14:paraId="1FBEFFCE"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-0.054***</w:t>
            </w:r>
          </w:p>
        </w:tc>
        <w:tc>
          <w:tcPr>
            <w:tcW w:w="649" w:type="pct"/>
            <w:tcBorders>
              <w:top w:val="nil"/>
              <w:left w:val="nil"/>
              <w:bottom w:val="nil"/>
              <w:right w:val="nil"/>
            </w:tcBorders>
          </w:tcPr>
          <w:p w14:paraId="7D683A67"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-0.052***</w:t>
            </w:r>
          </w:p>
        </w:tc>
        <w:tc>
          <w:tcPr>
            <w:tcW w:w="649" w:type="pct"/>
            <w:tcBorders>
              <w:top w:val="nil"/>
              <w:left w:val="nil"/>
              <w:bottom w:val="nil"/>
              <w:right w:val="single" w:sz="6" w:space="0" w:color="auto"/>
            </w:tcBorders>
          </w:tcPr>
          <w:p w14:paraId="229586F1"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-0.054***</w:t>
            </w:r>
          </w:p>
        </w:tc>
        <w:tc>
          <w:tcPr>
            <w:tcW w:w="649" w:type="pct"/>
            <w:tcBorders>
              <w:top w:val="nil"/>
              <w:left w:val="single" w:sz="6" w:space="0" w:color="auto"/>
              <w:bottom w:val="nil"/>
              <w:right w:val="nil"/>
            </w:tcBorders>
          </w:tcPr>
          <w:p w14:paraId="5D669940"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-0.054***</w:t>
            </w:r>
          </w:p>
        </w:tc>
        <w:tc>
          <w:tcPr>
            <w:tcW w:w="649" w:type="pct"/>
            <w:tcBorders>
              <w:top w:val="nil"/>
              <w:left w:val="nil"/>
              <w:bottom w:val="nil"/>
              <w:right w:val="nil"/>
            </w:tcBorders>
          </w:tcPr>
          <w:p w14:paraId="441213F3"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-0.052***</w:t>
            </w:r>
          </w:p>
        </w:tc>
        <w:tc>
          <w:tcPr>
            <w:tcW w:w="649" w:type="pct"/>
            <w:tcBorders>
              <w:top w:val="nil"/>
              <w:left w:val="nil"/>
              <w:bottom w:val="nil"/>
              <w:right w:val="nil"/>
            </w:tcBorders>
          </w:tcPr>
          <w:p w14:paraId="04943A1B"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-0.055***</w:t>
            </w:r>
          </w:p>
        </w:tc>
      </w:tr>
      <w:tr w:rsidR="00B3764A" w:rsidRPr="00E57103" w14:paraId="4692F17B" w14:textId="77777777" w:rsidTr="00B3764A">
        <w:trPr>
          <w:jc w:val="center"/>
        </w:trPr>
        <w:tc>
          <w:tcPr>
            <w:tcW w:w="1107" w:type="pct"/>
            <w:tcBorders>
              <w:top w:val="nil"/>
              <w:left w:val="nil"/>
              <w:bottom w:val="nil"/>
              <w:right w:val="nil"/>
            </w:tcBorders>
          </w:tcPr>
          <w:p w14:paraId="3A644790" w14:textId="77777777" w:rsidR="00B3764A" w:rsidRPr="00E57103" w:rsidRDefault="00B3764A" w:rsidP="009B09A3">
            <w:pPr>
              <w:widowControl w:val="0"/>
              <w:autoSpaceDE w:val="0"/>
              <w:autoSpaceDN w:val="0"/>
              <w:adjustRightInd w:val="0"/>
              <w:rPr>
                <w:rFonts w:ascii="Times New Roman" w:hAnsi="Times New Roman" w:cs="Times New Roman"/>
                <w:sz w:val="20"/>
                <w:szCs w:val="20"/>
              </w:rPr>
            </w:pPr>
          </w:p>
        </w:tc>
        <w:tc>
          <w:tcPr>
            <w:tcW w:w="649" w:type="pct"/>
            <w:tcBorders>
              <w:top w:val="nil"/>
              <w:left w:val="nil"/>
              <w:bottom w:val="nil"/>
              <w:right w:val="nil"/>
            </w:tcBorders>
          </w:tcPr>
          <w:p w14:paraId="341A2BBE"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(0.011)</w:t>
            </w:r>
          </w:p>
        </w:tc>
        <w:tc>
          <w:tcPr>
            <w:tcW w:w="649" w:type="pct"/>
            <w:tcBorders>
              <w:top w:val="nil"/>
              <w:left w:val="nil"/>
              <w:bottom w:val="nil"/>
              <w:right w:val="nil"/>
            </w:tcBorders>
          </w:tcPr>
          <w:p w14:paraId="6B0CD5FD"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(0.012)</w:t>
            </w:r>
          </w:p>
        </w:tc>
        <w:tc>
          <w:tcPr>
            <w:tcW w:w="649" w:type="pct"/>
            <w:tcBorders>
              <w:top w:val="nil"/>
              <w:left w:val="nil"/>
              <w:bottom w:val="nil"/>
              <w:right w:val="single" w:sz="6" w:space="0" w:color="auto"/>
            </w:tcBorders>
          </w:tcPr>
          <w:p w14:paraId="667A2D10"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(0.012)</w:t>
            </w:r>
          </w:p>
        </w:tc>
        <w:tc>
          <w:tcPr>
            <w:tcW w:w="649" w:type="pct"/>
            <w:tcBorders>
              <w:top w:val="nil"/>
              <w:left w:val="single" w:sz="6" w:space="0" w:color="auto"/>
              <w:bottom w:val="nil"/>
              <w:right w:val="nil"/>
            </w:tcBorders>
          </w:tcPr>
          <w:p w14:paraId="781FBD10"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(0.011)</w:t>
            </w:r>
          </w:p>
        </w:tc>
        <w:tc>
          <w:tcPr>
            <w:tcW w:w="649" w:type="pct"/>
            <w:tcBorders>
              <w:top w:val="nil"/>
              <w:left w:val="nil"/>
              <w:bottom w:val="nil"/>
              <w:right w:val="nil"/>
            </w:tcBorders>
          </w:tcPr>
          <w:p w14:paraId="74A5117C"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(0.012)</w:t>
            </w:r>
          </w:p>
        </w:tc>
        <w:tc>
          <w:tcPr>
            <w:tcW w:w="649" w:type="pct"/>
            <w:tcBorders>
              <w:top w:val="nil"/>
              <w:left w:val="nil"/>
              <w:bottom w:val="nil"/>
              <w:right w:val="nil"/>
            </w:tcBorders>
          </w:tcPr>
          <w:p w14:paraId="7B9CB9DB"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(0.012)</w:t>
            </w:r>
          </w:p>
        </w:tc>
      </w:tr>
      <w:tr w:rsidR="00B3764A" w:rsidRPr="00E57103" w14:paraId="19024B67" w14:textId="77777777" w:rsidTr="00B3764A">
        <w:trPr>
          <w:jc w:val="center"/>
        </w:trPr>
        <w:tc>
          <w:tcPr>
            <w:tcW w:w="1107" w:type="pct"/>
            <w:tcBorders>
              <w:top w:val="nil"/>
              <w:left w:val="nil"/>
              <w:bottom w:val="nil"/>
              <w:right w:val="nil"/>
            </w:tcBorders>
          </w:tcPr>
          <w:p w14:paraId="0E46DD52" w14:textId="77777777" w:rsidR="00B3764A" w:rsidRPr="00E57103" w:rsidRDefault="00B3764A" w:rsidP="009B09A3">
            <w:pPr>
              <w:widowControl w:val="0"/>
              <w:autoSpaceDE w:val="0"/>
              <w:autoSpaceDN w:val="0"/>
              <w:adjustRightInd w:val="0"/>
              <w:rPr>
                <w:rFonts w:ascii="Times New Roman" w:hAnsi="Times New Roman" w:cs="Times New Roman"/>
                <w:sz w:val="20"/>
                <w:szCs w:val="20"/>
              </w:rPr>
            </w:pPr>
            <w:r w:rsidRPr="00E57103">
              <w:rPr>
                <w:rFonts w:ascii="Times New Roman" w:hAnsi="Times New Roman" w:cs="Times New Roman"/>
                <w:sz w:val="20"/>
                <w:szCs w:val="20"/>
              </w:rPr>
              <w:t>Constant</w:t>
            </w:r>
          </w:p>
        </w:tc>
        <w:tc>
          <w:tcPr>
            <w:tcW w:w="649" w:type="pct"/>
            <w:tcBorders>
              <w:top w:val="nil"/>
              <w:left w:val="nil"/>
              <w:bottom w:val="nil"/>
              <w:right w:val="nil"/>
            </w:tcBorders>
          </w:tcPr>
          <w:p w14:paraId="4FA539E7"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-0.067</w:t>
            </w:r>
          </w:p>
        </w:tc>
        <w:tc>
          <w:tcPr>
            <w:tcW w:w="649" w:type="pct"/>
            <w:tcBorders>
              <w:top w:val="nil"/>
              <w:left w:val="nil"/>
              <w:bottom w:val="nil"/>
              <w:right w:val="nil"/>
            </w:tcBorders>
          </w:tcPr>
          <w:p w14:paraId="10AB25B8"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-0.138</w:t>
            </w:r>
          </w:p>
        </w:tc>
        <w:tc>
          <w:tcPr>
            <w:tcW w:w="649" w:type="pct"/>
            <w:tcBorders>
              <w:top w:val="nil"/>
              <w:left w:val="nil"/>
              <w:bottom w:val="nil"/>
              <w:right w:val="single" w:sz="6" w:space="0" w:color="auto"/>
            </w:tcBorders>
          </w:tcPr>
          <w:p w14:paraId="10D2AC4F"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-0.190</w:t>
            </w:r>
          </w:p>
        </w:tc>
        <w:tc>
          <w:tcPr>
            <w:tcW w:w="649" w:type="pct"/>
            <w:tcBorders>
              <w:top w:val="nil"/>
              <w:left w:val="single" w:sz="6" w:space="0" w:color="auto"/>
              <w:bottom w:val="nil"/>
              <w:right w:val="nil"/>
            </w:tcBorders>
          </w:tcPr>
          <w:p w14:paraId="7D290978"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-0.045</w:t>
            </w:r>
          </w:p>
        </w:tc>
        <w:tc>
          <w:tcPr>
            <w:tcW w:w="649" w:type="pct"/>
            <w:tcBorders>
              <w:top w:val="nil"/>
              <w:left w:val="nil"/>
              <w:bottom w:val="nil"/>
              <w:right w:val="nil"/>
            </w:tcBorders>
          </w:tcPr>
          <w:p w14:paraId="2A5D3855"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-0.138</w:t>
            </w:r>
          </w:p>
        </w:tc>
        <w:tc>
          <w:tcPr>
            <w:tcW w:w="649" w:type="pct"/>
            <w:tcBorders>
              <w:top w:val="nil"/>
              <w:left w:val="nil"/>
              <w:bottom w:val="nil"/>
              <w:right w:val="nil"/>
            </w:tcBorders>
          </w:tcPr>
          <w:p w14:paraId="5546D265"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-0.109</w:t>
            </w:r>
          </w:p>
        </w:tc>
      </w:tr>
      <w:tr w:rsidR="00B3764A" w:rsidRPr="00E57103" w14:paraId="390DCA47" w14:textId="77777777" w:rsidTr="00B3764A">
        <w:trPr>
          <w:jc w:val="center"/>
        </w:trPr>
        <w:tc>
          <w:tcPr>
            <w:tcW w:w="1107" w:type="pct"/>
            <w:tcBorders>
              <w:top w:val="nil"/>
              <w:left w:val="nil"/>
              <w:bottom w:val="nil"/>
              <w:right w:val="nil"/>
            </w:tcBorders>
          </w:tcPr>
          <w:p w14:paraId="081378AD" w14:textId="77777777" w:rsidR="00B3764A" w:rsidRPr="00E57103" w:rsidRDefault="00B3764A" w:rsidP="009B09A3">
            <w:pPr>
              <w:widowControl w:val="0"/>
              <w:autoSpaceDE w:val="0"/>
              <w:autoSpaceDN w:val="0"/>
              <w:adjustRightInd w:val="0"/>
              <w:rPr>
                <w:rFonts w:ascii="Times New Roman" w:hAnsi="Times New Roman" w:cs="Times New Roman"/>
                <w:sz w:val="20"/>
                <w:szCs w:val="20"/>
              </w:rPr>
            </w:pPr>
          </w:p>
        </w:tc>
        <w:tc>
          <w:tcPr>
            <w:tcW w:w="649" w:type="pct"/>
            <w:tcBorders>
              <w:top w:val="nil"/>
              <w:left w:val="nil"/>
              <w:bottom w:val="nil"/>
              <w:right w:val="nil"/>
            </w:tcBorders>
          </w:tcPr>
          <w:p w14:paraId="6E09388C"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(0.399)</w:t>
            </w:r>
          </w:p>
        </w:tc>
        <w:tc>
          <w:tcPr>
            <w:tcW w:w="649" w:type="pct"/>
            <w:tcBorders>
              <w:top w:val="nil"/>
              <w:left w:val="nil"/>
              <w:bottom w:val="nil"/>
              <w:right w:val="nil"/>
            </w:tcBorders>
          </w:tcPr>
          <w:p w14:paraId="72CB396F"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(0.396)</w:t>
            </w:r>
          </w:p>
        </w:tc>
        <w:tc>
          <w:tcPr>
            <w:tcW w:w="649" w:type="pct"/>
            <w:tcBorders>
              <w:top w:val="nil"/>
              <w:left w:val="nil"/>
              <w:bottom w:val="nil"/>
              <w:right w:val="single" w:sz="6" w:space="0" w:color="auto"/>
            </w:tcBorders>
          </w:tcPr>
          <w:p w14:paraId="79674AC9"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(0.405)</w:t>
            </w:r>
          </w:p>
        </w:tc>
        <w:tc>
          <w:tcPr>
            <w:tcW w:w="649" w:type="pct"/>
            <w:tcBorders>
              <w:top w:val="nil"/>
              <w:left w:val="single" w:sz="6" w:space="0" w:color="auto"/>
              <w:bottom w:val="nil"/>
              <w:right w:val="nil"/>
            </w:tcBorders>
          </w:tcPr>
          <w:p w14:paraId="0AACFDC7"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(0.397)</w:t>
            </w:r>
          </w:p>
        </w:tc>
        <w:tc>
          <w:tcPr>
            <w:tcW w:w="649" w:type="pct"/>
            <w:tcBorders>
              <w:top w:val="nil"/>
              <w:left w:val="nil"/>
              <w:bottom w:val="nil"/>
              <w:right w:val="nil"/>
            </w:tcBorders>
          </w:tcPr>
          <w:p w14:paraId="29907F68"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(0.395)</w:t>
            </w:r>
          </w:p>
        </w:tc>
        <w:tc>
          <w:tcPr>
            <w:tcW w:w="649" w:type="pct"/>
            <w:tcBorders>
              <w:top w:val="nil"/>
              <w:left w:val="nil"/>
              <w:bottom w:val="nil"/>
              <w:right w:val="nil"/>
            </w:tcBorders>
          </w:tcPr>
          <w:p w14:paraId="27747088"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(0.391)</w:t>
            </w:r>
          </w:p>
        </w:tc>
      </w:tr>
      <w:tr w:rsidR="00B3764A" w:rsidRPr="00E57103" w14:paraId="009A315A" w14:textId="77777777" w:rsidTr="00B3764A">
        <w:trPr>
          <w:jc w:val="center"/>
        </w:trPr>
        <w:tc>
          <w:tcPr>
            <w:tcW w:w="1107" w:type="pct"/>
            <w:tcBorders>
              <w:top w:val="nil"/>
              <w:left w:val="nil"/>
              <w:bottom w:val="nil"/>
              <w:right w:val="nil"/>
            </w:tcBorders>
          </w:tcPr>
          <w:p w14:paraId="6115DA76" w14:textId="77777777" w:rsidR="00B3764A" w:rsidRPr="00E57103" w:rsidRDefault="00B3764A" w:rsidP="009B09A3">
            <w:pPr>
              <w:widowControl w:val="0"/>
              <w:autoSpaceDE w:val="0"/>
              <w:autoSpaceDN w:val="0"/>
              <w:adjustRightInd w:val="0"/>
              <w:rPr>
                <w:rFonts w:ascii="Times New Roman" w:hAnsi="Times New Roman" w:cs="Times New Roman"/>
                <w:sz w:val="20"/>
                <w:szCs w:val="20"/>
              </w:rPr>
            </w:pPr>
          </w:p>
        </w:tc>
        <w:tc>
          <w:tcPr>
            <w:tcW w:w="649" w:type="pct"/>
            <w:tcBorders>
              <w:top w:val="nil"/>
              <w:left w:val="nil"/>
              <w:bottom w:val="nil"/>
              <w:right w:val="nil"/>
            </w:tcBorders>
          </w:tcPr>
          <w:p w14:paraId="1E6AC473"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p>
        </w:tc>
        <w:tc>
          <w:tcPr>
            <w:tcW w:w="649" w:type="pct"/>
            <w:tcBorders>
              <w:top w:val="nil"/>
              <w:left w:val="nil"/>
              <w:bottom w:val="nil"/>
              <w:right w:val="nil"/>
            </w:tcBorders>
          </w:tcPr>
          <w:p w14:paraId="00FF329E"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p>
        </w:tc>
        <w:tc>
          <w:tcPr>
            <w:tcW w:w="649" w:type="pct"/>
            <w:tcBorders>
              <w:top w:val="nil"/>
              <w:left w:val="nil"/>
              <w:bottom w:val="nil"/>
              <w:right w:val="single" w:sz="6" w:space="0" w:color="auto"/>
            </w:tcBorders>
          </w:tcPr>
          <w:p w14:paraId="59458BC6"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p>
        </w:tc>
        <w:tc>
          <w:tcPr>
            <w:tcW w:w="649" w:type="pct"/>
            <w:tcBorders>
              <w:top w:val="nil"/>
              <w:left w:val="single" w:sz="6" w:space="0" w:color="auto"/>
              <w:bottom w:val="nil"/>
              <w:right w:val="nil"/>
            </w:tcBorders>
          </w:tcPr>
          <w:p w14:paraId="5C10037F"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p>
        </w:tc>
        <w:tc>
          <w:tcPr>
            <w:tcW w:w="649" w:type="pct"/>
            <w:tcBorders>
              <w:top w:val="nil"/>
              <w:left w:val="nil"/>
              <w:bottom w:val="nil"/>
              <w:right w:val="nil"/>
            </w:tcBorders>
          </w:tcPr>
          <w:p w14:paraId="6D62F8E6"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p>
        </w:tc>
        <w:tc>
          <w:tcPr>
            <w:tcW w:w="649" w:type="pct"/>
            <w:tcBorders>
              <w:top w:val="nil"/>
              <w:left w:val="nil"/>
              <w:bottom w:val="nil"/>
              <w:right w:val="nil"/>
            </w:tcBorders>
          </w:tcPr>
          <w:p w14:paraId="08F380A0"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p>
        </w:tc>
      </w:tr>
      <w:tr w:rsidR="00B3764A" w:rsidRPr="00E57103" w14:paraId="6D4840ED" w14:textId="77777777" w:rsidTr="00B3764A">
        <w:trPr>
          <w:jc w:val="center"/>
        </w:trPr>
        <w:tc>
          <w:tcPr>
            <w:tcW w:w="1107" w:type="pct"/>
            <w:tcBorders>
              <w:top w:val="nil"/>
              <w:left w:val="nil"/>
              <w:bottom w:val="nil"/>
              <w:right w:val="nil"/>
            </w:tcBorders>
          </w:tcPr>
          <w:p w14:paraId="3663F827" w14:textId="77777777" w:rsidR="00B3764A" w:rsidRPr="00E57103" w:rsidRDefault="00B3764A" w:rsidP="009B09A3">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Year Dummies</w:t>
            </w:r>
          </w:p>
        </w:tc>
        <w:tc>
          <w:tcPr>
            <w:tcW w:w="649" w:type="pct"/>
            <w:tcBorders>
              <w:top w:val="nil"/>
              <w:left w:val="nil"/>
              <w:bottom w:val="nil"/>
              <w:right w:val="nil"/>
            </w:tcBorders>
          </w:tcPr>
          <w:p w14:paraId="3433BB53"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YES</w:t>
            </w:r>
          </w:p>
        </w:tc>
        <w:tc>
          <w:tcPr>
            <w:tcW w:w="649" w:type="pct"/>
            <w:tcBorders>
              <w:top w:val="nil"/>
              <w:left w:val="nil"/>
              <w:bottom w:val="nil"/>
              <w:right w:val="nil"/>
            </w:tcBorders>
          </w:tcPr>
          <w:p w14:paraId="3FA62536"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YES</w:t>
            </w:r>
          </w:p>
        </w:tc>
        <w:tc>
          <w:tcPr>
            <w:tcW w:w="649" w:type="pct"/>
            <w:tcBorders>
              <w:top w:val="nil"/>
              <w:left w:val="nil"/>
              <w:bottom w:val="nil"/>
              <w:right w:val="single" w:sz="6" w:space="0" w:color="auto"/>
            </w:tcBorders>
          </w:tcPr>
          <w:p w14:paraId="63EE5C16"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YES</w:t>
            </w:r>
          </w:p>
        </w:tc>
        <w:tc>
          <w:tcPr>
            <w:tcW w:w="649" w:type="pct"/>
            <w:tcBorders>
              <w:top w:val="nil"/>
              <w:left w:val="single" w:sz="6" w:space="0" w:color="auto"/>
              <w:bottom w:val="nil"/>
              <w:right w:val="nil"/>
            </w:tcBorders>
          </w:tcPr>
          <w:p w14:paraId="4A4F9F2B"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YES</w:t>
            </w:r>
          </w:p>
        </w:tc>
        <w:tc>
          <w:tcPr>
            <w:tcW w:w="649" w:type="pct"/>
            <w:tcBorders>
              <w:top w:val="nil"/>
              <w:left w:val="nil"/>
              <w:bottom w:val="nil"/>
              <w:right w:val="nil"/>
            </w:tcBorders>
          </w:tcPr>
          <w:p w14:paraId="6B9A1307"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YES</w:t>
            </w:r>
          </w:p>
        </w:tc>
        <w:tc>
          <w:tcPr>
            <w:tcW w:w="649" w:type="pct"/>
            <w:tcBorders>
              <w:top w:val="nil"/>
              <w:left w:val="nil"/>
              <w:bottom w:val="nil"/>
              <w:right w:val="nil"/>
            </w:tcBorders>
          </w:tcPr>
          <w:p w14:paraId="10D8EEA7"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YES</w:t>
            </w:r>
          </w:p>
        </w:tc>
      </w:tr>
      <w:tr w:rsidR="00B3764A" w:rsidRPr="00E57103" w14:paraId="1A365669" w14:textId="77777777" w:rsidTr="00B3764A">
        <w:trPr>
          <w:jc w:val="center"/>
        </w:trPr>
        <w:tc>
          <w:tcPr>
            <w:tcW w:w="1107" w:type="pct"/>
            <w:tcBorders>
              <w:top w:val="nil"/>
              <w:left w:val="nil"/>
              <w:bottom w:val="nil"/>
              <w:right w:val="nil"/>
            </w:tcBorders>
          </w:tcPr>
          <w:p w14:paraId="07EFB026" w14:textId="77777777" w:rsidR="00B3764A" w:rsidRPr="00E57103" w:rsidRDefault="00B3764A" w:rsidP="009B09A3">
            <w:pPr>
              <w:widowControl w:val="0"/>
              <w:autoSpaceDE w:val="0"/>
              <w:autoSpaceDN w:val="0"/>
              <w:adjustRightInd w:val="0"/>
              <w:rPr>
                <w:rFonts w:ascii="Times New Roman" w:hAnsi="Times New Roman" w:cs="Times New Roman"/>
                <w:sz w:val="20"/>
                <w:szCs w:val="20"/>
              </w:rPr>
            </w:pPr>
          </w:p>
        </w:tc>
        <w:tc>
          <w:tcPr>
            <w:tcW w:w="649" w:type="pct"/>
            <w:tcBorders>
              <w:top w:val="nil"/>
              <w:left w:val="nil"/>
              <w:bottom w:val="nil"/>
              <w:right w:val="nil"/>
            </w:tcBorders>
          </w:tcPr>
          <w:p w14:paraId="11455270"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p>
        </w:tc>
        <w:tc>
          <w:tcPr>
            <w:tcW w:w="649" w:type="pct"/>
            <w:tcBorders>
              <w:top w:val="nil"/>
              <w:left w:val="nil"/>
              <w:bottom w:val="nil"/>
              <w:right w:val="nil"/>
            </w:tcBorders>
          </w:tcPr>
          <w:p w14:paraId="2B7841BE"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p>
        </w:tc>
        <w:tc>
          <w:tcPr>
            <w:tcW w:w="649" w:type="pct"/>
            <w:tcBorders>
              <w:top w:val="nil"/>
              <w:left w:val="nil"/>
              <w:bottom w:val="nil"/>
              <w:right w:val="single" w:sz="6" w:space="0" w:color="auto"/>
            </w:tcBorders>
          </w:tcPr>
          <w:p w14:paraId="3F7EF28F"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p>
        </w:tc>
        <w:tc>
          <w:tcPr>
            <w:tcW w:w="649" w:type="pct"/>
            <w:tcBorders>
              <w:top w:val="nil"/>
              <w:left w:val="single" w:sz="6" w:space="0" w:color="auto"/>
              <w:bottom w:val="nil"/>
              <w:right w:val="nil"/>
            </w:tcBorders>
          </w:tcPr>
          <w:p w14:paraId="042C3E4E"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p>
        </w:tc>
        <w:tc>
          <w:tcPr>
            <w:tcW w:w="649" w:type="pct"/>
            <w:tcBorders>
              <w:top w:val="nil"/>
              <w:left w:val="nil"/>
              <w:bottom w:val="nil"/>
              <w:right w:val="nil"/>
            </w:tcBorders>
          </w:tcPr>
          <w:p w14:paraId="305EEE75"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p>
        </w:tc>
        <w:tc>
          <w:tcPr>
            <w:tcW w:w="649" w:type="pct"/>
            <w:tcBorders>
              <w:top w:val="nil"/>
              <w:left w:val="nil"/>
              <w:bottom w:val="nil"/>
              <w:right w:val="nil"/>
            </w:tcBorders>
          </w:tcPr>
          <w:p w14:paraId="44EEDA37"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p>
        </w:tc>
      </w:tr>
      <w:tr w:rsidR="00B3764A" w:rsidRPr="00E57103" w14:paraId="4D714688" w14:textId="77777777" w:rsidTr="00B3764A">
        <w:trPr>
          <w:jc w:val="center"/>
        </w:trPr>
        <w:tc>
          <w:tcPr>
            <w:tcW w:w="1107" w:type="pct"/>
            <w:tcBorders>
              <w:top w:val="nil"/>
              <w:left w:val="nil"/>
              <w:bottom w:val="nil"/>
              <w:right w:val="nil"/>
            </w:tcBorders>
          </w:tcPr>
          <w:p w14:paraId="319DB93C" w14:textId="77777777" w:rsidR="00B3764A" w:rsidRPr="00E57103" w:rsidRDefault="00B3764A" w:rsidP="009B09A3">
            <w:pPr>
              <w:widowControl w:val="0"/>
              <w:autoSpaceDE w:val="0"/>
              <w:autoSpaceDN w:val="0"/>
              <w:adjustRightInd w:val="0"/>
              <w:rPr>
                <w:rFonts w:ascii="Times New Roman" w:hAnsi="Times New Roman" w:cs="Times New Roman"/>
                <w:sz w:val="20"/>
                <w:szCs w:val="20"/>
              </w:rPr>
            </w:pPr>
            <w:r w:rsidRPr="00E57103">
              <w:rPr>
                <w:rFonts w:ascii="Times New Roman" w:hAnsi="Times New Roman" w:cs="Times New Roman"/>
                <w:sz w:val="20"/>
                <w:szCs w:val="20"/>
              </w:rPr>
              <w:t>Observations</w:t>
            </w:r>
          </w:p>
        </w:tc>
        <w:tc>
          <w:tcPr>
            <w:tcW w:w="649" w:type="pct"/>
            <w:tcBorders>
              <w:top w:val="nil"/>
              <w:left w:val="nil"/>
              <w:bottom w:val="nil"/>
              <w:right w:val="nil"/>
            </w:tcBorders>
          </w:tcPr>
          <w:p w14:paraId="0AD80A64"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221</w:t>
            </w:r>
          </w:p>
        </w:tc>
        <w:tc>
          <w:tcPr>
            <w:tcW w:w="649" w:type="pct"/>
            <w:tcBorders>
              <w:top w:val="nil"/>
              <w:left w:val="nil"/>
              <w:bottom w:val="nil"/>
              <w:right w:val="nil"/>
            </w:tcBorders>
          </w:tcPr>
          <w:p w14:paraId="1D135EC5"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221</w:t>
            </w:r>
          </w:p>
        </w:tc>
        <w:tc>
          <w:tcPr>
            <w:tcW w:w="649" w:type="pct"/>
            <w:tcBorders>
              <w:top w:val="nil"/>
              <w:left w:val="nil"/>
              <w:bottom w:val="nil"/>
              <w:right w:val="single" w:sz="6" w:space="0" w:color="auto"/>
            </w:tcBorders>
          </w:tcPr>
          <w:p w14:paraId="0B276723"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221</w:t>
            </w:r>
          </w:p>
        </w:tc>
        <w:tc>
          <w:tcPr>
            <w:tcW w:w="649" w:type="pct"/>
            <w:tcBorders>
              <w:top w:val="nil"/>
              <w:left w:val="single" w:sz="6" w:space="0" w:color="auto"/>
              <w:bottom w:val="nil"/>
              <w:right w:val="nil"/>
            </w:tcBorders>
          </w:tcPr>
          <w:p w14:paraId="01AC6CB4"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221</w:t>
            </w:r>
          </w:p>
        </w:tc>
        <w:tc>
          <w:tcPr>
            <w:tcW w:w="649" w:type="pct"/>
            <w:tcBorders>
              <w:top w:val="nil"/>
              <w:left w:val="nil"/>
              <w:bottom w:val="nil"/>
              <w:right w:val="nil"/>
            </w:tcBorders>
          </w:tcPr>
          <w:p w14:paraId="4ED2F7B4"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221</w:t>
            </w:r>
          </w:p>
        </w:tc>
        <w:tc>
          <w:tcPr>
            <w:tcW w:w="649" w:type="pct"/>
            <w:tcBorders>
              <w:top w:val="nil"/>
              <w:left w:val="nil"/>
              <w:bottom w:val="nil"/>
              <w:right w:val="nil"/>
            </w:tcBorders>
          </w:tcPr>
          <w:p w14:paraId="0E7584B8"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221</w:t>
            </w:r>
          </w:p>
        </w:tc>
      </w:tr>
      <w:tr w:rsidR="00B3764A" w:rsidRPr="00E57103" w14:paraId="631DF30A" w14:textId="77777777" w:rsidTr="00B3764A">
        <w:tblPrEx>
          <w:tblBorders>
            <w:bottom w:val="single" w:sz="6" w:space="0" w:color="auto"/>
          </w:tblBorders>
        </w:tblPrEx>
        <w:trPr>
          <w:jc w:val="center"/>
        </w:trPr>
        <w:tc>
          <w:tcPr>
            <w:tcW w:w="1107" w:type="pct"/>
            <w:tcBorders>
              <w:top w:val="nil"/>
              <w:left w:val="nil"/>
              <w:bottom w:val="single" w:sz="6" w:space="0" w:color="auto"/>
              <w:right w:val="nil"/>
            </w:tcBorders>
          </w:tcPr>
          <w:p w14:paraId="0DABB862" w14:textId="77777777" w:rsidR="00B3764A" w:rsidRPr="00E57103" w:rsidRDefault="00B3764A" w:rsidP="009B09A3">
            <w:pPr>
              <w:widowControl w:val="0"/>
              <w:autoSpaceDE w:val="0"/>
              <w:autoSpaceDN w:val="0"/>
              <w:adjustRightInd w:val="0"/>
              <w:rPr>
                <w:rFonts w:ascii="Times New Roman" w:hAnsi="Times New Roman" w:cs="Times New Roman"/>
                <w:sz w:val="20"/>
                <w:szCs w:val="20"/>
              </w:rPr>
            </w:pPr>
            <w:r w:rsidRPr="00E57103">
              <w:rPr>
                <w:rFonts w:ascii="Times New Roman" w:hAnsi="Times New Roman" w:cs="Times New Roman"/>
                <w:sz w:val="20"/>
                <w:szCs w:val="20"/>
              </w:rPr>
              <w:t>R-squared</w:t>
            </w:r>
          </w:p>
        </w:tc>
        <w:tc>
          <w:tcPr>
            <w:tcW w:w="649" w:type="pct"/>
            <w:tcBorders>
              <w:top w:val="nil"/>
              <w:left w:val="nil"/>
              <w:bottom w:val="single" w:sz="6" w:space="0" w:color="auto"/>
              <w:right w:val="nil"/>
            </w:tcBorders>
          </w:tcPr>
          <w:p w14:paraId="0FCD4D70"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0.233</w:t>
            </w:r>
          </w:p>
        </w:tc>
        <w:tc>
          <w:tcPr>
            <w:tcW w:w="649" w:type="pct"/>
            <w:tcBorders>
              <w:top w:val="nil"/>
              <w:left w:val="nil"/>
              <w:bottom w:val="single" w:sz="6" w:space="0" w:color="auto"/>
              <w:right w:val="nil"/>
            </w:tcBorders>
          </w:tcPr>
          <w:p w14:paraId="52208040"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0.239</w:t>
            </w:r>
          </w:p>
        </w:tc>
        <w:tc>
          <w:tcPr>
            <w:tcW w:w="649" w:type="pct"/>
            <w:tcBorders>
              <w:top w:val="nil"/>
              <w:left w:val="nil"/>
              <w:bottom w:val="single" w:sz="6" w:space="0" w:color="auto"/>
              <w:right w:val="single" w:sz="6" w:space="0" w:color="auto"/>
            </w:tcBorders>
          </w:tcPr>
          <w:p w14:paraId="43E50ACA"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0.235</w:t>
            </w:r>
          </w:p>
        </w:tc>
        <w:tc>
          <w:tcPr>
            <w:tcW w:w="649" w:type="pct"/>
            <w:tcBorders>
              <w:top w:val="nil"/>
              <w:left w:val="single" w:sz="6" w:space="0" w:color="auto"/>
              <w:bottom w:val="single" w:sz="6" w:space="0" w:color="auto"/>
              <w:right w:val="nil"/>
            </w:tcBorders>
          </w:tcPr>
          <w:p w14:paraId="44DBC4AB"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0.228</w:t>
            </w:r>
          </w:p>
        </w:tc>
        <w:tc>
          <w:tcPr>
            <w:tcW w:w="649" w:type="pct"/>
            <w:tcBorders>
              <w:top w:val="nil"/>
              <w:left w:val="nil"/>
              <w:bottom w:val="single" w:sz="6" w:space="0" w:color="auto"/>
              <w:right w:val="nil"/>
            </w:tcBorders>
          </w:tcPr>
          <w:p w14:paraId="3E14B36E"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0.244</w:t>
            </w:r>
          </w:p>
        </w:tc>
        <w:tc>
          <w:tcPr>
            <w:tcW w:w="649" w:type="pct"/>
            <w:tcBorders>
              <w:top w:val="nil"/>
              <w:left w:val="nil"/>
              <w:bottom w:val="single" w:sz="6" w:space="0" w:color="auto"/>
              <w:right w:val="nil"/>
            </w:tcBorders>
          </w:tcPr>
          <w:p w14:paraId="3B345E99" w14:textId="77777777" w:rsidR="00B3764A" w:rsidRPr="00E57103" w:rsidRDefault="00B3764A" w:rsidP="009B09A3">
            <w:pPr>
              <w:widowControl w:val="0"/>
              <w:autoSpaceDE w:val="0"/>
              <w:autoSpaceDN w:val="0"/>
              <w:adjustRightInd w:val="0"/>
              <w:jc w:val="center"/>
              <w:rPr>
                <w:rFonts w:ascii="Times New Roman" w:hAnsi="Times New Roman" w:cs="Times New Roman"/>
                <w:sz w:val="20"/>
                <w:szCs w:val="20"/>
              </w:rPr>
            </w:pPr>
            <w:r w:rsidRPr="00E57103">
              <w:rPr>
                <w:rFonts w:ascii="Times New Roman" w:hAnsi="Times New Roman" w:cs="Times New Roman"/>
                <w:sz w:val="20"/>
                <w:szCs w:val="20"/>
              </w:rPr>
              <w:t>0.232</w:t>
            </w:r>
          </w:p>
        </w:tc>
      </w:tr>
    </w:tbl>
    <w:p w14:paraId="28B3D5B7" w14:textId="5F360632" w:rsidR="00835224" w:rsidRPr="00BC68C4" w:rsidRDefault="002A173B" w:rsidP="00835224">
      <w:pPr>
        <w:widowControl w:val="0"/>
        <w:autoSpaceDE w:val="0"/>
        <w:autoSpaceDN w:val="0"/>
        <w:adjustRightInd w:val="0"/>
        <w:spacing w:line="276" w:lineRule="auto"/>
        <w:rPr>
          <w:rFonts w:ascii="Times New Roman" w:hAnsi="Times New Roman" w:cs="Times New Roman"/>
          <w:sz w:val="18"/>
          <w:szCs w:val="18"/>
        </w:rPr>
      </w:pPr>
      <w:r w:rsidRPr="00BC68C4">
        <w:rPr>
          <w:rFonts w:ascii="Times New Roman" w:hAnsi="Times New Roman" w:cs="Times New Roman"/>
          <w:i/>
          <w:sz w:val="18"/>
          <w:szCs w:val="18"/>
        </w:rPr>
        <w:t>Notes</w:t>
      </w:r>
      <w:r w:rsidRPr="00BC68C4">
        <w:rPr>
          <w:rFonts w:ascii="Times New Roman" w:hAnsi="Times New Roman" w:cs="Times New Roman"/>
          <w:sz w:val="18"/>
          <w:szCs w:val="18"/>
        </w:rPr>
        <w:t xml:space="preserve">: *** p&lt;0.01, ** p&lt;0.05, * p&lt;0.1.  Robust standard errors are in parentheses.  Dependent variables are industry-adjusted ROA and Q. </w:t>
      </w:r>
      <w:r w:rsidR="0025535E" w:rsidRPr="00BC68C4">
        <w:rPr>
          <w:rFonts w:ascii="Times New Roman" w:hAnsi="Times New Roman" w:cs="Times New Roman"/>
          <w:sz w:val="18"/>
          <w:szCs w:val="18"/>
        </w:rPr>
        <w:t xml:space="preserve">All outliers have been </w:t>
      </w:r>
      <w:proofErr w:type="spellStart"/>
      <w:r w:rsidR="0025535E" w:rsidRPr="00BC68C4">
        <w:rPr>
          <w:rFonts w:ascii="Times New Roman" w:hAnsi="Times New Roman" w:cs="Times New Roman"/>
          <w:sz w:val="18"/>
          <w:szCs w:val="18"/>
        </w:rPr>
        <w:t>winsorized</w:t>
      </w:r>
      <w:proofErr w:type="spellEnd"/>
      <w:r w:rsidR="0025535E" w:rsidRPr="00BC68C4">
        <w:rPr>
          <w:rFonts w:ascii="Times New Roman" w:hAnsi="Times New Roman" w:cs="Times New Roman"/>
          <w:sz w:val="18"/>
          <w:szCs w:val="18"/>
        </w:rPr>
        <w:t xml:space="preserve"> at the 1% and 99% levels.</w:t>
      </w:r>
      <w:r w:rsidRPr="00BC68C4">
        <w:rPr>
          <w:rFonts w:ascii="Times New Roman" w:hAnsi="Times New Roman" w:cs="Times New Roman"/>
          <w:sz w:val="18"/>
          <w:szCs w:val="18"/>
        </w:rPr>
        <w:t xml:space="preserve">  </w:t>
      </w:r>
    </w:p>
    <w:p w14:paraId="7614F13B" w14:textId="66DC3395" w:rsidR="008F3FA8" w:rsidRPr="00BC68C4" w:rsidRDefault="008F3FA8" w:rsidP="00835224">
      <w:pPr>
        <w:widowControl w:val="0"/>
        <w:autoSpaceDE w:val="0"/>
        <w:autoSpaceDN w:val="0"/>
        <w:adjustRightInd w:val="0"/>
        <w:spacing w:line="276" w:lineRule="auto"/>
        <w:rPr>
          <w:rFonts w:ascii="Times New Roman" w:hAnsi="Times New Roman" w:cs="Times New Roman"/>
          <w:sz w:val="18"/>
          <w:szCs w:val="18"/>
        </w:rPr>
      </w:pPr>
      <w:r w:rsidRPr="00BC68C4">
        <w:rPr>
          <w:rFonts w:ascii="Times New Roman" w:hAnsi="Times New Roman" w:cs="Times New Roman"/>
          <w:sz w:val="18"/>
          <w:szCs w:val="18"/>
        </w:rPr>
        <w:br w:type="page"/>
      </w:r>
    </w:p>
    <w:p w14:paraId="0DBE4C34" w14:textId="16BA166A" w:rsidR="00703AC0" w:rsidRPr="00703AC0" w:rsidRDefault="00703AC0" w:rsidP="00CF3EB9">
      <w:pPr>
        <w:jc w:val="center"/>
        <w:rPr>
          <w:rFonts w:ascii="Times New Roman" w:hAnsi="Times New Roman" w:cs="Times New Roman"/>
          <w:sz w:val="20"/>
          <w:szCs w:val="20"/>
        </w:rPr>
      </w:pPr>
      <w:r w:rsidRPr="00703AC0">
        <w:rPr>
          <w:rFonts w:ascii="Times New Roman" w:hAnsi="Times New Roman" w:cs="Times New Roman"/>
          <w:sz w:val="20"/>
          <w:szCs w:val="20"/>
        </w:rPr>
        <w:t xml:space="preserve">TABLE </w:t>
      </w:r>
      <w:r w:rsidR="00635C6E">
        <w:rPr>
          <w:rFonts w:ascii="Times New Roman" w:hAnsi="Times New Roman" w:cs="Times New Roman"/>
          <w:sz w:val="20"/>
          <w:szCs w:val="20"/>
        </w:rPr>
        <w:t xml:space="preserve">9 </w:t>
      </w:r>
    </w:p>
    <w:p w14:paraId="54BAA434" w14:textId="045E0C02" w:rsidR="008F3FA8" w:rsidRDefault="00703AC0" w:rsidP="00CF3EB9">
      <w:pPr>
        <w:jc w:val="center"/>
        <w:rPr>
          <w:rFonts w:ascii="Times New Roman" w:hAnsi="Times New Roman" w:cs="Times New Roman"/>
          <w:sz w:val="24"/>
          <w:szCs w:val="24"/>
        </w:rPr>
      </w:pPr>
      <w:r w:rsidRPr="00703AC0">
        <w:rPr>
          <w:rFonts w:ascii="Times New Roman" w:hAnsi="Times New Roman" w:cs="Times New Roman"/>
          <w:sz w:val="24"/>
          <w:szCs w:val="24"/>
        </w:rPr>
        <w:t>TOBIN’S Q ROBUSTNESS TESTS – ALTERNATIVE DEFINITIONS OF LARGE BLOCKHOLDERS</w:t>
      </w:r>
    </w:p>
    <w:tbl>
      <w:tblPr>
        <w:tblW w:w="5000" w:type="pct"/>
        <w:jc w:val="center"/>
        <w:tblCellMar>
          <w:left w:w="75" w:type="dxa"/>
          <w:right w:w="75" w:type="dxa"/>
        </w:tblCellMar>
        <w:tblLook w:val="0000" w:firstRow="0" w:lastRow="0" w:firstColumn="0" w:lastColumn="0" w:noHBand="0" w:noVBand="0"/>
      </w:tblPr>
      <w:tblGrid>
        <w:gridCol w:w="2146"/>
        <w:gridCol w:w="1171"/>
        <w:gridCol w:w="1171"/>
        <w:gridCol w:w="1173"/>
        <w:gridCol w:w="1171"/>
        <w:gridCol w:w="1171"/>
        <w:gridCol w:w="1173"/>
      </w:tblGrid>
      <w:tr w:rsidR="00E77841" w:rsidRPr="00E77841" w14:paraId="0B279155" w14:textId="77777777" w:rsidTr="008E3209">
        <w:trPr>
          <w:jc w:val="center"/>
        </w:trPr>
        <w:tc>
          <w:tcPr>
            <w:tcW w:w="1169" w:type="pct"/>
            <w:tcBorders>
              <w:top w:val="single" w:sz="6" w:space="0" w:color="auto"/>
              <w:left w:val="nil"/>
              <w:bottom w:val="nil"/>
              <w:right w:val="nil"/>
            </w:tcBorders>
          </w:tcPr>
          <w:p w14:paraId="53968DF7" w14:textId="77777777" w:rsidR="00E77841" w:rsidRPr="00E77841" w:rsidRDefault="00E77841" w:rsidP="009B09A3">
            <w:pPr>
              <w:widowControl w:val="0"/>
              <w:autoSpaceDE w:val="0"/>
              <w:autoSpaceDN w:val="0"/>
              <w:adjustRightInd w:val="0"/>
              <w:rPr>
                <w:rFonts w:ascii="Times New Roman" w:hAnsi="Times New Roman" w:cs="Times New Roman"/>
                <w:sz w:val="20"/>
                <w:szCs w:val="24"/>
              </w:rPr>
            </w:pPr>
          </w:p>
        </w:tc>
        <w:tc>
          <w:tcPr>
            <w:tcW w:w="1915" w:type="pct"/>
            <w:gridSpan w:val="3"/>
            <w:tcBorders>
              <w:top w:val="single" w:sz="6" w:space="0" w:color="auto"/>
              <w:left w:val="nil"/>
              <w:bottom w:val="nil"/>
              <w:right w:val="single" w:sz="6" w:space="0" w:color="auto"/>
            </w:tcBorders>
          </w:tcPr>
          <w:p w14:paraId="73A8861C" w14:textId="72C30CAF"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1344F0">
              <w:rPr>
                <w:rFonts w:ascii="Times New Roman" w:hAnsi="Times New Roman" w:cs="Times New Roman"/>
                <w:sz w:val="20"/>
                <w:szCs w:val="20"/>
              </w:rPr>
              <w:t>Voting Concentration</w:t>
            </w:r>
          </w:p>
        </w:tc>
        <w:tc>
          <w:tcPr>
            <w:tcW w:w="1915" w:type="pct"/>
            <w:gridSpan w:val="3"/>
            <w:tcBorders>
              <w:top w:val="single" w:sz="6" w:space="0" w:color="auto"/>
              <w:left w:val="single" w:sz="6" w:space="0" w:color="auto"/>
              <w:bottom w:val="nil"/>
              <w:right w:val="nil"/>
            </w:tcBorders>
          </w:tcPr>
          <w:p w14:paraId="4A5A742C" w14:textId="3FCA8033"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1344F0">
              <w:rPr>
                <w:rFonts w:ascii="Times New Roman" w:hAnsi="Times New Roman" w:cs="Times New Roman"/>
                <w:sz w:val="20"/>
                <w:szCs w:val="20"/>
              </w:rPr>
              <w:t>Capital Concentration</w:t>
            </w:r>
          </w:p>
        </w:tc>
      </w:tr>
      <w:tr w:rsidR="00E77841" w:rsidRPr="00E77841" w14:paraId="5C397844" w14:textId="77777777" w:rsidTr="008E3209">
        <w:trPr>
          <w:jc w:val="center"/>
        </w:trPr>
        <w:tc>
          <w:tcPr>
            <w:tcW w:w="1169" w:type="pct"/>
            <w:tcBorders>
              <w:top w:val="single" w:sz="6" w:space="0" w:color="auto"/>
              <w:left w:val="nil"/>
              <w:bottom w:val="single" w:sz="6" w:space="0" w:color="auto"/>
              <w:right w:val="nil"/>
            </w:tcBorders>
          </w:tcPr>
          <w:p w14:paraId="52361856" w14:textId="77777777" w:rsidR="00E77841" w:rsidRPr="00E77841" w:rsidRDefault="00E77841" w:rsidP="009B09A3">
            <w:pPr>
              <w:widowControl w:val="0"/>
              <w:autoSpaceDE w:val="0"/>
              <w:autoSpaceDN w:val="0"/>
              <w:adjustRightInd w:val="0"/>
              <w:rPr>
                <w:rFonts w:ascii="Times New Roman" w:hAnsi="Times New Roman" w:cs="Times New Roman"/>
                <w:sz w:val="20"/>
                <w:szCs w:val="24"/>
              </w:rPr>
            </w:pPr>
          </w:p>
        </w:tc>
        <w:tc>
          <w:tcPr>
            <w:tcW w:w="638" w:type="pct"/>
            <w:tcBorders>
              <w:top w:val="single" w:sz="6" w:space="0" w:color="auto"/>
              <w:left w:val="nil"/>
              <w:bottom w:val="single" w:sz="6" w:space="0" w:color="auto"/>
              <w:right w:val="nil"/>
            </w:tcBorders>
          </w:tcPr>
          <w:p w14:paraId="005079F5" w14:textId="5D3BAD6C"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1344F0">
              <w:rPr>
                <w:rFonts w:ascii="Times New Roman" w:hAnsi="Times New Roman" w:cs="Times New Roman"/>
                <w:sz w:val="20"/>
                <w:szCs w:val="20"/>
              </w:rPr>
              <w:t>5%</w:t>
            </w:r>
          </w:p>
        </w:tc>
        <w:tc>
          <w:tcPr>
            <w:tcW w:w="638" w:type="pct"/>
            <w:tcBorders>
              <w:top w:val="single" w:sz="6" w:space="0" w:color="auto"/>
              <w:left w:val="nil"/>
              <w:bottom w:val="single" w:sz="6" w:space="0" w:color="auto"/>
              <w:right w:val="nil"/>
            </w:tcBorders>
          </w:tcPr>
          <w:p w14:paraId="2A634FE5" w14:textId="5579006B"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1344F0">
              <w:rPr>
                <w:rFonts w:ascii="Times New Roman" w:hAnsi="Times New Roman" w:cs="Times New Roman"/>
                <w:sz w:val="20"/>
                <w:szCs w:val="20"/>
              </w:rPr>
              <w:t>10%</w:t>
            </w:r>
          </w:p>
        </w:tc>
        <w:tc>
          <w:tcPr>
            <w:tcW w:w="639" w:type="pct"/>
            <w:tcBorders>
              <w:top w:val="single" w:sz="6" w:space="0" w:color="auto"/>
              <w:left w:val="nil"/>
              <w:bottom w:val="single" w:sz="6" w:space="0" w:color="auto"/>
              <w:right w:val="single" w:sz="6" w:space="0" w:color="auto"/>
            </w:tcBorders>
          </w:tcPr>
          <w:p w14:paraId="3EFCDE42" w14:textId="1E11F033"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1344F0">
              <w:rPr>
                <w:rFonts w:ascii="Times New Roman" w:hAnsi="Times New Roman" w:cs="Times New Roman"/>
                <w:sz w:val="20"/>
                <w:szCs w:val="20"/>
              </w:rPr>
              <w:t>20%</w:t>
            </w:r>
          </w:p>
        </w:tc>
        <w:tc>
          <w:tcPr>
            <w:tcW w:w="638" w:type="pct"/>
            <w:tcBorders>
              <w:top w:val="single" w:sz="6" w:space="0" w:color="auto"/>
              <w:left w:val="single" w:sz="6" w:space="0" w:color="auto"/>
              <w:bottom w:val="single" w:sz="6" w:space="0" w:color="auto"/>
              <w:right w:val="nil"/>
            </w:tcBorders>
          </w:tcPr>
          <w:p w14:paraId="05E75895" w14:textId="31389A83"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1344F0">
              <w:rPr>
                <w:rFonts w:ascii="Times New Roman" w:hAnsi="Times New Roman" w:cs="Times New Roman"/>
                <w:sz w:val="20"/>
                <w:szCs w:val="20"/>
              </w:rPr>
              <w:t>5%</w:t>
            </w:r>
          </w:p>
        </w:tc>
        <w:tc>
          <w:tcPr>
            <w:tcW w:w="638" w:type="pct"/>
            <w:tcBorders>
              <w:top w:val="single" w:sz="6" w:space="0" w:color="auto"/>
              <w:left w:val="nil"/>
              <w:bottom w:val="single" w:sz="6" w:space="0" w:color="auto"/>
              <w:right w:val="nil"/>
            </w:tcBorders>
          </w:tcPr>
          <w:p w14:paraId="173DEE00" w14:textId="638C601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1344F0">
              <w:rPr>
                <w:rFonts w:ascii="Times New Roman" w:hAnsi="Times New Roman" w:cs="Times New Roman"/>
                <w:sz w:val="20"/>
                <w:szCs w:val="20"/>
              </w:rPr>
              <w:t>10%</w:t>
            </w:r>
          </w:p>
        </w:tc>
        <w:tc>
          <w:tcPr>
            <w:tcW w:w="639" w:type="pct"/>
            <w:tcBorders>
              <w:top w:val="single" w:sz="6" w:space="0" w:color="auto"/>
              <w:left w:val="nil"/>
              <w:bottom w:val="single" w:sz="6" w:space="0" w:color="auto"/>
              <w:right w:val="nil"/>
            </w:tcBorders>
          </w:tcPr>
          <w:p w14:paraId="3DE02D5F" w14:textId="1B4F3DA8"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1344F0">
              <w:rPr>
                <w:rFonts w:ascii="Times New Roman" w:hAnsi="Times New Roman" w:cs="Times New Roman"/>
                <w:sz w:val="20"/>
                <w:szCs w:val="20"/>
              </w:rPr>
              <w:t>20%</w:t>
            </w:r>
          </w:p>
        </w:tc>
      </w:tr>
      <w:tr w:rsidR="00E77841" w:rsidRPr="00E77841" w14:paraId="3523E644" w14:textId="77777777" w:rsidTr="008E3209">
        <w:trPr>
          <w:jc w:val="center"/>
        </w:trPr>
        <w:tc>
          <w:tcPr>
            <w:tcW w:w="1169" w:type="pct"/>
            <w:tcBorders>
              <w:top w:val="single" w:sz="6" w:space="0" w:color="auto"/>
              <w:left w:val="nil"/>
              <w:bottom w:val="single" w:sz="6" w:space="0" w:color="auto"/>
              <w:right w:val="nil"/>
            </w:tcBorders>
          </w:tcPr>
          <w:p w14:paraId="2CA51158" w14:textId="77777777" w:rsidR="00E77841" w:rsidRPr="00E77841" w:rsidRDefault="00E77841" w:rsidP="009B09A3">
            <w:pPr>
              <w:widowControl w:val="0"/>
              <w:autoSpaceDE w:val="0"/>
              <w:autoSpaceDN w:val="0"/>
              <w:adjustRightInd w:val="0"/>
              <w:rPr>
                <w:rFonts w:ascii="Times New Roman" w:hAnsi="Times New Roman" w:cs="Times New Roman"/>
                <w:sz w:val="20"/>
                <w:szCs w:val="24"/>
              </w:rPr>
            </w:pPr>
          </w:p>
        </w:tc>
        <w:tc>
          <w:tcPr>
            <w:tcW w:w="638" w:type="pct"/>
            <w:tcBorders>
              <w:top w:val="single" w:sz="6" w:space="0" w:color="auto"/>
              <w:left w:val="nil"/>
              <w:bottom w:val="single" w:sz="6" w:space="0" w:color="auto"/>
              <w:right w:val="nil"/>
            </w:tcBorders>
          </w:tcPr>
          <w:p w14:paraId="539728B9"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(1)</w:t>
            </w:r>
          </w:p>
        </w:tc>
        <w:tc>
          <w:tcPr>
            <w:tcW w:w="638" w:type="pct"/>
            <w:tcBorders>
              <w:top w:val="single" w:sz="6" w:space="0" w:color="auto"/>
              <w:left w:val="nil"/>
              <w:bottom w:val="single" w:sz="6" w:space="0" w:color="auto"/>
              <w:right w:val="nil"/>
            </w:tcBorders>
          </w:tcPr>
          <w:p w14:paraId="69021AD2"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(2)</w:t>
            </w:r>
          </w:p>
        </w:tc>
        <w:tc>
          <w:tcPr>
            <w:tcW w:w="639" w:type="pct"/>
            <w:tcBorders>
              <w:top w:val="single" w:sz="6" w:space="0" w:color="auto"/>
              <w:left w:val="nil"/>
              <w:bottom w:val="single" w:sz="6" w:space="0" w:color="auto"/>
              <w:right w:val="single" w:sz="6" w:space="0" w:color="auto"/>
            </w:tcBorders>
          </w:tcPr>
          <w:p w14:paraId="10CBCD6C"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(3)</w:t>
            </w:r>
          </w:p>
        </w:tc>
        <w:tc>
          <w:tcPr>
            <w:tcW w:w="638" w:type="pct"/>
            <w:tcBorders>
              <w:top w:val="single" w:sz="6" w:space="0" w:color="auto"/>
              <w:left w:val="single" w:sz="6" w:space="0" w:color="auto"/>
              <w:bottom w:val="single" w:sz="6" w:space="0" w:color="auto"/>
              <w:right w:val="nil"/>
            </w:tcBorders>
          </w:tcPr>
          <w:p w14:paraId="7594679F"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(4)</w:t>
            </w:r>
          </w:p>
        </w:tc>
        <w:tc>
          <w:tcPr>
            <w:tcW w:w="638" w:type="pct"/>
            <w:tcBorders>
              <w:top w:val="single" w:sz="6" w:space="0" w:color="auto"/>
              <w:left w:val="nil"/>
              <w:bottom w:val="single" w:sz="6" w:space="0" w:color="auto"/>
              <w:right w:val="nil"/>
            </w:tcBorders>
          </w:tcPr>
          <w:p w14:paraId="5958323A"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(5)</w:t>
            </w:r>
          </w:p>
        </w:tc>
        <w:tc>
          <w:tcPr>
            <w:tcW w:w="639" w:type="pct"/>
            <w:tcBorders>
              <w:top w:val="single" w:sz="6" w:space="0" w:color="auto"/>
              <w:left w:val="nil"/>
              <w:bottom w:val="single" w:sz="6" w:space="0" w:color="auto"/>
              <w:right w:val="nil"/>
            </w:tcBorders>
          </w:tcPr>
          <w:p w14:paraId="278BB177"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(6)</w:t>
            </w:r>
          </w:p>
        </w:tc>
      </w:tr>
      <w:tr w:rsidR="00E77841" w:rsidRPr="00E77841" w14:paraId="52E8010A" w14:textId="77777777" w:rsidTr="008E3209">
        <w:trPr>
          <w:jc w:val="center"/>
        </w:trPr>
        <w:tc>
          <w:tcPr>
            <w:tcW w:w="1169" w:type="pct"/>
            <w:tcBorders>
              <w:top w:val="single" w:sz="6" w:space="0" w:color="auto"/>
              <w:left w:val="nil"/>
              <w:bottom w:val="nil"/>
              <w:right w:val="nil"/>
            </w:tcBorders>
          </w:tcPr>
          <w:p w14:paraId="1FCA8AFE" w14:textId="77777777" w:rsidR="00E77841" w:rsidRPr="00E77841" w:rsidRDefault="00E77841" w:rsidP="009B09A3">
            <w:pPr>
              <w:widowControl w:val="0"/>
              <w:autoSpaceDE w:val="0"/>
              <w:autoSpaceDN w:val="0"/>
              <w:adjustRightInd w:val="0"/>
              <w:rPr>
                <w:rFonts w:ascii="Times New Roman" w:hAnsi="Times New Roman" w:cs="Times New Roman"/>
                <w:sz w:val="20"/>
                <w:szCs w:val="24"/>
              </w:rPr>
            </w:pPr>
          </w:p>
        </w:tc>
        <w:tc>
          <w:tcPr>
            <w:tcW w:w="638" w:type="pct"/>
            <w:tcBorders>
              <w:top w:val="single" w:sz="6" w:space="0" w:color="auto"/>
              <w:left w:val="nil"/>
              <w:bottom w:val="nil"/>
              <w:right w:val="nil"/>
            </w:tcBorders>
          </w:tcPr>
          <w:p w14:paraId="38430153"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p>
        </w:tc>
        <w:tc>
          <w:tcPr>
            <w:tcW w:w="638" w:type="pct"/>
            <w:tcBorders>
              <w:top w:val="single" w:sz="6" w:space="0" w:color="auto"/>
              <w:left w:val="nil"/>
              <w:bottom w:val="nil"/>
              <w:right w:val="nil"/>
            </w:tcBorders>
          </w:tcPr>
          <w:p w14:paraId="7D9698D4"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p>
        </w:tc>
        <w:tc>
          <w:tcPr>
            <w:tcW w:w="639" w:type="pct"/>
            <w:tcBorders>
              <w:top w:val="single" w:sz="6" w:space="0" w:color="auto"/>
              <w:left w:val="nil"/>
              <w:bottom w:val="nil"/>
              <w:right w:val="single" w:sz="6" w:space="0" w:color="auto"/>
            </w:tcBorders>
          </w:tcPr>
          <w:p w14:paraId="1571E864"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p>
        </w:tc>
        <w:tc>
          <w:tcPr>
            <w:tcW w:w="638" w:type="pct"/>
            <w:tcBorders>
              <w:top w:val="single" w:sz="6" w:space="0" w:color="auto"/>
              <w:left w:val="single" w:sz="6" w:space="0" w:color="auto"/>
              <w:bottom w:val="nil"/>
              <w:right w:val="nil"/>
            </w:tcBorders>
          </w:tcPr>
          <w:p w14:paraId="4DED030B"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p>
        </w:tc>
        <w:tc>
          <w:tcPr>
            <w:tcW w:w="638" w:type="pct"/>
            <w:tcBorders>
              <w:top w:val="single" w:sz="6" w:space="0" w:color="auto"/>
              <w:left w:val="nil"/>
              <w:bottom w:val="nil"/>
              <w:right w:val="nil"/>
            </w:tcBorders>
          </w:tcPr>
          <w:p w14:paraId="189A981D"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p>
        </w:tc>
        <w:tc>
          <w:tcPr>
            <w:tcW w:w="639" w:type="pct"/>
            <w:tcBorders>
              <w:top w:val="single" w:sz="6" w:space="0" w:color="auto"/>
              <w:left w:val="nil"/>
              <w:bottom w:val="nil"/>
              <w:right w:val="nil"/>
            </w:tcBorders>
          </w:tcPr>
          <w:p w14:paraId="7DCA3F36"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p>
        </w:tc>
      </w:tr>
      <w:tr w:rsidR="00E77841" w:rsidRPr="00E77841" w14:paraId="54B133B7" w14:textId="77777777" w:rsidTr="008E3209">
        <w:trPr>
          <w:jc w:val="center"/>
        </w:trPr>
        <w:tc>
          <w:tcPr>
            <w:tcW w:w="1169" w:type="pct"/>
            <w:tcBorders>
              <w:top w:val="nil"/>
              <w:left w:val="nil"/>
              <w:bottom w:val="nil"/>
              <w:right w:val="nil"/>
            </w:tcBorders>
          </w:tcPr>
          <w:p w14:paraId="297CB13B" w14:textId="26EC0CFE" w:rsidR="00E77841" w:rsidRPr="00E77841" w:rsidRDefault="00E77841" w:rsidP="009B09A3">
            <w:pPr>
              <w:widowControl w:val="0"/>
              <w:autoSpaceDE w:val="0"/>
              <w:autoSpaceDN w:val="0"/>
              <w:adjustRightInd w:val="0"/>
              <w:rPr>
                <w:rFonts w:ascii="Times New Roman" w:hAnsi="Times New Roman" w:cs="Times New Roman"/>
                <w:sz w:val="20"/>
                <w:szCs w:val="24"/>
              </w:rPr>
            </w:pPr>
            <w:proofErr w:type="spellStart"/>
            <w:r w:rsidRPr="001344F0">
              <w:rPr>
                <w:rFonts w:ascii="Times New Roman" w:hAnsi="Times New Roman" w:cs="Times New Roman"/>
                <w:sz w:val="20"/>
                <w:szCs w:val="24"/>
              </w:rPr>
              <w:t>ActiveBlock</w:t>
            </w:r>
            <w:proofErr w:type="spellEnd"/>
          </w:p>
        </w:tc>
        <w:tc>
          <w:tcPr>
            <w:tcW w:w="638" w:type="pct"/>
            <w:tcBorders>
              <w:top w:val="nil"/>
              <w:left w:val="nil"/>
              <w:bottom w:val="nil"/>
              <w:right w:val="nil"/>
            </w:tcBorders>
          </w:tcPr>
          <w:p w14:paraId="2FA7DAAF"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0.141</w:t>
            </w:r>
          </w:p>
        </w:tc>
        <w:tc>
          <w:tcPr>
            <w:tcW w:w="638" w:type="pct"/>
            <w:tcBorders>
              <w:top w:val="nil"/>
              <w:left w:val="nil"/>
              <w:bottom w:val="nil"/>
              <w:right w:val="nil"/>
            </w:tcBorders>
          </w:tcPr>
          <w:p w14:paraId="557D3288"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0.190</w:t>
            </w:r>
          </w:p>
        </w:tc>
        <w:tc>
          <w:tcPr>
            <w:tcW w:w="639" w:type="pct"/>
            <w:tcBorders>
              <w:top w:val="nil"/>
              <w:left w:val="nil"/>
              <w:bottom w:val="nil"/>
              <w:right w:val="single" w:sz="6" w:space="0" w:color="auto"/>
            </w:tcBorders>
          </w:tcPr>
          <w:p w14:paraId="3F0865C5"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0.457</w:t>
            </w:r>
          </w:p>
        </w:tc>
        <w:tc>
          <w:tcPr>
            <w:tcW w:w="638" w:type="pct"/>
            <w:tcBorders>
              <w:top w:val="nil"/>
              <w:left w:val="single" w:sz="6" w:space="0" w:color="auto"/>
              <w:bottom w:val="nil"/>
              <w:right w:val="nil"/>
            </w:tcBorders>
          </w:tcPr>
          <w:p w14:paraId="403512A7"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-0.173</w:t>
            </w:r>
          </w:p>
        </w:tc>
        <w:tc>
          <w:tcPr>
            <w:tcW w:w="638" w:type="pct"/>
            <w:tcBorders>
              <w:top w:val="nil"/>
              <w:left w:val="nil"/>
              <w:bottom w:val="nil"/>
              <w:right w:val="nil"/>
            </w:tcBorders>
          </w:tcPr>
          <w:p w14:paraId="4F197393"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0.023</w:t>
            </w:r>
          </w:p>
        </w:tc>
        <w:tc>
          <w:tcPr>
            <w:tcW w:w="639" w:type="pct"/>
            <w:tcBorders>
              <w:top w:val="nil"/>
              <w:left w:val="nil"/>
              <w:bottom w:val="nil"/>
              <w:right w:val="nil"/>
            </w:tcBorders>
          </w:tcPr>
          <w:p w14:paraId="1E739F41"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-0.108</w:t>
            </w:r>
          </w:p>
        </w:tc>
      </w:tr>
      <w:tr w:rsidR="00E77841" w:rsidRPr="00E77841" w14:paraId="209E71E7" w14:textId="77777777" w:rsidTr="008E3209">
        <w:trPr>
          <w:jc w:val="center"/>
        </w:trPr>
        <w:tc>
          <w:tcPr>
            <w:tcW w:w="1169" w:type="pct"/>
            <w:tcBorders>
              <w:top w:val="nil"/>
              <w:left w:val="nil"/>
              <w:bottom w:val="nil"/>
              <w:right w:val="nil"/>
            </w:tcBorders>
          </w:tcPr>
          <w:p w14:paraId="2D19C8AD" w14:textId="77777777" w:rsidR="00E77841" w:rsidRPr="00E77841" w:rsidRDefault="00E77841" w:rsidP="009B09A3">
            <w:pPr>
              <w:widowControl w:val="0"/>
              <w:autoSpaceDE w:val="0"/>
              <w:autoSpaceDN w:val="0"/>
              <w:adjustRightInd w:val="0"/>
              <w:rPr>
                <w:rFonts w:ascii="Times New Roman" w:hAnsi="Times New Roman" w:cs="Times New Roman"/>
                <w:sz w:val="20"/>
                <w:szCs w:val="24"/>
              </w:rPr>
            </w:pPr>
          </w:p>
        </w:tc>
        <w:tc>
          <w:tcPr>
            <w:tcW w:w="638" w:type="pct"/>
            <w:tcBorders>
              <w:top w:val="nil"/>
              <w:left w:val="nil"/>
              <w:bottom w:val="nil"/>
              <w:right w:val="nil"/>
            </w:tcBorders>
          </w:tcPr>
          <w:p w14:paraId="51345C7A"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(0.770)</w:t>
            </w:r>
          </w:p>
        </w:tc>
        <w:tc>
          <w:tcPr>
            <w:tcW w:w="638" w:type="pct"/>
            <w:tcBorders>
              <w:top w:val="nil"/>
              <w:left w:val="nil"/>
              <w:bottom w:val="nil"/>
              <w:right w:val="nil"/>
            </w:tcBorders>
          </w:tcPr>
          <w:p w14:paraId="60CCA709"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(1.401)</w:t>
            </w:r>
          </w:p>
        </w:tc>
        <w:tc>
          <w:tcPr>
            <w:tcW w:w="639" w:type="pct"/>
            <w:tcBorders>
              <w:top w:val="nil"/>
              <w:left w:val="nil"/>
              <w:bottom w:val="nil"/>
              <w:right w:val="single" w:sz="6" w:space="0" w:color="auto"/>
            </w:tcBorders>
          </w:tcPr>
          <w:p w14:paraId="2630E1A2"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(1.781)</w:t>
            </w:r>
          </w:p>
        </w:tc>
        <w:tc>
          <w:tcPr>
            <w:tcW w:w="638" w:type="pct"/>
            <w:tcBorders>
              <w:top w:val="nil"/>
              <w:left w:val="single" w:sz="6" w:space="0" w:color="auto"/>
              <w:bottom w:val="nil"/>
              <w:right w:val="nil"/>
            </w:tcBorders>
          </w:tcPr>
          <w:p w14:paraId="3C4CC3C4"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(0.733)</w:t>
            </w:r>
          </w:p>
        </w:tc>
        <w:tc>
          <w:tcPr>
            <w:tcW w:w="638" w:type="pct"/>
            <w:tcBorders>
              <w:top w:val="nil"/>
              <w:left w:val="nil"/>
              <w:bottom w:val="nil"/>
              <w:right w:val="nil"/>
            </w:tcBorders>
          </w:tcPr>
          <w:p w14:paraId="67FF0DB8"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(1.274)</w:t>
            </w:r>
          </w:p>
        </w:tc>
        <w:tc>
          <w:tcPr>
            <w:tcW w:w="639" w:type="pct"/>
            <w:tcBorders>
              <w:top w:val="nil"/>
              <w:left w:val="nil"/>
              <w:bottom w:val="nil"/>
              <w:right w:val="nil"/>
            </w:tcBorders>
          </w:tcPr>
          <w:p w14:paraId="3EBE2BAD"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(1.437)</w:t>
            </w:r>
          </w:p>
        </w:tc>
      </w:tr>
      <w:tr w:rsidR="00E77841" w:rsidRPr="00E77841" w14:paraId="44CB8929" w14:textId="77777777" w:rsidTr="008E3209">
        <w:trPr>
          <w:jc w:val="center"/>
        </w:trPr>
        <w:tc>
          <w:tcPr>
            <w:tcW w:w="1169" w:type="pct"/>
            <w:tcBorders>
              <w:top w:val="nil"/>
              <w:left w:val="nil"/>
              <w:bottom w:val="nil"/>
              <w:right w:val="nil"/>
            </w:tcBorders>
          </w:tcPr>
          <w:p w14:paraId="79846D87" w14:textId="4F47A8B4" w:rsidR="00E77841" w:rsidRPr="00E77841" w:rsidRDefault="00E77841" w:rsidP="009B09A3">
            <w:pPr>
              <w:widowControl w:val="0"/>
              <w:autoSpaceDE w:val="0"/>
              <w:autoSpaceDN w:val="0"/>
              <w:adjustRightInd w:val="0"/>
              <w:rPr>
                <w:rFonts w:ascii="Times New Roman" w:hAnsi="Times New Roman" w:cs="Times New Roman"/>
                <w:sz w:val="20"/>
                <w:szCs w:val="24"/>
              </w:rPr>
            </w:pPr>
            <w:proofErr w:type="spellStart"/>
            <w:r w:rsidRPr="001344F0">
              <w:rPr>
                <w:rFonts w:ascii="Times New Roman" w:hAnsi="Times New Roman" w:cs="Times New Roman"/>
                <w:sz w:val="20"/>
                <w:szCs w:val="24"/>
              </w:rPr>
              <w:t>PassiveBlock</w:t>
            </w:r>
            <w:proofErr w:type="spellEnd"/>
          </w:p>
        </w:tc>
        <w:tc>
          <w:tcPr>
            <w:tcW w:w="638" w:type="pct"/>
            <w:tcBorders>
              <w:top w:val="nil"/>
              <w:left w:val="nil"/>
              <w:bottom w:val="nil"/>
              <w:right w:val="nil"/>
            </w:tcBorders>
          </w:tcPr>
          <w:p w14:paraId="686AC03D"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-0.105</w:t>
            </w:r>
          </w:p>
        </w:tc>
        <w:tc>
          <w:tcPr>
            <w:tcW w:w="638" w:type="pct"/>
            <w:tcBorders>
              <w:top w:val="nil"/>
              <w:left w:val="nil"/>
              <w:bottom w:val="nil"/>
              <w:right w:val="nil"/>
            </w:tcBorders>
          </w:tcPr>
          <w:p w14:paraId="625DC916"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0.041</w:t>
            </w:r>
          </w:p>
        </w:tc>
        <w:tc>
          <w:tcPr>
            <w:tcW w:w="639" w:type="pct"/>
            <w:tcBorders>
              <w:top w:val="nil"/>
              <w:left w:val="nil"/>
              <w:bottom w:val="nil"/>
              <w:right w:val="single" w:sz="6" w:space="0" w:color="auto"/>
            </w:tcBorders>
          </w:tcPr>
          <w:p w14:paraId="42F84488"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0.160</w:t>
            </w:r>
          </w:p>
        </w:tc>
        <w:tc>
          <w:tcPr>
            <w:tcW w:w="638" w:type="pct"/>
            <w:tcBorders>
              <w:top w:val="nil"/>
              <w:left w:val="single" w:sz="6" w:space="0" w:color="auto"/>
              <w:bottom w:val="nil"/>
              <w:right w:val="nil"/>
            </w:tcBorders>
          </w:tcPr>
          <w:p w14:paraId="4969F2B1"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-0.287**</w:t>
            </w:r>
          </w:p>
        </w:tc>
        <w:tc>
          <w:tcPr>
            <w:tcW w:w="638" w:type="pct"/>
            <w:tcBorders>
              <w:top w:val="nil"/>
              <w:left w:val="nil"/>
              <w:bottom w:val="nil"/>
              <w:right w:val="nil"/>
            </w:tcBorders>
          </w:tcPr>
          <w:p w14:paraId="00904F9D"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-0.061</w:t>
            </w:r>
          </w:p>
        </w:tc>
        <w:tc>
          <w:tcPr>
            <w:tcW w:w="639" w:type="pct"/>
            <w:tcBorders>
              <w:top w:val="nil"/>
              <w:left w:val="nil"/>
              <w:bottom w:val="nil"/>
              <w:right w:val="nil"/>
            </w:tcBorders>
          </w:tcPr>
          <w:p w14:paraId="3B4AEF4F"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0.026</w:t>
            </w:r>
          </w:p>
        </w:tc>
      </w:tr>
      <w:tr w:rsidR="00E77841" w:rsidRPr="00E77841" w14:paraId="5CE0EA7D" w14:textId="77777777" w:rsidTr="008E3209">
        <w:trPr>
          <w:jc w:val="center"/>
        </w:trPr>
        <w:tc>
          <w:tcPr>
            <w:tcW w:w="1169" w:type="pct"/>
            <w:tcBorders>
              <w:top w:val="nil"/>
              <w:left w:val="nil"/>
              <w:bottom w:val="nil"/>
              <w:right w:val="nil"/>
            </w:tcBorders>
          </w:tcPr>
          <w:p w14:paraId="4F59B892" w14:textId="77777777" w:rsidR="00E77841" w:rsidRPr="00E77841" w:rsidRDefault="00E77841" w:rsidP="009B09A3">
            <w:pPr>
              <w:widowControl w:val="0"/>
              <w:autoSpaceDE w:val="0"/>
              <w:autoSpaceDN w:val="0"/>
              <w:adjustRightInd w:val="0"/>
              <w:rPr>
                <w:rFonts w:ascii="Times New Roman" w:hAnsi="Times New Roman" w:cs="Times New Roman"/>
                <w:sz w:val="20"/>
                <w:szCs w:val="24"/>
              </w:rPr>
            </w:pPr>
          </w:p>
        </w:tc>
        <w:tc>
          <w:tcPr>
            <w:tcW w:w="638" w:type="pct"/>
            <w:tcBorders>
              <w:top w:val="nil"/>
              <w:left w:val="nil"/>
              <w:bottom w:val="nil"/>
              <w:right w:val="nil"/>
            </w:tcBorders>
          </w:tcPr>
          <w:p w14:paraId="400A883D"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(0.156)</w:t>
            </w:r>
          </w:p>
        </w:tc>
        <w:tc>
          <w:tcPr>
            <w:tcW w:w="638" w:type="pct"/>
            <w:tcBorders>
              <w:top w:val="nil"/>
              <w:left w:val="nil"/>
              <w:bottom w:val="nil"/>
              <w:right w:val="nil"/>
            </w:tcBorders>
          </w:tcPr>
          <w:p w14:paraId="6F1965C6"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(0.171)</w:t>
            </w:r>
          </w:p>
        </w:tc>
        <w:tc>
          <w:tcPr>
            <w:tcW w:w="639" w:type="pct"/>
            <w:tcBorders>
              <w:top w:val="nil"/>
              <w:left w:val="nil"/>
              <w:bottom w:val="nil"/>
              <w:right w:val="single" w:sz="6" w:space="0" w:color="auto"/>
            </w:tcBorders>
          </w:tcPr>
          <w:p w14:paraId="3C62400F"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(0.165)</w:t>
            </w:r>
          </w:p>
        </w:tc>
        <w:tc>
          <w:tcPr>
            <w:tcW w:w="638" w:type="pct"/>
            <w:tcBorders>
              <w:top w:val="nil"/>
              <w:left w:val="single" w:sz="6" w:space="0" w:color="auto"/>
              <w:bottom w:val="nil"/>
              <w:right w:val="nil"/>
            </w:tcBorders>
          </w:tcPr>
          <w:p w14:paraId="20406547"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(0.141)</w:t>
            </w:r>
          </w:p>
        </w:tc>
        <w:tc>
          <w:tcPr>
            <w:tcW w:w="638" w:type="pct"/>
            <w:tcBorders>
              <w:top w:val="nil"/>
              <w:left w:val="nil"/>
              <w:bottom w:val="nil"/>
              <w:right w:val="nil"/>
            </w:tcBorders>
          </w:tcPr>
          <w:p w14:paraId="617A28DC"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(0.175)</w:t>
            </w:r>
          </w:p>
        </w:tc>
        <w:tc>
          <w:tcPr>
            <w:tcW w:w="639" w:type="pct"/>
            <w:tcBorders>
              <w:top w:val="nil"/>
              <w:left w:val="nil"/>
              <w:bottom w:val="nil"/>
              <w:right w:val="nil"/>
            </w:tcBorders>
          </w:tcPr>
          <w:p w14:paraId="267E787C"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(0.168)</w:t>
            </w:r>
          </w:p>
        </w:tc>
      </w:tr>
      <w:tr w:rsidR="00E77841" w:rsidRPr="00E77841" w14:paraId="05C26BD0" w14:textId="77777777" w:rsidTr="008E3209">
        <w:trPr>
          <w:jc w:val="center"/>
        </w:trPr>
        <w:tc>
          <w:tcPr>
            <w:tcW w:w="1169" w:type="pct"/>
            <w:tcBorders>
              <w:top w:val="nil"/>
              <w:left w:val="nil"/>
              <w:bottom w:val="nil"/>
              <w:right w:val="nil"/>
            </w:tcBorders>
          </w:tcPr>
          <w:p w14:paraId="3B909527" w14:textId="61B9C621" w:rsidR="00E77841" w:rsidRPr="00E77841" w:rsidRDefault="00E77841" w:rsidP="009B09A3">
            <w:pPr>
              <w:widowControl w:val="0"/>
              <w:autoSpaceDE w:val="0"/>
              <w:autoSpaceDN w:val="0"/>
              <w:adjustRightInd w:val="0"/>
              <w:rPr>
                <w:rFonts w:ascii="Times New Roman" w:hAnsi="Times New Roman" w:cs="Times New Roman"/>
                <w:sz w:val="20"/>
                <w:szCs w:val="24"/>
              </w:rPr>
            </w:pPr>
            <w:proofErr w:type="spellStart"/>
            <w:r w:rsidRPr="001344F0">
              <w:rPr>
                <w:rFonts w:ascii="Times New Roman" w:hAnsi="Times New Roman" w:cs="Times New Roman"/>
                <w:sz w:val="20"/>
                <w:szCs w:val="24"/>
              </w:rPr>
              <w:t>DirOnlyVote</w:t>
            </w:r>
            <w:proofErr w:type="spellEnd"/>
          </w:p>
        </w:tc>
        <w:tc>
          <w:tcPr>
            <w:tcW w:w="638" w:type="pct"/>
            <w:tcBorders>
              <w:top w:val="nil"/>
              <w:left w:val="nil"/>
              <w:bottom w:val="nil"/>
              <w:right w:val="nil"/>
            </w:tcBorders>
          </w:tcPr>
          <w:p w14:paraId="34B6C78B"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-0.759</w:t>
            </w:r>
          </w:p>
        </w:tc>
        <w:tc>
          <w:tcPr>
            <w:tcW w:w="638" w:type="pct"/>
            <w:tcBorders>
              <w:top w:val="nil"/>
              <w:left w:val="nil"/>
              <w:bottom w:val="nil"/>
              <w:right w:val="nil"/>
            </w:tcBorders>
          </w:tcPr>
          <w:p w14:paraId="6311F92F"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-0.390</w:t>
            </w:r>
          </w:p>
        </w:tc>
        <w:tc>
          <w:tcPr>
            <w:tcW w:w="639" w:type="pct"/>
            <w:tcBorders>
              <w:top w:val="nil"/>
              <w:left w:val="nil"/>
              <w:bottom w:val="nil"/>
              <w:right w:val="single" w:sz="6" w:space="0" w:color="auto"/>
            </w:tcBorders>
          </w:tcPr>
          <w:p w14:paraId="43916A2C"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-0.225</w:t>
            </w:r>
          </w:p>
        </w:tc>
        <w:tc>
          <w:tcPr>
            <w:tcW w:w="638" w:type="pct"/>
            <w:tcBorders>
              <w:top w:val="nil"/>
              <w:left w:val="single" w:sz="6" w:space="0" w:color="auto"/>
              <w:bottom w:val="nil"/>
              <w:right w:val="nil"/>
            </w:tcBorders>
          </w:tcPr>
          <w:p w14:paraId="3CA2FB9E"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-0.852</w:t>
            </w:r>
          </w:p>
        </w:tc>
        <w:tc>
          <w:tcPr>
            <w:tcW w:w="638" w:type="pct"/>
            <w:tcBorders>
              <w:top w:val="nil"/>
              <w:left w:val="nil"/>
              <w:bottom w:val="nil"/>
              <w:right w:val="nil"/>
            </w:tcBorders>
          </w:tcPr>
          <w:p w14:paraId="539BA9E0"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-0.410</w:t>
            </w:r>
          </w:p>
        </w:tc>
        <w:tc>
          <w:tcPr>
            <w:tcW w:w="639" w:type="pct"/>
            <w:tcBorders>
              <w:top w:val="nil"/>
              <w:left w:val="nil"/>
              <w:bottom w:val="nil"/>
              <w:right w:val="nil"/>
            </w:tcBorders>
          </w:tcPr>
          <w:p w14:paraId="15D0C92C"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-0.301</w:t>
            </w:r>
          </w:p>
        </w:tc>
      </w:tr>
      <w:tr w:rsidR="00E77841" w:rsidRPr="00E77841" w14:paraId="009C92EC" w14:textId="77777777" w:rsidTr="008E3209">
        <w:trPr>
          <w:jc w:val="center"/>
        </w:trPr>
        <w:tc>
          <w:tcPr>
            <w:tcW w:w="1169" w:type="pct"/>
            <w:tcBorders>
              <w:top w:val="nil"/>
              <w:left w:val="nil"/>
              <w:bottom w:val="nil"/>
              <w:right w:val="nil"/>
            </w:tcBorders>
          </w:tcPr>
          <w:p w14:paraId="0EAEC157" w14:textId="77777777" w:rsidR="00E77841" w:rsidRPr="00E77841" w:rsidRDefault="00E77841" w:rsidP="009B09A3">
            <w:pPr>
              <w:widowControl w:val="0"/>
              <w:autoSpaceDE w:val="0"/>
              <w:autoSpaceDN w:val="0"/>
              <w:adjustRightInd w:val="0"/>
              <w:rPr>
                <w:rFonts w:ascii="Times New Roman" w:hAnsi="Times New Roman" w:cs="Times New Roman"/>
                <w:sz w:val="20"/>
                <w:szCs w:val="24"/>
              </w:rPr>
            </w:pPr>
          </w:p>
        </w:tc>
        <w:tc>
          <w:tcPr>
            <w:tcW w:w="638" w:type="pct"/>
            <w:tcBorders>
              <w:top w:val="nil"/>
              <w:left w:val="nil"/>
              <w:bottom w:val="nil"/>
              <w:right w:val="nil"/>
            </w:tcBorders>
          </w:tcPr>
          <w:p w14:paraId="613BD19D"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(0.778)</w:t>
            </w:r>
          </w:p>
        </w:tc>
        <w:tc>
          <w:tcPr>
            <w:tcW w:w="638" w:type="pct"/>
            <w:tcBorders>
              <w:top w:val="nil"/>
              <w:left w:val="nil"/>
              <w:bottom w:val="nil"/>
              <w:right w:val="nil"/>
            </w:tcBorders>
          </w:tcPr>
          <w:p w14:paraId="4EE557EA"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(0.338)</w:t>
            </w:r>
          </w:p>
        </w:tc>
        <w:tc>
          <w:tcPr>
            <w:tcW w:w="639" w:type="pct"/>
            <w:tcBorders>
              <w:top w:val="nil"/>
              <w:left w:val="nil"/>
              <w:bottom w:val="nil"/>
              <w:right w:val="single" w:sz="6" w:space="0" w:color="auto"/>
            </w:tcBorders>
          </w:tcPr>
          <w:p w14:paraId="4F6A8AB7"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(0.400)</w:t>
            </w:r>
          </w:p>
        </w:tc>
        <w:tc>
          <w:tcPr>
            <w:tcW w:w="638" w:type="pct"/>
            <w:tcBorders>
              <w:top w:val="nil"/>
              <w:left w:val="single" w:sz="6" w:space="0" w:color="auto"/>
              <w:bottom w:val="nil"/>
              <w:right w:val="nil"/>
            </w:tcBorders>
          </w:tcPr>
          <w:p w14:paraId="45587F19"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(0.763)</w:t>
            </w:r>
          </w:p>
        </w:tc>
        <w:tc>
          <w:tcPr>
            <w:tcW w:w="638" w:type="pct"/>
            <w:tcBorders>
              <w:top w:val="nil"/>
              <w:left w:val="nil"/>
              <w:bottom w:val="nil"/>
              <w:right w:val="nil"/>
            </w:tcBorders>
          </w:tcPr>
          <w:p w14:paraId="6F10BC25"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(0.381)</w:t>
            </w:r>
          </w:p>
        </w:tc>
        <w:tc>
          <w:tcPr>
            <w:tcW w:w="639" w:type="pct"/>
            <w:tcBorders>
              <w:top w:val="nil"/>
              <w:left w:val="nil"/>
              <w:bottom w:val="nil"/>
              <w:right w:val="nil"/>
            </w:tcBorders>
          </w:tcPr>
          <w:p w14:paraId="700EBE04"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(0.422)</w:t>
            </w:r>
          </w:p>
        </w:tc>
      </w:tr>
      <w:tr w:rsidR="00E77841" w:rsidRPr="00E77841" w14:paraId="18FF469E" w14:textId="77777777" w:rsidTr="008E3209">
        <w:trPr>
          <w:jc w:val="center"/>
        </w:trPr>
        <w:tc>
          <w:tcPr>
            <w:tcW w:w="1169" w:type="pct"/>
            <w:tcBorders>
              <w:top w:val="nil"/>
              <w:left w:val="nil"/>
              <w:bottom w:val="nil"/>
              <w:right w:val="nil"/>
            </w:tcBorders>
          </w:tcPr>
          <w:p w14:paraId="11BD17C4" w14:textId="312327F0" w:rsidR="00E77841" w:rsidRPr="00E77841" w:rsidRDefault="00E77841" w:rsidP="009B09A3">
            <w:pPr>
              <w:widowControl w:val="0"/>
              <w:autoSpaceDE w:val="0"/>
              <w:autoSpaceDN w:val="0"/>
              <w:adjustRightInd w:val="0"/>
              <w:rPr>
                <w:rFonts w:ascii="Times New Roman" w:hAnsi="Times New Roman" w:cs="Times New Roman"/>
                <w:sz w:val="20"/>
                <w:szCs w:val="24"/>
              </w:rPr>
            </w:pPr>
            <w:proofErr w:type="spellStart"/>
            <w:r w:rsidRPr="001344F0">
              <w:rPr>
                <w:rFonts w:ascii="Times New Roman" w:hAnsi="Times New Roman" w:cs="Times New Roman"/>
                <w:sz w:val="20"/>
                <w:szCs w:val="24"/>
              </w:rPr>
              <w:t>DirOnlyNum</w:t>
            </w:r>
            <w:proofErr w:type="spellEnd"/>
          </w:p>
        </w:tc>
        <w:tc>
          <w:tcPr>
            <w:tcW w:w="638" w:type="pct"/>
            <w:tcBorders>
              <w:top w:val="nil"/>
              <w:left w:val="nil"/>
              <w:bottom w:val="nil"/>
              <w:right w:val="nil"/>
            </w:tcBorders>
          </w:tcPr>
          <w:p w14:paraId="1E457E3E"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0.033***</w:t>
            </w:r>
          </w:p>
        </w:tc>
        <w:tc>
          <w:tcPr>
            <w:tcW w:w="638" w:type="pct"/>
            <w:tcBorders>
              <w:top w:val="nil"/>
              <w:left w:val="nil"/>
              <w:bottom w:val="nil"/>
              <w:right w:val="nil"/>
            </w:tcBorders>
          </w:tcPr>
          <w:p w14:paraId="6B08CCCD"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0.032***</w:t>
            </w:r>
          </w:p>
        </w:tc>
        <w:tc>
          <w:tcPr>
            <w:tcW w:w="639" w:type="pct"/>
            <w:tcBorders>
              <w:top w:val="nil"/>
              <w:left w:val="nil"/>
              <w:bottom w:val="nil"/>
              <w:right w:val="single" w:sz="6" w:space="0" w:color="auto"/>
            </w:tcBorders>
          </w:tcPr>
          <w:p w14:paraId="4BA5C67A"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0.029***</w:t>
            </w:r>
          </w:p>
        </w:tc>
        <w:tc>
          <w:tcPr>
            <w:tcW w:w="638" w:type="pct"/>
            <w:tcBorders>
              <w:top w:val="nil"/>
              <w:left w:val="single" w:sz="6" w:space="0" w:color="auto"/>
              <w:bottom w:val="nil"/>
              <w:right w:val="nil"/>
            </w:tcBorders>
          </w:tcPr>
          <w:p w14:paraId="31BC0B11"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0.032***</w:t>
            </w:r>
          </w:p>
        </w:tc>
        <w:tc>
          <w:tcPr>
            <w:tcW w:w="638" w:type="pct"/>
            <w:tcBorders>
              <w:top w:val="nil"/>
              <w:left w:val="nil"/>
              <w:bottom w:val="nil"/>
              <w:right w:val="nil"/>
            </w:tcBorders>
          </w:tcPr>
          <w:p w14:paraId="16014F5D"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0.029***</w:t>
            </w:r>
          </w:p>
        </w:tc>
        <w:tc>
          <w:tcPr>
            <w:tcW w:w="639" w:type="pct"/>
            <w:tcBorders>
              <w:top w:val="nil"/>
              <w:left w:val="nil"/>
              <w:bottom w:val="nil"/>
              <w:right w:val="nil"/>
            </w:tcBorders>
          </w:tcPr>
          <w:p w14:paraId="4B4E6180"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0.031***</w:t>
            </w:r>
          </w:p>
        </w:tc>
      </w:tr>
      <w:tr w:rsidR="00E77841" w:rsidRPr="00E77841" w14:paraId="4B810AB4" w14:textId="77777777" w:rsidTr="008E3209">
        <w:trPr>
          <w:jc w:val="center"/>
        </w:trPr>
        <w:tc>
          <w:tcPr>
            <w:tcW w:w="1169" w:type="pct"/>
            <w:tcBorders>
              <w:top w:val="nil"/>
              <w:left w:val="nil"/>
              <w:bottom w:val="nil"/>
              <w:right w:val="nil"/>
            </w:tcBorders>
          </w:tcPr>
          <w:p w14:paraId="1444CA15" w14:textId="77777777" w:rsidR="00E77841" w:rsidRPr="00E77841" w:rsidRDefault="00E77841" w:rsidP="009B09A3">
            <w:pPr>
              <w:widowControl w:val="0"/>
              <w:autoSpaceDE w:val="0"/>
              <w:autoSpaceDN w:val="0"/>
              <w:adjustRightInd w:val="0"/>
              <w:rPr>
                <w:rFonts w:ascii="Times New Roman" w:hAnsi="Times New Roman" w:cs="Times New Roman"/>
                <w:sz w:val="20"/>
                <w:szCs w:val="24"/>
              </w:rPr>
            </w:pPr>
          </w:p>
        </w:tc>
        <w:tc>
          <w:tcPr>
            <w:tcW w:w="638" w:type="pct"/>
            <w:tcBorders>
              <w:top w:val="nil"/>
              <w:left w:val="nil"/>
              <w:bottom w:val="nil"/>
              <w:right w:val="nil"/>
            </w:tcBorders>
          </w:tcPr>
          <w:p w14:paraId="2E094153"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(0.011)</w:t>
            </w:r>
          </w:p>
        </w:tc>
        <w:tc>
          <w:tcPr>
            <w:tcW w:w="638" w:type="pct"/>
            <w:tcBorders>
              <w:top w:val="nil"/>
              <w:left w:val="nil"/>
              <w:bottom w:val="nil"/>
              <w:right w:val="nil"/>
            </w:tcBorders>
          </w:tcPr>
          <w:p w14:paraId="341BE1BF"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(0.011)</w:t>
            </w:r>
          </w:p>
        </w:tc>
        <w:tc>
          <w:tcPr>
            <w:tcW w:w="639" w:type="pct"/>
            <w:tcBorders>
              <w:top w:val="nil"/>
              <w:left w:val="nil"/>
              <w:bottom w:val="nil"/>
              <w:right w:val="single" w:sz="6" w:space="0" w:color="auto"/>
            </w:tcBorders>
          </w:tcPr>
          <w:p w14:paraId="2CB03900"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(0.010)</w:t>
            </w:r>
          </w:p>
        </w:tc>
        <w:tc>
          <w:tcPr>
            <w:tcW w:w="638" w:type="pct"/>
            <w:tcBorders>
              <w:top w:val="nil"/>
              <w:left w:val="single" w:sz="6" w:space="0" w:color="auto"/>
              <w:bottom w:val="nil"/>
              <w:right w:val="nil"/>
            </w:tcBorders>
          </w:tcPr>
          <w:p w14:paraId="7F877BF4"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(0.011)</w:t>
            </w:r>
          </w:p>
        </w:tc>
        <w:tc>
          <w:tcPr>
            <w:tcW w:w="638" w:type="pct"/>
            <w:tcBorders>
              <w:top w:val="nil"/>
              <w:left w:val="nil"/>
              <w:bottom w:val="nil"/>
              <w:right w:val="nil"/>
            </w:tcBorders>
          </w:tcPr>
          <w:p w14:paraId="0BAB405F"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(0.009)</w:t>
            </w:r>
          </w:p>
        </w:tc>
        <w:tc>
          <w:tcPr>
            <w:tcW w:w="639" w:type="pct"/>
            <w:tcBorders>
              <w:top w:val="nil"/>
              <w:left w:val="nil"/>
              <w:bottom w:val="nil"/>
              <w:right w:val="nil"/>
            </w:tcBorders>
          </w:tcPr>
          <w:p w14:paraId="43D1323C"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(0.010)</w:t>
            </w:r>
          </w:p>
        </w:tc>
      </w:tr>
      <w:tr w:rsidR="00E77841" w:rsidRPr="00E77841" w14:paraId="1621F17A" w14:textId="77777777" w:rsidTr="008E3209">
        <w:trPr>
          <w:jc w:val="center"/>
        </w:trPr>
        <w:tc>
          <w:tcPr>
            <w:tcW w:w="1169" w:type="pct"/>
            <w:tcBorders>
              <w:top w:val="nil"/>
              <w:left w:val="nil"/>
              <w:bottom w:val="nil"/>
              <w:right w:val="nil"/>
            </w:tcBorders>
          </w:tcPr>
          <w:p w14:paraId="30846C3D" w14:textId="5B79929F" w:rsidR="00E77841" w:rsidRPr="00E77841" w:rsidRDefault="00E77841" w:rsidP="009B09A3">
            <w:pPr>
              <w:widowControl w:val="0"/>
              <w:autoSpaceDE w:val="0"/>
              <w:autoSpaceDN w:val="0"/>
              <w:adjustRightInd w:val="0"/>
              <w:rPr>
                <w:rFonts w:ascii="Times New Roman" w:hAnsi="Times New Roman" w:cs="Times New Roman"/>
                <w:sz w:val="20"/>
                <w:szCs w:val="24"/>
              </w:rPr>
            </w:pPr>
            <w:proofErr w:type="spellStart"/>
            <w:r w:rsidRPr="001344F0">
              <w:rPr>
                <w:rFonts w:ascii="Times New Roman" w:hAnsi="Times New Roman" w:cs="Times New Roman"/>
                <w:sz w:val="20"/>
                <w:szCs w:val="24"/>
              </w:rPr>
              <w:t>ActiveBlockSq</w:t>
            </w:r>
            <w:proofErr w:type="spellEnd"/>
          </w:p>
        </w:tc>
        <w:tc>
          <w:tcPr>
            <w:tcW w:w="638" w:type="pct"/>
            <w:tcBorders>
              <w:top w:val="nil"/>
              <w:left w:val="nil"/>
              <w:bottom w:val="nil"/>
              <w:right w:val="nil"/>
            </w:tcBorders>
          </w:tcPr>
          <w:p w14:paraId="6339399F"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-0.353</w:t>
            </w:r>
          </w:p>
        </w:tc>
        <w:tc>
          <w:tcPr>
            <w:tcW w:w="638" w:type="pct"/>
            <w:tcBorders>
              <w:top w:val="nil"/>
              <w:left w:val="nil"/>
              <w:bottom w:val="nil"/>
              <w:right w:val="nil"/>
            </w:tcBorders>
          </w:tcPr>
          <w:p w14:paraId="25648452"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-0.637</w:t>
            </w:r>
          </w:p>
        </w:tc>
        <w:tc>
          <w:tcPr>
            <w:tcW w:w="639" w:type="pct"/>
            <w:tcBorders>
              <w:top w:val="nil"/>
              <w:left w:val="nil"/>
              <w:bottom w:val="nil"/>
              <w:right w:val="single" w:sz="6" w:space="0" w:color="auto"/>
            </w:tcBorders>
          </w:tcPr>
          <w:p w14:paraId="1C35056C"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-1.831</w:t>
            </w:r>
          </w:p>
        </w:tc>
        <w:tc>
          <w:tcPr>
            <w:tcW w:w="638" w:type="pct"/>
            <w:tcBorders>
              <w:top w:val="nil"/>
              <w:left w:val="single" w:sz="6" w:space="0" w:color="auto"/>
              <w:bottom w:val="nil"/>
              <w:right w:val="nil"/>
            </w:tcBorders>
          </w:tcPr>
          <w:p w14:paraId="391DCC96"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0.163</w:t>
            </w:r>
          </w:p>
        </w:tc>
        <w:tc>
          <w:tcPr>
            <w:tcW w:w="638" w:type="pct"/>
            <w:tcBorders>
              <w:top w:val="nil"/>
              <w:left w:val="nil"/>
              <w:bottom w:val="nil"/>
              <w:right w:val="nil"/>
            </w:tcBorders>
          </w:tcPr>
          <w:p w14:paraId="473E73DA"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-0.573</w:t>
            </w:r>
          </w:p>
        </w:tc>
        <w:tc>
          <w:tcPr>
            <w:tcW w:w="639" w:type="pct"/>
            <w:tcBorders>
              <w:top w:val="nil"/>
              <w:left w:val="nil"/>
              <w:bottom w:val="nil"/>
              <w:right w:val="nil"/>
            </w:tcBorders>
          </w:tcPr>
          <w:p w14:paraId="41EF5879"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-0.392</w:t>
            </w:r>
          </w:p>
        </w:tc>
      </w:tr>
      <w:tr w:rsidR="00E77841" w:rsidRPr="00E77841" w14:paraId="01C563FE" w14:textId="77777777" w:rsidTr="008E3209">
        <w:trPr>
          <w:jc w:val="center"/>
        </w:trPr>
        <w:tc>
          <w:tcPr>
            <w:tcW w:w="1169" w:type="pct"/>
            <w:tcBorders>
              <w:top w:val="nil"/>
              <w:left w:val="nil"/>
              <w:bottom w:val="nil"/>
              <w:right w:val="nil"/>
            </w:tcBorders>
          </w:tcPr>
          <w:p w14:paraId="2F398ECB" w14:textId="77777777" w:rsidR="00E77841" w:rsidRPr="00E77841" w:rsidRDefault="00E77841" w:rsidP="009B09A3">
            <w:pPr>
              <w:widowControl w:val="0"/>
              <w:autoSpaceDE w:val="0"/>
              <w:autoSpaceDN w:val="0"/>
              <w:adjustRightInd w:val="0"/>
              <w:rPr>
                <w:rFonts w:ascii="Times New Roman" w:hAnsi="Times New Roman" w:cs="Times New Roman"/>
                <w:sz w:val="20"/>
                <w:szCs w:val="24"/>
              </w:rPr>
            </w:pPr>
          </w:p>
        </w:tc>
        <w:tc>
          <w:tcPr>
            <w:tcW w:w="638" w:type="pct"/>
            <w:tcBorders>
              <w:top w:val="nil"/>
              <w:left w:val="nil"/>
              <w:bottom w:val="nil"/>
              <w:right w:val="nil"/>
            </w:tcBorders>
          </w:tcPr>
          <w:p w14:paraId="4E27C16F"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(1.665)</w:t>
            </w:r>
          </w:p>
        </w:tc>
        <w:tc>
          <w:tcPr>
            <w:tcW w:w="638" w:type="pct"/>
            <w:tcBorders>
              <w:top w:val="nil"/>
              <w:left w:val="nil"/>
              <w:bottom w:val="nil"/>
              <w:right w:val="nil"/>
            </w:tcBorders>
          </w:tcPr>
          <w:p w14:paraId="6634A84C"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(3.009)</w:t>
            </w:r>
          </w:p>
        </w:tc>
        <w:tc>
          <w:tcPr>
            <w:tcW w:w="639" w:type="pct"/>
            <w:tcBorders>
              <w:top w:val="nil"/>
              <w:left w:val="nil"/>
              <w:bottom w:val="nil"/>
              <w:right w:val="single" w:sz="6" w:space="0" w:color="auto"/>
            </w:tcBorders>
          </w:tcPr>
          <w:p w14:paraId="0D2957CF"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(3.857)</w:t>
            </w:r>
          </w:p>
        </w:tc>
        <w:tc>
          <w:tcPr>
            <w:tcW w:w="638" w:type="pct"/>
            <w:tcBorders>
              <w:top w:val="nil"/>
              <w:left w:val="single" w:sz="6" w:space="0" w:color="auto"/>
              <w:bottom w:val="nil"/>
              <w:right w:val="nil"/>
            </w:tcBorders>
          </w:tcPr>
          <w:p w14:paraId="061A5EC5"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(1.629)</w:t>
            </w:r>
          </w:p>
        </w:tc>
        <w:tc>
          <w:tcPr>
            <w:tcW w:w="638" w:type="pct"/>
            <w:tcBorders>
              <w:top w:val="nil"/>
              <w:left w:val="nil"/>
              <w:bottom w:val="nil"/>
              <w:right w:val="nil"/>
            </w:tcBorders>
          </w:tcPr>
          <w:p w14:paraId="3CB25261"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(2.802)</w:t>
            </w:r>
          </w:p>
        </w:tc>
        <w:tc>
          <w:tcPr>
            <w:tcW w:w="639" w:type="pct"/>
            <w:tcBorders>
              <w:top w:val="nil"/>
              <w:left w:val="nil"/>
              <w:bottom w:val="nil"/>
              <w:right w:val="nil"/>
            </w:tcBorders>
          </w:tcPr>
          <w:p w14:paraId="200F3087"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(3.171)</w:t>
            </w:r>
          </w:p>
        </w:tc>
      </w:tr>
      <w:tr w:rsidR="00E77841" w:rsidRPr="00E77841" w14:paraId="79C3D56D" w14:textId="77777777" w:rsidTr="008E3209">
        <w:trPr>
          <w:jc w:val="center"/>
        </w:trPr>
        <w:tc>
          <w:tcPr>
            <w:tcW w:w="1169" w:type="pct"/>
            <w:tcBorders>
              <w:top w:val="nil"/>
              <w:left w:val="nil"/>
              <w:bottom w:val="nil"/>
              <w:right w:val="nil"/>
            </w:tcBorders>
          </w:tcPr>
          <w:p w14:paraId="0C99BC8D" w14:textId="77777777" w:rsidR="00E77841" w:rsidRPr="00E77841" w:rsidRDefault="00E77841" w:rsidP="009B09A3">
            <w:pPr>
              <w:widowControl w:val="0"/>
              <w:autoSpaceDE w:val="0"/>
              <w:autoSpaceDN w:val="0"/>
              <w:adjustRightInd w:val="0"/>
              <w:rPr>
                <w:rFonts w:ascii="Times New Roman" w:hAnsi="Times New Roman" w:cs="Times New Roman"/>
                <w:sz w:val="20"/>
                <w:szCs w:val="24"/>
              </w:rPr>
            </w:pPr>
            <w:proofErr w:type="spellStart"/>
            <w:r w:rsidRPr="00E77841">
              <w:rPr>
                <w:rFonts w:ascii="Times New Roman" w:hAnsi="Times New Roman" w:cs="Times New Roman"/>
                <w:sz w:val="20"/>
                <w:szCs w:val="24"/>
              </w:rPr>
              <w:t>ActiveCashWedge</w:t>
            </w:r>
            <w:proofErr w:type="spellEnd"/>
          </w:p>
        </w:tc>
        <w:tc>
          <w:tcPr>
            <w:tcW w:w="638" w:type="pct"/>
            <w:tcBorders>
              <w:top w:val="nil"/>
              <w:left w:val="nil"/>
              <w:bottom w:val="nil"/>
              <w:right w:val="nil"/>
            </w:tcBorders>
          </w:tcPr>
          <w:p w14:paraId="00E32653"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-0.576</w:t>
            </w:r>
          </w:p>
        </w:tc>
        <w:tc>
          <w:tcPr>
            <w:tcW w:w="638" w:type="pct"/>
            <w:tcBorders>
              <w:top w:val="nil"/>
              <w:left w:val="nil"/>
              <w:bottom w:val="nil"/>
              <w:right w:val="nil"/>
            </w:tcBorders>
          </w:tcPr>
          <w:p w14:paraId="2541F1FF"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-0.536</w:t>
            </w:r>
          </w:p>
        </w:tc>
        <w:tc>
          <w:tcPr>
            <w:tcW w:w="639" w:type="pct"/>
            <w:tcBorders>
              <w:top w:val="nil"/>
              <w:left w:val="nil"/>
              <w:bottom w:val="nil"/>
              <w:right w:val="single" w:sz="6" w:space="0" w:color="auto"/>
            </w:tcBorders>
          </w:tcPr>
          <w:p w14:paraId="6DED8287"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-0.912</w:t>
            </w:r>
          </w:p>
        </w:tc>
        <w:tc>
          <w:tcPr>
            <w:tcW w:w="638" w:type="pct"/>
            <w:tcBorders>
              <w:top w:val="nil"/>
              <w:left w:val="single" w:sz="6" w:space="0" w:color="auto"/>
              <w:bottom w:val="nil"/>
              <w:right w:val="nil"/>
            </w:tcBorders>
          </w:tcPr>
          <w:p w14:paraId="4BB57103"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-0.568</w:t>
            </w:r>
          </w:p>
        </w:tc>
        <w:tc>
          <w:tcPr>
            <w:tcW w:w="638" w:type="pct"/>
            <w:tcBorders>
              <w:top w:val="nil"/>
              <w:left w:val="nil"/>
              <w:bottom w:val="nil"/>
              <w:right w:val="nil"/>
            </w:tcBorders>
          </w:tcPr>
          <w:p w14:paraId="0ABD5AD5"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-0.403</w:t>
            </w:r>
          </w:p>
        </w:tc>
        <w:tc>
          <w:tcPr>
            <w:tcW w:w="639" w:type="pct"/>
            <w:tcBorders>
              <w:top w:val="nil"/>
              <w:left w:val="nil"/>
              <w:bottom w:val="nil"/>
              <w:right w:val="nil"/>
            </w:tcBorders>
          </w:tcPr>
          <w:p w14:paraId="1D524F95"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-0.400</w:t>
            </w:r>
          </w:p>
        </w:tc>
      </w:tr>
      <w:tr w:rsidR="00E77841" w:rsidRPr="00E77841" w14:paraId="5E624387" w14:textId="77777777" w:rsidTr="008E3209">
        <w:trPr>
          <w:jc w:val="center"/>
        </w:trPr>
        <w:tc>
          <w:tcPr>
            <w:tcW w:w="1169" w:type="pct"/>
            <w:tcBorders>
              <w:top w:val="nil"/>
              <w:left w:val="nil"/>
              <w:bottom w:val="nil"/>
              <w:right w:val="nil"/>
            </w:tcBorders>
          </w:tcPr>
          <w:p w14:paraId="68DFAFAE" w14:textId="77777777" w:rsidR="00E77841" w:rsidRPr="00E77841" w:rsidRDefault="00E77841" w:rsidP="009B09A3">
            <w:pPr>
              <w:widowControl w:val="0"/>
              <w:autoSpaceDE w:val="0"/>
              <w:autoSpaceDN w:val="0"/>
              <w:adjustRightInd w:val="0"/>
              <w:rPr>
                <w:rFonts w:ascii="Times New Roman" w:hAnsi="Times New Roman" w:cs="Times New Roman"/>
                <w:sz w:val="20"/>
                <w:szCs w:val="24"/>
              </w:rPr>
            </w:pPr>
          </w:p>
        </w:tc>
        <w:tc>
          <w:tcPr>
            <w:tcW w:w="638" w:type="pct"/>
            <w:tcBorders>
              <w:top w:val="nil"/>
              <w:left w:val="nil"/>
              <w:bottom w:val="nil"/>
              <w:right w:val="nil"/>
            </w:tcBorders>
          </w:tcPr>
          <w:p w14:paraId="6863946E"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(1.555)</w:t>
            </w:r>
          </w:p>
        </w:tc>
        <w:tc>
          <w:tcPr>
            <w:tcW w:w="638" w:type="pct"/>
            <w:tcBorders>
              <w:top w:val="nil"/>
              <w:left w:val="nil"/>
              <w:bottom w:val="nil"/>
              <w:right w:val="nil"/>
            </w:tcBorders>
          </w:tcPr>
          <w:p w14:paraId="4F422138"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(1.509)</w:t>
            </w:r>
          </w:p>
        </w:tc>
        <w:tc>
          <w:tcPr>
            <w:tcW w:w="639" w:type="pct"/>
            <w:tcBorders>
              <w:top w:val="nil"/>
              <w:left w:val="nil"/>
              <w:bottom w:val="nil"/>
              <w:right w:val="single" w:sz="6" w:space="0" w:color="auto"/>
            </w:tcBorders>
          </w:tcPr>
          <w:p w14:paraId="37013258"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(1.262)</w:t>
            </w:r>
          </w:p>
        </w:tc>
        <w:tc>
          <w:tcPr>
            <w:tcW w:w="638" w:type="pct"/>
            <w:tcBorders>
              <w:top w:val="nil"/>
              <w:left w:val="single" w:sz="6" w:space="0" w:color="auto"/>
              <w:bottom w:val="nil"/>
              <w:right w:val="nil"/>
            </w:tcBorders>
          </w:tcPr>
          <w:p w14:paraId="43F51B02"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(1.486)</w:t>
            </w:r>
          </w:p>
        </w:tc>
        <w:tc>
          <w:tcPr>
            <w:tcW w:w="638" w:type="pct"/>
            <w:tcBorders>
              <w:top w:val="nil"/>
              <w:left w:val="nil"/>
              <w:bottom w:val="nil"/>
              <w:right w:val="nil"/>
            </w:tcBorders>
          </w:tcPr>
          <w:p w14:paraId="2D19E8AE"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(1.452)</w:t>
            </w:r>
          </w:p>
        </w:tc>
        <w:tc>
          <w:tcPr>
            <w:tcW w:w="639" w:type="pct"/>
            <w:tcBorders>
              <w:top w:val="nil"/>
              <w:left w:val="nil"/>
              <w:bottom w:val="nil"/>
              <w:right w:val="nil"/>
            </w:tcBorders>
          </w:tcPr>
          <w:p w14:paraId="56002397"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(1.056)</w:t>
            </w:r>
          </w:p>
        </w:tc>
      </w:tr>
      <w:tr w:rsidR="00E77841" w:rsidRPr="00E77841" w14:paraId="5BE44A68" w14:textId="77777777" w:rsidTr="008E3209">
        <w:trPr>
          <w:jc w:val="center"/>
        </w:trPr>
        <w:tc>
          <w:tcPr>
            <w:tcW w:w="1169" w:type="pct"/>
            <w:tcBorders>
              <w:top w:val="nil"/>
              <w:left w:val="nil"/>
              <w:bottom w:val="nil"/>
              <w:right w:val="nil"/>
            </w:tcBorders>
          </w:tcPr>
          <w:p w14:paraId="7AC56C8E" w14:textId="77777777" w:rsidR="00E77841" w:rsidRPr="00E77841" w:rsidRDefault="00E77841" w:rsidP="009B09A3">
            <w:pPr>
              <w:widowControl w:val="0"/>
              <w:autoSpaceDE w:val="0"/>
              <w:autoSpaceDN w:val="0"/>
              <w:adjustRightInd w:val="0"/>
              <w:rPr>
                <w:rFonts w:ascii="Times New Roman" w:hAnsi="Times New Roman" w:cs="Times New Roman"/>
                <w:sz w:val="20"/>
                <w:szCs w:val="24"/>
              </w:rPr>
            </w:pPr>
            <w:proofErr w:type="spellStart"/>
            <w:r w:rsidRPr="00E77841">
              <w:rPr>
                <w:rFonts w:ascii="Times New Roman" w:hAnsi="Times New Roman" w:cs="Times New Roman"/>
                <w:sz w:val="20"/>
                <w:szCs w:val="24"/>
              </w:rPr>
              <w:t>DirFamily</w:t>
            </w:r>
            <w:proofErr w:type="spellEnd"/>
          </w:p>
        </w:tc>
        <w:tc>
          <w:tcPr>
            <w:tcW w:w="638" w:type="pct"/>
            <w:tcBorders>
              <w:top w:val="nil"/>
              <w:left w:val="nil"/>
              <w:bottom w:val="nil"/>
              <w:right w:val="nil"/>
            </w:tcBorders>
          </w:tcPr>
          <w:p w14:paraId="02E26D9D"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-0.044</w:t>
            </w:r>
          </w:p>
        </w:tc>
        <w:tc>
          <w:tcPr>
            <w:tcW w:w="638" w:type="pct"/>
            <w:tcBorders>
              <w:top w:val="nil"/>
              <w:left w:val="nil"/>
              <w:bottom w:val="nil"/>
              <w:right w:val="nil"/>
            </w:tcBorders>
          </w:tcPr>
          <w:p w14:paraId="4393D469"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-0.048</w:t>
            </w:r>
          </w:p>
        </w:tc>
        <w:tc>
          <w:tcPr>
            <w:tcW w:w="639" w:type="pct"/>
            <w:tcBorders>
              <w:top w:val="nil"/>
              <w:left w:val="nil"/>
              <w:bottom w:val="nil"/>
              <w:right w:val="single" w:sz="6" w:space="0" w:color="auto"/>
            </w:tcBorders>
          </w:tcPr>
          <w:p w14:paraId="194898B7"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-0.047</w:t>
            </w:r>
          </w:p>
        </w:tc>
        <w:tc>
          <w:tcPr>
            <w:tcW w:w="638" w:type="pct"/>
            <w:tcBorders>
              <w:top w:val="nil"/>
              <w:left w:val="single" w:sz="6" w:space="0" w:color="auto"/>
              <w:bottom w:val="nil"/>
              <w:right w:val="nil"/>
            </w:tcBorders>
          </w:tcPr>
          <w:p w14:paraId="1117636C"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-0.031</w:t>
            </w:r>
          </w:p>
        </w:tc>
        <w:tc>
          <w:tcPr>
            <w:tcW w:w="638" w:type="pct"/>
            <w:tcBorders>
              <w:top w:val="nil"/>
              <w:left w:val="nil"/>
              <w:bottom w:val="nil"/>
              <w:right w:val="nil"/>
            </w:tcBorders>
          </w:tcPr>
          <w:p w14:paraId="494DEFE3"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-0.028</w:t>
            </w:r>
          </w:p>
        </w:tc>
        <w:tc>
          <w:tcPr>
            <w:tcW w:w="639" w:type="pct"/>
            <w:tcBorders>
              <w:top w:val="nil"/>
              <w:left w:val="nil"/>
              <w:bottom w:val="nil"/>
              <w:right w:val="nil"/>
            </w:tcBorders>
          </w:tcPr>
          <w:p w14:paraId="4DF8C682"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-0.036</w:t>
            </w:r>
          </w:p>
        </w:tc>
      </w:tr>
      <w:tr w:rsidR="00E77841" w:rsidRPr="00E77841" w14:paraId="04A8424F" w14:textId="77777777" w:rsidTr="008E3209">
        <w:trPr>
          <w:jc w:val="center"/>
        </w:trPr>
        <w:tc>
          <w:tcPr>
            <w:tcW w:w="1169" w:type="pct"/>
            <w:tcBorders>
              <w:top w:val="nil"/>
              <w:left w:val="nil"/>
              <w:bottom w:val="nil"/>
              <w:right w:val="nil"/>
            </w:tcBorders>
          </w:tcPr>
          <w:p w14:paraId="6007682C" w14:textId="77777777" w:rsidR="00E77841" w:rsidRPr="00E77841" w:rsidRDefault="00E77841" w:rsidP="009B09A3">
            <w:pPr>
              <w:widowControl w:val="0"/>
              <w:autoSpaceDE w:val="0"/>
              <w:autoSpaceDN w:val="0"/>
              <w:adjustRightInd w:val="0"/>
              <w:rPr>
                <w:rFonts w:ascii="Times New Roman" w:hAnsi="Times New Roman" w:cs="Times New Roman"/>
                <w:sz w:val="20"/>
                <w:szCs w:val="24"/>
              </w:rPr>
            </w:pPr>
          </w:p>
        </w:tc>
        <w:tc>
          <w:tcPr>
            <w:tcW w:w="638" w:type="pct"/>
            <w:tcBorders>
              <w:top w:val="nil"/>
              <w:left w:val="nil"/>
              <w:bottom w:val="nil"/>
              <w:right w:val="nil"/>
            </w:tcBorders>
          </w:tcPr>
          <w:p w14:paraId="17344B82"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(0.076)</w:t>
            </w:r>
          </w:p>
        </w:tc>
        <w:tc>
          <w:tcPr>
            <w:tcW w:w="638" w:type="pct"/>
            <w:tcBorders>
              <w:top w:val="nil"/>
              <w:left w:val="nil"/>
              <w:bottom w:val="nil"/>
              <w:right w:val="nil"/>
            </w:tcBorders>
          </w:tcPr>
          <w:p w14:paraId="4C4186CE"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(0.099)</w:t>
            </w:r>
          </w:p>
        </w:tc>
        <w:tc>
          <w:tcPr>
            <w:tcW w:w="639" w:type="pct"/>
            <w:tcBorders>
              <w:top w:val="nil"/>
              <w:left w:val="nil"/>
              <w:bottom w:val="nil"/>
              <w:right w:val="single" w:sz="6" w:space="0" w:color="auto"/>
            </w:tcBorders>
          </w:tcPr>
          <w:p w14:paraId="08DD58BE"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(0.068)</w:t>
            </w:r>
          </w:p>
        </w:tc>
        <w:tc>
          <w:tcPr>
            <w:tcW w:w="638" w:type="pct"/>
            <w:tcBorders>
              <w:top w:val="nil"/>
              <w:left w:val="single" w:sz="6" w:space="0" w:color="auto"/>
              <w:bottom w:val="nil"/>
              <w:right w:val="nil"/>
            </w:tcBorders>
          </w:tcPr>
          <w:p w14:paraId="2EA22493"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(0.074)</w:t>
            </w:r>
          </w:p>
        </w:tc>
        <w:tc>
          <w:tcPr>
            <w:tcW w:w="638" w:type="pct"/>
            <w:tcBorders>
              <w:top w:val="nil"/>
              <w:left w:val="nil"/>
              <w:bottom w:val="nil"/>
              <w:right w:val="nil"/>
            </w:tcBorders>
          </w:tcPr>
          <w:p w14:paraId="1D61F40C"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(0.086)</w:t>
            </w:r>
          </w:p>
        </w:tc>
        <w:tc>
          <w:tcPr>
            <w:tcW w:w="639" w:type="pct"/>
            <w:tcBorders>
              <w:top w:val="nil"/>
              <w:left w:val="nil"/>
              <w:bottom w:val="nil"/>
              <w:right w:val="nil"/>
            </w:tcBorders>
          </w:tcPr>
          <w:p w14:paraId="51DC1F44"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(0.069)</w:t>
            </w:r>
          </w:p>
        </w:tc>
      </w:tr>
      <w:tr w:rsidR="00E77841" w:rsidRPr="00E77841" w14:paraId="61352B2B" w14:textId="77777777" w:rsidTr="008E3209">
        <w:trPr>
          <w:jc w:val="center"/>
        </w:trPr>
        <w:tc>
          <w:tcPr>
            <w:tcW w:w="1169" w:type="pct"/>
            <w:tcBorders>
              <w:top w:val="nil"/>
              <w:left w:val="nil"/>
              <w:bottom w:val="nil"/>
              <w:right w:val="nil"/>
            </w:tcBorders>
          </w:tcPr>
          <w:p w14:paraId="46047291" w14:textId="57FB1AFA" w:rsidR="00E77841" w:rsidRPr="00E77841" w:rsidRDefault="00E77841" w:rsidP="009B09A3">
            <w:pPr>
              <w:widowControl w:val="0"/>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ROA</w:t>
            </w:r>
          </w:p>
        </w:tc>
        <w:tc>
          <w:tcPr>
            <w:tcW w:w="638" w:type="pct"/>
            <w:tcBorders>
              <w:top w:val="nil"/>
              <w:left w:val="nil"/>
              <w:bottom w:val="nil"/>
              <w:right w:val="nil"/>
            </w:tcBorders>
          </w:tcPr>
          <w:p w14:paraId="33AC026A"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4.224***</w:t>
            </w:r>
          </w:p>
        </w:tc>
        <w:tc>
          <w:tcPr>
            <w:tcW w:w="638" w:type="pct"/>
            <w:tcBorders>
              <w:top w:val="nil"/>
              <w:left w:val="nil"/>
              <w:bottom w:val="nil"/>
              <w:right w:val="nil"/>
            </w:tcBorders>
          </w:tcPr>
          <w:p w14:paraId="68E558E6"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4.247***</w:t>
            </w:r>
          </w:p>
        </w:tc>
        <w:tc>
          <w:tcPr>
            <w:tcW w:w="639" w:type="pct"/>
            <w:tcBorders>
              <w:top w:val="nil"/>
              <w:left w:val="nil"/>
              <w:bottom w:val="nil"/>
              <w:right w:val="single" w:sz="6" w:space="0" w:color="auto"/>
            </w:tcBorders>
          </w:tcPr>
          <w:p w14:paraId="419058D4"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4.214***</w:t>
            </w:r>
          </w:p>
        </w:tc>
        <w:tc>
          <w:tcPr>
            <w:tcW w:w="638" w:type="pct"/>
            <w:tcBorders>
              <w:top w:val="nil"/>
              <w:left w:val="single" w:sz="6" w:space="0" w:color="auto"/>
              <w:bottom w:val="nil"/>
              <w:right w:val="nil"/>
            </w:tcBorders>
          </w:tcPr>
          <w:p w14:paraId="59AC9EB9"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4.293***</w:t>
            </w:r>
          </w:p>
        </w:tc>
        <w:tc>
          <w:tcPr>
            <w:tcW w:w="638" w:type="pct"/>
            <w:tcBorders>
              <w:top w:val="nil"/>
              <w:left w:val="nil"/>
              <w:bottom w:val="nil"/>
              <w:right w:val="nil"/>
            </w:tcBorders>
          </w:tcPr>
          <w:p w14:paraId="4E51F3A7"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4.244***</w:t>
            </w:r>
          </w:p>
        </w:tc>
        <w:tc>
          <w:tcPr>
            <w:tcW w:w="639" w:type="pct"/>
            <w:tcBorders>
              <w:top w:val="nil"/>
              <w:left w:val="nil"/>
              <w:bottom w:val="nil"/>
              <w:right w:val="nil"/>
            </w:tcBorders>
          </w:tcPr>
          <w:p w14:paraId="38FD1C58"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4.313***</w:t>
            </w:r>
          </w:p>
        </w:tc>
      </w:tr>
      <w:tr w:rsidR="00E77841" w:rsidRPr="00E77841" w14:paraId="3857CC51" w14:textId="77777777" w:rsidTr="008E3209">
        <w:trPr>
          <w:jc w:val="center"/>
        </w:trPr>
        <w:tc>
          <w:tcPr>
            <w:tcW w:w="1169" w:type="pct"/>
            <w:tcBorders>
              <w:top w:val="nil"/>
              <w:left w:val="nil"/>
              <w:bottom w:val="nil"/>
              <w:right w:val="nil"/>
            </w:tcBorders>
          </w:tcPr>
          <w:p w14:paraId="4FC5EA3C" w14:textId="77777777" w:rsidR="00E77841" w:rsidRPr="00E77841" w:rsidRDefault="00E77841" w:rsidP="009B09A3">
            <w:pPr>
              <w:widowControl w:val="0"/>
              <w:autoSpaceDE w:val="0"/>
              <w:autoSpaceDN w:val="0"/>
              <w:adjustRightInd w:val="0"/>
              <w:rPr>
                <w:rFonts w:ascii="Times New Roman" w:hAnsi="Times New Roman" w:cs="Times New Roman"/>
                <w:sz w:val="20"/>
                <w:szCs w:val="24"/>
              </w:rPr>
            </w:pPr>
          </w:p>
        </w:tc>
        <w:tc>
          <w:tcPr>
            <w:tcW w:w="638" w:type="pct"/>
            <w:tcBorders>
              <w:top w:val="nil"/>
              <w:left w:val="nil"/>
              <w:bottom w:val="nil"/>
              <w:right w:val="nil"/>
            </w:tcBorders>
          </w:tcPr>
          <w:p w14:paraId="76B7E2ED"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(0.706)</w:t>
            </w:r>
          </w:p>
        </w:tc>
        <w:tc>
          <w:tcPr>
            <w:tcW w:w="638" w:type="pct"/>
            <w:tcBorders>
              <w:top w:val="nil"/>
              <w:left w:val="nil"/>
              <w:bottom w:val="nil"/>
              <w:right w:val="nil"/>
            </w:tcBorders>
          </w:tcPr>
          <w:p w14:paraId="078983DB"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(0.718)</w:t>
            </w:r>
          </w:p>
        </w:tc>
        <w:tc>
          <w:tcPr>
            <w:tcW w:w="639" w:type="pct"/>
            <w:tcBorders>
              <w:top w:val="nil"/>
              <w:left w:val="nil"/>
              <w:bottom w:val="nil"/>
              <w:right w:val="single" w:sz="6" w:space="0" w:color="auto"/>
            </w:tcBorders>
          </w:tcPr>
          <w:p w14:paraId="41940F4C"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(0.732)</w:t>
            </w:r>
          </w:p>
        </w:tc>
        <w:tc>
          <w:tcPr>
            <w:tcW w:w="638" w:type="pct"/>
            <w:tcBorders>
              <w:top w:val="nil"/>
              <w:left w:val="single" w:sz="6" w:space="0" w:color="auto"/>
              <w:bottom w:val="nil"/>
              <w:right w:val="nil"/>
            </w:tcBorders>
          </w:tcPr>
          <w:p w14:paraId="681BACED"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(0.710)</w:t>
            </w:r>
          </w:p>
        </w:tc>
        <w:tc>
          <w:tcPr>
            <w:tcW w:w="638" w:type="pct"/>
            <w:tcBorders>
              <w:top w:val="nil"/>
              <w:left w:val="nil"/>
              <w:bottom w:val="nil"/>
              <w:right w:val="nil"/>
            </w:tcBorders>
          </w:tcPr>
          <w:p w14:paraId="08C5E388"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(0.733)</w:t>
            </w:r>
          </w:p>
        </w:tc>
        <w:tc>
          <w:tcPr>
            <w:tcW w:w="639" w:type="pct"/>
            <w:tcBorders>
              <w:top w:val="nil"/>
              <w:left w:val="nil"/>
              <w:bottom w:val="nil"/>
              <w:right w:val="nil"/>
            </w:tcBorders>
          </w:tcPr>
          <w:p w14:paraId="2AB68D4F"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(0.746)</w:t>
            </w:r>
          </w:p>
        </w:tc>
      </w:tr>
      <w:tr w:rsidR="00E77841" w:rsidRPr="00E77841" w14:paraId="53D4FF0F" w14:textId="77777777" w:rsidTr="008E3209">
        <w:trPr>
          <w:jc w:val="center"/>
        </w:trPr>
        <w:tc>
          <w:tcPr>
            <w:tcW w:w="1169" w:type="pct"/>
            <w:tcBorders>
              <w:top w:val="nil"/>
              <w:left w:val="nil"/>
              <w:bottom w:val="nil"/>
              <w:right w:val="nil"/>
            </w:tcBorders>
          </w:tcPr>
          <w:p w14:paraId="1B46173F" w14:textId="77777777" w:rsidR="00E77841" w:rsidRPr="00E77841" w:rsidRDefault="00E77841" w:rsidP="009B09A3">
            <w:pPr>
              <w:widowControl w:val="0"/>
              <w:autoSpaceDE w:val="0"/>
              <w:autoSpaceDN w:val="0"/>
              <w:adjustRightInd w:val="0"/>
              <w:rPr>
                <w:rFonts w:ascii="Times New Roman" w:hAnsi="Times New Roman" w:cs="Times New Roman"/>
                <w:sz w:val="20"/>
                <w:szCs w:val="24"/>
              </w:rPr>
            </w:pPr>
            <w:proofErr w:type="spellStart"/>
            <w:r w:rsidRPr="00E77841">
              <w:rPr>
                <w:rFonts w:ascii="Times New Roman" w:hAnsi="Times New Roman" w:cs="Times New Roman"/>
                <w:sz w:val="20"/>
                <w:szCs w:val="24"/>
              </w:rPr>
              <w:t>EstDate</w:t>
            </w:r>
            <w:proofErr w:type="spellEnd"/>
          </w:p>
        </w:tc>
        <w:tc>
          <w:tcPr>
            <w:tcW w:w="638" w:type="pct"/>
            <w:tcBorders>
              <w:top w:val="nil"/>
              <w:left w:val="nil"/>
              <w:bottom w:val="nil"/>
              <w:right w:val="nil"/>
            </w:tcBorders>
          </w:tcPr>
          <w:p w14:paraId="6AF67ADD"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-0.001</w:t>
            </w:r>
          </w:p>
        </w:tc>
        <w:tc>
          <w:tcPr>
            <w:tcW w:w="638" w:type="pct"/>
            <w:tcBorders>
              <w:top w:val="nil"/>
              <w:left w:val="nil"/>
              <w:bottom w:val="nil"/>
              <w:right w:val="nil"/>
            </w:tcBorders>
          </w:tcPr>
          <w:p w14:paraId="0CD46C38"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-0.001</w:t>
            </w:r>
          </w:p>
        </w:tc>
        <w:tc>
          <w:tcPr>
            <w:tcW w:w="639" w:type="pct"/>
            <w:tcBorders>
              <w:top w:val="nil"/>
              <w:left w:val="nil"/>
              <w:bottom w:val="nil"/>
              <w:right w:val="single" w:sz="6" w:space="0" w:color="auto"/>
            </w:tcBorders>
          </w:tcPr>
          <w:p w14:paraId="4C486474"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-0.001</w:t>
            </w:r>
          </w:p>
        </w:tc>
        <w:tc>
          <w:tcPr>
            <w:tcW w:w="638" w:type="pct"/>
            <w:tcBorders>
              <w:top w:val="nil"/>
              <w:left w:val="single" w:sz="6" w:space="0" w:color="auto"/>
              <w:bottom w:val="nil"/>
              <w:right w:val="nil"/>
            </w:tcBorders>
          </w:tcPr>
          <w:p w14:paraId="10429441"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-0.001</w:t>
            </w:r>
          </w:p>
        </w:tc>
        <w:tc>
          <w:tcPr>
            <w:tcW w:w="638" w:type="pct"/>
            <w:tcBorders>
              <w:top w:val="nil"/>
              <w:left w:val="nil"/>
              <w:bottom w:val="nil"/>
              <w:right w:val="nil"/>
            </w:tcBorders>
          </w:tcPr>
          <w:p w14:paraId="653E3A7B"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-0.001</w:t>
            </w:r>
          </w:p>
        </w:tc>
        <w:tc>
          <w:tcPr>
            <w:tcW w:w="639" w:type="pct"/>
            <w:tcBorders>
              <w:top w:val="nil"/>
              <w:left w:val="nil"/>
              <w:bottom w:val="nil"/>
              <w:right w:val="nil"/>
            </w:tcBorders>
          </w:tcPr>
          <w:p w14:paraId="1F567BB8"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-0.001</w:t>
            </w:r>
          </w:p>
        </w:tc>
      </w:tr>
      <w:tr w:rsidR="00E77841" w:rsidRPr="00E77841" w14:paraId="61291CF6" w14:textId="77777777" w:rsidTr="008E3209">
        <w:trPr>
          <w:jc w:val="center"/>
        </w:trPr>
        <w:tc>
          <w:tcPr>
            <w:tcW w:w="1169" w:type="pct"/>
            <w:tcBorders>
              <w:top w:val="nil"/>
              <w:left w:val="nil"/>
              <w:bottom w:val="nil"/>
              <w:right w:val="nil"/>
            </w:tcBorders>
          </w:tcPr>
          <w:p w14:paraId="2D49CBA6" w14:textId="77777777" w:rsidR="00E77841" w:rsidRPr="00E77841" w:rsidRDefault="00E77841" w:rsidP="009B09A3">
            <w:pPr>
              <w:widowControl w:val="0"/>
              <w:autoSpaceDE w:val="0"/>
              <w:autoSpaceDN w:val="0"/>
              <w:adjustRightInd w:val="0"/>
              <w:rPr>
                <w:rFonts w:ascii="Times New Roman" w:hAnsi="Times New Roman" w:cs="Times New Roman"/>
                <w:sz w:val="20"/>
                <w:szCs w:val="24"/>
              </w:rPr>
            </w:pPr>
          </w:p>
        </w:tc>
        <w:tc>
          <w:tcPr>
            <w:tcW w:w="638" w:type="pct"/>
            <w:tcBorders>
              <w:top w:val="nil"/>
              <w:left w:val="nil"/>
              <w:bottom w:val="nil"/>
              <w:right w:val="nil"/>
            </w:tcBorders>
          </w:tcPr>
          <w:p w14:paraId="03167A0C"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(0.001)</w:t>
            </w:r>
          </w:p>
        </w:tc>
        <w:tc>
          <w:tcPr>
            <w:tcW w:w="638" w:type="pct"/>
            <w:tcBorders>
              <w:top w:val="nil"/>
              <w:left w:val="nil"/>
              <w:bottom w:val="nil"/>
              <w:right w:val="nil"/>
            </w:tcBorders>
          </w:tcPr>
          <w:p w14:paraId="1054D091"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(0.001)</w:t>
            </w:r>
          </w:p>
        </w:tc>
        <w:tc>
          <w:tcPr>
            <w:tcW w:w="639" w:type="pct"/>
            <w:tcBorders>
              <w:top w:val="nil"/>
              <w:left w:val="nil"/>
              <w:bottom w:val="nil"/>
              <w:right w:val="single" w:sz="6" w:space="0" w:color="auto"/>
            </w:tcBorders>
          </w:tcPr>
          <w:p w14:paraId="20D1F29E"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(0.001)</w:t>
            </w:r>
          </w:p>
        </w:tc>
        <w:tc>
          <w:tcPr>
            <w:tcW w:w="638" w:type="pct"/>
            <w:tcBorders>
              <w:top w:val="nil"/>
              <w:left w:val="single" w:sz="6" w:space="0" w:color="auto"/>
              <w:bottom w:val="nil"/>
              <w:right w:val="nil"/>
            </w:tcBorders>
          </w:tcPr>
          <w:p w14:paraId="31555AC3"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(0.001)</w:t>
            </w:r>
          </w:p>
        </w:tc>
        <w:tc>
          <w:tcPr>
            <w:tcW w:w="638" w:type="pct"/>
            <w:tcBorders>
              <w:top w:val="nil"/>
              <w:left w:val="nil"/>
              <w:bottom w:val="nil"/>
              <w:right w:val="nil"/>
            </w:tcBorders>
          </w:tcPr>
          <w:p w14:paraId="3287A9A2"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(0.001)</w:t>
            </w:r>
          </w:p>
        </w:tc>
        <w:tc>
          <w:tcPr>
            <w:tcW w:w="639" w:type="pct"/>
            <w:tcBorders>
              <w:top w:val="nil"/>
              <w:left w:val="nil"/>
              <w:bottom w:val="nil"/>
              <w:right w:val="nil"/>
            </w:tcBorders>
          </w:tcPr>
          <w:p w14:paraId="19836792"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(0.001)</w:t>
            </w:r>
          </w:p>
        </w:tc>
      </w:tr>
      <w:tr w:rsidR="00E77841" w:rsidRPr="00E77841" w14:paraId="4E0C5471" w14:textId="77777777" w:rsidTr="008E3209">
        <w:trPr>
          <w:jc w:val="center"/>
        </w:trPr>
        <w:tc>
          <w:tcPr>
            <w:tcW w:w="1169" w:type="pct"/>
            <w:tcBorders>
              <w:top w:val="nil"/>
              <w:left w:val="nil"/>
              <w:bottom w:val="nil"/>
              <w:right w:val="nil"/>
            </w:tcBorders>
          </w:tcPr>
          <w:p w14:paraId="0148E9CE" w14:textId="77777777" w:rsidR="00E77841" w:rsidRPr="00E77841" w:rsidRDefault="00E77841" w:rsidP="009B09A3">
            <w:pPr>
              <w:widowControl w:val="0"/>
              <w:autoSpaceDE w:val="0"/>
              <w:autoSpaceDN w:val="0"/>
              <w:adjustRightInd w:val="0"/>
              <w:rPr>
                <w:rFonts w:ascii="Times New Roman" w:hAnsi="Times New Roman" w:cs="Times New Roman"/>
                <w:sz w:val="20"/>
                <w:szCs w:val="24"/>
              </w:rPr>
            </w:pPr>
            <w:r w:rsidRPr="00E77841">
              <w:rPr>
                <w:rFonts w:ascii="Times New Roman" w:hAnsi="Times New Roman" w:cs="Times New Roman"/>
                <w:sz w:val="20"/>
                <w:szCs w:val="24"/>
              </w:rPr>
              <w:t>Size</w:t>
            </w:r>
          </w:p>
        </w:tc>
        <w:tc>
          <w:tcPr>
            <w:tcW w:w="638" w:type="pct"/>
            <w:tcBorders>
              <w:top w:val="nil"/>
              <w:left w:val="nil"/>
              <w:bottom w:val="nil"/>
              <w:right w:val="nil"/>
            </w:tcBorders>
          </w:tcPr>
          <w:p w14:paraId="653E2E8B"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-0.033</w:t>
            </w:r>
          </w:p>
        </w:tc>
        <w:tc>
          <w:tcPr>
            <w:tcW w:w="638" w:type="pct"/>
            <w:tcBorders>
              <w:top w:val="nil"/>
              <w:left w:val="nil"/>
              <w:bottom w:val="nil"/>
              <w:right w:val="nil"/>
            </w:tcBorders>
          </w:tcPr>
          <w:p w14:paraId="1D8C78DE"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-0.033</w:t>
            </w:r>
          </w:p>
        </w:tc>
        <w:tc>
          <w:tcPr>
            <w:tcW w:w="639" w:type="pct"/>
            <w:tcBorders>
              <w:top w:val="nil"/>
              <w:left w:val="nil"/>
              <w:bottom w:val="nil"/>
              <w:right w:val="single" w:sz="6" w:space="0" w:color="auto"/>
            </w:tcBorders>
          </w:tcPr>
          <w:p w14:paraId="3105B0F2"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-0.030</w:t>
            </w:r>
          </w:p>
        </w:tc>
        <w:tc>
          <w:tcPr>
            <w:tcW w:w="638" w:type="pct"/>
            <w:tcBorders>
              <w:top w:val="nil"/>
              <w:left w:val="single" w:sz="6" w:space="0" w:color="auto"/>
              <w:bottom w:val="nil"/>
              <w:right w:val="nil"/>
            </w:tcBorders>
          </w:tcPr>
          <w:p w14:paraId="4261F4A7"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-0.037</w:t>
            </w:r>
          </w:p>
        </w:tc>
        <w:tc>
          <w:tcPr>
            <w:tcW w:w="638" w:type="pct"/>
            <w:tcBorders>
              <w:top w:val="nil"/>
              <w:left w:val="nil"/>
              <w:bottom w:val="nil"/>
              <w:right w:val="nil"/>
            </w:tcBorders>
          </w:tcPr>
          <w:p w14:paraId="42F3821C"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-0.033</w:t>
            </w:r>
          </w:p>
        </w:tc>
        <w:tc>
          <w:tcPr>
            <w:tcW w:w="639" w:type="pct"/>
            <w:tcBorders>
              <w:top w:val="nil"/>
              <w:left w:val="nil"/>
              <w:bottom w:val="nil"/>
              <w:right w:val="nil"/>
            </w:tcBorders>
          </w:tcPr>
          <w:p w14:paraId="12D3450A"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-0.033</w:t>
            </w:r>
          </w:p>
        </w:tc>
      </w:tr>
      <w:tr w:rsidR="00E77841" w:rsidRPr="00E77841" w14:paraId="2E10E9F6" w14:textId="77777777" w:rsidTr="008E3209">
        <w:trPr>
          <w:jc w:val="center"/>
        </w:trPr>
        <w:tc>
          <w:tcPr>
            <w:tcW w:w="1169" w:type="pct"/>
            <w:tcBorders>
              <w:top w:val="nil"/>
              <w:left w:val="nil"/>
              <w:bottom w:val="nil"/>
              <w:right w:val="nil"/>
            </w:tcBorders>
          </w:tcPr>
          <w:p w14:paraId="4A105BA6" w14:textId="77777777" w:rsidR="00E77841" w:rsidRPr="00E77841" w:rsidRDefault="00E77841" w:rsidP="009B09A3">
            <w:pPr>
              <w:widowControl w:val="0"/>
              <w:autoSpaceDE w:val="0"/>
              <w:autoSpaceDN w:val="0"/>
              <w:adjustRightInd w:val="0"/>
              <w:rPr>
                <w:rFonts w:ascii="Times New Roman" w:hAnsi="Times New Roman" w:cs="Times New Roman"/>
                <w:sz w:val="20"/>
                <w:szCs w:val="24"/>
              </w:rPr>
            </w:pPr>
          </w:p>
        </w:tc>
        <w:tc>
          <w:tcPr>
            <w:tcW w:w="638" w:type="pct"/>
            <w:tcBorders>
              <w:top w:val="nil"/>
              <w:left w:val="nil"/>
              <w:bottom w:val="nil"/>
              <w:right w:val="nil"/>
            </w:tcBorders>
          </w:tcPr>
          <w:p w14:paraId="7098DF05"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(0.028)</w:t>
            </w:r>
          </w:p>
        </w:tc>
        <w:tc>
          <w:tcPr>
            <w:tcW w:w="638" w:type="pct"/>
            <w:tcBorders>
              <w:top w:val="nil"/>
              <w:left w:val="nil"/>
              <w:bottom w:val="nil"/>
              <w:right w:val="nil"/>
            </w:tcBorders>
          </w:tcPr>
          <w:p w14:paraId="33B0BC5A"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(0.027)</w:t>
            </w:r>
          </w:p>
        </w:tc>
        <w:tc>
          <w:tcPr>
            <w:tcW w:w="639" w:type="pct"/>
            <w:tcBorders>
              <w:top w:val="nil"/>
              <w:left w:val="nil"/>
              <w:bottom w:val="nil"/>
              <w:right w:val="single" w:sz="6" w:space="0" w:color="auto"/>
            </w:tcBorders>
          </w:tcPr>
          <w:p w14:paraId="1E369400"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(0.027)</w:t>
            </w:r>
          </w:p>
        </w:tc>
        <w:tc>
          <w:tcPr>
            <w:tcW w:w="638" w:type="pct"/>
            <w:tcBorders>
              <w:top w:val="nil"/>
              <w:left w:val="single" w:sz="6" w:space="0" w:color="auto"/>
              <w:bottom w:val="nil"/>
              <w:right w:val="nil"/>
            </w:tcBorders>
          </w:tcPr>
          <w:p w14:paraId="2ED88C88"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(0.027)</w:t>
            </w:r>
          </w:p>
        </w:tc>
        <w:tc>
          <w:tcPr>
            <w:tcW w:w="638" w:type="pct"/>
            <w:tcBorders>
              <w:top w:val="nil"/>
              <w:left w:val="nil"/>
              <w:bottom w:val="nil"/>
              <w:right w:val="nil"/>
            </w:tcBorders>
          </w:tcPr>
          <w:p w14:paraId="449410A7"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(0.026)</w:t>
            </w:r>
          </w:p>
        </w:tc>
        <w:tc>
          <w:tcPr>
            <w:tcW w:w="639" w:type="pct"/>
            <w:tcBorders>
              <w:top w:val="nil"/>
              <w:left w:val="nil"/>
              <w:bottom w:val="nil"/>
              <w:right w:val="nil"/>
            </w:tcBorders>
          </w:tcPr>
          <w:p w14:paraId="7F4FA8F0"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(0.027)</w:t>
            </w:r>
          </w:p>
        </w:tc>
      </w:tr>
      <w:tr w:rsidR="00E77841" w:rsidRPr="00E77841" w14:paraId="3742B50F" w14:textId="77777777" w:rsidTr="008E3209">
        <w:trPr>
          <w:jc w:val="center"/>
        </w:trPr>
        <w:tc>
          <w:tcPr>
            <w:tcW w:w="1169" w:type="pct"/>
            <w:tcBorders>
              <w:top w:val="nil"/>
              <w:left w:val="nil"/>
              <w:bottom w:val="nil"/>
              <w:right w:val="nil"/>
            </w:tcBorders>
          </w:tcPr>
          <w:p w14:paraId="59EC5610" w14:textId="77777777" w:rsidR="00E77841" w:rsidRPr="00E77841" w:rsidRDefault="00E77841" w:rsidP="009B09A3">
            <w:pPr>
              <w:widowControl w:val="0"/>
              <w:autoSpaceDE w:val="0"/>
              <w:autoSpaceDN w:val="0"/>
              <w:adjustRightInd w:val="0"/>
              <w:rPr>
                <w:rFonts w:ascii="Times New Roman" w:hAnsi="Times New Roman" w:cs="Times New Roman"/>
                <w:sz w:val="20"/>
                <w:szCs w:val="24"/>
              </w:rPr>
            </w:pPr>
            <w:proofErr w:type="spellStart"/>
            <w:r w:rsidRPr="00E77841">
              <w:rPr>
                <w:rFonts w:ascii="Times New Roman" w:hAnsi="Times New Roman" w:cs="Times New Roman"/>
                <w:sz w:val="20"/>
                <w:szCs w:val="24"/>
              </w:rPr>
              <w:t>DirectorQual</w:t>
            </w:r>
            <w:proofErr w:type="spellEnd"/>
          </w:p>
        </w:tc>
        <w:tc>
          <w:tcPr>
            <w:tcW w:w="638" w:type="pct"/>
            <w:tcBorders>
              <w:top w:val="nil"/>
              <w:left w:val="nil"/>
              <w:bottom w:val="nil"/>
              <w:right w:val="nil"/>
            </w:tcBorders>
          </w:tcPr>
          <w:p w14:paraId="5AAE7987"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0.096</w:t>
            </w:r>
          </w:p>
        </w:tc>
        <w:tc>
          <w:tcPr>
            <w:tcW w:w="638" w:type="pct"/>
            <w:tcBorders>
              <w:top w:val="nil"/>
              <w:left w:val="nil"/>
              <w:bottom w:val="nil"/>
              <w:right w:val="nil"/>
            </w:tcBorders>
          </w:tcPr>
          <w:p w14:paraId="72792873"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0.089</w:t>
            </w:r>
          </w:p>
        </w:tc>
        <w:tc>
          <w:tcPr>
            <w:tcW w:w="639" w:type="pct"/>
            <w:tcBorders>
              <w:top w:val="nil"/>
              <w:left w:val="nil"/>
              <w:bottom w:val="nil"/>
              <w:right w:val="single" w:sz="6" w:space="0" w:color="auto"/>
            </w:tcBorders>
          </w:tcPr>
          <w:p w14:paraId="2D11C003"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0.086</w:t>
            </w:r>
          </w:p>
        </w:tc>
        <w:tc>
          <w:tcPr>
            <w:tcW w:w="638" w:type="pct"/>
            <w:tcBorders>
              <w:top w:val="nil"/>
              <w:left w:val="single" w:sz="6" w:space="0" w:color="auto"/>
              <w:bottom w:val="nil"/>
              <w:right w:val="nil"/>
            </w:tcBorders>
          </w:tcPr>
          <w:p w14:paraId="1CFFECB6"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0.102</w:t>
            </w:r>
          </w:p>
        </w:tc>
        <w:tc>
          <w:tcPr>
            <w:tcW w:w="638" w:type="pct"/>
            <w:tcBorders>
              <w:top w:val="nil"/>
              <w:left w:val="nil"/>
              <w:bottom w:val="nil"/>
              <w:right w:val="nil"/>
            </w:tcBorders>
          </w:tcPr>
          <w:p w14:paraId="2128CFBF"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0.089</w:t>
            </w:r>
          </w:p>
        </w:tc>
        <w:tc>
          <w:tcPr>
            <w:tcW w:w="639" w:type="pct"/>
            <w:tcBorders>
              <w:top w:val="nil"/>
              <w:left w:val="nil"/>
              <w:bottom w:val="nil"/>
              <w:right w:val="nil"/>
            </w:tcBorders>
          </w:tcPr>
          <w:p w14:paraId="35B68CC2"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0.089</w:t>
            </w:r>
          </w:p>
        </w:tc>
      </w:tr>
      <w:tr w:rsidR="00E77841" w:rsidRPr="00E77841" w14:paraId="05F56554" w14:textId="77777777" w:rsidTr="008E3209">
        <w:trPr>
          <w:jc w:val="center"/>
        </w:trPr>
        <w:tc>
          <w:tcPr>
            <w:tcW w:w="1169" w:type="pct"/>
            <w:tcBorders>
              <w:top w:val="nil"/>
              <w:left w:val="nil"/>
              <w:bottom w:val="nil"/>
              <w:right w:val="nil"/>
            </w:tcBorders>
          </w:tcPr>
          <w:p w14:paraId="1528DE56" w14:textId="77777777" w:rsidR="00E77841" w:rsidRPr="00E77841" w:rsidRDefault="00E77841" w:rsidP="009B09A3">
            <w:pPr>
              <w:widowControl w:val="0"/>
              <w:autoSpaceDE w:val="0"/>
              <w:autoSpaceDN w:val="0"/>
              <w:adjustRightInd w:val="0"/>
              <w:rPr>
                <w:rFonts w:ascii="Times New Roman" w:hAnsi="Times New Roman" w:cs="Times New Roman"/>
                <w:sz w:val="20"/>
                <w:szCs w:val="24"/>
              </w:rPr>
            </w:pPr>
          </w:p>
        </w:tc>
        <w:tc>
          <w:tcPr>
            <w:tcW w:w="638" w:type="pct"/>
            <w:tcBorders>
              <w:top w:val="nil"/>
              <w:left w:val="nil"/>
              <w:bottom w:val="nil"/>
              <w:right w:val="nil"/>
            </w:tcBorders>
          </w:tcPr>
          <w:p w14:paraId="5BE65392"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(0.069)</w:t>
            </w:r>
          </w:p>
        </w:tc>
        <w:tc>
          <w:tcPr>
            <w:tcW w:w="638" w:type="pct"/>
            <w:tcBorders>
              <w:top w:val="nil"/>
              <w:left w:val="nil"/>
              <w:bottom w:val="nil"/>
              <w:right w:val="nil"/>
            </w:tcBorders>
          </w:tcPr>
          <w:p w14:paraId="2E20E913"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(0.071)</w:t>
            </w:r>
          </w:p>
        </w:tc>
        <w:tc>
          <w:tcPr>
            <w:tcW w:w="639" w:type="pct"/>
            <w:tcBorders>
              <w:top w:val="nil"/>
              <w:left w:val="nil"/>
              <w:bottom w:val="nil"/>
              <w:right w:val="single" w:sz="6" w:space="0" w:color="auto"/>
            </w:tcBorders>
          </w:tcPr>
          <w:p w14:paraId="3F9A39FF"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(0.073)</w:t>
            </w:r>
          </w:p>
        </w:tc>
        <w:tc>
          <w:tcPr>
            <w:tcW w:w="638" w:type="pct"/>
            <w:tcBorders>
              <w:top w:val="nil"/>
              <w:left w:val="single" w:sz="6" w:space="0" w:color="auto"/>
              <w:bottom w:val="nil"/>
              <w:right w:val="nil"/>
            </w:tcBorders>
          </w:tcPr>
          <w:p w14:paraId="1AAFB90A"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(0.067)</w:t>
            </w:r>
          </w:p>
        </w:tc>
        <w:tc>
          <w:tcPr>
            <w:tcW w:w="638" w:type="pct"/>
            <w:tcBorders>
              <w:top w:val="nil"/>
              <w:left w:val="nil"/>
              <w:bottom w:val="nil"/>
              <w:right w:val="nil"/>
            </w:tcBorders>
          </w:tcPr>
          <w:p w14:paraId="625A8075"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(0.069)</w:t>
            </w:r>
          </w:p>
        </w:tc>
        <w:tc>
          <w:tcPr>
            <w:tcW w:w="639" w:type="pct"/>
            <w:tcBorders>
              <w:top w:val="nil"/>
              <w:left w:val="nil"/>
              <w:bottom w:val="nil"/>
              <w:right w:val="nil"/>
            </w:tcBorders>
          </w:tcPr>
          <w:p w14:paraId="44FF01D0"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(0.074)</w:t>
            </w:r>
          </w:p>
        </w:tc>
      </w:tr>
      <w:tr w:rsidR="00E77841" w:rsidRPr="00E77841" w14:paraId="1D5A9152" w14:textId="77777777" w:rsidTr="008E3209">
        <w:trPr>
          <w:jc w:val="center"/>
        </w:trPr>
        <w:tc>
          <w:tcPr>
            <w:tcW w:w="1169" w:type="pct"/>
            <w:tcBorders>
              <w:top w:val="nil"/>
              <w:left w:val="nil"/>
              <w:bottom w:val="nil"/>
              <w:right w:val="nil"/>
            </w:tcBorders>
          </w:tcPr>
          <w:p w14:paraId="323CF60C" w14:textId="77777777" w:rsidR="00E77841" w:rsidRPr="00E77841" w:rsidRDefault="00E77841" w:rsidP="009B09A3">
            <w:pPr>
              <w:widowControl w:val="0"/>
              <w:autoSpaceDE w:val="0"/>
              <w:autoSpaceDN w:val="0"/>
              <w:adjustRightInd w:val="0"/>
              <w:rPr>
                <w:rFonts w:ascii="Times New Roman" w:hAnsi="Times New Roman" w:cs="Times New Roman"/>
                <w:sz w:val="20"/>
                <w:szCs w:val="24"/>
              </w:rPr>
            </w:pPr>
            <w:proofErr w:type="spellStart"/>
            <w:r w:rsidRPr="00E77841">
              <w:rPr>
                <w:rFonts w:ascii="Times New Roman" w:hAnsi="Times New Roman" w:cs="Times New Roman"/>
                <w:sz w:val="20"/>
                <w:szCs w:val="24"/>
              </w:rPr>
              <w:t>HeadLondon</w:t>
            </w:r>
            <w:proofErr w:type="spellEnd"/>
          </w:p>
        </w:tc>
        <w:tc>
          <w:tcPr>
            <w:tcW w:w="638" w:type="pct"/>
            <w:tcBorders>
              <w:top w:val="nil"/>
              <w:left w:val="nil"/>
              <w:bottom w:val="nil"/>
              <w:right w:val="nil"/>
            </w:tcBorders>
          </w:tcPr>
          <w:p w14:paraId="67B7FC7B"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-0.018</w:t>
            </w:r>
          </w:p>
        </w:tc>
        <w:tc>
          <w:tcPr>
            <w:tcW w:w="638" w:type="pct"/>
            <w:tcBorders>
              <w:top w:val="nil"/>
              <w:left w:val="nil"/>
              <w:bottom w:val="nil"/>
              <w:right w:val="nil"/>
            </w:tcBorders>
          </w:tcPr>
          <w:p w14:paraId="185DD786"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-0.017</w:t>
            </w:r>
          </w:p>
        </w:tc>
        <w:tc>
          <w:tcPr>
            <w:tcW w:w="639" w:type="pct"/>
            <w:tcBorders>
              <w:top w:val="nil"/>
              <w:left w:val="nil"/>
              <w:bottom w:val="nil"/>
              <w:right w:val="single" w:sz="6" w:space="0" w:color="auto"/>
            </w:tcBorders>
          </w:tcPr>
          <w:p w14:paraId="6321E52D"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-0.020</w:t>
            </w:r>
          </w:p>
        </w:tc>
        <w:tc>
          <w:tcPr>
            <w:tcW w:w="638" w:type="pct"/>
            <w:tcBorders>
              <w:top w:val="nil"/>
              <w:left w:val="single" w:sz="6" w:space="0" w:color="auto"/>
              <w:bottom w:val="nil"/>
              <w:right w:val="nil"/>
            </w:tcBorders>
          </w:tcPr>
          <w:p w14:paraId="2661E3B7"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-0.028</w:t>
            </w:r>
          </w:p>
        </w:tc>
        <w:tc>
          <w:tcPr>
            <w:tcW w:w="638" w:type="pct"/>
            <w:tcBorders>
              <w:top w:val="nil"/>
              <w:left w:val="nil"/>
              <w:bottom w:val="nil"/>
              <w:right w:val="nil"/>
            </w:tcBorders>
          </w:tcPr>
          <w:p w14:paraId="14699A55"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-0.026</w:t>
            </w:r>
          </w:p>
        </w:tc>
        <w:tc>
          <w:tcPr>
            <w:tcW w:w="639" w:type="pct"/>
            <w:tcBorders>
              <w:top w:val="nil"/>
              <w:left w:val="nil"/>
              <w:bottom w:val="nil"/>
              <w:right w:val="nil"/>
            </w:tcBorders>
          </w:tcPr>
          <w:p w14:paraId="325260DB"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-0.022</w:t>
            </w:r>
          </w:p>
        </w:tc>
      </w:tr>
      <w:tr w:rsidR="00E77841" w:rsidRPr="00E77841" w14:paraId="1EBB699B" w14:textId="77777777" w:rsidTr="008E3209">
        <w:trPr>
          <w:jc w:val="center"/>
        </w:trPr>
        <w:tc>
          <w:tcPr>
            <w:tcW w:w="1169" w:type="pct"/>
            <w:tcBorders>
              <w:top w:val="nil"/>
              <w:left w:val="nil"/>
              <w:bottom w:val="nil"/>
              <w:right w:val="nil"/>
            </w:tcBorders>
          </w:tcPr>
          <w:p w14:paraId="3685AF83" w14:textId="77777777" w:rsidR="00E77841" w:rsidRPr="00E77841" w:rsidRDefault="00E77841" w:rsidP="009B09A3">
            <w:pPr>
              <w:widowControl w:val="0"/>
              <w:autoSpaceDE w:val="0"/>
              <w:autoSpaceDN w:val="0"/>
              <w:adjustRightInd w:val="0"/>
              <w:rPr>
                <w:rFonts w:ascii="Times New Roman" w:hAnsi="Times New Roman" w:cs="Times New Roman"/>
                <w:sz w:val="20"/>
                <w:szCs w:val="24"/>
              </w:rPr>
            </w:pPr>
          </w:p>
        </w:tc>
        <w:tc>
          <w:tcPr>
            <w:tcW w:w="638" w:type="pct"/>
            <w:tcBorders>
              <w:top w:val="nil"/>
              <w:left w:val="nil"/>
              <w:bottom w:val="nil"/>
              <w:right w:val="nil"/>
            </w:tcBorders>
          </w:tcPr>
          <w:p w14:paraId="41AAFB53"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(0.052)</w:t>
            </w:r>
          </w:p>
        </w:tc>
        <w:tc>
          <w:tcPr>
            <w:tcW w:w="638" w:type="pct"/>
            <w:tcBorders>
              <w:top w:val="nil"/>
              <w:left w:val="nil"/>
              <w:bottom w:val="nil"/>
              <w:right w:val="nil"/>
            </w:tcBorders>
          </w:tcPr>
          <w:p w14:paraId="5778649C"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(0.052)</w:t>
            </w:r>
          </w:p>
        </w:tc>
        <w:tc>
          <w:tcPr>
            <w:tcW w:w="639" w:type="pct"/>
            <w:tcBorders>
              <w:top w:val="nil"/>
              <w:left w:val="nil"/>
              <w:bottom w:val="nil"/>
              <w:right w:val="single" w:sz="6" w:space="0" w:color="auto"/>
            </w:tcBorders>
          </w:tcPr>
          <w:p w14:paraId="40B89D1F"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(0.052)</w:t>
            </w:r>
          </w:p>
        </w:tc>
        <w:tc>
          <w:tcPr>
            <w:tcW w:w="638" w:type="pct"/>
            <w:tcBorders>
              <w:top w:val="nil"/>
              <w:left w:val="single" w:sz="6" w:space="0" w:color="auto"/>
              <w:bottom w:val="nil"/>
              <w:right w:val="nil"/>
            </w:tcBorders>
          </w:tcPr>
          <w:p w14:paraId="0570900C"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(0.058)</w:t>
            </w:r>
          </w:p>
        </w:tc>
        <w:tc>
          <w:tcPr>
            <w:tcW w:w="638" w:type="pct"/>
            <w:tcBorders>
              <w:top w:val="nil"/>
              <w:left w:val="nil"/>
              <w:bottom w:val="nil"/>
              <w:right w:val="nil"/>
            </w:tcBorders>
          </w:tcPr>
          <w:p w14:paraId="4A52D169"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(0.055)</w:t>
            </w:r>
          </w:p>
        </w:tc>
        <w:tc>
          <w:tcPr>
            <w:tcW w:w="639" w:type="pct"/>
            <w:tcBorders>
              <w:top w:val="nil"/>
              <w:left w:val="nil"/>
              <w:bottom w:val="nil"/>
              <w:right w:val="nil"/>
            </w:tcBorders>
          </w:tcPr>
          <w:p w14:paraId="663873B2"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(0.053)</w:t>
            </w:r>
          </w:p>
        </w:tc>
      </w:tr>
      <w:tr w:rsidR="00E77841" w:rsidRPr="00E77841" w14:paraId="0C28F8BE" w14:textId="77777777" w:rsidTr="008E3209">
        <w:trPr>
          <w:jc w:val="center"/>
        </w:trPr>
        <w:tc>
          <w:tcPr>
            <w:tcW w:w="1169" w:type="pct"/>
            <w:tcBorders>
              <w:top w:val="nil"/>
              <w:left w:val="nil"/>
              <w:bottom w:val="nil"/>
              <w:right w:val="nil"/>
            </w:tcBorders>
          </w:tcPr>
          <w:p w14:paraId="16CF0F0A" w14:textId="77777777" w:rsidR="00E77841" w:rsidRPr="00E77841" w:rsidRDefault="00E77841" w:rsidP="009B09A3">
            <w:pPr>
              <w:widowControl w:val="0"/>
              <w:autoSpaceDE w:val="0"/>
              <w:autoSpaceDN w:val="0"/>
              <w:adjustRightInd w:val="0"/>
              <w:rPr>
                <w:rFonts w:ascii="Times New Roman" w:hAnsi="Times New Roman" w:cs="Times New Roman"/>
                <w:sz w:val="20"/>
                <w:szCs w:val="24"/>
              </w:rPr>
            </w:pPr>
            <w:r w:rsidRPr="00E77841">
              <w:rPr>
                <w:rFonts w:ascii="Times New Roman" w:hAnsi="Times New Roman" w:cs="Times New Roman"/>
                <w:sz w:val="20"/>
                <w:szCs w:val="24"/>
              </w:rPr>
              <w:t>Scottish</w:t>
            </w:r>
          </w:p>
        </w:tc>
        <w:tc>
          <w:tcPr>
            <w:tcW w:w="638" w:type="pct"/>
            <w:tcBorders>
              <w:top w:val="nil"/>
              <w:left w:val="nil"/>
              <w:bottom w:val="nil"/>
              <w:right w:val="nil"/>
            </w:tcBorders>
          </w:tcPr>
          <w:p w14:paraId="2080C129"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-0.011</w:t>
            </w:r>
          </w:p>
        </w:tc>
        <w:tc>
          <w:tcPr>
            <w:tcW w:w="638" w:type="pct"/>
            <w:tcBorders>
              <w:top w:val="nil"/>
              <w:left w:val="nil"/>
              <w:bottom w:val="nil"/>
              <w:right w:val="nil"/>
            </w:tcBorders>
          </w:tcPr>
          <w:p w14:paraId="067F0329"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-0.014</w:t>
            </w:r>
          </w:p>
        </w:tc>
        <w:tc>
          <w:tcPr>
            <w:tcW w:w="639" w:type="pct"/>
            <w:tcBorders>
              <w:top w:val="nil"/>
              <w:left w:val="nil"/>
              <w:bottom w:val="nil"/>
              <w:right w:val="single" w:sz="6" w:space="0" w:color="auto"/>
            </w:tcBorders>
          </w:tcPr>
          <w:p w14:paraId="51A8F763"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-0.014</w:t>
            </w:r>
          </w:p>
        </w:tc>
        <w:tc>
          <w:tcPr>
            <w:tcW w:w="638" w:type="pct"/>
            <w:tcBorders>
              <w:top w:val="nil"/>
              <w:left w:val="single" w:sz="6" w:space="0" w:color="auto"/>
              <w:bottom w:val="nil"/>
              <w:right w:val="nil"/>
            </w:tcBorders>
          </w:tcPr>
          <w:p w14:paraId="5A277358"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-0.024</w:t>
            </w:r>
          </w:p>
        </w:tc>
        <w:tc>
          <w:tcPr>
            <w:tcW w:w="638" w:type="pct"/>
            <w:tcBorders>
              <w:top w:val="nil"/>
              <w:left w:val="nil"/>
              <w:bottom w:val="nil"/>
              <w:right w:val="nil"/>
            </w:tcBorders>
          </w:tcPr>
          <w:p w14:paraId="3680E3C4"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-0.020</w:t>
            </w:r>
          </w:p>
        </w:tc>
        <w:tc>
          <w:tcPr>
            <w:tcW w:w="639" w:type="pct"/>
            <w:tcBorders>
              <w:top w:val="nil"/>
              <w:left w:val="nil"/>
              <w:bottom w:val="nil"/>
              <w:right w:val="nil"/>
            </w:tcBorders>
          </w:tcPr>
          <w:p w14:paraId="09AEA628"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-0.016</w:t>
            </w:r>
          </w:p>
        </w:tc>
      </w:tr>
      <w:tr w:rsidR="00E77841" w:rsidRPr="00E77841" w14:paraId="2F54634B" w14:textId="77777777" w:rsidTr="008E3209">
        <w:trPr>
          <w:jc w:val="center"/>
        </w:trPr>
        <w:tc>
          <w:tcPr>
            <w:tcW w:w="1169" w:type="pct"/>
            <w:tcBorders>
              <w:top w:val="nil"/>
              <w:left w:val="nil"/>
              <w:bottom w:val="nil"/>
              <w:right w:val="nil"/>
            </w:tcBorders>
          </w:tcPr>
          <w:p w14:paraId="1ADB4AF2" w14:textId="77777777" w:rsidR="00E77841" w:rsidRPr="00E77841" w:rsidRDefault="00E77841" w:rsidP="009B09A3">
            <w:pPr>
              <w:widowControl w:val="0"/>
              <w:autoSpaceDE w:val="0"/>
              <w:autoSpaceDN w:val="0"/>
              <w:adjustRightInd w:val="0"/>
              <w:rPr>
                <w:rFonts w:ascii="Times New Roman" w:hAnsi="Times New Roman" w:cs="Times New Roman"/>
                <w:sz w:val="20"/>
                <w:szCs w:val="24"/>
              </w:rPr>
            </w:pPr>
          </w:p>
        </w:tc>
        <w:tc>
          <w:tcPr>
            <w:tcW w:w="638" w:type="pct"/>
            <w:tcBorders>
              <w:top w:val="nil"/>
              <w:left w:val="nil"/>
              <w:bottom w:val="nil"/>
              <w:right w:val="nil"/>
            </w:tcBorders>
          </w:tcPr>
          <w:p w14:paraId="69D6E90C"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(0.064)</w:t>
            </w:r>
          </w:p>
        </w:tc>
        <w:tc>
          <w:tcPr>
            <w:tcW w:w="638" w:type="pct"/>
            <w:tcBorders>
              <w:top w:val="nil"/>
              <w:left w:val="nil"/>
              <w:bottom w:val="nil"/>
              <w:right w:val="nil"/>
            </w:tcBorders>
          </w:tcPr>
          <w:p w14:paraId="74B767F8"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(0.066)</w:t>
            </w:r>
          </w:p>
        </w:tc>
        <w:tc>
          <w:tcPr>
            <w:tcW w:w="639" w:type="pct"/>
            <w:tcBorders>
              <w:top w:val="nil"/>
              <w:left w:val="nil"/>
              <w:bottom w:val="nil"/>
              <w:right w:val="single" w:sz="6" w:space="0" w:color="auto"/>
            </w:tcBorders>
          </w:tcPr>
          <w:p w14:paraId="3B1C838A"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(0.066)</w:t>
            </w:r>
          </w:p>
        </w:tc>
        <w:tc>
          <w:tcPr>
            <w:tcW w:w="638" w:type="pct"/>
            <w:tcBorders>
              <w:top w:val="nil"/>
              <w:left w:val="single" w:sz="6" w:space="0" w:color="auto"/>
              <w:bottom w:val="nil"/>
              <w:right w:val="nil"/>
            </w:tcBorders>
          </w:tcPr>
          <w:p w14:paraId="4FEF14EE"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(0.064)</w:t>
            </w:r>
          </w:p>
        </w:tc>
        <w:tc>
          <w:tcPr>
            <w:tcW w:w="638" w:type="pct"/>
            <w:tcBorders>
              <w:top w:val="nil"/>
              <w:left w:val="nil"/>
              <w:bottom w:val="nil"/>
              <w:right w:val="nil"/>
            </w:tcBorders>
          </w:tcPr>
          <w:p w14:paraId="2202D976"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(0.067)</w:t>
            </w:r>
          </w:p>
        </w:tc>
        <w:tc>
          <w:tcPr>
            <w:tcW w:w="639" w:type="pct"/>
            <w:tcBorders>
              <w:top w:val="nil"/>
              <w:left w:val="nil"/>
              <w:bottom w:val="nil"/>
              <w:right w:val="nil"/>
            </w:tcBorders>
          </w:tcPr>
          <w:p w14:paraId="625D4607"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(0.065)</w:t>
            </w:r>
          </w:p>
        </w:tc>
      </w:tr>
      <w:tr w:rsidR="00E77841" w:rsidRPr="00E77841" w14:paraId="7D8F27E6" w14:textId="77777777" w:rsidTr="008E3209">
        <w:trPr>
          <w:jc w:val="center"/>
        </w:trPr>
        <w:tc>
          <w:tcPr>
            <w:tcW w:w="1169" w:type="pct"/>
            <w:tcBorders>
              <w:top w:val="nil"/>
              <w:left w:val="nil"/>
              <w:bottom w:val="nil"/>
              <w:right w:val="nil"/>
            </w:tcBorders>
          </w:tcPr>
          <w:p w14:paraId="53720B89" w14:textId="77777777" w:rsidR="00E77841" w:rsidRPr="00E77841" w:rsidRDefault="00E77841" w:rsidP="009B09A3">
            <w:pPr>
              <w:widowControl w:val="0"/>
              <w:autoSpaceDE w:val="0"/>
              <w:autoSpaceDN w:val="0"/>
              <w:adjustRightInd w:val="0"/>
              <w:rPr>
                <w:rFonts w:ascii="Times New Roman" w:hAnsi="Times New Roman" w:cs="Times New Roman"/>
                <w:sz w:val="20"/>
                <w:szCs w:val="24"/>
              </w:rPr>
            </w:pPr>
            <w:proofErr w:type="spellStart"/>
            <w:r w:rsidRPr="00E77841">
              <w:rPr>
                <w:rFonts w:ascii="Times New Roman" w:hAnsi="Times New Roman" w:cs="Times New Roman"/>
                <w:sz w:val="20"/>
                <w:szCs w:val="24"/>
              </w:rPr>
              <w:t>LTDebt</w:t>
            </w:r>
            <w:proofErr w:type="spellEnd"/>
          </w:p>
        </w:tc>
        <w:tc>
          <w:tcPr>
            <w:tcW w:w="638" w:type="pct"/>
            <w:tcBorders>
              <w:top w:val="nil"/>
              <w:left w:val="nil"/>
              <w:bottom w:val="nil"/>
              <w:right w:val="nil"/>
            </w:tcBorders>
          </w:tcPr>
          <w:p w14:paraId="5931780F"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0.246***</w:t>
            </w:r>
          </w:p>
        </w:tc>
        <w:tc>
          <w:tcPr>
            <w:tcW w:w="638" w:type="pct"/>
            <w:tcBorders>
              <w:top w:val="nil"/>
              <w:left w:val="nil"/>
              <w:bottom w:val="nil"/>
              <w:right w:val="nil"/>
            </w:tcBorders>
          </w:tcPr>
          <w:p w14:paraId="59D7C9DD"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0.253**</w:t>
            </w:r>
          </w:p>
        </w:tc>
        <w:tc>
          <w:tcPr>
            <w:tcW w:w="639" w:type="pct"/>
            <w:tcBorders>
              <w:top w:val="nil"/>
              <w:left w:val="nil"/>
              <w:bottom w:val="nil"/>
              <w:right w:val="single" w:sz="6" w:space="0" w:color="auto"/>
            </w:tcBorders>
          </w:tcPr>
          <w:p w14:paraId="46680B23"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0.253***</w:t>
            </w:r>
          </w:p>
        </w:tc>
        <w:tc>
          <w:tcPr>
            <w:tcW w:w="638" w:type="pct"/>
            <w:tcBorders>
              <w:top w:val="nil"/>
              <w:left w:val="single" w:sz="6" w:space="0" w:color="auto"/>
              <w:bottom w:val="nil"/>
              <w:right w:val="nil"/>
            </w:tcBorders>
          </w:tcPr>
          <w:p w14:paraId="20800E1D"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0.237**</w:t>
            </w:r>
          </w:p>
        </w:tc>
        <w:tc>
          <w:tcPr>
            <w:tcW w:w="638" w:type="pct"/>
            <w:tcBorders>
              <w:top w:val="nil"/>
              <w:left w:val="nil"/>
              <w:bottom w:val="nil"/>
              <w:right w:val="nil"/>
            </w:tcBorders>
          </w:tcPr>
          <w:p w14:paraId="6BAA448D"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0.243**</w:t>
            </w:r>
          </w:p>
        </w:tc>
        <w:tc>
          <w:tcPr>
            <w:tcW w:w="639" w:type="pct"/>
            <w:tcBorders>
              <w:top w:val="nil"/>
              <w:left w:val="nil"/>
              <w:bottom w:val="nil"/>
              <w:right w:val="nil"/>
            </w:tcBorders>
          </w:tcPr>
          <w:p w14:paraId="7E14C324"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0.249**</w:t>
            </w:r>
          </w:p>
        </w:tc>
      </w:tr>
      <w:tr w:rsidR="00E77841" w:rsidRPr="00E77841" w14:paraId="18DAF4AF" w14:textId="77777777" w:rsidTr="008E3209">
        <w:trPr>
          <w:jc w:val="center"/>
        </w:trPr>
        <w:tc>
          <w:tcPr>
            <w:tcW w:w="1169" w:type="pct"/>
            <w:tcBorders>
              <w:top w:val="nil"/>
              <w:left w:val="nil"/>
              <w:bottom w:val="nil"/>
              <w:right w:val="nil"/>
            </w:tcBorders>
          </w:tcPr>
          <w:p w14:paraId="77FA8B14" w14:textId="77777777" w:rsidR="00E77841" w:rsidRPr="00E77841" w:rsidRDefault="00E77841" w:rsidP="009B09A3">
            <w:pPr>
              <w:widowControl w:val="0"/>
              <w:autoSpaceDE w:val="0"/>
              <w:autoSpaceDN w:val="0"/>
              <w:adjustRightInd w:val="0"/>
              <w:rPr>
                <w:rFonts w:ascii="Times New Roman" w:hAnsi="Times New Roman" w:cs="Times New Roman"/>
                <w:sz w:val="20"/>
                <w:szCs w:val="24"/>
              </w:rPr>
            </w:pPr>
          </w:p>
        </w:tc>
        <w:tc>
          <w:tcPr>
            <w:tcW w:w="638" w:type="pct"/>
            <w:tcBorders>
              <w:top w:val="nil"/>
              <w:left w:val="nil"/>
              <w:bottom w:val="nil"/>
              <w:right w:val="nil"/>
            </w:tcBorders>
          </w:tcPr>
          <w:p w14:paraId="61B66717"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(0.093)</w:t>
            </w:r>
          </w:p>
        </w:tc>
        <w:tc>
          <w:tcPr>
            <w:tcW w:w="638" w:type="pct"/>
            <w:tcBorders>
              <w:top w:val="nil"/>
              <w:left w:val="nil"/>
              <w:bottom w:val="nil"/>
              <w:right w:val="nil"/>
            </w:tcBorders>
          </w:tcPr>
          <w:p w14:paraId="2D9DBBB1"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(0.097)</w:t>
            </w:r>
          </w:p>
        </w:tc>
        <w:tc>
          <w:tcPr>
            <w:tcW w:w="639" w:type="pct"/>
            <w:tcBorders>
              <w:top w:val="nil"/>
              <w:left w:val="nil"/>
              <w:bottom w:val="nil"/>
              <w:right w:val="single" w:sz="6" w:space="0" w:color="auto"/>
            </w:tcBorders>
          </w:tcPr>
          <w:p w14:paraId="17364314"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(0.096)</w:t>
            </w:r>
          </w:p>
        </w:tc>
        <w:tc>
          <w:tcPr>
            <w:tcW w:w="638" w:type="pct"/>
            <w:tcBorders>
              <w:top w:val="nil"/>
              <w:left w:val="single" w:sz="6" w:space="0" w:color="auto"/>
              <w:bottom w:val="nil"/>
              <w:right w:val="nil"/>
            </w:tcBorders>
          </w:tcPr>
          <w:p w14:paraId="17B81E93"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(0.094)</w:t>
            </w:r>
          </w:p>
        </w:tc>
        <w:tc>
          <w:tcPr>
            <w:tcW w:w="638" w:type="pct"/>
            <w:tcBorders>
              <w:top w:val="nil"/>
              <w:left w:val="nil"/>
              <w:bottom w:val="nil"/>
              <w:right w:val="nil"/>
            </w:tcBorders>
          </w:tcPr>
          <w:p w14:paraId="0D79ABBF"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(0.098)</w:t>
            </w:r>
          </w:p>
        </w:tc>
        <w:tc>
          <w:tcPr>
            <w:tcW w:w="639" w:type="pct"/>
            <w:tcBorders>
              <w:top w:val="nil"/>
              <w:left w:val="nil"/>
              <w:bottom w:val="nil"/>
              <w:right w:val="nil"/>
            </w:tcBorders>
          </w:tcPr>
          <w:p w14:paraId="0FBE76A9"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(0.096)</w:t>
            </w:r>
          </w:p>
        </w:tc>
      </w:tr>
      <w:tr w:rsidR="00E77841" w:rsidRPr="00E77841" w14:paraId="6E8CFB53" w14:textId="77777777" w:rsidTr="008E3209">
        <w:trPr>
          <w:jc w:val="center"/>
        </w:trPr>
        <w:tc>
          <w:tcPr>
            <w:tcW w:w="1169" w:type="pct"/>
            <w:tcBorders>
              <w:top w:val="nil"/>
              <w:left w:val="nil"/>
              <w:bottom w:val="nil"/>
              <w:right w:val="nil"/>
            </w:tcBorders>
          </w:tcPr>
          <w:p w14:paraId="22E99566" w14:textId="77777777" w:rsidR="00E77841" w:rsidRPr="00E77841" w:rsidRDefault="00E77841" w:rsidP="009B09A3">
            <w:pPr>
              <w:widowControl w:val="0"/>
              <w:autoSpaceDE w:val="0"/>
              <w:autoSpaceDN w:val="0"/>
              <w:adjustRightInd w:val="0"/>
              <w:rPr>
                <w:rFonts w:ascii="Times New Roman" w:hAnsi="Times New Roman" w:cs="Times New Roman"/>
                <w:sz w:val="20"/>
                <w:szCs w:val="24"/>
              </w:rPr>
            </w:pPr>
            <w:r w:rsidRPr="00E77841">
              <w:rPr>
                <w:rFonts w:ascii="Times New Roman" w:hAnsi="Times New Roman" w:cs="Times New Roman"/>
                <w:sz w:val="20"/>
                <w:szCs w:val="24"/>
              </w:rPr>
              <w:t>Constant</w:t>
            </w:r>
          </w:p>
        </w:tc>
        <w:tc>
          <w:tcPr>
            <w:tcW w:w="638" w:type="pct"/>
            <w:tcBorders>
              <w:top w:val="nil"/>
              <w:left w:val="nil"/>
              <w:bottom w:val="nil"/>
              <w:right w:val="nil"/>
            </w:tcBorders>
          </w:tcPr>
          <w:p w14:paraId="761529E4"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2.193</w:t>
            </w:r>
          </w:p>
        </w:tc>
        <w:tc>
          <w:tcPr>
            <w:tcW w:w="638" w:type="pct"/>
            <w:tcBorders>
              <w:top w:val="nil"/>
              <w:left w:val="nil"/>
              <w:bottom w:val="nil"/>
              <w:right w:val="nil"/>
            </w:tcBorders>
          </w:tcPr>
          <w:p w14:paraId="24F506BE"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2.682</w:t>
            </w:r>
          </w:p>
        </w:tc>
        <w:tc>
          <w:tcPr>
            <w:tcW w:w="639" w:type="pct"/>
            <w:tcBorders>
              <w:top w:val="nil"/>
              <w:left w:val="nil"/>
              <w:bottom w:val="nil"/>
              <w:right w:val="single" w:sz="6" w:space="0" w:color="auto"/>
            </w:tcBorders>
          </w:tcPr>
          <w:p w14:paraId="671064B0"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2.861</w:t>
            </w:r>
          </w:p>
        </w:tc>
        <w:tc>
          <w:tcPr>
            <w:tcW w:w="638" w:type="pct"/>
            <w:tcBorders>
              <w:top w:val="nil"/>
              <w:left w:val="single" w:sz="6" w:space="0" w:color="auto"/>
              <w:bottom w:val="nil"/>
              <w:right w:val="nil"/>
            </w:tcBorders>
          </w:tcPr>
          <w:p w14:paraId="7AF3A095"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1.799</w:t>
            </w:r>
          </w:p>
        </w:tc>
        <w:tc>
          <w:tcPr>
            <w:tcW w:w="638" w:type="pct"/>
            <w:tcBorders>
              <w:top w:val="nil"/>
              <w:left w:val="nil"/>
              <w:bottom w:val="nil"/>
              <w:right w:val="nil"/>
            </w:tcBorders>
          </w:tcPr>
          <w:p w14:paraId="6F645C80"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2.380</w:t>
            </w:r>
          </w:p>
        </w:tc>
        <w:tc>
          <w:tcPr>
            <w:tcW w:w="639" w:type="pct"/>
            <w:tcBorders>
              <w:top w:val="nil"/>
              <w:left w:val="nil"/>
              <w:bottom w:val="nil"/>
              <w:right w:val="nil"/>
            </w:tcBorders>
          </w:tcPr>
          <w:p w14:paraId="783D9BC0"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2.652</w:t>
            </w:r>
          </w:p>
        </w:tc>
      </w:tr>
      <w:tr w:rsidR="00E77841" w:rsidRPr="00E77841" w14:paraId="109C904E" w14:textId="77777777" w:rsidTr="008E3209">
        <w:trPr>
          <w:jc w:val="center"/>
        </w:trPr>
        <w:tc>
          <w:tcPr>
            <w:tcW w:w="1169" w:type="pct"/>
            <w:tcBorders>
              <w:top w:val="nil"/>
              <w:left w:val="nil"/>
              <w:bottom w:val="nil"/>
              <w:right w:val="nil"/>
            </w:tcBorders>
          </w:tcPr>
          <w:p w14:paraId="3192929E" w14:textId="77777777" w:rsidR="00E77841" w:rsidRPr="00E77841" w:rsidRDefault="00E77841" w:rsidP="009B09A3">
            <w:pPr>
              <w:widowControl w:val="0"/>
              <w:autoSpaceDE w:val="0"/>
              <w:autoSpaceDN w:val="0"/>
              <w:adjustRightInd w:val="0"/>
              <w:rPr>
                <w:rFonts w:ascii="Times New Roman" w:hAnsi="Times New Roman" w:cs="Times New Roman"/>
                <w:sz w:val="20"/>
                <w:szCs w:val="24"/>
              </w:rPr>
            </w:pPr>
          </w:p>
        </w:tc>
        <w:tc>
          <w:tcPr>
            <w:tcW w:w="638" w:type="pct"/>
            <w:tcBorders>
              <w:top w:val="nil"/>
              <w:left w:val="nil"/>
              <w:bottom w:val="nil"/>
              <w:right w:val="nil"/>
            </w:tcBorders>
          </w:tcPr>
          <w:p w14:paraId="5F0F8DCA"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(2.708)</w:t>
            </w:r>
          </w:p>
        </w:tc>
        <w:tc>
          <w:tcPr>
            <w:tcW w:w="638" w:type="pct"/>
            <w:tcBorders>
              <w:top w:val="nil"/>
              <w:left w:val="nil"/>
              <w:bottom w:val="nil"/>
              <w:right w:val="nil"/>
            </w:tcBorders>
          </w:tcPr>
          <w:p w14:paraId="72BF68C7"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(2.705)</w:t>
            </w:r>
          </w:p>
        </w:tc>
        <w:tc>
          <w:tcPr>
            <w:tcW w:w="639" w:type="pct"/>
            <w:tcBorders>
              <w:top w:val="nil"/>
              <w:left w:val="nil"/>
              <w:bottom w:val="nil"/>
              <w:right w:val="single" w:sz="6" w:space="0" w:color="auto"/>
            </w:tcBorders>
          </w:tcPr>
          <w:p w14:paraId="342397CD"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(2.716)</w:t>
            </w:r>
          </w:p>
        </w:tc>
        <w:tc>
          <w:tcPr>
            <w:tcW w:w="638" w:type="pct"/>
            <w:tcBorders>
              <w:top w:val="nil"/>
              <w:left w:val="single" w:sz="6" w:space="0" w:color="auto"/>
              <w:bottom w:val="nil"/>
              <w:right w:val="nil"/>
            </w:tcBorders>
          </w:tcPr>
          <w:p w14:paraId="5483508A"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(2.669)</w:t>
            </w:r>
          </w:p>
        </w:tc>
        <w:tc>
          <w:tcPr>
            <w:tcW w:w="638" w:type="pct"/>
            <w:tcBorders>
              <w:top w:val="nil"/>
              <w:left w:val="nil"/>
              <w:bottom w:val="nil"/>
              <w:right w:val="nil"/>
            </w:tcBorders>
          </w:tcPr>
          <w:p w14:paraId="4CB59965"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(2.686)</w:t>
            </w:r>
          </w:p>
        </w:tc>
        <w:tc>
          <w:tcPr>
            <w:tcW w:w="639" w:type="pct"/>
            <w:tcBorders>
              <w:top w:val="nil"/>
              <w:left w:val="nil"/>
              <w:bottom w:val="nil"/>
              <w:right w:val="nil"/>
            </w:tcBorders>
          </w:tcPr>
          <w:p w14:paraId="6DCA9AAB"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(2.651)</w:t>
            </w:r>
          </w:p>
        </w:tc>
      </w:tr>
      <w:tr w:rsidR="008E3209" w:rsidRPr="00E77841" w14:paraId="567CC883" w14:textId="77777777" w:rsidTr="008E3209">
        <w:trPr>
          <w:jc w:val="center"/>
        </w:trPr>
        <w:tc>
          <w:tcPr>
            <w:tcW w:w="1169" w:type="pct"/>
            <w:tcBorders>
              <w:top w:val="nil"/>
              <w:left w:val="nil"/>
              <w:bottom w:val="nil"/>
              <w:right w:val="nil"/>
            </w:tcBorders>
          </w:tcPr>
          <w:p w14:paraId="23540711" w14:textId="77777777" w:rsidR="008E3209" w:rsidRPr="00E77841" w:rsidRDefault="008E3209" w:rsidP="009B09A3">
            <w:pPr>
              <w:widowControl w:val="0"/>
              <w:autoSpaceDE w:val="0"/>
              <w:autoSpaceDN w:val="0"/>
              <w:adjustRightInd w:val="0"/>
              <w:rPr>
                <w:rFonts w:ascii="Times New Roman" w:hAnsi="Times New Roman" w:cs="Times New Roman"/>
                <w:sz w:val="20"/>
                <w:szCs w:val="24"/>
              </w:rPr>
            </w:pPr>
          </w:p>
        </w:tc>
        <w:tc>
          <w:tcPr>
            <w:tcW w:w="638" w:type="pct"/>
            <w:tcBorders>
              <w:top w:val="nil"/>
              <w:left w:val="nil"/>
              <w:bottom w:val="nil"/>
              <w:right w:val="nil"/>
            </w:tcBorders>
          </w:tcPr>
          <w:p w14:paraId="699FE16D" w14:textId="77777777" w:rsidR="008E3209" w:rsidRPr="00E77841" w:rsidRDefault="008E3209" w:rsidP="009B09A3">
            <w:pPr>
              <w:widowControl w:val="0"/>
              <w:autoSpaceDE w:val="0"/>
              <w:autoSpaceDN w:val="0"/>
              <w:adjustRightInd w:val="0"/>
              <w:jc w:val="center"/>
              <w:rPr>
                <w:rFonts w:ascii="Times New Roman" w:hAnsi="Times New Roman" w:cs="Times New Roman"/>
                <w:sz w:val="20"/>
                <w:szCs w:val="24"/>
              </w:rPr>
            </w:pPr>
          </w:p>
        </w:tc>
        <w:tc>
          <w:tcPr>
            <w:tcW w:w="638" w:type="pct"/>
            <w:tcBorders>
              <w:top w:val="nil"/>
              <w:left w:val="nil"/>
              <w:bottom w:val="nil"/>
              <w:right w:val="nil"/>
            </w:tcBorders>
          </w:tcPr>
          <w:p w14:paraId="35981307" w14:textId="77777777" w:rsidR="008E3209" w:rsidRPr="00E77841" w:rsidRDefault="008E3209" w:rsidP="009B09A3">
            <w:pPr>
              <w:widowControl w:val="0"/>
              <w:autoSpaceDE w:val="0"/>
              <w:autoSpaceDN w:val="0"/>
              <w:adjustRightInd w:val="0"/>
              <w:jc w:val="center"/>
              <w:rPr>
                <w:rFonts w:ascii="Times New Roman" w:hAnsi="Times New Roman" w:cs="Times New Roman"/>
                <w:sz w:val="20"/>
                <w:szCs w:val="24"/>
              </w:rPr>
            </w:pPr>
          </w:p>
        </w:tc>
        <w:tc>
          <w:tcPr>
            <w:tcW w:w="639" w:type="pct"/>
            <w:tcBorders>
              <w:top w:val="nil"/>
              <w:left w:val="nil"/>
              <w:bottom w:val="nil"/>
              <w:right w:val="single" w:sz="6" w:space="0" w:color="auto"/>
            </w:tcBorders>
          </w:tcPr>
          <w:p w14:paraId="261EB3C2" w14:textId="77777777" w:rsidR="008E3209" w:rsidRPr="00E77841" w:rsidRDefault="008E3209" w:rsidP="009B09A3">
            <w:pPr>
              <w:widowControl w:val="0"/>
              <w:autoSpaceDE w:val="0"/>
              <w:autoSpaceDN w:val="0"/>
              <w:adjustRightInd w:val="0"/>
              <w:jc w:val="center"/>
              <w:rPr>
                <w:rFonts w:ascii="Times New Roman" w:hAnsi="Times New Roman" w:cs="Times New Roman"/>
                <w:sz w:val="20"/>
                <w:szCs w:val="24"/>
              </w:rPr>
            </w:pPr>
          </w:p>
        </w:tc>
        <w:tc>
          <w:tcPr>
            <w:tcW w:w="638" w:type="pct"/>
            <w:tcBorders>
              <w:top w:val="nil"/>
              <w:left w:val="single" w:sz="6" w:space="0" w:color="auto"/>
              <w:bottom w:val="nil"/>
              <w:right w:val="nil"/>
            </w:tcBorders>
          </w:tcPr>
          <w:p w14:paraId="02E2E682" w14:textId="77777777" w:rsidR="008E3209" w:rsidRPr="00E77841" w:rsidRDefault="008E3209" w:rsidP="009B09A3">
            <w:pPr>
              <w:widowControl w:val="0"/>
              <w:autoSpaceDE w:val="0"/>
              <w:autoSpaceDN w:val="0"/>
              <w:adjustRightInd w:val="0"/>
              <w:jc w:val="center"/>
              <w:rPr>
                <w:rFonts w:ascii="Times New Roman" w:hAnsi="Times New Roman" w:cs="Times New Roman"/>
                <w:sz w:val="20"/>
                <w:szCs w:val="24"/>
              </w:rPr>
            </w:pPr>
          </w:p>
        </w:tc>
        <w:tc>
          <w:tcPr>
            <w:tcW w:w="638" w:type="pct"/>
            <w:tcBorders>
              <w:top w:val="nil"/>
              <w:left w:val="nil"/>
              <w:bottom w:val="nil"/>
              <w:right w:val="nil"/>
            </w:tcBorders>
          </w:tcPr>
          <w:p w14:paraId="55B1B236" w14:textId="77777777" w:rsidR="008E3209" w:rsidRPr="00E77841" w:rsidRDefault="008E3209" w:rsidP="009B09A3">
            <w:pPr>
              <w:widowControl w:val="0"/>
              <w:autoSpaceDE w:val="0"/>
              <w:autoSpaceDN w:val="0"/>
              <w:adjustRightInd w:val="0"/>
              <w:jc w:val="center"/>
              <w:rPr>
                <w:rFonts w:ascii="Times New Roman" w:hAnsi="Times New Roman" w:cs="Times New Roman"/>
                <w:sz w:val="20"/>
                <w:szCs w:val="24"/>
              </w:rPr>
            </w:pPr>
          </w:p>
        </w:tc>
        <w:tc>
          <w:tcPr>
            <w:tcW w:w="639" w:type="pct"/>
            <w:tcBorders>
              <w:top w:val="nil"/>
              <w:left w:val="nil"/>
              <w:bottom w:val="nil"/>
              <w:right w:val="nil"/>
            </w:tcBorders>
          </w:tcPr>
          <w:p w14:paraId="1D0EA92C" w14:textId="77777777" w:rsidR="008E3209" w:rsidRPr="00E77841" w:rsidRDefault="008E3209" w:rsidP="009B09A3">
            <w:pPr>
              <w:widowControl w:val="0"/>
              <w:autoSpaceDE w:val="0"/>
              <w:autoSpaceDN w:val="0"/>
              <w:adjustRightInd w:val="0"/>
              <w:jc w:val="center"/>
              <w:rPr>
                <w:rFonts w:ascii="Times New Roman" w:hAnsi="Times New Roman" w:cs="Times New Roman"/>
                <w:sz w:val="20"/>
                <w:szCs w:val="24"/>
              </w:rPr>
            </w:pPr>
          </w:p>
        </w:tc>
      </w:tr>
      <w:tr w:rsidR="008E3209" w:rsidRPr="00E77841" w14:paraId="517987BD" w14:textId="77777777" w:rsidTr="008E3209">
        <w:trPr>
          <w:jc w:val="center"/>
        </w:trPr>
        <w:tc>
          <w:tcPr>
            <w:tcW w:w="1169" w:type="pct"/>
            <w:tcBorders>
              <w:top w:val="nil"/>
              <w:left w:val="nil"/>
              <w:bottom w:val="nil"/>
              <w:right w:val="nil"/>
            </w:tcBorders>
          </w:tcPr>
          <w:p w14:paraId="7F3B906F" w14:textId="0C252707" w:rsidR="008E3209" w:rsidRPr="00E77841" w:rsidRDefault="008E3209" w:rsidP="009B09A3">
            <w:pPr>
              <w:widowControl w:val="0"/>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Year Dummies</w:t>
            </w:r>
          </w:p>
        </w:tc>
        <w:tc>
          <w:tcPr>
            <w:tcW w:w="638" w:type="pct"/>
            <w:tcBorders>
              <w:top w:val="nil"/>
              <w:left w:val="nil"/>
              <w:bottom w:val="nil"/>
              <w:right w:val="nil"/>
            </w:tcBorders>
          </w:tcPr>
          <w:p w14:paraId="2B20E1BF" w14:textId="0856FE6E" w:rsidR="008E3209" w:rsidRPr="00E77841" w:rsidRDefault="008E3209" w:rsidP="009B09A3">
            <w:pPr>
              <w:widowControl w:val="0"/>
              <w:autoSpaceDE w:val="0"/>
              <w:autoSpaceDN w:val="0"/>
              <w:adjustRightInd w:val="0"/>
              <w:jc w:val="center"/>
              <w:rPr>
                <w:rFonts w:ascii="Times New Roman" w:hAnsi="Times New Roman" w:cs="Times New Roman"/>
                <w:sz w:val="20"/>
                <w:szCs w:val="24"/>
              </w:rPr>
            </w:pPr>
            <w:r>
              <w:rPr>
                <w:rFonts w:ascii="Times New Roman" w:hAnsi="Times New Roman" w:cs="Times New Roman"/>
                <w:sz w:val="20"/>
                <w:szCs w:val="24"/>
              </w:rPr>
              <w:t>YES</w:t>
            </w:r>
          </w:p>
        </w:tc>
        <w:tc>
          <w:tcPr>
            <w:tcW w:w="638" w:type="pct"/>
            <w:tcBorders>
              <w:top w:val="nil"/>
              <w:left w:val="nil"/>
              <w:bottom w:val="nil"/>
              <w:right w:val="nil"/>
            </w:tcBorders>
          </w:tcPr>
          <w:p w14:paraId="278113C3" w14:textId="0C6B6EFF" w:rsidR="008E3209" w:rsidRPr="00E77841" w:rsidRDefault="008E3209" w:rsidP="009B09A3">
            <w:pPr>
              <w:widowControl w:val="0"/>
              <w:autoSpaceDE w:val="0"/>
              <w:autoSpaceDN w:val="0"/>
              <w:adjustRightInd w:val="0"/>
              <w:jc w:val="center"/>
              <w:rPr>
                <w:rFonts w:ascii="Times New Roman" w:hAnsi="Times New Roman" w:cs="Times New Roman"/>
                <w:sz w:val="20"/>
                <w:szCs w:val="24"/>
              </w:rPr>
            </w:pPr>
            <w:r>
              <w:rPr>
                <w:rFonts w:ascii="Times New Roman" w:hAnsi="Times New Roman" w:cs="Times New Roman"/>
                <w:sz w:val="20"/>
                <w:szCs w:val="24"/>
              </w:rPr>
              <w:t>YES</w:t>
            </w:r>
          </w:p>
        </w:tc>
        <w:tc>
          <w:tcPr>
            <w:tcW w:w="639" w:type="pct"/>
            <w:tcBorders>
              <w:top w:val="nil"/>
              <w:left w:val="nil"/>
              <w:bottom w:val="nil"/>
              <w:right w:val="single" w:sz="6" w:space="0" w:color="auto"/>
            </w:tcBorders>
          </w:tcPr>
          <w:p w14:paraId="1DDFDC3C" w14:textId="108DE67C" w:rsidR="008E3209" w:rsidRPr="00E77841" w:rsidRDefault="008E3209" w:rsidP="009B09A3">
            <w:pPr>
              <w:widowControl w:val="0"/>
              <w:autoSpaceDE w:val="0"/>
              <w:autoSpaceDN w:val="0"/>
              <w:adjustRightInd w:val="0"/>
              <w:jc w:val="center"/>
              <w:rPr>
                <w:rFonts w:ascii="Times New Roman" w:hAnsi="Times New Roman" w:cs="Times New Roman"/>
                <w:sz w:val="20"/>
                <w:szCs w:val="24"/>
              </w:rPr>
            </w:pPr>
            <w:r>
              <w:rPr>
                <w:rFonts w:ascii="Times New Roman" w:hAnsi="Times New Roman" w:cs="Times New Roman"/>
                <w:sz w:val="20"/>
                <w:szCs w:val="24"/>
              </w:rPr>
              <w:t>YES</w:t>
            </w:r>
          </w:p>
        </w:tc>
        <w:tc>
          <w:tcPr>
            <w:tcW w:w="638" w:type="pct"/>
            <w:tcBorders>
              <w:top w:val="nil"/>
              <w:left w:val="single" w:sz="6" w:space="0" w:color="auto"/>
              <w:bottom w:val="nil"/>
              <w:right w:val="nil"/>
            </w:tcBorders>
          </w:tcPr>
          <w:p w14:paraId="3010ACB6" w14:textId="2ECFDF37" w:rsidR="008E3209" w:rsidRPr="00E77841" w:rsidRDefault="008E3209" w:rsidP="009B09A3">
            <w:pPr>
              <w:widowControl w:val="0"/>
              <w:autoSpaceDE w:val="0"/>
              <w:autoSpaceDN w:val="0"/>
              <w:adjustRightInd w:val="0"/>
              <w:jc w:val="center"/>
              <w:rPr>
                <w:rFonts w:ascii="Times New Roman" w:hAnsi="Times New Roman" w:cs="Times New Roman"/>
                <w:sz w:val="20"/>
                <w:szCs w:val="24"/>
              </w:rPr>
            </w:pPr>
            <w:r>
              <w:rPr>
                <w:rFonts w:ascii="Times New Roman" w:hAnsi="Times New Roman" w:cs="Times New Roman"/>
                <w:sz w:val="20"/>
                <w:szCs w:val="24"/>
              </w:rPr>
              <w:t>YES</w:t>
            </w:r>
          </w:p>
        </w:tc>
        <w:tc>
          <w:tcPr>
            <w:tcW w:w="638" w:type="pct"/>
            <w:tcBorders>
              <w:top w:val="nil"/>
              <w:left w:val="nil"/>
              <w:bottom w:val="nil"/>
              <w:right w:val="nil"/>
            </w:tcBorders>
          </w:tcPr>
          <w:p w14:paraId="0ABE7D77" w14:textId="77B31559" w:rsidR="008E3209" w:rsidRPr="00E77841" w:rsidRDefault="008E3209" w:rsidP="009B09A3">
            <w:pPr>
              <w:widowControl w:val="0"/>
              <w:autoSpaceDE w:val="0"/>
              <w:autoSpaceDN w:val="0"/>
              <w:adjustRightInd w:val="0"/>
              <w:jc w:val="center"/>
              <w:rPr>
                <w:rFonts w:ascii="Times New Roman" w:hAnsi="Times New Roman" w:cs="Times New Roman"/>
                <w:sz w:val="20"/>
                <w:szCs w:val="24"/>
              </w:rPr>
            </w:pPr>
            <w:r>
              <w:rPr>
                <w:rFonts w:ascii="Times New Roman" w:hAnsi="Times New Roman" w:cs="Times New Roman"/>
                <w:sz w:val="20"/>
                <w:szCs w:val="24"/>
              </w:rPr>
              <w:t>YES</w:t>
            </w:r>
          </w:p>
        </w:tc>
        <w:tc>
          <w:tcPr>
            <w:tcW w:w="639" w:type="pct"/>
            <w:tcBorders>
              <w:top w:val="nil"/>
              <w:left w:val="nil"/>
              <w:bottom w:val="nil"/>
              <w:right w:val="nil"/>
            </w:tcBorders>
          </w:tcPr>
          <w:p w14:paraId="48DFEC50" w14:textId="2C46E567" w:rsidR="008E3209" w:rsidRPr="00E77841" w:rsidRDefault="008E3209" w:rsidP="009B09A3">
            <w:pPr>
              <w:widowControl w:val="0"/>
              <w:autoSpaceDE w:val="0"/>
              <w:autoSpaceDN w:val="0"/>
              <w:adjustRightInd w:val="0"/>
              <w:jc w:val="center"/>
              <w:rPr>
                <w:rFonts w:ascii="Times New Roman" w:hAnsi="Times New Roman" w:cs="Times New Roman"/>
                <w:sz w:val="20"/>
                <w:szCs w:val="24"/>
              </w:rPr>
            </w:pPr>
            <w:r>
              <w:rPr>
                <w:rFonts w:ascii="Times New Roman" w:hAnsi="Times New Roman" w:cs="Times New Roman"/>
                <w:sz w:val="20"/>
                <w:szCs w:val="24"/>
              </w:rPr>
              <w:t>YES</w:t>
            </w:r>
          </w:p>
        </w:tc>
      </w:tr>
      <w:tr w:rsidR="00E77841" w:rsidRPr="00E77841" w14:paraId="56079615" w14:textId="77777777" w:rsidTr="008E3209">
        <w:trPr>
          <w:jc w:val="center"/>
        </w:trPr>
        <w:tc>
          <w:tcPr>
            <w:tcW w:w="1169" w:type="pct"/>
            <w:tcBorders>
              <w:top w:val="nil"/>
              <w:left w:val="nil"/>
              <w:bottom w:val="nil"/>
              <w:right w:val="nil"/>
            </w:tcBorders>
          </w:tcPr>
          <w:p w14:paraId="6158AF50" w14:textId="77777777" w:rsidR="00E77841" w:rsidRPr="00E77841" w:rsidRDefault="00E77841" w:rsidP="009B09A3">
            <w:pPr>
              <w:widowControl w:val="0"/>
              <w:autoSpaceDE w:val="0"/>
              <w:autoSpaceDN w:val="0"/>
              <w:adjustRightInd w:val="0"/>
              <w:rPr>
                <w:rFonts w:ascii="Times New Roman" w:hAnsi="Times New Roman" w:cs="Times New Roman"/>
                <w:sz w:val="20"/>
                <w:szCs w:val="24"/>
              </w:rPr>
            </w:pPr>
          </w:p>
        </w:tc>
        <w:tc>
          <w:tcPr>
            <w:tcW w:w="638" w:type="pct"/>
            <w:tcBorders>
              <w:top w:val="nil"/>
              <w:left w:val="nil"/>
              <w:bottom w:val="nil"/>
              <w:right w:val="nil"/>
            </w:tcBorders>
          </w:tcPr>
          <w:p w14:paraId="224A8BFF"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p>
        </w:tc>
        <w:tc>
          <w:tcPr>
            <w:tcW w:w="638" w:type="pct"/>
            <w:tcBorders>
              <w:top w:val="nil"/>
              <w:left w:val="nil"/>
              <w:bottom w:val="nil"/>
              <w:right w:val="nil"/>
            </w:tcBorders>
          </w:tcPr>
          <w:p w14:paraId="20E979C0"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p>
        </w:tc>
        <w:tc>
          <w:tcPr>
            <w:tcW w:w="639" w:type="pct"/>
            <w:tcBorders>
              <w:top w:val="nil"/>
              <w:left w:val="nil"/>
              <w:bottom w:val="nil"/>
              <w:right w:val="single" w:sz="6" w:space="0" w:color="auto"/>
            </w:tcBorders>
          </w:tcPr>
          <w:p w14:paraId="37F0727F"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p>
        </w:tc>
        <w:tc>
          <w:tcPr>
            <w:tcW w:w="638" w:type="pct"/>
            <w:tcBorders>
              <w:top w:val="nil"/>
              <w:left w:val="single" w:sz="6" w:space="0" w:color="auto"/>
              <w:bottom w:val="nil"/>
              <w:right w:val="nil"/>
            </w:tcBorders>
          </w:tcPr>
          <w:p w14:paraId="1E65515F"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p>
        </w:tc>
        <w:tc>
          <w:tcPr>
            <w:tcW w:w="638" w:type="pct"/>
            <w:tcBorders>
              <w:top w:val="nil"/>
              <w:left w:val="nil"/>
              <w:bottom w:val="nil"/>
              <w:right w:val="nil"/>
            </w:tcBorders>
          </w:tcPr>
          <w:p w14:paraId="2FEF7E2F"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p>
        </w:tc>
        <w:tc>
          <w:tcPr>
            <w:tcW w:w="639" w:type="pct"/>
            <w:tcBorders>
              <w:top w:val="nil"/>
              <w:left w:val="nil"/>
              <w:bottom w:val="nil"/>
              <w:right w:val="nil"/>
            </w:tcBorders>
          </w:tcPr>
          <w:p w14:paraId="11C88E4B"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p>
        </w:tc>
      </w:tr>
      <w:tr w:rsidR="00E77841" w:rsidRPr="00E77841" w14:paraId="22279B54" w14:textId="77777777" w:rsidTr="008E3209">
        <w:trPr>
          <w:jc w:val="center"/>
        </w:trPr>
        <w:tc>
          <w:tcPr>
            <w:tcW w:w="1169" w:type="pct"/>
            <w:tcBorders>
              <w:top w:val="nil"/>
              <w:left w:val="nil"/>
              <w:bottom w:val="nil"/>
              <w:right w:val="nil"/>
            </w:tcBorders>
          </w:tcPr>
          <w:p w14:paraId="7C157E5D" w14:textId="77777777" w:rsidR="00E77841" w:rsidRPr="00E77841" w:rsidRDefault="00E77841" w:rsidP="009B09A3">
            <w:pPr>
              <w:widowControl w:val="0"/>
              <w:autoSpaceDE w:val="0"/>
              <w:autoSpaceDN w:val="0"/>
              <w:adjustRightInd w:val="0"/>
              <w:rPr>
                <w:rFonts w:ascii="Times New Roman" w:hAnsi="Times New Roman" w:cs="Times New Roman"/>
                <w:sz w:val="20"/>
                <w:szCs w:val="24"/>
              </w:rPr>
            </w:pPr>
            <w:r w:rsidRPr="00E77841">
              <w:rPr>
                <w:rFonts w:ascii="Times New Roman" w:hAnsi="Times New Roman" w:cs="Times New Roman"/>
                <w:sz w:val="20"/>
                <w:szCs w:val="24"/>
              </w:rPr>
              <w:t>Observations</w:t>
            </w:r>
          </w:p>
        </w:tc>
        <w:tc>
          <w:tcPr>
            <w:tcW w:w="638" w:type="pct"/>
            <w:tcBorders>
              <w:top w:val="nil"/>
              <w:left w:val="nil"/>
              <w:bottom w:val="nil"/>
              <w:right w:val="nil"/>
            </w:tcBorders>
          </w:tcPr>
          <w:p w14:paraId="5F9DB4B6"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192</w:t>
            </w:r>
          </w:p>
        </w:tc>
        <w:tc>
          <w:tcPr>
            <w:tcW w:w="638" w:type="pct"/>
            <w:tcBorders>
              <w:top w:val="nil"/>
              <w:left w:val="nil"/>
              <w:bottom w:val="nil"/>
              <w:right w:val="nil"/>
            </w:tcBorders>
          </w:tcPr>
          <w:p w14:paraId="402A9EC8"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192</w:t>
            </w:r>
          </w:p>
        </w:tc>
        <w:tc>
          <w:tcPr>
            <w:tcW w:w="639" w:type="pct"/>
            <w:tcBorders>
              <w:top w:val="nil"/>
              <w:left w:val="nil"/>
              <w:bottom w:val="nil"/>
              <w:right w:val="single" w:sz="6" w:space="0" w:color="auto"/>
            </w:tcBorders>
          </w:tcPr>
          <w:p w14:paraId="3E1A3161"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192</w:t>
            </w:r>
          </w:p>
        </w:tc>
        <w:tc>
          <w:tcPr>
            <w:tcW w:w="638" w:type="pct"/>
            <w:tcBorders>
              <w:top w:val="nil"/>
              <w:left w:val="single" w:sz="6" w:space="0" w:color="auto"/>
              <w:bottom w:val="nil"/>
              <w:right w:val="nil"/>
            </w:tcBorders>
          </w:tcPr>
          <w:p w14:paraId="0DE51E19"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192</w:t>
            </w:r>
          </w:p>
        </w:tc>
        <w:tc>
          <w:tcPr>
            <w:tcW w:w="638" w:type="pct"/>
            <w:tcBorders>
              <w:top w:val="nil"/>
              <w:left w:val="nil"/>
              <w:bottom w:val="nil"/>
              <w:right w:val="nil"/>
            </w:tcBorders>
          </w:tcPr>
          <w:p w14:paraId="29C05FFA"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192</w:t>
            </w:r>
          </w:p>
        </w:tc>
        <w:tc>
          <w:tcPr>
            <w:tcW w:w="639" w:type="pct"/>
            <w:tcBorders>
              <w:top w:val="nil"/>
              <w:left w:val="nil"/>
              <w:bottom w:val="nil"/>
              <w:right w:val="nil"/>
            </w:tcBorders>
          </w:tcPr>
          <w:p w14:paraId="542ECAD1"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192</w:t>
            </w:r>
          </w:p>
        </w:tc>
      </w:tr>
      <w:tr w:rsidR="00E77841" w:rsidRPr="00E77841" w14:paraId="0DFB9D78" w14:textId="77777777" w:rsidTr="008E3209">
        <w:tblPrEx>
          <w:tblBorders>
            <w:bottom w:val="single" w:sz="6" w:space="0" w:color="auto"/>
          </w:tblBorders>
        </w:tblPrEx>
        <w:trPr>
          <w:jc w:val="center"/>
        </w:trPr>
        <w:tc>
          <w:tcPr>
            <w:tcW w:w="1169" w:type="pct"/>
            <w:tcBorders>
              <w:top w:val="nil"/>
              <w:left w:val="nil"/>
              <w:bottom w:val="single" w:sz="6" w:space="0" w:color="auto"/>
              <w:right w:val="nil"/>
            </w:tcBorders>
          </w:tcPr>
          <w:p w14:paraId="647EB277" w14:textId="77777777" w:rsidR="00E77841" w:rsidRPr="00E77841" w:rsidRDefault="00E77841" w:rsidP="009B09A3">
            <w:pPr>
              <w:widowControl w:val="0"/>
              <w:autoSpaceDE w:val="0"/>
              <w:autoSpaceDN w:val="0"/>
              <w:adjustRightInd w:val="0"/>
              <w:rPr>
                <w:rFonts w:ascii="Times New Roman" w:hAnsi="Times New Roman" w:cs="Times New Roman"/>
                <w:sz w:val="20"/>
                <w:szCs w:val="24"/>
              </w:rPr>
            </w:pPr>
            <w:r w:rsidRPr="00E77841">
              <w:rPr>
                <w:rFonts w:ascii="Times New Roman" w:hAnsi="Times New Roman" w:cs="Times New Roman"/>
                <w:sz w:val="20"/>
                <w:szCs w:val="24"/>
              </w:rPr>
              <w:t>R-squared</w:t>
            </w:r>
          </w:p>
        </w:tc>
        <w:tc>
          <w:tcPr>
            <w:tcW w:w="638" w:type="pct"/>
            <w:tcBorders>
              <w:top w:val="nil"/>
              <w:left w:val="nil"/>
              <w:bottom w:val="single" w:sz="6" w:space="0" w:color="auto"/>
              <w:right w:val="nil"/>
            </w:tcBorders>
          </w:tcPr>
          <w:p w14:paraId="6B916DF9"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0.411</w:t>
            </w:r>
          </w:p>
        </w:tc>
        <w:tc>
          <w:tcPr>
            <w:tcW w:w="638" w:type="pct"/>
            <w:tcBorders>
              <w:top w:val="nil"/>
              <w:left w:val="nil"/>
              <w:bottom w:val="single" w:sz="6" w:space="0" w:color="auto"/>
              <w:right w:val="nil"/>
            </w:tcBorders>
          </w:tcPr>
          <w:p w14:paraId="4534D521"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0.409</w:t>
            </w:r>
          </w:p>
        </w:tc>
        <w:tc>
          <w:tcPr>
            <w:tcW w:w="639" w:type="pct"/>
            <w:tcBorders>
              <w:top w:val="nil"/>
              <w:left w:val="nil"/>
              <w:bottom w:val="single" w:sz="6" w:space="0" w:color="auto"/>
              <w:right w:val="single" w:sz="6" w:space="0" w:color="auto"/>
            </w:tcBorders>
          </w:tcPr>
          <w:p w14:paraId="16E12D94"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0.410</w:t>
            </w:r>
          </w:p>
        </w:tc>
        <w:tc>
          <w:tcPr>
            <w:tcW w:w="638" w:type="pct"/>
            <w:tcBorders>
              <w:top w:val="nil"/>
              <w:left w:val="single" w:sz="6" w:space="0" w:color="auto"/>
              <w:bottom w:val="single" w:sz="6" w:space="0" w:color="auto"/>
              <w:right w:val="nil"/>
            </w:tcBorders>
          </w:tcPr>
          <w:p w14:paraId="579E5165"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0.417</w:t>
            </w:r>
          </w:p>
        </w:tc>
        <w:tc>
          <w:tcPr>
            <w:tcW w:w="638" w:type="pct"/>
            <w:tcBorders>
              <w:top w:val="nil"/>
              <w:left w:val="nil"/>
              <w:bottom w:val="single" w:sz="6" w:space="0" w:color="auto"/>
              <w:right w:val="nil"/>
            </w:tcBorders>
          </w:tcPr>
          <w:p w14:paraId="6FA5663B"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0.411</w:t>
            </w:r>
          </w:p>
        </w:tc>
        <w:tc>
          <w:tcPr>
            <w:tcW w:w="639" w:type="pct"/>
            <w:tcBorders>
              <w:top w:val="nil"/>
              <w:left w:val="nil"/>
              <w:bottom w:val="single" w:sz="6" w:space="0" w:color="auto"/>
              <w:right w:val="nil"/>
            </w:tcBorders>
          </w:tcPr>
          <w:p w14:paraId="374FDDC5" w14:textId="77777777" w:rsidR="00E77841" w:rsidRPr="00E77841" w:rsidRDefault="00E77841" w:rsidP="009B09A3">
            <w:pPr>
              <w:widowControl w:val="0"/>
              <w:autoSpaceDE w:val="0"/>
              <w:autoSpaceDN w:val="0"/>
              <w:adjustRightInd w:val="0"/>
              <w:jc w:val="center"/>
              <w:rPr>
                <w:rFonts w:ascii="Times New Roman" w:hAnsi="Times New Roman" w:cs="Times New Roman"/>
                <w:sz w:val="20"/>
                <w:szCs w:val="24"/>
              </w:rPr>
            </w:pPr>
            <w:r w:rsidRPr="00E77841">
              <w:rPr>
                <w:rFonts w:ascii="Times New Roman" w:hAnsi="Times New Roman" w:cs="Times New Roman"/>
                <w:sz w:val="20"/>
                <w:szCs w:val="24"/>
              </w:rPr>
              <w:t>0.409</w:t>
            </w:r>
          </w:p>
        </w:tc>
      </w:tr>
    </w:tbl>
    <w:p w14:paraId="16F32730" w14:textId="45458225" w:rsidR="00C179DC" w:rsidRDefault="008F3FA8" w:rsidP="00970CB8">
      <w:pPr>
        <w:widowControl w:val="0"/>
        <w:autoSpaceDE w:val="0"/>
        <w:autoSpaceDN w:val="0"/>
        <w:adjustRightInd w:val="0"/>
        <w:spacing w:line="276" w:lineRule="auto"/>
        <w:rPr>
          <w:rFonts w:ascii="Times New Roman" w:hAnsi="Times New Roman" w:cs="Times New Roman"/>
          <w:sz w:val="18"/>
          <w:szCs w:val="18"/>
        </w:rPr>
      </w:pPr>
      <w:r w:rsidRPr="001344F0">
        <w:rPr>
          <w:rFonts w:ascii="Times New Roman" w:hAnsi="Times New Roman" w:cs="Times New Roman"/>
          <w:i/>
          <w:sz w:val="18"/>
          <w:szCs w:val="18"/>
        </w:rPr>
        <w:t>Notes</w:t>
      </w:r>
      <w:r w:rsidRPr="001344F0">
        <w:rPr>
          <w:rFonts w:ascii="Times New Roman" w:hAnsi="Times New Roman" w:cs="Times New Roman"/>
          <w:sz w:val="18"/>
          <w:szCs w:val="18"/>
        </w:rPr>
        <w:t>: *** p&lt;0.01, ** p&lt;0.05, * p&lt;0.1.  Robust standard errors are in parentheses.  Dependent variables are industry-adjusted ROA and Q.</w:t>
      </w:r>
      <w:r w:rsidRPr="00BC68C4">
        <w:rPr>
          <w:rFonts w:ascii="Times New Roman" w:hAnsi="Times New Roman" w:cs="Times New Roman"/>
          <w:sz w:val="18"/>
          <w:szCs w:val="18"/>
        </w:rPr>
        <w:t xml:space="preserve"> </w:t>
      </w:r>
    </w:p>
    <w:p w14:paraId="169E9146" w14:textId="77777777" w:rsidR="00DC5523" w:rsidRDefault="00DC5523" w:rsidP="00DC5523">
      <w:pPr>
        <w:widowControl w:val="0"/>
        <w:autoSpaceDE w:val="0"/>
        <w:autoSpaceDN w:val="0"/>
        <w:adjustRightInd w:val="0"/>
        <w:spacing w:line="276" w:lineRule="auto"/>
        <w:rPr>
          <w:rFonts w:ascii="Times New Roman" w:hAnsi="Times New Roman" w:cs="Times New Roman"/>
          <w:sz w:val="18"/>
          <w:szCs w:val="18"/>
        </w:rPr>
      </w:pPr>
    </w:p>
    <w:p w14:paraId="5C37D703" w14:textId="77777777" w:rsidR="00DC5523" w:rsidRDefault="00DC5523" w:rsidP="00DC5523">
      <w:pPr>
        <w:widowControl w:val="0"/>
        <w:autoSpaceDE w:val="0"/>
        <w:autoSpaceDN w:val="0"/>
        <w:adjustRightInd w:val="0"/>
        <w:spacing w:line="276" w:lineRule="auto"/>
        <w:rPr>
          <w:rFonts w:ascii="Times New Roman" w:hAnsi="Times New Roman" w:cs="Times New Roman"/>
          <w:sz w:val="18"/>
          <w:szCs w:val="18"/>
        </w:rPr>
      </w:pPr>
    </w:p>
    <w:p w14:paraId="65406AD9" w14:textId="77777777" w:rsidR="00DC5523" w:rsidRDefault="00DC5523" w:rsidP="00DC5523">
      <w:pPr>
        <w:widowControl w:val="0"/>
        <w:autoSpaceDE w:val="0"/>
        <w:autoSpaceDN w:val="0"/>
        <w:adjustRightInd w:val="0"/>
        <w:spacing w:line="276" w:lineRule="auto"/>
        <w:rPr>
          <w:rFonts w:ascii="Times New Roman" w:hAnsi="Times New Roman" w:cs="Times New Roman"/>
          <w:sz w:val="18"/>
          <w:szCs w:val="18"/>
        </w:rPr>
      </w:pPr>
    </w:p>
    <w:p w14:paraId="73500216" w14:textId="77777777" w:rsidR="00DC5523" w:rsidRDefault="00DC5523" w:rsidP="00DC5523">
      <w:pPr>
        <w:widowControl w:val="0"/>
        <w:autoSpaceDE w:val="0"/>
        <w:autoSpaceDN w:val="0"/>
        <w:adjustRightInd w:val="0"/>
        <w:spacing w:line="276" w:lineRule="auto"/>
        <w:rPr>
          <w:rFonts w:ascii="Times New Roman" w:hAnsi="Times New Roman" w:cs="Times New Roman"/>
          <w:sz w:val="18"/>
          <w:szCs w:val="18"/>
        </w:rPr>
      </w:pPr>
    </w:p>
    <w:p w14:paraId="5F6CFE7A" w14:textId="77777777" w:rsidR="00DC5523" w:rsidRDefault="00DC5523" w:rsidP="00DC5523">
      <w:pPr>
        <w:widowControl w:val="0"/>
        <w:autoSpaceDE w:val="0"/>
        <w:autoSpaceDN w:val="0"/>
        <w:adjustRightInd w:val="0"/>
        <w:spacing w:line="276" w:lineRule="auto"/>
        <w:rPr>
          <w:rFonts w:ascii="Times New Roman" w:hAnsi="Times New Roman" w:cs="Times New Roman"/>
          <w:sz w:val="18"/>
          <w:szCs w:val="18"/>
        </w:rPr>
      </w:pPr>
    </w:p>
    <w:p w14:paraId="736B6B27" w14:textId="77777777" w:rsidR="00DC5523" w:rsidRDefault="00DC5523" w:rsidP="00DC5523">
      <w:pPr>
        <w:widowControl w:val="0"/>
        <w:autoSpaceDE w:val="0"/>
        <w:autoSpaceDN w:val="0"/>
        <w:adjustRightInd w:val="0"/>
        <w:spacing w:line="276" w:lineRule="auto"/>
        <w:rPr>
          <w:rFonts w:ascii="Times New Roman" w:hAnsi="Times New Roman" w:cs="Times New Roman"/>
          <w:sz w:val="18"/>
          <w:szCs w:val="18"/>
        </w:rPr>
      </w:pPr>
    </w:p>
    <w:p w14:paraId="7AFAB964" w14:textId="77777777" w:rsidR="00DC5523" w:rsidRDefault="00DC5523" w:rsidP="00DC5523">
      <w:pPr>
        <w:widowControl w:val="0"/>
        <w:autoSpaceDE w:val="0"/>
        <w:autoSpaceDN w:val="0"/>
        <w:adjustRightInd w:val="0"/>
        <w:spacing w:line="276" w:lineRule="auto"/>
        <w:rPr>
          <w:rFonts w:ascii="Times New Roman" w:hAnsi="Times New Roman" w:cs="Times New Roman"/>
          <w:sz w:val="18"/>
          <w:szCs w:val="18"/>
        </w:rPr>
      </w:pPr>
    </w:p>
    <w:p w14:paraId="7FA725B0" w14:textId="77777777" w:rsidR="00DC5523" w:rsidRDefault="00DC5523" w:rsidP="00DC5523">
      <w:pPr>
        <w:widowControl w:val="0"/>
        <w:autoSpaceDE w:val="0"/>
        <w:autoSpaceDN w:val="0"/>
        <w:adjustRightInd w:val="0"/>
        <w:spacing w:line="276" w:lineRule="auto"/>
        <w:rPr>
          <w:rFonts w:ascii="Times New Roman" w:hAnsi="Times New Roman" w:cs="Times New Roman"/>
          <w:sz w:val="18"/>
          <w:szCs w:val="18"/>
        </w:rPr>
      </w:pPr>
    </w:p>
    <w:p w14:paraId="4A5DD496" w14:textId="77777777" w:rsidR="00DC5523" w:rsidRDefault="00DC5523" w:rsidP="00DC5523">
      <w:pPr>
        <w:widowControl w:val="0"/>
        <w:autoSpaceDE w:val="0"/>
        <w:autoSpaceDN w:val="0"/>
        <w:adjustRightInd w:val="0"/>
        <w:spacing w:line="276" w:lineRule="auto"/>
        <w:rPr>
          <w:rFonts w:ascii="Times New Roman" w:hAnsi="Times New Roman" w:cs="Times New Roman"/>
          <w:sz w:val="18"/>
          <w:szCs w:val="18"/>
        </w:rPr>
      </w:pPr>
    </w:p>
    <w:p w14:paraId="0CB15DE1" w14:textId="77777777" w:rsidR="00DC5523" w:rsidRDefault="00DC5523" w:rsidP="00DC5523">
      <w:pPr>
        <w:widowControl w:val="0"/>
        <w:autoSpaceDE w:val="0"/>
        <w:autoSpaceDN w:val="0"/>
        <w:adjustRightInd w:val="0"/>
        <w:spacing w:line="276" w:lineRule="auto"/>
        <w:rPr>
          <w:rFonts w:ascii="Times New Roman" w:hAnsi="Times New Roman" w:cs="Times New Roman"/>
          <w:sz w:val="18"/>
          <w:szCs w:val="18"/>
        </w:rPr>
      </w:pPr>
    </w:p>
    <w:p w14:paraId="0B6B3CFC" w14:textId="77777777" w:rsidR="00DC5523" w:rsidRDefault="00DC5523" w:rsidP="00DC5523">
      <w:pPr>
        <w:widowControl w:val="0"/>
        <w:autoSpaceDE w:val="0"/>
        <w:autoSpaceDN w:val="0"/>
        <w:adjustRightInd w:val="0"/>
        <w:spacing w:line="276" w:lineRule="auto"/>
        <w:rPr>
          <w:rFonts w:ascii="Times New Roman" w:hAnsi="Times New Roman" w:cs="Times New Roman"/>
          <w:sz w:val="18"/>
          <w:szCs w:val="18"/>
        </w:rPr>
      </w:pPr>
    </w:p>
    <w:p w14:paraId="2C0F4486" w14:textId="77777777" w:rsidR="00DC5523" w:rsidRDefault="00DC5523" w:rsidP="00DC5523">
      <w:pPr>
        <w:widowControl w:val="0"/>
        <w:autoSpaceDE w:val="0"/>
        <w:autoSpaceDN w:val="0"/>
        <w:adjustRightInd w:val="0"/>
        <w:spacing w:line="276" w:lineRule="auto"/>
        <w:rPr>
          <w:rFonts w:ascii="Times New Roman" w:hAnsi="Times New Roman" w:cs="Times New Roman"/>
          <w:sz w:val="18"/>
          <w:szCs w:val="18"/>
        </w:rPr>
      </w:pPr>
    </w:p>
    <w:p w14:paraId="60C48C43" w14:textId="77777777" w:rsidR="00DC5523" w:rsidRDefault="00DC5523" w:rsidP="00DC5523">
      <w:pPr>
        <w:widowControl w:val="0"/>
        <w:autoSpaceDE w:val="0"/>
        <w:autoSpaceDN w:val="0"/>
        <w:adjustRightInd w:val="0"/>
        <w:spacing w:line="276" w:lineRule="auto"/>
        <w:rPr>
          <w:rFonts w:ascii="Times New Roman" w:hAnsi="Times New Roman" w:cs="Times New Roman"/>
          <w:sz w:val="18"/>
          <w:szCs w:val="18"/>
        </w:rPr>
      </w:pPr>
    </w:p>
    <w:p w14:paraId="6F45E065" w14:textId="541A2A17" w:rsidR="008E3209" w:rsidRDefault="008E3209">
      <w:pPr>
        <w:spacing w:after="200" w:line="276" w:lineRule="auto"/>
        <w:jc w:val="left"/>
        <w:rPr>
          <w:rFonts w:ascii="Times New Roman" w:hAnsi="Times New Roman" w:cs="Times New Roman"/>
          <w:sz w:val="18"/>
          <w:szCs w:val="18"/>
        </w:rPr>
      </w:pPr>
      <w:r>
        <w:rPr>
          <w:rFonts w:ascii="Times New Roman" w:hAnsi="Times New Roman" w:cs="Times New Roman"/>
          <w:sz w:val="18"/>
          <w:szCs w:val="18"/>
        </w:rPr>
        <w:br w:type="page"/>
      </w:r>
    </w:p>
    <w:p w14:paraId="0ACDA9FF" w14:textId="77777777" w:rsidR="00DC5523" w:rsidRDefault="00DC5523" w:rsidP="00DC5523">
      <w:pPr>
        <w:widowControl w:val="0"/>
        <w:autoSpaceDE w:val="0"/>
        <w:autoSpaceDN w:val="0"/>
        <w:adjustRightInd w:val="0"/>
        <w:spacing w:line="276" w:lineRule="auto"/>
        <w:rPr>
          <w:rFonts w:ascii="Times New Roman" w:hAnsi="Times New Roman" w:cs="Times New Roman"/>
          <w:sz w:val="18"/>
          <w:szCs w:val="18"/>
        </w:rPr>
      </w:pPr>
    </w:p>
    <w:p w14:paraId="66BE7EC5" w14:textId="77777777" w:rsidR="00DC5523" w:rsidRDefault="00DC5523" w:rsidP="00DC5523">
      <w:pPr>
        <w:widowControl w:val="0"/>
        <w:autoSpaceDE w:val="0"/>
        <w:autoSpaceDN w:val="0"/>
        <w:adjustRightInd w:val="0"/>
        <w:spacing w:line="276" w:lineRule="auto"/>
        <w:rPr>
          <w:rFonts w:ascii="Times New Roman" w:hAnsi="Times New Roman" w:cs="Times New Roman"/>
          <w:sz w:val="18"/>
          <w:szCs w:val="18"/>
        </w:rPr>
      </w:pPr>
    </w:p>
    <w:p w14:paraId="188134B6" w14:textId="7BFAAD4E" w:rsidR="00703AC0" w:rsidRPr="00703AC0" w:rsidRDefault="00703AC0" w:rsidP="00CF3EB9">
      <w:pPr>
        <w:jc w:val="center"/>
        <w:rPr>
          <w:rFonts w:ascii="Times New Roman" w:hAnsi="Times New Roman" w:cs="Times New Roman"/>
          <w:sz w:val="20"/>
          <w:szCs w:val="20"/>
        </w:rPr>
      </w:pPr>
      <w:r w:rsidRPr="00703AC0">
        <w:rPr>
          <w:rFonts w:ascii="Times New Roman" w:hAnsi="Times New Roman" w:cs="Times New Roman"/>
          <w:sz w:val="20"/>
          <w:szCs w:val="20"/>
        </w:rPr>
        <w:t>TABLE 1</w:t>
      </w:r>
      <w:r w:rsidR="00635C6E">
        <w:rPr>
          <w:rFonts w:ascii="Times New Roman" w:hAnsi="Times New Roman" w:cs="Times New Roman"/>
          <w:sz w:val="20"/>
          <w:szCs w:val="20"/>
        </w:rPr>
        <w:t>0</w:t>
      </w:r>
    </w:p>
    <w:p w14:paraId="58C126B0" w14:textId="2FCFF246" w:rsidR="00F40EF7" w:rsidRPr="00703AC0" w:rsidRDefault="00703AC0" w:rsidP="00CF3EB9">
      <w:pPr>
        <w:jc w:val="center"/>
        <w:rPr>
          <w:rFonts w:ascii="Times New Roman" w:hAnsi="Times New Roman" w:cs="Times New Roman"/>
          <w:sz w:val="24"/>
          <w:szCs w:val="24"/>
        </w:rPr>
      </w:pPr>
      <w:r w:rsidRPr="00703AC0">
        <w:rPr>
          <w:rFonts w:ascii="Times New Roman" w:hAnsi="Times New Roman" w:cs="Times New Roman"/>
          <w:sz w:val="24"/>
          <w:szCs w:val="24"/>
        </w:rPr>
        <w:t>MULTINOMIAL LOGIT REGRESSIONS - FINAL STATUS OF THE COMPANY</w:t>
      </w:r>
    </w:p>
    <w:tbl>
      <w:tblPr>
        <w:tblW w:w="5000" w:type="pct"/>
        <w:jc w:val="center"/>
        <w:tblCellMar>
          <w:left w:w="75" w:type="dxa"/>
          <w:right w:w="75" w:type="dxa"/>
        </w:tblCellMar>
        <w:tblLook w:val="0000" w:firstRow="0" w:lastRow="0" w:firstColumn="0" w:lastColumn="0" w:noHBand="0" w:noVBand="0"/>
      </w:tblPr>
      <w:tblGrid>
        <w:gridCol w:w="2043"/>
        <w:gridCol w:w="958"/>
        <w:gridCol w:w="1787"/>
        <w:gridCol w:w="1242"/>
        <w:gridCol w:w="1538"/>
        <w:gridCol w:w="1608"/>
      </w:tblGrid>
      <w:tr w:rsidR="00FE15AB" w:rsidRPr="00BC68C4" w14:paraId="0594ABAA" w14:textId="77777777" w:rsidTr="00FE15AB">
        <w:trPr>
          <w:jc w:val="center"/>
        </w:trPr>
        <w:tc>
          <w:tcPr>
            <w:tcW w:w="1113" w:type="pct"/>
            <w:tcBorders>
              <w:top w:val="single" w:sz="6" w:space="0" w:color="auto"/>
              <w:left w:val="nil"/>
              <w:bottom w:val="nil"/>
              <w:right w:val="nil"/>
            </w:tcBorders>
          </w:tcPr>
          <w:p w14:paraId="7C06BC42"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p>
        </w:tc>
        <w:tc>
          <w:tcPr>
            <w:tcW w:w="522" w:type="pct"/>
            <w:tcBorders>
              <w:top w:val="single" w:sz="6" w:space="0" w:color="auto"/>
              <w:left w:val="nil"/>
              <w:bottom w:val="nil"/>
              <w:right w:val="nil"/>
            </w:tcBorders>
          </w:tcPr>
          <w:p w14:paraId="29713786"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(1)</w:t>
            </w:r>
          </w:p>
        </w:tc>
        <w:tc>
          <w:tcPr>
            <w:tcW w:w="974" w:type="pct"/>
            <w:tcBorders>
              <w:top w:val="single" w:sz="6" w:space="0" w:color="auto"/>
              <w:left w:val="nil"/>
              <w:bottom w:val="nil"/>
              <w:right w:val="nil"/>
            </w:tcBorders>
          </w:tcPr>
          <w:p w14:paraId="776BD9C8"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(2)</w:t>
            </w:r>
          </w:p>
        </w:tc>
        <w:tc>
          <w:tcPr>
            <w:tcW w:w="677" w:type="pct"/>
            <w:tcBorders>
              <w:top w:val="single" w:sz="6" w:space="0" w:color="auto"/>
              <w:left w:val="nil"/>
              <w:bottom w:val="nil"/>
              <w:right w:val="nil"/>
            </w:tcBorders>
          </w:tcPr>
          <w:p w14:paraId="7F8EC025"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(3)</w:t>
            </w:r>
          </w:p>
        </w:tc>
        <w:tc>
          <w:tcPr>
            <w:tcW w:w="838" w:type="pct"/>
            <w:tcBorders>
              <w:top w:val="single" w:sz="6" w:space="0" w:color="auto"/>
              <w:left w:val="nil"/>
              <w:bottom w:val="nil"/>
              <w:right w:val="nil"/>
            </w:tcBorders>
          </w:tcPr>
          <w:p w14:paraId="226E3A43"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(4)</w:t>
            </w:r>
          </w:p>
        </w:tc>
        <w:tc>
          <w:tcPr>
            <w:tcW w:w="876" w:type="pct"/>
            <w:tcBorders>
              <w:top w:val="single" w:sz="6" w:space="0" w:color="auto"/>
              <w:left w:val="nil"/>
              <w:bottom w:val="nil"/>
              <w:right w:val="nil"/>
            </w:tcBorders>
          </w:tcPr>
          <w:p w14:paraId="79BDE8B0"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(5)</w:t>
            </w:r>
          </w:p>
        </w:tc>
      </w:tr>
      <w:tr w:rsidR="00FE15AB" w:rsidRPr="00BC68C4" w14:paraId="4CE5D3BF" w14:textId="77777777" w:rsidTr="00FE15AB">
        <w:trPr>
          <w:jc w:val="center"/>
        </w:trPr>
        <w:tc>
          <w:tcPr>
            <w:tcW w:w="1113" w:type="pct"/>
            <w:tcBorders>
              <w:top w:val="nil"/>
              <w:left w:val="nil"/>
              <w:bottom w:val="single" w:sz="6" w:space="0" w:color="auto"/>
              <w:right w:val="nil"/>
            </w:tcBorders>
          </w:tcPr>
          <w:p w14:paraId="338A58AC" w14:textId="25FF7E59" w:rsidR="00FE15AB" w:rsidRPr="00BC68C4" w:rsidRDefault="00FE15AB" w:rsidP="0044062C">
            <w:pPr>
              <w:widowControl w:val="0"/>
              <w:autoSpaceDE w:val="0"/>
              <w:autoSpaceDN w:val="0"/>
              <w:adjustRightInd w:val="0"/>
              <w:rPr>
                <w:rFonts w:ascii="Times New Roman" w:hAnsi="Times New Roman" w:cs="Times New Roman"/>
                <w:sz w:val="20"/>
                <w:szCs w:val="20"/>
              </w:rPr>
            </w:pPr>
          </w:p>
        </w:tc>
        <w:tc>
          <w:tcPr>
            <w:tcW w:w="522" w:type="pct"/>
            <w:tcBorders>
              <w:top w:val="nil"/>
              <w:left w:val="nil"/>
              <w:bottom w:val="single" w:sz="6" w:space="0" w:color="auto"/>
              <w:right w:val="nil"/>
            </w:tcBorders>
          </w:tcPr>
          <w:p w14:paraId="5D789600"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Merged</w:t>
            </w:r>
          </w:p>
        </w:tc>
        <w:tc>
          <w:tcPr>
            <w:tcW w:w="974" w:type="pct"/>
            <w:tcBorders>
              <w:top w:val="nil"/>
              <w:left w:val="nil"/>
              <w:bottom w:val="single" w:sz="6" w:space="0" w:color="auto"/>
              <w:right w:val="nil"/>
            </w:tcBorders>
          </w:tcPr>
          <w:p w14:paraId="761F5DD5"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roofErr w:type="spellStart"/>
            <w:r w:rsidRPr="00BC68C4">
              <w:rPr>
                <w:rFonts w:ascii="Times New Roman" w:hAnsi="Times New Roman" w:cs="Times New Roman"/>
                <w:sz w:val="20"/>
                <w:szCs w:val="20"/>
              </w:rPr>
              <w:t>CourtWoundUp</w:t>
            </w:r>
            <w:proofErr w:type="spellEnd"/>
          </w:p>
        </w:tc>
        <w:tc>
          <w:tcPr>
            <w:tcW w:w="677" w:type="pct"/>
            <w:tcBorders>
              <w:top w:val="nil"/>
              <w:left w:val="nil"/>
              <w:bottom w:val="single" w:sz="6" w:space="0" w:color="auto"/>
              <w:right w:val="nil"/>
            </w:tcBorders>
          </w:tcPr>
          <w:p w14:paraId="2C5F9A6F"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Removed</w:t>
            </w:r>
          </w:p>
        </w:tc>
        <w:tc>
          <w:tcPr>
            <w:tcW w:w="838" w:type="pct"/>
            <w:tcBorders>
              <w:top w:val="nil"/>
              <w:left w:val="nil"/>
              <w:bottom w:val="single" w:sz="6" w:space="0" w:color="auto"/>
              <w:right w:val="nil"/>
            </w:tcBorders>
          </w:tcPr>
          <w:p w14:paraId="6AB456EF"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roofErr w:type="spellStart"/>
            <w:r w:rsidRPr="00BC68C4">
              <w:rPr>
                <w:rFonts w:ascii="Times New Roman" w:hAnsi="Times New Roman" w:cs="Times New Roman"/>
                <w:sz w:val="20"/>
                <w:szCs w:val="20"/>
              </w:rPr>
              <w:t>VolWoundup</w:t>
            </w:r>
            <w:proofErr w:type="spellEnd"/>
          </w:p>
        </w:tc>
        <w:tc>
          <w:tcPr>
            <w:tcW w:w="876" w:type="pct"/>
            <w:tcBorders>
              <w:top w:val="nil"/>
              <w:left w:val="nil"/>
              <w:bottom w:val="single" w:sz="6" w:space="0" w:color="auto"/>
              <w:right w:val="nil"/>
            </w:tcBorders>
          </w:tcPr>
          <w:p w14:paraId="2377FB06"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Reconstructed</w:t>
            </w:r>
          </w:p>
        </w:tc>
      </w:tr>
      <w:tr w:rsidR="00FE15AB" w:rsidRPr="00BC68C4" w14:paraId="32C573CF" w14:textId="77777777" w:rsidTr="00FE15AB">
        <w:trPr>
          <w:jc w:val="center"/>
        </w:trPr>
        <w:tc>
          <w:tcPr>
            <w:tcW w:w="1113" w:type="pct"/>
            <w:tcBorders>
              <w:top w:val="nil"/>
              <w:left w:val="nil"/>
              <w:bottom w:val="nil"/>
              <w:right w:val="nil"/>
            </w:tcBorders>
          </w:tcPr>
          <w:p w14:paraId="27F91391"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p>
        </w:tc>
        <w:tc>
          <w:tcPr>
            <w:tcW w:w="522" w:type="pct"/>
            <w:tcBorders>
              <w:top w:val="nil"/>
              <w:left w:val="nil"/>
              <w:bottom w:val="nil"/>
              <w:right w:val="nil"/>
            </w:tcBorders>
          </w:tcPr>
          <w:p w14:paraId="1970589A"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4" w:type="pct"/>
            <w:tcBorders>
              <w:top w:val="nil"/>
              <w:left w:val="nil"/>
              <w:bottom w:val="nil"/>
              <w:right w:val="nil"/>
            </w:tcBorders>
          </w:tcPr>
          <w:p w14:paraId="0603C4E5"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677" w:type="pct"/>
            <w:tcBorders>
              <w:top w:val="nil"/>
              <w:left w:val="nil"/>
              <w:bottom w:val="nil"/>
              <w:right w:val="nil"/>
            </w:tcBorders>
          </w:tcPr>
          <w:p w14:paraId="59A53A77"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838" w:type="pct"/>
            <w:tcBorders>
              <w:top w:val="nil"/>
              <w:left w:val="nil"/>
              <w:bottom w:val="nil"/>
              <w:right w:val="nil"/>
            </w:tcBorders>
          </w:tcPr>
          <w:p w14:paraId="32C0C6B1"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876" w:type="pct"/>
            <w:tcBorders>
              <w:top w:val="nil"/>
              <w:left w:val="nil"/>
              <w:bottom w:val="nil"/>
              <w:right w:val="nil"/>
            </w:tcBorders>
          </w:tcPr>
          <w:p w14:paraId="28933783"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r>
      <w:tr w:rsidR="00FE15AB" w:rsidRPr="00BC68C4" w14:paraId="058D11FF" w14:textId="77777777" w:rsidTr="00FE15AB">
        <w:trPr>
          <w:jc w:val="center"/>
        </w:trPr>
        <w:tc>
          <w:tcPr>
            <w:tcW w:w="1113" w:type="pct"/>
            <w:tcBorders>
              <w:top w:val="nil"/>
              <w:left w:val="nil"/>
              <w:bottom w:val="nil"/>
              <w:right w:val="nil"/>
            </w:tcBorders>
          </w:tcPr>
          <w:p w14:paraId="5BF89028"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proofErr w:type="spellStart"/>
            <w:r w:rsidRPr="00BC68C4">
              <w:rPr>
                <w:rFonts w:ascii="Times New Roman" w:hAnsi="Times New Roman" w:cs="Times New Roman"/>
                <w:sz w:val="20"/>
                <w:szCs w:val="20"/>
              </w:rPr>
              <w:t>VoteHHI</w:t>
            </w:r>
            <w:proofErr w:type="spellEnd"/>
          </w:p>
        </w:tc>
        <w:tc>
          <w:tcPr>
            <w:tcW w:w="522" w:type="pct"/>
            <w:tcBorders>
              <w:top w:val="nil"/>
              <w:left w:val="nil"/>
              <w:bottom w:val="nil"/>
              <w:right w:val="nil"/>
            </w:tcBorders>
          </w:tcPr>
          <w:p w14:paraId="69BF4511"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4" w:type="pct"/>
            <w:tcBorders>
              <w:top w:val="nil"/>
              <w:left w:val="nil"/>
              <w:bottom w:val="nil"/>
              <w:right w:val="nil"/>
            </w:tcBorders>
          </w:tcPr>
          <w:p w14:paraId="69C984A6"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0.193</w:t>
            </w:r>
          </w:p>
        </w:tc>
        <w:tc>
          <w:tcPr>
            <w:tcW w:w="677" w:type="pct"/>
            <w:tcBorders>
              <w:top w:val="nil"/>
              <w:left w:val="nil"/>
              <w:bottom w:val="nil"/>
              <w:right w:val="nil"/>
            </w:tcBorders>
          </w:tcPr>
          <w:p w14:paraId="72F2CE96"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-0.004</w:t>
            </w:r>
          </w:p>
        </w:tc>
        <w:tc>
          <w:tcPr>
            <w:tcW w:w="838" w:type="pct"/>
            <w:tcBorders>
              <w:top w:val="nil"/>
              <w:left w:val="nil"/>
              <w:bottom w:val="nil"/>
              <w:right w:val="nil"/>
            </w:tcBorders>
          </w:tcPr>
          <w:p w14:paraId="67EC3B1D"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-0.329*</w:t>
            </w:r>
          </w:p>
        </w:tc>
        <w:tc>
          <w:tcPr>
            <w:tcW w:w="876" w:type="pct"/>
            <w:tcBorders>
              <w:top w:val="nil"/>
              <w:left w:val="nil"/>
              <w:bottom w:val="nil"/>
              <w:right w:val="nil"/>
            </w:tcBorders>
          </w:tcPr>
          <w:p w14:paraId="6CA4B3A7"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-0.332</w:t>
            </w:r>
          </w:p>
        </w:tc>
      </w:tr>
      <w:tr w:rsidR="00FE15AB" w:rsidRPr="00BC68C4" w14:paraId="1CA84879" w14:textId="77777777" w:rsidTr="00FE15AB">
        <w:trPr>
          <w:jc w:val="center"/>
        </w:trPr>
        <w:tc>
          <w:tcPr>
            <w:tcW w:w="1113" w:type="pct"/>
            <w:tcBorders>
              <w:top w:val="nil"/>
              <w:left w:val="nil"/>
              <w:bottom w:val="nil"/>
              <w:right w:val="nil"/>
            </w:tcBorders>
          </w:tcPr>
          <w:p w14:paraId="0FF80E93"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p>
        </w:tc>
        <w:tc>
          <w:tcPr>
            <w:tcW w:w="522" w:type="pct"/>
            <w:tcBorders>
              <w:top w:val="nil"/>
              <w:left w:val="nil"/>
              <w:bottom w:val="nil"/>
              <w:right w:val="nil"/>
            </w:tcBorders>
          </w:tcPr>
          <w:p w14:paraId="3A53D3F3"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4" w:type="pct"/>
            <w:tcBorders>
              <w:top w:val="nil"/>
              <w:left w:val="nil"/>
              <w:bottom w:val="nil"/>
              <w:right w:val="nil"/>
            </w:tcBorders>
          </w:tcPr>
          <w:p w14:paraId="3CF6F41C"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(0.253)</w:t>
            </w:r>
          </w:p>
        </w:tc>
        <w:tc>
          <w:tcPr>
            <w:tcW w:w="677" w:type="pct"/>
            <w:tcBorders>
              <w:top w:val="nil"/>
              <w:left w:val="nil"/>
              <w:bottom w:val="nil"/>
              <w:right w:val="nil"/>
            </w:tcBorders>
          </w:tcPr>
          <w:p w14:paraId="68FFA00D"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(0.165)</w:t>
            </w:r>
          </w:p>
        </w:tc>
        <w:tc>
          <w:tcPr>
            <w:tcW w:w="838" w:type="pct"/>
            <w:tcBorders>
              <w:top w:val="nil"/>
              <w:left w:val="nil"/>
              <w:bottom w:val="nil"/>
              <w:right w:val="nil"/>
            </w:tcBorders>
          </w:tcPr>
          <w:p w14:paraId="31ABF04F"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(0.192)</w:t>
            </w:r>
          </w:p>
        </w:tc>
        <w:tc>
          <w:tcPr>
            <w:tcW w:w="876" w:type="pct"/>
            <w:tcBorders>
              <w:top w:val="nil"/>
              <w:left w:val="nil"/>
              <w:bottom w:val="nil"/>
              <w:right w:val="nil"/>
            </w:tcBorders>
          </w:tcPr>
          <w:p w14:paraId="2C2EDB85"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(0.210)</w:t>
            </w:r>
          </w:p>
        </w:tc>
      </w:tr>
      <w:tr w:rsidR="00FE15AB" w:rsidRPr="00BC68C4" w14:paraId="34916E55" w14:textId="77777777" w:rsidTr="00FE15AB">
        <w:trPr>
          <w:jc w:val="center"/>
        </w:trPr>
        <w:tc>
          <w:tcPr>
            <w:tcW w:w="1113" w:type="pct"/>
            <w:tcBorders>
              <w:top w:val="nil"/>
              <w:left w:val="nil"/>
              <w:bottom w:val="nil"/>
              <w:right w:val="nil"/>
            </w:tcBorders>
          </w:tcPr>
          <w:p w14:paraId="7EF1048C"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proofErr w:type="spellStart"/>
            <w:r w:rsidRPr="00BC68C4">
              <w:rPr>
                <w:rFonts w:ascii="Times New Roman" w:hAnsi="Times New Roman" w:cs="Times New Roman"/>
                <w:sz w:val="20"/>
                <w:szCs w:val="20"/>
              </w:rPr>
              <w:t>NumDir</w:t>
            </w:r>
            <w:proofErr w:type="spellEnd"/>
          </w:p>
        </w:tc>
        <w:tc>
          <w:tcPr>
            <w:tcW w:w="522" w:type="pct"/>
            <w:tcBorders>
              <w:top w:val="nil"/>
              <w:left w:val="nil"/>
              <w:bottom w:val="nil"/>
              <w:right w:val="nil"/>
            </w:tcBorders>
          </w:tcPr>
          <w:p w14:paraId="7F4870B5"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4" w:type="pct"/>
            <w:tcBorders>
              <w:top w:val="nil"/>
              <w:left w:val="nil"/>
              <w:bottom w:val="nil"/>
              <w:right w:val="nil"/>
            </w:tcBorders>
          </w:tcPr>
          <w:p w14:paraId="1918C7B8"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-0.538***</w:t>
            </w:r>
          </w:p>
        </w:tc>
        <w:tc>
          <w:tcPr>
            <w:tcW w:w="677" w:type="pct"/>
            <w:tcBorders>
              <w:top w:val="nil"/>
              <w:left w:val="nil"/>
              <w:bottom w:val="nil"/>
              <w:right w:val="nil"/>
            </w:tcBorders>
          </w:tcPr>
          <w:p w14:paraId="66B289F9"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-0.361***</w:t>
            </w:r>
          </w:p>
        </w:tc>
        <w:tc>
          <w:tcPr>
            <w:tcW w:w="838" w:type="pct"/>
            <w:tcBorders>
              <w:top w:val="nil"/>
              <w:left w:val="nil"/>
              <w:bottom w:val="nil"/>
              <w:right w:val="nil"/>
            </w:tcBorders>
          </w:tcPr>
          <w:p w14:paraId="6A641522"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-0.106</w:t>
            </w:r>
          </w:p>
        </w:tc>
        <w:tc>
          <w:tcPr>
            <w:tcW w:w="876" w:type="pct"/>
            <w:tcBorders>
              <w:top w:val="nil"/>
              <w:left w:val="nil"/>
              <w:bottom w:val="nil"/>
              <w:right w:val="nil"/>
            </w:tcBorders>
          </w:tcPr>
          <w:p w14:paraId="1C8BA6F9"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-0.090</w:t>
            </w:r>
          </w:p>
        </w:tc>
      </w:tr>
      <w:tr w:rsidR="00FE15AB" w:rsidRPr="00BC68C4" w14:paraId="6795917F" w14:textId="77777777" w:rsidTr="00FE15AB">
        <w:trPr>
          <w:jc w:val="center"/>
        </w:trPr>
        <w:tc>
          <w:tcPr>
            <w:tcW w:w="1113" w:type="pct"/>
            <w:tcBorders>
              <w:top w:val="nil"/>
              <w:left w:val="nil"/>
              <w:bottom w:val="nil"/>
              <w:right w:val="nil"/>
            </w:tcBorders>
          </w:tcPr>
          <w:p w14:paraId="4A427E7B"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p>
        </w:tc>
        <w:tc>
          <w:tcPr>
            <w:tcW w:w="522" w:type="pct"/>
            <w:tcBorders>
              <w:top w:val="nil"/>
              <w:left w:val="nil"/>
              <w:bottom w:val="nil"/>
              <w:right w:val="nil"/>
            </w:tcBorders>
          </w:tcPr>
          <w:p w14:paraId="73FB1916"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4" w:type="pct"/>
            <w:tcBorders>
              <w:top w:val="nil"/>
              <w:left w:val="nil"/>
              <w:bottom w:val="nil"/>
              <w:right w:val="nil"/>
            </w:tcBorders>
          </w:tcPr>
          <w:p w14:paraId="02FE4A1F"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(0.151)</w:t>
            </w:r>
          </w:p>
        </w:tc>
        <w:tc>
          <w:tcPr>
            <w:tcW w:w="677" w:type="pct"/>
            <w:tcBorders>
              <w:top w:val="nil"/>
              <w:left w:val="nil"/>
              <w:bottom w:val="nil"/>
              <w:right w:val="nil"/>
            </w:tcBorders>
          </w:tcPr>
          <w:p w14:paraId="706E34BE"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(0.113)</w:t>
            </w:r>
          </w:p>
        </w:tc>
        <w:tc>
          <w:tcPr>
            <w:tcW w:w="838" w:type="pct"/>
            <w:tcBorders>
              <w:top w:val="nil"/>
              <w:left w:val="nil"/>
              <w:bottom w:val="nil"/>
              <w:right w:val="nil"/>
            </w:tcBorders>
          </w:tcPr>
          <w:p w14:paraId="4EEA40AE"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(0.086)</w:t>
            </w:r>
          </w:p>
        </w:tc>
        <w:tc>
          <w:tcPr>
            <w:tcW w:w="876" w:type="pct"/>
            <w:tcBorders>
              <w:top w:val="nil"/>
              <w:left w:val="nil"/>
              <w:bottom w:val="nil"/>
              <w:right w:val="nil"/>
            </w:tcBorders>
          </w:tcPr>
          <w:p w14:paraId="0BC033F2"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(0.080)</w:t>
            </w:r>
          </w:p>
        </w:tc>
      </w:tr>
      <w:tr w:rsidR="00FE15AB" w:rsidRPr="00BC68C4" w14:paraId="75D1A6FF" w14:textId="77777777" w:rsidTr="00FE15AB">
        <w:trPr>
          <w:jc w:val="center"/>
        </w:trPr>
        <w:tc>
          <w:tcPr>
            <w:tcW w:w="1113" w:type="pct"/>
            <w:tcBorders>
              <w:top w:val="nil"/>
              <w:left w:val="nil"/>
              <w:bottom w:val="nil"/>
              <w:right w:val="nil"/>
            </w:tcBorders>
          </w:tcPr>
          <w:p w14:paraId="6FFB9305"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proofErr w:type="spellStart"/>
            <w:r w:rsidRPr="00BC68C4">
              <w:rPr>
                <w:rFonts w:ascii="Times New Roman" w:hAnsi="Times New Roman" w:cs="Times New Roman"/>
                <w:sz w:val="20"/>
                <w:szCs w:val="20"/>
              </w:rPr>
              <w:t>OwnDate</w:t>
            </w:r>
            <w:proofErr w:type="spellEnd"/>
          </w:p>
        </w:tc>
        <w:tc>
          <w:tcPr>
            <w:tcW w:w="522" w:type="pct"/>
            <w:tcBorders>
              <w:top w:val="nil"/>
              <w:left w:val="nil"/>
              <w:bottom w:val="nil"/>
              <w:right w:val="nil"/>
            </w:tcBorders>
          </w:tcPr>
          <w:p w14:paraId="21441783"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4" w:type="pct"/>
            <w:tcBorders>
              <w:top w:val="nil"/>
              <w:left w:val="nil"/>
              <w:bottom w:val="nil"/>
              <w:right w:val="nil"/>
            </w:tcBorders>
          </w:tcPr>
          <w:p w14:paraId="4C46B742"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-0.136***</w:t>
            </w:r>
          </w:p>
        </w:tc>
        <w:tc>
          <w:tcPr>
            <w:tcW w:w="677" w:type="pct"/>
            <w:tcBorders>
              <w:top w:val="nil"/>
              <w:left w:val="nil"/>
              <w:bottom w:val="nil"/>
              <w:right w:val="nil"/>
            </w:tcBorders>
          </w:tcPr>
          <w:p w14:paraId="4FF1416F"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-0.090***</w:t>
            </w:r>
          </w:p>
        </w:tc>
        <w:tc>
          <w:tcPr>
            <w:tcW w:w="838" w:type="pct"/>
            <w:tcBorders>
              <w:top w:val="nil"/>
              <w:left w:val="nil"/>
              <w:bottom w:val="nil"/>
              <w:right w:val="nil"/>
            </w:tcBorders>
          </w:tcPr>
          <w:p w14:paraId="75680CB9"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-0.098***</w:t>
            </w:r>
          </w:p>
        </w:tc>
        <w:tc>
          <w:tcPr>
            <w:tcW w:w="876" w:type="pct"/>
            <w:tcBorders>
              <w:top w:val="nil"/>
              <w:left w:val="nil"/>
              <w:bottom w:val="nil"/>
              <w:right w:val="nil"/>
            </w:tcBorders>
          </w:tcPr>
          <w:p w14:paraId="33BD0766"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-0.081***</w:t>
            </w:r>
          </w:p>
        </w:tc>
      </w:tr>
      <w:tr w:rsidR="00FE15AB" w:rsidRPr="00BC68C4" w14:paraId="5EAAF744" w14:textId="77777777" w:rsidTr="00FE15AB">
        <w:trPr>
          <w:jc w:val="center"/>
        </w:trPr>
        <w:tc>
          <w:tcPr>
            <w:tcW w:w="1113" w:type="pct"/>
            <w:tcBorders>
              <w:top w:val="nil"/>
              <w:left w:val="nil"/>
              <w:bottom w:val="nil"/>
              <w:right w:val="nil"/>
            </w:tcBorders>
          </w:tcPr>
          <w:p w14:paraId="070087C4"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p>
        </w:tc>
        <w:tc>
          <w:tcPr>
            <w:tcW w:w="522" w:type="pct"/>
            <w:tcBorders>
              <w:top w:val="nil"/>
              <w:left w:val="nil"/>
              <w:bottom w:val="nil"/>
              <w:right w:val="nil"/>
            </w:tcBorders>
          </w:tcPr>
          <w:p w14:paraId="3A6518BC"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4" w:type="pct"/>
            <w:tcBorders>
              <w:top w:val="nil"/>
              <w:left w:val="nil"/>
              <w:bottom w:val="nil"/>
              <w:right w:val="nil"/>
            </w:tcBorders>
          </w:tcPr>
          <w:p w14:paraId="5372B66B"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(0.051)</w:t>
            </w:r>
          </w:p>
        </w:tc>
        <w:tc>
          <w:tcPr>
            <w:tcW w:w="677" w:type="pct"/>
            <w:tcBorders>
              <w:top w:val="nil"/>
              <w:left w:val="nil"/>
              <w:bottom w:val="nil"/>
              <w:right w:val="nil"/>
            </w:tcBorders>
          </w:tcPr>
          <w:p w14:paraId="72CD03B4"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(0.028)</w:t>
            </w:r>
          </w:p>
        </w:tc>
        <w:tc>
          <w:tcPr>
            <w:tcW w:w="838" w:type="pct"/>
            <w:tcBorders>
              <w:top w:val="nil"/>
              <w:left w:val="nil"/>
              <w:bottom w:val="nil"/>
              <w:right w:val="nil"/>
            </w:tcBorders>
          </w:tcPr>
          <w:p w14:paraId="3E14129E"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(0.029)</w:t>
            </w:r>
          </w:p>
        </w:tc>
        <w:tc>
          <w:tcPr>
            <w:tcW w:w="876" w:type="pct"/>
            <w:tcBorders>
              <w:top w:val="nil"/>
              <w:left w:val="nil"/>
              <w:bottom w:val="nil"/>
              <w:right w:val="nil"/>
            </w:tcBorders>
          </w:tcPr>
          <w:p w14:paraId="231B0567"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(0.026)</w:t>
            </w:r>
          </w:p>
        </w:tc>
      </w:tr>
      <w:tr w:rsidR="00FE15AB" w:rsidRPr="00BC68C4" w14:paraId="307B3FBB" w14:textId="77777777" w:rsidTr="00FE15AB">
        <w:trPr>
          <w:jc w:val="center"/>
        </w:trPr>
        <w:tc>
          <w:tcPr>
            <w:tcW w:w="1113" w:type="pct"/>
            <w:tcBorders>
              <w:top w:val="nil"/>
              <w:left w:val="nil"/>
              <w:bottom w:val="nil"/>
              <w:right w:val="nil"/>
            </w:tcBorders>
          </w:tcPr>
          <w:p w14:paraId="5FDCC40B"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proofErr w:type="spellStart"/>
            <w:r w:rsidRPr="00BC68C4">
              <w:rPr>
                <w:rFonts w:ascii="Times New Roman" w:hAnsi="Times New Roman" w:cs="Times New Roman"/>
                <w:sz w:val="20"/>
                <w:szCs w:val="20"/>
              </w:rPr>
              <w:t>EstDate</w:t>
            </w:r>
            <w:proofErr w:type="spellEnd"/>
          </w:p>
        </w:tc>
        <w:tc>
          <w:tcPr>
            <w:tcW w:w="522" w:type="pct"/>
            <w:tcBorders>
              <w:top w:val="nil"/>
              <w:left w:val="nil"/>
              <w:bottom w:val="nil"/>
              <w:right w:val="nil"/>
            </w:tcBorders>
          </w:tcPr>
          <w:p w14:paraId="3359B9C1"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4" w:type="pct"/>
            <w:tcBorders>
              <w:top w:val="nil"/>
              <w:left w:val="nil"/>
              <w:bottom w:val="nil"/>
              <w:right w:val="nil"/>
            </w:tcBorders>
          </w:tcPr>
          <w:p w14:paraId="14380033"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0.030</w:t>
            </w:r>
          </w:p>
        </w:tc>
        <w:tc>
          <w:tcPr>
            <w:tcW w:w="677" w:type="pct"/>
            <w:tcBorders>
              <w:top w:val="nil"/>
              <w:left w:val="nil"/>
              <w:bottom w:val="nil"/>
              <w:right w:val="nil"/>
            </w:tcBorders>
          </w:tcPr>
          <w:p w14:paraId="436C6B43"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0.031*</w:t>
            </w:r>
          </w:p>
        </w:tc>
        <w:tc>
          <w:tcPr>
            <w:tcW w:w="838" w:type="pct"/>
            <w:tcBorders>
              <w:top w:val="nil"/>
              <w:left w:val="nil"/>
              <w:bottom w:val="nil"/>
              <w:right w:val="nil"/>
            </w:tcBorders>
          </w:tcPr>
          <w:p w14:paraId="315BAECD"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0.052***</w:t>
            </w:r>
          </w:p>
        </w:tc>
        <w:tc>
          <w:tcPr>
            <w:tcW w:w="876" w:type="pct"/>
            <w:tcBorders>
              <w:top w:val="nil"/>
              <w:left w:val="nil"/>
              <w:bottom w:val="nil"/>
              <w:right w:val="nil"/>
            </w:tcBorders>
          </w:tcPr>
          <w:p w14:paraId="254DB090"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0.041***</w:t>
            </w:r>
          </w:p>
        </w:tc>
      </w:tr>
      <w:tr w:rsidR="00FE15AB" w:rsidRPr="00BC68C4" w14:paraId="2244DF14" w14:textId="77777777" w:rsidTr="00FE15AB">
        <w:trPr>
          <w:jc w:val="center"/>
        </w:trPr>
        <w:tc>
          <w:tcPr>
            <w:tcW w:w="1113" w:type="pct"/>
            <w:tcBorders>
              <w:top w:val="nil"/>
              <w:left w:val="nil"/>
              <w:bottom w:val="nil"/>
              <w:right w:val="nil"/>
            </w:tcBorders>
          </w:tcPr>
          <w:p w14:paraId="0348C45A"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p>
        </w:tc>
        <w:tc>
          <w:tcPr>
            <w:tcW w:w="522" w:type="pct"/>
            <w:tcBorders>
              <w:top w:val="nil"/>
              <w:left w:val="nil"/>
              <w:bottom w:val="nil"/>
              <w:right w:val="nil"/>
            </w:tcBorders>
          </w:tcPr>
          <w:p w14:paraId="19A154E3"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4" w:type="pct"/>
            <w:tcBorders>
              <w:top w:val="nil"/>
              <w:left w:val="nil"/>
              <w:bottom w:val="nil"/>
              <w:right w:val="nil"/>
            </w:tcBorders>
          </w:tcPr>
          <w:p w14:paraId="5D42580A"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(0.026)</w:t>
            </w:r>
          </w:p>
        </w:tc>
        <w:tc>
          <w:tcPr>
            <w:tcW w:w="677" w:type="pct"/>
            <w:tcBorders>
              <w:top w:val="nil"/>
              <w:left w:val="nil"/>
              <w:bottom w:val="nil"/>
              <w:right w:val="nil"/>
            </w:tcBorders>
          </w:tcPr>
          <w:p w14:paraId="553864BA"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(0.016)</w:t>
            </w:r>
          </w:p>
        </w:tc>
        <w:tc>
          <w:tcPr>
            <w:tcW w:w="838" w:type="pct"/>
            <w:tcBorders>
              <w:top w:val="nil"/>
              <w:left w:val="nil"/>
              <w:bottom w:val="nil"/>
              <w:right w:val="nil"/>
            </w:tcBorders>
          </w:tcPr>
          <w:p w14:paraId="6F7D1F64"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(0.019)</w:t>
            </w:r>
          </w:p>
        </w:tc>
        <w:tc>
          <w:tcPr>
            <w:tcW w:w="876" w:type="pct"/>
            <w:tcBorders>
              <w:top w:val="nil"/>
              <w:left w:val="nil"/>
              <w:bottom w:val="nil"/>
              <w:right w:val="nil"/>
            </w:tcBorders>
          </w:tcPr>
          <w:p w14:paraId="2E2A27C8"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(0.014)</w:t>
            </w:r>
          </w:p>
        </w:tc>
      </w:tr>
      <w:tr w:rsidR="00FE15AB" w:rsidRPr="00BC68C4" w14:paraId="7F76EB1D" w14:textId="77777777" w:rsidTr="00FE15AB">
        <w:trPr>
          <w:jc w:val="center"/>
        </w:trPr>
        <w:tc>
          <w:tcPr>
            <w:tcW w:w="1113" w:type="pct"/>
            <w:tcBorders>
              <w:top w:val="nil"/>
              <w:left w:val="nil"/>
              <w:bottom w:val="nil"/>
              <w:right w:val="nil"/>
            </w:tcBorders>
          </w:tcPr>
          <w:p w14:paraId="472EB751"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r w:rsidRPr="00BC68C4">
              <w:rPr>
                <w:rFonts w:ascii="Times New Roman" w:hAnsi="Times New Roman" w:cs="Times New Roman"/>
                <w:sz w:val="20"/>
                <w:szCs w:val="20"/>
              </w:rPr>
              <w:t>Size</w:t>
            </w:r>
          </w:p>
        </w:tc>
        <w:tc>
          <w:tcPr>
            <w:tcW w:w="522" w:type="pct"/>
            <w:tcBorders>
              <w:top w:val="nil"/>
              <w:left w:val="nil"/>
              <w:bottom w:val="nil"/>
              <w:right w:val="nil"/>
            </w:tcBorders>
          </w:tcPr>
          <w:p w14:paraId="663B68FA"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4" w:type="pct"/>
            <w:tcBorders>
              <w:top w:val="nil"/>
              <w:left w:val="nil"/>
              <w:bottom w:val="nil"/>
              <w:right w:val="nil"/>
            </w:tcBorders>
          </w:tcPr>
          <w:p w14:paraId="103734C3"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-0.019</w:t>
            </w:r>
          </w:p>
        </w:tc>
        <w:tc>
          <w:tcPr>
            <w:tcW w:w="677" w:type="pct"/>
            <w:tcBorders>
              <w:top w:val="nil"/>
              <w:left w:val="nil"/>
              <w:bottom w:val="nil"/>
              <w:right w:val="nil"/>
            </w:tcBorders>
          </w:tcPr>
          <w:p w14:paraId="30EFCC92"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-0.078</w:t>
            </w:r>
          </w:p>
        </w:tc>
        <w:tc>
          <w:tcPr>
            <w:tcW w:w="838" w:type="pct"/>
            <w:tcBorders>
              <w:top w:val="nil"/>
              <w:left w:val="nil"/>
              <w:bottom w:val="nil"/>
              <w:right w:val="nil"/>
            </w:tcBorders>
          </w:tcPr>
          <w:p w14:paraId="7A87CB90"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-0.061</w:t>
            </w:r>
          </w:p>
        </w:tc>
        <w:tc>
          <w:tcPr>
            <w:tcW w:w="876" w:type="pct"/>
            <w:tcBorders>
              <w:top w:val="nil"/>
              <w:left w:val="nil"/>
              <w:bottom w:val="nil"/>
              <w:right w:val="nil"/>
            </w:tcBorders>
          </w:tcPr>
          <w:p w14:paraId="46993AF0"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-0.326</w:t>
            </w:r>
          </w:p>
        </w:tc>
      </w:tr>
      <w:tr w:rsidR="00FE15AB" w:rsidRPr="00BC68C4" w14:paraId="4BDCE9AD" w14:textId="77777777" w:rsidTr="00FE15AB">
        <w:trPr>
          <w:jc w:val="center"/>
        </w:trPr>
        <w:tc>
          <w:tcPr>
            <w:tcW w:w="1113" w:type="pct"/>
            <w:tcBorders>
              <w:top w:val="nil"/>
              <w:left w:val="nil"/>
              <w:bottom w:val="nil"/>
              <w:right w:val="nil"/>
            </w:tcBorders>
          </w:tcPr>
          <w:p w14:paraId="1026C740"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p>
        </w:tc>
        <w:tc>
          <w:tcPr>
            <w:tcW w:w="522" w:type="pct"/>
            <w:tcBorders>
              <w:top w:val="nil"/>
              <w:left w:val="nil"/>
              <w:bottom w:val="nil"/>
              <w:right w:val="nil"/>
            </w:tcBorders>
          </w:tcPr>
          <w:p w14:paraId="3AB6A490"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4" w:type="pct"/>
            <w:tcBorders>
              <w:top w:val="nil"/>
              <w:left w:val="nil"/>
              <w:bottom w:val="nil"/>
              <w:right w:val="nil"/>
            </w:tcBorders>
          </w:tcPr>
          <w:p w14:paraId="0BD3F8A4"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(0.319)</w:t>
            </w:r>
          </w:p>
        </w:tc>
        <w:tc>
          <w:tcPr>
            <w:tcW w:w="677" w:type="pct"/>
            <w:tcBorders>
              <w:top w:val="nil"/>
              <w:left w:val="nil"/>
              <w:bottom w:val="nil"/>
              <w:right w:val="nil"/>
            </w:tcBorders>
          </w:tcPr>
          <w:p w14:paraId="5DF65443"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(0.245)</w:t>
            </w:r>
          </w:p>
        </w:tc>
        <w:tc>
          <w:tcPr>
            <w:tcW w:w="838" w:type="pct"/>
            <w:tcBorders>
              <w:top w:val="nil"/>
              <w:left w:val="nil"/>
              <w:bottom w:val="nil"/>
              <w:right w:val="nil"/>
            </w:tcBorders>
          </w:tcPr>
          <w:p w14:paraId="4E0B8061"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(0.208)</w:t>
            </w:r>
          </w:p>
        </w:tc>
        <w:tc>
          <w:tcPr>
            <w:tcW w:w="876" w:type="pct"/>
            <w:tcBorders>
              <w:top w:val="nil"/>
              <w:left w:val="nil"/>
              <w:bottom w:val="nil"/>
              <w:right w:val="nil"/>
            </w:tcBorders>
          </w:tcPr>
          <w:p w14:paraId="2A48F49D"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(0.201)</w:t>
            </w:r>
          </w:p>
        </w:tc>
      </w:tr>
      <w:tr w:rsidR="00FE15AB" w:rsidRPr="00BC68C4" w14:paraId="285880B2" w14:textId="77777777" w:rsidTr="00FE15AB">
        <w:trPr>
          <w:jc w:val="center"/>
        </w:trPr>
        <w:tc>
          <w:tcPr>
            <w:tcW w:w="1113" w:type="pct"/>
            <w:tcBorders>
              <w:top w:val="nil"/>
              <w:left w:val="nil"/>
              <w:bottom w:val="nil"/>
              <w:right w:val="nil"/>
            </w:tcBorders>
          </w:tcPr>
          <w:p w14:paraId="74FD65FD"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proofErr w:type="spellStart"/>
            <w:r w:rsidRPr="00BC68C4">
              <w:rPr>
                <w:rFonts w:ascii="Times New Roman" w:hAnsi="Times New Roman" w:cs="Times New Roman"/>
                <w:sz w:val="20"/>
                <w:szCs w:val="20"/>
              </w:rPr>
              <w:t>DirectorQual</w:t>
            </w:r>
            <w:proofErr w:type="spellEnd"/>
          </w:p>
        </w:tc>
        <w:tc>
          <w:tcPr>
            <w:tcW w:w="522" w:type="pct"/>
            <w:tcBorders>
              <w:top w:val="nil"/>
              <w:left w:val="nil"/>
              <w:bottom w:val="nil"/>
              <w:right w:val="nil"/>
            </w:tcBorders>
          </w:tcPr>
          <w:p w14:paraId="383E9A70"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4" w:type="pct"/>
            <w:tcBorders>
              <w:top w:val="nil"/>
              <w:left w:val="nil"/>
              <w:bottom w:val="nil"/>
              <w:right w:val="nil"/>
            </w:tcBorders>
          </w:tcPr>
          <w:p w14:paraId="54B79A5F"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-1.929*</w:t>
            </w:r>
          </w:p>
        </w:tc>
        <w:tc>
          <w:tcPr>
            <w:tcW w:w="677" w:type="pct"/>
            <w:tcBorders>
              <w:top w:val="nil"/>
              <w:left w:val="nil"/>
              <w:bottom w:val="nil"/>
              <w:right w:val="nil"/>
            </w:tcBorders>
          </w:tcPr>
          <w:p w14:paraId="22AA06A1"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-0.252</w:t>
            </w:r>
          </w:p>
        </w:tc>
        <w:tc>
          <w:tcPr>
            <w:tcW w:w="838" w:type="pct"/>
            <w:tcBorders>
              <w:top w:val="nil"/>
              <w:left w:val="nil"/>
              <w:bottom w:val="nil"/>
              <w:right w:val="nil"/>
            </w:tcBorders>
          </w:tcPr>
          <w:p w14:paraId="6FCD1957"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-0.441</w:t>
            </w:r>
          </w:p>
        </w:tc>
        <w:tc>
          <w:tcPr>
            <w:tcW w:w="876" w:type="pct"/>
            <w:tcBorders>
              <w:top w:val="nil"/>
              <w:left w:val="nil"/>
              <w:bottom w:val="nil"/>
              <w:right w:val="nil"/>
            </w:tcBorders>
          </w:tcPr>
          <w:p w14:paraId="2A520A0E"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0.224</w:t>
            </w:r>
          </w:p>
        </w:tc>
      </w:tr>
      <w:tr w:rsidR="00FE15AB" w:rsidRPr="00BC68C4" w14:paraId="40213D9D" w14:textId="77777777" w:rsidTr="00FE15AB">
        <w:trPr>
          <w:jc w:val="center"/>
        </w:trPr>
        <w:tc>
          <w:tcPr>
            <w:tcW w:w="1113" w:type="pct"/>
            <w:tcBorders>
              <w:top w:val="nil"/>
              <w:left w:val="nil"/>
              <w:bottom w:val="nil"/>
              <w:right w:val="nil"/>
            </w:tcBorders>
          </w:tcPr>
          <w:p w14:paraId="664DFCAF"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p>
        </w:tc>
        <w:tc>
          <w:tcPr>
            <w:tcW w:w="522" w:type="pct"/>
            <w:tcBorders>
              <w:top w:val="nil"/>
              <w:left w:val="nil"/>
              <w:bottom w:val="nil"/>
              <w:right w:val="nil"/>
            </w:tcBorders>
          </w:tcPr>
          <w:p w14:paraId="58E3C57A"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4" w:type="pct"/>
            <w:tcBorders>
              <w:top w:val="nil"/>
              <w:left w:val="nil"/>
              <w:bottom w:val="nil"/>
              <w:right w:val="nil"/>
            </w:tcBorders>
          </w:tcPr>
          <w:p w14:paraId="351BB57C"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(0.984)</w:t>
            </w:r>
          </w:p>
        </w:tc>
        <w:tc>
          <w:tcPr>
            <w:tcW w:w="677" w:type="pct"/>
            <w:tcBorders>
              <w:top w:val="nil"/>
              <w:left w:val="nil"/>
              <w:bottom w:val="nil"/>
              <w:right w:val="nil"/>
            </w:tcBorders>
          </w:tcPr>
          <w:p w14:paraId="030E1990"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(0.508)</w:t>
            </w:r>
          </w:p>
        </w:tc>
        <w:tc>
          <w:tcPr>
            <w:tcW w:w="838" w:type="pct"/>
            <w:tcBorders>
              <w:top w:val="nil"/>
              <w:left w:val="nil"/>
              <w:bottom w:val="nil"/>
              <w:right w:val="nil"/>
            </w:tcBorders>
          </w:tcPr>
          <w:p w14:paraId="4EF74FAD"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(0.456)</w:t>
            </w:r>
          </w:p>
        </w:tc>
        <w:tc>
          <w:tcPr>
            <w:tcW w:w="876" w:type="pct"/>
            <w:tcBorders>
              <w:top w:val="nil"/>
              <w:left w:val="nil"/>
              <w:bottom w:val="nil"/>
              <w:right w:val="nil"/>
            </w:tcBorders>
          </w:tcPr>
          <w:p w14:paraId="00B879B1"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(0.380)</w:t>
            </w:r>
          </w:p>
        </w:tc>
      </w:tr>
      <w:tr w:rsidR="00FE15AB" w:rsidRPr="00BC68C4" w14:paraId="6FD62830" w14:textId="77777777" w:rsidTr="00FE15AB">
        <w:trPr>
          <w:jc w:val="center"/>
        </w:trPr>
        <w:tc>
          <w:tcPr>
            <w:tcW w:w="1113" w:type="pct"/>
            <w:tcBorders>
              <w:top w:val="nil"/>
              <w:left w:val="nil"/>
              <w:bottom w:val="nil"/>
              <w:right w:val="nil"/>
            </w:tcBorders>
          </w:tcPr>
          <w:p w14:paraId="5645805C"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proofErr w:type="spellStart"/>
            <w:r w:rsidRPr="00BC68C4">
              <w:rPr>
                <w:rFonts w:ascii="Times New Roman" w:hAnsi="Times New Roman" w:cs="Times New Roman"/>
                <w:sz w:val="20"/>
                <w:szCs w:val="20"/>
              </w:rPr>
              <w:t>HeadLondon</w:t>
            </w:r>
            <w:proofErr w:type="spellEnd"/>
          </w:p>
        </w:tc>
        <w:tc>
          <w:tcPr>
            <w:tcW w:w="522" w:type="pct"/>
            <w:tcBorders>
              <w:top w:val="nil"/>
              <w:left w:val="nil"/>
              <w:bottom w:val="nil"/>
              <w:right w:val="nil"/>
            </w:tcBorders>
          </w:tcPr>
          <w:p w14:paraId="435A23EF"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4" w:type="pct"/>
            <w:tcBorders>
              <w:top w:val="nil"/>
              <w:left w:val="nil"/>
              <w:bottom w:val="nil"/>
              <w:right w:val="nil"/>
            </w:tcBorders>
          </w:tcPr>
          <w:p w14:paraId="742171D8"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-0.904</w:t>
            </w:r>
          </w:p>
        </w:tc>
        <w:tc>
          <w:tcPr>
            <w:tcW w:w="677" w:type="pct"/>
            <w:tcBorders>
              <w:top w:val="nil"/>
              <w:left w:val="nil"/>
              <w:bottom w:val="nil"/>
              <w:right w:val="nil"/>
            </w:tcBorders>
          </w:tcPr>
          <w:p w14:paraId="42196C7F"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-0.682</w:t>
            </w:r>
          </w:p>
        </w:tc>
        <w:tc>
          <w:tcPr>
            <w:tcW w:w="838" w:type="pct"/>
            <w:tcBorders>
              <w:top w:val="nil"/>
              <w:left w:val="nil"/>
              <w:bottom w:val="nil"/>
              <w:right w:val="nil"/>
            </w:tcBorders>
          </w:tcPr>
          <w:p w14:paraId="646415BB"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-0.056</w:t>
            </w:r>
          </w:p>
        </w:tc>
        <w:tc>
          <w:tcPr>
            <w:tcW w:w="876" w:type="pct"/>
            <w:tcBorders>
              <w:top w:val="nil"/>
              <w:left w:val="nil"/>
              <w:bottom w:val="nil"/>
              <w:right w:val="nil"/>
            </w:tcBorders>
          </w:tcPr>
          <w:p w14:paraId="6EA29FB7"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-0.328</w:t>
            </w:r>
          </w:p>
        </w:tc>
      </w:tr>
      <w:tr w:rsidR="00FE15AB" w:rsidRPr="00BC68C4" w14:paraId="713C75AE" w14:textId="77777777" w:rsidTr="00FE15AB">
        <w:trPr>
          <w:jc w:val="center"/>
        </w:trPr>
        <w:tc>
          <w:tcPr>
            <w:tcW w:w="1113" w:type="pct"/>
            <w:tcBorders>
              <w:top w:val="nil"/>
              <w:left w:val="nil"/>
              <w:bottom w:val="nil"/>
              <w:right w:val="nil"/>
            </w:tcBorders>
          </w:tcPr>
          <w:p w14:paraId="05D0AB42"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p>
        </w:tc>
        <w:tc>
          <w:tcPr>
            <w:tcW w:w="522" w:type="pct"/>
            <w:tcBorders>
              <w:top w:val="nil"/>
              <w:left w:val="nil"/>
              <w:bottom w:val="nil"/>
              <w:right w:val="nil"/>
            </w:tcBorders>
          </w:tcPr>
          <w:p w14:paraId="3146B328"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4" w:type="pct"/>
            <w:tcBorders>
              <w:top w:val="nil"/>
              <w:left w:val="nil"/>
              <w:bottom w:val="nil"/>
              <w:right w:val="nil"/>
            </w:tcBorders>
          </w:tcPr>
          <w:p w14:paraId="0053D782"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(0.767)</w:t>
            </w:r>
          </w:p>
        </w:tc>
        <w:tc>
          <w:tcPr>
            <w:tcW w:w="677" w:type="pct"/>
            <w:tcBorders>
              <w:top w:val="nil"/>
              <w:left w:val="nil"/>
              <w:bottom w:val="nil"/>
              <w:right w:val="nil"/>
            </w:tcBorders>
          </w:tcPr>
          <w:p w14:paraId="2B7F3EC4"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(0.422)</w:t>
            </w:r>
          </w:p>
        </w:tc>
        <w:tc>
          <w:tcPr>
            <w:tcW w:w="838" w:type="pct"/>
            <w:tcBorders>
              <w:top w:val="nil"/>
              <w:left w:val="nil"/>
              <w:bottom w:val="nil"/>
              <w:right w:val="nil"/>
            </w:tcBorders>
          </w:tcPr>
          <w:p w14:paraId="4B97A2F2"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(0.420)</w:t>
            </w:r>
          </w:p>
        </w:tc>
        <w:tc>
          <w:tcPr>
            <w:tcW w:w="876" w:type="pct"/>
            <w:tcBorders>
              <w:top w:val="nil"/>
              <w:left w:val="nil"/>
              <w:bottom w:val="nil"/>
              <w:right w:val="nil"/>
            </w:tcBorders>
          </w:tcPr>
          <w:p w14:paraId="1352F98E"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(0.464)</w:t>
            </w:r>
          </w:p>
        </w:tc>
      </w:tr>
      <w:tr w:rsidR="00FE15AB" w:rsidRPr="00BC68C4" w14:paraId="28783ADC" w14:textId="77777777" w:rsidTr="00FE15AB">
        <w:trPr>
          <w:jc w:val="center"/>
        </w:trPr>
        <w:tc>
          <w:tcPr>
            <w:tcW w:w="1113" w:type="pct"/>
            <w:tcBorders>
              <w:top w:val="nil"/>
              <w:left w:val="nil"/>
              <w:bottom w:val="nil"/>
              <w:right w:val="nil"/>
            </w:tcBorders>
          </w:tcPr>
          <w:p w14:paraId="377B7DC9"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r w:rsidRPr="00BC68C4">
              <w:rPr>
                <w:rFonts w:ascii="Times New Roman" w:hAnsi="Times New Roman" w:cs="Times New Roman"/>
                <w:sz w:val="20"/>
                <w:szCs w:val="20"/>
              </w:rPr>
              <w:t>Scottish</w:t>
            </w:r>
          </w:p>
        </w:tc>
        <w:tc>
          <w:tcPr>
            <w:tcW w:w="522" w:type="pct"/>
            <w:tcBorders>
              <w:top w:val="nil"/>
              <w:left w:val="nil"/>
              <w:bottom w:val="nil"/>
              <w:right w:val="nil"/>
            </w:tcBorders>
          </w:tcPr>
          <w:p w14:paraId="17955F50"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4" w:type="pct"/>
            <w:tcBorders>
              <w:top w:val="nil"/>
              <w:left w:val="nil"/>
              <w:bottom w:val="nil"/>
              <w:right w:val="nil"/>
            </w:tcBorders>
          </w:tcPr>
          <w:p w14:paraId="58764AFD"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1.779*</w:t>
            </w:r>
          </w:p>
        </w:tc>
        <w:tc>
          <w:tcPr>
            <w:tcW w:w="677" w:type="pct"/>
            <w:tcBorders>
              <w:top w:val="nil"/>
              <w:left w:val="nil"/>
              <w:bottom w:val="nil"/>
              <w:right w:val="nil"/>
            </w:tcBorders>
          </w:tcPr>
          <w:p w14:paraId="4D27BE53"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0.859</w:t>
            </w:r>
          </w:p>
        </w:tc>
        <w:tc>
          <w:tcPr>
            <w:tcW w:w="838" w:type="pct"/>
            <w:tcBorders>
              <w:top w:val="nil"/>
              <w:left w:val="nil"/>
              <w:bottom w:val="nil"/>
              <w:right w:val="nil"/>
            </w:tcBorders>
          </w:tcPr>
          <w:p w14:paraId="08BD5E02"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1.086*</w:t>
            </w:r>
          </w:p>
        </w:tc>
        <w:tc>
          <w:tcPr>
            <w:tcW w:w="876" w:type="pct"/>
            <w:tcBorders>
              <w:top w:val="nil"/>
              <w:left w:val="nil"/>
              <w:bottom w:val="nil"/>
              <w:right w:val="nil"/>
            </w:tcBorders>
          </w:tcPr>
          <w:p w14:paraId="63CC1CC2"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0.459</w:t>
            </w:r>
          </w:p>
        </w:tc>
      </w:tr>
      <w:tr w:rsidR="00FE15AB" w:rsidRPr="00BC68C4" w14:paraId="0805909B" w14:textId="77777777" w:rsidTr="00FE15AB">
        <w:trPr>
          <w:jc w:val="center"/>
        </w:trPr>
        <w:tc>
          <w:tcPr>
            <w:tcW w:w="1113" w:type="pct"/>
            <w:tcBorders>
              <w:top w:val="nil"/>
              <w:left w:val="nil"/>
              <w:bottom w:val="nil"/>
              <w:right w:val="nil"/>
            </w:tcBorders>
          </w:tcPr>
          <w:p w14:paraId="2776D17B"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p>
        </w:tc>
        <w:tc>
          <w:tcPr>
            <w:tcW w:w="522" w:type="pct"/>
            <w:tcBorders>
              <w:top w:val="nil"/>
              <w:left w:val="nil"/>
              <w:bottom w:val="nil"/>
              <w:right w:val="nil"/>
            </w:tcBorders>
          </w:tcPr>
          <w:p w14:paraId="144F2112"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4" w:type="pct"/>
            <w:tcBorders>
              <w:top w:val="nil"/>
              <w:left w:val="nil"/>
              <w:bottom w:val="nil"/>
              <w:right w:val="nil"/>
            </w:tcBorders>
          </w:tcPr>
          <w:p w14:paraId="3AB46AA8"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(0.954)</w:t>
            </w:r>
          </w:p>
        </w:tc>
        <w:tc>
          <w:tcPr>
            <w:tcW w:w="677" w:type="pct"/>
            <w:tcBorders>
              <w:top w:val="nil"/>
              <w:left w:val="nil"/>
              <w:bottom w:val="nil"/>
              <w:right w:val="nil"/>
            </w:tcBorders>
          </w:tcPr>
          <w:p w14:paraId="366C94EF"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(0.570)</w:t>
            </w:r>
          </w:p>
        </w:tc>
        <w:tc>
          <w:tcPr>
            <w:tcW w:w="838" w:type="pct"/>
            <w:tcBorders>
              <w:top w:val="nil"/>
              <w:left w:val="nil"/>
              <w:bottom w:val="nil"/>
              <w:right w:val="nil"/>
            </w:tcBorders>
          </w:tcPr>
          <w:p w14:paraId="7E9A6FDC"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(0.568)</w:t>
            </w:r>
          </w:p>
        </w:tc>
        <w:tc>
          <w:tcPr>
            <w:tcW w:w="876" w:type="pct"/>
            <w:tcBorders>
              <w:top w:val="nil"/>
              <w:left w:val="nil"/>
              <w:bottom w:val="nil"/>
              <w:right w:val="nil"/>
            </w:tcBorders>
          </w:tcPr>
          <w:p w14:paraId="05C23F5D"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(0.611)</w:t>
            </w:r>
          </w:p>
        </w:tc>
      </w:tr>
      <w:tr w:rsidR="00FE15AB" w:rsidRPr="00BC68C4" w14:paraId="1736717F" w14:textId="77777777" w:rsidTr="00FE15AB">
        <w:trPr>
          <w:jc w:val="center"/>
        </w:trPr>
        <w:tc>
          <w:tcPr>
            <w:tcW w:w="1113" w:type="pct"/>
            <w:tcBorders>
              <w:top w:val="nil"/>
              <w:left w:val="nil"/>
              <w:bottom w:val="nil"/>
              <w:right w:val="nil"/>
            </w:tcBorders>
          </w:tcPr>
          <w:p w14:paraId="39382929"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r w:rsidRPr="00BC68C4">
              <w:rPr>
                <w:rFonts w:ascii="Times New Roman" w:hAnsi="Times New Roman" w:cs="Times New Roman"/>
                <w:sz w:val="20"/>
                <w:szCs w:val="20"/>
              </w:rPr>
              <w:t>Constant</w:t>
            </w:r>
          </w:p>
        </w:tc>
        <w:tc>
          <w:tcPr>
            <w:tcW w:w="522" w:type="pct"/>
            <w:tcBorders>
              <w:top w:val="nil"/>
              <w:left w:val="nil"/>
              <w:bottom w:val="nil"/>
              <w:right w:val="nil"/>
            </w:tcBorders>
          </w:tcPr>
          <w:p w14:paraId="3A8FE109"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4" w:type="pct"/>
            <w:tcBorders>
              <w:top w:val="nil"/>
              <w:left w:val="nil"/>
              <w:bottom w:val="nil"/>
              <w:right w:val="nil"/>
            </w:tcBorders>
          </w:tcPr>
          <w:p w14:paraId="3CB8F9A0"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202.815**</w:t>
            </w:r>
          </w:p>
        </w:tc>
        <w:tc>
          <w:tcPr>
            <w:tcW w:w="677" w:type="pct"/>
            <w:tcBorders>
              <w:top w:val="nil"/>
              <w:left w:val="nil"/>
              <w:bottom w:val="nil"/>
              <w:right w:val="nil"/>
            </w:tcBorders>
          </w:tcPr>
          <w:p w14:paraId="1F4D436C"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114.369**</w:t>
            </w:r>
          </w:p>
        </w:tc>
        <w:tc>
          <w:tcPr>
            <w:tcW w:w="838" w:type="pct"/>
            <w:tcBorders>
              <w:top w:val="nil"/>
              <w:left w:val="nil"/>
              <w:bottom w:val="nil"/>
              <w:right w:val="nil"/>
            </w:tcBorders>
          </w:tcPr>
          <w:p w14:paraId="722046F8"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86.636**</w:t>
            </w:r>
          </w:p>
        </w:tc>
        <w:tc>
          <w:tcPr>
            <w:tcW w:w="876" w:type="pct"/>
            <w:tcBorders>
              <w:top w:val="nil"/>
              <w:left w:val="nil"/>
              <w:bottom w:val="nil"/>
              <w:right w:val="nil"/>
            </w:tcBorders>
          </w:tcPr>
          <w:p w14:paraId="5B4F95E6"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77.811*</w:t>
            </w:r>
          </w:p>
        </w:tc>
      </w:tr>
      <w:tr w:rsidR="00FE15AB" w:rsidRPr="00BC68C4" w14:paraId="69789F9D" w14:textId="77777777" w:rsidTr="00FE15AB">
        <w:trPr>
          <w:jc w:val="center"/>
        </w:trPr>
        <w:tc>
          <w:tcPr>
            <w:tcW w:w="1113" w:type="pct"/>
            <w:tcBorders>
              <w:top w:val="nil"/>
              <w:left w:val="nil"/>
              <w:bottom w:val="nil"/>
              <w:right w:val="nil"/>
            </w:tcBorders>
          </w:tcPr>
          <w:p w14:paraId="1EACDFEB"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p>
        </w:tc>
        <w:tc>
          <w:tcPr>
            <w:tcW w:w="522" w:type="pct"/>
            <w:tcBorders>
              <w:top w:val="nil"/>
              <w:left w:val="nil"/>
              <w:bottom w:val="nil"/>
              <w:right w:val="nil"/>
            </w:tcBorders>
          </w:tcPr>
          <w:p w14:paraId="6916F87C"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4" w:type="pct"/>
            <w:tcBorders>
              <w:top w:val="nil"/>
              <w:left w:val="nil"/>
              <w:bottom w:val="nil"/>
              <w:right w:val="nil"/>
            </w:tcBorders>
          </w:tcPr>
          <w:p w14:paraId="31479D24"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(95.166)</w:t>
            </w:r>
          </w:p>
        </w:tc>
        <w:tc>
          <w:tcPr>
            <w:tcW w:w="677" w:type="pct"/>
            <w:tcBorders>
              <w:top w:val="nil"/>
              <w:left w:val="nil"/>
              <w:bottom w:val="nil"/>
              <w:right w:val="nil"/>
            </w:tcBorders>
          </w:tcPr>
          <w:p w14:paraId="23643DBB"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(48.214)</w:t>
            </w:r>
          </w:p>
        </w:tc>
        <w:tc>
          <w:tcPr>
            <w:tcW w:w="838" w:type="pct"/>
            <w:tcBorders>
              <w:top w:val="nil"/>
              <w:left w:val="nil"/>
              <w:bottom w:val="nil"/>
              <w:right w:val="nil"/>
            </w:tcBorders>
          </w:tcPr>
          <w:p w14:paraId="57A0E5A1"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(43.523)</w:t>
            </w:r>
          </w:p>
        </w:tc>
        <w:tc>
          <w:tcPr>
            <w:tcW w:w="876" w:type="pct"/>
            <w:tcBorders>
              <w:top w:val="nil"/>
              <w:left w:val="nil"/>
              <w:bottom w:val="nil"/>
              <w:right w:val="nil"/>
            </w:tcBorders>
          </w:tcPr>
          <w:p w14:paraId="52964241"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(44.957)</w:t>
            </w:r>
          </w:p>
        </w:tc>
      </w:tr>
      <w:tr w:rsidR="00FE15AB" w:rsidRPr="00BC68C4" w14:paraId="283B7ECA" w14:textId="77777777" w:rsidTr="00276ED1">
        <w:trPr>
          <w:jc w:val="center"/>
        </w:trPr>
        <w:tc>
          <w:tcPr>
            <w:tcW w:w="1113" w:type="pct"/>
            <w:tcBorders>
              <w:top w:val="nil"/>
              <w:left w:val="nil"/>
              <w:bottom w:val="nil"/>
              <w:right w:val="nil"/>
            </w:tcBorders>
          </w:tcPr>
          <w:p w14:paraId="7F87C0C3" w14:textId="0D7BDCC2" w:rsidR="00FE15AB" w:rsidRPr="00BC68C4" w:rsidRDefault="00FE15AB" w:rsidP="0044062C">
            <w:pPr>
              <w:widowControl w:val="0"/>
              <w:autoSpaceDE w:val="0"/>
              <w:autoSpaceDN w:val="0"/>
              <w:adjustRightInd w:val="0"/>
              <w:rPr>
                <w:rFonts w:ascii="Times New Roman" w:hAnsi="Times New Roman" w:cs="Times New Roman"/>
                <w:sz w:val="20"/>
                <w:szCs w:val="20"/>
              </w:rPr>
            </w:pPr>
            <w:r w:rsidRPr="00BC68C4">
              <w:rPr>
                <w:rFonts w:ascii="Times New Roman" w:hAnsi="Times New Roman" w:cs="Times New Roman"/>
                <w:sz w:val="20"/>
                <w:szCs w:val="20"/>
              </w:rPr>
              <w:t>Industry Dummies</w:t>
            </w:r>
          </w:p>
        </w:tc>
        <w:tc>
          <w:tcPr>
            <w:tcW w:w="522" w:type="pct"/>
            <w:tcBorders>
              <w:top w:val="nil"/>
              <w:left w:val="nil"/>
              <w:bottom w:val="nil"/>
              <w:right w:val="nil"/>
            </w:tcBorders>
          </w:tcPr>
          <w:p w14:paraId="15FAE2F1"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4" w:type="pct"/>
            <w:tcBorders>
              <w:top w:val="nil"/>
              <w:left w:val="nil"/>
              <w:bottom w:val="nil"/>
              <w:right w:val="nil"/>
            </w:tcBorders>
          </w:tcPr>
          <w:p w14:paraId="54E0F2D1" w14:textId="63D0BBFE"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Yes</w:t>
            </w:r>
          </w:p>
        </w:tc>
        <w:tc>
          <w:tcPr>
            <w:tcW w:w="677" w:type="pct"/>
            <w:tcBorders>
              <w:top w:val="nil"/>
              <w:left w:val="nil"/>
              <w:bottom w:val="nil"/>
              <w:right w:val="nil"/>
            </w:tcBorders>
          </w:tcPr>
          <w:p w14:paraId="54D02FC4" w14:textId="59C8DDFB"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Yes</w:t>
            </w:r>
          </w:p>
        </w:tc>
        <w:tc>
          <w:tcPr>
            <w:tcW w:w="838" w:type="pct"/>
            <w:tcBorders>
              <w:top w:val="nil"/>
              <w:left w:val="nil"/>
              <w:bottom w:val="nil"/>
              <w:right w:val="nil"/>
            </w:tcBorders>
          </w:tcPr>
          <w:p w14:paraId="51C54500" w14:textId="09F8D6CE"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Yes</w:t>
            </w:r>
          </w:p>
        </w:tc>
        <w:tc>
          <w:tcPr>
            <w:tcW w:w="876" w:type="pct"/>
            <w:tcBorders>
              <w:top w:val="nil"/>
              <w:left w:val="nil"/>
              <w:bottom w:val="nil"/>
              <w:right w:val="nil"/>
            </w:tcBorders>
          </w:tcPr>
          <w:p w14:paraId="17F4DFD4" w14:textId="2A55508A"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Yes</w:t>
            </w:r>
          </w:p>
        </w:tc>
      </w:tr>
      <w:tr w:rsidR="00FE15AB" w:rsidRPr="00BC68C4" w14:paraId="6E4C7242" w14:textId="77777777" w:rsidTr="00FE15AB">
        <w:trPr>
          <w:jc w:val="center"/>
        </w:trPr>
        <w:tc>
          <w:tcPr>
            <w:tcW w:w="1113" w:type="pct"/>
            <w:tcBorders>
              <w:top w:val="nil"/>
              <w:left w:val="nil"/>
              <w:bottom w:val="nil"/>
              <w:right w:val="nil"/>
            </w:tcBorders>
          </w:tcPr>
          <w:p w14:paraId="5390285E"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p>
        </w:tc>
        <w:tc>
          <w:tcPr>
            <w:tcW w:w="522" w:type="pct"/>
            <w:tcBorders>
              <w:top w:val="nil"/>
              <w:left w:val="nil"/>
              <w:bottom w:val="nil"/>
              <w:right w:val="nil"/>
            </w:tcBorders>
          </w:tcPr>
          <w:p w14:paraId="5C699249"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4" w:type="pct"/>
            <w:tcBorders>
              <w:top w:val="nil"/>
              <w:left w:val="nil"/>
              <w:bottom w:val="nil"/>
              <w:right w:val="nil"/>
            </w:tcBorders>
          </w:tcPr>
          <w:p w14:paraId="591DE930"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677" w:type="pct"/>
            <w:tcBorders>
              <w:top w:val="nil"/>
              <w:left w:val="nil"/>
              <w:bottom w:val="nil"/>
              <w:right w:val="nil"/>
            </w:tcBorders>
          </w:tcPr>
          <w:p w14:paraId="6B87BB24"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838" w:type="pct"/>
            <w:tcBorders>
              <w:top w:val="nil"/>
              <w:left w:val="nil"/>
              <w:bottom w:val="nil"/>
              <w:right w:val="nil"/>
            </w:tcBorders>
          </w:tcPr>
          <w:p w14:paraId="512332B6"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876" w:type="pct"/>
            <w:tcBorders>
              <w:top w:val="nil"/>
              <w:left w:val="nil"/>
              <w:bottom w:val="nil"/>
              <w:right w:val="nil"/>
            </w:tcBorders>
          </w:tcPr>
          <w:p w14:paraId="4E5D59D7"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r>
      <w:tr w:rsidR="00FE15AB" w:rsidRPr="00BC68C4" w14:paraId="439E8F8D" w14:textId="77777777" w:rsidTr="00FE15AB">
        <w:tblPrEx>
          <w:tblBorders>
            <w:bottom w:val="single" w:sz="6" w:space="0" w:color="auto"/>
          </w:tblBorders>
        </w:tblPrEx>
        <w:trPr>
          <w:jc w:val="center"/>
        </w:trPr>
        <w:tc>
          <w:tcPr>
            <w:tcW w:w="1113" w:type="pct"/>
            <w:tcBorders>
              <w:top w:val="nil"/>
              <w:left w:val="nil"/>
              <w:bottom w:val="single" w:sz="6" w:space="0" w:color="auto"/>
              <w:right w:val="nil"/>
            </w:tcBorders>
          </w:tcPr>
          <w:p w14:paraId="05C83010"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r w:rsidRPr="00BC68C4">
              <w:rPr>
                <w:rFonts w:ascii="Times New Roman" w:hAnsi="Times New Roman" w:cs="Times New Roman"/>
                <w:sz w:val="20"/>
                <w:szCs w:val="20"/>
              </w:rPr>
              <w:t>Observations</w:t>
            </w:r>
          </w:p>
        </w:tc>
        <w:tc>
          <w:tcPr>
            <w:tcW w:w="522" w:type="pct"/>
            <w:tcBorders>
              <w:top w:val="nil"/>
              <w:left w:val="nil"/>
              <w:bottom w:val="single" w:sz="6" w:space="0" w:color="auto"/>
              <w:right w:val="nil"/>
            </w:tcBorders>
          </w:tcPr>
          <w:p w14:paraId="6BE88072"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294</w:t>
            </w:r>
          </w:p>
        </w:tc>
        <w:tc>
          <w:tcPr>
            <w:tcW w:w="974" w:type="pct"/>
            <w:tcBorders>
              <w:top w:val="nil"/>
              <w:left w:val="nil"/>
              <w:bottom w:val="single" w:sz="6" w:space="0" w:color="auto"/>
              <w:right w:val="nil"/>
            </w:tcBorders>
          </w:tcPr>
          <w:p w14:paraId="51947CD0"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294</w:t>
            </w:r>
          </w:p>
        </w:tc>
        <w:tc>
          <w:tcPr>
            <w:tcW w:w="677" w:type="pct"/>
            <w:tcBorders>
              <w:top w:val="nil"/>
              <w:left w:val="nil"/>
              <w:bottom w:val="single" w:sz="6" w:space="0" w:color="auto"/>
              <w:right w:val="nil"/>
            </w:tcBorders>
          </w:tcPr>
          <w:p w14:paraId="48852AE0"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294</w:t>
            </w:r>
          </w:p>
        </w:tc>
        <w:tc>
          <w:tcPr>
            <w:tcW w:w="838" w:type="pct"/>
            <w:tcBorders>
              <w:top w:val="nil"/>
              <w:left w:val="nil"/>
              <w:bottom w:val="single" w:sz="6" w:space="0" w:color="auto"/>
              <w:right w:val="nil"/>
            </w:tcBorders>
          </w:tcPr>
          <w:p w14:paraId="37CAC21F"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294</w:t>
            </w:r>
          </w:p>
        </w:tc>
        <w:tc>
          <w:tcPr>
            <w:tcW w:w="876" w:type="pct"/>
            <w:tcBorders>
              <w:top w:val="nil"/>
              <w:left w:val="nil"/>
              <w:bottom w:val="single" w:sz="6" w:space="0" w:color="auto"/>
              <w:right w:val="nil"/>
            </w:tcBorders>
          </w:tcPr>
          <w:p w14:paraId="7885E491"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294</w:t>
            </w:r>
          </w:p>
        </w:tc>
      </w:tr>
    </w:tbl>
    <w:p w14:paraId="2DBE2A90" w14:textId="527B6582" w:rsidR="00551666" w:rsidRPr="00BC68C4" w:rsidRDefault="00551666" w:rsidP="00551666">
      <w:pPr>
        <w:widowControl w:val="0"/>
        <w:autoSpaceDE w:val="0"/>
        <w:autoSpaceDN w:val="0"/>
        <w:adjustRightInd w:val="0"/>
        <w:spacing w:line="276" w:lineRule="auto"/>
        <w:rPr>
          <w:rFonts w:ascii="Times New Roman" w:hAnsi="Times New Roman" w:cs="Times New Roman"/>
          <w:sz w:val="18"/>
          <w:szCs w:val="18"/>
        </w:rPr>
      </w:pPr>
      <w:r w:rsidRPr="00BC68C4">
        <w:rPr>
          <w:rFonts w:ascii="Times New Roman" w:hAnsi="Times New Roman" w:cs="Times New Roman"/>
          <w:i/>
          <w:sz w:val="18"/>
          <w:szCs w:val="18"/>
        </w:rPr>
        <w:t>Notes</w:t>
      </w:r>
      <w:r w:rsidRPr="00BC68C4">
        <w:rPr>
          <w:rFonts w:ascii="Times New Roman" w:hAnsi="Times New Roman" w:cs="Times New Roman"/>
          <w:sz w:val="18"/>
          <w:szCs w:val="18"/>
        </w:rPr>
        <w:t xml:space="preserve">: These are the results from a multinomial logit regression which has the final status or ultimate fate of the company as a dependent variable and where we have one observation per company rather than one observation per ownership sample.  Companies which </w:t>
      </w:r>
      <w:r w:rsidR="00E30C43" w:rsidRPr="00BC68C4">
        <w:rPr>
          <w:rFonts w:ascii="Times New Roman" w:hAnsi="Times New Roman" w:cs="Times New Roman"/>
          <w:sz w:val="18"/>
          <w:szCs w:val="18"/>
        </w:rPr>
        <w:t xml:space="preserve">merged </w:t>
      </w:r>
      <w:r w:rsidRPr="00BC68C4">
        <w:rPr>
          <w:rFonts w:ascii="Times New Roman" w:hAnsi="Times New Roman" w:cs="Times New Roman"/>
          <w:sz w:val="18"/>
          <w:szCs w:val="18"/>
        </w:rPr>
        <w:t xml:space="preserve">are taken as the base group. *** p&lt;0.01, ** p&lt;0.05, * p&lt;0.1.  Robust standard errors are in parentheses and the pseudo R-squared = 0.139.  </w:t>
      </w:r>
    </w:p>
    <w:p w14:paraId="73738FB4" w14:textId="77777777" w:rsidR="00551666" w:rsidRPr="00BC68C4" w:rsidRDefault="00551666" w:rsidP="00551666">
      <w:pPr>
        <w:widowControl w:val="0"/>
        <w:autoSpaceDE w:val="0"/>
        <w:autoSpaceDN w:val="0"/>
        <w:adjustRightInd w:val="0"/>
        <w:rPr>
          <w:rFonts w:ascii="Times New Roman" w:hAnsi="Times New Roman" w:cs="Times New Roman"/>
          <w:sz w:val="18"/>
          <w:szCs w:val="18"/>
        </w:rPr>
      </w:pPr>
    </w:p>
    <w:p w14:paraId="335CF1D7" w14:textId="77777777" w:rsidR="00551666" w:rsidRPr="00BC68C4" w:rsidRDefault="00551666" w:rsidP="00551666">
      <w:pPr>
        <w:widowControl w:val="0"/>
        <w:autoSpaceDE w:val="0"/>
        <w:autoSpaceDN w:val="0"/>
        <w:adjustRightInd w:val="0"/>
        <w:rPr>
          <w:rFonts w:ascii="Times New Roman" w:hAnsi="Times New Roman" w:cs="Times New Roman"/>
          <w:sz w:val="18"/>
          <w:szCs w:val="18"/>
        </w:rPr>
      </w:pPr>
      <w:r w:rsidRPr="00BC68C4">
        <w:rPr>
          <w:rFonts w:ascii="Times New Roman" w:hAnsi="Times New Roman" w:cs="Times New Roman"/>
          <w:sz w:val="18"/>
          <w:szCs w:val="18"/>
        </w:rPr>
        <w:t xml:space="preserve">  </w:t>
      </w:r>
    </w:p>
    <w:p w14:paraId="0FB68BEA" w14:textId="77777777" w:rsidR="00551666" w:rsidRPr="00BC68C4" w:rsidRDefault="00551666">
      <w:pPr>
        <w:spacing w:after="200" w:line="276" w:lineRule="auto"/>
        <w:jc w:val="left"/>
        <w:rPr>
          <w:rFonts w:ascii="Times New Roman" w:hAnsi="Times New Roman" w:cs="Times New Roman"/>
          <w:b/>
          <w:sz w:val="24"/>
          <w:szCs w:val="24"/>
        </w:rPr>
      </w:pPr>
      <w:r w:rsidRPr="00BC68C4">
        <w:rPr>
          <w:rFonts w:ascii="Times New Roman" w:hAnsi="Times New Roman"/>
          <w:b/>
          <w:sz w:val="24"/>
        </w:rPr>
        <w:br w:type="page"/>
      </w:r>
    </w:p>
    <w:p w14:paraId="2F9891A3" w14:textId="5AD79081" w:rsidR="00703AC0" w:rsidRPr="00703AC0" w:rsidRDefault="00703AC0" w:rsidP="00CF3EB9">
      <w:pPr>
        <w:jc w:val="center"/>
        <w:rPr>
          <w:rFonts w:ascii="Times New Roman" w:hAnsi="Times New Roman" w:cs="Times New Roman"/>
          <w:sz w:val="20"/>
          <w:szCs w:val="20"/>
        </w:rPr>
      </w:pPr>
      <w:r w:rsidRPr="00703AC0">
        <w:rPr>
          <w:rFonts w:ascii="Times New Roman" w:hAnsi="Times New Roman" w:cs="Times New Roman"/>
          <w:sz w:val="20"/>
          <w:szCs w:val="20"/>
        </w:rPr>
        <w:t>TABLE 1</w:t>
      </w:r>
      <w:r w:rsidR="00635C6E">
        <w:rPr>
          <w:rFonts w:ascii="Times New Roman" w:hAnsi="Times New Roman" w:cs="Times New Roman"/>
          <w:sz w:val="20"/>
          <w:szCs w:val="20"/>
        </w:rPr>
        <w:t>1</w:t>
      </w:r>
    </w:p>
    <w:p w14:paraId="43E7E105" w14:textId="3856D87F" w:rsidR="00F40EF7" w:rsidRPr="00703AC0" w:rsidRDefault="00703AC0" w:rsidP="00CF3EB9">
      <w:pPr>
        <w:jc w:val="center"/>
        <w:rPr>
          <w:rFonts w:ascii="Times New Roman" w:hAnsi="Times New Roman" w:cs="Times New Roman"/>
          <w:sz w:val="24"/>
          <w:szCs w:val="24"/>
        </w:rPr>
      </w:pPr>
      <w:r w:rsidRPr="00703AC0">
        <w:rPr>
          <w:rFonts w:ascii="Times New Roman" w:hAnsi="Times New Roman" w:cs="Times New Roman"/>
          <w:sz w:val="24"/>
          <w:szCs w:val="24"/>
        </w:rPr>
        <w:t>MULTINOMIAL LOGIT REGRESSIONS - FINAL STATUS OF THE COMPANY, DISTINGUISHING THE INTERACTION BETWEEN LARGE BLOCKHOLDERS AND DIRECTORS</w:t>
      </w:r>
    </w:p>
    <w:tbl>
      <w:tblPr>
        <w:tblW w:w="5000" w:type="pct"/>
        <w:jc w:val="center"/>
        <w:tblCellMar>
          <w:left w:w="75" w:type="dxa"/>
          <w:right w:w="75" w:type="dxa"/>
        </w:tblCellMar>
        <w:tblLook w:val="0000" w:firstRow="0" w:lastRow="0" w:firstColumn="0" w:lastColumn="0" w:noHBand="0" w:noVBand="0"/>
      </w:tblPr>
      <w:tblGrid>
        <w:gridCol w:w="2026"/>
        <w:gridCol w:w="962"/>
        <w:gridCol w:w="1791"/>
        <w:gridCol w:w="1244"/>
        <w:gridCol w:w="1542"/>
        <w:gridCol w:w="1611"/>
      </w:tblGrid>
      <w:tr w:rsidR="00FE15AB" w:rsidRPr="00BC68C4" w14:paraId="598FFCC2" w14:textId="77777777" w:rsidTr="00FE15AB">
        <w:trPr>
          <w:jc w:val="center"/>
        </w:trPr>
        <w:tc>
          <w:tcPr>
            <w:tcW w:w="1104" w:type="pct"/>
            <w:tcBorders>
              <w:top w:val="single" w:sz="6" w:space="0" w:color="auto"/>
              <w:left w:val="nil"/>
              <w:bottom w:val="nil"/>
              <w:right w:val="nil"/>
            </w:tcBorders>
          </w:tcPr>
          <w:p w14:paraId="740EAE24"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p>
        </w:tc>
        <w:tc>
          <w:tcPr>
            <w:tcW w:w="524" w:type="pct"/>
            <w:tcBorders>
              <w:top w:val="single" w:sz="6" w:space="0" w:color="auto"/>
              <w:left w:val="nil"/>
              <w:bottom w:val="nil"/>
              <w:right w:val="nil"/>
            </w:tcBorders>
          </w:tcPr>
          <w:p w14:paraId="723B90DD"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(1)</w:t>
            </w:r>
          </w:p>
        </w:tc>
        <w:tc>
          <w:tcPr>
            <w:tcW w:w="976" w:type="pct"/>
            <w:tcBorders>
              <w:top w:val="single" w:sz="6" w:space="0" w:color="auto"/>
              <w:left w:val="nil"/>
              <w:bottom w:val="nil"/>
              <w:right w:val="nil"/>
            </w:tcBorders>
          </w:tcPr>
          <w:p w14:paraId="72315CCD"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(2)</w:t>
            </w:r>
          </w:p>
        </w:tc>
        <w:tc>
          <w:tcPr>
            <w:tcW w:w="678" w:type="pct"/>
            <w:tcBorders>
              <w:top w:val="single" w:sz="6" w:space="0" w:color="auto"/>
              <w:left w:val="nil"/>
              <w:bottom w:val="nil"/>
              <w:right w:val="nil"/>
            </w:tcBorders>
          </w:tcPr>
          <w:p w14:paraId="6AC221AD"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(3)</w:t>
            </w:r>
          </w:p>
        </w:tc>
        <w:tc>
          <w:tcPr>
            <w:tcW w:w="840" w:type="pct"/>
            <w:tcBorders>
              <w:top w:val="single" w:sz="6" w:space="0" w:color="auto"/>
              <w:left w:val="nil"/>
              <w:bottom w:val="nil"/>
              <w:right w:val="nil"/>
            </w:tcBorders>
          </w:tcPr>
          <w:p w14:paraId="3492D7C5"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(4)</w:t>
            </w:r>
          </w:p>
        </w:tc>
        <w:tc>
          <w:tcPr>
            <w:tcW w:w="878" w:type="pct"/>
            <w:tcBorders>
              <w:top w:val="single" w:sz="6" w:space="0" w:color="auto"/>
              <w:left w:val="nil"/>
              <w:bottom w:val="nil"/>
              <w:right w:val="nil"/>
            </w:tcBorders>
          </w:tcPr>
          <w:p w14:paraId="006C65F4"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(5)</w:t>
            </w:r>
          </w:p>
        </w:tc>
      </w:tr>
      <w:tr w:rsidR="00FE15AB" w:rsidRPr="00BC68C4" w14:paraId="29C06DB6" w14:textId="77777777" w:rsidTr="00FE15AB">
        <w:trPr>
          <w:jc w:val="center"/>
        </w:trPr>
        <w:tc>
          <w:tcPr>
            <w:tcW w:w="1104" w:type="pct"/>
            <w:tcBorders>
              <w:top w:val="nil"/>
              <w:left w:val="nil"/>
              <w:bottom w:val="single" w:sz="6" w:space="0" w:color="auto"/>
              <w:right w:val="nil"/>
            </w:tcBorders>
          </w:tcPr>
          <w:p w14:paraId="03E08462" w14:textId="3F59B812" w:rsidR="00FE15AB" w:rsidRPr="00BC68C4" w:rsidRDefault="00FE15AB" w:rsidP="0044062C">
            <w:pPr>
              <w:widowControl w:val="0"/>
              <w:autoSpaceDE w:val="0"/>
              <w:autoSpaceDN w:val="0"/>
              <w:adjustRightInd w:val="0"/>
              <w:rPr>
                <w:rFonts w:ascii="Times New Roman" w:hAnsi="Times New Roman" w:cs="Times New Roman"/>
                <w:sz w:val="20"/>
                <w:szCs w:val="20"/>
              </w:rPr>
            </w:pPr>
          </w:p>
        </w:tc>
        <w:tc>
          <w:tcPr>
            <w:tcW w:w="524" w:type="pct"/>
            <w:tcBorders>
              <w:top w:val="nil"/>
              <w:left w:val="nil"/>
              <w:bottom w:val="single" w:sz="6" w:space="0" w:color="auto"/>
              <w:right w:val="nil"/>
            </w:tcBorders>
          </w:tcPr>
          <w:p w14:paraId="574363BD"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Merged</w:t>
            </w:r>
          </w:p>
        </w:tc>
        <w:tc>
          <w:tcPr>
            <w:tcW w:w="976" w:type="pct"/>
            <w:tcBorders>
              <w:top w:val="nil"/>
              <w:left w:val="nil"/>
              <w:bottom w:val="single" w:sz="6" w:space="0" w:color="auto"/>
              <w:right w:val="nil"/>
            </w:tcBorders>
          </w:tcPr>
          <w:p w14:paraId="4F563615"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roofErr w:type="spellStart"/>
            <w:r w:rsidRPr="00BC68C4">
              <w:rPr>
                <w:rFonts w:ascii="Times New Roman" w:hAnsi="Times New Roman" w:cs="Times New Roman"/>
                <w:sz w:val="20"/>
                <w:szCs w:val="20"/>
              </w:rPr>
              <w:t>CourtWoundUp</w:t>
            </w:r>
            <w:proofErr w:type="spellEnd"/>
          </w:p>
        </w:tc>
        <w:tc>
          <w:tcPr>
            <w:tcW w:w="678" w:type="pct"/>
            <w:tcBorders>
              <w:top w:val="nil"/>
              <w:left w:val="nil"/>
              <w:bottom w:val="single" w:sz="6" w:space="0" w:color="auto"/>
              <w:right w:val="nil"/>
            </w:tcBorders>
          </w:tcPr>
          <w:p w14:paraId="3965971A"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Removed</w:t>
            </w:r>
          </w:p>
        </w:tc>
        <w:tc>
          <w:tcPr>
            <w:tcW w:w="840" w:type="pct"/>
            <w:tcBorders>
              <w:top w:val="nil"/>
              <w:left w:val="nil"/>
              <w:bottom w:val="single" w:sz="6" w:space="0" w:color="auto"/>
              <w:right w:val="nil"/>
            </w:tcBorders>
          </w:tcPr>
          <w:p w14:paraId="09628143"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roofErr w:type="spellStart"/>
            <w:r w:rsidRPr="00BC68C4">
              <w:rPr>
                <w:rFonts w:ascii="Times New Roman" w:hAnsi="Times New Roman" w:cs="Times New Roman"/>
                <w:sz w:val="20"/>
                <w:szCs w:val="20"/>
              </w:rPr>
              <w:t>VolWoundup</w:t>
            </w:r>
            <w:proofErr w:type="spellEnd"/>
          </w:p>
        </w:tc>
        <w:tc>
          <w:tcPr>
            <w:tcW w:w="878" w:type="pct"/>
            <w:tcBorders>
              <w:top w:val="nil"/>
              <w:left w:val="nil"/>
              <w:bottom w:val="single" w:sz="6" w:space="0" w:color="auto"/>
              <w:right w:val="nil"/>
            </w:tcBorders>
          </w:tcPr>
          <w:p w14:paraId="23059F63"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Reconstructed</w:t>
            </w:r>
          </w:p>
        </w:tc>
      </w:tr>
      <w:tr w:rsidR="00FE15AB" w:rsidRPr="00BC68C4" w14:paraId="1EFD3B9C" w14:textId="77777777" w:rsidTr="00FE15AB">
        <w:trPr>
          <w:jc w:val="center"/>
        </w:trPr>
        <w:tc>
          <w:tcPr>
            <w:tcW w:w="1104" w:type="pct"/>
            <w:tcBorders>
              <w:top w:val="nil"/>
              <w:left w:val="nil"/>
              <w:bottom w:val="nil"/>
              <w:right w:val="nil"/>
            </w:tcBorders>
          </w:tcPr>
          <w:p w14:paraId="563DA34D"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p>
        </w:tc>
        <w:tc>
          <w:tcPr>
            <w:tcW w:w="524" w:type="pct"/>
            <w:tcBorders>
              <w:top w:val="nil"/>
              <w:left w:val="nil"/>
              <w:bottom w:val="nil"/>
              <w:right w:val="nil"/>
            </w:tcBorders>
          </w:tcPr>
          <w:p w14:paraId="15AEA60E"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6" w:type="pct"/>
            <w:tcBorders>
              <w:top w:val="nil"/>
              <w:left w:val="nil"/>
              <w:bottom w:val="nil"/>
              <w:right w:val="nil"/>
            </w:tcBorders>
          </w:tcPr>
          <w:p w14:paraId="68251BD5"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678" w:type="pct"/>
            <w:tcBorders>
              <w:top w:val="nil"/>
              <w:left w:val="nil"/>
              <w:bottom w:val="nil"/>
              <w:right w:val="nil"/>
            </w:tcBorders>
          </w:tcPr>
          <w:p w14:paraId="72A9B5C8"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840" w:type="pct"/>
            <w:tcBorders>
              <w:top w:val="nil"/>
              <w:left w:val="nil"/>
              <w:bottom w:val="nil"/>
              <w:right w:val="nil"/>
            </w:tcBorders>
          </w:tcPr>
          <w:p w14:paraId="73AFC013"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878" w:type="pct"/>
            <w:tcBorders>
              <w:top w:val="nil"/>
              <w:left w:val="nil"/>
              <w:bottom w:val="nil"/>
              <w:right w:val="nil"/>
            </w:tcBorders>
          </w:tcPr>
          <w:p w14:paraId="386893DC"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r>
      <w:tr w:rsidR="00FE15AB" w:rsidRPr="00BC68C4" w14:paraId="50AE84D9" w14:textId="77777777" w:rsidTr="00FE15AB">
        <w:trPr>
          <w:jc w:val="center"/>
        </w:trPr>
        <w:tc>
          <w:tcPr>
            <w:tcW w:w="1104" w:type="pct"/>
            <w:tcBorders>
              <w:top w:val="nil"/>
              <w:left w:val="nil"/>
              <w:bottom w:val="nil"/>
              <w:right w:val="nil"/>
            </w:tcBorders>
          </w:tcPr>
          <w:p w14:paraId="73E49D98"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proofErr w:type="spellStart"/>
            <w:r w:rsidRPr="00BC68C4">
              <w:rPr>
                <w:rFonts w:ascii="Times New Roman" w:hAnsi="Times New Roman" w:cs="Times New Roman"/>
                <w:sz w:val="20"/>
                <w:szCs w:val="20"/>
              </w:rPr>
              <w:t>ActiveBlock</w:t>
            </w:r>
            <w:proofErr w:type="spellEnd"/>
          </w:p>
        </w:tc>
        <w:tc>
          <w:tcPr>
            <w:tcW w:w="524" w:type="pct"/>
            <w:tcBorders>
              <w:top w:val="nil"/>
              <w:left w:val="nil"/>
              <w:bottom w:val="nil"/>
              <w:right w:val="nil"/>
            </w:tcBorders>
          </w:tcPr>
          <w:p w14:paraId="247ECCD4"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6" w:type="pct"/>
            <w:tcBorders>
              <w:top w:val="nil"/>
              <w:left w:val="nil"/>
              <w:bottom w:val="nil"/>
              <w:right w:val="nil"/>
            </w:tcBorders>
          </w:tcPr>
          <w:p w14:paraId="2F849731"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-4.652*</w:t>
            </w:r>
          </w:p>
        </w:tc>
        <w:tc>
          <w:tcPr>
            <w:tcW w:w="678" w:type="pct"/>
            <w:tcBorders>
              <w:top w:val="nil"/>
              <w:left w:val="nil"/>
              <w:bottom w:val="nil"/>
              <w:right w:val="nil"/>
            </w:tcBorders>
          </w:tcPr>
          <w:p w14:paraId="0CA8F2CB"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-2.109*</w:t>
            </w:r>
          </w:p>
        </w:tc>
        <w:tc>
          <w:tcPr>
            <w:tcW w:w="840" w:type="pct"/>
            <w:tcBorders>
              <w:top w:val="nil"/>
              <w:left w:val="nil"/>
              <w:bottom w:val="nil"/>
              <w:right w:val="nil"/>
            </w:tcBorders>
          </w:tcPr>
          <w:p w14:paraId="48770DDE"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-2.114</w:t>
            </w:r>
          </w:p>
        </w:tc>
        <w:tc>
          <w:tcPr>
            <w:tcW w:w="878" w:type="pct"/>
            <w:tcBorders>
              <w:top w:val="nil"/>
              <w:left w:val="nil"/>
              <w:bottom w:val="nil"/>
              <w:right w:val="nil"/>
            </w:tcBorders>
          </w:tcPr>
          <w:p w14:paraId="1A5BD95D"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-1.091</w:t>
            </w:r>
          </w:p>
        </w:tc>
      </w:tr>
      <w:tr w:rsidR="00FE15AB" w:rsidRPr="00BC68C4" w14:paraId="6E26330E" w14:textId="77777777" w:rsidTr="00FE15AB">
        <w:trPr>
          <w:jc w:val="center"/>
        </w:trPr>
        <w:tc>
          <w:tcPr>
            <w:tcW w:w="1104" w:type="pct"/>
            <w:tcBorders>
              <w:top w:val="nil"/>
              <w:left w:val="nil"/>
              <w:bottom w:val="nil"/>
              <w:right w:val="nil"/>
            </w:tcBorders>
          </w:tcPr>
          <w:p w14:paraId="522B5E49"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p>
        </w:tc>
        <w:tc>
          <w:tcPr>
            <w:tcW w:w="524" w:type="pct"/>
            <w:tcBorders>
              <w:top w:val="nil"/>
              <w:left w:val="nil"/>
              <w:bottom w:val="nil"/>
              <w:right w:val="nil"/>
            </w:tcBorders>
          </w:tcPr>
          <w:p w14:paraId="64CCEE1C"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6" w:type="pct"/>
            <w:tcBorders>
              <w:top w:val="nil"/>
              <w:left w:val="nil"/>
              <w:bottom w:val="nil"/>
              <w:right w:val="nil"/>
            </w:tcBorders>
          </w:tcPr>
          <w:p w14:paraId="24D78EFA"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(2.664)</w:t>
            </w:r>
          </w:p>
        </w:tc>
        <w:tc>
          <w:tcPr>
            <w:tcW w:w="678" w:type="pct"/>
            <w:tcBorders>
              <w:top w:val="nil"/>
              <w:left w:val="nil"/>
              <w:bottom w:val="nil"/>
              <w:right w:val="nil"/>
            </w:tcBorders>
          </w:tcPr>
          <w:p w14:paraId="7C94C863"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(1.182)</w:t>
            </w:r>
          </w:p>
        </w:tc>
        <w:tc>
          <w:tcPr>
            <w:tcW w:w="840" w:type="pct"/>
            <w:tcBorders>
              <w:top w:val="nil"/>
              <w:left w:val="nil"/>
              <w:bottom w:val="nil"/>
              <w:right w:val="nil"/>
            </w:tcBorders>
          </w:tcPr>
          <w:p w14:paraId="72D86750"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(2.026)</w:t>
            </w:r>
          </w:p>
        </w:tc>
        <w:tc>
          <w:tcPr>
            <w:tcW w:w="878" w:type="pct"/>
            <w:tcBorders>
              <w:top w:val="nil"/>
              <w:left w:val="nil"/>
              <w:bottom w:val="nil"/>
              <w:right w:val="nil"/>
            </w:tcBorders>
          </w:tcPr>
          <w:p w14:paraId="730050BC"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(1.387)</w:t>
            </w:r>
          </w:p>
        </w:tc>
      </w:tr>
      <w:tr w:rsidR="00FE15AB" w:rsidRPr="00BC68C4" w14:paraId="41828ABB" w14:textId="77777777" w:rsidTr="00FE15AB">
        <w:trPr>
          <w:jc w:val="center"/>
        </w:trPr>
        <w:tc>
          <w:tcPr>
            <w:tcW w:w="1104" w:type="pct"/>
            <w:tcBorders>
              <w:top w:val="nil"/>
              <w:left w:val="nil"/>
              <w:bottom w:val="nil"/>
              <w:right w:val="nil"/>
            </w:tcBorders>
          </w:tcPr>
          <w:p w14:paraId="4A819C8B"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proofErr w:type="spellStart"/>
            <w:r w:rsidRPr="00BC68C4">
              <w:rPr>
                <w:rFonts w:ascii="Times New Roman" w:hAnsi="Times New Roman" w:cs="Times New Roman"/>
                <w:sz w:val="20"/>
                <w:szCs w:val="20"/>
              </w:rPr>
              <w:t>PassiveBlock</w:t>
            </w:r>
            <w:proofErr w:type="spellEnd"/>
          </w:p>
        </w:tc>
        <w:tc>
          <w:tcPr>
            <w:tcW w:w="524" w:type="pct"/>
            <w:tcBorders>
              <w:top w:val="nil"/>
              <w:left w:val="nil"/>
              <w:bottom w:val="nil"/>
              <w:right w:val="nil"/>
            </w:tcBorders>
          </w:tcPr>
          <w:p w14:paraId="695F4F18"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6" w:type="pct"/>
            <w:tcBorders>
              <w:top w:val="nil"/>
              <w:left w:val="nil"/>
              <w:bottom w:val="nil"/>
              <w:right w:val="nil"/>
            </w:tcBorders>
          </w:tcPr>
          <w:p w14:paraId="086A3A51"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-0.820</w:t>
            </w:r>
          </w:p>
        </w:tc>
        <w:tc>
          <w:tcPr>
            <w:tcW w:w="678" w:type="pct"/>
            <w:tcBorders>
              <w:top w:val="nil"/>
              <w:left w:val="nil"/>
              <w:bottom w:val="nil"/>
              <w:right w:val="nil"/>
            </w:tcBorders>
          </w:tcPr>
          <w:p w14:paraId="6E4BECCC"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-1.784</w:t>
            </w:r>
          </w:p>
        </w:tc>
        <w:tc>
          <w:tcPr>
            <w:tcW w:w="840" w:type="pct"/>
            <w:tcBorders>
              <w:top w:val="nil"/>
              <w:left w:val="nil"/>
              <w:bottom w:val="nil"/>
              <w:right w:val="nil"/>
            </w:tcBorders>
          </w:tcPr>
          <w:p w14:paraId="71C830DD"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-1.930</w:t>
            </w:r>
          </w:p>
        </w:tc>
        <w:tc>
          <w:tcPr>
            <w:tcW w:w="878" w:type="pct"/>
            <w:tcBorders>
              <w:top w:val="nil"/>
              <w:left w:val="nil"/>
              <w:bottom w:val="nil"/>
              <w:right w:val="nil"/>
            </w:tcBorders>
          </w:tcPr>
          <w:p w14:paraId="28077790"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-1.779</w:t>
            </w:r>
          </w:p>
        </w:tc>
      </w:tr>
      <w:tr w:rsidR="00FE15AB" w:rsidRPr="00BC68C4" w14:paraId="537ED7D3" w14:textId="77777777" w:rsidTr="00FE15AB">
        <w:trPr>
          <w:jc w:val="center"/>
        </w:trPr>
        <w:tc>
          <w:tcPr>
            <w:tcW w:w="1104" w:type="pct"/>
            <w:tcBorders>
              <w:top w:val="nil"/>
              <w:left w:val="nil"/>
              <w:bottom w:val="nil"/>
              <w:right w:val="nil"/>
            </w:tcBorders>
          </w:tcPr>
          <w:p w14:paraId="48110359"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p>
        </w:tc>
        <w:tc>
          <w:tcPr>
            <w:tcW w:w="524" w:type="pct"/>
            <w:tcBorders>
              <w:top w:val="nil"/>
              <w:left w:val="nil"/>
              <w:bottom w:val="nil"/>
              <w:right w:val="nil"/>
            </w:tcBorders>
          </w:tcPr>
          <w:p w14:paraId="4FBA37E3"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6" w:type="pct"/>
            <w:tcBorders>
              <w:top w:val="nil"/>
              <w:left w:val="nil"/>
              <w:bottom w:val="nil"/>
              <w:right w:val="nil"/>
            </w:tcBorders>
          </w:tcPr>
          <w:p w14:paraId="35FECF0A"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(2.134)</w:t>
            </w:r>
          </w:p>
        </w:tc>
        <w:tc>
          <w:tcPr>
            <w:tcW w:w="678" w:type="pct"/>
            <w:tcBorders>
              <w:top w:val="nil"/>
              <w:left w:val="nil"/>
              <w:bottom w:val="nil"/>
              <w:right w:val="nil"/>
            </w:tcBorders>
          </w:tcPr>
          <w:p w14:paraId="0B5988BB"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(1.654)</w:t>
            </w:r>
          </w:p>
        </w:tc>
        <w:tc>
          <w:tcPr>
            <w:tcW w:w="840" w:type="pct"/>
            <w:tcBorders>
              <w:top w:val="nil"/>
              <w:left w:val="nil"/>
              <w:bottom w:val="nil"/>
              <w:right w:val="nil"/>
            </w:tcBorders>
          </w:tcPr>
          <w:p w14:paraId="04DF1619"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(1.396)</w:t>
            </w:r>
          </w:p>
        </w:tc>
        <w:tc>
          <w:tcPr>
            <w:tcW w:w="878" w:type="pct"/>
            <w:tcBorders>
              <w:top w:val="nil"/>
              <w:left w:val="nil"/>
              <w:bottom w:val="nil"/>
              <w:right w:val="nil"/>
            </w:tcBorders>
          </w:tcPr>
          <w:p w14:paraId="7D5F7E57"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(2.257)</w:t>
            </w:r>
          </w:p>
        </w:tc>
      </w:tr>
      <w:tr w:rsidR="00FE15AB" w:rsidRPr="00BC68C4" w14:paraId="43856129" w14:textId="77777777" w:rsidTr="00FE15AB">
        <w:trPr>
          <w:jc w:val="center"/>
        </w:trPr>
        <w:tc>
          <w:tcPr>
            <w:tcW w:w="1104" w:type="pct"/>
            <w:tcBorders>
              <w:top w:val="nil"/>
              <w:left w:val="nil"/>
              <w:bottom w:val="nil"/>
              <w:right w:val="nil"/>
            </w:tcBorders>
          </w:tcPr>
          <w:p w14:paraId="442A9C09"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proofErr w:type="spellStart"/>
            <w:r w:rsidRPr="00BC68C4">
              <w:rPr>
                <w:rFonts w:ascii="Times New Roman" w:hAnsi="Times New Roman" w:cs="Times New Roman"/>
                <w:sz w:val="20"/>
                <w:szCs w:val="20"/>
              </w:rPr>
              <w:t>DirOnlyVote</w:t>
            </w:r>
            <w:proofErr w:type="spellEnd"/>
          </w:p>
        </w:tc>
        <w:tc>
          <w:tcPr>
            <w:tcW w:w="524" w:type="pct"/>
            <w:tcBorders>
              <w:top w:val="nil"/>
              <w:left w:val="nil"/>
              <w:bottom w:val="nil"/>
              <w:right w:val="nil"/>
            </w:tcBorders>
          </w:tcPr>
          <w:p w14:paraId="31B0CBB4"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6" w:type="pct"/>
            <w:tcBorders>
              <w:top w:val="nil"/>
              <w:left w:val="nil"/>
              <w:bottom w:val="nil"/>
              <w:right w:val="nil"/>
            </w:tcBorders>
          </w:tcPr>
          <w:p w14:paraId="66838856"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8.760*</w:t>
            </w:r>
          </w:p>
        </w:tc>
        <w:tc>
          <w:tcPr>
            <w:tcW w:w="678" w:type="pct"/>
            <w:tcBorders>
              <w:top w:val="nil"/>
              <w:left w:val="nil"/>
              <w:bottom w:val="nil"/>
              <w:right w:val="nil"/>
            </w:tcBorders>
          </w:tcPr>
          <w:p w14:paraId="5F12442D"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-0.819</w:t>
            </w:r>
          </w:p>
        </w:tc>
        <w:tc>
          <w:tcPr>
            <w:tcW w:w="840" w:type="pct"/>
            <w:tcBorders>
              <w:top w:val="nil"/>
              <w:left w:val="nil"/>
              <w:bottom w:val="nil"/>
              <w:right w:val="nil"/>
            </w:tcBorders>
          </w:tcPr>
          <w:p w14:paraId="5ACE52A1"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0.307</w:t>
            </w:r>
          </w:p>
        </w:tc>
        <w:tc>
          <w:tcPr>
            <w:tcW w:w="878" w:type="pct"/>
            <w:tcBorders>
              <w:top w:val="nil"/>
              <w:left w:val="nil"/>
              <w:bottom w:val="nil"/>
              <w:right w:val="nil"/>
            </w:tcBorders>
          </w:tcPr>
          <w:p w14:paraId="3844D3FD"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-2.441</w:t>
            </w:r>
          </w:p>
        </w:tc>
      </w:tr>
      <w:tr w:rsidR="00FE15AB" w:rsidRPr="00BC68C4" w14:paraId="2E9D905E" w14:textId="77777777" w:rsidTr="00FE15AB">
        <w:trPr>
          <w:jc w:val="center"/>
        </w:trPr>
        <w:tc>
          <w:tcPr>
            <w:tcW w:w="1104" w:type="pct"/>
            <w:tcBorders>
              <w:top w:val="nil"/>
              <w:left w:val="nil"/>
              <w:bottom w:val="nil"/>
              <w:right w:val="nil"/>
            </w:tcBorders>
          </w:tcPr>
          <w:p w14:paraId="6EED29F9"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p>
        </w:tc>
        <w:tc>
          <w:tcPr>
            <w:tcW w:w="524" w:type="pct"/>
            <w:tcBorders>
              <w:top w:val="nil"/>
              <w:left w:val="nil"/>
              <w:bottom w:val="nil"/>
              <w:right w:val="nil"/>
            </w:tcBorders>
          </w:tcPr>
          <w:p w14:paraId="1B702B9F"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6" w:type="pct"/>
            <w:tcBorders>
              <w:top w:val="nil"/>
              <w:left w:val="nil"/>
              <w:bottom w:val="nil"/>
              <w:right w:val="nil"/>
            </w:tcBorders>
          </w:tcPr>
          <w:p w14:paraId="39463779"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(4.829)</w:t>
            </w:r>
          </w:p>
        </w:tc>
        <w:tc>
          <w:tcPr>
            <w:tcW w:w="678" w:type="pct"/>
            <w:tcBorders>
              <w:top w:val="nil"/>
              <w:left w:val="nil"/>
              <w:bottom w:val="nil"/>
              <w:right w:val="nil"/>
            </w:tcBorders>
          </w:tcPr>
          <w:p w14:paraId="55CAE616"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(3.115)</w:t>
            </w:r>
          </w:p>
        </w:tc>
        <w:tc>
          <w:tcPr>
            <w:tcW w:w="840" w:type="pct"/>
            <w:tcBorders>
              <w:top w:val="nil"/>
              <w:left w:val="nil"/>
              <w:bottom w:val="nil"/>
              <w:right w:val="nil"/>
            </w:tcBorders>
          </w:tcPr>
          <w:p w14:paraId="63E9BE9E"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(3.311)</w:t>
            </w:r>
          </w:p>
        </w:tc>
        <w:tc>
          <w:tcPr>
            <w:tcW w:w="878" w:type="pct"/>
            <w:tcBorders>
              <w:top w:val="nil"/>
              <w:left w:val="nil"/>
              <w:bottom w:val="nil"/>
              <w:right w:val="nil"/>
            </w:tcBorders>
          </w:tcPr>
          <w:p w14:paraId="1942B16E"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(3.343)</w:t>
            </w:r>
          </w:p>
        </w:tc>
      </w:tr>
      <w:tr w:rsidR="00FE15AB" w:rsidRPr="00BC68C4" w14:paraId="732C7781" w14:textId="77777777" w:rsidTr="00FE15AB">
        <w:trPr>
          <w:jc w:val="center"/>
        </w:trPr>
        <w:tc>
          <w:tcPr>
            <w:tcW w:w="1104" w:type="pct"/>
            <w:tcBorders>
              <w:top w:val="nil"/>
              <w:left w:val="nil"/>
              <w:bottom w:val="nil"/>
              <w:right w:val="nil"/>
            </w:tcBorders>
          </w:tcPr>
          <w:p w14:paraId="6DB843F5"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proofErr w:type="spellStart"/>
            <w:r w:rsidRPr="00BC68C4">
              <w:rPr>
                <w:rFonts w:ascii="Times New Roman" w:hAnsi="Times New Roman" w:cs="Times New Roman"/>
                <w:sz w:val="20"/>
                <w:szCs w:val="20"/>
              </w:rPr>
              <w:t>DirOnlyNum</w:t>
            </w:r>
            <w:proofErr w:type="spellEnd"/>
          </w:p>
        </w:tc>
        <w:tc>
          <w:tcPr>
            <w:tcW w:w="524" w:type="pct"/>
            <w:tcBorders>
              <w:top w:val="nil"/>
              <w:left w:val="nil"/>
              <w:bottom w:val="nil"/>
              <w:right w:val="nil"/>
            </w:tcBorders>
          </w:tcPr>
          <w:p w14:paraId="5113F7BA"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6" w:type="pct"/>
            <w:tcBorders>
              <w:top w:val="nil"/>
              <w:left w:val="nil"/>
              <w:bottom w:val="nil"/>
              <w:right w:val="nil"/>
            </w:tcBorders>
          </w:tcPr>
          <w:p w14:paraId="06137FCD"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-0.643***</w:t>
            </w:r>
          </w:p>
        </w:tc>
        <w:tc>
          <w:tcPr>
            <w:tcW w:w="678" w:type="pct"/>
            <w:tcBorders>
              <w:top w:val="nil"/>
              <w:left w:val="nil"/>
              <w:bottom w:val="nil"/>
              <w:right w:val="nil"/>
            </w:tcBorders>
          </w:tcPr>
          <w:p w14:paraId="351A9E29"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-0.391***</w:t>
            </w:r>
          </w:p>
        </w:tc>
        <w:tc>
          <w:tcPr>
            <w:tcW w:w="840" w:type="pct"/>
            <w:tcBorders>
              <w:top w:val="nil"/>
              <w:left w:val="nil"/>
              <w:bottom w:val="nil"/>
              <w:right w:val="nil"/>
            </w:tcBorders>
          </w:tcPr>
          <w:p w14:paraId="593257B2"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-0.086</w:t>
            </w:r>
          </w:p>
        </w:tc>
        <w:tc>
          <w:tcPr>
            <w:tcW w:w="878" w:type="pct"/>
            <w:tcBorders>
              <w:top w:val="nil"/>
              <w:left w:val="nil"/>
              <w:bottom w:val="nil"/>
              <w:right w:val="nil"/>
            </w:tcBorders>
          </w:tcPr>
          <w:p w14:paraId="7B5B2878"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-0.053</w:t>
            </w:r>
          </w:p>
        </w:tc>
      </w:tr>
      <w:tr w:rsidR="00FE15AB" w:rsidRPr="00BC68C4" w14:paraId="48B32CD0" w14:textId="77777777" w:rsidTr="00FE15AB">
        <w:trPr>
          <w:jc w:val="center"/>
        </w:trPr>
        <w:tc>
          <w:tcPr>
            <w:tcW w:w="1104" w:type="pct"/>
            <w:tcBorders>
              <w:top w:val="nil"/>
              <w:left w:val="nil"/>
              <w:bottom w:val="nil"/>
              <w:right w:val="nil"/>
            </w:tcBorders>
          </w:tcPr>
          <w:p w14:paraId="0BF19012"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p>
        </w:tc>
        <w:tc>
          <w:tcPr>
            <w:tcW w:w="524" w:type="pct"/>
            <w:tcBorders>
              <w:top w:val="nil"/>
              <w:left w:val="nil"/>
              <w:bottom w:val="nil"/>
              <w:right w:val="nil"/>
            </w:tcBorders>
          </w:tcPr>
          <w:p w14:paraId="4D30ADEC"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6" w:type="pct"/>
            <w:tcBorders>
              <w:top w:val="nil"/>
              <w:left w:val="nil"/>
              <w:bottom w:val="nil"/>
              <w:right w:val="nil"/>
            </w:tcBorders>
          </w:tcPr>
          <w:p w14:paraId="5F8D1717"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(0.163)</w:t>
            </w:r>
          </w:p>
        </w:tc>
        <w:tc>
          <w:tcPr>
            <w:tcW w:w="678" w:type="pct"/>
            <w:tcBorders>
              <w:top w:val="nil"/>
              <w:left w:val="nil"/>
              <w:bottom w:val="nil"/>
              <w:right w:val="nil"/>
            </w:tcBorders>
          </w:tcPr>
          <w:p w14:paraId="42BBBDD3"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(0.116)</w:t>
            </w:r>
          </w:p>
        </w:tc>
        <w:tc>
          <w:tcPr>
            <w:tcW w:w="840" w:type="pct"/>
            <w:tcBorders>
              <w:top w:val="nil"/>
              <w:left w:val="nil"/>
              <w:bottom w:val="nil"/>
              <w:right w:val="nil"/>
            </w:tcBorders>
          </w:tcPr>
          <w:p w14:paraId="376E13C8"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(0.092)</w:t>
            </w:r>
          </w:p>
        </w:tc>
        <w:tc>
          <w:tcPr>
            <w:tcW w:w="878" w:type="pct"/>
            <w:tcBorders>
              <w:top w:val="nil"/>
              <w:left w:val="nil"/>
              <w:bottom w:val="nil"/>
              <w:right w:val="nil"/>
            </w:tcBorders>
          </w:tcPr>
          <w:p w14:paraId="14F9A81D"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(0.080)</w:t>
            </w:r>
          </w:p>
        </w:tc>
      </w:tr>
      <w:tr w:rsidR="00FE15AB" w:rsidRPr="00BC68C4" w14:paraId="1D925434" w14:textId="77777777" w:rsidTr="00FE15AB">
        <w:trPr>
          <w:jc w:val="center"/>
        </w:trPr>
        <w:tc>
          <w:tcPr>
            <w:tcW w:w="1104" w:type="pct"/>
            <w:tcBorders>
              <w:top w:val="nil"/>
              <w:left w:val="nil"/>
              <w:bottom w:val="nil"/>
              <w:right w:val="nil"/>
            </w:tcBorders>
          </w:tcPr>
          <w:p w14:paraId="1CCAFDF5"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proofErr w:type="spellStart"/>
            <w:r w:rsidRPr="00BC68C4">
              <w:rPr>
                <w:rFonts w:ascii="Times New Roman" w:hAnsi="Times New Roman" w:cs="Times New Roman"/>
                <w:sz w:val="20"/>
                <w:szCs w:val="20"/>
              </w:rPr>
              <w:t>DirFamily</w:t>
            </w:r>
            <w:proofErr w:type="spellEnd"/>
          </w:p>
        </w:tc>
        <w:tc>
          <w:tcPr>
            <w:tcW w:w="524" w:type="pct"/>
            <w:tcBorders>
              <w:top w:val="nil"/>
              <w:left w:val="nil"/>
              <w:bottom w:val="nil"/>
              <w:right w:val="nil"/>
            </w:tcBorders>
          </w:tcPr>
          <w:p w14:paraId="327D640A"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6" w:type="pct"/>
            <w:tcBorders>
              <w:top w:val="nil"/>
              <w:left w:val="nil"/>
              <w:bottom w:val="nil"/>
              <w:right w:val="nil"/>
            </w:tcBorders>
          </w:tcPr>
          <w:p w14:paraId="0F73AAC7"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-0.193</w:t>
            </w:r>
          </w:p>
        </w:tc>
        <w:tc>
          <w:tcPr>
            <w:tcW w:w="678" w:type="pct"/>
            <w:tcBorders>
              <w:top w:val="nil"/>
              <w:left w:val="nil"/>
              <w:bottom w:val="nil"/>
              <w:right w:val="nil"/>
            </w:tcBorders>
          </w:tcPr>
          <w:p w14:paraId="636B5148"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0.037</w:t>
            </w:r>
          </w:p>
        </w:tc>
        <w:tc>
          <w:tcPr>
            <w:tcW w:w="840" w:type="pct"/>
            <w:tcBorders>
              <w:top w:val="nil"/>
              <w:left w:val="nil"/>
              <w:bottom w:val="nil"/>
              <w:right w:val="nil"/>
            </w:tcBorders>
          </w:tcPr>
          <w:p w14:paraId="271A31D1"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-0.787</w:t>
            </w:r>
          </w:p>
        </w:tc>
        <w:tc>
          <w:tcPr>
            <w:tcW w:w="878" w:type="pct"/>
            <w:tcBorders>
              <w:top w:val="nil"/>
              <w:left w:val="nil"/>
              <w:bottom w:val="nil"/>
              <w:right w:val="nil"/>
            </w:tcBorders>
          </w:tcPr>
          <w:p w14:paraId="32F5DFAA"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-1.462</w:t>
            </w:r>
          </w:p>
        </w:tc>
      </w:tr>
      <w:tr w:rsidR="00FE15AB" w:rsidRPr="00BC68C4" w14:paraId="5B34E16A" w14:textId="77777777" w:rsidTr="00FE15AB">
        <w:trPr>
          <w:jc w:val="center"/>
        </w:trPr>
        <w:tc>
          <w:tcPr>
            <w:tcW w:w="1104" w:type="pct"/>
            <w:tcBorders>
              <w:top w:val="nil"/>
              <w:left w:val="nil"/>
              <w:bottom w:val="nil"/>
              <w:right w:val="nil"/>
            </w:tcBorders>
          </w:tcPr>
          <w:p w14:paraId="11B50165"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p>
        </w:tc>
        <w:tc>
          <w:tcPr>
            <w:tcW w:w="524" w:type="pct"/>
            <w:tcBorders>
              <w:top w:val="nil"/>
              <w:left w:val="nil"/>
              <w:bottom w:val="nil"/>
              <w:right w:val="nil"/>
            </w:tcBorders>
          </w:tcPr>
          <w:p w14:paraId="68034380"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6" w:type="pct"/>
            <w:tcBorders>
              <w:top w:val="nil"/>
              <w:left w:val="nil"/>
              <w:bottom w:val="nil"/>
              <w:right w:val="nil"/>
            </w:tcBorders>
          </w:tcPr>
          <w:p w14:paraId="60416E19"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(0.741)</w:t>
            </w:r>
          </w:p>
        </w:tc>
        <w:tc>
          <w:tcPr>
            <w:tcW w:w="678" w:type="pct"/>
            <w:tcBorders>
              <w:top w:val="nil"/>
              <w:left w:val="nil"/>
              <w:bottom w:val="nil"/>
              <w:right w:val="nil"/>
            </w:tcBorders>
          </w:tcPr>
          <w:p w14:paraId="4929A4CD"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(0.476)</w:t>
            </w:r>
          </w:p>
        </w:tc>
        <w:tc>
          <w:tcPr>
            <w:tcW w:w="840" w:type="pct"/>
            <w:tcBorders>
              <w:top w:val="nil"/>
              <w:left w:val="nil"/>
              <w:bottom w:val="nil"/>
              <w:right w:val="nil"/>
            </w:tcBorders>
          </w:tcPr>
          <w:p w14:paraId="5DA41FA4"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(0.765)</w:t>
            </w:r>
          </w:p>
        </w:tc>
        <w:tc>
          <w:tcPr>
            <w:tcW w:w="878" w:type="pct"/>
            <w:tcBorders>
              <w:top w:val="nil"/>
              <w:left w:val="nil"/>
              <w:bottom w:val="nil"/>
              <w:right w:val="nil"/>
            </w:tcBorders>
          </w:tcPr>
          <w:p w14:paraId="7C5EC83E"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(0.896)</w:t>
            </w:r>
          </w:p>
        </w:tc>
      </w:tr>
      <w:tr w:rsidR="00FE15AB" w:rsidRPr="00BC68C4" w14:paraId="180A736E" w14:textId="77777777" w:rsidTr="00FE15AB">
        <w:trPr>
          <w:jc w:val="center"/>
        </w:trPr>
        <w:tc>
          <w:tcPr>
            <w:tcW w:w="1104" w:type="pct"/>
            <w:tcBorders>
              <w:top w:val="nil"/>
              <w:left w:val="nil"/>
              <w:bottom w:val="nil"/>
              <w:right w:val="nil"/>
            </w:tcBorders>
          </w:tcPr>
          <w:p w14:paraId="16B8991F"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proofErr w:type="spellStart"/>
            <w:r w:rsidRPr="00BC68C4">
              <w:rPr>
                <w:rFonts w:ascii="Times New Roman" w:hAnsi="Times New Roman" w:cs="Times New Roman"/>
                <w:sz w:val="20"/>
                <w:szCs w:val="20"/>
              </w:rPr>
              <w:t>OwnDate</w:t>
            </w:r>
            <w:proofErr w:type="spellEnd"/>
          </w:p>
        </w:tc>
        <w:tc>
          <w:tcPr>
            <w:tcW w:w="524" w:type="pct"/>
            <w:tcBorders>
              <w:top w:val="nil"/>
              <w:left w:val="nil"/>
              <w:bottom w:val="nil"/>
              <w:right w:val="nil"/>
            </w:tcBorders>
          </w:tcPr>
          <w:p w14:paraId="42D6E62B"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6" w:type="pct"/>
            <w:tcBorders>
              <w:top w:val="nil"/>
              <w:left w:val="nil"/>
              <w:bottom w:val="nil"/>
              <w:right w:val="nil"/>
            </w:tcBorders>
          </w:tcPr>
          <w:p w14:paraId="4948EA65"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-0.132***</w:t>
            </w:r>
          </w:p>
        </w:tc>
        <w:tc>
          <w:tcPr>
            <w:tcW w:w="678" w:type="pct"/>
            <w:tcBorders>
              <w:top w:val="nil"/>
              <w:left w:val="nil"/>
              <w:bottom w:val="nil"/>
              <w:right w:val="nil"/>
            </w:tcBorders>
          </w:tcPr>
          <w:p w14:paraId="0D54F851"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-0.090***</w:t>
            </w:r>
          </w:p>
        </w:tc>
        <w:tc>
          <w:tcPr>
            <w:tcW w:w="840" w:type="pct"/>
            <w:tcBorders>
              <w:top w:val="nil"/>
              <w:left w:val="nil"/>
              <w:bottom w:val="nil"/>
              <w:right w:val="nil"/>
            </w:tcBorders>
          </w:tcPr>
          <w:p w14:paraId="0FC6E3D1"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-0.093***</w:t>
            </w:r>
          </w:p>
        </w:tc>
        <w:tc>
          <w:tcPr>
            <w:tcW w:w="878" w:type="pct"/>
            <w:tcBorders>
              <w:top w:val="nil"/>
              <w:left w:val="nil"/>
              <w:bottom w:val="nil"/>
              <w:right w:val="nil"/>
            </w:tcBorders>
          </w:tcPr>
          <w:p w14:paraId="5C1E78BB"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-0.077***</w:t>
            </w:r>
          </w:p>
        </w:tc>
      </w:tr>
      <w:tr w:rsidR="00FE15AB" w:rsidRPr="00BC68C4" w14:paraId="2534ED1C" w14:textId="77777777" w:rsidTr="00FE15AB">
        <w:trPr>
          <w:jc w:val="center"/>
        </w:trPr>
        <w:tc>
          <w:tcPr>
            <w:tcW w:w="1104" w:type="pct"/>
            <w:tcBorders>
              <w:top w:val="nil"/>
              <w:left w:val="nil"/>
              <w:bottom w:val="nil"/>
              <w:right w:val="nil"/>
            </w:tcBorders>
          </w:tcPr>
          <w:p w14:paraId="63FB001A"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p>
        </w:tc>
        <w:tc>
          <w:tcPr>
            <w:tcW w:w="524" w:type="pct"/>
            <w:tcBorders>
              <w:top w:val="nil"/>
              <w:left w:val="nil"/>
              <w:bottom w:val="nil"/>
              <w:right w:val="nil"/>
            </w:tcBorders>
          </w:tcPr>
          <w:p w14:paraId="2F3FC7AD"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6" w:type="pct"/>
            <w:tcBorders>
              <w:top w:val="nil"/>
              <w:left w:val="nil"/>
              <w:bottom w:val="nil"/>
              <w:right w:val="nil"/>
            </w:tcBorders>
          </w:tcPr>
          <w:p w14:paraId="3CDC16B5"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(0.048)</w:t>
            </w:r>
          </w:p>
        </w:tc>
        <w:tc>
          <w:tcPr>
            <w:tcW w:w="678" w:type="pct"/>
            <w:tcBorders>
              <w:top w:val="nil"/>
              <w:left w:val="nil"/>
              <w:bottom w:val="nil"/>
              <w:right w:val="nil"/>
            </w:tcBorders>
          </w:tcPr>
          <w:p w14:paraId="625FF5F1"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(0.028)</w:t>
            </w:r>
          </w:p>
        </w:tc>
        <w:tc>
          <w:tcPr>
            <w:tcW w:w="840" w:type="pct"/>
            <w:tcBorders>
              <w:top w:val="nil"/>
              <w:left w:val="nil"/>
              <w:bottom w:val="nil"/>
              <w:right w:val="nil"/>
            </w:tcBorders>
          </w:tcPr>
          <w:p w14:paraId="166B16BD"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(0.029)</w:t>
            </w:r>
          </w:p>
        </w:tc>
        <w:tc>
          <w:tcPr>
            <w:tcW w:w="878" w:type="pct"/>
            <w:tcBorders>
              <w:top w:val="nil"/>
              <w:left w:val="nil"/>
              <w:bottom w:val="nil"/>
              <w:right w:val="nil"/>
            </w:tcBorders>
          </w:tcPr>
          <w:p w14:paraId="255411A0"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(0.026)</w:t>
            </w:r>
          </w:p>
        </w:tc>
      </w:tr>
      <w:tr w:rsidR="00FE15AB" w:rsidRPr="00BC68C4" w14:paraId="19DB7A0C" w14:textId="77777777" w:rsidTr="00FE15AB">
        <w:trPr>
          <w:jc w:val="center"/>
        </w:trPr>
        <w:tc>
          <w:tcPr>
            <w:tcW w:w="1104" w:type="pct"/>
            <w:tcBorders>
              <w:top w:val="nil"/>
              <w:left w:val="nil"/>
              <w:bottom w:val="nil"/>
              <w:right w:val="nil"/>
            </w:tcBorders>
          </w:tcPr>
          <w:p w14:paraId="7A7917AC"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proofErr w:type="spellStart"/>
            <w:r w:rsidRPr="00BC68C4">
              <w:rPr>
                <w:rFonts w:ascii="Times New Roman" w:hAnsi="Times New Roman" w:cs="Times New Roman"/>
                <w:sz w:val="20"/>
                <w:szCs w:val="20"/>
              </w:rPr>
              <w:t>EstDate</w:t>
            </w:r>
            <w:proofErr w:type="spellEnd"/>
          </w:p>
        </w:tc>
        <w:tc>
          <w:tcPr>
            <w:tcW w:w="524" w:type="pct"/>
            <w:tcBorders>
              <w:top w:val="nil"/>
              <w:left w:val="nil"/>
              <w:bottom w:val="nil"/>
              <w:right w:val="nil"/>
            </w:tcBorders>
          </w:tcPr>
          <w:p w14:paraId="128E0CC9"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6" w:type="pct"/>
            <w:tcBorders>
              <w:top w:val="nil"/>
              <w:left w:val="nil"/>
              <w:bottom w:val="nil"/>
              <w:right w:val="nil"/>
            </w:tcBorders>
          </w:tcPr>
          <w:p w14:paraId="6E8D32B0"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0.038</w:t>
            </w:r>
          </w:p>
        </w:tc>
        <w:tc>
          <w:tcPr>
            <w:tcW w:w="678" w:type="pct"/>
            <w:tcBorders>
              <w:top w:val="nil"/>
              <w:left w:val="nil"/>
              <w:bottom w:val="nil"/>
              <w:right w:val="nil"/>
            </w:tcBorders>
          </w:tcPr>
          <w:p w14:paraId="39DE8891"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0.035**</w:t>
            </w:r>
          </w:p>
        </w:tc>
        <w:tc>
          <w:tcPr>
            <w:tcW w:w="840" w:type="pct"/>
            <w:tcBorders>
              <w:top w:val="nil"/>
              <w:left w:val="nil"/>
              <w:bottom w:val="nil"/>
              <w:right w:val="nil"/>
            </w:tcBorders>
          </w:tcPr>
          <w:p w14:paraId="2929FB78"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0.051***</w:t>
            </w:r>
          </w:p>
        </w:tc>
        <w:tc>
          <w:tcPr>
            <w:tcW w:w="878" w:type="pct"/>
            <w:tcBorders>
              <w:top w:val="nil"/>
              <w:left w:val="nil"/>
              <w:bottom w:val="nil"/>
              <w:right w:val="nil"/>
            </w:tcBorders>
          </w:tcPr>
          <w:p w14:paraId="4AA0E76F"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0.041***</w:t>
            </w:r>
          </w:p>
        </w:tc>
      </w:tr>
      <w:tr w:rsidR="00FE15AB" w:rsidRPr="00BC68C4" w14:paraId="4E7D1C4F" w14:textId="77777777" w:rsidTr="00FE15AB">
        <w:trPr>
          <w:jc w:val="center"/>
        </w:trPr>
        <w:tc>
          <w:tcPr>
            <w:tcW w:w="1104" w:type="pct"/>
            <w:tcBorders>
              <w:top w:val="nil"/>
              <w:left w:val="nil"/>
              <w:bottom w:val="nil"/>
              <w:right w:val="nil"/>
            </w:tcBorders>
          </w:tcPr>
          <w:p w14:paraId="13E5E758"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p>
        </w:tc>
        <w:tc>
          <w:tcPr>
            <w:tcW w:w="524" w:type="pct"/>
            <w:tcBorders>
              <w:top w:val="nil"/>
              <w:left w:val="nil"/>
              <w:bottom w:val="nil"/>
              <w:right w:val="nil"/>
            </w:tcBorders>
          </w:tcPr>
          <w:p w14:paraId="75E8CB4B"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6" w:type="pct"/>
            <w:tcBorders>
              <w:top w:val="nil"/>
              <w:left w:val="nil"/>
              <w:bottom w:val="nil"/>
              <w:right w:val="nil"/>
            </w:tcBorders>
          </w:tcPr>
          <w:p w14:paraId="7ECC0284"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(0.027)</w:t>
            </w:r>
          </w:p>
        </w:tc>
        <w:tc>
          <w:tcPr>
            <w:tcW w:w="678" w:type="pct"/>
            <w:tcBorders>
              <w:top w:val="nil"/>
              <w:left w:val="nil"/>
              <w:bottom w:val="nil"/>
              <w:right w:val="nil"/>
            </w:tcBorders>
          </w:tcPr>
          <w:p w14:paraId="73896EF9"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(0.017)</w:t>
            </w:r>
          </w:p>
        </w:tc>
        <w:tc>
          <w:tcPr>
            <w:tcW w:w="840" w:type="pct"/>
            <w:tcBorders>
              <w:top w:val="nil"/>
              <w:left w:val="nil"/>
              <w:bottom w:val="nil"/>
              <w:right w:val="nil"/>
            </w:tcBorders>
          </w:tcPr>
          <w:p w14:paraId="7A732B62"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(0.019)</w:t>
            </w:r>
          </w:p>
        </w:tc>
        <w:tc>
          <w:tcPr>
            <w:tcW w:w="878" w:type="pct"/>
            <w:tcBorders>
              <w:top w:val="nil"/>
              <w:left w:val="nil"/>
              <w:bottom w:val="nil"/>
              <w:right w:val="nil"/>
            </w:tcBorders>
          </w:tcPr>
          <w:p w14:paraId="2F544238"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(0.014)</w:t>
            </w:r>
          </w:p>
        </w:tc>
      </w:tr>
      <w:tr w:rsidR="00FE15AB" w:rsidRPr="00BC68C4" w14:paraId="2F146DE0" w14:textId="77777777" w:rsidTr="00FE15AB">
        <w:trPr>
          <w:jc w:val="center"/>
        </w:trPr>
        <w:tc>
          <w:tcPr>
            <w:tcW w:w="1104" w:type="pct"/>
            <w:tcBorders>
              <w:top w:val="nil"/>
              <w:left w:val="nil"/>
              <w:bottom w:val="nil"/>
              <w:right w:val="nil"/>
            </w:tcBorders>
          </w:tcPr>
          <w:p w14:paraId="30B3E4DB"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r w:rsidRPr="00BC68C4">
              <w:rPr>
                <w:rFonts w:ascii="Times New Roman" w:hAnsi="Times New Roman" w:cs="Times New Roman"/>
                <w:sz w:val="20"/>
                <w:szCs w:val="20"/>
              </w:rPr>
              <w:t>Size</w:t>
            </w:r>
          </w:p>
        </w:tc>
        <w:tc>
          <w:tcPr>
            <w:tcW w:w="524" w:type="pct"/>
            <w:tcBorders>
              <w:top w:val="nil"/>
              <w:left w:val="nil"/>
              <w:bottom w:val="nil"/>
              <w:right w:val="nil"/>
            </w:tcBorders>
          </w:tcPr>
          <w:p w14:paraId="005F7D74"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6" w:type="pct"/>
            <w:tcBorders>
              <w:top w:val="nil"/>
              <w:left w:val="nil"/>
              <w:bottom w:val="nil"/>
              <w:right w:val="nil"/>
            </w:tcBorders>
          </w:tcPr>
          <w:p w14:paraId="6A5C8116"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0.071</w:t>
            </w:r>
          </w:p>
        </w:tc>
        <w:tc>
          <w:tcPr>
            <w:tcW w:w="678" w:type="pct"/>
            <w:tcBorders>
              <w:top w:val="nil"/>
              <w:left w:val="nil"/>
              <w:bottom w:val="nil"/>
              <w:right w:val="nil"/>
            </w:tcBorders>
          </w:tcPr>
          <w:p w14:paraId="79D120CD"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-0.040</w:t>
            </w:r>
          </w:p>
        </w:tc>
        <w:tc>
          <w:tcPr>
            <w:tcW w:w="840" w:type="pct"/>
            <w:tcBorders>
              <w:top w:val="nil"/>
              <w:left w:val="nil"/>
              <w:bottom w:val="nil"/>
              <w:right w:val="nil"/>
            </w:tcBorders>
          </w:tcPr>
          <w:p w14:paraId="66E451B4"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-0.020</w:t>
            </w:r>
          </w:p>
        </w:tc>
        <w:tc>
          <w:tcPr>
            <w:tcW w:w="878" w:type="pct"/>
            <w:tcBorders>
              <w:top w:val="nil"/>
              <w:left w:val="nil"/>
              <w:bottom w:val="nil"/>
              <w:right w:val="nil"/>
            </w:tcBorders>
          </w:tcPr>
          <w:p w14:paraId="601F628C"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-0.302</w:t>
            </w:r>
          </w:p>
        </w:tc>
      </w:tr>
      <w:tr w:rsidR="00FE15AB" w:rsidRPr="00BC68C4" w14:paraId="4F9CF0CE" w14:textId="77777777" w:rsidTr="00FE15AB">
        <w:trPr>
          <w:jc w:val="center"/>
        </w:trPr>
        <w:tc>
          <w:tcPr>
            <w:tcW w:w="1104" w:type="pct"/>
            <w:tcBorders>
              <w:top w:val="nil"/>
              <w:left w:val="nil"/>
              <w:bottom w:val="nil"/>
              <w:right w:val="nil"/>
            </w:tcBorders>
          </w:tcPr>
          <w:p w14:paraId="3DC7FC1F"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p>
        </w:tc>
        <w:tc>
          <w:tcPr>
            <w:tcW w:w="524" w:type="pct"/>
            <w:tcBorders>
              <w:top w:val="nil"/>
              <w:left w:val="nil"/>
              <w:bottom w:val="nil"/>
              <w:right w:val="nil"/>
            </w:tcBorders>
          </w:tcPr>
          <w:p w14:paraId="3C20119F"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6" w:type="pct"/>
            <w:tcBorders>
              <w:top w:val="nil"/>
              <w:left w:val="nil"/>
              <w:bottom w:val="nil"/>
              <w:right w:val="nil"/>
            </w:tcBorders>
          </w:tcPr>
          <w:p w14:paraId="3550CADE"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(0.310)</w:t>
            </w:r>
          </w:p>
        </w:tc>
        <w:tc>
          <w:tcPr>
            <w:tcW w:w="678" w:type="pct"/>
            <w:tcBorders>
              <w:top w:val="nil"/>
              <w:left w:val="nil"/>
              <w:bottom w:val="nil"/>
              <w:right w:val="nil"/>
            </w:tcBorders>
          </w:tcPr>
          <w:p w14:paraId="778372C6"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(0.247)</w:t>
            </w:r>
          </w:p>
        </w:tc>
        <w:tc>
          <w:tcPr>
            <w:tcW w:w="840" w:type="pct"/>
            <w:tcBorders>
              <w:top w:val="nil"/>
              <w:left w:val="nil"/>
              <w:bottom w:val="nil"/>
              <w:right w:val="nil"/>
            </w:tcBorders>
          </w:tcPr>
          <w:p w14:paraId="08D704C1"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(0.207)</w:t>
            </w:r>
          </w:p>
        </w:tc>
        <w:tc>
          <w:tcPr>
            <w:tcW w:w="878" w:type="pct"/>
            <w:tcBorders>
              <w:top w:val="nil"/>
              <w:left w:val="nil"/>
              <w:bottom w:val="nil"/>
              <w:right w:val="nil"/>
            </w:tcBorders>
          </w:tcPr>
          <w:p w14:paraId="3BDE061A"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(0.200)</w:t>
            </w:r>
          </w:p>
        </w:tc>
      </w:tr>
      <w:tr w:rsidR="00FE15AB" w:rsidRPr="00BC68C4" w14:paraId="6C69EAC7" w14:textId="77777777" w:rsidTr="00FE15AB">
        <w:trPr>
          <w:jc w:val="center"/>
        </w:trPr>
        <w:tc>
          <w:tcPr>
            <w:tcW w:w="1104" w:type="pct"/>
            <w:tcBorders>
              <w:top w:val="nil"/>
              <w:left w:val="nil"/>
              <w:bottom w:val="nil"/>
              <w:right w:val="nil"/>
            </w:tcBorders>
          </w:tcPr>
          <w:p w14:paraId="52CEF51D"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proofErr w:type="spellStart"/>
            <w:r w:rsidRPr="00BC68C4">
              <w:rPr>
                <w:rFonts w:ascii="Times New Roman" w:hAnsi="Times New Roman" w:cs="Times New Roman"/>
                <w:sz w:val="20"/>
                <w:szCs w:val="20"/>
              </w:rPr>
              <w:t>DirectorQual</w:t>
            </w:r>
            <w:proofErr w:type="spellEnd"/>
          </w:p>
        </w:tc>
        <w:tc>
          <w:tcPr>
            <w:tcW w:w="524" w:type="pct"/>
            <w:tcBorders>
              <w:top w:val="nil"/>
              <w:left w:val="nil"/>
              <w:bottom w:val="nil"/>
              <w:right w:val="nil"/>
            </w:tcBorders>
          </w:tcPr>
          <w:p w14:paraId="689E310D"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6" w:type="pct"/>
            <w:tcBorders>
              <w:top w:val="nil"/>
              <w:left w:val="nil"/>
              <w:bottom w:val="nil"/>
              <w:right w:val="nil"/>
            </w:tcBorders>
          </w:tcPr>
          <w:p w14:paraId="17CC9F8F"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-1.880**</w:t>
            </w:r>
          </w:p>
        </w:tc>
        <w:tc>
          <w:tcPr>
            <w:tcW w:w="678" w:type="pct"/>
            <w:tcBorders>
              <w:top w:val="nil"/>
              <w:left w:val="nil"/>
              <w:bottom w:val="nil"/>
              <w:right w:val="nil"/>
            </w:tcBorders>
          </w:tcPr>
          <w:p w14:paraId="2011F0A4"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-0.227</w:t>
            </w:r>
          </w:p>
        </w:tc>
        <w:tc>
          <w:tcPr>
            <w:tcW w:w="840" w:type="pct"/>
            <w:tcBorders>
              <w:top w:val="nil"/>
              <w:left w:val="nil"/>
              <w:bottom w:val="nil"/>
              <w:right w:val="nil"/>
            </w:tcBorders>
          </w:tcPr>
          <w:p w14:paraId="6B498630"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-0.466</w:t>
            </w:r>
          </w:p>
        </w:tc>
        <w:tc>
          <w:tcPr>
            <w:tcW w:w="878" w:type="pct"/>
            <w:tcBorders>
              <w:top w:val="nil"/>
              <w:left w:val="nil"/>
              <w:bottom w:val="nil"/>
              <w:right w:val="nil"/>
            </w:tcBorders>
          </w:tcPr>
          <w:p w14:paraId="7EADCBA1"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0.272</w:t>
            </w:r>
          </w:p>
        </w:tc>
      </w:tr>
      <w:tr w:rsidR="00FE15AB" w:rsidRPr="00BC68C4" w14:paraId="44B2219B" w14:textId="77777777" w:rsidTr="00FE15AB">
        <w:trPr>
          <w:jc w:val="center"/>
        </w:trPr>
        <w:tc>
          <w:tcPr>
            <w:tcW w:w="1104" w:type="pct"/>
            <w:tcBorders>
              <w:top w:val="nil"/>
              <w:left w:val="nil"/>
              <w:bottom w:val="nil"/>
              <w:right w:val="nil"/>
            </w:tcBorders>
          </w:tcPr>
          <w:p w14:paraId="3660C7E9"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p>
        </w:tc>
        <w:tc>
          <w:tcPr>
            <w:tcW w:w="524" w:type="pct"/>
            <w:tcBorders>
              <w:top w:val="nil"/>
              <w:left w:val="nil"/>
              <w:bottom w:val="nil"/>
              <w:right w:val="nil"/>
            </w:tcBorders>
          </w:tcPr>
          <w:p w14:paraId="39E1F39C"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6" w:type="pct"/>
            <w:tcBorders>
              <w:top w:val="nil"/>
              <w:left w:val="nil"/>
              <w:bottom w:val="nil"/>
              <w:right w:val="nil"/>
            </w:tcBorders>
          </w:tcPr>
          <w:p w14:paraId="2C4B89D4"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(0.948)</w:t>
            </w:r>
          </w:p>
        </w:tc>
        <w:tc>
          <w:tcPr>
            <w:tcW w:w="678" w:type="pct"/>
            <w:tcBorders>
              <w:top w:val="nil"/>
              <w:left w:val="nil"/>
              <w:bottom w:val="nil"/>
              <w:right w:val="nil"/>
            </w:tcBorders>
          </w:tcPr>
          <w:p w14:paraId="68F361E8"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(0.535)</w:t>
            </w:r>
          </w:p>
        </w:tc>
        <w:tc>
          <w:tcPr>
            <w:tcW w:w="840" w:type="pct"/>
            <w:tcBorders>
              <w:top w:val="nil"/>
              <w:left w:val="nil"/>
              <w:bottom w:val="nil"/>
              <w:right w:val="nil"/>
            </w:tcBorders>
          </w:tcPr>
          <w:p w14:paraId="5BFFDD97"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(0.446)</w:t>
            </w:r>
          </w:p>
        </w:tc>
        <w:tc>
          <w:tcPr>
            <w:tcW w:w="878" w:type="pct"/>
            <w:tcBorders>
              <w:top w:val="nil"/>
              <w:left w:val="nil"/>
              <w:bottom w:val="nil"/>
              <w:right w:val="nil"/>
            </w:tcBorders>
          </w:tcPr>
          <w:p w14:paraId="01E4E1AB"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(0.353)</w:t>
            </w:r>
          </w:p>
        </w:tc>
      </w:tr>
      <w:tr w:rsidR="00FE15AB" w:rsidRPr="00BC68C4" w14:paraId="174F41CE" w14:textId="77777777" w:rsidTr="00FE15AB">
        <w:trPr>
          <w:jc w:val="center"/>
        </w:trPr>
        <w:tc>
          <w:tcPr>
            <w:tcW w:w="1104" w:type="pct"/>
            <w:tcBorders>
              <w:top w:val="nil"/>
              <w:left w:val="nil"/>
              <w:bottom w:val="nil"/>
              <w:right w:val="nil"/>
            </w:tcBorders>
          </w:tcPr>
          <w:p w14:paraId="00C011E7"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proofErr w:type="spellStart"/>
            <w:r w:rsidRPr="00BC68C4">
              <w:rPr>
                <w:rFonts w:ascii="Times New Roman" w:hAnsi="Times New Roman" w:cs="Times New Roman"/>
                <w:sz w:val="20"/>
                <w:szCs w:val="20"/>
              </w:rPr>
              <w:t>HeadLondon</w:t>
            </w:r>
            <w:proofErr w:type="spellEnd"/>
          </w:p>
        </w:tc>
        <w:tc>
          <w:tcPr>
            <w:tcW w:w="524" w:type="pct"/>
            <w:tcBorders>
              <w:top w:val="nil"/>
              <w:left w:val="nil"/>
              <w:bottom w:val="nil"/>
              <w:right w:val="nil"/>
            </w:tcBorders>
          </w:tcPr>
          <w:p w14:paraId="637B862F"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6" w:type="pct"/>
            <w:tcBorders>
              <w:top w:val="nil"/>
              <w:left w:val="nil"/>
              <w:bottom w:val="nil"/>
              <w:right w:val="nil"/>
            </w:tcBorders>
          </w:tcPr>
          <w:p w14:paraId="14D7ACEB"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-0.580</w:t>
            </w:r>
          </w:p>
        </w:tc>
        <w:tc>
          <w:tcPr>
            <w:tcW w:w="678" w:type="pct"/>
            <w:tcBorders>
              <w:top w:val="nil"/>
              <w:left w:val="nil"/>
              <w:bottom w:val="nil"/>
              <w:right w:val="nil"/>
            </w:tcBorders>
          </w:tcPr>
          <w:p w14:paraId="31116B45"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-0.651</w:t>
            </w:r>
          </w:p>
        </w:tc>
        <w:tc>
          <w:tcPr>
            <w:tcW w:w="840" w:type="pct"/>
            <w:tcBorders>
              <w:top w:val="nil"/>
              <w:left w:val="nil"/>
              <w:bottom w:val="nil"/>
              <w:right w:val="nil"/>
            </w:tcBorders>
          </w:tcPr>
          <w:p w14:paraId="044CFCE1"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-0.153</w:t>
            </w:r>
          </w:p>
        </w:tc>
        <w:tc>
          <w:tcPr>
            <w:tcW w:w="878" w:type="pct"/>
            <w:tcBorders>
              <w:top w:val="nil"/>
              <w:left w:val="nil"/>
              <w:bottom w:val="nil"/>
              <w:right w:val="nil"/>
            </w:tcBorders>
          </w:tcPr>
          <w:p w14:paraId="188DE9CE"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-0.487</w:t>
            </w:r>
          </w:p>
        </w:tc>
      </w:tr>
      <w:tr w:rsidR="00FE15AB" w:rsidRPr="00BC68C4" w14:paraId="3A13F834" w14:textId="77777777" w:rsidTr="00FE15AB">
        <w:trPr>
          <w:jc w:val="center"/>
        </w:trPr>
        <w:tc>
          <w:tcPr>
            <w:tcW w:w="1104" w:type="pct"/>
            <w:tcBorders>
              <w:top w:val="nil"/>
              <w:left w:val="nil"/>
              <w:bottom w:val="nil"/>
              <w:right w:val="nil"/>
            </w:tcBorders>
          </w:tcPr>
          <w:p w14:paraId="569C37A1"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p>
        </w:tc>
        <w:tc>
          <w:tcPr>
            <w:tcW w:w="524" w:type="pct"/>
            <w:tcBorders>
              <w:top w:val="nil"/>
              <w:left w:val="nil"/>
              <w:bottom w:val="nil"/>
              <w:right w:val="nil"/>
            </w:tcBorders>
          </w:tcPr>
          <w:p w14:paraId="420EF361"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6" w:type="pct"/>
            <w:tcBorders>
              <w:top w:val="nil"/>
              <w:left w:val="nil"/>
              <w:bottom w:val="nil"/>
              <w:right w:val="nil"/>
            </w:tcBorders>
          </w:tcPr>
          <w:p w14:paraId="529BAC8D"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(0.809)</w:t>
            </w:r>
          </w:p>
        </w:tc>
        <w:tc>
          <w:tcPr>
            <w:tcW w:w="678" w:type="pct"/>
            <w:tcBorders>
              <w:top w:val="nil"/>
              <w:left w:val="nil"/>
              <w:bottom w:val="nil"/>
              <w:right w:val="nil"/>
            </w:tcBorders>
          </w:tcPr>
          <w:p w14:paraId="39376EAC"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(0.433)</w:t>
            </w:r>
          </w:p>
        </w:tc>
        <w:tc>
          <w:tcPr>
            <w:tcW w:w="840" w:type="pct"/>
            <w:tcBorders>
              <w:top w:val="nil"/>
              <w:left w:val="nil"/>
              <w:bottom w:val="nil"/>
              <w:right w:val="nil"/>
            </w:tcBorders>
          </w:tcPr>
          <w:p w14:paraId="1E9D80F9"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(0.429)</w:t>
            </w:r>
          </w:p>
        </w:tc>
        <w:tc>
          <w:tcPr>
            <w:tcW w:w="878" w:type="pct"/>
            <w:tcBorders>
              <w:top w:val="nil"/>
              <w:left w:val="nil"/>
              <w:bottom w:val="nil"/>
              <w:right w:val="nil"/>
            </w:tcBorders>
          </w:tcPr>
          <w:p w14:paraId="1B6984AF"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(0.459)</w:t>
            </w:r>
          </w:p>
        </w:tc>
      </w:tr>
      <w:tr w:rsidR="00FE15AB" w:rsidRPr="00BC68C4" w14:paraId="75705FB5" w14:textId="77777777" w:rsidTr="00FE15AB">
        <w:trPr>
          <w:jc w:val="center"/>
        </w:trPr>
        <w:tc>
          <w:tcPr>
            <w:tcW w:w="1104" w:type="pct"/>
            <w:tcBorders>
              <w:top w:val="nil"/>
              <w:left w:val="nil"/>
              <w:bottom w:val="nil"/>
              <w:right w:val="nil"/>
            </w:tcBorders>
          </w:tcPr>
          <w:p w14:paraId="2B25B96F"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r w:rsidRPr="00BC68C4">
              <w:rPr>
                <w:rFonts w:ascii="Times New Roman" w:hAnsi="Times New Roman" w:cs="Times New Roman"/>
                <w:sz w:val="20"/>
                <w:szCs w:val="20"/>
              </w:rPr>
              <w:t>Scottish</w:t>
            </w:r>
          </w:p>
        </w:tc>
        <w:tc>
          <w:tcPr>
            <w:tcW w:w="524" w:type="pct"/>
            <w:tcBorders>
              <w:top w:val="nil"/>
              <w:left w:val="nil"/>
              <w:bottom w:val="nil"/>
              <w:right w:val="nil"/>
            </w:tcBorders>
          </w:tcPr>
          <w:p w14:paraId="6147A94B"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6" w:type="pct"/>
            <w:tcBorders>
              <w:top w:val="nil"/>
              <w:left w:val="nil"/>
              <w:bottom w:val="nil"/>
              <w:right w:val="nil"/>
            </w:tcBorders>
          </w:tcPr>
          <w:p w14:paraId="15369783"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1.897*</w:t>
            </w:r>
          </w:p>
        </w:tc>
        <w:tc>
          <w:tcPr>
            <w:tcW w:w="678" w:type="pct"/>
            <w:tcBorders>
              <w:top w:val="nil"/>
              <w:left w:val="nil"/>
              <w:bottom w:val="nil"/>
              <w:right w:val="nil"/>
            </w:tcBorders>
          </w:tcPr>
          <w:p w14:paraId="6A5F3A54"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0.957*</w:t>
            </w:r>
          </w:p>
        </w:tc>
        <w:tc>
          <w:tcPr>
            <w:tcW w:w="840" w:type="pct"/>
            <w:tcBorders>
              <w:top w:val="nil"/>
              <w:left w:val="nil"/>
              <w:bottom w:val="nil"/>
              <w:right w:val="nil"/>
            </w:tcBorders>
          </w:tcPr>
          <w:p w14:paraId="624D9C21"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0.987*</w:t>
            </w:r>
          </w:p>
        </w:tc>
        <w:tc>
          <w:tcPr>
            <w:tcW w:w="878" w:type="pct"/>
            <w:tcBorders>
              <w:top w:val="nil"/>
              <w:left w:val="nil"/>
              <w:bottom w:val="nil"/>
              <w:right w:val="nil"/>
            </w:tcBorders>
          </w:tcPr>
          <w:p w14:paraId="566B823E"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0.281</w:t>
            </w:r>
          </w:p>
        </w:tc>
      </w:tr>
      <w:tr w:rsidR="00FE15AB" w:rsidRPr="00BC68C4" w14:paraId="0DCDEE3A" w14:textId="77777777" w:rsidTr="00FE15AB">
        <w:trPr>
          <w:jc w:val="center"/>
        </w:trPr>
        <w:tc>
          <w:tcPr>
            <w:tcW w:w="1104" w:type="pct"/>
            <w:tcBorders>
              <w:top w:val="nil"/>
              <w:left w:val="nil"/>
              <w:bottom w:val="nil"/>
              <w:right w:val="nil"/>
            </w:tcBorders>
          </w:tcPr>
          <w:p w14:paraId="7314A520"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p>
        </w:tc>
        <w:tc>
          <w:tcPr>
            <w:tcW w:w="524" w:type="pct"/>
            <w:tcBorders>
              <w:top w:val="nil"/>
              <w:left w:val="nil"/>
              <w:bottom w:val="nil"/>
              <w:right w:val="nil"/>
            </w:tcBorders>
          </w:tcPr>
          <w:p w14:paraId="7A0FBEEC"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6" w:type="pct"/>
            <w:tcBorders>
              <w:top w:val="nil"/>
              <w:left w:val="nil"/>
              <w:bottom w:val="nil"/>
              <w:right w:val="nil"/>
            </w:tcBorders>
          </w:tcPr>
          <w:p w14:paraId="491C5F24"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(1.081)</w:t>
            </w:r>
          </w:p>
        </w:tc>
        <w:tc>
          <w:tcPr>
            <w:tcW w:w="678" w:type="pct"/>
            <w:tcBorders>
              <w:top w:val="nil"/>
              <w:left w:val="nil"/>
              <w:bottom w:val="nil"/>
              <w:right w:val="nil"/>
            </w:tcBorders>
          </w:tcPr>
          <w:p w14:paraId="607AC836"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(0.582)</w:t>
            </w:r>
          </w:p>
        </w:tc>
        <w:tc>
          <w:tcPr>
            <w:tcW w:w="840" w:type="pct"/>
            <w:tcBorders>
              <w:top w:val="nil"/>
              <w:left w:val="nil"/>
              <w:bottom w:val="nil"/>
              <w:right w:val="nil"/>
            </w:tcBorders>
          </w:tcPr>
          <w:p w14:paraId="615F9B2E"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(0.584)</w:t>
            </w:r>
          </w:p>
        </w:tc>
        <w:tc>
          <w:tcPr>
            <w:tcW w:w="878" w:type="pct"/>
            <w:tcBorders>
              <w:top w:val="nil"/>
              <w:left w:val="nil"/>
              <w:bottom w:val="nil"/>
              <w:right w:val="nil"/>
            </w:tcBorders>
          </w:tcPr>
          <w:p w14:paraId="2BD10C34"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(0.621)</w:t>
            </w:r>
          </w:p>
        </w:tc>
      </w:tr>
      <w:tr w:rsidR="00FE15AB" w:rsidRPr="00BC68C4" w14:paraId="43D8FD1A" w14:textId="77777777" w:rsidTr="00FE15AB">
        <w:trPr>
          <w:jc w:val="center"/>
        </w:trPr>
        <w:tc>
          <w:tcPr>
            <w:tcW w:w="1104" w:type="pct"/>
            <w:tcBorders>
              <w:top w:val="nil"/>
              <w:left w:val="nil"/>
              <w:bottom w:val="nil"/>
              <w:right w:val="nil"/>
            </w:tcBorders>
          </w:tcPr>
          <w:p w14:paraId="0151C1E5"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r w:rsidRPr="00BC68C4">
              <w:rPr>
                <w:rFonts w:ascii="Times New Roman" w:hAnsi="Times New Roman" w:cs="Times New Roman"/>
                <w:sz w:val="20"/>
                <w:szCs w:val="20"/>
              </w:rPr>
              <w:t>Constant</w:t>
            </w:r>
          </w:p>
        </w:tc>
        <w:tc>
          <w:tcPr>
            <w:tcW w:w="524" w:type="pct"/>
            <w:tcBorders>
              <w:top w:val="nil"/>
              <w:left w:val="nil"/>
              <w:bottom w:val="nil"/>
              <w:right w:val="nil"/>
            </w:tcBorders>
          </w:tcPr>
          <w:p w14:paraId="38882F88"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6" w:type="pct"/>
            <w:tcBorders>
              <w:top w:val="nil"/>
              <w:left w:val="nil"/>
              <w:bottom w:val="nil"/>
              <w:right w:val="nil"/>
            </w:tcBorders>
          </w:tcPr>
          <w:p w14:paraId="5B9436DE"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178.053**</w:t>
            </w:r>
          </w:p>
        </w:tc>
        <w:tc>
          <w:tcPr>
            <w:tcW w:w="678" w:type="pct"/>
            <w:tcBorders>
              <w:top w:val="nil"/>
              <w:left w:val="nil"/>
              <w:bottom w:val="nil"/>
              <w:right w:val="nil"/>
            </w:tcBorders>
          </w:tcPr>
          <w:p w14:paraId="6009CC5F"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105.939**</w:t>
            </w:r>
          </w:p>
        </w:tc>
        <w:tc>
          <w:tcPr>
            <w:tcW w:w="840" w:type="pct"/>
            <w:tcBorders>
              <w:top w:val="nil"/>
              <w:left w:val="nil"/>
              <w:bottom w:val="nil"/>
              <w:right w:val="nil"/>
            </w:tcBorders>
          </w:tcPr>
          <w:p w14:paraId="72F23DAA"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78.952*</w:t>
            </w:r>
          </w:p>
        </w:tc>
        <w:tc>
          <w:tcPr>
            <w:tcW w:w="878" w:type="pct"/>
            <w:tcBorders>
              <w:top w:val="nil"/>
              <w:left w:val="nil"/>
              <w:bottom w:val="nil"/>
              <w:right w:val="nil"/>
            </w:tcBorders>
          </w:tcPr>
          <w:p w14:paraId="523484D7"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71.168</w:t>
            </w:r>
          </w:p>
        </w:tc>
      </w:tr>
      <w:tr w:rsidR="00FE15AB" w:rsidRPr="00BC68C4" w14:paraId="0BFA7AB4" w14:textId="77777777" w:rsidTr="00FE15AB">
        <w:trPr>
          <w:jc w:val="center"/>
        </w:trPr>
        <w:tc>
          <w:tcPr>
            <w:tcW w:w="1104" w:type="pct"/>
            <w:tcBorders>
              <w:top w:val="nil"/>
              <w:left w:val="nil"/>
              <w:bottom w:val="nil"/>
              <w:right w:val="nil"/>
            </w:tcBorders>
          </w:tcPr>
          <w:p w14:paraId="7672B5D8"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p>
        </w:tc>
        <w:tc>
          <w:tcPr>
            <w:tcW w:w="524" w:type="pct"/>
            <w:tcBorders>
              <w:top w:val="nil"/>
              <w:left w:val="nil"/>
              <w:bottom w:val="nil"/>
              <w:right w:val="nil"/>
            </w:tcBorders>
          </w:tcPr>
          <w:p w14:paraId="29B712C9"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6" w:type="pct"/>
            <w:tcBorders>
              <w:top w:val="nil"/>
              <w:left w:val="nil"/>
              <w:bottom w:val="nil"/>
              <w:right w:val="nil"/>
            </w:tcBorders>
          </w:tcPr>
          <w:p w14:paraId="6F587179"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(90.240)</w:t>
            </w:r>
          </w:p>
        </w:tc>
        <w:tc>
          <w:tcPr>
            <w:tcW w:w="678" w:type="pct"/>
            <w:tcBorders>
              <w:top w:val="nil"/>
              <w:left w:val="nil"/>
              <w:bottom w:val="nil"/>
              <w:right w:val="nil"/>
            </w:tcBorders>
          </w:tcPr>
          <w:p w14:paraId="2F062199"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(48.119)</w:t>
            </w:r>
          </w:p>
        </w:tc>
        <w:tc>
          <w:tcPr>
            <w:tcW w:w="840" w:type="pct"/>
            <w:tcBorders>
              <w:top w:val="nil"/>
              <w:left w:val="nil"/>
              <w:bottom w:val="nil"/>
              <w:right w:val="nil"/>
            </w:tcBorders>
          </w:tcPr>
          <w:p w14:paraId="1943C0FA"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(43.365)</w:t>
            </w:r>
          </w:p>
        </w:tc>
        <w:tc>
          <w:tcPr>
            <w:tcW w:w="878" w:type="pct"/>
            <w:tcBorders>
              <w:top w:val="nil"/>
              <w:left w:val="nil"/>
              <w:bottom w:val="nil"/>
              <w:right w:val="nil"/>
            </w:tcBorders>
          </w:tcPr>
          <w:p w14:paraId="574EFADB"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(44.427)</w:t>
            </w:r>
          </w:p>
        </w:tc>
      </w:tr>
      <w:tr w:rsidR="00FE15AB" w:rsidRPr="00BC68C4" w14:paraId="4197DE19" w14:textId="77777777" w:rsidTr="00FE15AB">
        <w:trPr>
          <w:jc w:val="center"/>
        </w:trPr>
        <w:tc>
          <w:tcPr>
            <w:tcW w:w="1104" w:type="pct"/>
            <w:tcBorders>
              <w:top w:val="nil"/>
              <w:left w:val="nil"/>
              <w:bottom w:val="nil"/>
              <w:right w:val="nil"/>
            </w:tcBorders>
          </w:tcPr>
          <w:p w14:paraId="78E1AAB0" w14:textId="7A303EFE" w:rsidR="00FE15AB" w:rsidRPr="00BC68C4" w:rsidRDefault="00FE15AB" w:rsidP="0044062C">
            <w:pPr>
              <w:widowControl w:val="0"/>
              <w:autoSpaceDE w:val="0"/>
              <w:autoSpaceDN w:val="0"/>
              <w:adjustRightInd w:val="0"/>
              <w:rPr>
                <w:rFonts w:ascii="Times New Roman" w:hAnsi="Times New Roman" w:cs="Times New Roman"/>
                <w:sz w:val="20"/>
                <w:szCs w:val="20"/>
              </w:rPr>
            </w:pPr>
            <w:r w:rsidRPr="00BC68C4">
              <w:rPr>
                <w:rFonts w:ascii="Times New Roman" w:hAnsi="Times New Roman" w:cs="Times New Roman"/>
                <w:sz w:val="20"/>
                <w:szCs w:val="20"/>
              </w:rPr>
              <w:t>Industry Dummies</w:t>
            </w:r>
          </w:p>
        </w:tc>
        <w:tc>
          <w:tcPr>
            <w:tcW w:w="524" w:type="pct"/>
            <w:tcBorders>
              <w:top w:val="nil"/>
              <w:left w:val="nil"/>
              <w:bottom w:val="nil"/>
              <w:right w:val="nil"/>
            </w:tcBorders>
          </w:tcPr>
          <w:p w14:paraId="045E11CF"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6" w:type="pct"/>
            <w:tcBorders>
              <w:top w:val="nil"/>
              <w:left w:val="nil"/>
              <w:bottom w:val="nil"/>
              <w:right w:val="nil"/>
            </w:tcBorders>
          </w:tcPr>
          <w:p w14:paraId="27DDED05" w14:textId="27ED954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Yes</w:t>
            </w:r>
          </w:p>
        </w:tc>
        <w:tc>
          <w:tcPr>
            <w:tcW w:w="678" w:type="pct"/>
            <w:tcBorders>
              <w:top w:val="nil"/>
              <w:left w:val="nil"/>
              <w:bottom w:val="nil"/>
              <w:right w:val="nil"/>
            </w:tcBorders>
          </w:tcPr>
          <w:p w14:paraId="07DAA2D9" w14:textId="60849A22"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Yes</w:t>
            </w:r>
          </w:p>
        </w:tc>
        <w:tc>
          <w:tcPr>
            <w:tcW w:w="840" w:type="pct"/>
            <w:tcBorders>
              <w:top w:val="nil"/>
              <w:left w:val="nil"/>
              <w:bottom w:val="nil"/>
              <w:right w:val="nil"/>
            </w:tcBorders>
          </w:tcPr>
          <w:p w14:paraId="69A623FD" w14:textId="5A1A0648"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Yes</w:t>
            </w:r>
          </w:p>
        </w:tc>
        <w:tc>
          <w:tcPr>
            <w:tcW w:w="878" w:type="pct"/>
            <w:tcBorders>
              <w:top w:val="nil"/>
              <w:left w:val="nil"/>
              <w:bottom w:val="nil"/>
              <w:right w:val="nil"/>
            </w:tcBorders>
          </w:tcPr>
          <w:p w14:paraId="25BF93DA" w14:textId="336FE2A1"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Yes</w:t>
            </w:r>
          </w:p>
        </w:tc>
      </w:tr>
      <w:tr w:rsidR="00FE15AB" w:rsidRPr="00BC68C4" w14:paraId="0B41096F" w14:textId="77777777" w:rsidTr="00FE15AB">
        <w:trPr>
          <w:jc w:val="center"/>
        </w:trPr>
        <w:tc>
          <w:tcPr>
            <w:tcW w:w="1104" w:type="pct"/>
            <w:tcBorders>
              <w:top w:val="nil"/>
              <w:left w:val="nil"/>
              <w:bottom w:val="nil"/>
              <w:right w:val="nil"/>
            </w:tcBorders>
          </w:tcPr>
          <w:p w14:paraId="23420862"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p>
        </w:tc>
        <w:tc>
          <w:tcPr>
            <w:tcW w:w="524" w:type="pct"/>
            <w:tcBorders>
              <w:top w:val="nil"/>
              <w:left w:val="nil"/>
              <w:bottom w:val="nil"/>
              <w:right w:val="nil"/>
            </w:tcBorders>
          </w:tcPr>
          <w:p w14:paraId="37486BE6"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976" w:type="pct"/>
            <w:tcBorders>
              <w:top w:val="nil"/>
              <w:left w:val="nil"/>
              <w:bottom w:val="nil"/>
              <w:right w:val="nil"/>
            </w:tcBorders>
          </w:tcPr>
          <w:p w14:paraId="7060174A"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678" w:type="pct"/>
            <w:tcBorders>
              <w:top w:val="nil"/>
              <w:left w:val="nil"/>
              <w:bottom w:val="nil"/>
              <w:right w:val="nil"/>
            </w:tcBorders>
          </w:tcPr>
          <w:p w14:paraId="316A6FB0"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840" w:type="pct"/>
            <w:tcBorders>
              <w:top w:val="nil"/>
              <w:left w:val="nil"/>
              <w:bottom w:val="nil"/>
              <w:right w:val="nil"/>
            </w:tcBorders>
          </w:tcPr>
          <w:p w14:paraId="5B4B8BE0"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c>
          <w:tcPr>
            <w:tcW w:w="878" w:type="pct"/>
            <w:tcBorders>
              <w:top w:val="nil"/>
              <w:left w:val="nil"/>
              <w:bottom w:val="nil"/>
              <w:right w:val="nil"/>
            </w:tcBorders>
          </w:tcPr>
          <w:p w14:paraId="7C420183"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p>
        </w:tc>
      </w:tr>
      <w:tr w:rsidR="00FE15AB" w:rsidRPr="00BC68C4" w14:paraId="5B2F443D" w14:textId="77777777" w:rsidTr="00FE15AB">
        <w:tblPrEx>
          <w:tblBorders>
            <w:bottom w:val="single" w:sz="6" w:space="0" w:color="auto"/>
          </w:tblBorders>
        </w:tblPrEx>
        <w:trPr>
          <w:jc w:val="center"/>
        </w:trPr>
        <w:tc>
          <w:tcPr>
            <w:tcW w:w="1104" w:type="pct"/>
            <w:tcBorders>
              <w:top w:val="nil"/>
              <w:left w:val="nil"/>
              <w:bottom w:val="single" w:sz="6" w:space="0" w:color="auto"/>
              <w:right w:val="nil"/>
            </w:tcBorders>
          </w:tcPr>
          <w:p w14:paraId="5913B121" w14:textId="77777777" w:rsidR="00FE15AB" w:rsidRPr="00BC68C4" w:rsidRDefault="00FE15AB" w:rsidP="0044062C">
            <w:pPr>
              <w:widowControl w:val="0"/>
              <w:autoSpaceDE w:val="0"/>
              <w:autoSpaceDN w:val="0"/>
              <w:adjustRightInd w:val="0"/>
              <w:rPr>
                <w:rFonts w:ascii="Times New Roman" w:hAnsi="Times New Roman" w:cs="Times New Roman"/>
                <w:sz w:val="20"/>
                <w:szCs w:val="20"/>
              </w:rPr>
            </w:pPr>
            <w:r w:rsidRPr="00BC68C4">
              <w:rPr>
                <w:rFonts w:ascii="Times New Roman" w:hAnsi="Times New Roman" w:cs="Times New Roman"/>
                <w:sz w:val="20"/>
                <w:szCs w:val="20"/>
              </w:rPr>
              <w:t>Observations</w:t>
            </w:r>
          </w:p>
        </w:tc>
        <w:tc>
          <w:tcPr>
            <w:tcW w:w="524" w:type="pct"/>
            <w:tcBorders>
              <w:top w:val="nil"/>
              <w:left w:val="nil"/>
              <w:bottom w:val="single" w:sz="6" w:space="0" w:color="auto"/>
              <w:right w:val="nil"/>
            </w:tcBorders>
          </w:tcPr>
          <w:p w14:paraId="637F159B"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294</w:t>
            </w:r>
          </w:p>
        </w:tc>
        <w:tc>
          <w:tcPr>
            <w:tcW w:w="976" w:type="pct"/>
            <w:tcBorders>
              <w:top w:val="nil"/>
              <w:left w:val="nil"/>
              <w:bottom w:val="single" w:sz="6" w:space="0" w:color="auto"/>
              <w:right w:val="nil"/>
            </w:tcBorders>
          </w:tcPr>
          <w:p w14:paraId="1D6CB440"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294</w:t>
            </w:r>
          </w:p>
        </w:tc>
        <w:tc>
          <w:tcPr>
            <w:tcW w:w="678" w:type="pct"/>
            <w:tcBorders>
              <w:top w:val="nil"/>
              <w:left w:val="nil"/>
              <w:bottom w:val="single" w:sz="6" w:space="0" w:color="auto"/>
              <w:right w:val="nil"/>
            </w:tcBorders>
          </w:tcPr>
          <w:p w14:paraId="6E4BC607"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294</w:t>
            </w:r>
          </w:p>
        </w:tc>
        <w:tc>
          <w:tcPr>
            <w:tcW w:w="840" w:type="pct"/>
            <w:tcBorders>
              <w:top w:val="nil"/>
              <w:left w:val="nil"/>
              <w:bottom w:val="single" w:sz="6" w:space="0" w:color="auto"/>
              <w:right w:val="nil"/>
            </w:tcBorders>
          </w:tcPr>
          <w:p w14:paraId="6BF8DF05"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294</w:t>
            </w:r>
          </w:p>
        </w:tc>
        <w:tc>
          <w:tcPr>
            <w:tcW w:w="878" w:type="pct"/>
            <w:tcBorders>
              <w:top w:val="nil"/>
              <w:left w:val="nil"/>
              <w:bottom w:val="single" w:sz="6" w:space="0" w:color="auto"/>
              <w:right w:val="nil"/>
            </w:tcBorders>
          </w:tcPr>
          <w:p w14:paraId="4590B2FC" w14:textId="77777777" w:rsidR="00FE15AB" w:rsidRPr="00BC68C4" w:rsidRDefault="00FE15AB" w:rsidP="0044062C">
            <w:pPr>
              <w:widowControl w:val="0"/>
              <w:autoSpaceDE w:val="0"/>
              <w:autoSpaceDN w:val="0"/>
              <w:adjustRightInd w:val="0"/>
              <w:jc w:val="center"/>
              <w:rPr>
                <w:rFonts w:ascii="Times New Roman" w:hAnsi="Times New Roman" w:cs="Times New Roman"/>
                <w:sz w:val="20"/>
                <w:szCs w:val="20"/>
              </w:rPr>
            </w:pPr>
            <w:r w:rsidRPr="00BC68C4">
              <w:rPr>
                <w:rFonts w:ascii="Times New Roman" w:hAnsi="Times New Roman" w:cs="Times New Roman"/>
                <w:sz w:val="20"/>
                <w:szCs w:val="20"/>
              </w:rPr>
              <w:t>294</w:t>
            </w:r>
          </w:p>
        </w:tc>
      </w:tr>
    </w:tbl>
    <w:p w14:paraId="2A040706" w14:textId="404B80C7" w:rsidR="00835224" w:rsidRPr="000026F3" w:rsidRDefault="00193CD7" w:rsidP="00835224">
      <w:pPr>
        <w:widowControl w:val="0"/>
        <w:autoSpaceDE w:val="0"/>
        <w:autoSpaceDN w:val="0"/>
        <w:adjustRightInd w:val="0"/>
        <w:spacing w:line="276" w:lineRule="auto"/>
        <w:rPr>
          <w:rFonts w:ascii="Times New Roman" w:hAnsi="Times New Roman" w:cs="Times New Roman"/>
          <w:sz w:val="18"/>
          <w:szCs w:val="18"/>
        </w:rPr>
      </w:pPr>
      <w:r w:rsidRPr="00BC68C4">
        <w:rPr>
          <w:rFonts w:ascii="Times New Roman" w:hAnsi="Times New Roman" w:cs="Times New Roman"/>
          <w:i/>
          <w:sz w:val="18"/>
          <w:szCs w:val="18"/>
        </w:rPr>
        <w:t>Notes</w:t>
      </w:r>
      <w:r w:rsidRPr="00BC68C4">
        <w:rPr>
          <w:rFonts w:ascii="Times New Roman" w:hAnsi="Times New Roman" w:cs="Times New Roman"/>
          <w:sz w:val="18"/>
          <w:szCs w:val="18"/>
        </w:rPr>
        <w:t xml:space="preserve">: These are the results from a multinomial logit regression which has the final status or ultimate fate of the company as a dependent variable and where we have one observation per company rather than one observation per ownership sample.  Companies which survived are taken as the base group. *** p&lt;0.01, ** p&lt;0.05, * p&lt;0.1.  Robust standard errors are in parentheses and the pseudo R-squared </w:t>
      </w:r>
      <w:r w:rsidR="00B3122D" w:rsidRPr="00BC68C4">
        <w:rPr>
          <w:rFonts w:ascii="Times New Roman" w:hAnsi="Times New Roman" w:cs="Times New Roman"/>
          <w:sz w:val="18"/>
          <w:szCs w:val="18"/>
        </w:rPr>
        <w:t>= 0.153</w:t>
      </w:r>
      <w:r w:rsidR="00C828AF" w:rsidRPr="00BC68C4">
        <w:rPr>
          <w:rFonts w:ascii="Times New Roman" w:hAnsi="Times New Roman" w:cs="Times New Roman"/>
          <w:sz w:val="18"/>
          <w:szCs w:val="18"/>
        </w:rPr>
        <w:t xml:space="preserve">.  </w:t>
      </w:r>
    </w:p>
    <w:p w14:paraId="6516760D" w14:textId="60474A8E" w:rsidR="00C828AF" w:rsidRPr="000026F3" w:rsidRDefault="00C828AF" w:rsidP="00C828AF">
      <w:pPr>
        <w:widowControl w:val="0"/>
        <w:autoSpaceDE w:val="0"/>
        <w:autoSpaceDN w:val="0"/>
        <w:adjustRightInd w:val="0"/>
        <w:spacing w:line="276" w:lineRule="auto"/>
        <w:rPr>
          <w:rFonts w:ascii="Times New Roman" w:hAnsi="Times New Roman" w:cs="Times New Roman"/>
          <w:sz w:val="18"/>
          <w:szCs w:val="18"/>
        </w:rPr>
      </w:pPr>
    </w:p>
    <w:p w14:paraId="293F1479" w14:textId="77777777" w:rsidR="00376AC8" w:rsidRDefault="00376AC8" w:rsidP="008034D7">
      <w:pPr>
        <w:widowControl w:val="0"/>
        <w:autoSpaceDE w:val="0"/>
        <w:autoSpaceDN w:val="0"/>
        <w:adjustRightInd w:val="0"/>
        <w:ind w:left="-142" w:right="-46"/>
        <w:rPr>
          <w:rFonts w:ascii="Times New Roman" w:hAnsi="Times New Roman" w:cs="Times New Roman"/>
          <w:b/>
          <w:sz w:val="28"/>
          <w:szCs w:val="20"/>
        </w:rPr>
        <w:sectPr w:rsidR="00376AC8" w:rsidSect="008034D7">
          <w:pgSz w:w="11906" w:h="16838"/>
          <w:pgMar w:top="1440" w:right="1440" w:bottom="1440" w:left="1440" w:header="709" w:footer="709" w:gutter="0"/>
          <w:cols w:space="708"/>
          <w:docGrid w:linePitch="360"/>
        </w:sectPr>
      </w:pPr>
    </w:p>
    <w:p w14:paraId="3B43D6AC" w14:textId="66676FF6" w:rsidR="00BF3378" w:rsidRDefault="00BF3378" w:rsidP="008034D7">
      <w:pPr>
        <w:widowControl w:val="0"/>
        <w:autoSpaceDE w:val="0"/>
        <w:autoSpaceDN w:val="0"/>
        <w:adjustRightInd w:val="0"/>
        <w:ind w:left="-142" w:right="-46"/>
        <w:rPr>
          <w:rFonts w:ascii="Times New Roman" w:hAnsi="Times New Roman" w:cs="Times New Roman"/>
          <w:b/>
          <w:sz w:val="28"/>
          <w:szCs w:val="20"/>
        </w:rPr>
      </w:pPr>
    </w:p>
    <w:p w14:paraId="1CB82CC9" w14:textId="3161A9E2" w:rsidR="00703AC0" w:rsidRPr="001344F0" w:rsidRDefault="00703AC0" w:rsidP="00945ECF">
      <w:pPr>
        <w:widowControl w:val="0"/>
        <w:autoSpaceDE w:val="0"/>
        <w:autoSpaceDN w:val="0"/>
        <w:adjustRightInd w:val="0"/>
        <w:ind w:left="-142" w:right="-46"/>
        <w:jc w:val="center"/>
        <w:rPr>
          <w:rFonts w:ascii="Times New Roman" w:hAnsi="Times New Roman" w:cs="Times New Roman"/>
          <w:sz w:val="20"/>
          <w:szCs w:val="20"/>
        </w:rPr>
      </w:pPr>
      <w:r w:rsidRPr="001344F0">
        <w:rPr>
          <w:rFonts w:ascii="Times New Roman" w:hAnsi="Times New Roman" w:cs="Times New Roman"/>
          <w:sz w:val="20"/>
          <w:szCs w:val="20"/>
        </w:rPr>
        <w:t>APPENDIX 1</w:t>
      </w:r>
    </w:p>
    <w:p w14:paraId="6D165C81" w14:textId="609AE07A" w:rsidR="00376AC8" w:rsidRPr="001344F0" w:rsidRDefault="00703AC0" w:rsidP="00945ECF">
      <w:pPr>
        <w:widowControl w:val="0"/>
        <w:autoSpaceDE w:val="0"/>
        <w:autoSpaceDN w:val="0"/>
        <w:adjustRightInd w:val="0"/>
        <w:ind w:left="-142" w:right="-46"/>
        <w:jc w:val="center"/>
        <w:rPr>
          <w:rFonts w:ascii="Times New Roman" w:hAnsi="Times New Roman" w:cs="Times New Roman"/>
          <w:sz w:val="24"/>
          <w:szCs w:val="24"/>
        </w:rPr>
      </w:pPr>
      <w:r w:rsidRPr="001344F0">
        <w:rPr>
          <w:rFonts w:ascii="Times New Roman" w:hAnsi="Times New Roman" w:cs="Times New Roman"/>
          <w:sz w:val="24"/>
          <w:szCs w:val="24"/>
        </w:rPr>
        <w:t xml:space="preserve">COMPARISON OF SAMPLE DATA TO </w:t>
      </w:r>
      <w:r w:rsidRPr="001344F0">
        <w:rPr>
          <w:rFonts w:ascii="Times New Roman" w:hAnsi="Times New Roman" w:cs="Times New Roman"/>
          <w:i/>
          <w:sz w:val="24"/>
          <w:szCs w:val="24"/>
        </w:rPr>
        <w:t>INVESTOR’S MONTHLY MANUAL</w:t>
      </w:r>
      <w:r w:rsidRPr="001344F0">
        <w:rPr>
          <w:rFonts w:ascii="Times New Roman" w:hAnsi="Times New Roman" w:cs="Times New Roman"/>
          <w:sz w:val="24"/>
          <w:szCs w:val="24"/>
        </w:rPr>
        <w:t xml:space="preserve"> DATA</w:t>
      </w:r>
    </w:p>
    <w:tbl>
      <w:tblPr>
        <w:tblW w:w="14159" w:type="dxa"/>
        <w:jc w:val="center"/>
        <w:tblBorders>
          <w:top w:val="double" w:sz="4" w:space="0" w:color="auto"/>
          <w:bottom w:val="double" w:sz="4" w:space="0" w:color="auto"/>
        </w:tblBorders>
        <w:tblLook w:val="04A0" w:firstRow="1" w:lastRow="0" w:firstColumn="1" w:lastColumn="0" w:noHBand="0" w:noVBand="1"/>
      </w:tblPr>
      <w:tblGrid>
        <w:gridCol w:w="2669"/>
        <w:gridCol w:w="618"/>
        <w:gridCol w:w="798"/>
        <w:gridCol w:w="1212"/>
        <w:gridCol w:w="266"/>
        <w:gridCol w:w="618"/>
        <w:gridCol w:w="798"/>
        <w:gridCol w:w="1212"/>
        <w:gridCol w:w="266"/>
        <w:gridCol w:w="618"/>
        <w:gridCol w:w="798"/>
        <w:gridCol w:w="1212"/>
        <w:gridCol w:w="266"/>
        <w:gridCol w:w="798"/>
        <w:gridCol w:w="798"/>
        <w:gridCol w:w="1212"/>
      </w:tblGrid>
      <w:tr w:rsidR="00945ECF" w:rsidRPr="001344F0" w14:paraId="7276E79E" w14:textId="77777777" w:rsidTr="00945ECF">
        <w:trPr>
          <w:trHeight w:val="552"/>
          <w:jc w:val="center"/>
        </w:trPr>
        <w:tc>
          <w:tcPr>
            <w:tcW w:w="0" w:type="auto"/>
            <w:shd w:val="clear" w:color="auto" w:fill="auto"/>
            <w:noWrap/>
            <w:vAlign w:val="bottom"/>
            <w:hideMark/>
          </w:tcPr>
          <w:p w14:paraId="709FDA6A" w14:textId="6E815D65"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gridSpan w:val="3"/>
            <w:tcBorders>
              <w:top w:val="double" w:sz="4" w:space="0" w:color="auto"/>
              <w:bottom w:val="single" w:sz="4" w:space="0" w:color="auto"/>
            </w:tcBorders>
            <w:shd w:val="clear" w:color="auto" w:fill="auto"/>
            <w:noWrap/>
            <w:vAlign w:val="bottom"/>
            <w:hideMark/>
          </w:tcPr>
          <w:p w14:paraId="7A2D1A07" w14:textId="44DE39D5"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Performance Data</w:t>
            </w:r>
          </w:p>
        </w:tc>
        <w:tc>
          <w:tcPr>
            <w:tcW w:w="0" w:type="auto"/>
            <w:tcBorders>
              <w:top w:val="double" w:sz="4" w:space="0" w:color="auto"/>
              <w:bottom w:val="nil"/>
            </w:tcBorders>
            <w:shd w:val="clear" w:color="auto" w:fill="auto"/>
            <w:noWrap/>
            <w:vAlign w:val="bottom"/>
            <w:hideMark/>
          </w:tcPr>
          <w:p w14:paraId="2F4C814B" w14:textId="77777777" w:rsidR="00376AC8" w:rsidRPr="001344F0" w:rsidRDefault="00376AC8" w:rsidP="00376AC8">
            <w:pPr>
              <w:jc w:val="center"/>
              <w:rPr>
                <w:rFonts w:ascii="Times New Roman" w:eastAsia="Times New Roman" w:hAnsi="Times New Roman" w:cs="Times New Roman"/>
                <w:color w:val="000000"/>
                <w:sz w:val="20"/>
                <w:lang w:eastAsia="en-GB"/>
              </w:rPr>
            </w:pPr>
          </w:p>
        </w:tc>
        <w:tc>
          <w:tcPr>
            <w:tcW w:w="0" w:type="auto"/>
            <w:gridSpan w:val="3"/>
            <w:tcBorders>
              <w:top w:val="double" w:sz="4" w:space="0" w:color="auto"/>
              <w:bottom w:val="single" w:sz="4" w:space="0" w:color="auto"/>
            </w:tcBorders>
            <w:shd w:val="clear" w:color="auto" w:fill="auto"/>
            <w:noWrap/>
            <w:vAlign w:val="bottom"/>
            <w:hideMark/>
          </w:tcPr>
          <w:p w14:paraId="635503FD" w14:textId="4CDA7862"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Final Status Data</w:t>
            </w:r>
          </w:p>
        </w:tc>
        <w:tc>
          <w:tcPr>
            <w:tcW w:w="0" w:type="auto"/>
            <w:tcBorders>
              <w:top w:val="double" w:sz="4" w:space="0" w:color="auto"/>
              <w:bottom w:val="nil"/>
            </w:tcBorders>
            <w:shd w:val="clear" w:color="auto" w:fill="auto"/>
            <w:noWrap/>
            <w:vAlign w:val="bottom"/>
            <w:hideMark/>
          </w:tcPr>
          <w:p w14:paraId="4F86FE1D" w14:textId="77777777" w:rsidR="00376AC8" w:rsidRPr="001344F0" w:rsidRDefault="00376AC8" w:rsidP="00376AC8">
            <w:pPr>
              <w:jc w:val="center"/>
              <w:rPr>
                <w:rFonts w:ascii="Times New Roman" w:eastAsia="Times New Roman" w:hAnsi="Times New Roman" w:cs="Times New Roman"/>
                <w:color w:val="000000"/>
                <w:sz w:val="20"/>
                <w:lang w:eastAsia="en-GB"/>
              </w:rPr>
            </w:pPr>
          </w:p>
        </w:tc>
        <w:tc>
          <w:tcPr>
            <w:tcW w:w="0" w:type="auto"/>
            <w:gridSpan w:val="3"/>
            <w:tcBorders>
              <w:top w:val="double" w:sz="4" w:space="0" w:color="auto"/>
              <w:bottom w:val="single" w:sz="4" w:space="0" w:color="auto"/>
            </w:tcBorders>
            <w:shd w:val="clear" w:color="auto" w:fill="auto"/>
            <w:noWrap/>
            <w:vAlign w:val="bottom"/>
            <w:hideMark/>
          </w:tcPr>
          <w:p w14:paraId="1FA9610F" w14:textId="4B8C3B81" w:rsidR="00945ECF" w:rsidRPr="001344F0" w:rsidRDefault="00376AC8" w:rsidP="00945ECF">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i/>
                <w:color w:val="000000"/>
                <w:sz w:val="20"/>
                <w:lang w:eastAsia="en-GB"/>
              </w:rPr>
              <w:t>IMM</w:t>
            </w:r>
            <w:r w:rsidRPr="001344F0">
              <w:rPr>
                <w:rFonts w:ascii="Times New Roman" w:eastAsia="Times New Roman" w:hAnsi="Times New Roman" w:cs="Times New Roman"/>
                <w:color w:val="000000"/>
                <w:sz w:val="20"/>
                <w:lang w:eastAsia="en-GB"/>
              </w:rPr>
              <w:t xml:space="preserve"> </w:t>
            </w:r>
            <w:r w:rsidR="00703AC0" w:rsidRPr="001344F0">
              <w:rPr>
                <w:rFonts w:ascii="Times New Roman" w:eastAsia="Times New Roman" w:hAnsi="Times New Roman" w:cs="Times New Roman"/>
                <w:color w:val="000000"/>
                <w:sz w:val="20"/>
                <w:lang w:eastAsia="en-GB"/>
              </w:rPr>
              <w:t>(</w:t>
            </w:r>
            <w:r w:rsidRPr="001344F0">
              <w:rPr>
                <w:rFonts w:ascii="Times New Roman" w:eastAsia="Times New Roman" w:hAnsi="Times New Roman" w:cs="Times New Roman"/>
                <w:color w:val="000000"/>
                <w:sz w:val="20"/>
                <w:lang w:eastAsia="en-GB"/>
              </w:rPr>
              <w:t>1880</w:t>
            </w:r>
            <w:r w:rsidR="00703AC0" w:rsidRPr="001344F0">
              <w:rPr>
                <w:rFonts w:ascii="Times New Roman" w:eastAsia="Times New Roman" w:hAnsi="Times New Roman" w:cs="Times New Roman"/>
                <w:color w:val="000000"/>
                <w:sz w:val="20"/>
                <w:lang w:eastAsia="en-GB"/>
              </w:rPr>
              <w:t>)</w:t>
            </w:r>
          </w:p>
        </w:tc>
        <w:tc>
          <w:tcPr>
            <w:tcW w:w="0" w:type="auto"/>
            <w:tcBorders>
              <w:top w:val="double" w:sz="4" w:space="0" w:color="auto"/>
              <w:bottom w:val="nil"/>
            </w:tcBorders>
            <w:shd w:val="clear" w:color="auto" w:fill="auto"/>
            <w:noWrap/>
            <w:vAlign w:val="bottom"/>
            <w:hideMark/>
          </w:tcPr>
          <w:p w14:paraId="3FFD3B9D" w14:textId="77777777" w:rsidR="00376AC8" w:rsidRPr="001344F0" w:rsidRDefault="00376AC8" w:rsidP="00376AC8">
            <w:pPr>
              <w:jc w:val="center"/>
              <w:rPr>
                <w:rFonts w:ascii="Times New Roman" w:eastAsia="Times New Roman" w:hAnsi="Times New Roman" w:cs="Times New Roman"/>
                <w:color w:val="000000"/>
                <w:sz w:val="20"/>
                <w:lang w:eastAsia="en-GB"/>
              </w:rPr>
            </w:pPr>
          </w:p>
        </w:tc>
        <w:tc>
          <w:tcPr>
            <w:tcW w:w="0" w:type="auto"/>
            <w:gridSpan w:val="3"/>
            <w:tcBorders>
              <w:top w:val="double" w:sz="4" w:space="0" w:color="auto"/>
              <w:bottom w:val="single" w:sz="4" w:space="0" w:color="auto"/>
            </w:tcBorders>
            <w:shd w:val="clear" w:color="auto" w:fill="auto"/>
            <w:noWrap/>
            <w:vAlign w:val="bottom"/>
            <w:hideMark/>
          </w:tcPr>
          <w:p w14:paraId="026832F1" w14:textId="1AC30F27" w:rsidR="00945ECF" w:rsidRPr="001344F0" w:rsidRDefault="00376AC8" w:rsidP="00945ECF">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i/>
                <w:color w:val="000000"/>
                <w:sz w:val="20"/>
                <w:lang w:eastAsia="en-GB"/>
              </w:rPr>
              <w:t>IMM</w:t>
            </w:r>
            <w:r w:rsidRPr="001344F0">
              <w:rPr>
                <w:rFonts w:ascii="Times New Roman" w:eastAsia="Times New Roman" w:hAnsi="Times New Roman" w:cs="Times New Roman"/>
                <w:color w:val="000000"/>
                <w:sz w:val="20"/>
                <w:lang w:eastAsia="en-GB"/>
              </w:rPr>
              <w:t xml:space="preserve"> </w:t>
            </w:r>
            <w:r w:rsidR="00703AC0" w:rsidRPr="001344F0">
              <w:rPr>
                <w:rFonts w:ascii="Times New Roman" w:eastAsia="Times New Roman" w:hAnsi="Times New Roman" w:cs="Times New Roman"/>
                <w:color w:val="000000"/>
                <w:sz w:val="20"/>
                <w:lang w:eastAsia="en-GB"/>
              </w:rPr>
              <w:t>(</w:t>
            </w:r>
            <w:r w:rsidRPr="001344F0">
              <w:rPr>
                <w:rFonts w:ascii="Times New Roman" w:eastAsia="Times New Roman" w:hAnsi="Times New Roman" w:cs="Times New Roman"/>
                <w:color w:val="000000"/>
                <w:sz w:val="20"/>
                <w:lang w:eastAsia="en-GB"/>
              </w:rPr>
              <w:t>1900</w:t>
            </w:r>
            <w:r w:rsidR="00703AC0" w:rsidRPr="001344F0">
              <w:rPr>
                <w:rFonts w:ascii="Times New Roman" w:eastAsia="Times New Roman" w:hAnsi="Times New Roman" w:cs="Times New Roman"/>
                <w:color w:val="000000"/>
                <w:sz w:val="20"/>
                <w:lang w:eastAsia="en-GB"/>
              </w:rPr>
              <w:t>)</w:t>
            </w:r>
          </w:p>
        </w:tc>
      </w:tr>
      <w:tr w:rsidR="00945ECF" w:rsidRPr="001344F0" w14:paraId="3D43B974" w14:textId="77777777" w:rsidTr="00945ECF">
        <w:trPr>
          <w:trHeight w:val="273"/>
          <w:jc w:val="center"/>
        </w:trPr>
        <w:tc>
          <w:tcPr>
            <w:tcW w:w="0" w:type="auto"/>
            <w:shd w:val="clear" w:color="auto" w:fill="auto"/>
            <w:noWrap/>
            <w:vAlign w:val="bottom"/>
            <w:hideMark/>
          </w:tcPr>
          <w:p w14:paraId="56A08EB6"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tcBorders>
              <w:top w:val="single" w:sz="4" w:space="0" w:color="auto"/>
              <w:bottom w:val="nil"/>
            </w:tcBorders>
            <w:shd w:val="clear" w:color="auto" w:fill="auto"/>
            <w:noWrap/>
            <w:vAlign w:val="bottom"/>
            <w:hideMark/>
          </w:tcPr>
          <w:p w14:paraId="688FC5B0"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tcBorders>
              <w:top w:val="single" w:sz="4" w:space="0" w:color="auto"/>
              <w:bottom w:val="nil"/>
            </w:tcBorders>
            <w:shd w:val="clear" w:color="auto" w:fill="auto"/>
            <w:noWrap/>
            <w:vAlign w:val="bottom"/>
            <w:hideMark/>
          </w:tcPr>
          <w:p w14:paraId="6E9FEE84"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tcBorders>
              <w:top w:val="single" w:sz="4" w:space="0" w:color="auto"/>
              <w:bottom w:val="nil"/>
            </w:tcBorders>
            <w:shd w:val="clear" w:color="auto" w:fill="auto"/>
            <w:noWrap/>
            <w:vAlign w:val="bottom"/>
            <w:hideMark/>
          </w:tcPr>
          <w:p w14:paraId="088E2848"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tcBorders>
              <w:top w:val="nil"/>
              <w:bottom w:val="nil"/>
            </w:tcBorders>
            <w:shd w:val="clear" w:color="auto" w:fill="auto"/>
            <w:noWrap/>
            <w:vAlign w:val="bottom"/>
            <w:hideMark/>
          </w:tcPr>
          <w:p w14:paraId="50ABFC0A"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tcBorders>
              <w:top w:val="single" w:sz="4" w:space="0" w:color="auto"/>
              <w:bottom w:val="nil"/>
            </w:tcBorders>
            <w:shd w:val="clear" w:color="auto" w:fill="auto"/>
            <w:noWrap/>
            <w:vAlign w:val="bottom"/>
            <w:hideMark/>
          </w:tcPr>
          <w:p w14:paraId="70F0FA13"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tcBorders>
              <w:top w:val="single" w:sz="4" w:space="0" w:color="auto"/>
              <w:bottom w:val="nil"/>
            </w:tcBorders>
            <w:shd w:val="clear" w:color="auto" w:fill="auto"/>
            <w:noWrap/>
            <w:vAlign w:val="bottom"/>
            <w:hideMark/>
          </w:tcPr>
          <w:p w14:paraId="67B6A110"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tcBorders>
              <w:top w:val="single" w:sz="4" w:space="0" w:color="auto"/>
              <w:bottom w:val="nil"/>
            </w:tcBorders>
            <w:shd w:val="clear" w:color="auto" w:fill="auto"/>
            <w:noWrap/>
            <w:vAlign w:val="bottom"/>
            <w:hideMark/>
          </w:tcPr>
          <w:p w14:paraId="644DCDE2"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tcBorders>
              <w:top w:val="nil"/>
              <w:bottom w:val="nil"/>
            </w:tcBorders>
            <w:shd w:val="clear" w:color="auto" w:fill="auto"/>
            <w:noWrap/>
            <w:vAlign w:val="bottom"/>
            <w:hideMark/>
          </w:tcPr>
          <w:p w14:paraId="17E04699"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tcBorders>
              <w:top w:val="single" w:sz="4" w:space="0" w:color="auto"/>
              <w:bottom w:val="nil"/>
            </w:tcBorders>
            <w:shd w:val="clear" w:color="auto" w:fill="auto"/>
            <w:noWrap/>
            <w:vAlign w:val="bottom"/>
            <w:hideMark/>
          </w:tcPr>
          <w:p w14:paraId="120119DA"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tcBorders>
              <w:top w:val="single" w:sz="4" w:space="0" w:color="auto"/>
              <w:bottom w:val="nil"/>
            </w:tcBorders>
            <w:shd w:val="clear" w:color="auto" w:fill="auto"/>
            <w:noWrap/>
            <w:vAlign w:val="bottom"/>
            <w:hideMark/>
          </w:tcPr>
          <w:p w14:paraId="4F49717F"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tcBorders>
              <w:top w:val="single" w:sz="4" w:space="0" w:color="auto"/>
              <w:bottom w:val="nil"/>
            </w:tcBorders>
            <w:shd w:val="clear" w:color="auto" w:fill="auto"/>
            <w:noWrap/>
            <w:vAlign w:val="bottom"/>
            <w:hideMark/>
          </w:tcPr>
          <w:p w14:paraId="4F9402E8"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tcBorders>
              <w:top w:val="nil"/>
              <w:bottom w:val="nil"/>
            </w:tcBorders>
            <w:shd w:val="clear" w:color="auto" w:fill="auto"/>
            <w:noWrap/>
            <w:vAlign w:val="bottom"/>
            <w:hideMark/>
          </w:tcPr>
          <w:p w14:paraId="7C405C17"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tcBorders>
              <w:top w:val="single" w:sz="4" w:space="0" w:color="auto"/>
              <w:bottom w:val="nil"/>
            </w:tcBorders>
            <w:shd w:val="clear" w:color="auto" w:fill="auto"/>
            <w:noWrap/>
            <w:vAlign w:val="bottom"/>
            <w:hideMark/>
          </w:tcPr>
          <w:p w14:paraId="4C19C814"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tcBorders>
              <w:top w:val="single" w:sz="4" w:space="0" w:color="auto"/>
              <w:bottom w:val="nil"/>
            </w:tcBorders>
            <w:shd w:val="clear" w:color="auto" w:fill="auto"/>
            <w:noWrap/>
            <w:vAlign w:val="bottom"/>
            <w:hideMark/>
          </w:tcPr>
          <w:p w14:paraId="141D8C7F"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tcBorders>
              <w:top w:val="single" w:sz="4" w:space="0" w:color="auto"/>
              <w:bottom w:val="nil"/>
            </w:tcBorders>
            <w:shd w:val="clear" w:color="auto" w:fill="auto"/>
            <w:noWrap/>
            <w:vAlign w:val="bottom"/>
            <w:hideMark/>
          </w:tcPr>
          <w:p w14:paraId="4CA3A6D3" w14:textId="77777777" w:rsidR="00376AC8" w:rsidRPr="001344F0" w:rsidRDefault="00376AC8" w:rsidP="00376AC8">
            <w:pPr>
              <w:jc w:val="left"/>
              <w:rPr>
                <w:rFonts w:ascii="Times New Roman" w:eastAsia="Times New Roman" w:hAnsi="Times New Roman" w:cs="Times New Roman"/>
                <w:color w:val="000000"/>
                <w:sz w:val="20"/>
                <w:lang w:eastAsia="en-GB"/>
              </w:rPr>
            </w:pPr>
          </w:p>
        </w:tc>
      </w:tr>
      <w:tr w:rsidR="00945ECF" w:rsidRPr="001344F0" w14:paraId="61AE9E28" w14:textId="77777777" w:rsidTr="00945ECF">
        <w:trPr>
          <w:trHeight w:val="273"/>
          <w:jc w:val="center"/>
        </w:trPr>
        <w:tc>
          <w:tcPr>
            <w:tcW w:w="0" w:type="auto"/>
            <w:shd w:val="clear" w:color="auto" w:fill="auto"/>
            <w:noWrap/>
            <w:vAlign w:val="bottom"/>
            <w:hideMark/>
          </w:tcPr>
          <w:p w14:paraId="6A2E77F2" w14:textId="73E8CD66"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tcBorders>
              <w:top w:val="nil"/>
              <w:bottom w:val="single" w:sz="4" w:space="0" w:color="auto"/>
            </w:tcBorders>
            <w:shd w:val="clear" w:color="auto" w:fill="auto"/>
            <w:noWrap/>
            <w:vAlign w:val="bottom"/>
            <w:hideMark/>
          </w:tcPr>
          <w:p w14:paraId="13BC72D5" w14:textId="77777777"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N</w:t>
            </w:r>
          </w:p>
        </w:tc>
        <w:tc>
          <w:tcPr>
            <w:tcW w:w="0" w:type="auto"/>
            <w:tcBorders>
              <w:top w:val="nil"/>
              <w:bottom w:val="single" w:sz="4" w:space="0" w:color="auto"/>
            </w:tcBorders>
            <w:shd w:val="clear" w:color="auto" w:fill="auto"/>
            <w:noWrap/>
            <w:vAlign w:val="bottom"/>
            <w:hideMark/>
          </w:tcPr>
          <w:p w14:paraId="3F8E08C8" w14:textId="7FEF030E"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w:t>
            </w:r>
          </w:p>
        </w:tc>
        <w:tc>
          <w:tcPr>
            <w:tcW w:w="0" w:type="auto"/>
            <w:tcBorders>
              <w:top w:val="nil"/>
              <w:bottom w:val="single" w:sz="4" w:space="0" w:color="auto"/>
            </w:tcBorders>
            <w:shd w:val="clear" w:color="auto" w:fill="auto"/>
            <w:noWrap/>
            <w:vAlign w:val="bottom"/>
            <w:hideMark/>
          </w:tcPr>
          <w:p w14:paraId="040E84FE" w14:textId="77777777" w:rsidR="00945ECF" w:rsidRPr="001344F0" w:rsidRDefault="00945ECF" w:rsidP="00945ECF">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 xml:space="preserve">Median </w:t>
            </w:r>
          </w:p>
          <w:p w14:paraId="46F3AB5C" w14:textId="3C10C90F" w:rsidR="00376AC8" w:rsidRPr="001344F0" w:rsidRDefault="00945ECF" w:rsidP="00945ECF">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Par Value</w:t>
            </w:r>
          </w:p>
        </w:tc>
        <w:tc>
          <w:tcPr>
            <w:tcW w:w="0" w:type="auto"/>
            <w:tcBorders>
              <w:top w:val="nil"/>
              <w:bottom w:val="nil"/>
            </w:tcBorders>
            <w:shd w:val="clear" w:color="auto" w:fill="auto"/>
            <w:noWrap/>
            <w:vAlign w:val="bottom"/>
            <w:hideMark/>
          </w:tcPr>
          <w:p w14:paraId="0D01C5F0" w14:textId="77777777" w:rsidR="00376AC8" w:rsidRPr="001344F0" w:rsidRDefault="00376AC8" w:rsidP="00376AC8">
            <w:pPr>
              <w:jc w:val="center"/>
              <w:rPr>
                <w:rFonts w:ascii="Times New Roman" w:eastAsia="Times New Roman" w:hAnsi="Times New Roman" w:cs="Times New Roman"/>
                <w:color w:val="000000"/>
                <w:sz w:val="20"/>
                <w:lang w:eastAsia="en-GB"/>
              </w:rPr>
            </w:pPr>
          </w:p>
        </w:tc>
        <w:tc>
          <w:tcPr>
            <w:tcW w:w="0" w:type="auto"/>
            <w:tcBorders>
              <w:top w:val="nil"/>
              <w:bottom w:val="single" w:sz="4" w:space="0" w:color="auto"/>
            </w:tcBorders>
            <w:shd w:val="clear" w:color="auto" w:fill="auto"/>
            <w:noWrap/>
            <w:vAlign w:val="bottom"/>
            <w:hideMark/>
          </w:tcPr>
          <w:p w14:paraId="18132FAD" w14:textId="77777777"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N</w:t>
            </w:r>
          </w:p>
        </w:tc>
        <w:tc>
          <w:tcPr>
            <w:tcW w:w="0" w:type="auto"/>
            <w:tcBorders>
              <w:top w:val="nil"/>
              <w:bottom w:val="single" w:sz="4" w:space="0" w:color="auto"/>
            </w:tcBorders>
            <w:shd w:val="clear" w:color="auto" w:fill="auto"/>
            <w:noWrap/>
            <w:vAlign w:val="bottom"/>
            <w:hideMark/>
          </w:tcPr>
          <w:p w14:paraId="3318CF1F" w14:textId="0F551EAF"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w:t>
            </w:r>
          </w:p>
        </w:tc>
        <w:tc>
          <w:tcPr>
            <w:tcW w:w="0" w:type="auto"/>
            <w:tcBorders>
              <w:top w:val="nil"/>
              <w:bottom w:val="single" w:sz="4" w:space="0" w:color="auto"/>
            </w:tcBorders>
            <w:shd w:val="clear" w:color="auto" w:fill="auto"/>
            <w:noWrap/>
            <w:vAlign w:val="bottom"/>
            <w:hideMark/>
          </w:tcPr>
          <w:p w14:paraId="0C7A62D5" w14:textId="77777777" w:rsidR="00945ECF" w:rsidRPr="001344F0" w:rsidRDefault="00945ECF" w:rsidP="00945ECF">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 xml:space="preserve">Median </w:t>
            </w:r>
          </w:p>
          <w:p w14:paraId="59CEB8D8" w14:textId="4E2E4DFC" w:rsidR="00376AC8" w:rsidRPr="001344F0" w:rsidRDefault="00945ECF" w:rsidP="00945ECF">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Par Value</w:t>
            </w:r>
          </w:p>
        </w:tc>
        <w:tc>
          <w:tcPr>
            <w:tcW w:w="0" w:type="auto"/>
            <w:tcBorders>
              <w:top w:val="nil"/>
              <w:bottom w:val="nil"/>
            </w:tcBorders>
            <w:shd w:val="clear" w:color="auto" w:fill="auto"/>
            <w:noWrap/>
            <w:vAlign w:val="bottom"/>
            <w:hideMark/>
          </w:tcPr>
          <w:p w14:paraId="6A96157A" w14:textId="77777777" w:rsidR="00376AC8" w:rsidRPr="001344F0" w:rsidRDefault="00376AC8" w:rsidP="00376AC8">
            <w:pPr>
              <w:jc w:val="center"/>
              <w:rPr>
                <w:rFonts w:ascii="Times New Roman" w:eastAsia="Times New Roman" w:hAnsi="Times New Roman" w:cs="Times New Roman"/>
                <w:color w:val="000000"/>
                <w:sz w:val="20"/>
                <w:lang w:eastAsia="en-GB"/>
              </w:rPr>
            </w:pPr>
          </w:p>
        </w:tc>
        <w:tc>
          <w:tcPr>
            <w:tcW w:w="0" w:type="auto"/>
            <w:tcBorders>
              <w:top w:val="nil"/>
              <w:bottom w:val="single" w:sz="4" w:space="0" w:color="auto"/>
            </w:tcBorders>
            <w:shd w:val="clear" w:color="auto" w:fill="auto"/>
            <w:noWrap/>
            <w:vAlign w:val="bottom"/>
            <w:hideMark/>
          </w:tcPr>
          <w:p w14:paraId="1AC2CF73" w14:textId="77777777"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N</w:t>
            </w:r>
          </w:p>
        </w:tc>
        <w:tc>
          <w:tcPr>
            <w:tcW w:w="0" w:type="auto"/>
            <w:tcBorders>
              <w:top w:val="nil"/>
              <w:bottom w:val="single" w:sz="4" w:space="0" w:color="auto"/>
            </w:tcBorders>
            <w:shd w:val="clear" w:color="auto" w:fill="auto"/>
            <w:noWrap/>
            <w:vAlign w:val="bottom"/>
            <w:hideMark/>
          </w:tcPr>
          <w:p w14:paraId="3E9D385B" w14:textId="4F86D6F2"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w:t>
            </w:r>
          </w:p>
        </w:tc>
        <w:tc>
          <w:tcPr>
            <w:tcW w:w="0" w:type="auto"/>
            <w:tcBorders>
              <w:top w:val="nil"/>
              <w:bottom w:val="single" w:sz="4" w:space="0" w:color="auto"/>
            </w:tcBorders>
            <w:shd w:val="clear" w:color="auto" w:fill="auto"/>
            <w:noWrap/>
            <w:vAlign w:val="bottom"/>
            <w:hideMark/>
          </w:tcPr>
          <w:p w14:paraId="7893D24C" w14:textId="77777777" w:rsidR="00945ECF" w:rsidRPr="001344F0" w:rsidRDefault="00945ECF"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 xml:space="preserve">Median </w:t>
            </w:r>
          </w:p>
          <w:p w14:paraId="3087E323" w14:textId="0DB9F767" w:rsidR="00376AC8" w:rsidRPr="001344F0" w:rsidRDefault="00945ECF"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Par Value</w:t>
            </w:r>
          </w:p>
        </w:tc>
        <w:tc>
          <w:tcPr>
            <w:tcW w:w="0" w:type="auto"/>
            <w:tcBorders>
              <w:top w:val="nil"/>
              <w:bottom w:val="nil"/>
            </w:tcBorders>
            <w:shd w:val="clear" w:color="auto" w:fill="auto"/>
            <w:noWrap/>
            <w:vAlign w:val="bottom"/>
            <w:hideMark/>
          </w:tcPr>
          <w:p w14:paraId="682174A7" w14:textId="77777777" w:rsidR="00376AC8" w:rsidRPr="001344F0" w:rsidRDefault="00376AC8" w:rsidP="00376AC8">
            <w:pPr>
              <w:jc w:val="center"/>
              <w:rPr>
                <w:rFonts w:ascii="Times New Roman" w:eastAsia="Times New Roman" w:hAnsi="Times New Roman" w:cs="Times New Roman"/>
                <w:color w:val="000000"/>
                <w:sz w:val="20"/>
                <w:lang w:eastAsia="en-GB"/>
              </w:rPr>
            </w:pPr>
          </w:p>
        </w:tc>
        <w:tc>
          <w:tcPr>
            <w:tcW w:w="0" w:type="auto"/>
            <w:tcBorders>
              <w:top w:val="nil"/>
              <w:bottom w:val="single" w:sz="4" w:space="0" w:color="auto"/>
            </w:tcBorders>
            <w:shd w:val="clear" w:color="auto" w:fill="auto"/>
            <w:noWrap/>
            <w:vAlign w:val="bottom"/>
            <w:hideMark/>
          </w:tcPr>
          <w:p w14:paraId="66851AAF" w14:textId="77777777"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N</w:t>
            </w:r>
          </w:p>
        </w:tc>
        <w:tc>
          <w:tcPr>
            <w:tcW w:w="0" w:type="auto"/>
            <w:tcBorders>
              <w:top w:val="nil"/>
              <w:bottom w:val="single" w:sz="4" w:space="0" w:color="auto"/>
            </w:tcBorders>
            <w:shd w:val="clear" w:color="auto" w:fill="auto"/>
            <w:noWrap/>
            <w:vAlign w:val="bottom"/>
            <w:hideMark/>
          </w:tcPr>
          <w:p w14:paraId="1B5D9A9F" w14:textId="02F0E4AC"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w:t>
            </w:r>
          </w:p>
        </w:tc>
        <w:tc>
          <w:tcPr>
            <w:tcW w:w="0" w:type="auto"/>
            <w:tcBorders>
              <w:top w:val="nil"/>
              <w:bottom w:val="single" w:sz="4" w:space="0" w:color="auto"/>
            </w:tcBorders>
            <w:shd w:val="clear" w:color="auto" w:fill="auto"/>
            <w:noWrap/>
            <w:vAlign w:val="bottom"/>
            <w:hideMark/>
          </w:tcPr>
          <w:p w14:paraId="6B91402A" w14:textId="77777777" w:rsidR="00945ECF" w:rsidRPr="001344F0" w:rsidRDefault="00945ECF" w:rsidP="00945ECF">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 xml:space="preserve">Median </w:t>
            </w:r>
          </w:p>
          <w:p w14:paraId="71018094" w14:textId="3E578B29" w:rsidR="00376AC8" w:rsidRPr="001344F0" w:rsidRDefault="00945ECF" w:rsidP="00945ECF">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Par Value</w:t>
            </w:r>
          </w:p>
        </w:tc>
      </w:tr>
      <w:tr w:rsidR="00945ECF" w:rsidRPr="001344F0" w14:paraId="1BC30A73" w14:textId="77777777" w:rsidTr="00945ECF">
        <w:trPr>
          <w:trHeight w:val="273"/>
          <w:jc w:val="center"/>
        </w:trPr>
        <w:tc>
          <w:tcPr>
            <w:tcW w:w="0" w:type="auto"/>
            <w:shd w:val="clear" w:color="auto" w:fill="auto"/>
            <w:noWrap/>
            <w:vAlign w:val="bottom"/>
            <w:hideMark/>
          </w:tcPr>
          <w:p w14:paraId="02F6500F"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tcBorders>
              <w:top w:val="single" w:sz="4" w:space="0" w:color="auto"/>
            </w:tcBorders>
            <w:shd w:val="clear" w:color="auto" w:fill="auto"/>
            <w:noWrap/>
            <w:vAlign w:val="bottom"/>
            <w:hideMark/>
          </w:tcPr>
          <w:p w14:paraId="3E69F5AA"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tcBorders>
              <w:top w:val="single" w:sz="4" w:space="0" w:color="auto"/>
            </w:tcBorders>
            <w:shd w:val="clear" w:color="auto" w:fill="auto"/>
            <w:noWrap/>
            <w:vAlign w:val="bottom"/>
            <w:hideMark/>
          </w:tcPr>
          <w:p w14:paraId="020246AB"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tcBorders>
              <w:top w:val="single" w:sz="4" w:space="0" w:color="auto"/>
            </w:tcBorders>
            <w:shd w:val="clear" w:color="auto" w:fill="auto"/>
            <w:noWrap/>
            <w:vAlign w:val="bottom"/>
            <w:hideMark/>
          </w:tcPr>
          <w:p w14:paraId="2C5DB250"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tcBorders>
              <w:top w:val="nil"/>
              <w:bottom w:val="nil"/>
            </w:tcBorders>
            <w:shd w:val="clear" w:color="auto" w:fill="auto"/>
            <w:noWrap/>
            <w:vAlign w:val="bottom"/>
            <w:hideMark/>
          </w:tcPr>
          <w:p w14:paraId="218E76A4"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tcBorders>
              <w:top w:val="single" w:sz="4" w:space="0" w:color="auto"/>
            </w:tcBorders>
            <w:shd w:val="clear" w:color="auto" w:fill="auto"/>
            <w:noWrap/>
            <w:vAlign w:val="bottom"/>
            <w:hideMark/>
          </w:tcPr>
          <w:p w14:paraId="716A384F"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tcBorders>
              <w:top w:val="single" w:sz="4" w:space="0" w:color="auto"/>
            </w:tcBorders>
            <w:shd w:val="clear" w:color="auto" w:fill="auto"/>
            <w:noWrap/>
            <w:vAlign w:val="bottom"/>
            <w:hideMark/>
          </w:tcPr>
          <w:p w14:paraId="12FF1A86"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tcBorders>
              <w:top w:val="single" w:sz="4" w:space="0" w:color="auto"/>
            </w:tcBorders>
            <w:shd w:val="clear" w:color="auto" w:fill="auto"/>
            <w:noWrap/>
            <w:vAlign w:val="bottom"/>
            <w:hideMark/>
          </w:tcPr>
          <w:p w14:paraId="5FA948D7"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tcBorders>
              <w:top w:val="nil"/>
              <w:bottom w:val="nil"/>
            </w:tcBorders>
            <w:shd w:val="clear" w:color="auto" w:fill="auto"/>
            <w:noWrap/>
            <w:vAlign w:val="bottom"/>
            <w:hideMark/>
          </w:tcPr>
          <w:p w14:paraId="7C5C48DA"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tcBorders>
              <w:top w:val="single" w:sz="4" w:space="0" w:color="auto"/>
            </w:tcBorders>
            <w:shd w:val="clear" w:color="auto" w:fill="auto"/>
            <w:noWrap/>
            <w:vAlign w:val="bottom"/>
            <w:hideMark/>
          </w:tcPr>
          <w:p w14:paraId="7B63D0D9"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tcBorders>
              <w:top w:val="single" w:sz="4" w:space="0" w:color="auto"/>
            </w:tcBorders>
            <w:shd w:val="clear" w:color="auto" w:fill="auto"/>
            <w:noWrap/>
            <w:vAlign w:val="bottom"/>
            <w:hideMark/>
          </w:tcPr>
          <w:p w14:paraId="3F500633"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tcBorders>
              <w:top w:val="single" w:sz="4" w:space="0" w:color="auto"/>
            </w:tcBorders>
            <w:shd w:val="clear" w:color="auto" w:fill="auto"/>
            <w:noWrap/>
            <w:vAlign w:val="bottom"/>
            <w:hideMark/>
          </w:tcPr>
          <w:p w14:paraId="7C0AA59F"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tcBorders>
              <w:top w:val="nil"/>
              <w:bottom w:val="nil"/>
            </w:tcBorders>
            <w:shd w:val="clear" w:color="auto" w:fill="auto"/>
            <w:noWrap/>
            <w:vAlign w:val="bottom"/>
            <w:hideMark/>
          </w:tcPr>
          <w:p w14:paraId="3F80AF76"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tcBorders>
              <w:top w:val="single" w:sz="4" w:space="0" w:color="auto"/>
            </w:tcBorders>
            <w:shd w:val="clear" w:color="auto" w:fill="auto"/>
            <w:noWrap/>
            <w:vAlign w:val="bottom"/>
            <w:hideMark/>
          </w:tcPr>
          <w:p w14:paraId="46D80E85"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tcBorders>
              <w:top w:val="single" w:sz="4" w:space="0" w:color="auto"/>
            </w:tcBorders>
            <w:shd w:val="clear" w:color="auto" w:fill="auto"/>
            <w:noWrap/>
            <w:vAlign w:val="bottom"/>
            <w:hideMark/>
          </w:tcPr>
          <w:p w14:paraId="69B1D72F"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tcBorders>
              <w:top w:val="single" w:sz="4" w:space="0" w:color="auto"/>
            </w:tcBorders>
            <w:shd w:val="clear" w:color="auto" w:fill="auto"/>
            <w:noWrap/>
            <w:vAlign w:val="bottom"/>
            <w:hideMark/>
          </w:tcPr>
          <w:p w14:paraId="6699223A" w14:textId="77777777" w:rsidR="00376AC8" w:rsidRPr="001344F0" w:rsidRDefault="00376AC8" w:rsidP="00376AC8">
            <w:pPr>
              <w:jc w:val="left"/>
              <w:rPr>
                <w:rFonts w:ascii="Times New Roman" w:eastAsia="Times New Roman" w:hAnsi="Times New Roman" w:cs="Times New Roman"/>
                <w:color w:val="000000"/>
                <w:sz w:val="20"/>
                <w:lang w:eastAsia="en-GB"/>
              </w:rPr>
            </w:pPr>
          </w:p>
        </w:tc>
      </w:tr>
      <w:tr w:rsidR="00945ECF" w:rsidRPr="001344F0" w14:paraId="59A9F1CF" w14:textId="77777777" w:rsidTr="00945ECF">
        <w:trPr>
          <w:trHeight w:val="273"/>
          <w:jc w:val="center"/>
        </w:trPr>
        <w:tc>
          <w:tcPr>
            <w:tcW w:w="0" w:type="auto"/>
            <w:shd w:val="clear" w:color="auto" w:fill="auto"/>
            <w:noWrap/>
            <w:vAlign w:val="bottom"/>
            <w:hideMark/>
          </w:tcPr>
          <w:p w14:paraId="2474AF87" w14:textId="77777777" w:rsidR="00376AC8" w:rsidRPr="001344F0" w:rsidRDefault="00376AC8" w:rsidP="00376AC8">
            <w:pPr>
              <w:jc w:val="lef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Banks</w:t>
            </w:r>
          </w:p>
        </w:tc>
        <w:tc>
          <w:tcPr>
            <w:tcW w:w="0" w:type="auto"/>
            <w:shd w:val="clear" w:color="auto" w:fill="auto"/>
            <w:noWrap/>
            <w:vAlign w:val="bottom"/>
            <w:hideMark/>
          </w:tcPr>
          <w:p w14:paraId="2B7E880A"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39</w:t>
            </w:r>
          </w:p>
        </w:tc>
        <w:tc>
          <w:tcPr>
            <w:tcW w:w="0" w:type="auto"/>
            <w:shd w:val="clear" w:color="auto" w:fill="auto"/>
            <w:noWrap/>
            <w:vAlign w:val="bottom"/>
            <w:hideMark/>
          </w:tcPr>
          <w:p w14:paraId="3035B1BD" w14:textId="6733D7D2"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15.5</w:t>
            </w:r>
          </w:p>
        </w:tc>
        <w:tc>
          <w:tcPr>
            <w:tcW w:w="0" w:type="auto"/>
            <w:shd w:val="clear" w:color="auto" w:fill="auto"/>
            <w:noWrap/>
            <w:vAlign w:val="bottom"/>
            <w:hideMark/>
          </w:tcPr>
          <w:p w14:paraId="16F06BCA" w14:textId="42D29DAE"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274,700</w:t>
            </w:r>
          </w:p>
        </w:tc>
        <w:tc>
          <w:tcPr>
            <w:tcW w:w="0" w:type="auto"/>
            <w:tcBorders>
              <w:top w:val="nil"/>
            </w:tcBorders>
            <w:shd w:val="clear" w:color="auto" w:fill="auto"/>
            <w:noWrap/>
            <w:vAlign w:val="bottom"/>
            <w:hideMark/>
          </w:tcPr>
          <w:p w14:paraId="2063ECD7"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3481C062"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49</w:t>
            </w:r>
          </w:p>
        </w:tc>
        <w:tc>
          <w:tcPr>
            <w:tcW w:w="0" w:type="auto"/>
            <w:shd w:val="clear" w:color="auto" w:fill="auto"/>
            <w:noWrap/>
            <w:vAlign w:val="bottom"/>
            <w:hideMark/>
          </w:tcPr>
          <w:p w14:paraId="70BE45FE" w14:textId="57ACD16C"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14.2</w:t>
            </w:r>
          </w:p>
        </w:tc>
        <w:tc>
          <w:tcPr>
            <w:tcW w:w="0" w:type="auto"/>
            <w:shd w:val="clear" w:color="auto" w:fill="auto"/>
            <w:noWrap/>
            <w:vAlign w:val="bottom"/>
            <w:hideMark/>
          </w:tcPr>
          <w:p w14:paraId="4E900BAC" w14:textId="23E67C21"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228,568</w:t>
            </w:r>
          </w:p>
        </w:tc>
        <w:tc>
          <w:tcPr>
            <w:tcW w:w="0" w:type="auto"/>
            <w:tcBorders>
              <w:top w:val="nil"/>
              <w:bottom w:val="nil"/>
            </w:tcBorders>
            <w:shd w:val="clear" w:color="auto" w:fill="auto"/>
            <w:noWrap/>
            <w:vAlign w:val="bottom"/>
            <w:hideMark/>
          </w:tcPr>
          <w:p w14:paraId="071C9CA1"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6FB1897A"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168</w:t>
            </w:r>
          </w:p>
        </w:tc>
        <w:tc>
          <w:tcPr>
            <w:tcW w:w="0" w:type="auto"/>
            <w:shd w:val="clear" w:color="auto" w:fill="auto"/>
            <w:noWrap/>
            <w:vAlign w:val="bottom"/>
            <w:hideMark/>
          </w:tcPr>
          <w:p w14:paraId="08F407FB" w14:textId="22C57FD6"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20.4</w:t>
            </w:r>
          </w:p>
        </w:tc>
        <w:tc>
          <w:tcPr>
            <w:tcW w:w="0" w:type="auto"/>
            <w:shd w:val="clear" w:color="auto" w:fill="auto"/>
            <w:noWrap/>
            <w:vAlign w:val="bottom"/>
            <w:hideMark/>
          </w:tcPr>
          <w:p w14:paraId="14E2E900" w14:textId="3B5F536B"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300,000</w:t>
            </w:r>
          </w:p>
        </w:tc>
        <w:tc>
          <w:tcPr>
            <w:tcW w:w="0" w:type="auto"/>
            <w:tcBorders>
              <w:top w:val="nil"/>
            </w:tcBorders>
            <w:shd w:val="clear" w:color="auto" w:fill="auto"/>
            <w:noWrap/>
            <w:vAlign w:val="bottom"/>
            <w:hideMark/>
          </w:tcPr>
          <w:p w14:paraId="60115D0B"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152B6A1B"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133</w:t>
            </w:r>
          </w:p>
        </w:tc>
        <w:tc>
          <w:tcPr>
            <w:tcW w:w="0" w:type="auto"/>
            <w:shd w:val="clear" w:color="auto" w:fill="auto"/>
            <w:noWrap/>
            <w:vAlign w:val="bottom"/>
            <w:hideMark/>
          </w:tcPr>
          <w:p w14:paraId="3D9251FE" w14:textId="4EA738A6"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10.5</w:t>
            </w:r>
          </w:p>
        </w:tc>
        <w:tc>
          <w:tcPr>
            <w:tcW w:w="0" w:type="auto"/>
            <w:shd w:val="clear" w:color="auto" w:fill="auto"/>
            <w:noWrap/>
            <w:vAlign w:val="bottom"/>
            <w:hideMark/>
          </w:tcPr>
          <w:p w14:paraId="3160625A" w14:textId="3E705384"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412,773</w:t>
            </w:r>
          </w:p>
        </w:tc>
      </w:tr>
      <w:tr w:rsidR="00945ECF" w:rsidRPr="001344F0" w14:paraId="7DC2E873" w14:textId="77777777" w:rsidTr="00945ECF">
        <w:trPr>
          <w:trHeight w:val="273"/>
          <w:jc w:val="center"/>
        </w:trPr>
        <w:tc>
          <w:tcPr>
            <w:tcW w:w="0" w:type="auto"/>
            <w:shd w:val="clear" w:color="auto" w:fill="auto"/>
            <w:noWrap/>
            <w:vAlign w:val="bottom"/>
            <w:hideMark/>
          </w:tcPr>
          <w:p w14:paraId="67AE673E" w14:textId="77777777" w:rsidR="00376AC8" w:rsidRPr="001344F0" w:rsidRDefault="00376AC8" w:rsidP="00376AC8">
            <w:pPr>
              <w:jc w:val="lef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Breweries</w:t>
            </w:r>
          </w:p>
        </w:tc>
        <w:tc>
          <w:tcPr>
            <w:tcW w:w="0" w:type="auto"/>
            <w:shd w:val="clear" w:color="auto" w:fill="auto"/>
            <w:noWrap/>
            <w:vAlign w:val="bottom"/>
            <w:hideMark/>
          </w:tcPr>
          <w:p w14:paraId="28BB9595"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3</w:t>
            </w:r>
          </w:p>
        </w:tc>
        <w:tc>
          <w:tcPr>
            <w:tcW w:w="0" w:type="auto"/>
            <w:shd w:val="clear" w:color="auto" w:fill="auto"/>
            <w:noWrap/>
            <w:vAlign w:val="bottom"/>
            <w:hideMark/>
          </w:tcPr>
          <w:p w14:paraId="3F6649B9" w14:textId="459B1317"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1.2</w:t>
            </w:r>
          </w:p>
        </w:tc>
        <w:tc>
          <w:tcPr>
            <w:tcW w:w="0" w:type="auto"/>
            <w:shd w:val="clear" w:color="auto" w:fill="auto"/>
            <w:noWrap/>
            <w:vAlign w:val="bottom"/>
            <w:hideMark/>
          </w:tcPr>
          <w:p w14:paraId="52271AD1" w14:textId="550680A8"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139,880</w:t>
            </w:r>
          </w:p>
        </w:tc>
        <w:tc>
          <w:tcPr>
            <w:tcW w:w="0" w:type="auto"/>
            <w:shd w:val="clear" w:color="auto" w:fill="auto"/>
            <w:noWrap/>
            <w:vAlign w:val="bottom"/>
            <w:hideMark/>
          </w:tcPr>
          <w:p w14:paraId="413CB13F"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50689840"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17</w:t>
            </w:r>
          </w:p>
        </w:tc>
        <w:tc>
          <w:tcPr>
            <w:tcW w:w="0" w:type="auto"/>
            <w:shd w:val="clear" w:color="auto" w:fill="auto"/>
            <w:noWrap/>
            <w:vAlign w:val="bottom"/>
            <w:hideMark/>
          </w:tcPr>
          <w:p w14:paraId="57A5AB56" w14:textId="210E7BA5"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4.9</w:t>
            </w:r>
          </w:p>
        </w:tc>
        <w:tc>
          <w:tcPr>
            <w:tcW w:w="0" w:type="auto"/>
            <w:shd w:val="clear" w:color="auto" w:fill="auto"/>
            <w:noWrap/>
            <w:vAlign w:val="bottom"/>
            <w:hideMark/>
          </w:tcPr>
          <w:p w14:paraId="09AAE527" w14:textId="6E3DEEA1"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219,820</w:t>
            </w:r>
          </w:p>
        </w:tc>
        <w:tc>
          <w:tcPr>
            <w:tcW w:w="0" w:type="auto"/>
            <w:tcBorders>
              <w:top w:val="nil"/>
            </w:tcBorders>
            <w:shd w:val="clear" w:color="auto" w:fill="auto"/>
            <w:noWrap/>
            <w:vAlign w:val="bottom"/>
            <w:hideMark/>
          </w:tcPr>
          <w:p w14:paraId="7C25B3A6"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4D69E722"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5</w:t>
            </w:r>
          </w:p>
        </w:tc>
        <w:tc>
          <w:tcPr>
            <w:tcW w:w="0" w:type="auto"/>
            <w:shd w:val="clear" w:color="auto" w:fill="auto"/>
            <w:noWrap/>
            <w:vAlign w:val="bottom"/>
            <w:hideMark/>
          </w:tcPr>
          <w:p w14:paraId="72D4D88B" w14:textId="7F52FC84"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0.6</w:t>
            </w:r>
          </w:p>
        </w:tc>
        <w:tc>
          <w:tcPr>
            <w:tcW w:w="0" w:type="auto"/>
            <w:shd w:val="clear" w:color="auto" w:fill="auto"/>
            <w:noWrap/>
            <w:vAlign w:val="bottom"/>
            <w:hideMark/>
          </w:tcPr>
          <w:p w14:paraId="6A843A7D" w14:textId="2B2BA774"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340,000</w:t>
            </w:r>
          </w:p>
        </w:tc>
        <w:tc>
          <w:tcPr>
            <w:tcW w:w="0" w:type="auto"/>
            <w:shd w:val="clear" w:color="auto" w:fill="auto"/>
            <w:noWrap/>
            <w:vAlign w:val="bottom"/>
            <w:hideMark/>
          </w:tcPr>
          <w:p w14:paraId="6DC4C01F"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300B68FD"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115</w:t>
            </w:r>
          </w:p>
        </w:tc>
        <w:tc>
          <w:tcPr>
            <w:tcW w:w="0" w:type="auto"/>
            <w:shd w:val="clear" w:color="auto" w:fill="auto"/>
            <w:noWrap/>
            <w:vAlign w:val="bottom"/>
            <w:hideMark/>
          </w:tcPr>
          <w:p w14:paraId="40C771D3" w14:textId="0F5383A0"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9.1</w:t>
            </w:r>
          </w:p>
        </w:tc>
        <w:tc>
          <w:tcPr>
            <w:tcW w:w="0" w:type="auto"/>
            <w:shd w:val="clear" w:color="auto" w:fill="auto"/>
            <w:noWrap/>
            <w:vAlign w:val="bottom"/>
            <w:hideMark/>
          </w:tcPr>
          <w:p w14:paraId="3E66832B" w14:textId="2E61058C"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266,670</w:t>
            </w:r>
          </w:p>
        </w:tc>
      </w:tr>
      <w:tr w:rsidR="00945ECF" w:rsidRPr="001344F0" w14:paraId="6600F5D0" w14:textId="77777777" w:rsidTr="00945ECF">
        <w:trPr>
          <w:trHeight w:val="273"/>
          <w:jc w:val="center"/>
        </w:trPr>
        <w:tc>
          <w:tcPr>
            <w:tcW w:w="0" w:type="auto"/>
            <w:shd w:val="clear" w:color="auto" w:fill="auto"/>
            <w:noWrap/>
            <w:vAlign w:val="bottom"/>
            <w:hideMark/>
          </w:tcPr>
          <w:p w14:paraId="395C9032" w14:textId="388A83BF" w:rsidR="00376AC8" w:rsidRPr="001344F0" w:rsidRDefault="00376AC8" w:rsidP="00376AC8">
            <w:pPr>
              <w:jc w:val="lef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Gas, Light &amp; Coke</w:t>
            </w:r>
          </w:p>
        </w:tc>
        <w:tc>
          <w:tcPr>
            <w:tcW w:w="0" w:type="auto"/>
            <w:shd w:val="clear" w:color="auto" w:fill="auto"/>
            <w:noWrap/>
            <w:vAlign w:val="bottom"/>
            <w:hideMark/>
          </w:tcPr>
          <w:p w14:paraId="2F1490C7"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11</w:t>
            </w:r>
          </w:p>
        </w:tc>
        <w:tc>
          <w:tcPr>
            <w:tcW w:w="0" w:type="auto"/>
            <w:shd w:val="clear" w:color="auto" w:fill="auto"/>
            <w:noWrap/>
            <w:vAlign w:val="bottom"/>
            <w:hideMark/>
          </w:tcPr>
          <w:p w14:paraId="4302E820" w14:textId="2C4A5440"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4.4</w:t>
            </w:r>
          </w:p>
        </w:tc>
        <w:tc>
          <w:tcPr>
            <w:tcW w:w="0" w:type="auto"/>
            <w:shd w:val="clear" w:color="auto" w:fill="auto"/>
            <w:noWrap/>
            <w:vAlign w:val="bottom"/>
            <w:hideMark/>
          </w:tcPr>
          <w:p w14:paraId="618FF88D" w14:textId="2C34E269"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147,900</w:t>
            </w:r>
          </w:p>
        </w:tc>
        <w:tc>
          <w:tcPr>
            <w:tcW w:w="0" w:type="auto"/>
            <w:shd w:val="clear" w:color="auto" w:fill="auto"/>
            <w:noWrap/>
            <w:vAlign w:val="bottom"/>
            <w:hideMark/>
          </w:tcPr>
          <w:p w14:paraId="6B3F2CC3"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71A5121F"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15</w:t>
            </w:r>
          </w:p>
        </w:tc>
        <w:tc>
          <w:tcPr>
            <w:tcW w:w="0" w:type="auto"/>
            <w:shd w:val="clear" w:color="auto" w:fill="auto"/>
            <w:noWrap/>
            <w:vAlign w:val="bottom"/>
            <w:hideMark/>
          </w:tcPr>
          <w:p w14:paraId="64B53502" w14:textId="717B363F"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4.4</w:t>
            </w:r>
          </w:p>
        </w:tc>
        <w:tc>
          <w:tcPr>
            <w:tcW w:w="0" w:type="auto"/>
            <w:shd w:val="clear" w:color="auto" w:fill="auto"/>
            <w:noWrap/>
            <w:vAlign w:val="bottom"/>
            <w:hideMark/>
          </w:tcPr>
          <w:p w14:paraId="16BF7069" w14:textId="510DB4D4"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130,000</w:t>
            </w:r>
          </w:p>
        </w:tc>
        <w:tc>
          <w:tcPr>
            <w:tcW w:w="0" w:type="auto"/>
            <w:shd w:val="clear" w:color="auto" w:fill="auto"/>
            <w:noWrap/>
            <w:vAlign w:val="bottom"/>
            <w:hideMark/>
          </w:tcPr>
          <w:p w14:paraId="49482816"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7036B9D1"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61</w:t>
            </w:r>
          </w:p>
        </w:tc>
        <w:tc>
          <w:tcPr>
            <w:tcW w:w="0" w:type="auto"/>
            <w:shd w:val="clear" w:color="auto" w:fill="auto"/>
            <w:noWrap/>
            <w:vAlign w:val="bottom"/>
            <w:hideMark/>
          </w:tcPr>
          <w:p w14:paraId="7E83815B" w14:textId="14D3A937"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7.4</w:t>
            </w:r>
          </w:p>
        </w:tc>
        <w:tc>
          <w:tcPr>
            <w:tcW w:w="0" w:type="auto"/>
            <w:shd w:val="clear" w:color="auto" w:fill="auto"/>
            <w:noWrap/>
            <w:vAlign w:val="bottom"/>
            <w:hideMark/>
          </w:tcPr>
          <w:p w14:paraId="1606789F" w14:textId="26454D9D"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200,000</w:t>
            </w:r>
          </w:p>
        </w:tc>
        <w:tc>
          <w:tcPr>
            <w:tcW w:w="0" w:type="auto"/>
            <w:shd w:val="clear" w:color="auto" w:fill="auto"/>
            <w:noWrap/>
            <w:vAlign w:val="bottom"/>
            <w:hideMark/>
          </w:tcPr>
          <w:p w14:paraId="114E2948"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7E926780"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71</w:t>
            </w:r>
          </w:p>
        </w:tc>
        <w:tc>
          <w:tcPr>
            <w:tcW w:w="0" w:type="auto"/>
            <w:shd w:val="clear" w:color="auto" w:fill="auto"/>
            <w:noWrap/>
            <w:vAlign w:val="bottom"/>
            <w:hideMark/>
          </w:tcPr>
          <w:p w14:paraId="51998A1E" w14:textId="56EF022A"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5.6</w:t>
            </w:r>
          </w:p>
        </w:tc>
        <w:tc>
          <w:tcPr>
            <w:tcW w:w="0" w:type="auto"/>
            <w:shd w:val="clear" w:color="auto" w:fill="auto"/>
            <w:noWrap/>
            <w:vAlign w:val="bottom"/>
            <w:hideMark/>
          </w:tcPr>
          <w:p w14:paraId="0A547B0A" w14:textId="42574F3C"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350,000</w:t>
            </w:r>
          </w:p>
        </w:tc>
      </w:tr>
      <w:tr w:rsidR="00945ECF" w:rsidRPr="001344F0" w14:paraId="0F16E735" w14:textId="77777777" w:rsidTr="00945ECF">
        <w:trPr>
          <w:trHeight w:val="273"/>
          <w:jc w:val="center"/>
        </w:trPr>
        <w:tc>
          <w:tcPr>
            <w:tcW w:w="0" w:type="auto"/>
            <w:shd w:val="clear" w:color="auto" w:fill="auto"/>
            <w:noWrap/>
            <w:vAlign w:val="bottom"/>
            <w:hideMark/>
          </w:tcPr>
          <w:p w14:paraId="4DE31BD5" w14:textId="2570EB27" w:rsidR="00376AC8" w:rsidRPr="001344F0" w:rsidRDefault="00376AC8" w:rsidP="00376AC8">
            <w:pPr>
              <w:jc w:val="lef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Industrial</w:t>
            </w:r>
            <w:r w:rsidR="00945ECF" w:rsidRPr="001344F0">
              <w:rPr>
                <w:rFonts w:ascii="Times New Roman" w:eastAsia="Times New Roman" w:hAnsi="Times New Roman" w:cs="Times New Roman"/>
                <w:color w:val="000000"/>
                <w:sz w:val="20"/>
                <w:lang w:eastAsia="en-GB"/>
              </w:rPr>
              <w:t xml:space="preserve"> &amp; </w:t>
            </w:r>
            <w:r w:rsidRPr="001344F0">
              <w:rPr>
                <w:rFonts w:ascii="Times New Roman" w:eastAsia="Times New Roman" w:hAnsi="Times New Roman" w:cs="Times New Roman"/>
                <w:color w:val="000000"/>
                <w:sz w:val="20"/>
                <w:lang w:eastAsia="en-GB"/>
              </w:rPr>
              <w:t>Comm</w:t>
            </w:r>
            <w:r w:rsidR="00945ECF" w:rsidRPr="001344F0">
              <w:rPr>
                <w:rFonts w:ascii="Times New Roman" w:eastAsia="Times New Roman" w:hAnsi="Times New Roman" w:cs="Times New Roman"/>
                <w:color w:val="000000"/>
                <w:sz w:val="20"/>
                <w:lang w:eastAsia="en-GB"/>
              </w:rPr>
              <w:t>ercial</w:t>
            </w:r>
          </w:p>
        </w:tc>
        <w:tc>
          <w:tcPr>
            <w:tcW w:w="0" w:type="auto"/>
            <w:shd w:val="clear" w:color="auto" w:fill="auto"/>
            <w:noWrap/>
            <w:vAlign w:val="bottom"/>
            <w:hideMark/>
          </w:tcPr>
          <w:p w14:paraId="1CAF8A1B"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65</w:t>
            </w:r>
          </w:p>
        </w:tc>
        <w:tc>
          <w:tcPr>
            <w:tcW w:w="0" w:type="auto"/>
            <w:shd w:val="clear" w:color="auto" w:fill="auto"/>
            <w:noWrap/>
            <w:vAlign w:val="bottom"/>
            <w:hideMark/>
          </w:tcPr>
          <w:p w14:paraId="1551EB7A" w14:textId="18718FA3"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25.8</w:t>
            </w:r>
          </w:p>
        </w:tc>
        <w:tc>
          <w:tcPr>
            <w:tcW w:w="0" w:type="auto"/>
            <w:shd w:val="clear" w:color="auto" w:fill="auto"/>
            <w:noWrap/>
            <w:vAlign w:val="bottom"/>
            <w:hideMark/>
          </w:tcPr>
          <w:p w14:paraId="02C36D9B" w14:textId="0BF922F0"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145,075</w:t>
            </w:r>
          </w:p>
        </w:tc>
        <w:tc>
          <w:tcPr>
            <w:tcW w:w="0" w:type="auto"/>
            <w:shd w:val="clear" w:color="auto" w:fill="auto"/>
            <w:noWrap/>
            <w:vAlign w:val="bottom"/>
            <w:hideMark/>
          </w:tcPr>
          <w:p w14:paraId="1E509553"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147D459C"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117</w:t>
            </w:r>
          </w:p>
        </w:tc>
        <w:tc>
          <w:tcPr>
            <w:tcW w:w="0" w:type="auto"/>
            <w:shd w:val="clear" w:color="auto" w:fill="auto"/>
            <w:noWrap/>
            <w:vAlign w:val="bottom"/>
            <w:hideMark/>
          </w:tcPr>
          <w:p w14:paraId="24E41B7C" w14:textId="1E73DB51"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34.0</w:t>
            </w:r>
          </w:p>
        </w:tc>
        <w:tc>
          <w:tcPr>
            <w:tcW w:w="0" w:type="auto"/>
            <w:shd w:val="clear" w:color="auto" w:fill="auto"/>
            <w:noWrap/>
            <w:vAlign w:val="bottom"/>
            <w:hideMark/>
          </w:tcPr>
          <w:p w14:paraId="5DFF2528" w14:textId="25F94EB1"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103,883</w:t>
            </w:r>
          </w:p>
        </w:tc>
        <w:tc>
          <w:tcPr>
            <w:tcW w:w="0" w:type="auto"/>
            <w:shd w:val="clear" w:color="auto" w:fill="auto"/>
            <w:noWrap/>
            <w:vAlign w:val="bottom"/>
            <w:hideMark/>
          </w:tcPr>
          <w:p w14:paraId="204169D1"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08853B30"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187</w:t>
            </w:r>
          </w:p>
        </w:tc>
        <w:tc>
          <w:tcPr>
            <w:tcW w:w="0" w:type="auto"/>
            <w:shd w:val="clear" w:color="auto" w:fill="auto"/>
            <w:noWrap/>
            <w:vAlign w:val="bottom"/>
            <w:hideMark/>
          </w:tcPr>
          <w:p w14:paraId="7A3C661E" w14:textId="41A2C19E"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22.7</w:t>
            </w:r>
          </w:p>
        </w:tc>
        <w:tc>
          <w:tcPr>
            <w:tcW w:w="0" w:type="auto"/>
            <w:shd w:val="clear" w:color="auto" w:fill="auto"/>
            <w:noWrap/>
            <w:vAlign w:val="bottom"/>
            <w:hideMark/>
          </w:tcPr>
          <w:p w14:paraId="7A268A40" w14:textId="03F3BA10"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106,700</w:t>
            </w:r>
          </w:p>
        </w:tc>
        <w:tc>
          <w:tcPr>
            <w:tcW w:w="0" w:type="auto"/>
            <w:shd w:val="clear" w:color="auto" w:fill="auto"/>
            <w:noWrap/>
            <w:vAlign w:val="bottom"/>
            <w:hideMark/>
          </w:tcPr>
          <w:p w14:paraId="3392B51C"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1E3AB064"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412</w:t>
            </w:r>
          </w:p>
        </w:tc>
        <w:tc>
          <w:tcPr>
            <w:tcW w:w="0" w:type="auto"/>
            <w:shd w:val="clear" w:color="auto" w:fill="auto"/>
            <w:noWrap/>
            <w:vAlign w:val="bottom"/>
            <w:hideMark/>
          </w:tcPr>
          <w:p w14:paraId="4C8DAF2A" w14:textId="7DFDCC48"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32.6</w:t>
            </w:r>
          </w:p>
        </w:tc>
        <w:tc>
          <w:tcPr>
            <w:tcW w:w="0" w:type="auto"/>
            <w:shd w:val="clear" w:color="auto" w:fill="auto"/>
            <w:noWrap/>
            <w:vAlign w:val="bottom"/>
            <w:hideMark/>
          </w:tcPr>
          <w:p w14:paraId="7285B8FE" w14:textId="2AAAFA3C"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200,000</w:t>
            </w:r>
          </w:p>
        </w:tc>
      </w:tr>
      <w:tr w:rsidR="00945ECF" w:rsidRPr="001344F0" w14:paraId="524EF1C9" w14:textId="77777777" w:rsidTr="00945ECF">
        <w:trPr>
          <w:trHeight w:val="273"/>
          <w:jc w:val="center"/>
        </w:trPr>
        <w:tc>
          <w:tcPr>
            <w:tcW w:w="0" w:type="auto"/>
            <w:shd w:val="clear" w:color="auto" w:fill="auto"/>
            <w:noWrap/>
            <w:vAlign w:val="bottom"/>
            <w:hideMark/>
          </w:tcPr>
          <w:p w14:paraId="7CB08430" w14:textId="77777777" w:rsidR="00376AC8" w:rsidRPr="001344F0" w:rsidRDefault="00376AC8" w:rsidP="00376AC8">
            <w:pPr>
              <w:jc w:val="lef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Insurance</w:t>
            </w:r>
          </w:p>
        </w:tc>
        <w:tc>
          <w:tcPr>
            <w:tcW w:w="0" w:type="auto"/>
            <w:shd w:val="clear" w:color="auto" w:fill="auto"/>
            <w:noWrap/>
            <w:vAlign w:val="bottom"/>
            <w:hideMark/>
          </w:tcPr>
          <w:p w14:paraId="1ACC1E86"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16</w:t>
            </w:r>
          </w:p>
        </w:tc>
        <w:tc>
          <w:tcPr>
            <w:tcW w:w="0" w:type="auto"/>
            <w:shd w:val="clear" w:color="auto" w:fill="auto"/>
            <w:noWrap/>
            <w:vAlign w:val="bottom"/>
            <w:hideMark/>
          </w:tcPr>
          <w:p w14:paraId="23BBC28A" w14:textId="31F54C6C"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6.3</w:t>
            </w:r>
          </w:p>
        </w:tc>
        <w:tc>
          <w:tcPr>
            <w:tcW w:w="0" w:type="auto"/>
            <w:shd w:val="clear" w:color="auto" w:fill="auto"/>
            <w:noWrap/>
            <w:vAlign w:val="bottom"/>
            <w:hideMark/>
          </w:tcPr>
          <w:p w14:paraId="7522E306" w14:textId="66614F77"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100,000</w:t>
            </w:r>
          </w:p>
        </w:tc>
        <w:tc>
          <w:tcPr>
            <w:tcW w:w="0" w:type="auto"/>
            <w:shd w:val="clear" w:color="auto" w:fill="auto"/>
            <w:noWrap/>
            <w:vAlign w:val="bottom"/>
            <w:hideMark/>
          </w:tcPr>
          <w:p w14:paraId="566C548A"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14F4199D"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14</w:t>
            </w:r>
          </w:p>
        </w:tc>
        <w:tc>
          <w:tcPr>
            <w:tcW w:w="0" w:type="auto"/>
            <w:shd w:val="clear" w:color="auto" w:fill="auto"/>
            <w:noWrap/>
            <w:vAlign w:val="bottom"/>
            <w:hideMark/>
          </w:tcPr>
          <w:p w14:paraId="73874997" w14:textId="7B0C302A"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4.1</w:t>
            </w:r>
          </w:p>
        </w:tc>
        <w:tc>
          <w:tcPr>
            <w:tcW w:w="0" w:type="auto"/>
            <w:shd w:val="clear" w:color="auto" w:fill="auto"/>
            <w:noWrap/>
            <w:vAlign w:val="bottom"/>
            <w:hideMark/>
          </w:tcPr>
          <w:p w14:paraId="281F107B" w14:textId="5F061681"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99,997</w:t>
            </w:r>
          </w:p>
        </w:tc>
        <w:tc>
          <w:tcPr>
            <w:tcW w:w="0" w:type="auto"/>
            <w:shd w:val="clear" w:color="auto" w:fill="auto"/>
            <w:noWrap/>
            <w:vAlign w:val="bottom"/>
            <w:hideMark/>
          </w:tcPr>
          <w:p w14:paraId="4AC80471"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765F4102"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97</w:t>
            </w:r>
          </w:p>
        </w:tc>
        <w:tc>
          <w:tcPr>
            <w:tcW w:w="0" w:type="auto"/>
            <w:shd w:val="clear" w:color="auto" w:fill="auto"/>
            <w:noWrap/>
            <w:vAlign w:val="bottom"/>
            <w:hideMark/>
          </w:tcPr>
          <w:p w14:paraId="3F4DE163" w14:textId="12B17516"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11.8</w:t>
            </w:r>
          </w:p>
        </w:tc>
        <w:tc>
          <w:tcPr>
            <w:tcW w:w="0" w:type="auto"/>
            <w:shd w:val="clear" w:color="auto" w:fill="auto"/>
            <w:noWrap/>
            <w:vAlign w:val="bottom"/>
            <w:hideMark/>
          </w:tcPr>
          <w:p w14:paraId="29CC6FF4" w14:textId="7F5A97A5"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100,000</w:t>
            </w:r>
          </w:p>
        </w:tc>
        <w:tc>
          <w:tcPr>
            <w:tcW w:w="0" w:type="auto"/>
            <w:shd w:val="clear" w:color="auto" w:fill="auto"/>
            <w:noWrap/>
            <w:vAlign w:val="bottom"/>
            <w:hideMark/>
          </w:tcPr>
          <w:p w14:paraId="22EFA714"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5EE97006"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87</w:t>
            </w:r>
          </w:p>
        </w:tc>
        <w:tc>
          <w:tcPr>
            <w:tcW w:w="0" w:type="auto"/>
            <w:shd w:val="clear" w:color="auto" w:fill="auto"/>
            <w:noWrap/>
            <w:vAlign w:val="bottom"/>
            <w:hideMark/>
          </w:tcPr>
          <w:p w14:paraId="3C7B7424" w14:textId="7B963DFD"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6.9</w:t>
            </w:r>
          </w:p>
        </w:tc>
        <w:tc>
          <w:tcPr>
            <w:tcW w:w="0" w:type="auto"/>
            <w:shd w:val="clear" w:color="auto" w:fill="auto"/>
            <w:noWrap/>
            <w:vAlign w:val="bottom"/>
            <w:hideMark/>
          </w:tcPr>
          <w:p w14:paraId="67235A60" w14:textId="710DE10A"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120,000</w:t>
            </w:r>
          </w:p>
        </w:tc>
      </w:tr>
      <w:tr w:rsidR="00945ECF" w:rsidRPr="001344F0" w14:paraId="50C82018" w14:textId="77777777" w:rsidTr="00945ECF">
        <w:trPr>
          <w:trHeight w:val="273"/>
          <w:jc w:val="center"/>
        </w:trPr>
        <w:tc>
          <w:tcPr>
            <w:tcW w:w="0" w:type="auto"/>
            <w:shd w:val="clear" w:color="auto" w:fill="auto"/>
            <w:noWrap/>
            <w:vAlign w:val="bottom"/>
            <w:hideMark/>
          </w:tcPr>
          <w:p w14:paraId="399E8EDA" w14:textId="050B9D15" w:rsidR="00376AC8" w:rsidRPr="001344F0" w:rsidRDefault="00945ECF" w:rsidP="00376AC8">
            <w:pPr>
              <w:jc w:val="left"/>
              <w:rPr>
                <w:rFonts w:ascii="Times New Roman" w:eastAsia="Times New Roman" w:hAnsi="Times New Roman" w:cs="Times New Roman"/>
                <w:color w:val="000000"/>
                <w:sz w:val="20"/>
                <w:lang w:eastAsia="en-GB"/>
              </w:rPr>
            </w:pPr>
            <w:proofErr w:type="spellStart"/>
            <w:r w:rsidRPr="001344F0">
              <w:rPr>
                <w:rFonts w:ascii="Times New Roman" w:eastAsia="Times New Roman" w:hAnsi="Times New Roman" w:cs="Times New Roman"/>
                <w:color w:val="000000"/>
                <w:sz w:val="20"/>
                <w:lang w:eastAsia="en-GB"/>
              </w:rPr>
              <w:t>Iron,Coal</w:t>
            </w:r>
            <w:proofErr w:type="spellEnd"/>
            <w:r w:rsidRPr="001344F0">
              <w:rPr>
                <w:rFonts w:ascii="Times New Roman" w:eastAsia="Times New Roman" w:hAnsi="Times New Roman" w:cs="Times New Roman"/>
                <w:color w:val="000000"/>
                <w:sz w:val="20"/>
                <w:lang w:eastAsia="en-GB"/>
              </w:rPr>
              <w:t xml:space="preserve"> &amp; S</w:t>
            </w:r>
            <w:r w:rsidR="00376AC8" w:rsidRPr="001344F0">
              <w:rPr>
                <w:rFonts w:ascii="Times New Roman" w:eastAsia="Times New Roman" w:hAnsi="Times New Roman" w:cs="Times New Roman"/>
                <w:color w:val="000000"/>
                <w:sz w:val="20"/>
                <w:lang w:eastAsia="en-GB"/>
              </w:rPr>
              <w:t>t</w:t>
            </w:r>
            <w:r w:rsidRPr="001344F0">
              <w:rPr>
                <w:rFonts w:ascii="Times New Roman" w:eastAsia="Times New Roman" w:hAnsi="Times New Roman" w:cs="Times New Roman"/>
                <w:color w:val="000000"/>
                <w:sz w:val="20"/>
                <w:lang w:eastAsia="en-GB"/>
              </w:rPr>
              <w:t>eel</w:t>
            </w:r>
          </w:p>
        </w:tc>
        <w:tc>
          <w:tcPr>
            <w:tcW w:w="0" w:type="auto"/>
            <w:shd w:val="clear" w:color="auto" w:fill="auto"/>
            <w:noWrap/>
            <w:vAlign w:val="bottom"/>
            <w:hideMark/>
          </w:tcPr>
          <w:p w14:paraId="12DB0B14"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31</w:t>
            </w:r>
          </w:p>
        </w:tc>
        <w:tc>
          <w:tcPr>
            <w:tcW w:w="0" w:type="auto"/>
            <w:shd w:val="clear" w:color="auto" w:fill="auto"/>
            <w:noWrap/>
            <w:vAlign w:val="bottom"/>
            <w:hideMark/>
          </w:tcPr>
          <w:p w14:paraId="7844B57C" w14:textId="4B9250F8"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12.3</w:t>
            </w:r>
          </w:p>
        </w:tc>
        <w:tc>
          <w:tcPr>
            <w:tcW w:w="0" w:type="auto"/>
            <w:shd w:val="clear" w:color="auto" w:fill="auto"/>
            <w:noWrap/>
            <w:vAlign w:val="bottom"/>
            <w:hideMark/>
          </w:tcPr>
          <w:p w14:paraId="7EF3513A" w14:textId="2FAF49C7"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155,860</w:t>
            </w:r>
          </w:p>
        </w:tc>
        <w:tc>
          <w:tcPr>
            <w:tcW w:w="0" w:type="auto"/>
            <w:shd w:val="clear" w:color="auto" w:fill="auto"/>
            <w:noWrap/>
            <w:vAlign w:val="bottom"/>
            <w:hideMark/>
          </w:tcPr>
          <w:p w14:paraId="57800F96"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66E2CE86"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24</w:t>
            </w:r>
          </w:p>
        </w:tc>
        <w:tc>
          <w:tcPr>
            <w:tcW w:w="0" w:type="auto"/>
            <w:shd w:val="clear" w:color="auto" w:fill="auto"/>
            <w:noWrap/>
            <w:vAlign w:val="bottom"/>
            <w:hideMark/>
          </w:tcPr>
          <w:p w14:paraId="2619CD23" w14:textId="36817ADD"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7.0</w:t>
            </w:r>
          </w:p>
        </w:tc>
        <w:tc>
          <w:tcPr>
            <w:tcW w:w="0" w:type="auto"/>
            <w:shd w:val="clear" w:color="auto" w:fill="auto"/>
            <w:noWrap/>
            <w:vAlign w:val="bottom"/>
            <w:hideMark/>
          </w:tcPr>
          <w:p w14:paraId="46DF851E" w14:textId="40D72562"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149,000</w:t>
            </w:r>
          </w:p>
        </w:tc>
        <w:tc>
          <w:tcPr>
            <w:tcW w:w="0" w:type="auto"/>
            <w:shd w:val="clear" w:color="auto" w:fill="auto"/>
            <w:noWrap/>
            <w:vAlign w:val="bottom"/>
            <w:hideMark/>
          </w:tcPr>
          <w:p w14:paraId="08029BBB"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671D0184"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59</w:t>
            </w:r>
          </w:p>
        </w:tc>
        <w:tc>
          <w:tcPr>
            <w:tcW w:w="0" w:type="auto"/>
            <w:shd w:val="clear" w:color="auto" w:fill="auto"/>
            <w:noWrap/>
            <w:vAlign w:val="bottom"/>
            <w:hideMark/>
          </w:tcPr>
          <w:p w14:paraId="5ED001B6" w14:textId="4D69D726"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7.2</w:t>
            </w:r>
          </w:p>
        </w:tc>
        <w:tc>
          <w:tcPr>
            <w:tcW w:w="0" w:type="auto"/>
            <w:shd w:val="clear" w:color="auto" w:fill="auto"/>
            <w:noWrap/>
            <w:vAlign w:val="bottom"/>
            <w:hideMark/>
          </w:tcPr>
          <w:p w14:paraId="6CDE9E5F" w14:textId="18B3ECFD"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210,000</w:t>
            </w:r>
          </w:p>
        </w:tc>
        <w:tc>
          <w:tcPr>
            <w:tcW w:w="0" w:type="auto"/>
            <w:shd w:val="clear" w:color="auto" w:fill="auto"/>
            <w:noWrap/>
            <w:vAlign w:val="bottom"/>
            <w:hideMark/>
          </w:tcPr>
          <w:p w14:paraId="336E9AFF"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353D0579"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93</w:t>
            </w:r>
          </w:p>
        </w:tc>
        <w:tc>
          <w:tcPr>
            <w:tcW w:w="0" w:type="auto"/>
            <w:shd w:val="clear" w:color="auto" w:fill="auto"/>
            <w:noWrap/>
            <w:vAlign w:val="bottom"/>
            <w:hideMark/>
          </w:tcPr>
          <w:p w14:paraId="0107CED3" w14:textId="0253B0F9"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7.4</w:t>
            </w:r>
          </w:p>
        </w:tc>
        <w:tc>
          <w:tcPr>
            <w:tcW w:w="0" w:type="auto"/>
            <w:shd w:val="clear" w:color="auto" w:fill="auto"/>
            <w:noWrap/>
            <w:vAlign w:val="bottom"/>
            <w:hideMark/>
          </w:tcPr>
          <w:p w14:paraId="23961C4B" w14:textId="7625C851"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240,000</w:t>
            </w:r>
          </w:p>
        </w:tc>
      </w:tr>
      <w:tr w:rsidR="00945ECF" w:rsidRPr="001344F0" w14:paraId="5AC8D621" w14:textId="77777777" w:rsidTr="00945ECF">
        <w:trPr>
          <w:trHeight w:val="273"/>
          <w:jc w:val="center"/>
        </w:trPr>
        <w:tc>
          <w:tcPr>
            <w:tcW w:w="0" w:type="auto"/>
            <w:shd w:val="clear" w:color="auto" w:fill="auto"/>
            <w:noWrap/>
            <w:vAlign w:val="bottom"/>
            <w:hideMark/>
          </w:tcPr>
          <w:p w14:paraId="28841C90" w14:textId="77777777" w:rsidR="00376AC8" w:rsidRPr="001344F0" w:rsidRDefault="00376AC8" w:rsidP="00376AC8">
            <w:pPr>
              <w:jc w:val="lef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Mines</w:t>
            </w:r>
          </w:p>
        </w:tc>
        <w:tc>
          <w:tcPr>
            <w:tcW w:w="0" w:type="auto"/>
            <w:shd w:val="clear" w:color="auto" w:fill="auto"/>
            <w:noWrap/>
            <w:vAlign w:val="bottom"/>
            <w:hideMark/>
          </w:tcPr>
          <w:p w14:paraId="6F488864"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10</w:t>
            </w:r>
          </w:p>
        </w:tc>
        <w:tc>
          <w:tcPr>
            <w:tcW w:w="0" w:type="auto"/>
            <w:shd w:val="clear" w:color="auto" w:fill="auto"/>
            <w:noWrap/>
            <w:vAlign w:val="bottom"/>
            <w:hideMark/>
          </w:tcPr>
          <w:p w14:paraId="4CA55A7D" w14:textId="74C6FD98"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4.0</w:t>
            </w:r>
          </w:p>
        </w:tc>
        <w:tc>
          <w:tcPr>
            <w:tcW w:w="0" w:type="auto"/>
            <w:shd w:val="clear" w:color="auto" w:fill="auto"/>
            <w:noWrap/>
            <w:vAlign w:val="bottom"/>
            <w:hideMark/>
          </w:tcPr>
          <w:p w14:paraId="7E8D587B" w14:textId="1FB6B5FE"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110,857</w:t>
            </w:r>
          </w:p>
        </w:tc>
        <w:tc>
          <w:tcPr>
            <w:tcW w:w="0" w:type="auto"/>
            <w:shd w:val="clear" w:color="auto" w:fill="auto"/>
            <w:noWrap/>
            <w:vAlign w:val="bottom"/>
            <w:hideMark/>
          </w:tcPr>
          <w:p w14:paraId="0F88562E"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7C5EE0F9"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19</w:t>
            </w:r>
          </w:p>
        </w:tc>
        <w:tc>
          <w:tcPr>
            <w:tcW w:w="0" w:type="auto"/>
            <w:shd w:val="clear" w:color="auto" w:fill="auto"/>
            <w:noWrap/>
            <w:vAlign w:val="bottom"/>
            <w:hideMark/>
          </w:tcPr>
          <w:p w14:paraId="5EE9AE7C" w14:textId="362A20FB"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5.5</w:t>
            </w:r>
          </w:p>
        </w:tc>
        <w:tc>
          <w:tcPr>
            <w:tcW w:w="0" w:type="auto"/>
            <w:shd w:val="clear" w:color="auto" w:fill="auto"/>
            <w:noWrap/>
            <w:vAlign w:val="bottom"/>
            <w:hideMark/>
          </w:tcPr>
          <w:p w14:paraId="45D7B8D1" w14:textId="6258CDC0"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73,230</w:t>
            </w:r>
          </w:p>
        </w:tc>
        <w:tc>
          <w:tcPr>
            <w:tcW w:w="0" w:type="auto"/>
            <w:shd w:val="clear" w:color="auto" w:fill="auto"/>
            <w:noWrap/>
            <w:vAlign w:val="bottom"/>
            <w:hideMark/>
          </w:tcPr>
          <w:p w14:paraId="7FDA07BC"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6A67A105"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77</w:t>
            </w:r>
          </w:p>
        </w:tc>
        <w:tc>
          <w:tcPr>
            <w:tcW w:w="0" w:type="auto"/>
            <w:shd w:val="clear" w:color="auto" w:fill="auto"/>
            <w:noWrap/>
            <w:vAlign w:val="bottom"/>
            <w:hideMark/>
          </w:tcPr>
          <w:p w14:paraId="2499220C" w14:textId="09E8109F"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9.4</w:t>
            </w:r>
          </w:p>
        </w:tc>
        <w:tc>
          <w:tcPr>
            <w:tcW w:w="0" w:type="auto"/>
            <w:shd w:val="clear" w:color="auto" w:fill="auto"/>
            <w:noWrap/>
            <w:vAlign w:val="bottom"/>
            <w:hideMark/>
          </w:tcPr>
          <w:p w14:paraId="21BBE90C" w14:textId="50440601"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100,000</w:t>
            </w:r>
          </w:p>
        </w:tc>
        <w:tc>
          <w:tcPr>
            <w:tcW w:w="0" w:type="auto"/>
            <w:shd w:val="clear" w:color="auto" w:fill="auto"/>
            <w:noWrap/>
            <w:vAlign w:val="bottom"/>
            <w:hideMark/>
          </w:tcPr>
          <w:p w14:paraId="40E83E29"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28A58BB4"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157</w:t>
            </w:r>
          </w:p>
        </w:tc>
        <w:tc>
          <w:tcPr>
            <w:tcW w:w="0" w:type="auto"/>
            <w:shd w:val="clear" w:color="auto" w:fill="auto"/>
            <w:noWrap/>
            <w:vAlign w:val="bottom"/>
            <w:hideMark/>
          </w:tcPr>
          <w:p w14:paraId="71ED45F0" w14:textId="559E078F"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12.4</w:t>
            </w:r>
          </w:p>
        </w:tc>
        <w:tc>
          <w:tcPr>
            <w:tcW w:w="0" w:type="auto"/>
            <w:shd w:val="clear" w:color="auto" w:fill="auto"/>
            <w:noWrap/>
            <w:vAlign w:val="bottom"/>
            <w:hideMark/>
          </w:tcPr>
          <w:p w14:paraId="36A10851" w14:textId="0D9CDEBE"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242,000</w:t>
            </w:r>
          </w:p>
        </w:tc>
      </w:tr>
      <w:tr w:rsidR="00945ECF" w:rsidRPr="001344F0" w14:paraId="03C9B57D" w14:textId="77777777" w:rsidTr="00945ECF">
        <w:trPr>
          <w:trHeight w:val="273"/>
          <w:jc w:val="center"/>
        </w:trPr>
        <w:tc>
          <w:tcPr>
            <w:tcW w:w="0" w:type="auto"/>
            <w:shd w:val="clear" w:color="auto" w:fill="auto"/>
            <w:noWrap/>
            <w:vAlign w:val="bottom"/>
            <w:hideMark/>
          </w:tcPr>
          <w:p w14:paraId="65CB8D7F" w14:textId="2995F1B1" w:rsidR="00376AC8" w:rsidRPr="001344F0" w:rsidRDefault="00376AC8" w:rsidP="00376AC8">
            <w:pPr>
              <w:jc w:val="lef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Mortgage</w:t>
            </w:r>
            <w:r w:rsidR="00945ECF" w:rsidRPr="001344F0">
              <w:rPr>
                <w:rFonts w:ascii="Times New Roman" w:eastAsia="Times New Roman" w:hAnsi="Times New Roman" w:cs="Times New Roman"/>
                <w:color w:val="000000"/>
                <w:sz w:val="20"/>
                <w:lang w:eastAsia="en-GB"/>
              </w:rPr>
              <w:t xml:space="preserve"> &amp; Finance</w:t>
            </w:r>
          </w:p>
        </w:tc>
        <w:tc>
          <w:tcPr>
            <w:tcW w:w="0" w:type="auto"/>
            <w:shd w:val="clear" w:color="auto" w:fill="auto"/>
            <w:noWrap/>
            <w:vAlign w:val="bottom"/>
            <w:hideMark/>
          </w:tcPr>
          <w:p w14:paraId="4D00355A"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35</w:t>
            </w:r>
          </w:p>
        </w:tc>
        <w:tc>
          <w:tcPr>
            <w:tcW w:w="0" w:type="auto"/>
            <w:shd w:val="clear" w:color="auto" w:fill="auto"/>
            <w:noWrap/>
            <w:vAlign w:val="bottom"/>
            <w:hideMark/>
          </w:tcPr>
          <w:p w14:paraId="1C0B8CF9" w14:textId="23472A00"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13.9</w:t>
            </w:r>
          </w:p>
        </w:tc>
        <w:tc>
          <w:tcPr>
            <w:tcW w:w="0" w:type="auto"/>
            <w:shd w:val="clear" w:color="auto" w:fill="auto"/>
            <w:noWrap/>
            <w:vAlign w:val="bottom"/>
            <w:hideMark/>
          </w:tcPr>
          <w:p w14:paraId="022BE6AE" w14:textId="5B5F42E3"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130,731</w:t>
            </w:r>
          </w:p>
        </w:tc>
        <w:tc>
          <w:tcPr>
            <w:tcW w:w="0" w:type="auto"/>
            <w:shd w:val="clear" w:color="auto" w:fill="auto"/>
            <w:noWrap/>
            <w:vAlign w:val="bottom"/>
            <w:hideMark/>
          </w:tcPr>
          <w:p w14:paraId="693D59DB"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71AD0CAF"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42</w:t>
            </w:r>
          </w:p>
        </w:tc>
        <w:tc>
          <w:tcPr>
            <w:tcW w:w="0" w:type="auto"/>
            <w:shd w:val="clear" w:color="auto" w:fill="auto"/>
            <w:noWrap/>
            <w:vAlign w:val="bottom"/>
            <w:hideMark/>
          </w:tcPr>
          <w:p w14:paraId="16CC9C86" w14:textId="77369B96"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12.2</w:t>
            </w:r>
          </w:p>
        </w:tc>
        <w:tc>
          <w:tcPr>
            <w:tcW w:w="0" w:type="auto"/>
            <w:shd w:val="clear" w:color="auto" w:fill="auto"/>
            <w:noWrap/>
            <w:vAlign w:val="bottom"/>
            <w:hideMark/>
          </w:tcPr>
          <w:p w14:paraId="429D7967" w14:textId="6374ED6D"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100,000</w:t>
            </w:r>
          </w:p>
        </w:tc>
        <w:tc>
          <w:tcPr>
            <w:tcW w:w="0" w:type="auto"/>
            <w:shd w:val="clear" w:color="auto" w:fill="auto"/>
            <w:noWrap/>
            <w:vAlign w:val="bottom"/>
            <w:hideMark/>
          </w:tcPr>
          <w:p w14:paraId="2E472B27"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7B4F3CA0"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57</w:t>
            </w:r>
          </w:p>
        </w:tc>
        <w:tc>
          <w:tcPr>
            <w:tcW w:w="0" w:type="auto"/>
            <w:shd w:val="clear" w:color="auto" w:fill="auto"/>
            <w:noWrap/>
            <w:vAlign w:val="bottom"/>
            <w:hideMark/>
          </w:tcPr>
          <w:p w14:paraId="29D5AE94" w14:textId="6E0D94F8"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6.9</w:t>
            </w:r>
          </w:p>
        </w:tc>
        <w:tc>
          <w:tcPr>
            <w:tcW w:w="0" w:type="auto"/>
            <w:shd w:val="clear" w:color="auto" w:fill="auto"/>
            <w:noWrap/>
            <w:vAlign w:val="bottom"/>
            <w:hideMark/>
          </w:tcPr>
          <w:p w14:paraId="05971F30" w14:textId="15BB2605"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112,500</w:t>
            </w:r>
          </w:p>
        </w:tc>
        <w:tc>
          <w:tcPr>
            <w:tcW w:w="0" w:type="auto"/>
            <w:shd w:val="clear" w:color="auto" w:fill="auto"/>
            <w:noWrap/>
            <w:vAlign w:val="bottom"/>
            <w:hideMark/>
          </w:tcPr>
          <w:p w14:paraId="1194297D"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7C086AF6"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94</w:t>
            </w:r>
          </w:p>
        </w:tc>
        <w:tc>
          <w:tcPr>
            <w:tcW w:w="0" w:type="auto"/>
            <w:shd w:val="clear" w:color="auto" w:fill="auto"/>
            <w:noWrap/>
            <w:vAlign w:val="bottom"/>
            <w:hideMark/>
          </w:tcPr>
          <w:p w14:paraId="69FC554D" w14:textId="2A44E29C"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7.4</w:t>
            </w:r>
          </w:p>
        </w:tc>
        <w:tc>
          <w:tcPr>
            <w:tcW w:w="0" w:type="auto"/>
            <w:shd w:val="clear" w:color="auto" w:fill="auto"/>
            <w:noWrap/>
            <w:vAlign w:val="bottom"/>
            <w:hideMark/>
          </w:tcPr>
          <w:p w14:paraId="1061676F" w14:textId="39371874"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361,930</w:t>
            </w:r>
          </w:p>
        </w:tc>
      </w:tr>
      <w:tr w:rsidR="00945ECF" w:rsidRPr="001344F0" w14:paraId="4C0CC995" w14:textId="77777777" w:rsidTr="00945ECF">
        <w:trPr>
          <w:trHeight w:val="273"/>
          <w:jc w:val="center"/>
        </w:trPr>
        <w:tc>
          <w:tcPr>
            <w:tcW w:w="0" w:type="auto"/>
            <w:shd w:val="clear" w:color="auto" w:fill="auto"/>
            <w:noWrap/>
            <w:vAlign w:val="bottom"/>
            <w:hideMark/>
          </w:tcPr>
          <w:p w14:paraId="6C443DAC" w14:textId="77777777" w:rsidR="00376AC8" w:rsidRPr="001344F0" w:rsidRDefault="00376AC8" w:rsidP="00376AC8">
            <w:pPr>
              <w:jc w:val="lef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Steamships</w:t>
            </w:r>
          </w:p>
        </w:tc>
        <w:tc>
          <w:tcPr>
            <w:tcW w:w="0" w:type="auto"/>
            <w:shd w:val="clear" w:color="auto" w:fill="auto"/>
            <w:noWrap/>
            <w:vAlign w:val="bottom"/>
            <w:hideMark/>
          </w:tcPr>
          <w:p w14:paraId="10FED158"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14</w:t>
            </w:r>
          </w:p>
        </w:tc>
        <w:tc>
          <w:tcPr>
            <w:tcW w:w="0" w:type="auto"/>
            <w:shd w:val="clear" w:color="auto" w:fill="auto"/>
            <w:noWrap/>
            <w:vAlign w:val="bottom"/>
            <w:hideMark/>
          </w:tcPr>
          <w:p w14:paraId="1AB1D8FD" w14:textId="664F628C"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5.6</w:t>
            </w:r>
          </w:p>
        </w:tc>
        <w:tc>
          <w:tcPr>
            <w:tcW w:w="0" w:type="auto"/>
            <w:shd w:val="clear" w:color="auto" w:fill="auto"/>
            <w:noWrap/>
            <w:vAlign w:val="bottom"/>
            <w:hideMark/>
          </w:tcPr>
          <w:p w14:paraId="33DE2858" w14:textId="3F0280BC"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134,913</w:t>
            </w:r>
          </w:p>
        </w:tc>
        <w:tc>
          <w:tcPr>
            <w:tcW w:w="0" w:type="auto"/>
            <w:shd w:val="clear" w:color="auto" w:fill="auto"/>
            <w:noWrap/>
            <w:vAlign w:val="bottom"/>
            <w:hideMark/>
          </w:tcPr>
          <w:p w14:paraId="6CBE87EA"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647114F1"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15</w:t>
            </w:r>
          </w:p>
        </w:tc>
        <w:tc>
          <w:tcPr>
            <w:tcW w:w="0" w:type="auto"/>
            <w:shd w:val="clear" w:color="auto" w:fill="auto"/>
            <w:noWrap/>
            <w:vAlign w:val="bottom"/>
            <w:hideMark/>
          </w:tcPr>
          <w:p w14:paraId="613D41D5" w14:textId="4975AEFF"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4.4</w:t>
            </w:r>
          </w:p>
        </w:tc>
        <w:tc>
          <w:tcPr>
            <w:tcW w:w="0" w:type="auto"/>
            <w:shd w:val="clear" w:color="auto" w:fill="auto"/>
            <w:noWrap/>
            <w:vAlign w:val="bottom"/>
            <w:hideMark/>
          </w:tcPr>
          <w:p w14:paraId="061371E2" w14:textId="0B2D2C2D"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188,440</w:t>
            </w:r>
          </w:p>
        </w:tc>
        <w:tc>
          <w:tcPr>
            <w:tcW w:w="0" w:type="auto"/>
            <w:shd w:val="clear" w:color="auto" w:fill="auto"/>
            <w:noWrap/>
            <w:vAlign w:val="bottom"/>
            <w:hideMark/>
          </w:tcPr>
          <w:p w14:paraId="330494FD"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51D475FE"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39</w:t>
            </w:r>
          </w:p>
        </w:tc>
        <w:tc>
          <w:tcPr>
            <w:tcW w:w="0" w:type="auto"/>
            <w:shd w:val="clear" w:color="auto" w:fill="auto"/>
            <w:noWrap/>
            <w:vAlign w:val="bottom"/>
            <w:hideMark/>
          </w:tcPr>
          <w:p w14:paraId="5EBF6112" w14:textId="462D9161"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4.7</w:t>
            </w:r>
          </w:p>
        </w:tc>
        <w:tc>
          <w:tcPr>
            <w:tcW w:w="0" w:type="auto"/>
            <w:shd w:val="clear" w:color="auto" w:fill="auto"/>
            <w:noWrap/>
            <w:vAlign w:val="bottom"/>
            <w:hideMark/>
          </w:tcPr>
          <w:p w14:paraId="6EFBDA89" w14:textId="0650264A"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200,000</w:t>
            </w:r>
          </w:p>
        </w:tc>
        <w:tc>
          <w:tcPr>
            <w:tcW w:w="0" w:type="auto"/>
            <w:shd w:val="clear" w:color="auto" w:fill="auto"/>
            <w:noWrap/>
            <w:vAlign w:val="bottom"/>
            <w:hideMark/>
          </w:tcPr>
          <w:p w14:paraId="4EFBA24B"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268E0013"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39</w:t>
            </w:r>
          </w:p>
        </w:tc>
        <w:tc>
          <w:tcPr>
            <w:tcW w:w="0" w:type="auto"/>
            <w:shd w:val="clear" w:color="auto" w:fill="auto"/>
            <w:noWrap/>
            <w:vAlign w:val="bottom"/>
            <w:hideMark/>
          </w:tcPr>
          <w:p w14:paraId="30A590CD" w14:textId="7CAD671C"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3.1</w:t>
            </w:r>
          </w:p>
        </w:tc>
        <w:tc>
          <w:tcPr>
            <w:tcW w:w="0" w:type="auto"/>
            <w:shd w:val="clear" w:color="auto" w:fill="auto"/>
            <w:noWrap/>
            <w:vAlign w:val="bottom"/>
            <w:hideMark/>
          </w:tcPr>
          <w:p w14:paraId="5AB0CF47" w14:textId="747943E0"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466,420</w:t>
            </w:r>
          </w:p>
        </w:tc>
      </w:tr>
      <w:tr w:rsidR="00945ECF" w:rsidRPr="001344F0" w14:paraId="3C126C95" w14:textId="77777777" w:rsidTr="00945ECF">
        <w:trPr>
          <w:trHeight w:val="273"/>
          <w:jc w:val="center"/>
        </w:trPr>
        <w:tc>
          <w:tcPr>
            <w:tcW w:w="0" w:type="auto"/>
            <w:shd w:val="clear" w:color="auto" w:fill="auto"/>
            <w:noWrap/>
            <w:vAlign w:val="bottom"/>
            <w:hideMark/>
          </w:tcPr>
          <w:p w14:paraId="219E3D76" w14:textId="77777777" w:rsidR="00376AC8" w:rsidRPr="001344F0" w:rsidRDefault="00376AC8" w:rsidP="00376AC8">
            <w:pPr>
              <w:jc w:val="lef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Telegraph</w:t>
            </w:r>
          </w:p>
        </w:tc>
        <w:tc>
          <w:tcPr>
            <w:tcW w:w="0" w:type="auto"/>
            <w:shd w:val="clear" w:color="auto" w:fill="auto"/>
            <w:noWrap/>
            <w:vAlign w:val="bottom"/>
            <w:hideMark/>
          </w:tcPr>
          <w:p w14:paraId="4EA893A9"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8</w:t>
            </w:r>
          </w:p>
        </w:tc>
        <w:tc>
          <w:tcPr>
            <w:tcW w:w="0" w:type="auto"/>
            <w:shd w:val="clear" w:color="auto" w:fill="auto"/>
            <w:noWrap/>
            <w:vAlign w:val="bottom"/>
            <w:hideMark/>
          </w:tcPr>
          <w:p w14:paraId="34359249" w14:textId="0D8B6D2E"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3.2</w:t>
            </w:r>
          </w:p>
        </w:tc>
        <w:tc>
          <w:tcPr>
            <w:tcW w:w="0" w:type="auto"/>
            <w:shd w:val="clear" w:color="auto" w:fill="auto"/>
            <w:noWrap/>
            <w:vAlign w:val="bottom"/>
            <w:hideMark/>
          </w:tcPr>
          <w:p w14:paraId="0639D6D6" w14:textId="5EE11A94"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287,513</w:t>
            </w:r>
          </w:p>
        </w:tc>
        <w:tc>
          <w:tcPr>
            <w:tcW w:w="0" w:type="auto"/>
            <w:shd w:val="clear" w:color="auto" w:fill="auto"/>
            <w:noWrap/>
            <w:vAlign w:val="bottom"/>
            <w:hideMark/>
          </w:tcPr>
          <w:p w14:paraId="73F37AD3"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5EBBDB80"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10</w:t>
            </w:r>
          </w:p>
        </w:tc>
        <w:tc>
          <w:tcPr>
            <w:tcW w:w="0" w:type="auto"/>
            <w:shd w:val="clear" w:color="auto" w:fill="auto"/>
            <w:noWrap/>
            <w:vAlign w:val="bottom"/>
            <w:hideMark/>
          </w:tcPr>
          <w:p w14:paraId="67E09816" w14:textId="71662DCF"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2.9</w:t>
            </w:r>
          </w:p>
        </w:tc>
        <w:tc>
          <w:tcPr>
            <w:tcW w:w="0" w:type="auto"/>
            <w:shd w:val="clear" w:color="auto" w:fill="auto"/>
            <w:noWrap/>
            <w:vAlign w:val="bottom"/>
            <w:hideMark/>
          </w:tcPr>
          <w:p w14:paraId="2E3774FC" w14:textId="47D66ABF"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200,000</w:t>
            </w:r>
          </w:p>
        </w:tc>
        <w:tc>
          <w:tcPr>
            <w:tcW w:w="0" w:type="auto"/>
            <w:shd w:val="clear" w:color="auto" w:fill="auto"/>
            <w:noWrap/>
            <w:vAlign w:val="bottom"/>
            <w:hideMark/>
          </w:tcPr>
          <w:p w14:paraId="208FBE17"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457C4A54"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20</w:t>
            </w:r>
          </w:p>
        </w:tc>
        <w:tc>
          <w:tcPr>
            <w:tcW w:w="0" w:type="auto"/>
            <w:shd w:val="clear" w:color="auto" w:fill="auto"/>
            <w:noWrap/>
            <w:vAlign w:val="bottom"/>
            <w:hideMark/>
          </w:tcPr>
          <w:p w14:paraId="4C3C476A" w14:textId="701B915C"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2.4</w:t>
            </w:r>
          </w:p>
        </w:tc>
        <w:tc>
          <w:tcPr>
            <w:tcW w:w="0" w:type="auto"/>
            <w:shd w:val="clear" w:color="auto" w:fill="auto"/>
            <w:noWrap/>
            <w:vAlign w:val="bottom"/>
            <w:hideMark/>
          </w:tcPr>
          <w:p w14:paraId="3F8C919D" w14:textId="74274511"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436,600</w:t>
            </w:r>
          </w:p>
        </w:tc>
        <w:tc>
          <w:tcPr>
            <w:tcW w:w="0" w:type="auto"/>
            <w:shd w:val="clear" w:color="auto" w:fill="auto"/>
            <w:noWrap/>
            <w:vAlign w:val="bottom"/>
            <w:hideMark/>
          </w:tcPr>
          <w:p w14:paraId="0EBB014A"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372D31C6"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19</w:t>
            </w:r>
          </w:p>
        </w:tc>
        <w:tc>
          <w:tcPr>
            <w:tcW w:w="0" w:type="auto"/>
            <w:shd w:val="clear" w:color="auto" w:fill="auto"/>
            <w:noWrap/>
            <w:vAlign w:val="bottom"/>
            <w:hideMark/>
          </w:tcPr>
          <w:p w14:paraId="5BDB541E" w14:textId="3E704F36"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1.5</w:t>
            </w:r>
          </w:p>
        </w:tc>
        <w:tc>
          <w:tcPr>
            <w:tcW w:w="0" w:type="auto"/>
            <w:shd w:val="clear" w:color="auto" w:fill="auto"/>
            <w:noWrap/>
            <w:vAlign w:val="bottom"/>
            <w:hideMark/>
          </w:tcPr>
          <w:p w14:paraId="0836DEEA" w14:textId="5B93A3B0"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800,000</w:t>
            </w:r>
          </w:p>
        </w:tc>
      </w:tr>
      <w:tr w:rsidR="00945ECF" w:rsidRPr="001344F0" w14:paraId="225DAA92" w14:textId="77777777" w:rsidTr="00945ECF">
        <w:trPr>
          <w:trHeight w:val="273"/>
          <w:jc w:val="center"/>
        </w:trPr>
        <w:tc>
          <w:tcPr>
            <w:tcW w:w="0" w:type="auto"/>
            <w:shd w:val="clear" w:color="auto" w:fill="auto"/>
            <w:noWrap/>
            <w:vAlign w:val="bottom"/>
            <w:hideMark/>
          </w:tcPr>
          <w:p w14:paraId="29DC6519" w14:textId="77777777" w:rsidR="00376AC8" w:rsidRPr="001344F0" w:rsidRDefault="00376AC8" w:rsidP="00376AC8">
            <w:pPr>
              <w:jc w:val="lef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Tramways</w:t>
            </w:r>
          </w:p>
        </w:tc>
        <w:tc>
          <w:tcPr>
            <w:tcW w:w="0" w:type="auto"/>
            <w:shd w:val="clear" w:color="auto" w:fill="auto"/>
            <w:noWrap/>
            <w:vAlign w:val="bottom"/>
            <w:hideMark/>
          </w:tcPr>
          <w:p w14:paraId="071F492D"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13</w:t>
            </w:r>
          </w:p>
        </w:tc>
        <w:tc>
          <w:tcPr>
            <w:tcW w:w="0" w:type="auto"/>
            <w:shd w:val="clear" w:color="auto" w:fill="auto"/>
            <w:noWrap/>
            <w:vAlign w:val="bottom"/>
            <w:hideMark/>
          </w:tcPr>
          <w:p w14:paraId="5646F5B3" w14:textId="3FB68478"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5.2</w:t>
            </w:r>
          </w:p>
        </w:tc>
        <w:tc>
          <w:tcPr>
            <w:tcW w:w="0" w:type="auto"/>
            <w:shd w:val="clear" w:color="auto" w:fill="auto"/>
            <w:noWrap/>
            <w:vAlign w:val="bottom"/>
            <w:hideMark/>
          </w:tcPr>
          <w:p w14:paraId="7B4CB043" w14:textId="412CE615"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122,028</w:t>
            </w:r>
          </w:p>
        </w:tc>
        <w:tc>
          <w:tcPr>
            <w:tcW w:w="0" w:type="auto"/>
            <w:shd w:val="clear" w:color="auto" w:fill="auto"/>
            <w:noWrap/>
            <w:vAlign w:val="bottom"/>
            <w:hideMark/>
          </w:tcPr>
          <w:p w14:paraId="4812EB2F"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18D532AF"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14</w:t>
            </w:r>
          </w:p>
        </w:tc>
        <w:tc>
          <w:tcPr>
            <w:tcW w:w="0" w:type="auto"/>
            <w:shd w:val="clear" w:color="auto" w:fill="auto"/>
            <w:noWrap/>
            <w:vAlign w:val="bottom"/>
            <w:hideMark/>
          </w:tcPr>
          <w:p w14:paraId="4606176D" w14:textId="0D44D2DD"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4.1</w:t>
            </w:r>
          </w:p>
        </w:tc>
        <w:tc>
          <w:tcPr>
            <w:tcW w:w="0" w:type="auto"/>
            <w:shd w:val="clear" w:color="auto" w:fill="auto"/>
            <w:noWrap/>
            <w:vAlign w:val="bottom"/>
            <w:hideMark/>
          </w:tcPr>
          <w:p w14:paraId="72BD7EBF" w14:textId="6BB1C67D"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104,662</w:t>
            </w:r>
          </w:p>
        </w:tc>
        <w:tc>
          <w:tcPr>
            <w:tcW w:w="0" w:type="auto"/>
            <w:shd w:val="clear" w:color="auto" w:fill="auto"/>
            <w:noWrap/>
            <w:vAlign w:val="bottom"/>
            <w:hideMark/>
          </w:tcPr>
          <w:p w14:paraId="6AB45088"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228267DF"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30</w:t>
            </w:r>
          </w:p>
        </w:tc>
        <w:tc>
          <w:tcPr>
            <w:tcW w:w="0" w:type="auto"/>
            <w:shd w:val="clear" w:color="auto" w:fill="auto"/>
            <w:noWrap/>
            <w:vAlign w:val="bottom"/>
            <w:hideMark/>
          </w:tcPr>
          <w:p w14:paraId="7FD79027" w14:textId="7A486263"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3.6</w:t>
            </w:r>
          </w:p>
        </w:tc>
        <w:tc>
          <w:tcPr>
            <w:tcW w:w="0" w:type="auto"/>
            <w:shd w:val="clear" w:color="auto" w:fill="auto"/>
            <w:noWrap/>
            <w:vAlign w:val="bottom"/>
            <w:hideMark/>
          </w:tcPr>
          <w:p w14:paraId="0BC22693" w14:textId="69D98936"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135,000</w:t>
            </w:r>
          </w:p>
        </w:tc>
        <w:tc>
          <w:tcPr>
            <w:tcW w:w="0" w:type="auto"/>
            <w:shd w:val="clear" w:color="auto" w:fill="auto"/>
            <w:noWrap/>
            <w:vAlign w:val="bottom"/>
            <w:hideMark/>
          </w:tcPr>
          <w:p w14:paraId="324E995D"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0C5E54F6"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31</w:t>
            </w:r>
          </w:p>
        </w:tc>
        <w:tc>
          <w:tcPr>
            <w:tcW w:w="0" w:type="auto"/>
            <w:shd w:val="clear" w:color="auto" w:fill="auto"/>
            <w:noWrap/>
            <w:vAlign w:val="bottom"/>
            <w:hideMark/>
          </w:tcPr>
          <w:p w14:paraId="19EE227C" w14:textId="6DBC1CCA"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2.5</w:t>
            </w:r>
          </w:p>
        </w:tc>
        <w:tc>
          <w:tcPr>
            <w:tcW w:w="0" w:type="auto"/>
            <w:shd w:val="clear" w:color="auto" w:fill="auto"/>
            <w:noWrap/>
            <w:vAlign w:val="bottom"/>
            <w:hideMark/>
          </w:tcPr>
          <w:p w14:paraId="5FAD9C9A" w14:textId="4D6A5C3E"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270,000</w:t>
            </w:r>
          </w:p>
        </w:tc>
      </w:tr>
      <w:tr w:rsidR="00945ECF" w:rsidRPr="001344F0" w14:paraId="7E18F261" w14:textId="77777777" w:rsidTr="00945ECF">
        <w:trPr>
          <w:trHeight w:val="273"/>
          <w:jc w:val="center"/>
        </w:trPr>
        <w:tc>
          <w:tcPr>
            <w:tcW w:w="0" w:type="auto"/>
            <w:shd w:val="clear" w:color="auto" w:fill="auto"/>
            <w:noWrap/>
            <w:vAlign w:val="bottom"/>
            <w:hideMark/>
          </w:tcPr>
          <w:p w14:paraId="7E6568B8" w14:textId="77777777" w:rsidR="00376AC8" w:rsidRPr="001344F0" w:rsidRDefault="00376AC8" w:rsidP="00376AC8">
            <w:pPr>
              <w:jc w:val="lef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Wagon</w:t>
            </w:r>
          </w:p>
        </w:tc>
        <w:tc>
          <w:tcPr>
            <w:tcW w:w="0" w:type="auto"/>
            <w:shd w:val="clear" w:color="auto" w:fill="auto"/>
            <w:noWrap/>
            <w:vAlign w:val="bottom"/>
            <w:hideMark/>
          </w:tcPr>
          <w:p w14:paraId="136F5834"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7</w:t>
            </w:r>
          </w:p>
        </w:tc>
        <w:tc>
          <w:tcPr>
            <w:tcW w:w="0" w:type="auto"/>
            <w:shd w:val="clear" w:color="auto" w:fill="auto"/>
            <w:noWrap/>
            <w:vAlign w:val="bottom"/>
            <w:hideMark/>
          </w:tcPr>
          <w:p w14:paraId="31977206" w14:textId="4C87E3C9"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2.8</w:t>
            </w:r>
          </w:p>
        </w:tc>
        <w:tc>
          <w:tcPr>
            <w:tcW w:w="0" w:type="auto"/>
            <w:shd w:val="clear" w:color="auto" w:fill="auto"/>
            <w:noWrap/>
            <w:vAlign w:val="bottom"/>
            <w:hideMark/>
          </w:tcPr>
          <w:p w14:paraId="19FE0D53" w14:textId="39CBDDCE"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121,232</w:t>
            </w:r>
          </w:p>
        </w:tc>
        <w:tc>
          <w:tcPr>
            <w:tcW w:w="0" w:type="auto"/>
            <w:shd w:val="clear" w:color="auto" w:fill="auto"/>
            <w:noWrap/>
            <w:vAlign w:val="bottom"/>
            <w:hideMark/>
          </w:tcPr>
          <w:p w14:paraId="4251E505"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5ACBCFAD"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8</w:t>
            </w:r>
          </w:p>
        </w:tc>
        <w:tc>
          <w:tcPr>
            <w:tcW w:w="0" w:type="auto"/>
            <w:shd w:val="clear" w:color="auto" w:fill="auto"/>
            <w:noWrap/>
            <w:vAlign w:val="bottom"/>
            <w:hideMark/>
          </w:tcPr>
          <w:p w14:paraId="57EAF80A" w14:textId="2E8EE908"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2.3</w:t>
            </w:r>
          </w:p>
        </w:tc>
        <w:tc>
          <w:tcPr>
            <w:tcW w:w="0" w:type="auto"/>
            <w:shd w:val="clear" w:color="auto" w:fill="auto"/>
            <w:noWrap/>
            <w:vAlign w:val="bottom"/>
            <w:hideMark/>
          </w:tcPr>
          <w:p w14:paraId="6C3A6974" w14:textId="3121B560"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90,619</w:t>
            </w:r>
          </w:p>
        </w:tc>
        <w:tc>
          <w:tcPr>
            <w:tcW w:w="0" w:type="auto"/>
            <w:shd w:val="clear" w:color="auto" w:fill="auto"/>
            <w:noWrap/>
            <w:vAlign w:val="bottom"/>
            <w:hideMark/>
          </w:tcPr>
          <w:p w14:paraId="17EC6E78"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6456B7A6"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22</w:t>
            </w:r>
          </w:p>
        </w:tc>
        <w:tc>
          <w:tcPr>
            <w:tcW w:w="0" w:type="auto"/>
            <w:shd w:val="clear" w:color="auto" w:fill="auto"/>
            <w:noWrap/>
            <w:vAlign w:val="bottom"/>
            <w:hideMark/>
          </w:tcPr>
          <w:p w14:paraId="6DD05523" w14:textId="25290A22"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2.7</w:t>
            </w:r>
          </w:p>
        </w:tc>
        <w:tc>
          <w:tcPr>
            <w:tcW w:w="0" w:type="auto"/>
            <w:shd w:val="clear" w:color="auto" w:fill="auto"/>
            <w:noWrap/>
            <w:vAlign w:val="bottom"/>
            <w:hideMark/>
          </w:tcPr>
          <w:p w14:paraId="6C5F06E4" w14:textId="7CB33E2E"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109,650</w:t>
            </w:r>
          </w:p>
        </w:tc>
        <w:tc>
          <w:tcPr>
            <w:tcW w:w="0" w:type="auto"/>
            <w:shd w:val="clear" w:color="auto" w:fill="auto"/>
            <w:noWrap/>
            <w:vAlign w:val="bottom"/>
            <w:hideMark/>
          </w:tcPr>
          <w:p w14:paraId="14983751"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2E8ED3DA"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13</w:t>
            </w:r>
          </w:p>
        </w:tc>
        <w:tc>
          <w:tcPr>
            <w:tcW w:w="0" w:type="auto"/>
            <w:shd w:val="clear" w:color="auto" w:fill="auto"/>
            <w:noWrap/>
            <w:vAlign w:val="bottom"/>
            <w:hideMark/>
          </w:tcPr>
          <w:p w14:paraId="3862193A" w14:textId="4E7552EB"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1.0</w:t>
            </w:r>
          </w:p>
        </w:tc>
        <w:tc>
          <w:tcPr>
            <w:tcW w:w="0" w:type="auto"/>
            <w:shd w:val="clear" w:color="auto" w:fill="auto"/>
            <w:noWrap/>
            <w:vAlign w:val="bottom"/>
            <w:hideMark/>
          </w:tcPr>
          <w:p w14:paraId="266EA767" w14:textId="2D22DA83"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125,436</w:t>
            </w:r>
          </w:p>
        </w:tc>
      </w:tr>
      <w:tr w:rsidR="00945ECF" w:rsidRPr="001344F0" w14:paraId="228937C3" w14:textId="77777777" w:rsidTr="00945ECF">
        <w:trPr>
          <w:trHeight w:val="273"/>
          <w:jc w:val="center"/>
        </w:trPr>
        <w:tc>
          <w:tcPr>
            <w:tcW w:w="0" w:type="auto"/>
            <w:shd w:val="clear" w:color="auto" w:fill="auto"/>
            <w:noWrap/>
            <w:vAlign w:val="bottom"/>
            <w:hideMark/>
          </w:tcPr>
          <w:p w14:paraId="1E177CE2"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061EB782"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63729BB0"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3ECBA83F" w14:textId="77777777" w:rsidR="00376AC8" w:rsidRPr="001344F0" w:rsidRDefault="00376AC8" w:rsidP="00376AC8">
            <w:pPr>
              <w:jc w:val="center"/>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260255A6"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429C9633"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0C3AF4A7"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4CC86124" w14:textId="77777777" w:rsidR="00376AC8" w:rsidRPr="001344F0" w:rsidRDefault="00376AC8" w:rsidP="00376AC8">
            <w:pPr>
              <w:jc w:val="center"/>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3E437DF1"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3E43548D"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380F826F"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460BB4AA" w14:textId="77777777" w:rsidR="00376AC8" w:rsidRPr="001344F0" w:rsidRDefault="00376AC8" w:rsidP="00376AC8">
            <w:pPr>
              <w:jc w:val="center"/>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4A1EBD84"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1859500A"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3560565E"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4BDE199B" w14:textId="77777777" w:rsidR="00376AC8" w:rsidRPr="001344F0" w:rsidRDefault="00376AC8" w:rsidP="00376AC8">
            <w:pPr>
              <w:jc w:val="center"/>
              <w:rPr>
                <w:rFonts w:ascii="Times New Roman" w:eastAsia="Times New Roman" w:hAnsi="Times New Roman" w:cs="Times New Roman"/>
                <w:color w:val="000000"/>
                <w:sz w:val="20"/>
                <w:lang w:eastAsia="en-GB"/>
              </w:rPr>
            </w:pPr>
          </w:p>
        </w:tc>
      </w:tr>
      <w:tr w:rsidR="00945ECF" w:rsidRPr="001344F0" w14:paraId="01C0C4E7" w14:textId="77777777" w:rsidTr="00945ECF">
        <w:trPr>
          <w:trHeight w:val="273"/>
          <w:jc w:val="center"/>
        </w:trPr>
        <w:tc>
          <w:tcPr>
            <w:tcW w:w="0" w:type="auto"/>
            <w:shd w:val="clear" w:color="auto" w:fill="auto"/>
            <w:noWrap/>
            <w:vAlign w:val="bottom"/>
            <w:hideMark/>
          </w:tcPr>
          <w:p w14:paraId="052CEF43" w14:textId="77777777" w:rsidR="00376AC8" w:rsidRPr="001344F0" w:rsidRDefault="00376AC8" w:rsidP="00376AC8">
            <w:pPr>
              <w:jc w:val="lef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Total</w:t>
            </w:r>
          </w:p>
        </w:tc>
        <w:tc>
          <w:tcPr>
            <w:tcW w:w="0" w:type="auto"/>
            <w:shd w:val="clear" w:color="auto" w:fill="auto"/>
            <w:noWrap/>
            <w:vAlign w:val="bottom"/>
            <w:hideMark/>
          </w:tcPr>
          <w:p w14:paraId="27E39264"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252</w:t>
            </w:r>
          </w:p>
        </w:tc>
        <w:tc>
          <w:tcPr>
            <w:tcW w:w="0" w:type="auto"/>
            <w:shd w:val="clear" w:color="auto" w:fill="auto"/>
            <w:noWrap/>
            <w:vAlign w:val="bottom"/>
            <w:hideMark/>
          </w:tcPr>
          <w:p w14:paraId="6073D0E1" w14:textId="23044406"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100.0</w:t>
            </w:r>
          </w:p>
        </w:tc>
        <w:tc>
          <w:tcPr>
            <w:tcW w:w="0" w:type="auto"/>
            <w:shd w:val="clear" w:color="auto" w:fill="auto"/>
            <w:noWrap/>
            <w:vAlign w:val="bottom"/>
            <w:hideMark/>
          </w:tcPr>
          <w:p w14:paraId="56213DAD" w14:textId="3AEBBA0B"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150,000</w:t>
            </w:r>
          </w:p>
        </w:tc>
        <w:tc>
          <w:tcPr>
            <w:tcW w:w="0" w:type="auto"/>
            <w:shd w:val="clear" w:color="auto" w:fill="auto"/>
            <w:noWrap/>
            <w:vAlign w:val="bottom"/>
            <w:hideMark/>
          </w:tcPr>
          <w:p w14:paraId="5447EBF0"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66334B13"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344</w:t>
            </w:r>
          </w:p>
        </w:tc>
        <w:tc>
          <w:tcPr>
            <w:tcW w:w="0" w:type="auto"/>
            <w:shd w:val="clear" w:color="auto" w:fill="auto"/>
            <w:noWrap/>
            <w:vAlign w:val="bottom"/>
            <w:hideMark/>
          </w:tcPr>
          <w:p w14:paraId="58D3FF87" w14:textId="6B938613"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100.0</w:t>
            </w:r>
          </w:p>
        </w:tc>
        <w:tc>
          <w:tcPr>
            <w:tcW w:w="0" w:type="auto"/>
            <w:shd w:val="clear" w:color="auto" w:fill="auto"/>
            <w:noWrap/>
            <w:vAlign w:val="bottom"/>
            <w:hideMark/>
          </w:tcPr>
          <w:p w14:paraId="57FEBFE6" w14:textId="7E04DE8F"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133,099</w:t>
            </w:r>
          </w:p>
        </w:tc>
        <w:tc>
          <w:tcPr>
            <w:tcW w:w="0" w:type="auto"/>
            <w:shd w:val="clear" w:color="auto" w:fill="auto"/>
            <w:noWrap/>
            <w:vAlign w:val="bottom"/>
            <w:hideMark/>
          </w:tcPr>
          <w:p w14:paraId="6314BCEF"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2DA1099F" w14:textId="77777777"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822</w:t>
            </w:r>
          </w:p>
        </w:tc>
        <w:tc>
          <w:tcPr>
            <w:tcW w:w="0" w:type="auto"/>
            <w:shd w:val="clear" w:color="auto" w:fill="auto"/>
            <w:noWrap/>
            <w:vAlign w:val="bottom"/>
            <w:hideMark/>
          </w:tcPr>
          <w:p w14:paraId="15FAE8B7" w14:textId="04D04AA6"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100.0</w:t>
            </w:r>
          </w:p>
        </w:tc>
        <w:tc>
          <w:tcPr>
            <w:tcW w:w="0" w:type="auto"/>
            <w:shd w:val="clear" w:color="auto" w:fill="auto"/>
            <w:noWrap/>
            <w:vAlign w:val="bottom"/>
            <w:hideMark/>
          </w:tcPr>
          <w:p w14:paraId="55BE60B0" w14:textId="614B2CA4"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150,000</w:t>
            </w:r>
          </w:p>
        </w:tc>
        <w:tc>
          <w:tcPr>
            <w:tcW w:w="0" w:type="auto"/>
            <w:shd w:val="clear" w:color="auto" w:fill="auto"/>
            <w:noWrap/>
            <w:vAlign w:val="bottom"/>
            <w:hideMark/>
          </w:tcPr>
          <w:p w14:paraId="03902039"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4B30EDD8" w14:textId="451CAD6D" w:rsidR="00376AC8" w:rsidRPr="001344F0" w:rsidRDefault="00376AC8"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1,264</w:t>
            </w:r>
          </w:p>
        </w:tc>
        <w:tc>
          <w:tcPr>
            <w:tcW w:w="0" w:type="auto"/>
            <w:shd w:val="clear" w:color="auto" w:fill="auto"/>
            <w:noWrap/>
            <w:vAlign w:val="bottom"/>
            <w:hideMark/>
          </w:tcPr>
          <w:p w14:paraId="2F2147B8" w14:textId="042E52FE" w:rsidR="00376AC8" w:rsidRPr="001344F0" w:rsidRDefault="00703AC0" w:rsidP="00376AC8">
            <w:pPr>
              <w:jc w:val="right"/>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100.0</w:t>
            </w:r>
          </w:p>
        </w:tc>
        <w:tc>
          <w:tcPr>
            <w:tcW w:w="0" w:type="auto"/>
            <w:shd w:val="clear" w:color="auto" w:fill="auto"/>
            <w:noWrap/>
            <w:vAlign w:val="bottom"/>
            <w:hideMark/>
          </w:tcPr>
          <w:p w14:paraId="2AC925ED" w14:textId="16A6C73A" w:rsidR="00376AC8" w:rsidRPr="001344F0" w:rsidRDefault="00376AC8" w:rsidP="00376AC8">
            <w:pPr>
              <w:jc w:val="center"/>
              <w:rPr>
                <w:rFonts w:ascii="Times New Roman" w:eastAsia="Times New Roman" w:hAnsi="Times New Roman" w:cs="Times New Roman"/>
                <w:color w:val="000000"/>
                <w:sz w:val="20"/>
                <w:lang w:eastAsia="en-GB"/>
              </w:rPr>
            </w:pPr>
            <w:r w:rsidRPr="001344F0">
              <w:rPr>
                <w:rFonts w:ascii="Times New Roman" w:eastAsia="Times New Roman" w:hAnsi="Times New Roman" w:cs="Times New Roman"/>
                <w:color w:val="000000"/>
                <w:sz w:val="20"/>
                <w:lang w:eastAsia="en-GB"/>
              </w:rPr>
              <w:t>250,000</w:t>
            </w:r>
          </w:p>
        </w:tc>
      </w:tr>
      <w:tr w:rsidR="00945ECF" w:rsidRPr="001344F0" w14:paraId="1502A9B8" w14:textId="77777777" w:rsidTr="00945ECF">
        <w:trPr>
          <w:trHeight w:val="273"/>
          <w:jc w:val="center"/>
        </w:trPr>
        <w:tc>
          <w:tcPr>
            <w:tcW w:w="0" w:type="auto"/>
            <w:shd w:val="clear" w:color="auto" w:fill="auto"/>
            <w:noWrap/>
            <w:vAlign w:val="bottom"/>
            <w:hideMark/>
          </w:tcPr>
          <w:p w14:paraId="5B4E7030"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6B32C9F6"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167AE21F"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03418D91"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04E0A00A"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38684121"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129760E2"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546C7E64"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61399652"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7948B961"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75FCA629"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787F70B2"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4C135BF8"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1DBC03F3"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50F0465C" w14:textId="77777777" w:rsidR="00376AC8" w:rsidRPr="001344F0" w:rsidRDefault="00376AC8" w:rsidP="00376AC8">
            <w:pPr>
              <w:jc w:val="left"/>
              <w:rPr>
                <w:rFonts w:ascii="Times New Roman" w:eastAsia="Times New Roman" w:hAnsi="Times New Roman" w:cs="Times New Roman"/>
                <w:color w:val="000000"/>
                <w:sz w:val="20"/>
                <w:lang w:eastAsia="en-GB"/>
              </w:rPr>
            </w:pPr>
          </w:p>
        </w:tc>
        <w:tc>
          <w:tcPr>
            <w:tcW w:w="0" w:type="auto"/>
            <w:shd w:val="clear" w:color="auto" w:fill="auto"/>
            <w:noWrap/>
            <w:vAlign w:val="bottom"/>
            <w:hideMark/>
          </w:tcPr>
          <w:p w14:paraId="2CC82365" w14:textId="77777777" w:rsidR="00376AC8" w:rsidRPr="001344F0" w:rsidRDefault="00376AC8" w:rsidP="00376AC8">
            <w:pPr>
              <w:jc w:val="left"/>
              <w:rPr>
                <w:rFonts w:ascii="Times New Roman" w:eastAsia="Times New Roman" w:hAnsi="Times New Roman" w:cs="Times New Roman"/>
                <w:color w:val="000000"/>
                <w:sz w:val="20"/>
                <w:lang w:eastAsia="en-GB"/>
              </w:rPr>
            </w:pPr>
          </w:p>
        </w:tc>
      </w:tr>
    </w:tbl>
    <w:p w14:paraId="0DE7C26B" w14:textId="00327DCB" w:rsidR="00376AC8" w:rsidRPr="00945ECF" w:rsidRDefault="00945ECF" w:rsidP="00945ECF">
      <w:pPr>
        <w:widowControl w:val="0"/>
        <w:autoSpaceDE w:val="0"/>
        <w:autoSpaceDN w:val="0"/>
        <w:adjustRightInd w:val="0"/>
        <w:ind w:left="-142" w:right="-46"/>
        <w:rPr>
          <w:rFonts w:ascii="Times New Roman" w:hAnsi="Times New Roman" w:cs="Times New Roman"/>
          <w:sz w:val="18"/>
          <w:szCs w:val="20"/>
        </w:rPr>
      </w:pPr>
      <w:r w:rsidRPr="001344F0">
        <w:rPr>
          <w:rFonts w:ascii="Times New Roman" w:hAnsi="Times New Roman" w:cs="Times New Roman"/>
          <w:i/>
          <w:sz w:val="18"/>
          <w:szCs w:val="20"/>
        </w:rPr>
        <w:t>Notes</w:t>
      </w:r>
      <w:r w:rsidRPr="001344F0">
        <w:rPr>
          <w:rFonts w:ascii="Times New Roman" w:hAnsi="Times New Roman" w:cs="Times New Roman"/>
          <w:sz w:val="18"/>
          <w:szCs w:val="20"/>
        </w:rPr>
        <w:t xml:space="preserve">: Performance Data and Final Status Data shows the frequency of observations from each industry, and the median par value of equities and preference shares issued by those companies. </w:t>
      </w:r>
      <w:r w:rsidRPr="001344F0">
        <w:rPr>
          <w:rFonts w:ascii="Times New Roman" w:hAnsi="Times New Roman" w:cs="Times New Roman"/>
          <w:i/>
          <w:sz w:val="18"/>
          <w:szCs w:val="20"/>
        </w:rPr>
        <w:t>Investor’s Monthly Manual</w:t>
      </w:r>
      <w:r w:rsidR="00491831" w:rsidRPr="001344F0">
        <w:rPr>
          <w:rFonts w:ascii="Times New Roman" w:hAnsi="Times New Roman" w:cs="Times New Roman"/>
          <w:sz w:val="18"/>
          <w:szCs w:val="20"/>
        </w:rPr>
        <w:t xml:space="preserve"> (</w:t>
      </w:r>
      <w:r w:rsidR="00491831" w:rsidRPr="001344F0">
        <w:rPr>
          <w:rFonts w:ascii="Times New Roman" w:hAnsi="Times New Roman" w:cs="Times New Roman"/>
          <w:i/>
          <w:sz w:val="18"/>
          <w:szCs w:val="20"/>
        </w:rPr>
        <w:t>IMM</w:t>
      </w:r>
      <w:r w:rsidR="00491831" w:rsidRPr="001344F0">
        <w:rPr>
          <w:rFonts w:ascii="Times New Roman" w:hAnsi="Times New Roman" w:cs="Times New Roman"/>
          <w:sz w:val="18"/>
          <w:szCs w:val="20"/>
        </w:rPr>
        <w:t>) d</w:t>
      </w:r>
      <w:r w:rsidRPr="001344F0">
        <w:rPr>
          <w:rFonts w:ascii="Times New Roman" w:hAnsi="Times New Roman" w:cs="Times New Roman"/>
          <w:sz w:val="18"/>
          <w:szCs w:val="20"/>
        </w:rPr>
        <w:t>ata shows the par value of equities and preference shares issued by non-railway corporations</w:t>
      </w:r>
      <w:r w:rsidR="00703AC0" w:rsidRPr="001344F0">
        <w:rPr>
          <w:rFonts w:ascii="Times New Roman" w:hAnsi="Times New Roman" w:cs="Times New Roman"/>
          <w:sz w:val="18"/>
          <w:szCs w:val="20"/>
        </w:rPr>
        <w:t xml:space="preserve"> in 1880 and 1900</w:t>
      </w:r>
      <w:r w:rsidRPr="001344F0">
        <w:rPr>
          <w:rFonts w:ascii="Times New Roman" w:hAnsi="Times New Roman" w:cs="Times New Roman"/>
          <w:sz w:val="18"/>
          <w:szCs w:val="20"/>
        </w:rPr>
        <w:t>. It does not include the value of corporate bonds, government bonds, railway securities or investment trusts.</w:t>
      </w:r>
      <w:r w:rsidRPr="00945ECF">
        <w:rPr>
          <w:rFonts w:ascii="Times New Roman" w:hAnsi="Times New Roman" w:cs="Times New Roman"/>
          <w:sz w:val="18"/>
          <w:szCs w:val="20"/>
        </w:rPr>
        <w:t xml:space="preserve"> </w:t>
      </w:r>
    </w:p>
    <w:p w14:paraId="7595C3DB" w14:textId="49DDD886" w:rsidR="00DC5523" w:rsidRDefault="00DC5523" w:rsidP="00413759">
      <w:pPr>
        <w:spacing w:after="200" w:line="276" w:lineRule="auto"/>
        <w:jc w:val="left"/>
        <w:rPr>
          <w:rFonts w:ascii="Times New Roman" w:hAnsi="Times New Roman" w:cs="Times New Roman"/>
          <w:b/>
          <w:sz w:val="28"/>
          <w:szCs w:val="20"/>
        </w:rPr>
      </w:pPr>
    </w:p>
    <w:p w14:paraId="0970C3C9" w14:textId="77777777" w:rsidR="001344F0" w:rsidRDefault="001344F0" w:rsidP="001344F0">
      <w:pPr>
        <w:spacing w:after="200" w:line="276" w:lineRule="auto"/>
        <w:jc w:val="left"/>
        <w:rPr>
          <w:rFonts w:ascii="Times New Roman" w:hAnsi="Times New Roman" w:cs="Times New Roman"/>
          <w:b/>
          <w:sz w:val="28"/>
          <w:szCs w:val="20"/>
        </w:rPr>
      </w:pPr>
    </w:p>
    <w:p w14:paraId="555BAD2D" w14:textId="77777777" w:rsidR="00954F72" w:rsidRDefault="00954F72" w:rsidP="001344F0">
      <w:pPr>
        <w:spacing w:after="200" w:line="276" w:lineRule="auto"/>
        <w:jc w:val="left"/>
        <w:rPr>
          <w:rFonts w:ascii="Times New Roman" w:hAnsi="Times New Roman" w:cs="Times New Roman"/>
          <w:sz w:val="20"/>
          <w:szCs w:val="20"/>
        </w:rPr>
        <w:sectPr w:rsidR="00954F72" w:rsidSect="00DC5523">
          <w:pgSz w:w="16838" w:h="11906" w:orient="landscape"/>
          <w:pgMar w:top="1440" w:right="1440" w:bottom="1440" w:left="1440" w:header="709" w:footer="709" w:gutter="0"/>
          <w:cols w:space="708"/>
          <w:docGrid w:linePitch="360"/>
        </w:sectPr>
      </w:pPr>
    </w:p>
    <w:p w14:paraId="18F0D9BB" w14:textId="39A10C1B" w:rsidR="00DC5523" w:rsidRPr="001344F0" w:rsidRDefault="009A6127" w:rsidP="00954F72">
      <w:pPr>
        <w:spacing w:after="200" w:line="276" w:lineRule="auto"/>
        <w:jc w:val="center"/>
        <w:rPr>
          <w:rFonts w:ascii="Times New Roman" w:hAnsi="Times New Roman" w:cs="Times New Roman"/>
          <w:b/>
          <w:sz w:val="28"/>
          <w:szCs w:val="20"/>
        </w:rPr>
      </w:pPr>
      <w:r w:rsidRPr="001344F0">
        <w:rPr>
          <w:rFonts w:ascii="Times New Roman" w:hAnsi="Times New Roman" w:cs="Times New Roman"/>
          <w:sz w:val="20"/>
          <w:szCs w:val="20"/>
        </w:rPr>
        <w:t>APPENDIX</w:t>
      </w:r>
      <w:r w:rsidR="00DC5523" w:rsidRPr="001344F0">
        <w:rPr>
          <w:rFonts w:ascii="Times New Roman" w:hAnsi="Times New Roman" w:cs="Times New Roman"/>
          <w:sz w:val="20"/>
          <w:szCs w:val="20"/>
        </w:rPr>
        <w:t xml:space="preserve"> 2</w:t>
      </w:r>
    </w:p>
    <w:p w14:paraId="18426961" w14:textId="6ADD87E3" w:rsidR="00DC5523" w:rsidRPr="001344F0" w:rsidRDefault="00DC5523" w:rsidP="00DC5523">
      <w:pPr>
        <w:jc w:val="center"/>
        <w:rPr>
          <w:rFonts w:ascii="Times New Roman" w:hAnsi="Times New Roman" w:cs="Times New Roman"/>
          <w:sz w:val="24"/>
          <w:szCs w:val="24"/>
        </w:rPr>
      </w:pPr>
      <w:r w:rsidRPr="001344F0">
        <w:rPr>
          <w:rFonts w:ascii="Times New Roman" w:hAnsi="Times New Roman" w:cs="Times New Roman"/>
          <w:sz w:val="24"/>
          <w:szCs w:val="24"/>
        </w:rPr>
        <w:t>VARIABLE DEFINITIONS AND SOURCES</w:t>
      </w:r>
    </w:p>
    <w:tbl>
      <w:tblPr>
        <w:tblW w:w="4953" w:type="pct"/>
        <w:jc w:val="center"/>
        <w:tblCellMar>
          <w:left w:w="75" w:type="dxa"/>
          <w:right w:w="75" w:type="dxa"/>
        </w:tblCellMar>
        <w:tblLook w:val="0000" w:firstRow="0" w:lastRow="0" w:firstColumn="0" w:lastColumn="0" w:noHBand="0" w:noVBand="0"/>
      </w:tblPr>
      <w:tblGrid>
        <w:gridCol w:w="2016"/>
        <w:gridCol w:w="5247"/>
        <w:gridCol w:w="1827"/>
      </w:tblGrid>
      <w:tr w:rsidR="00DC5523" w:rsidRPr="001344F0" w14:paraId="1484BE51" w14:textId="77777777" w:rsidTr="00B83591">
        <w:trPr>
          <w:trHeight w:val="410"/>
          <w:jc w:val="center"/>
        </w:trPr>
        <w:tc>
          <w:tcPr>
            <w:tcW w:w="1109" w:type="pct"/>
            <w:tcBorders>
              <w:top w:val="double" w:sz="4" w:space="0" w:color="auto"/>
              <w:left w:val="nil"/>
              <w:bottom w:val="single" w:sz="4" w:space="0" w:color="auto"/>
              <w:right w:val="nil"/>
            </w:tcBorders>
            <w:vAlign w:val="center"/>
          </w:tcPr>
          <w:p w14:paraId="46D16E4D" w14:textId="77777777" w:rsidR="00DC5523" w:rsidRPr="001344F0" w:rsidRDefault="00DC5523" w:rsidP="00B83591">
            <w:pPr>
              <w:widowControl w:val="0"/>
              <w:autoSpaceDE w:val="0"/>
              <w:autoSpaceDN w:val="0"/>
              <w:adjustRightInd w:val="0"/>
              <w:jc w:val="center"/>
              <w:rPr>
                <w:rFonts w:ascii="Times New Roman" w:hAnsi="Times New Roman" w:cs="Times New Roman"/>
                <w:sz w:val="16"/>
                <w:szCs w:val="16"/>
              </w:rPr>
            </w:pPr>
            <w:r w:rsidRPr="001344F0">
              <w:rPr>
                <w:rFonts w:ascii="Times New Roman" w:hAnsi="Times New Roman" w:cs="Times New Roman"/>
                <w:sz w:val="16"/>
                <w:szCs w:val="16"/>
              </w:rPr>
              <w:t>Variable</w:t>
            </w:r>
          </w:p>
        </w:tc>
        <w:tc>
          <w:tcPr>
            <w:tcW w:w="2886" w:type="pct"/>
            <w:tcBorders>
              <w:top w:val="double" w:sz="4" w:space="0" w:color="auto"/>
              <w:left w:val="nil"/>
              <w:bottom w:val="single" w:sz="4" w:space="0" w:color="auto"/>
              <w:right w:val="nil"/>
            </w:tcBorders>
            <w:vAlign w:val="center"/>
          </w:tcPr>
          <w:p w14:paraId="6B81656C" w14:textId="77777777" w:rsidR="00DC5523" w:rsidRPr="001344F0" w:rsidRDefault="00DC5523" w:rsidP="00B83591">
            <w:pPr>
              <w:widowControl w:val="0"/>
              <w:autoSpaceDE w:val="0"/>
              <w:autoSpaceDN w:val="0"/>
              <w:adjustRightInd w:val="0"/>
              <w:jc w:val="center"/>
              <w:rPr>
                <w:rFonts w:ascii="Times New Roman" w:hAnsi="Times New Roman" w:cs="Times New Roman"/>
                <w:sz w:val="16"/>
                <w:szCs w:val="16"/>
              </w:rPr>
            </w:pPr>
            <w:r w:rsidRPr="001344F0">
              <w:rPr>
                <w:rFonts w:ascii="Times New Roman" w:hAnsi="Times New Roman" w:cs="Times New Roman"/>
                <w:sz w:val="16"/>
                <w:szCs w:val="16"/>
              </w:rPr>
              <w:t>Description</w:t>
            </w:r>
          </w:p>
        </w:tc>
        <w:tc>
          <w:tcPr>
            <w:tcW w:w="1006" w:type="pct"/>
            <w:tcBorders>
              <w:top w:val="double" w:sz="4" w:space="0" w:color="auto"/>
              <w:left w:val="nil"/>
              <w:bottom w:val="single" w:sz="4" w:space="0" w:color="auto"/>
              <w:right w:val="nil"/>
            </w:tcBorders>
            <w:vAlign w:val="center"/>
          </w:tcPr>
          <w:p w14:paraId="5E1CDE30" w14:textId="77777777" w:rsidR="00DC5523" w:rsidRPr="001344F0" w:rsidRDefault="00DC5523" w:rsidP="00B83591">
            <w:pPr>
              <w:widowControl w:val="0"/>
              <w:autoSpaceDE w:val="0"/>
              <w:autoSpaceDN w:val="0"/>
              <w:adjustRightInd w:val="0"/>
              <w:jc w:val="center"/>
              <w:rPr>
                <w:rFonts w:ascii="Times New Roman" w:hAnsi="Times New Roman" w:cs="Times New Roman"/>
                <w:sz w:val="16"/>
                <w:szCs w:val="16"/>
              </w:rPr>
            </w:pPr>
            <w:r w:rsidRPr="001344F0">
              <w:rPr>
                <w:rFonts w:ascii="Times New Roman" w:hAnsi="Times New Roman" w:cs="Times New Roman"/>
                <w:sz w:val="16"/>
                <w:szCs w:val="16"/>
              </w:rPr>
              <w:t>Data sources</w:t>
            </w:r>
          </w:p>
        </w:tc>
      </w:tr>
      <w:tr w:rsidR="00DC5523" w:rsidRPr="001344F0" w14:paraId="16A7AD45" w14:textId="77777777" w:rsidTr="00B83591">
        <w:trPr>
          <w:jc w:val="center"/>
        </w:trPr>
        <w:tc>
          <w:tcPr>
            <w:tcW w:w="3994" w:type="pct"/>
            <w:gridSpan w:val="2"/>
            <w:tcBorders>
              <w:top w:val="nil"/>
              <w:left w:val="nil"/>
              <w:bottom w:val="nil"/>
              <w:right w:val="nil"/>
            </w:tcBorders>
          </w:tcPr>
          <w:p w14:paraId="4385EBF6" w14:textId="77777777" w:rsidR="00DC5523" w:rsidRPr="001344F0"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1344F0">
              <w:rPr>
                <w:rFonts w:ascii="Times New Roman" w:hAnsi="Times New Roman" w:cs="Times New Roman"/>
                <w:sz w:val="16"/>
                <w:szCs w:val="16"/>
                <w:u w:val="single"/>
              </w:rPr>
              <w:t>Ownership variables</w:t>
            </w:r>
          </w:p>
        </w:tc>
        <w:tc>
          <w:tcPr>
            <w:tcW w:w="1006" w:type="pct"/>
            <w:tcBorders>
              <w:top w:val="nil"/>
              <w:left w:val="nil"/>
              <w:bottom w:val="nil"/>
              <w:right w:val="nil"/>
            </w:tcBorders>
          </w:tcPr>
          <w:p w14:paraId="03BA2199" w14:textId="77777777" w:rsidR="00DC5523" w:rsidRPr="001344F0" w:rsidRDefault="00DC5523" w:rsidP="00B83591">
            <w:pPr>
              <w:widowControl w:val="0"/>
              <w:autoSpaceDE w:val="0"/>
              <w:autoSpaceDN w:val="0"/>
              <w:adjustRightInd w:val="0"/>
              <w:spacing w:line="276" w:lineRule="auto"/>
              <w:jc w:val="left"/>
              <w:rPr>
                <w:rFonts w:ascii="Times New Roman" w:hAnsi="Times New Roman" w:cs="Times New Roman"/>
                <w:sz w:val="16"/>
                <w:szCs w:val="16"/>
              </w:rPr>
            </w:pPr>
          </w:p>
        </w:tc>
      </w:tr>
      <w:tr w:rsidR="00DC5523" w:rsidRPr="001344F0" w14:paraId="02AF29DB" w14:textId="77777777" w:rsidTr="00B83591">
        <w:trPr>
          <w:jc w:val="center"/>
        </w:trPr>
        <w:tc>
          <w:tcPr>
            <w:tcW w:w="1109" w:type="pct"/>
            <w:tcBorders>
              <w:top w:val="nil"/>
              <w:left w:val="nil"/>
              <w:bottom w:val="nil"/>
              <w:right w:val="nil"/>
            </w:tcBorders>
          </w:tcPr>
          <w:p w14:paraId="39AEFCDE" w14:textId="77777777" w:rsidR="00DC5523" w:rsidRPr="001344F0" w:rsidRDefault="00DC5523" w:rsidP="00B83591">
            <w:pPr>
              <w:widowControl w:val="0"/>
              <w:autoSpaceDE w:val="0"/>
              <w:autoSpaceDN w:val="0"/>
              <w:adjustRightInd w:val="0"/>
              <w:spacing w:line="276" w:lineRule="auto"/>
              <w:rPr>
                <w:rFonts w:ascii="Times New Roman" w:hAnsi="Times New Roman" w:cs="Times New Roman"/>
                <w:sz w:val="16"/>
                <w:szCs w:val="16"/>
              </w:rPr>
            </w:pPr>
            <w:r w:rsidRPr="001344F0">
              <w:rPr>
                <w:rFonts w:ascii="Times New Roman" w:hAnsi="Times New Roman" w:cs="Times New Roman"/>
                <w:sz w:val="16"/>
                <w:szCs w:val="16"/>
              </w:rPr>
              <w:t>VoteLargest5</w:t>
            </w:r>
          </w:p>
        </w:tc>
        <w:tc>
          <w:tcPr>
            <w:tcW w:w="2886" w:type="pct"/>
            <w:tcBorders>
              <w:top w:val="nil"/>
              <w:left w:val="nil"/>
              <w:bottom w:val="nil"/>
              <w:right w:val="nil"/>
            </w:tcBorders>
          </w:tcPr>
          <w:p w14:paraId="0927B176" w14:textId="77777777" w:rsidR="00DC5523" w:rsidRPr="001344F0"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1344F0">
              <w:rPr>
                <w:rFonts w:ascii="Times New Roman" w:hAnsi="Times New Roman" w:cs="Times New Roman"/>
                <w:sz w:val="16"/>
                <w:szCs w:val="16"/>
              </w:rPr>
              <w:t>Percentage of votes controlled by five largest shareholders</w:t>
            </w:r>
          </w:p>
        </w:tc>
        <w:tc>
          <w:tcPr>
            <w:tcW w:w="1006" w:type="pct"/>
            <w:tcBorders>
              <w:top w:val="nil"/>
              <w:left w:val="nil"/>
              <w:bottom w:val="nil"/>
              <w:right w:val="nil"/>
            </w:tcBorders>
          </w:tcPr>
          <w:p w14:paraId="52CFA30E" w14:textId="77777777" w:rsidR="00DC5523" w:rsidRPr="001344F0"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1344F0">
              <w:rPr>
                <w:rFonts w:ascii="Times New Roman" w:hAnsi="Times New Roman" w:cs="Times New Roman"/>
                <w:sz w:val="16"/>
                <w:szCs w:val="16"/>
              </w:rPr>
              <w:t xml:space="preserve">OR, </w:t>
            </w:r>
            <w:proofErr w:type="spellStart"/>
            <w:r w:rsidRPr="001344F0">
              <w:rPr>
                <w:rFonts w:ascii="Times New Roman" w:hAnsi="Times New Roman" w:cs="Times New Roman"/>
                <w:sz w:val="16"/>
                <w:szCs w:val="16"/>
              </w:rPr>
              <w:t>AoA</w:t>
            </w:r>
            <w:proofErr w:type="spellEnd"/>
            <w:r w:rsidRPr="001344F0">
              <w:rPr>
                <w:rFonts w:ascii="Times New Roman" w:hAnsi="Times New Roman" w:cs="Times New Roman"/>
                <w:sz w:val="16"/>
                <w:szCs w:val="16"/>
              </w:rPr>
              <w:t>, SEOI, BOI</w:t>
            </w:r>
          </w:p>
        </w:tc>
      </w:tr>
      <w:tr w:rsidR="00DC5523" w:rsidRPr="001344F0" w14:paraId="3425851D" w14:textId="77777777" w:rsidTr="00B83591">
        <w:trPr>
          <w:jc w:val="center"/>
        </w:trPr>
        <w:tc>
          <w:tcPr>
            <w:tcW w:w="1109" w:type="pct"/>
            <w:tcBorders>
              <w:top w:val="nil"/>
              <w:left w:val="nil"/>
              <w:bottom w:val="nil"/>
              <w:right w:val="nil"/>
            </w:tcBorders>
          </w:tcPr>
          <w:p w14:paraId="14E55AE7" w14:textId="77777777" w:rsidR="00DC5523" w:rsidRPr="001344F0" w:rsidRDefault="00DC5523" w:rsidP="00B83591">
            <w:pPr>
              <w:widowControl w:val="0"/>
              <w:autoSpaceDE w:val="0"/>
              <w:autoSpaceDN w:val="0"/>
              <w:adjustRightInd w:val="0"/>
              <w:spacing w:line="276" w:lineRule="auto"/>
              <w:rPr>
                <w:rFonts w:ascii="Times New Roman" w:hAnsi="Times New Roman" w:cs="Times New Roman"/>
                <w:sz w:val="16"/>
                <w:szCs w:val="16"/>
              </w:rPr>
            </w:pPr>
            <w:proofErr w:type="spellStart"/>
            <w:r w:rsidRPr="001344F0">
              <w:rPr>
                <w:rFonts w:ascii="Times New Roman" w:hAnsi="Times New Roman" w:cs="Times New Roman"/>
                <w:sz w:val="16"/>
                <w:szCs w:val="16"/>
              </w:rPr>
              <w:t>VoteHHI</w:t>
            </w:r>
            <w:proofErr w:type="spellEnd"/>
          </w:p>
        </w:tc>
        <w:tc>
          <w:tcPr>
            <w:tcW w:w="2886" w:type="pct"/>
            <w:tcBorders>
              <w:top w:val="nil"/>
              <w:left w:val="nil"/>
              <w:bottom w:val="nil"/>
              <w:right w:val="nil"/>
            </w:tcBorders>
          </w:tcPr>
          <w:p w14:paraId="3DDD0711" w14:textId="77777777" w:rsidR="00DC5523" w:rsidRPr="001344F0" w:rsidRDefault="00DC5523" w:rsidP="00B83591">
            <w:pPr>
              <w:widowControl w:val="0"/>
              <w:autoSpaceDE w:val="0"/>
              <w:autoSpaceDN w:val="0"/>
              <w:adjustRightInd w:val="0"/>
              <w:spacing w:line="276" w:lineRule="auto"/>
              <w:jc w:val="left"/>
              <w:rPr>
                <w:rFonts w:ascii="Times New Roman" w:hAnsi="Times New Roman" w:cs="Times New Roman"/>
                <w:sz w:val="16"/>
                <w:szCs w:val="16"/>
              </w:rPr>
            </w:pPr>
            <w:proofErr w:type="spellStart"/>
            <w:r w:rsidRPr="001344F0">
              <w:rPr>
                <w:rFonts w:ascii="Times New Roman" w:hAnsi="Times New Roman" w:cs="Times New Roman"/>
                <w:sz w:val="16"/>
                <w:szCs w:val="16"/>
              </w:rPr>
              <w:t>Herfindhal</w:t>
            </w:r>
            <w:proofErr w:type="spellEnd"/>
            <w:r w:rsidRPr="001344F0">
              <w:rPr>
                <w:rFonts w:ascii="Times New Roman" w:hAnsi="Times New Roman" w:cs="Times New Roman"/>
                <w:sz w:val="16"/>
                <w:szCs w:val="16"/>
              </w:rPr>
              <w:t xml:space="preserve"> Index of voting rights (%)</w:t>
            </w:r>
          </w:p>
        </w:tc>
        <w:tc>
          <w:tcPr>
            <w:tcW w:w="1006" w:type="pct"/>
            <w:tcBorders>
              <w:top w:val="nil"/>
              <w:left w:val="nil"/>
              <w:bottom w:val="nil"/>
              <w:right w:val="nil"/>
            </w:tcBorders>
          </w:tcPr>
          <w:p w14:paraId="6364FC07" w14:textId="77777777" w:rsidR="00DC5523" w:rsidRPr="001344F0"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1344F0">
              <w:rPr>
                <w:rFonts w:ascii="Times New Roman" w:hAnsi="Times New Roman" w:cs="Times New Roman"/>
                <w:sz w:val="16"/>
                <w:szCs w:val="16"/>
              </w:rPr>
              <w:t xml:space="preserve">OR, </w:t>
            </w:r>
            <w:proofErr w:type="spellStart"/>
            <w:r w:rsidRPr="001344F0">
              <w:rPr>
                <w:rFonts w:ascii="Times New Roman" w:hAnsi="Times New Roman" w:cs="Times New Roman"/>
                <w:sz w:val="16"/>
                <w:szCs w:val="16"/>
              </w:rPr>
              <w:t>AoA</w:t>
            </w:r>
            <w:proofErr w:type="spellEnd"/>
            <w:r w:rsidRPr="001344F0">
              <w:rPr>
                <w:rFonts w:ascii="Times New Roman" w:hAnsi="Times New Roman" w:cs="Times New Roman"/>
                <w:sz w:val="16"/>
                <w:szCs w:val="16"/>
              </w:rPr>
              <w:t>, SEOI, BOI</w:t>
            </w:r>
          </w:p>
        </w:tc>
      </w:tr>
      <w:tr w:rsidR="00DC5523" w:rsidRPr="001344F0" w14:paraId="6A3E70F4" w14:textId="77777777" w:rsidTr="00B83591">
        <w:trPr>
          <w:jc w:val="center"/>
        </w:trPr>
        <w:tc>
          <w:tcPr>
            <w:tcW w:w="1109" w:type="pct"/>
            <w:tcBorders>
              <w:top w:val="nil"/>
              <w:left w:val="nil"/>
              <w:bottom w:val="nil"/>
              <w:right w:val="nil"/>
            </w:tcBorders>
          </w:tcPr>
          <w:p w14:paraId="1E708AF2" w14:textId="77777777" w:rsidR="00DC5523" w:rsidRPr="001344F0" w:rsidRDefault="00DC5523" w:rsidP="00B83591">
            <w:pPr>
              <w:widowControl w:val="0"/>
              <w:autoSpaceDE w:val="0"/>
              <w:autoSpaceDN w:val="0"/>
              <w:adjustRightInd w:val="0"/>
              <w:spacing w:line="276" w:lineRule="auto"/>
              <w:rPr>
                <w:rFonts w:ascii="Times New Roman" w:hAnsi="Times New Roman" w:cs="Times New Roman"/>
                <w:sz w:val="16"/>
                <w:szCs w:val="16"/>
              </w:rPr>
            </w:pPr>
            <w:proofErr w:type="spellStart"/>
            <w:r w:rsidRPr="001344F0">
              <w:rPr>
                <w:rFonts w:ascii="Times New Roman" w:hAnsi="Times New Roman" w:cs="Times New Roman"/>
                <w:sz w:val="16"/>
                <w:szCs w:val="16"/>
              </w:rPr>
              <w:t>VoteDir</w:t>
            </w:r>
            <w:proofErr w:type="spellEnd"/>
          </w:p>
        </w:tc>
        <w:tc>
          <w:tcPr>
            <w:tcW w:w="2886" w:type="pct"/>
            <w:tcBorders>
              <w:top w:val="nil"/>
              <w:left w:val="nil"/>
              <w:bottom w:val="nil"/>
              <w:right w:val="nil"/>
            </w:tcBorders>
          </w:tcPr>
          <w:p w14:paraId="5E8F1E7C" w14:textId="77777777" w:rsidR="00DC5523" w:rsidRPr="001344F0"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1344F0">
              <w:rPr>
                <w:rFonts w:ascii="Times New Roman" w:hAnsi="Times New Roman" w:cs="Times New Roman"/>
                <w:sz w:val="16"/>
                <w:szCs w:val="16"/>
              </w:rPr>
              <w:t>Percentage of votes controlled by individuals who were directors</w:t>
            </w:r>
          </w:p>
        </w:tc>
        <w:tc>
          <w:tcPr>
            <w:tcW w:w="1006" w:type="pct"/>
            <w:tcBorders>
              <w:top w:val="nil"/>
              <w:left w:val="nil"/>
              <w:bottom w:val="nil"/>
              <w:right w:val="nil"/>
            </w:tcBorders>
          </w:tcPr>
          <w:p w14:paraId="33915A35" w14:textId="77777777" w:rsidR="00DC5523" w:rsidRPr="001344F0"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1344F0">
              <w:rPr>
                <w:rFonts w:ascii="Times New Roman" w:hAnsi="Times New Roman" w:cs="Times New Roman"/>
                <w:sz w:val="16"/>
                <w:szCs w:val="16"/>
              </w:rPr>
              <w:t xml:space="preserve">OR, </w:t>
            </w:r>
            <w:proofErr w:type="spellStart"/>
            <w:r w:rsidRPr="001344F0">
              <w:rPr>
                <w:rFonts w:ascii="Times New Roman" w:hAnsi="Times New Roman" w:cs="Times New Roman"/>
                <w:sz w:val="16"/>
                <w:szCs w:val="16"/>
              </w:rPr>
              <w:t>AoA</w:t>
            </w:r>
            <w:proofErr w:type="spellEnd"/>
            <w:r w:rsidRPr="001344F0">
              <w:rPr>
                <w:rFonts w:ascii="Times New Roman" w:hAnsi="Times New Roman" w:cs="Times New Roman"/>
                <w:sz w:val="16"/>
                <w:szCs w:val="16"/>
              </w:rPr>
              <w:t>, SEOI, BOI</w:t>
            </w:r>
          </w:p>
        </w:tc>
      </w:tr>
      <w:tr w:rsidR="00DC5523" w:rsidRPr="001344F0" w14:paraId="3EE7AD63" w14:textId="77777777" w:rsidTr="00B83591">
        <w:trPr>
          <w:jc w:val="center"/>
        </w:trPr>
        <w:tc>
          <w:tcPr>
            <w:tcW w:w="1109" w:type="pct"/>
            <w:tcBorders>
              <w:top w:val="nil"/>
              <w:left w:val="nil"/>
              <w:bottom w:val="nil"/>
              <w:right w:val="nil"/>
            </w:tcBorders>
          </w:tcPr>
          <w:p w14:paraId="78802857" w14:textId="77777777" w:rsidR="00DC5523" w:rsidRPr="001344F0" w:rsidRDefault="00DC5523" w:rsidP="00B83591">
            <w:pPr>
              <w:widowControl w:val="0"/>
              <w:autoSpaceDE w:val="0"/>
              <w:autoSpaceDN w:val="0"/>
              <w:adjustRightInd w:val="0"/>
              <w:spacing w:line="276" w:lineRule="auto"/>
              <w:rPr>
                <w:rFonts w:ascii="Times New Roman" w:hAnsi="Times New Roman" w:cs="Times New Roman"/>
                <w:sz w:val="16"/>
                <w:szCs w:val="16"/>
              </w:rPr>
            </w:pPr>
            <w:proofErr w:type="spellStart"/>
            <w:r w:rsidRPr="001344F0">
              <w:rPr>
                <w:rFonts w:ascii="Times New Roman" w:hAnsi="Times New Roman" w:cs="Times New Roman"/>
                <w:sz w:val="16"/>
                <w:szCs w:val="16"/>
              </w:rPr>
              <w:t>VoteInsiders</w:t>
            </w:r>
            <w:proofErr w:type="spellEnd"/>
          </w:p>
        </w:tc>
        <w:tc>
          <w:tcPr>
            <w:tcW w:w="2886" w:type="pct"/>
            <w:tcBorders>
              <w:top w:val="nil"/>
              <w:left w:val="nil"/>
              <w:bottom w:val="nil"/>
              <w:right w:val="nil"/>
            </w:tcBorders>
          </w:tcPr>
          <w:p w14:paraId="67987A6E" w14:textId="77777777" w:rsidR="00DC5523" w:rsidRPr="001344F0"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1344F0">
              <w:rPr>
                <w:rFonts w:ascii="Times New Roman" w:hAnsi="Times New Roman" w:cs="Times New Roman"/>
                <w:sz w:val="16"/>
                <w:szCs w:val="16"/>
              </w:rPr>
              <w:t xml:space="preserve">Percentage of votes controlled by directors and large </w:t>
            </w:r>
            <w:proofErr w:type="spellStart"/>
            <w:r w:rsidRPr="001344F0">
              <w:rPr>
                <w:rFonts w:ascii="Times New Roman" w:hAnsi="Times New Roman" w:cs="Times New Roman"/>
                <w:sz w:val="16"/>
                <w:szCs w:val="16"/>
              </w:rPr>
              <w:t>blockholders</w:t>
            </w:r>
            <w:proofErr w:type="spellEnd"/>
          </w:p>
        </w:tc>
        <w:tc>
          <w:tcPr>
            <w:tcW w:w="1006" w:type="pct"/>
            <w:tcBorders>
              <w:top w:val="nil"/>
              <w:left w:val="nil"/>
              <w:bottom w:val="nil"/>
              <w:right w:val="nil"/>
            </w:tcBorders>
          </w:tcPr>
          <w:p w14:paraId="5F9DAC4B" w14:textId="77777777" w:rsidR="00DC5523" w:rsidRPr="001344F0"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1344F0">
              <w:rPr>
                <w:rFonts w:ascii="Times New Roman" w:hAnsi="Times New Roman" w:cs="Times New Roman"/>
                <w:sz w:val="16"/>
                <w:szCs w:val="16"/>
              </w:rPr>
              <w:t xml:space="preserve">OR, </w:t>
            </w:r>
            <w:proofErr w:type="spellStart"/>
            <w:r w:rsidRPr="001344F0">
              <w:rPr>
                <w:rFonts w:ascii="Times New Roman" w:hAnsi="Times New Roman" w:cs="Times New Roman"/>
                <w:sz w:val="16"/>
                <w:szCs w:val="16"/>
              </w:rPr>
              <w:t>AoA</w:t>
            </w:r>
            <w:proofErr w:type="spellEnd"/>
            <w:r w:rsidRPr="001344F0">
              <w:rPr>
                <w:rFonts w:ascii="Times New Roman" w:hAnsi="Times New Roman" w:cs="Times New Roman"/>
                <w:sz w:val="16"/>
                <w:szCs w:val="16"/>
              </w:rPr>
              <w:t>, SEOI, BOI</w:t>
            </w:r>
          </w:p>
        </w:tc>
      </w:tr>
      <w:tr w:rsidR="00DC5523" w:rsidRPr="001344F0" w14:paraId="3BD8882D" w14:textId="77777777" w:rsidTr="00B83591">
        <w:trPr>
          <w:jc w:val="center"/>
        </w:trPr>
        <w:tc>
          <w:tcPr>
            <w:tcW w:w="1109" w:type="pct"/>
            <w:tcBorders>
              <w:top w:val="nil"/>
              <w:left w:val="nil"/>
              <w:bottom w:val="nil"/>
              <w:right w:val="nil"/>
            </w:tcBorders>
          </w:tcPr>
          <w:p w14:paraId="58F37745" w14:textId="77777777" w:rsidR="00DC5523" w:rsidRPr="001344F0" w:rsidRDefault="00DC5523" w:rsidP="00B83591">
            <w:pPr>
              <w:widowControl w:val="0"/>
              <w:autoSpaceDE w:val="0"/>
              <w:autoSpaceDN w:val="0"/>
              <w:adjustRightInd w:val="0"/>
              <w:spacing w:line="276" w:lineRule="auto"/>
              <w:rPr>
                <w:rFonts w:ascii="Times New Roman" w:hAnsi="Times New Roman" w:cs="Times New Roman"/>
                <w:sz w:val="16"/>
                <w:szCs w:val="16"/>
              </w:rPr>
            </w:pPr>
            <w:proofErr w:type="spellStart"/>
            <w:r w:rsidRPr="001344F0">
              <w:rPr>
                <w:rFonts w:ascii="Times New Roman" w:hAnsi="Times New Roman" w:cs="Times New Roman"/>
                <w:sz w:val="16"/>
                <w:szCs w:val="16"/>
              </w:rPr>
              <w:t>ActiveBlock</w:t>
            </w:r>
            <w:proofErr w:type="spellEnd"/>
          </w:p>
        </w:tc>
        <w:tc>
          <w:tcPr>
            <w:tcW w:w="2886" w:type="pct"/>
            <w:tcBorders>
              <w:top w:val="nil"/>
              <w:left w:val="nil"/>
              <w:bottom w:val="nil"/>
              <w:right w:val="nil"/>
            </w:tcBorders>
          </w:tcPr>
          <w:p w14:paraId="0F3376C6" w14:textId="77777777" w:rsidR="00DC5523" w:rsidRPr="001344F0"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1344F0">
              <w:rPr>
                <w:rFonts w:ascii="Times New Roman" w:hAnsi="Times New Roman" w:cs="Times New Roman"/>
                <w:sz w:val="16"/>
                <w:szCs w:val="16"/>
              </w:rPr>
              <w:t xml:space="preserve">Percentage of votes controlled by individuals who were directors and large </w:t>
            </w:r>
            <w:proofErr w:type="spellStart"/>
            <w:r w:rsidRPr="001344F0">
              <w:rPr>
                <w:rFonts w:ascii="Times New Roman" w:hAnsi="Times New Roman" w:cs="Times New Roman"/>
                <w:sz w:val="16"/>
                <w:szCs w:val="16"/>
              </w:rPr>
              <w:t>blockholders</w:t>
            </w:r>
            <w:proofErr w:type="spellEnd"/>
          </w:p>
        </w:tc>
        <w:tc>
          <w:tcPr>
            <w:tcW w:w="1006" w:type="pct"/>
            <w:tcBorders>
              <w:top w:val="nil"/>
              <w:left w:val="nil"/>
              <w:bottom w:val="nil"/>
              <w:right w:val="nil"/>
            </w:tcBorders>
          </w:tcPr>
          <w:p w14:paraId="44604233" w14:textId="77777777" w:rsidR="00DC5523" w:rsidRPr="001344F0"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1344F0">
              <w:rPr>
                <w:rFonts w:ascii="Times New Roman" w:hAnsi="Times New Roman" w:cs="Times New Roman"/>
                <w:sz w:val="16"/>
                <w:szCs w:val="16"/>
              </w:rPr>
              <w:t xml:space="preserve">OR, </w:t>
            </w:r>
            <w:proofErr w:type="spellStart"/>
            <w:r w:rsidRPr="001344F0">
              <w:rPr>
                <w:rFonts w:ascii="Times New Roman" w:hAnsi="Times New Roman" w:cs="Times New Roman"/>
                <w:sz w:val="16"/>
                <w:szCs w:val="16"/>
              </w:rPr>
              <w:t>AoA</w:t>
            </w:r>
            <w:proofErr w:type="spellEnd"/>
            <w:r w:rsidRPr="001344F0">
              <w:rPr>
                <w:rFonts w:ascii="Times New Roman" w:hAnsi="Times New Roman" w:cs="Times New Roman"/>
                <w:sz w:val="16"/>
                <w:szCs w:val="16"/>
              </w:rPr>
              <w:t>, SEOI, BOI</w:t>
            </w:r>
          </w:p>
        </w:tc>
      </w:tr>
      <w:tr w:rsidR="00DC5523" w:rsidRPr="001344F0" w14:paraId="15CDE84D" w14:textId="77777777" w:rsidTr="00B83591">
        <w:trPr>
          <w:jc w:val="center"/>
        </w:trPr>
        <w:tc>
          <w:tcPr>
            <w:tcW w:w="1109" w:type="pct"/>
            <w:tcBorders>
              <w:top w:val="nil"/>
              <w:left w:val="nil"/>
              <w:bottom w:val="nil"/>
              <w:right w:val="nil"/>
            </w:tcBorders>
          </w:tcPr>
          <w:p w14:paraId="7CED0487" w14:textId="77777777" w:rsidR="00DC5523" w:rsidRPr="001344F0" w:rsidRDefault="00DC5523" w:rsidP="00B83591">
            <w:pPr>
              <w:widowControl w:val="0"/>
              <w:autoSpaceDE w:val="0"/>
              <w:autoSpaceDN w:val="0"/>
              <w:adjustRightInd w:val="0"/>
              <w:spacing w:line="276" w:lineRule="auto"/>
              <w:rPr>
                <w:rFonts w:ascii="Times New Roman" w:hAnsi="Times New Roman" w:cs="Times New Roman"/>
                <w:sz w:val="16"/>
                <w:szCs w:val="16"/>
              </w:rPr>
            </w:pPr>
            <w:proofErr w:type="spellStart"/>
            <w:r w:rsidRPr="001344F0">
              <w:rPr>
                <w:rFonts w:ascii="Times New Roman" w:hAnsi="Times New Roman" w:cs="Times New Roman"/>
                <w:sz w:val="16"/>
                <w:szCs w:val="16"/>
              </w:rPr>
              <w:t>ActiveBlockSq</w:t>
            </w:r>
            <w:proofErr w:type="spellEnd"/>
          </w:p>
        </w:tc>
        <w:tc>
          <w:tcPr>
            <w:tcW w:w="2886" w:type="pct"/>
            <w:tcBorders>
              <w:top w:val="nil"/>
              <w:left w:val="nil"/>
              <w:bottom w:val="nil"/>
              <w:right w:val="nil"/>
            </w:tcBorders>
          </w:tcPr>
          <w:p w14:paraId="2BD3BB9C" w14:textId="77777777" w:rsidR="00DC5523" w:rsidRPr="001344F0" w:rsidRDefault="00DC5523" w:rsidP="00B83591">
            <w:pPr>
              <w:widowControl w:val="0"/>
              <w:autoSpaceDE w:val="0"/>
              <w:autoSpaceDN w:val="0"/>
              <w:adjustRightInd w:val="0"/>
              <w:spacing w:line="276" w:lineRule="auto"/>
              <w:jc w:val="left"/>
              <w:rPr>
                <w:rFonts w:ascii="Times New Roman" w:hAnsi="Times New Roman" w:cs="Times New Roman"/>
                <w:sz w:val="16"/>
                <w:szCs w:val="16"/>
              </w:rPr>
            </w:pPr>
            <w:proofErr w:type="spellStart"/>
            <w:r w:rsidRPr="001344F0">
              <w:rPr>
                <w:rFonts w:ascii="Times New Roman" w:hAnsi="Times New Roman" w:cs="Times New Roman"/>
                <w:sz w:val="16"/>
                <w:szCs w:val="16"/>
              </w:rPr>
              <w:t>ActiveBlock</w:t>
            </w:r>
            <w:proofErr w:type="spellEnd"/>
            <w:r w:rsidRPr="001344F0">
              <w:rPr>
                <w:rFonts w:ascii="Times New Roman" w:hAnsi="Times New Roman" w:cs="Times New Roman"/>
                <w:sz w:val="16"/>
                <w:szCs w:val="16"/>
              </w:rPr>
              <w:t xml:space="preserve"> squared</w:t>
            </w:r>
          </w:p>
        </w:tc>
        <w:tc>
          <w:tcPr>
            <w:tcW w:w="1006" w:type="pct"/>
            <w:tcBorders>
              <w:top w:val="nil"/>
              <w:left w:val="nil"/>
              <w:bottom w:val="nil"/>
              <w:right w:val="nil"/>
            </w:tcBorders>
          </w:tcPr>
          <w:p w14:paraId="74D12038" w14:textId="77777777" w:rsidR="00DC5523" w:rsidRPr="001344F0" w:rsidRDefault="00DC5523" w:rsidP="00B83591">
            <w:pPr>
              <w:widowControl w:val="0"/>
              <w:autoSpaceDE w:val="0"/>
              <w:autoSpaceDN w:val="0"/>
              <w:adjustRightInd w:val="0"/>
              <w:spacing w:line="276" w:lineRule="auto"/>
              <w:jc w:val="left"/>
              <w:rPr>
                <w:rFonts w:ascii="Times New Roman" w:hAnsi="Times New Roman" w:cs="Times New Roman"/>
                <w:sz w:val="16"/>
                <w:szCs w:val="16"/>
              </w:rPr>
            </w:pPr>
          </w:p>
        </w:tc>
      </w:tr>
      <w:tr w:rsidR="00DC5523" w:rsidRPr="001344F0" w14:paraId="05FD2EE3" w14:textId="77777777" w:rsidTr="00B83591">
        <w:trPr>
          <w:jc w:val="center"/>
        </w:trPr>
        <w:tc>
          <w:tcPr>
            <w:tcW w:w="1109" w:type="pct"/>
            <w:tcBorders>
              <w:top w:val="nil"/>
              <w:left w:val="nil"/>
              <w:bottom w:val="nil"/>
              <w:right w:val="nil"/>
            </w:tcBorders>
          </w:tcPr>
          <w:p w14:paraId="1755914A" w14:textId="77777777" w:rsidR="00DC5523" w:rsidRPr="001344F0" w:rsidRDefault="00DC5523" w:rsidP="00B83591">
            <w:pPr>
              <w:widowControl w:val="0"/>
              <w:autoSpaceDE w:val="0"/>
              <w:autoSpaceDN w:val="0"/>
              <w:adjustRightInd w:val="0"/>
              <w:spacing w:line="276" w:lineRule="auto"/>
              <w:rPr>
                <w:rFonts w:ascii="Times New Roman" w:hAnsi="Times New Roman" w:cs="Times New Roman"/>
                <w:sz w:val="16"/>
                <w:szCs w:val="16"/>
              </w:rPr>
            </w:pPr>
            <w:proofErr w:type="spellStart"/>
            <w:r w:rsidRPr="001344F0">
              <w:rPr>
                <w:rFonts w:ascii="Times New Roman" w:hAnsi="Times New Roman" w:cs="Times New Roman"/>
                <w:sz w:val="16"/>
                <w:szCs w:val="16"/>
              </w:rPr>
              <w:t>ActiveCEOBlock</w:t>
            </w:r>
            <w:proofErr w:type="spellEnd"/>
          </w:p>
        </w:tc>
        <w:tc>
          <w:tcPr>
            <w:tcW w:w="2886" w:type="pct"/>
            <w:tcBorders>
              <w:top w:val="nil"/>
              <w:left w:val="nil"/>
              <w:bottom w:val="nil"/>
              <w:right w:val="nil"/>
            </w:tcBorders>
          </w:tcPr>
          <w:p w14:paraId="48B38A04" w14:textId="77777777" w:rsidR="00DC5523" w:rsidRPr="001344F0"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1344F0">
              <w:rPr>
                <w:rFonts w:ascii="Times New Roman" w:hAnsi="Times New Roman" w:cs="Times New Roman"/>
                <w:sz w:val="16"/>
                <w:szCs w:val="16"/>
              </w:rPr>
              <w:t xml:space="preserve">Percentage of votes controlled by individuals who were CEOs and large </w:t>
            </w:r>
            <w:proofErr w:type="spellStart"/>
            <w:r w:rsidRPr="001344F0">
              <w:rPr>
                <w:rFonts w:ascii="Times New Roman" w:hAnsi="Times New Roman" w:cs="Times New Roman"/>
                <w:sz w:val="16"/>
                <w:szCs w:val="16"/>
              </w:rPr>
              <w:t>blockholders</w:t>
            </w:r>
            <w:proofErr w:type="spellEnd"/>
          </w:p>
        </w:tc>
        <w:tc>
          <w:tcPr>
            <w:tcW w:w="1006" w:type="pct"/>
            <w:tcBorders>
              <w:top w:val="nil"/>
              <w:left w:val="nil"/>
              <w:bottom w:val="nil"/>
              <w:right w:val="nil"/>
            </w:tcBorders>
          </w:tcPr>
          <w:p w14:paraId="2AC295E5" w14:textId="77777777" w:rsidR="00DC5523" w:rsidRPr="001344F0"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1344F0">
              <w:rPr>
                <w:rFonts w:ascii="Times New Roman" w:hAnsi="Times New Roman" w:cs="Times New Roman"/>
                <w:sz w:val="16"/>
                <w:szCs w:val="16"/>
              </w:rPr>
              <w:t xml:space="preserve">OR, </w:t>
            </w:r>
            <w:proofErr w:type="spellStart"/>
            <w:r w:rsidRPr="001344F0">
              <w:rPr>
                <w:rFonts w:ascii="Times New Roman" w:hAnsi="Times New Roman" w:cs="Times New Roman"/>
                <w:sz w:val="16"/>
                <w:szCs w:val="16"/>
              </w:rPr>
              <w:t>AoA</w:t>
            </w:r>
            <w:proofErr w:type="spellEnd"/>
            <w:r w:rsidRPr="001344F0">
              <w:rPr>
                <w:rFonts w:ascii="Times New Roman" w:hAnsi="Times New Roman" w:cs="Times New Roman"/>
                <w:sz w:val="16"/>
                <w:szCs w:val="16"/>
              </w:rPr>
              <w:t>, SEOI, BOI</w:t>
            </w:r>
          </w:p>
        </w:tc>
      </w:tr>
      <w:tr w:rsidR="00DC5523" w:rsidRPr="001344F0" w14:paraId="204F56B1" w14:textId="77777777" w:rsidTr="00B83591">
        <w:trPr>
          <w:jc w:val="center"/>
        </w:trPr>
        <w:tc>
          <w:tcPr>
            <w:tcW w:w="1109" w:type="pct"/>
            <w:tcBorders>
              <w:top w:val="nil"/>
              <w:left w:val="nil"/>
              <w:bottom w:val="nil"/>
              <w:right w:val="nil"/>
            </w:tcBorders>
          </w:tcPr>
          <w:p w14:paraId="5CFC72E2" w14:textId="77777777" w:rsidR="00DC5523" w:rsidRPr="001344F0" w:rsidRDefault="00DC5523" w:rsidP="00B83591">
            <w:pPr>
              <w:widowControl w:val="0"/>
              <w:autoSpaceDE w:val="0"/>
              <w:autoSpaceDN w:val="0"/>
              <w:adjustRightInd w:val="0"/>
              <w:spacing w:line="276" w:lineRule="auto"/>
              <w:rPr>
                <w:rFonts w:ascii="Times New Roman" w:hAnsi="Times New Roman" w:cs="Times New Roman"/>
                <w:sz w:val="16"/>
                <w:szCs w:val="16"/>
              </w:rPr>
            </w:pPr>
            <w:proofErr w:type="spellStart"/>
            <w:r w:rsidRPr="001344F0">
              <w:rPr>
                <w:rFonts w:ascii="Times New Roman" w:hAnsi="Times New Roman" w:cs="Times New Roman"/>
                <w:sz w:val="16"/>
                <w:szCs w:val="16"/>
              </w:rPr>
              <w:t>ActiveCEOBlockSq</w:t>
            </w:r>
            <w:proofErr w:type="spellEnd"/>
          </w:p>
        </w:tc>
        <w:tc>
          <w:tcPr>
            <w:tcW w:w="2886" w:type="pct"/>
            <w:tcBorders>
              <w:top w:val="nil"/>
              <w:left w:val="nil"/>
              <w:bottom w:val="nil"/>
              <w:right w:val="nil"/>
            </w:tcBorders>
          </w:tcPr>
          <w:p w14:paraId="5BD03FB0" w14:textId="77777777" w:rsidR="00DC5523" w:rsidRPr="001344F0" w:rsidRDefault="00DC5523" w:rsidP="00B83591">
            <w:pPr>
              <w:widowControl w:val="0"/>
              <w:autoSpaceDE w:val="0"/>
              <w:autoSpaceDN w:val="0"/>
              <w:adjustRightInd w:val="0"/>
              <w:spacing w:line="276" w:lineRule="auto"/>
              <w:jc w:val="left"/>
              <w:rPr>
                <w:rFonts w:ascii="Times New Roman" w:hAnsi="Times New Roman" w:cs="Times New Roman"/>
                <w:sz w:val="16"/>
                <w:szCs w:val="16"/>
              </w:rPr>
            </w:pPr>
            <w:proofErr w:type="spellStart"/>
            <w:r w:rsidRPr="001344F0">
              <w:rPr>
                <w:rFonts w:ascii="Times New Roman" w:hAnsi="Times New Roman" w:cs="Times New Roman"/>
                <w:sz w:val="16"/>
                <w:szCs w:val="16"/>
              </w:rPr>
              <w:t>ActiveCEOBlock</w:t>
            </w:r>
            <w:proofErr w:type="spellEnd"/>
            <w:r w:rsidRPr="001344F0">
              <w:rPr>
                <w:rFonts w:ascii="Times New Roman" w:hAnsi="Times New Roman" w:cs="Times New Roman"/>
                <w:sz w:val="16"/>
                <w:szCs w:val="16"/>
              </w:rPr>
              <w:t xml:space="preserve"> squared</w:t>
            </w:r>
          </w:p>
        </w:tc>
        <w:tc>
          <w:tcPr>
            <w:tcW w:w="1006" w:type="pct"/>
            <w:tcBorders>
              <w:top w:val="nil"/>
              <w:left w:val="nil"/>
              <w:bottom w:val="nil"/>
              <w:right w:val="nil"/>
            </w:tcBorders>
          </w:tcPr>
          <w:p w14:paraId="5F2818E1" w14:textId="77777777" w:rsidR="00DC5523" w:rsidRPr="001344F0" w:rsidRDefault="00DC5523" w:rsidP="00B83591">
            <w:pPr>
              <w:widowControl w:val="0"/>
              <w:autoSpaceDE w:val="0"/>
              <w:autoSpaceDN w:val="0"/>
              <w:adjustRightInd w:val="0"/>
              <w:spacing w:line="276" w:lineRule="auto"/>
              <w:jc w:val="left"/>
              <w:rPr>
                <w:rFonts w:ascii="Times New Roman" w:hAnsi="Times New Roman" w:cs="Times New Roman"/>
                <w:sz w:val="16"/>
                <w:szCs w:val="16"/>
              </w:rPr>
            </w:pPr>
          </w:p>
        </w:tc>
      </w:tr>
      <w:tr w:rsidR="00DC5523" w:rsidRPr="001344F0" w14:paraId="4C1D261A" w14:textId="77777777" w:rsidTr="00B83591">
        <w:trPr>
          <w:jc w:val="center"/>
        </w:trPr>
        <w:tc>
          <w:tcPr>
            <w:tcW w:w="1109" w:type="pct"/>
            <w:tcBorders>
              <w:top w:val="nil"/>
              <w:left w:val="nil"/>
              <w:bottom w:val="nil"/>
              <w:right w:val="nil"/>
            </w:tcBorders>
          </w:tcPr>
          <w:p w14:paraId="1EBD8DCF" w14:textId="77777777" w:rsidR="00DC5523" w:rsidRPr="001344F0" w:rsidRDefault="00DC5523" w:rsidP="00B83591">
            <w:pPr>
              <w:widowControl w:val="0"/>
              <w:autoSpaceDE w:val="0"/>
              <w:autoSpaceDN w:val="0"/>
              <w:adjustRightInd w:val="0"/>
              <w:spacing w:line="276" w:lineRule="auto"/>
              <w:rPr>
                <w:rFonts w:ascii="Times New Roman" w:hAnsi="Times New Roman" w:cs="Times New Roman"/>
                <w:sz w:val="16"/>
                <w:szCs w:val="16"/>
              </w:rPr>
            </w:pPr>
            <w:proofErr w:type="spellStart"/>
            <w:r w:rsidRPr="001344F0">
              <w:rPr>
                <w:rFonts w:ascii="Times New Roman" w:hAnsi="Times New Roman" w:cs="Times New Roman"/>
                <w:sz w:val="16"/>
                <w:szCs w:val="16"/>
              </w:rPr>
              <w:t>ActiveNotCEOBlock</w:t>
            </w:r>
            <w:proofErr w:type="spellEnd"/>
          </w:p>
        </w:tc>
        <w:tc>
          <w:tcPr>
            <w:tcW w:w="2886" w:type="pct"/>
            <w:tcBorders>
              <w:top w:val="nil"/>
              <w:left w:val="nil"/>
              <w:bottom w:val="nil"/>
              <w:right w:val="nil"/>
            </w:tcBorders>
          </w:tcPr>
          <w:p w14:paraId="68F5F8F1" w14:textId="77777777" w:rsidR="00DC5523" w:rsidRPr="001344F0"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1344F0">
              <w:rPr>
                <w:rFonts w:ascii="Times New Roman" w:hAnsi="Times New Roman" w:cs="Times New Roman"/>
                <w:sz w:val="16"/>
                <w:szCs w:val="16"/>
              </w:rPr>
              <w:t xml:space="preserve">Percentage of votes controlled by individuals who were directors and large </w:t>
            </w:r>
            <w:proofErr w:type="spellStart"/>
            <w:r w:rsidRPr="001344F0">
              <w:rPr>
                <w:rFonts w:ascii="Times New Roman" w:hAnsi="Times New Roman" w:cs="Times New Roman"/>
                <w:sz w:val="16"/>
                <w:szCs w:val="16"/>
              </w:rPr>
              <w:t>blockholders</w:t>
            </w:r>
            <w:proofErr w:type="spellEnd"/>
            <w:r w:rsidRPr="001344F0">
              <w:rPr>
                <w:rFonts w:ascii="Times New Roman" w:hAnsi="Times New Roman" w:cs="Times New Roman"/>
                <w:sz w:val="16"/>
                <w:szCs w:val="16"/>
              </w:rPr>
              <w:t xml:space="preserve"> but not CEOs</w:t>
            </w:r>
          </w:p>
        </w:tc>
        <w:tc>
          <w:tcPr>
            <w:tcW w:w="1006" w:type="pct"/>
            <w:tcBorders>
              <w:top w:val="nil"/>
              <w:left w:val="nil"/>
              <w:bottom w:val="nil"/>
              <w:right w:val="nil"/>
            </w:tcBorders>
          </w:tcPr>
          <w:p w14:paraId="3F5C1EFA" w14:textId="77777777" w:rsidR="00DC5523" w:rsidRPr="001344F0"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1344F0">
              <w:rPr>
                <w:rFonts w:ascii="Times New Roman" w:hAnsi="Times New Roman" w:cs="Times New Roman"/>
                <w:sz w:val="16"/>
                <w:szCs w:val="16"/>
              </w:rPr>
              <w:t xml:space="preserve">OR, </w:t>
            </w:r>
            <w:proofErr w:type="spellStart"/>
            <w:r w:rsidRPr="001344F0">
              <w:rPr>
                <w:rFonts w:ascii="Times New Roman" w:hAnsi="Times New Roman" w:cs="Times New Roman"/>
                <w:sz w:val="16"/>
                <w:szCs w:val="16"/>
              </w:rPr>
              <w:t>AoA</w:t>
            </w:r>
            <w:proofErr w:type="spellEnd"/>
            <w:r w:rsidRPr="001344F0">
              <w:rPr>
                <w:rFonts w:ascii="Times New Roman" w:hAnsi="Times New Roman" w:cs="Times New Roman"/>
                <w:sz w:val="16"/>
                <w:szCs w:val="16"/>
              </w:rPr>
              <w:t>, SEOI, BOI</w:t>
            </w:r>
          </w:p>
        </w:tc>
      </w:tr>
      <w:tr w:rsidR="00DC5523" w:rsidRPr="001344F0" w14:paraId="4DF2011F" w14:textId="77777777" w:rsidTr="00B83591">
        <w:trPr>
          <w:jc w:val="center"/>
        </w:trPr>
        <w:tc>
          <w:tcPr>
            <w:tcW w:w="1109" w:type="pct"/>
            <w:tcBorders>
              <w:top w:val="nil"/>
              <w:left w:val="nil"/>
              <w:bottom w:val="nil"/>
              <w:right w:val="nil"/>
            </w:tcBorders>
          </w:tcPr>
          <w:p w14:paraId="154B7FA6" w14:textId="77777777" w:rsidR="00DC5523" w:rsidRPr="001344F0" w:rsidRDefault="00DC5523" w:rsidP="00B83591">
            <w:pPr>
              <w:widowControl w:val="0"/>
              <w:autoSpaceDE w:val="0"/>
              <w:autoSpaceDN w:val="0"/>
              <w:adjustRightInd w:val="0"/>
              <w:spacing w:line="276" w:lineRule="auto"/>
              <w:rPr>
                <w:rFonts w:ascii="Times New Roman" w:hAnsi="Times New Roman" w:cs="Times New Roman"/>
                <w:sz w:val="16"/>
                <w:szCs w:val="16"/>
              </w:rPr>
            </w:pPr>
            <w:proofErr w:type="spellStart"/>
            <w:r w:rsidRPr="001344F0">
              <w:rPr>
                <w:rFonts w:ascii="Times New Roman" w:hAnsi="Times New Roman" w:cs="Times New Roman"/>
                <w:sz w:val="16"/>
                <w:szCs w:val="16"/>
              </w:rPr>
              <w:t>ActiveNotCEOBlockSq</w:t>
            </w:r>
            <w:proofErr w:type="spellEnd"/>
          </w:p>
        </w:tc>
        <w:tc>
          <w:tcPr>
            <w:tcW w:w="2886" w:type="pct"/>
            <w:tcBorders>
              <w:top w:val="nil"/>
              <w:left w:val="nil"/>
              <w:bottom w:val="nil"/>
              <w:right w:val="nil"/>
            </w:tcBorders>
          </w:tcPr>
          <w:p w14:paraId="0C6CD2BB" w14:textId="77777777" w:rsidR="00DC5523" w:rsidRPr="001344F0" w:rsidRDefault="00DC5523" w:rsidP="00B83591">
            <w:pPr>
              <w:widowControl w:val="0"/>
              <w:autoSpaceDE w:val="0"/>
              <w:autoSpaceDN w:val="0"/>
              <w:adjustRightInd w:val="0"/>
              <w:spacing w:line="276" w:lineRule="auto"/>
              <w:jc w:val="left"/>
              <w:rPr>
                <w:rFonts w:ascii="Times New Roman" w:hAnsi="Times New Roman" w:cs="Times New Roman"/>
                <w:sz w:val="16"/>
                <w:szCs w:val="16"/>
              </w:rPr>
            </w:pPr>
            <w:proofErr w:type="spellStart"/>
            <w:r w:rsidRPr="001344F0">
              <w:rPr>
                <w:rFonts w:ascii="Times New Roman" w:hAnsi="Times New Roman" w:cs="Times New Roman"/>
                <w:sz w:val="16"/>
                <w:szCs w:val="16"/>
              </w:rPr>
              <w:t>ActiveNotCEOBlock</w:t>
            </w:r>
            <w:proofErr w:type="spellEnd"/>
            <w:r w:rsidRPr="001344F0">
              <w:rPr>
                <w:rFonts w:ascii="Times New Roman" w:hAnsi="Times New Roman" w:cs="Times New Roman"/>
                <w:sz w:val="16"/>
                <w:szCs w:val="16"/>
              </w:rPr>
              <w:t xml:space="preserve"> squared</w:t>
            </w:r>
          </w:p>
        </w:tc>
        <w:tc>
          <w:tcPr>
            <w:tcW w:w="1006" w:type="pct"/>
            <w:tcBorders>
              <w:top w:val="nil"/>
              <w:left w:val="nil"/>
              <w:bottom w:val="nil"/>
              <w:right w:val="nil"/>
            </w:tcBorders>
          </w:tcPr>
          <w:p w14:paraId="45DD1817" w14:textId="77777777" w:rsidR="00DC5523" w:rsidRPr="001344F0" w:rsidRDefault="00DC5523" w:rsidP="00B83591">
            <w:pPr>
              <w:widowControl w:val="0"/>
              <w:autoSpaceDE w:val="0"/>
              <w:autoSpaceDN w:val="0"/>
              <w:adjustRightInd w:val="0"/>
              <w:spacing w:line="276" w:lineRule="auto"/>
              <w:jc w:val="left"/>
              <w:rPr>
                <w:rFonts w:ascii="Times New Roman" w:hAnsi="Times New Roman" w:cs="Times New Roman"/>
                <w:sz w:val="16"/>
                <w:szCs w:val="16"/>
              </w:rPr>
            </w:pPr>
          </w:p>
        </w:tc>
      </w:tr>
      <w:tr w:rsidR="00DC5523" w:rsidRPr="001344F0" w14:paraId="62175B63" w14:textId="77777777" w:rsidTr="00B83591">
        <w:trPr>
          <w:jc w:val="center"/>
        </w:trPr>
        <w:tc>
          <w:tcPr>
            <w:tcW w:w="1109" w:type="pct"/>
            <w:tcBorders>
              <w:top w:val="nil"/>
              <w:left w:val="nil"/>
              <w:bottom w:val="nil"/>
              <w:right w:val="nil"/>
            </w:tcBorders>
          </w:tcPr>
          <w:p w14:paraId="5821E923" w14:textId="77777777" w:rsidR="00DC5523" w:rsidRPr="001344F0" w:rsidRDefault="00DC5523" w:rsidP="00B83591">
            <w:pPr>
              <w:widowControl w:val="0"/>
              <w:autoSpaceDE w:val="0"/>
              <w:autoSpaceDN w:val="0"/>
              <w:adjustRightInd w:val="0"/>
              <w:spacing w:line="276" w:lineRule="auto"/>
              <w:rPr>
                <w:rFonts w:ascii="Times New Roman" w:hAnsi="Times New Roman" w:cs="Times New Roman"/>
                <w:sz w:val="16"/>
                <w:szCs w:val="16"/>
              </w:rPr>
            </w:pPr>
            <w:proofErr w:type="spellStart"/>
            <w:r w:rsidRPr="001344F0">
              <w:rPr>
                <w:rFonts w:ascii="Times New Roman" w:hAnsi="Times New Roman" w:cs="Times New Roman"/>
                <w:sz w:val="16"/>
                <w:szCs w:val="16"/>
              </w:rPr>
              <w:t>PassiveBlock</w:t>
            </w:r>
            <w:proofErr w:type="spellEnd"/>
          </w:p>
        </w:tc>
        <w:tc>
          <w:tcPr>
            <w:tcW w:w="2886" w:type="pct"/>
            <w:tcBorders>
              <w:top w:val="nil"/>
              <w:left w:val="nil"/>
              <w:bottom w:val="nil"/>
              <w:right w:val="nil"/>
            </w:tcBorders>
          </w:tcPr>
          <w:p w14:paraId="27F9CC9E" w14:textId="77777777" w:rsidR="00DC5523" w:rsidRPr="001344F0"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1344F0">
              <w:rPr>
                <w:rFonts w:ascii="Times New Roman" w:hAnsi="Times New Roman" w:cs="Times New Roman"/>
                <w:sz w:val="16"/>
                <w:szCs w:val="16"/>
              </w:rPr>
              <w:t xml:space="preserve">Percentage of votes controlled by individuals who were solely large </w:t>
            </w:r>
            <w:proofErr w:type="spellStart"/>
            <w:r w:rsidRPr="001344F0">
              <w:rPr>
                <w:rFonts w:ascii="Times New Roman" w:hAnsi="Times New Roman" w:cs="Times New Roman"/>
                <w:sz w:val="16"/>
                <w:szCs w:val="16"/>
              </w:rPr>
              <w:t>blockholders</w:t>
            </w:r>
            <w:proofErr w:type="spellEnd"/>
          </w:p>
        </w:tc>
        <w:tc>
          <w:tcPr>
            <w:tcW w:w="1006" w:type="pct"/>
            <w:tcBorders>
              <w:top w:val="nil"/>
              <w:left w:val="nil"/>
              <w:bottom w:val="nil"/>
              <w:right w:val="nil"/>
            </w:tcBorders>
          </w:tcPr>
          <w:p w14:paraId="352B8844" w14:textId="77777777" w:rsidR="00DC5523" w:rsidRPr="001344F0"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1344F0">
              <w:rPr>
                <w:rFonts w:ascii="Times New Roman" w:hAnsi="Times New Roman" w:cs="Times New Roman"/>
                <w:sz w:val="16"/>
                <w:szCs w:val="16"/>
              </w:rPr>
              <w:t xml:space="preserve">OR, </w:t>
            </w:r>
            <w:proofErr w:type="spellStart"/>
            <w:r w:rsidRPr="001344F0">
              <w:rPr>
                <w:rFonts w:ascii="Times New Roman" w:hAnsi="Times New Roman" w:cs="Times New Roman"/>
                <w:sz w:val="16"/>
                <w:szCs w:val="16"/>
              </w:rPr>
              <w:t>AoA</w:t>
            </w:r>
            <w:proofErr w:type="spellEnd"/>
            <w:r w:rsidRPr="001344F0">
              <w:rPr>
                <w:rFonts w:ascii="Times New Roman" w:hAnsi="Times New Roman" w:cs="Times New Roman"/>
                <w:sz w:val="16"/>
                <w:szCs w:val="16"/>
              </w:rPr>
              <w:t>, SEOI, BOI</w:t>
            </w:r>
          </w:p>
        </w:tc>
      </w:tr>
      <w:tr w:rsidR="00DC5523" w:rsidRPr="00BC68C4" w14:paraId="434ACA29" w14:textId="77777777" w:rsidTr="00B83591">
        <w:trPr>
          <w:jc w:val="center"/>
        </w:trPr>
        <w:tc>
          <w:tcPr>
            <w:tcW w:w="1109" w:type="pct"/>
            <w:tcBorders>
              <w:top w:val="nil"/>
              <w:left w:val="nil"/>
              <w:bottom w:val="nil"/>
              <w:right w:val="nil"/>
            </w:tcBorders>
          </w:tcPr>
          <w:p w14:paraId="3519D821" w14:textId="77777777" w:rsidR="00DC5523" w:rsidRPr="001344F0" w:rsidRDefault="00DC5523" w:rsidP="00B83591">
            <w:pPr>
              <w:widowControl w:val="0"/>
              <w:autoSpaceDE w:val="0"/>
              <w:autoSpaceDN w:val="0"/>
              <w:adjustRightInd w:val="0"/>
              <w:spacing w:line="276" w:lineRule="auto"/>
              <w:rPr>
                <w:rFonts w:ascii="Times New Roman" w:hAnsi="Times New Roman" w:cs="Times New Roman"/>
                <w:sz w:val="16"/>
                <w:szCs w:val="16"/>
              </w:rPr>
            </w:pPr>
            <w:proofErr w:type="spellStart"/>
            <w:r w:rsidRPr="001344F0">
              <w:rPr>
                <w:rFonts w:ascii="Times New Roman" w:hAnsi="Times New Roman" w:cs="Times New Roman"/>
                <w:sz w:val="16"/>
                <w:szCs w:val="16"/>
              </w:rPr>
              <w:t>DirOnlyVote</w:t>
            </w:r>
            <w:proofErr w:type="spellEnd"/>
          </w:p>
        </w:tc>
        <w:tc>
          <w:tcPr>
            <w:tcW w:w="2886" w:type="pct"/>
            <w:tcBorders>
              <w:top w:val="nil"/>
              <w:left w:val="nil"/>
              <w:bottom w:val="nil"/>
              <w:right w:val="nil"/>
            </w:tcBorders>
          </w:tcPr>
          <w:p w14:paraId="3B854ACC" w14:textId="77777777" w:rsidR="00DC5523" w:rsidRPr="001344F0"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1344F0">
              <w:rPr>
                <w:rFonts w:ascii="Times New Roman" w:hAnsi="Times New Roman" w:cs="Times New Roman"/>
                <w:sz w:val="16"/>
                <w:szCs w:val="16"/>
              </w:rPr>
              <w:t xml:space="preserve">Percentage of votes controlled by individuals who were directors but not </w:t>
            </w:r>
            <w:proofErr w:type="spellStart"/>
            <w:r w:rsidRPr="001344F0">
              <w:rPr>
                <w:rFonts w:ascii="Times New Roman" w:hAnsi="Times New Roman" w:cs="Times New Roman"/>
                <w:sz w:val="16"/>
                <w:szCs w:val="16"/>
              </w:rPr>
              <w:t>blockholders</w:t>
            </w:r>
            <w:proofErr w:type="spellEnd"/>
          </w:p>
        </w:tc>
        <w:tc>
          <w:tcPr>
            <w:tcW w:w="1006" w:type="pct"/>
            <w:tcBorders>
              <w:top w:val="nil"/>
              <w:left w:val="nil"/>
              <w:bottom w:val="nil"/>
              <w:right w:val="nil"/>
            </w:tcBorders>
          </w:tcPr>
          <w:p w14:paraId="039341AA"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1344F0">
              <w:rPr>
                <w:rFonts w:ascii="Times New Roman" w:hAnsi="Times New Roman" w:cs="Times New Roman"/>
                <w:sz w:val="16"/>
                <w:szCs w:val="16"/>
              </w:rPr>
              <w:t xml:space="preserve">OR, </w:t>
            </w:r>
            <w:proofErr w:type="spellStart"/>
            <w:r w:rsidRPr="001344F0">
              <w:rPr>
                <w:rFonts w:ascii="Times New Roman" w:hAnsi="Times New Roman" w:cs="Times New Roman"/>
                <w:sz w:val="16"/>
                <w:szCs w:val="16"/>
              </w:rPr>
              <w:t>AoA</w:t>
            </w:r>
            <w:proofErr w:type="spellEnd"/>
            <w:r w:rsidRPr="001344F0">
              <w:rPr>
                <w:rFonts w:ascii="Times New Roman" w:hAnsi="Times New Roman" w:cs="Times New Roman"/>
                <w:sz w:val="16"/>
                <w:szCs w:val="16"/>
              </w:rPr>
              <w:t>, SEOI, BOI</w:t>
            </w:r>
          </w:p>
        </w:tc>
      </w:tr>
      <w:tr w:rsidR="00DC5523" w:rsidRPr="00BC68C4" w14:paraId="26A0B651" w14:textId="77777777" w:rsidTr="00B83591">
        <w:trPr>
          <w:jc w:val="center"/>
        </w:trPr>
        <w:tc>
          <w:tcPr>
            <w:tcW w:w="1109" w:type="pct"/>
            <w:tcBorders>
              <w:top w:val="nil"/>
              <w:left w:val="nil"/>
              <w:bottom w:val="nil"/>
              <w:right w:val="nil"/>
            </w:tcBorders>
          </w:tcPr>
          <w:p w14:paraId="273A519A" w14:textId="77777777" w:rsidR="00DC5523" w:rsidRPr="00BC68C4" w:rsidRDefault="00DC5523" w:rsidP="00B83591">
            <w:pPr>
              <w:widowControl w:val="0"/>
              <w:autoSpaceDE w:val="0"/>
              <w:autoSpaceDN w:val="0"/>
              <w:adjustRightInd w:val="0"/>
              <w:spacing w:line="276" w:lineRule="auto"/>
              <w:rPr>
                <w:rFonts w:ascii="Times New Roman" w:hAnsi="Times New Roman" w:cs="Times New Roman"/>
                <w:sz w:val="16"/>
                <w:szCs w:val="16"/>
              </w:rPr>
            </w:pPr>
          </w:p>
        </w:tc>
        <w:tc>
          <w:tcPr>
            <w:tcW w:w="2886" w:type="pct"/>
            <w:tcBorders>
              <w:top w:val="nil"/>
              <w:left w:val="nil"/>
              <w:bottom w:val="nil"/>
              <w:right w:val="nil"/>
            </w:tcBorders>
          </w:tcPr>
          <w:p w14:paraId="03593819"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p>
        </w:tc>
        <w:tc>
          <w:tcPr>
            <w:tcW w:w="1006" w:type="pct"/>
            <w:tcBorders>
              <w:top w:val="nil"/>
              <w:left w:val="nil"/>
              <w:bottom w:val="nil"/>
              <w:right w:val="nil"/>
            </w:tcBorders>
          </w:tcPr>
          <w:p w14:paraId="10C9BE93"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p>
        </w:tc>
      </w:tr>
      <w:tr w:rsidR="00DC5523" w:rsidRPr="00BC68C4" w14:paraId="626B9B67" w14:textId="77777777" w:rsidTr="00B83591">
        <w:trPr>
          <w:jc w:val="center"/>
        </w:trPr>
        <w:tc>
          <w:tcPr>
            <w:tcW w:w="3994" w:type="pct"/>
            <w:gridSpan w:val="2"/>
            <w:tcBorders>
              <w:top w:val="nil"/>
              <w:left w:val="nil"/>
              <w:bottom w:val="nil"/>
              <w:right w:val="nil"/>
            </w:tcBorders>
          </w:tcPr>
          <w:p w14:paraId="7E7EFBA4"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u w:val="single"/>
              </w:rPr>
            </w:pPr>
            <w:r w:rsidRPr="00BC68C4">
              <w:rPr>
                <w:rFonts w:ascii="Times New Roman" w:hAnsi="Times New Roman" w:cs="Times New Roman"/>
                <w:sz w:val="16"/>
                <w:szCs w:val="16"/>
                <w:u w:val="single"/>
              </w:rPr>
              <w:t>Directors</w:t>
            </w:r>
          </w:p>
        </w:tc>
        <w:tc>
          <w:tcPr>
            <w:tcW w:w="1006" w:type="pct"/>
            <w:tcBorders>
              <w:top w:val="nil"/>
              <w:left w:val="nil"/>
              <w:bottom w:val="nil"/>
              <w:right w:val="nil"/>
            </w:tcBorders>
          </w:tcPr>
          <w:p w14:paraId="6888C7F3"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p>
        </w:tc>
      </w:tr>
      <w:tr w:rsidR="00DC5523" w:rsidRPr="00BC68C4" w14:paraId="428330B5" w14:textId="77777777" w:rsidTr="00B83591">
        <w:trPr>
          <w:jc w:val="center"/>
        </w:trPr>
        <w:tc>
          <w:tcPr>
            <w:tcW w:w="1109" w:type="pct"/>
            <w:tcBorders>
              <w:top w:val="nil"/>
              <w:left w:val="nil"/>
              <w:bottom w:val="nil"/>
              <w:right w:val="nil"/>
            </w:tcBorders>
          </w:tcPr>
          <w:p w14:paraId="5535AE5C" w14:textId="77777777" w:rsidR="00DC5523" w:rsidRPr="00BC68C4" w:rsidRDefault="00DC5523" w:rsidP="00B83591">
            <w:pPr>
              <w:widowControl w:val="0"/>
              <w:autoSpaceDE w:val="0"/>
              <w:autoSpaceDN w:val="0"/>
              <w:adjustRightInd w:val="0"/>
              <w:spacing w:line="276" w:lineRule="auto"/>
              <w:rPr>
                <w:rFonts w:ascii="Times New Roman" w:hAnsi="Times New Roman" w:cs="Times New Roman"/>
                <w:sz w:val="16"/>
                <w:szCs w:val="16"/>
              </w:rPr>
            </w:pPr>
            <w:proofErr w:type="spellStart"/>
            <w:r w:rsidRPr="00BC68C4">
              <w:rPr>
                <w:rFonts w:ascii="Times New Roman" w:hAnsi="Times New Roman" w:cs="Times New Roman"/>
                <w:sz w:val="16"/>
                <w:szCs w:val="16"/>
              </w:rPr>
              <w:t>NumDir</w:t>
            </w:r>
            <w:proofErr w:type="spellEnd"/>
          </w:p>
        </w:tc>
        <w:tc>
          <w:tcPr>
            <w:tcW w:w="2886" w:type="pct"/>
            <w:tcBorders>
              <w:top w:val="nil"/>
              <w:left w:val="nil"/>
              <w:bottom w:val="nil"/>
              <w:right w:val="nil"/>
            </w:tcBorders>
          </w:tcPr>
          <w:p w14:paraId="076EE780"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BC68C4">
              <w:rPr>
                <w:rFonts w:ascii="Times New Roman" w:hAnsi="Times New Roman" w:cs="Times New Roman"/>
                <w:sz w:val="16"/>
                <w:szCs w:val="16"/>
              </w:rPr>
              <w:t>Board size</w:t>
            </w:r>
          </w:p>
        </w:tc>
        <w:tc>
          <w:tcPr>
            <w:tcW w:w="1006" w:type="pct"/>
            <w:tcBorders>
              <w:top w:val="nil"/>
              <w:left w:val="nil"/>
              <w:bottom w:val="nil"/>
              <w:right w:val="nil"/>
            </w:tcBorders>
          </w:tcPr>
          <w:p w14:paraId="44B3D871"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proofErr w:type="spellStart"/>
            <w:r w:rsidRPr="00BC68C4">
              <w:rPr>
                <w:rFonts w:ascii="Times New Roman" w:hAnsi="Times New Roman" w:cs="Times New Roman"/>
                <w:sz w:val="16"/>
                <w:szCs w:val="16"/>
              </w:rPr>
              <w:t>AoA</w:t>
            </w:r>
            <w:proofErr w:type="spellEnd"/>
            <w:r w:rsidRPr="00BC68C4">
              <w:rPr>
                <w:rFonts w:ascii="Times New Roman" w:hAnsi="Times New Roman" w:cs="Times New Roman"/>
                <w:sz w:val="16"/>
                <w:szCs w:val="16"/>
              </w:rPr>
              <w:t>, SEY, SEOI, BOI</w:t>
            </w:r>
          </w:p>
        </w:tc>
      </w:tr>
      <w:tr w:rsidR="00DC5523" w:rsidRPr="00BC68C4" w14:paraId="13624D23" w14:textId="77777777" w:rsidTr="00B83591">
        <w:trPr>
          <w:jc w:val="center"/>
        </w:trPr>
        <w:tc>
          <w:tcPr>
            <w:tcW w:w="1109" w:type="pct"/>
            <w:tcBorders>
              <w:top w:val="nil"/>
              <w:left w:val="nil"/>
              <w:bottom w:val="nil"/>
              <w:right w:val="nil"/>
            </w:tcBorders>
          </w:tcPr>
          <w:p w14:paraId="3DF0586F" w14:textId="77777777" w:rsidR="00DC5523" w:rsidRPr="00BC68C4" w:rsidRDefault="00DC5523" w:rsidP="00B83591">
            <w:pPr>
              <w:widowControl w:val="0"/>
              <w:autoSpaceDE w:val="0"/>
              <w:autoSpaceDN w:val="0"/>
              <w:adjustRightInd w:val="0"/>
              <w:spacing w:line="276" w:lineRule="auto"/>
              <w:rPr>
                <w:rFonts w:ascii="Times New Roman" w:hAnsi="Times New Roman" w:cs="Times New Roman"/>
                <w:sz w:val="16"/>
                <w:szCs w:val="16"/>
              </w:rPr>
            </w:pPr>
            <w:proofErr w:type="spellStart"/>
            <w:r w:rsidRPr="00BC68C4">
              <w:rPr>
                <w:rFonts w:ascii="Times New Roman" w:hAnsi="Times New Roman" w:cs="Times New Roman"/>
                <w:sz w:val="16"/>
                <w:szCs w:val="16"/>
              </w:rPr>
              <w:t>DirOnlyNum</w:t>
            </w:r>
            <w:proofErr w:type="spellEnd"/>
          </w:p>
        </w:tc>
        <w:tc>
          <w:tcPr>
            <w:tcW w:w="2886" w:type="pct"/>
            <w:tcBorders>
              <w:top w:val="nil"/>
              <w:left w:val="nil"/>
              <w:bottom w:val="nil"/>
              <w:right w:val="nil"/>
            </w:tcBorders>
          </w:tcPr>
          <w:p w14:paraId="487D7B82"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BC68C4">
              <w:rPr>
                <w:rFonts w:ascii="Times New Roman" w:hAnsi="Times New Roman" w:cs="Times New Roman"/>
                <w:sz w:val="16"/>
                <w:szCs w:val="16"/>
              </w:rPr>
              <w:t>Number of directors who were not large shareholders</w:t>
            </w:r>
          </w:p>
        </w:tc>
        <w:tc>
          <w:tcPr>
            <w:tcW w:w="1006" w:type="pct"/>
            <w:tcBorders>
              <w:top w:val="nil"/>
              <w:left w:val="nil"/>
              <w:bottom w:val="nil"/>
              <w:right w:val="nil"/>
            </w:tcBorders>
          </w:tcPr>
          <w:p w14:paraId="10F7F442"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proofErr w:type="spellStart"/>
            <w:r w:rsidRPr="00BC68C4">
              <w:rPr>
                <w:rFonts w:ascii="Times New Roman" w:hAnsi="Times New Roman" w:cs="Times New Roman"/>
                <w:sz w:val="16"/>
                <w:szCs w:val="16"/>
              </w:rPr>
              <w:t>AoA</w:t>
            </w:r>
            <w:proofErr w:type="spellEnd"/>
            <w:r w:rsidRPr="00BC68C4">
              <w:rPr>
                <w:rFonts w:ascii="Times New Roman" w:hAnsi="Times New Roman" w:cs="Times New Roman"/>
                <w:sz w:val="16"/>
                <w:szCs w:val="16"/>
              </w:rPr>
              <w:t>, SEY, SEOI, BOI</w:t>
            </w:r>
          </w:p>
        </w:tc>
      </w:tr>
      <w:tr w:rsidR="00DC5523" w:rsidRPr="00BC68C4" w14:paraId="1E390F7C" w14:textId="77777777" w:rsidTr="00B83591">
        <w:trPr>
          <w:jc w:val="center"/>
        </w:trPr>
        <w:tc>
          <w:tcPr>
            <w:tcW w:w="1109" w:type="pct"/>
            <w:tcBorders>
              <w:top w:val="nil"/>
              <w:left w:val="nil"/>
              <w:bottom w:val="nil"/>
              <w:right w:val="nil"/>
            </w:tcBorders>
          </w:tcPr>
          <w:p w14:paraId="3D36044B" w14:textId="77777777" w:rsidR="00DC5523" w:rsidRPr="00BC68C4" w:rsidRDefault="00DC5523" w:rsidP="00B83591">
            <w:pPr>
              <w:widowControl w:val="0"/>
              <w:autoSpaceDE w:val="0"/>
              <w:autoSpaceDN w:val="0"/>
              <w:adjustRightInd w:val="0"/>
              <w:spacing w:line="276" w:lineRule="auto"/>
              <w:rPr>
                <w:rFonts w:ascii="Times New Roman" w:hAnsi="Times New Roman" w:cs="Times New Roman"/>
                <w:sz w:val="16"/>
                <w:szCs w:val="16"/>
              </w:rPr>
            </w:pPr>
            <w:proofErr w:type="spellStart"/>
            <w:r w:rsidRPr="00BC68C4">
              <w:rPr>
                <w:rFonts w:ascii="Times New Roman" w:hAnsi="Times New Roman" w:cs="Times New Roman"/>
                <w:sz w:val="16"/>
                <w:szCs w:val="16"/>
              </w:rPr>
              <w:t>PropDirBlock</w:t>
            </w:r>
            <w:proofErr w:type="spellEnd"/>
          </w:p>
        </w:tc>
        <w:tc>
          <w:tcPr>
            <w:tcW w:w="2886" w:type="pct"/>
            <w:tcBorders>
              <w:top w:val="nil"/>
              <w:left w:val="nil"/>
              <w:bottom w:val="nil"/>
              <w:right w:val="nil"/>
            </w:tcBorders>
          </w:tcPr>
          <w:p w14:paraId="5C4F7D26"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BC68C4">
              <w:rPr>
                <w:rFonts w:ascii="Times New Roman" w:hAnsi="Times New Roman" w:cs="Times New Roman"/>
                <w:sz w:val="16"/>
                <w:szCs w:val="16"/>
              </w:rPr>
              <w:t xml:space="preserve">Proportion of board which are active </w:t>
            </w:r>
            <w:proofErr w:type="spellStart"/>
            <w:r w:rsidRPr="00BC68C4">
              <w:rPr>
                <w:rFonts w:ascii="Times New Roman" w:hAnsi="Times New Roman" w:cs="Times New Roman"/>
                <w:sz w:val="16"/>
                <w:szCs w:val="16"/>
              </w:rPr>
              <w:t>blockholders</w:t>
            </w:r>
            <w:proofErr w:type="spellEnd"/>
          </w:p>
        </w:tc>
        <w:tc>
          <w:tcPr>
            <w:tcW w:w="1006" w:type="pct"/>
            <w:tcBorders>
              <w:top w:val="nil"/>
              <w:left w:val="nil"/>
              <w:bottom w:val="nil"/>
              <w:right w:val="nil"/>
            </w:tcBorders>
          </w:tcPr>
          <w:p w14:paraId="7080F4B7"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proofErr w:type="spellStart"/>
            <w:r w:rsidRPr="00BC68C4">
              <w:rPr>
                <w:rFonts w:ascii="Times New Roman" w:hAnsi="Times New Roman" w:cs="Times New Roman"/>
                <w:sz w:val="16"/>
                <w:szCs w:val="16"/>
              </w:rPr>
              <w:t>AoA</w:t>
            </w:r>
            <w:proofErr w:type="spellEnd"/>
            <w:r w:rsidRPr="00BC68C4">
              <w:rPr>
                <w:rFonts w:ascii="Times New Roman" w:hAnsi="Times New Roman" w:cs="Times New Roman"/>
                <w:sz w:val="16"/>
                <w:szCs w:val="16"/>
              </w:rPr>
              <w:t>, SEY, SEOI, BOI</w:t>
            </w:r>
          </w:p>
        </w:tc>
      </w:tr>
      <w:tr w:rsidR="00DC5523" w:rsidRPr="00BC68C4" w14:paraId="314030DE" w14:textId="77777777" w:rsidTr="00B83591">
        <w:trPr>
          <w:jc w:val="center"/>
        </w:trPr>
        <w:tc>
          <w:tcPr>
            <w:tcW w:w="1109" w:type="pct"/>
            <w:tcBorders>
              <w:top w:val="nil"/>
              <w:left w:val="nil"/>
              <w:bottom w:val="nil"/>
              <w:right w:val="nil"/>
            </w:tcBorders>
          </w:tcPr>
          <w:p w14:paraId="0E13DD65" w14:textId="77777777" w:rsidR="00DC5523" w:rsidRPr="00BC68C4" w:rsidRDefault="00DC5523" w:rsidP="00B83591">
            <w:pPr>
              <w:widowControl w:val="0"/>
              <w:autoSpaceDE w:val="0"/>
              <w:autoSpaceDN w:val="0"/>
              <w:adjustRightInd w:val="0"/>
              <w:spacing w:line="276" w:lineRule="auto"/>
              <w:rPr>
                <w:rFonts w:ascii="Times New Roman" w:hAnsi="Times New Roman" w:cs="Times New Roman"/>
                <w:sz w:val="16"/>
                <w:szCs w:val="16"/>
              </w:rPr>
            </w:pPr>
            <w:proofErr w:type="spellStart"/>
            <w:r w:rsidRPr="00BC68C4">
              <w:rPr>
                <w:rFonts w:ascii="Times New Roman" w:hAnsi="Times New Roman" w:cs="Times New Roman"/>
                <w:sz w:val="16"/>
                <w:szCs w:val="16"/>
              </w:rPr>
              <w:t>DirFamily</w:t>
            </w:r>
            <w:proofErr w:type="spellEnd"/>
          </w:p>
        </w:tc>
        <w:tc>
          <w:tcPr>
            <w:tcW w:w="2886" w:type="pct"/>
            <w:tcBorders>
              <w:top w:val="nil"/>
              <w:left w:val="nil"/>
              <w:bottom w:val="nil"/>
              <w:right w:val="nil"/>
            </w:tcBorders>
          </w:tcPr>
          <w:p w14:paraId="2B211AE6"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BC68C4">
              <w:rPr>
                <w:rFonts w:ascii="Times New Roman" w:hAnsi="Times New Roman" w:cs="Times New Roman"/>
                <w:sz w:val="16"/>
                <w:szCs w:val="16"/>
              </w:rPr>
              <w:t xml:space="preserve">The number of directors with the same surname as a </w:t>
            </w:r>
            <w:proofErr w:type="spellStart"/>
            <w:r w:rsidRPr="00BC68C4">
              <w:rPr>
                <w:rFonts w:ascii="Times New Roman" w:hAnsi="Times New Roman" w:cs="Times New Roman"/>
                <w:sz w:val="16"/>
                <w:szCs w:val="16"/>
              </w:rPr>
              <w:t>blockholder</w:t>
            </w:r>
            <w:proofErr w:type="spellEnd"/>
          </w:p>
        </w:tc>
        <w:tc>
          <w:tcPr>
            <w:tcW w:w="1006" w:type="pct"/>
            <w:tcBorders>
              <w:top w:val="nil"/>
              <w:left w:val="nil"/>
              <w:bottom w:val="nil"/>
              <w:right w:val="nil"/>
            </w:tcBorders>
          </w:tcPr>
          <w:p w14:paraId="3011ADAA"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proofErr w:type="spellStart"/>
            <w:r w:rsidRPr="00BC68C4">
              <w:rPr>
                <w:rFonts w:ascii="Times New Roman" w:hAnsi="Times New Roman" w:cs="Times New Roman"/>
                <w:sz w:val="16"/>
                <w:szCs w:val="16"/>
              </w:rPr>
              <w:t>AoA</w:t>
            </w:r>
            <w:proofErr w:type="spellEnd"/>
            <w:r w:rsidRPr="00BC68C4">
              <w:rPr>
                <w:rFonts w:ascii="Times New Roman" w:hAnsi="Times New Roman" w:cs="Times New Roman"/>
                <w:sz w:val="16"/>
                <w:szCs w:val="16"/>
              </w:rPr>
              <w:t>, SEY, SEOI, BOI</w:t>
            </w:r>
          </w:p>
        </w:tc>
      </w:tr>
      <w:tr w:rsidR="00DC5523" w:rsidRPr="00BC68C4" w14:paraId="591A3AA4" w14:textId="77777777" w:rsidTr="00B83591">
        <w:trPr>
          <w:jc w:val="center"/>
        </w:trPr>
        <w:tc>
          <w:tcPr>
            <w:tcW w:w="1109" w:type="pct"/>
            <w:tcBorders>
              <w:top w:val="nil"/>
              <w:left w:val="nil"/>
              <w:bottom w:val="nil"/>
              <w:right w:val="nil"/>
            </w:tcBorders>
          </w:tcPr>
          <w:p w14:paraId="069F93E3" w14:textId="77777777" w:rsidR="00DC5523" w:rsidRPr="00BC68C4" w:rsidRDefault="00DC5523" w:rsidP="00B83591">
            <w:pPr>
              <w:widowControl w:val="0"/>
              <w:autoSpaceDE w:val="0"/>
              <w:autoSpaceDN w:val="0"/>
              <w:adjustRightInd w:val="0"/>
              <w:spacing w:line="276" w:lineRule="auto"/>
              <w:rPr>
                <w:rFonts w:ascii="Times New Roman" w:hAnsi="Times New Roman" w:cs="Times New Roman"/>
                <w:sz w:val="16"/>
                <w:szCs w:val="16"/>
              </w:rPr>
            </w:pPr>
          </w:p>
        </w:tc>
        <w:tc>
          <w:tcPr>
            <w:tcW w:w="2886" w:type="pct"/>
            <w:tcBorders>
              <w:top w:val="nil"/>
              <w:left w:val="nil"/>
              <w:bottom w:val="nil"/>
              <w:right w:val="nil"/>
            </w:tcBorders>
          </w:tcPr>
          <w:p w14:paraId="32F919C6"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p>
        </w:tc>
        <w:tc>
          <w:tcPr>
            <w:tcW w:w="1006" w:type="pct"/>
            <w:tcBorders>
              <w:top w:val="nil"/>
              <w:left w:val="nil"/>
              <w:bottom w:val="nil"/>
              <w:right w:val="nil"/>
            </w:tcBorders>
          </w:tcPr>
          <w:p w14:paraId="195E7E26"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p>
        </w:tc>
      </w:tr>
      <w:tr w:rsidR="00DC5523" w:rsidRPr="00BC68C4" w14:paraId="35F48D93" w14:textId="77777777" w:rsidTr="00B83591">
        <w:trPr>
          <w:jc w:val="center"/>
        </w:trPr>
        <w:tc>
          <w:tcPr>
            <w:tcW w:w="3994" w:type="pct"/>
            <w:gridSpan w:val="2"/>
            <w:tcBorders>
              <w:top w:val="nil"/>
              <w:left w:val="nil"/>
              <w:bottom w:val="nil"/>
              <w:right w:val="nil"/>
            </w:tcBorders>
          </w:tcPr>
          <w:p w14:paraId="5E488051"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u w:val="single"/>
              </w:rPr>
            </w:pPr>
            <w:r w:rsidRPr="00BC68C4">
              <w:rPr>
                <w:rFonts w:ascii="Times New Roman" w:hAnsi="Times New Roman" w:cs="Times New Roman"/>
                <w:sz w:val="16"/>
                <w:szCs w:val="16"/>
                <w:u w:val="single"/>
              </w:rPr>
              <w:t>Performance variables</w:t>
            </w:r>
          </w:p>
        </w:tc>
        <w:tc>
          <w:tcPr>
            <w:tcW w:w="1006" w:type="pct"/>
            <w:tcBorders>
              <w:top w:val="nil"/>
              <w:left w:val="nil"/>
              <w:bottom w:val="nil"/>
              <w:right w:val="nil"/>
            </w:tcBorders>
          </w:tcPr>
          <w:p w14:paraId="1E6F7BFE"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p>
        </w:tc>
      </w:tr>
      <w:tr w:rsidR="00DC5523" w:rsidRPr="00BC68C4" w14:paraId="03FE828E" w14:textId="77777777" w:rsidTr="00B83591">
        <w:trPr>
          <w:jc w:val="center"/>
        </w:trPr>
        <w:tc>
          <w:tcPr>
            <w:tcW w:w="1109" w:type="pct"/>
            <w:tcBorders>
              <w:top w:val="nil"/>
              <w:left w:val="nil"/>
              <w:bottom w:val="nil"/>
              <w:right w:val="nil"/>
            </w:tcBorders>
          </w:tcPr>
          <w:p w14:paraId="01E81321" w14:textId="77777777" w:rsidR="00DC5523" w:rsidRPr="00BC68C4" w:rsidRDefault="00DC5523" w:rsidP="00B83591">
            <w:pPr>
              <w:rPr>
                <w:rFonts w:ascii="Times New Roman" w:hAnsi="Times New Roman" w:cs="Times New Roman"/>
                <w:sz w:val="16"/>
                <w:szCs w:val="16"/>
              </w:rPr>
            </w:pPr>
            <w:r w:rsidRPr="00BC68C4">
              <w:rPr>
                <w:rFonts w:ascii="Times New Roman" w:hAnsi="Times New Roman" w:cs="Times New Roman"/>
                <w:sz w:val="16"/>
                <w:szCs w:val="16"/>
              </w:rPr>
              <w:t>ROA</w:t>
            </w:r>
          </w:p>
        </w:tc>
        <w:tc>
          <w:tcPr>
            <w:tcW w:w="2886" w:type="pct"/>
            <w:tcBorders>
              <w:top w:val="nil"/>
              <w:left w:val="nil"/>
              <w:bottom w:val="nil"/>
              <w:right w:val="nil"/>
            </w:tcBorders>
          </w:tcPr>
          <w:p w14:paraId="3F327A7B" w14:textId="77777777" w:rsidR="00DC5523" w:rsidRPr="00BC68C4" w:rsidRDefault="00DC5523" w:rsidP="00B83591">
            <w:pPr>
              <w:rPr>
                <w:rFonts w:ascii="Times New Roman" w:hAnsi="Times New Roman" w:cs="Times New Roman"/>
                <w:sz w:val="16"/>
                <w:szCs w:val="16"/>
              </w:rPr>
            </w:pPr>
            <w:r w:rsidRPr="00BC68C4">
              <w:rPr>
                <w:rFonts w:ascii="Times New Roman" w:hAnsi="Times New Roman" w:cs="Times New Roman"/>
                <w:sz w:val="16"/>
                <w:szCs w:val="16"/>
              </w:rPr>
              <w:t>Return on assets (%)</w:t>
            </w:r>
          </w:p>
        </w:tc>
        <w:tc>
          <w:tcPr>
            <w:tcW w:w="1006" w:type="pct"/>
            <w:tcBorders>
              <w:top w:val="nil"/>
              <w:left w:val="nil"/>
              <w:bottom w:val="nil"/>
              <w:right w:val="nil"/>
            </w:tcBorders>
          </w:tcPr>
          <w:p w14:paraId="0E91A1F2"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BC68C4">
              <w:rPr>
                <w:rFonts w:ascii="Times New Roman" w:hAnsi="Times New Roman" w:cs="Times New Roman"/>
                <w:sz w:val="16"/>
                <w:szCs w:val="16"/>
              </w:rPr>
              <w:t>BCCA</w:t>
            </w:r>
          </w:p>
        </w:tc>
      </w:tr>
      <w:tr w:rsidR="00DC5523" w:rsidRPr="00BC68C4" w14:paraId="47249114" w14:textId="77777777" w:rsidTr="00B83591">
        <w:trPr>
          <w:jc w:val="center"/>
        </w:trPr>
        <w:tc>
          <w:tcPr>
            <w:tcW w:w="1109" w:type="pct"/>
            <w:tcBorders>
              <w:top w:val="nil"/>
              <w:left w:val="nil"/>
              <w:bottom w:val="nil"/>
              <w:right w:val="nil"/>
            </w:tcBorders>
          </w:tcPr>
          <w:p w14:paraId="55E3398E" w14:textId="77777777" w:rsidR="00DC5523" w:rsidRPr="00BC68C4" w:rsidRDefault="00DC5523" w:rsidP="00B83591">
            <w:pPr>
              <w:rPr>
                <w:rFonts w:ascii="Times New Roman" w:hAnsi="Times New Roman" w:cs="Times New Roman"/>
                <w:sz w:val="16"/>
                <w:szCs w:val="16"/>
              </w:rPr>
            </w:pPr>
            <w:r w:rsidRPr="00BC68C4">
              <w:rPr>
                <w:rFonts w:ascii="Times New Roman" w:hAnsi="Times New Roman" w:cs="Times New Roman"/>
                <w:sz w:val="16"/>
                <w:szCs w:val="16"/>
              </w:rPr>
              <w:t>Q</w:t>
            </w:r>
          </w:p>
        </w:tc>
        <w:tc>
          <w:tcPr>
            <w:tcW w:w="2886" w:type="pct"/>
            <w:tcBorders>
              <w:top w:val="nil"/>
              <w:left w:val="nil"/>
              <w:bottom w:val="nil"/>
              <w:right w:val="nil"/>
            </w:tcBorders>
          </w:tcPr>
          <w:p w14:paraId="0923F0BA" w14:textId="77777777" w:rsidR="00DC5523" w:rsidRPr="00BC68C4" w:rsidRDefault="00DC5523" w:rsidP="00B83591">
            <w:pPr>
              <w:rPr>
                <w:rFonts w:ascii="Times New Roman" w:hAnsi="Times New Roman" w:cs="Times New Roman"/>
                <w:sz w:val="16"/>
                <w:szCs w:val="16"/>
              </w:rPr>
            </w:pPr>
            <w:r w:rsidRPr="00BC68C4">
              <w:rPr>
                <w:rFonts w:ascii="Times New Roman" w:hAnsi="Times New Roman" w:cs="Times New Roman"/>
                <w:sz w:val="16"/>
                <w:szCs w:val="16"/>
              </w:rPr>
              <w:t xml:space="preserve">Tobin’s Q </w:t>
            </w:r>
          </w:p>
        </w:tc>
        <w:tc>
          <w:tcPr>
            <w:tcW w:w="1006" w:type="pct"/>
            <w:tcBorders>
              <w:top w:val="nil"/>
              <w:left w:val="nil"/>
              <w:bottom w:val="nil"/>
              <w:right w:val="nil"/>
            </w:tcBorders>
          </w:tcPr>
          <w:p w14:paraId="42D6D7E0"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BC68C4">
              <w:rPr>
                <w:rFonts w:ascii="Times New Roman" w:hAnsi="Times New Roman" w:cs="Times New Roman"/>
                <w:sz w:val="16"/>
                <w:szCs w:val="16"/>
              </w:rPr>
              <w:t>BCCA, IMM</w:t>
            </w:r>
          </w:p>
        </w:tc>
      </w:tr>
      <w:tr w:rsidR="00DC5523" w:rsidRPr="00BC68C4" w14:paraId="329FFF1B" w14:textId="77777777" w:rsidTr="00B83591">
        <w:trPr>
          <w:jc w:val="center"/>
        </w:trPr>
        <w:tc>
          <w:tcPr>
            <w:tcW w:w="1109" w:type="pct"/>
            <w:tcBorders>
              <w:top w:val="nil"/>
              <w:left w:val="nil"/>
              <w:bottom w:val="nil"/>
              <w:right w:val="nil"/>
            </w:tcBorders>
          </w:tcPr>
          <w:p w14:paraId="60DE8AE6" w14:textId="77777777" w:rsidR="00DC5523" w:rsidRPr="00BC68C4" w:rsidRDefault="00DC5523" w:rsidP="00B83591">
            <w:pPr>
              <w:widowControl w:val="0"/>
              <w:autoSpaceDE w:val="0"/>
              <w:autoSpaceDN w:val="0"/>
              <w:adjustRightInd w:val="0"/>
              <w:spacing w:line="276" w:lineRule="auto"/>
              <w:rPr>
                <w:rFonts w:ascii="Times New Roman" w:hAnsi="Times New Roman" w:cs="Times New Roman"/>
                <w:sz w:val="16"/>
                <w:szCs w:val="16"/>
              </w:rPr>
            </w:pPr>
            <w:r w:rsidRPr="00BC68C4">
              <w:rPr>
                <w:rFonts w:ascii="Times New Roman" w:hAnsi="Times New Roman" w:cs="Times New Roman"/>
                <w:sz w:val="16"/>
                <w:szCs w:val="16"/>
              </w:rPr>
              <w:t>Merged</w:t>
            </w:r>
          </w:p>
        </w:tc>
        <w:tc>
          <w:tcPr>
            <w:tcW w:w="2886" w:type="pct"/>
            <w:tcBorders>
              <w:top w:val="nil"/>
              <w:left w:val="nil"/>
              <w:bottom w:val="nil"/>
              <w:right w:val="nil"/>
            </w:tcBorders>
          </w:tcPr>
          <w:p w14:paraId="54838334"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BC68C4">
              <w:rPr>
                <w:rFonts w:ascii="Times New Roman" w:hAnsi="Times New Roman" w:cs="Times New Roman"/>
                <w:sz w:val="16"/>
                <w:szCs w:val="16"/>
              </w:rPr>
              <w:t>A binary variable = 1 if firm merged into another firm, 0 otherwise</w:t>
            </w:r>
          </w:p>
        </w:tc>
        <w:tc>
          <w:tcPr>
            <w:tcW w:w="1006" w:type="pct"/>
            <w:tcBorders>
              <w:top w:val="nil"/>
              <w:left w:val="nil"/>
              <w:bottom w:val="nil"/>
              <w:right w:val="nil"/>
            </w:tcBorders>
          </w:tcPr>
          <w:p w14:paraId="544D4013"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BC68C4">
              <w:rPr>
                <w:rFonts w:ascii="Times New Roman" w:hAnsi="Times New Roman" w:cs="Times New Roman"/>
                <w:sz w:val="16"/>
                <w:szCs w:val="16"/>
              </w:rPr>
              <w:t>RDC, EG, LG</w:t>
            </w:r>
          </w:p>
        </w:tc>
      </w:tr>
      <w:tr w:rsidR="00DC5523" w:rsidRPr="00BC68C4" w14:paraId="1BFEBDB4" w14:textId="77777777" w:rsidTr="00B83591">
        <w:trPr>
          <w:jc w:val="center"/>
        </w:trPr>
        <w:tc>
          <w:tcPr>
            <w:tcW w:w="1109" w:type="pct"/>
            <w:tcBorders>
              <w:top w:val="nil"/>
              <w:left w:val="nil"/>
              <w:bottom w:val="nil"/>
              <w:right w:val="nil"/>
            </w:tcBorders>
          </w:tcPr>
          <w:p w14:paraId="3F0A7F5B" w14:textId="77777777" w:rsidR="00DC5523" w:rsidRPr="00BC68C4" w:rsidRDefault="00DC5523" w:rsidP="00B83591">
            <w:pPr>
              <w:widowControl w:val="0"/>
              <w:autoSpaceDE w:val="0"/>
              <w:autoSpaceDN w:val="0"/>
              <w:adjustRightInd w:val="0"/>
              <w:spacing w:line="276" w:lineRule="auto"/>
              <w:rPr>
                <w:rFonts w:ascii="Times New Roman" w:hAnsi="Times New Roman" w:cs="Times New Roman"/>
                <w:sz w:val="16"/>
                <w:szCs w:val="16"/>
              </w:rPr>
            </w:pPr>
            <w:proofErr w:type="spellStart"/>
            <w:r w:rsidRPr="00BC68C4">
              <w:rPr>
                <w:rFonts w:ascii="Times New Roman" w:hAnsi="Times New Roman" w:cs="Times New Roman"/>
                <w:sz w:val="16"/>
                <w:szCs w:val="16"/>
              </w:rPr>
              <w:t>CourtWoundUp</w:t>
            </w:r>
            <w:proofErr w:type="spellEnd"/>
          </w:p>
        </w:tc>
        <w:tc>
          <w:tcPr>
            <w:tcW w:w="2886" w:type="pct"/>
            <w:tcBorders>
              <w:top w:val="nil"/>
              <w:left w:val="nil"/>
              <w:bottom w:val="nil"/>
              <w:right w:val="nil"/>
            </w:tcBorders>
          </w:tcPr>
          <w:p w14:paraId="10C4AA04"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BC68C4">
              <w:rPr>
                <w:rFonts w:ascii="Times New Roman" w:hAnsi="Times New Roman" w:cs="Times New Roman"/>
                <w:sz w:val="16"/>
                <w:szCs w:val="16"/>
              </w:rPr>
              <w:t>A binary variable = 1 if firm was wound up by court order, 0 otherwise</w:t>
            </w:r>
          </w:p>
        </w:tc>
        <w:tc>
          <w:tcPr>
            <w:tcW w:w="1006" w:type="pct"/>
            <w:tcBorders>
              <w:top w:val="nil"/>
              <w:left w:val="nil"/>
              <w:bottom w:val="nil"/>
              <w:right w:val="nil"/>
            </w:tcBorders>
          </w:tcPr>
          <w:p w14:paraId="63BB1AC4"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BC68C4">
              <w:rPr>
                <w:rFonts w:ascii="Times New Roman" w:hAnsi="Times New Roman" w:cs="Times New Roman"/>
                <w:sz w:val="16"/>
                <w:szCs w:val="16"/>
              </w:rPr>
              <w:t>RDC, EG, LG</w:t>
            </w:r>
          </w:p>
        </w:tc>
      </w:tr>
      <w:tr w:rsidR="00DC5523" w:rsidRPr="00BC68C4" w14:paraId="5360DAA2" w14:textId="77777777" w:rsidTr="00B83591">
        <w:trPr>
          <w:jc w:val="center"/>
        </w:trPr>
        <w:tc>
          <w:tcPr>
            <w:tcW w:w="1109" w:type="pct"/>
            <w:tcBorders>
              <w:top w:val="nil"/>
              <w:left w:val="nil"/>
              <w:bottom w:val="nil"/>
              <w:right w:val="nil"/>
            </w:tcBorders>
          </w:tcPr>
          <w:p w14:paraId="16C05678" w14:textId="77777777" w:rsidR="00DC5523" w:rsidRPr="00BC68C4" w:rsidRDefault="00DC5523" w:rsidP="00B83591">
            <w:pPr>
              <w:widowControl w:val="0"/>
              <w:autoSpaceDE w:val="0"/>
              <w:autoSpaceDN w:val="0"/>
              <w:adjustRightInd w:val="0"/>
              <w:spacing w:line="276" w:lineRule="auto"/>
              <w:rPr>
                <w:rFonts w:ascii="Times New Roman" w:hAnsi="Times New Roman" w:cs="Times New Roman"/>
                <w:sz w:val="16"/>
                <w:szCs w:val="16"/>
              </w:rPr>
            </w:pPr>
            <w:r w:rsidRPr="00BC68C4">
              <w:rPr>
                <w:rFonts w:ascii="Times New Roman" w:hAnsi="Times New Roman" w:cs="Times New Roman"/>
                <w:sz w:val="16"/>
                <w:szCs w:val="16"/>
              </w:rPr>
              <w:t>Removed</w:t>
            </w:r>
          </w:p>
        </w:tc>
        <w:tc>
          <w:tcPr>
            <w:tcW w:w="2886" w:type="pct"/>
            <w:tcBorders>
              <w:top w:val="nil"/>
              <w:left w:val="nil"/>
              <w:bottom w:val="nil"/>
              <w:right w:val="nil"/>
            </w:tcBorders>
          </w:tcPr>
          <w:p w14:paraId="6BC1F649"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BC68C4">
              <w:rPr>
                <w:rFonts w:ascii="Times New Roman" w:hAnsi="Times New Roman" w:cs="Times New Roman"/>
                <w:sz w:val="16"/>
                <w:szCs w:val="16"/>
              </w:rPr>
              <w:t>A binary variable = 1 if firm has been removed from SEY, 0 otherwise</w:t>
            </w:r>
          </w:p>
        </w:tc>
        <w:tc>
          <w:tcPr>
            <w:tcW w:w="1006" w:type="pct"/>
            <w:tcBorders>
              <w:top w:val="nil"/>
              <w:left w:val="nil"/>
              <w:bottom w:val="nil"/>
              <w:right w:val="nil"/>
            </w:tcBorders>
          </w:tcPr>
          <w:p w14:paraId="0B122D4F"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BC68C4">
              <w:rPr>
                <w:rFonts w:ascii="Times New Roman" w:hAnsi="Times New Roman" w:cs="Times New Roman"/>
                <w:sz w:val="16"/>
                <w:szCs w:val="16"/>
              </w:rPr>
              <w:t>RDC, EG, LG</w:t>
            </w:r>
          </w:p>
        </w:tc>
      </w:tr>
      <w:tr w:rsidR="00DC5523" w:rsidRPr="00BC68C4" w14:paraId="6E54F95E" w14:textId="77777777" w:rsidTr="00B83591">
        <w:trPr>
          <w:jc w:val="center"/>
        </w:trPr>
        <w:tc>
          <w:tcPr>
            <w:tcW w:w="1109" w:type="pct"/>
            <w:tcBorders>
              <w:top w:val="nil"/>
              <w:left w:val="nil"/>
              <w:bottom w:val="nil"/>
              <w:right w:val="nil"/>
            </w:tcBorders>
          </w:tcPr>
          <w:p w14:paraId="45B055C3" w14:textId="77777777" w:rsidR="00DC5523" w:rsidRPr="00BC68C4" w:rsidRDefault="00DC5523" w:rsidP="00B83591">
            <w:pPr>
              <w:widowControl w:val="0"/>
              <w:autoSpaceDE w:val="0"/>
              <w:autoSpaceDN w:val="0"/>
              <w:adjustRightInd w:val="0"/>
              <w:spacing w:line="276" w:lineRule="auto"/>
              <w:rPr>
                <w:rFonts w:ascii="Times New Roman" w:hAnsi="Times New Roman" w:cs="Times New Roman"/>
                <w:sz w:val="16"/>
                <w:szCs w:val="16"/>
              </w:rPr>
            </w:pPr>
            <w:proofErr w:type="spellStart"/>
            <w:r w:rsidRPr="00BC68C4">
              <w:rPr>
                <w:rFonts w:ascii="Times New Roman" w:hAnsi="Times New Roman" w:cs="Times New Roman"/>
                <w:sz w:val="16"/>
                <w:szCs w:val="16"/>
              </w:rPr>
              <w:t>VolWoundUp</w:t>
            </w:r>
            <w:proofErr w:type="spellEnd"/>
          </w:p>
        </w:tc>
        <w:tc>
          <w:tcPr>
            <w:tcW w:w="2886" w:type="pct"/>
            <w:tcBorders>
              <w:top w:val="nil"/>
              <w:left w:val="nil"/>
              <w:bottom w:val="nil"/>
              <w:right w:val="nil"/>
            </w:tcBorders>
          </w:tcPr>
          <w:p w14:paraId="18D6FCAC"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BC68C4">
              <w:rPr>
                <w:rFonts w:ascii="Times New Roman" w:hAnsi="Times New Roman" w:cs="Times New Roman"/>
                <w:sz w:val="16"/>
                <w:szCs w:val="16"/>
              </w:rPr>
              <w:t>A binary variable = 1 if firm was voluntarily wound up, 0 otherwise</w:t>
            </w:r>
          </w:p>
        </w:tc>
        <w:tc>
          <w:tcPr>
            <w:tcW w:w="1006" w:type="pct"/>
            <w:tcBorders>
              <w:top w:val="nil"/>
              <w:left w:val="nil"/>
              <w:bottom w:val="nil"/>
              <w:right w:val="nil"/>
            </w:tcBorders>
          </w:tcPr>
          <w:p w14:paraId="0AA81C5E"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BC68C4">
              <w:rPr>
                <w:rFonts w:ascii="Times New Roman" w:hAnsi="Times New Roman" w:cs="Times New Roman"/>
                <w:sz w:val="16"/>
                <w:szCs w:val="16"/>
              </w:rPr>
              <w:t>RDC, EG, LG</w:t>
            </w:r>
          </w:p>
        </w:tc>
      </w:tr>
      <w:tr w:rsidR="00DC5523" w:rsidRPr="00BC68C4" w14:paraId="31EE46C6" w14:textId="77777777" w:rsidTr="00B83591">
        <w:trPr>
          <w:jc w:val="center"/>
        </w:trPr>
        <w:tc>
          <w:tcPr>
            <w:tcW w:w="1109" w:type="pct"/>
            <w:tcBorders>
              <w:top w:val="nil"/>
              <w:left w:val="nil"/>
              <w:bottom w:val="nil"/>
              <w:right w:val="nil"/>
            </w:tcBorders>
          </w:tcPr>
          <w:p w14:paraId="4CEF8655" w14:textId="77777777" w:rsidR="00DC5523" w:rsidRPr="00BC68C4" w:rsidRDefault="00DC5523" w:rsidP="00B83591">
            <w:pPr>
              <w:widowControl w:val="0"/>
              <w:autoSpaceDE w:val="0"/>
              <w:autoSpaceDN w:val="0"/>
              <w:adjustRightInd w:val="0"/>
              <w:spacing w:line="276" w:lineRule="auto"/>
              <w:rPr>
                <w:rFonts w:ascii="Times New Roman" w:hAnsi="Times New Roman" w:cs="Times New Roman"/>
                <w:sz w:val="16"/>
                <w:szCs w:val="16"/>
              </w:rPr>
            </w:pPr>
            <w:r w:rsidRPr="00BC68C4">
              <w:rPr>
                <w:rFonts w:ascii="Times New Roman" w:hAnsi="Times New Roman" w:cs="Times New Roman"/>
                <w:sz w:val="16"/>
                <w:szCs w:val="16"/>
              </w:rPr>
              <w:t>Reconstructed</w:t>
            </w:r>
          </w:p>
        </w:tc>
        <w:tc>
          <w:tcPr>
            <w:tcW w:w="2886" w:type="pct"/>
            <w:tcBorders>
              <w:top w:val="nil"/>
              <w:left w:val="nil"/>
              <w:bottom w:val="nil"/>
              <w:right w:val="nil"/>
            </w:tcBorders>
          </w:tcPr>
          <w:p w14:paraId="1C013609"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BC68C4">
              <w:rPr>
                <w:rFonts w:ascii="Times New Roman" w:hAnsi="Times New Roman" w:cs="Times New Roman"/>
                <w:sz w:val="16"/>
                <w:szCs w:val="16"/>
              </w:rPr>
              <w:t>A binary variable = 1 if firm was reconstructed, 0 otherwise</w:t>
            </w:r>
          </w:p>
        </w:tc>
        <w:tc>
          <w:tcPr>
            <w:tcW w:w="1006" w:type="pct"/>
            <w:tcBorders>
              <w:top w:val="nil"/>
              <w:left w:val="nil"/>
              <w:bottom w:val="nil"/>
              <w:right w:val="nil"/>
            </w:tcBorders>
          </w:tcPr>
          <w:p w14:paraId="7582B1DC"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BC68C4">
              <w:rPr>
                <w:rFonts w:ascii="Times New Roman" w:hAnsi="Times New Roman" w:cs="Times New Roman"/>
                <w:sz w:val="16"/>
                <w:szCs w:val="16"/>
              </w:rPr>
              <w:t>RDC, EG, LG</w:t>
            </w:r>
          </w:p>
        </w:tc>
      </w:tr>
      <w:tr w:rsidR="00DC5523" w:rsidRPr="00BC68C4" w14:paraId="0AC97026" w14:textId="77777777" w:rsidTr="00B83591">
        <w:trPr>
          <w:jc w:val="center"/>
        </w:trPr>
        <w:tc>
          <w:tcPr>
            <w:tcW w:w="1109" w:type="pct"/>
            <w:tcBorders>
              <w:top w:val="nil"/>
              <w:left w:val="nil"/>
              <w:bottom w:val="nil"/>
              <w:right w:val="nil"/>
            </w:tcBorders>
          </w:tcPr>
          <w:p w14:paraId="1D1DEB87" w14:textId="77777777" w:rsidR="00DC5523" w:rsidRPr="00BC68C4" w:rsidRDefault="00DC5523" w:rsidP="00B83591">
            <w:pPr>
              <w:widowControl w:val="0"/>
              <w:autoSpaceDE w:val="0"/>
              <w:autoSpaceDN w:val="0"/>
              <w:adjustRightInd w:val="0"/>
              <w:spacing w:line="276" w:lineRule="auto"/>
              <w:rPr>
                <w:rFonts w:ascii="Times New Roman" w:hAnsi="Times New Roman" w:cs="Times New Roman"/>
                <w:sz w:val="16"/>
                <w:szCs w:val="16"/>
                <w:u w:val="single"/>
              </w:rPr>
            </w:pPr>
          </w:p>
        </w:tc>
        <w:tc>
          <w:tcPr>
            <w:tcW w:w="2886" w:type="pct"/>
            <w:tcBorders>
              <w:top w:val="nil"/>
              <w:left w:val="nil"/>
              <w:bottom w:val="nil"/>
              <w:right w:val="nil"/>
            </w:tcBorders>
          </w:tcPr>
          <w:p w14:paraId="1FE16C77"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p>
        </w:tc>
        <w:tc>
          <w:tcPr>
            <w:tcW w:w="1006" w:type="pct"/>
            <w:tcBorders>
              <w:top w:val="nil"/>
              <w:left w:val="nil"/>
              <w:bottom w:val="nil"/>
              <w:right w:val="nil"/>
            </w:tcBorders>
          </w:tcPr>
          <w:p w14:paraId="260AE394"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p>
        </w:tc>
      </w:tr>
      <w:tr w:rsidR="00DC5523" w:rsidRPr="00BC68C4" w14:paraId="2A62AA07" w14:textId="77777777" w:rsidTr="00B83591">
        <w:trPr>
          <w:jc w:val="center"/>
        </w:trPr>
        <w:tc>
          <w:tcPr>
            <w:tcW w:w="1109" w:type="pct"/>
            <w:tcBorders>
              <w:top w:val="nil"/>
              <w:left w:val="nil"/>
              <w:bottom w:val="nil"/>
              <w:right w:val="nil"/>
            </w:tcBorders>
          </w:tcPr>
          <w:p w14:paraId="6CE00AF0" w14:textId="77777777" w:rsidR="00DC5523" w:rsidRPr="00BC68C4" w:rsidRDefault="00DC5523" w:rsidP="00B83591">
            <w:pPr>
              <w:widowControl w:val="0"/>
              <w:autoSpaceDE w:val="0"/>
              <w:autoSpaceDN w:val="0"/>
              <w:adjustRightInd w:val="0"/>
              <w:spacing w:line="276" w:lineRule="auto"/>
              <w:rPr>
                <w:rFonts w:ascii="Times New Roman" w:hAnsi="Times New Roman" w:cs="Times New Roman"/>
                <w:sz w:val="16"/>
                <w:szCs w:val="16"/>
                <w:u w:val="single"/>
              </w:rPr>
            </w:pPr>
            <w:r w:rsidRPr="00BC68C4">
              <w:rPr>
                <w:rFonts w:ascii="Times New Roman" w:hAnsi="Times New Roman" w:cs="Times New Roman"/>
                <w:sz w:val="16"/>
                <w:szCs w:val="16"/>
                <w:u w:val="single"/>
              </w:rPr>
              <w:t>Control variables</w:t>
            </w:r>
          </w:p>
        </w:tc>
        <w:tc>
          <w:tcPr>
            <w:tcW w:w="2886" w:type="pct"/>
            <w:tcBorders>
              <w:top w:val="nil"/>
              <w:left w:val="nil"/>
              <w:bottom w:val="nil"/>
              <w:right w:val="nil"/>
            </w:tcBorders>
          </w:tcPr>
          <w:p w14:paraId="6A108EAC"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p>
        </w:tc>
        <w:tc>
          <w:tcPr>
            <w:tcW w:w="1006" w:type="pct"/>
            <w:tcBorders>
              <w:top w:val="nil"/>
              <w:left w:val="nil"/>
              <w:bottom w:val="nil"/>
              <w:right w:val="nil"/>
            </w:tcBorders>
          </w:tcPr>
          <w:p w14:paraId="183E557F"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p>
        </w:tc>
      </w:tr>
      <w:tr w:rsidR="00DC5523" w:rsidRPr="00BC68C4" w14:paraId="246FED00" w14:textId="77777777" w:rsidTr="00B83591">
        <w:trPr>
          <w:jc w:val="center"/>
        </w:trPr>
        <w:tc>
          <w:tcPr>
            <w:tcW w:w="1109" w:type="pct"/>
            <w:tcBorders>
              <w:top w:val="nil"/>
              <w:left w:val="nil"/>
              <w:bottom w:val="nil"/>
              <w:right w:val="nil"/>
            </w:tcBorders>
          </w:tcPr>
          <w:p w14:paraId="26218D8F" w14:textId="77777777" w:rsidR="00DC5523" w:rsidRPr="00BC68C4" w:rsidRDefault="00DC5523" w:rsidP="00B83591">
            <w:pPr>
              <w:widowControl w:val="0"/>
              <w:autoSpaceDE w:val="0"/>
              <w:autoSpaceDN w:val="0"/>
              <w:adjustRightInd w:val="0"/>
              <w:spacing w:line="276" w:lineRule="auto"/>
              <w:rPr>
                <w:rFonts w:ascii="Times New Roman" w:hAnsi="Times New Roman" w:cs="Times New Roman"/>
                <w:sz w:val="16"/>
                <w:szCs w:val="16"/>
              </w:rPr>
            </w:pPr>
            <w:proofErr w:type="spellStart"/>
            <w:r w:rsidRPr="00BC68C4">
              <w:rPr>
                <w:rFonts w:ascii="Times New Roman" w:hAnsi="Times New Roman" w:cs="Times New Roman"/>
                <w:sz w:val="16"/>
                <w:szCs w:val="16"/>
              </w:rPr>
              <w:t>OwnDate</w:t>
            </w:r>
            <w:proofErr w:type="spellEnd"/>
          </w:p>
        </w:tc>
        <w:tc>
          <w:tcPr>
            <w:tcW w:w="2886" w:type="pct"/>
            <w:tcBorders>
              <w:top w:val="nil"/>
              <w:left w:val="nil"/>
              <w:bottom w:val="nil"/>
              <w:right w:val="nil"/>
            </w:tcBorders>
          </w:tcPr>
          <w:p w14:paraId="70407792"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BC68C4">
              <w:rPr>
                <w:rFonts w:ascii="Times New Roman" w:hAnsi="Times New Roman" w:cs="Times New Roman"/>
                <w:sz w:val="16"/>
                <w:szCs w:val="16"/>
              </w:rPr>
              <w:t>Year in which ownership census was taken</w:t>
            </w:r>
          </w:p>
        </w:tc>
        <w:tc>
          <w:tcPr>
            <w:tcW w:w="1006" w:type="pct"/>
            <w:tcBorders>
              <w:top w:val="nil"/>
              <w:left w:val="nil"/>
              <w:bottom w:val="nil"/>
              <w:right w:val="nil"/>
            </w:tcBorders>
          </w:tcPr>
          <w:p w14:paraId="743806F5"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BC68C4">
              <w:rPr>
                <w:rFonts w:ascii="Times New Roman" w:hAnsi="Times New Roman" w:cs="Times New Roman"/>
                <w:sz w:val="16"/>
                <w:szCs w:val="16"/>
              </w:rPr>
              <w:t>OR</w:t>
            </w:r>
          </w:p>
        </w:tc>
      </w:tr>
      <w:tr w:rsidR="00DC5523" w:rsidRPr="00BC68C4" w14:paraId="52AA908B" w14:textId="77777777" w:rsidTr="00B83591">
        <w:trPr>
          <w:jc w:val="center"/>
        </w:trPr>
        <w:tc>
          <w:tcPr>
            <w:tcW w:w="1109" w:type="pct"/>
            <w:tcBorders>
              <w:top w:val="nil"/>
              <w:left w:val="nil"/>
              <w:bottom w:val="nil"/>
              <w:right w:val="nil"/>
            </w:tcBorders>
          </w:tcPr>
          <w:p w14:paraId="74E3E68C" w14:textId="77777777" w:rsidR="00DC5523" w:rsidRPr="00BC68C4" w:rsidRDefault="00DC5523" w:rsidP="00B83591">
            <w:pPr>
              <w:widowControl w:val="0"/>
              <w:autoSpaceDE w:val="0"/>
              <w:autoSpaceDN w:val="0"/>
              <w:adjustRightInd w:val="0"/>
              <w:spacing w:line="276" w:lineRule="auto"/>
              <w:rPr>
                <w:rFonts w:ascii="Times New Roman" w:hAnsi="Times New Roman" w:cs="Times New Roman"/>
                <w:sz w:val="16"/>
                <w:szCs w:val="16"/>
              </w:rPr>
            </w:pPr>
            <w:proofErr w:type="spellStart"/>
            <w:r w:rsidRPr="00BC68C4">
              <w:rPr>
                <w:rFonts w:ascii="Times New Roman" w:hAnsi="Times New Roman" w:cs="Times New Roman"/>
                <w:sz w:val="16"/>
                <w:szCs w:val="16"/>
              </w:rPr>
              <w:t>EstDate</w:t>
            </w:r>
            <w:proofErr w:type="spellEnd"/>
          </w:p>
        </w:tc>
        <w:tc>
          <w:tcPr>
            <w:tcW w:w="2886" w:type="pct"/>
            <w:tcBorders>
              <w:top w:val="nil"/>
              <w:left w:val="nil"/>
              <w:bottom w:val="nil"/>
              <w:right w:val="nil"/>
            </w:tcBorders>
          </w:tcPr>
          <w:p w14:paraId="661088FC"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BC68C4">
              <w:rPr>
                <w:rFonts w:ascii="Times New Roman" w:hAnsi="Times New Roman" w:cs="Times New Roman"/>
                <w:sz w:val="16"/>
                <w:szCs w:val="16"/>
              </w:rPr>
              <w:t>Year in which company was established</w:t>
            </w:r>
          </w:p>
        </w:tc>
        <w:tc>
          <w:tcPr>
            <w:tcW w:w="1006" w:type="pct"/>
            <w:tcBorders>
              <w:top w:val="nil"/>
              <w:left w:val="nil"/>
              <w:bottom w:val="nil"/>
              <w:right w:val="nil"/>
            </w:tcBorders>
          </w:tcPr>
          <w:p w14:paraId="23641C9E"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proofErr w:type="spellStart"/>
            <w:r w:rsidRPr="00BC68C4">
              <w:rPr>
                <w:rFonts w:ascii="Times New Roman" w:hAnsi="Times New Roman" w:cs="Times New Roman"/>
                <w:sz w:val="16"/>
                <w:szCs w:val="16"/>
              </w:rPr>
              <w:t>AoA</w:t>
            </w:r>
            <w:proofErr w:type="spellEnd"/>
            <w:r w:rsidRPr="00BC68C4">
              <w:rPr>
                <w:rFonts w:ascii="Times New Roman" w:hAnsi="Times New Roman" w:cs="Times New Roman"/>
                <w:sz w:val="16"/>
                <w:szCs w:val="16"/>
              </w:rPr>
              <w:t>, SEY, SEOI, BOI</w:t>
            </w:r>
          </w:p>
        </w:tc>
      </w:tr>
      <w:tr w:rsidR="00DC5523" w:rsidRPr="00BC68C4" w14:paraId="0D08AAA8" w14:textId="77777777" w:rsidTr="00B83591">
        <w:trPr>
          <w:jc w:val="center"/>
        </w:trPr>
        <w:tc>
          <w:tcPr>
            <w:tcW w:w="1109" w:type="pct"/>
            <w:tcBorders>
              <w:top w:val="nil"/>
              <w:left w:val="nil"/>
              <w:bottom w:val="nil"/>
              <w:right w:val="nil"/>
            </w:tcBorders>
          </w:tcPr>
          <w:p w14:paraId="747818B5" w14:textId="77777777" w:rsidR="00DC5523" w:rsidRPr="00BC68C4" w:rsidRDefault="00DC5523" w:rsidP="00B83591">
            <w:pPr>
              <w:widowControl w:val="0"/>
              <w:autoSpaceDE w:val="0"/>
              <w:autoSpaceDN w:val="0"/>
              <w:adjustRightInd w:val="0"/>
              <w:spacing w:line="276" w:lineRule="auto"/>
              <w:rPr>
                <w:rFonts w:ascii="Times New Roman" w:hAnsi="Times New Roman" w:cs="Times New Roman"/>
                <w:sz w:val="16"/>
                <w:szCs w:val="16"/>
              </w:rPr>
            </w:pPr>
            <w:r w:rsidRPr="00BC68C4">
              <w:rPr>
                <w:rFonts w:ascii="Times New Roman" w:hAnsi="Times New Roman" w:cs="Times New Roman"/>
                <w:sz w:val="16"/>
                <w:szCs w:val="16"/>
              </w:rPr>
              <w:t>Size</w:t>
            </w:r>
          </w:p>
        </w:tc>
        <w:tc>
          <w:tcPr>
            <w:tcW w:w="2886" w:type="pct"/>
            <w:tcBorders>
              <w:top w:val="nil"/>
              <w:left w:val="nil"/>
              <w:bottom w:val="nil"/>
              <w:right w:val="nil"/>
            </w:tcBorders>
          </w:tcPr>
          <w:p w14:paraId="3E58CD64"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BC68C4">
              <w:rPr>
                <w:rFonts w:ascii="Times New Roman" w:hAnsi="Times New Roman" w:cs="Times New Roman"/>
                <w:sz w:val="16"/>
                <w:szCs w:val="16"/>
              </w:rPr>
              <w:t xml:space="preserve">Natural log of company par (paid-up) value </w:t>
            </w:r>
          </w:p>
        </w:tc>
        <w:tc>
          <w:tcPr>
            <w:tcW w:w="1006" w:type="pct"/>
            <w:tcBorders>
              <w:top w:val="nil"/>
              <w:left w:val="nil"/>
              <w:bottom w:val="nil"/>
              <w:right w:val="nil"/>
            </w:tcBorders>
          </w:tcPr>
          <w:p w14:paraId="6FCC55E8"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BC68C4">
              <w:rPr>
                <w:rFonts w:ascii="Times New Roman" w:hAnsi="Times New Roman" w:cs="Times New Roman"/>
                <w:sz w:val="16"/>
                <w:szCs w:val="16"/>
              </w:rPr>
              <w:t>OR, SEY, SEOI, BOI</w:t>
            </w:r>
          </w:p>
        </w:tc>
      </w:tr>
      <w:tr w:rsidR="00DC5523" w:rsidRPr="00BC68C4" w14:paraId="15D25965" w14:textId="77777777" w:rsidTr="00B83591">
        <w:trPr>
          <w:jc w:val="center"/>
        </w:trPr>
        <w:tc>
          <w:tcPr>
            <w:tcW w:w="1109" w:type="pct"/>
            <w:tcBorders>
              <w:top w:val="nil"/>
              <w:left w:val="nil"/>
              <w:bottom w:val="nil"/>
              <w:right w:val="nil"/>
            </w:tcBorders>
          </w:tcPr>
          <w:p w14:paraId="2087AECC" w14:textId="77777777" w:rsidR="00DC5523" w:rsidRPr="00BC68C4" w:rsidRDefault="00DC5523" w:rsidP="00B83591">
            <w:pPr>
              <w:widowControl w:val="0"/>
              <w:autoSpaceDE w:val="0"/>
              <w:autoSpaceDN w:val="0"/>
              <w:adjustRightInd w:val="0"/>
              <w:spacing w:line="276" w:lineRule="auto"/>
              <w:rPr>
                <w:rFonts w:ascii="Times New Roman" w:hAnsi="Times New Roman" w:cs="Times New Roman"/>
                <w:sz w:val="16"/>
                <w:szCs w:val="16"/>
              </w:rPr>
            </w:pPr>
            <w:proofErr w:type="spellStart"/>
            <w:r w:rsidRPr="00BC68C4">
              <w:rPr>
                <w:rFonts w:ascii="Times New Roman" w:hAnsi="Times New Roman" w:cs="Times New Roman"/>
                <w:sz w:val="16"/>
                <w:szCs w:val="16"/>
              </w:rPr>
              <w:t>DirectorQual</w:t>
            </w:r>
            <w:proofErr w:type="spellEnd"/>
          </w:p>
        </w:tc>
        <w:tc>
          <w:tcPr>
            <w:tcW w:w="2886" w:type="pct"/>
            <w:tcBorders>
              <w:top w:val="nil"/>
              <w:left w:val="nil"/>
              <w:bottom w:val="nil"/>
              <w:right w:val="nil"/>
            </w:tcBorders>
          </w:tcPr>
          <w:p w14:paraId="104991B1"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BC68C4">
              <w:rPr>
                <w:rFonts w:ascii="Times New Roman" w:hAnsi="Times New Roman" w:cs="Times New Roman"/>
                <w:sz w:val="16"/>
                <w:szCs w:val="16"/>
              </w:rPr>
              <w:t>Shareholding requirement for directors scaled by total paid-up capital</w:t>
            </w:r>
          </w:p>
        </w:tc>
        <w:tc>
          <w:tcPr>
            <w:tcW w:w="1006" w:type="pct"/>
            <w:tcBorders>
              <w:top w:val="nil"/>
              <w:left w:val="nil"/>
              <w:bottom w:val="nil"/>
              <w:right w:val="nil"/>
            </w:tcBorders>
          </w:tcPr>
          <w:p w14:paraId="7166F503"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proofErr w:type="spellStart"/>
            <w:r w:rsidRPr="00BC68C4">
              <w:rPr>
                <w:rFonts w:ascii="Times New Roman" w:hAnsi="Times New Roman" w:cs="Times New Roman"/>
                <w:sz w:val="16"/>
                <w:szCs w:val="16"/>
              </w:rPr>
              <w:t>AoA</w:t>
            </w:r>
            <w:proofErr w:type="spellEnd"/>
            <w:r w:rsidRPr="00BC68C4">
              <w:rPr>
                <w:rFonts w:ascii="Times New Roman" w:hAnsi="Times New Roman" w:cs="Times New Roman"/>
                <w:sz w:val="16"/>
                <w:szCs w:val="16"/>
              </w:rPr>
              <w:t>, SEY, SEOI, BOI</w:t>
            </w:r>
          </w:p>
        </w:tc>
      </w:tr>
      <w:tr w:rsidR="00DC5523" w:rsidRPr="00BC68C4" w14:paraId="0941678A" w14:textId="77777777" w:rsidTr="00B83591">
        <w:trPr>
          <w:jc w:val="center"/>
        </w:trPr>
        <w:tc>
          <w:tcPr>
            <w:tcW w:w="1109" w:type="pct"/>
            <w:tcBorders>
              <w:top w:val="nil"/>
              <w:left w:val="nil"/>
              <w:bottom w:val="nil"/>
              <w:right w:val="nil"/>
            </w:tcBorders>
          </w:tcPr>
          <w:p w14:paraId="41BC4159" w14:textId="77777777" w:rsidR="00DC5523" w:rsidRPr="00BC68C4" w:rsidRDefault="00DC5523" w:rsidP="00B83591">
            <w:pPr>
              <w:widowControl w:val="0"/>
              <w:autoSpaceDE w:val="0"/>
              <w:autoSpaceDN w:val="0"/>
              <w:adjustRightInd w:val="0"/>
              <w:spacing w:line="276" w:lineRule="auto"/>
              <w:rPr>
                <w:rFonts w:ascii="Times New Roman" w:hAnsi="Times New Roman" w:cs="Times New Roman"/>
                <w:sz w:val="16"/>
                <w:szCs w:val="16"/>
              </w:rPr>
            </w:pPr>
            <w:proofErr w:type="spellStart"/>
            <w:r w:rsidRPr="00BC68C4">
              <w:rPr>
                <w:rFonts w:ascii="Times New Roman" w:hAnsi="Times New Roman" w:cs="Times New Roman"/>
                <w:sz w:val="16"/>
                <w:szCs w:val="16"/>
              </w:rPr>
              <w:t>HeadLondon</w:t>
            </w:r>
            <w:proofErr w:type="spellEnd"/>
          </w:p>
        </w:tc>
        <w:tc>
          <w:tcPr>
            <w:tcW w:w="2886" w:type="pct"/>
            <w:tcBorders>
              <w:top w:val="nil"/>
              <w:left w:val="nil"/>
              <w:bottom w:val="nil"/>
              <w:right w:val="nil"/>
            </w:tcBorders>
          </w:tcPr>
          <w:p w14:paraId="6E23BC03"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BC68C4">
              <w:rPr>
                <w:rFonts w:ascii="Times New Roman" w:hAnsi="Times New Roman" w:cs="Times New Roman"/>
                <w:sz w:val="16"/>
                <w:szCs w:val="16"/>
              </w:rPr>
              <w:t>A binary variable which equals 1 if company has a head office in London, 0 otherwise</w:t>
            </w:r>
          </w:p>
        </w:tc>
        <w:tc>
          <w:tcPr>
            <w:tcW w:w="1006" w:type="pct"/>
            <w:tcBorders>
              <w:top w:val="nil"/>
              <w:left w:val="nil"/>
              <w:bottom w:val="nil"/>
              <w:right w:val="nil"/>
            </w:tcBorders>
          </w:tcPr>
          <w:p w14:paraId="6BF0A045"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proofErr w:type="spellStart"/>
            <w:r w:rsidRPr="00BC68C4">
              <w:rPr>
                <w:rFonts w:ascii="Times New Roman" w:hAnsi="Times New Roman" w:cs="Times New Roman"/>
                <w:sz w:val="16"/>
                <w:szCs w:val="16"/>
              </w:rPr>
              <w:t>AoA</w:t>
            </w:r>
            <w:proofErr w:type="spellEnd"/>
            <w:r w:rsidRPr="00BC68C4">
              <w:rPr>
                <w:rFonts w:ascii="Times New Roman" w:hAnsi="Times New Roman" w:cs="Times New Roman"/>
                <w:sz w:val="16"/>
                <w:szCs w:val="16"/>
              </w:rPr>
              <w:t>, SEY, SEOI, BOI</w:t>
            </w:r>
          </w:p>
        </w:tc>
      </w:tr>
      <w:tr w:rsidR="00DC5523" w:rsidRPr="00BC68C4" w14:paraId="1C3F15BF" w14:textId="77777777" w:rsidTr="00B83591">
        <w:trPr>
          <w:jc w:val="center"/>
        </w:trPr>
        <w:tc>
          <w:tcPr>
            <w:tcW w:w="1109" w:type="pct"/>
            <w:tcBorders>
              <w:top w:val="nil"/>
              <w:left w:val="nil"/>
              <w:bottom w:val="nil"/>
              <w:right w:val="nil"/>
            </w:tcBorders>
          </w:tcPr>
          <w:p w14:paraId="2D2DBEF9" w14:textId="77777777" w:rsidR="00DC5523" w:rsidRPr="00BC68C4" w:rsidRDefault="00DC5523" w:rsidP="00B83591">
            <w:pPr>
              <w:widowControl w:val="0"/>
              <w:autoSpaceDE w:val="0"/>
              <w:autoSpaceDN w:val="0"/>
              <w:adjustRightInd w:val="0"/>
              <w:spacing w:line="276" w:lineRule="auto"/>
              <w:rPr>
                <w:rFonts w:ascii="Times New Roman" w:hAnsi="Times New Roman" w:cs="Times New Roman"/>
                <w:sz w:val="16"/>
                <w:szCs w:val="16"/>
              </w:rPr>
            </w:pPr>
            <w:r w:rsidRPr="00BC68C4">
              <w:rPr>
                <w:rFonts w:ascii="Times New Roman" w:hAnsi="Times New Roman" w:cs="Times New Roman"/>
                <w:sz w:val="16"/>
                <w:szCs w:val="16"/>
              </w:rPr>
              <w:t>Scottish</w:t>
            </w:r>
          </w:p>
        </w:tc>
        <w:tc>
          <w:tcPr>
            <w:tcW w:w="2886" w:type="pct"/>
            <w:tcBorders>
              <w:top w:val="nil"/>
              <w:left w:val="nil"/>
              <w:bottom w:val="nil"/>
              <w:right w:val="nil"/>
            </w:tcBorders>
          </w:tcPr>
          <w:p w14:paraId="4F0425E1"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BC68C4">
              <w:rPr>
                <w:rFonts w:ascii="Times New Roman" w:hAnsi="Times New Roman" w:cs="Times New Roman"/>
                <w:sz w:val="16"/>
                <w:szCs w:val="16"/>
              </w:rPr>
              <w:t>A binary variable which equals 1 if company is Scottish, 0 otherwise</w:t>
            </w:r>
          </w:p>
        </w:tc>
        <w:tc>
          <w:tcPr>
            <w:tcW w:w="1006" w:type="pct"/>
            <w:tcBorders>
              <w:top w:val="nil"/>
              <w:left w:val="nil"/>
              <w:bottom w:val="nil"/>
              <w:right w:val="nil"/>
            </w:tcBorders>
          </w:tcPr>
          <w:p w14:paraId="6D2E1741"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BC68C4">
              <w:rPr>
                <w:rFonts w:ascii="Times New Roman" w:hAnsi="Times New Roman" w:cs="Times New Roman"/>
                <w:sz w:val="16"/>
                <w:szCs w:val="16"/>
              </w:rPr>
              <w:t>OR</w:t>
            </w:r>
          </w:p>
        </w:tc>
      </w:tr>
      <w:tr w:rsidR="00DC5523" w:rsidRPr="00BC68C4" w14:paraId="1DB12A33" w14:textId="77777777" w:rsidTr="00B83591">
        <w:trPr>
          <w:jc w:val="center"/>
        </w:trPr>
        <w:tc>
          <w:tcPr>
            <w:tcW w:w="1109" w:type="pct"/>
            <w:tcBorders>
              <w:top w:val="nil"/>
              <w:left w:val="nil"/>
              <w:bottom w:val="nil"/>
              <w:right w:val="nil"/>
            </w:tcBorders>
          </w:tcPr>
          <w:p w14:paraId="3B3200E7" w14:textId="77777777" w:rsidR="00DC5523" w:rsidRPr="00BC68C4" w:rsidRDefault="00DC5523" w:rsidP="00B83591">
            <w:pPr>
              <w:widowControl w:val="0"/>
              <w:autoSpaceDE w:val="0"/>
              <w:autoSpaceDN w:val="0"/>
              <w:adjustRightInd w:val="0"/>
              <w:spacing w:line="276" w:lineRule="auto"/>
              <w:rPr>
                <w:rFonts w:ascii="Times New Roman" w:hAnsi="Times New Roman" w:cs="Times New Roman"/>
                <w:sz w:val="16"/>
                <w:szCs w:val="16"/>
              </w:rPr>
            </w:pPr>
            <w:proofErr w:type="spellStart"/>
            <w:r w:rsidRPr="00BC68C4">
              <w:rPr>
                <w:rFonts w:ascii="Times New Roman" w:hAnsi="Times New Roman" w:cs="Times New Roman"/>
                <w:sz w:val="16"/>
                <w:szCs w:val="16"/>
              </w:rPr>
              <w:t>LTDebt</w:t>
            </w:r>
            <w:proofErr w:type="spellEnd"/>
          </w:p>
        </w:tc>
        <w:tc>
          <w:tcPr>
            <w:tcW w:w="2886" w:type="pct"/>
            <w:tcBorders>
              <w:top w:val="nil"/>
              <w:left w:val="nil"/>
              <w:bottom w:val="nil"/>
              <w:right w:val="nil"/>
            </w:tcBorders>
          </w:tcPr>
          <w:p w14:paraId="08596075"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BC68C4">
              <w:rPr>
                <w:rFonts w:ascii="Times New Roman" w:hAnsi="Times New Roman" w:cs="Times New Roman"/>
                <w:sz w:val="16"/>
                <w:szCs w:val="16"/>
              </w:rPr>
              <w:t>Long-term debt as a percentage of total capital</w:t>
            </w:r>
          </w:p>
        </w:tc>
        <w:tc>
          <w:tcPr>
            <w:tcW w:w="1006" w:type="pct"/>
            <w:tcBorders>
              <w:top w:val="nil"/>
              <w:left w:val="nil"/>
              <w:bottom w:val="nil"/>
              <w:right w:val="nil"/>
            </w:tcBorders>
          </w:tcPr>
          <w:p w14:paraId="67D6275E"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BC68C4">
              <w:rPr>
                <w:rFonts w:ascii="Times New Roman" w:hAnsi="Times New Roman" w:cs="Times New Roman"/>
                <w:sz w:val="16"/>
                <w:szCs w:val="16"/>
              </w:rPr>
              <w:t>BCCA, IMM</w:t>
            </w:r>
          </w:p>
        </w:tc>
      </w:tr>
      <w:tr w:rsidR="00DC5523" w:rsidRPr="00BC68C4" w14:paraId="7771EA3A" w14:textId="77777777" w:rsidTr="00B83591">
        <w:trPr>
          <w:jc w:val="center"/>
        </w:trPr>
        <w:tc>
          <w:tcPr>
            <w:tcW w:w="1109" w:type="pct"/>
            <w:tcBorders>
              <w:top w:val="nil"/>
              <w:left w:val="nil"/>
              <w:bottom w:val="nil"/>
              <w:right w:val="nil"/>
            </w:tcBorders>
          </w:tcPr>
          <w:p w14:paraId="30ACB355" w14:textId="77777777" w:rsidR="00DC5523" w:rsidRPr="00BC68C4" w:rsidRDefault="00DC5523" w:rsidP="00B83591">
            <w:pPr>
              <w:widowControl w:val="0"/>
              <w:autoSpaceDE w:val="0"/>
              <w:autoSpaceDN w:val="0"/>
              <w:adjustRightInd w:val="0"/>
              <w:spacing w:line="276" w:lineRule="auto"/>
              <w:rPr>
                <w:rFonts w:ascii="Times New Roman" w:hAnsi="Times New Roman" w:cs="Times New Roman"/>
                <w:sz w:val="16"/>
                <w:szCs w:val="16"/>
              </w:rPr>
            </w:pPr>
            <w:proofErr w:type="spellStart"/>
            <w:r w:rsidRPr="00BC68C4">
              <w:rPr>
                <w:rFonts w:ascii="Times New Roman" w:hAnsi="Times New Roman" w:cs="Times New Roman"/>
                <w:sz w:val="16"/>
                <w:szCs w:val="16"/>
              </w:rPr>
              <w:t>ActiveCashWedge</w:t>
            </w:r>
            <w:proofErr w:type="spellEnd"/>
          </w:p>
        </w:tc>
        <w:tc>
          <w:tcPr>
            <w:tcW w:w="2886" w:type="pct"/>
            <w:tcBorders>
              <w:top w:val="nil"/>
              <w:left w:val="nil"/>
              <w:bottom w:val="nil"/>
              <w:right w:val="nil"/>
            </w:tcBorders>
          </w:tcPr>
          <w:p w14:paraId="6C687E52"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BC68C4">
              <w:rPr>
                <w:rFonts w:ascii="Times New Roman" w:hAnsi="Times New Roman" w:cs="Times New Roman"/>
                <w:sz w:val="16"/>
                <w:szCs w:val="16"/>
              </w:rPr>
              <w:t xml:space="preserve">Proportion of capital owned minus votes controlled by active </w:t>
            </w:r>
            <w:proofErr w:type="spellStart"/>
            <w:r w:rsidRPr="00BC68C4">
              <w:rPr>
                <w:rFonts w:ascii="Times New Roman" w:hAnsi="Times New Roman" w:cs="Times New Roman"/>
                <w:sz w:val="16"/>
                <w:szCs w:val="16"/>
              </w:rPr>
              <w:t>blockholders</w:t>
            </w:r>
            <w:proofErr w:type="spellEnd"/>
          </w:p>
        </w:tc>
        <w:tc>
          <w:tcPr>
            <w:tcW w:w="1006" w:type="pct"/>
            <w:tcBorders>
              <w:top w:val="nil"/>
              <w:left w:val="nil"/>
              <w:bottom w:val="nil"/>
              <w:right w:val="nil"/>
            </w:tcBorders>
          </w:tcPr>
          <w:p w14:paraId="7FC303B3"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BC68C4">
              <w:rPr>
                <w:rFonts w:ascii="Times New Roman" w:hAnsi="Times New Roman" w:cs="Times New Roman"/>
                <w:sz w:val="16"/>
                <w:szCs w:val="16"/>
              </w:rPr>
              <w:t xml:space="preserve">OR, </w:t>
            </w:r>
            <w:proofErr w:type="spellStart"/>
            <w:r w:rsidRPr="00BC68C4">
              <w:rPr>
                <w:rFonts w:ascii="Times New Roman" w:hAnsi="Times New Roman" w:cs="Times New Roman"/>
                <w:sz w:val="16"/>
                <w:szCs w:val="16"/>
              </w:rPr>
              <w:t>AoA</w:t>
            </w:r>
            <w:proofErr w:type="spellEnd"/>
            <w:r w:rsidRPr="00BC68C4">
              <w:rPr>
                <w:rFonts w:ascii="Times New Roman" w:hAnsi="Times New Roman" w:cs="Times New Roman"/>
                <w:sz w:val="16"/>
                <w:szCs w:val="16"/>
              </w:rPr>
              <w:t>, SEOI, BOI</w:t>
            </w:r>
          </w:p>
        </w:tc>
      </w:tr>
      <w:tr w:rsidR="00DC5523" w:rsidRPr="00BC68C4" w14:paraId="5804FFF5" w14:textId="77777777" w:rsidTr="00B83591">
        <w:trPr>
          <w:jc w:val="center"/>
        </w:trPr>
        <w:tc>
          <w:tcPr>
            <w:tcW w:w="1109" w:type="pct"/>
            <w:tcBorders>
              <w:top w:val="nil"/>
              <w:left w:val="nil"/>
              <w:right w:val="nil"/>
            </w:tcBorders>
          </w:tcPr>
          <w:p w14:paraId="6833AB2E" w14:textId="77777777" w:rsidR="00DC5523" w:rsidRPr="00BC68C4" w:rsidRDefault="00DC5523" w:rsidP="00B83591">
            <w:pPr>
              <w:widowControl w:val="0"/>
              <w:autoSpaceDE w:val="0"/>
              <w:autoSpaceDN w:val="0"/>
              <w:adjustRightInd w:val="0"/>
              <w:spacing w:line="276" w:lineRule="auto"/>
              <w:rPr>
                <w:rFonts w:ascii="Times New Roman" w:hAnsi="Times New Roman" w:cs="Times New Roman"/>
                <w:sz w:val="16"/>
                <w:szCs w:val="16"/>
              </w:rPr>
            </w:pPr>
            <w:proofErr w:type="spellStart"/>
            <w:r w:rsidRPr="00BC68C4">
              <w:rPr>
                <w:rFonts w:ascii="Times New Roman" w:hAnsi="Times New Roman" w:cs="Times New Roman"/>
                <w:sz w:val="16"/>
                <w:szCs w:val="16"/>
              </w:rPr>
              <w:t>VoteNonLinear</w:t>
            </w:r>
            <w:proofErr w:type="spellEnd"/>
          </w:p>
        </w:tc>
        <w:tc>
          <w:tcPr>
            <w:tcW w:w="2886" w:type="pct"/>
            <w:tcBorders>
              <w:top w:val="nil"/>
              <w:left w:val="nil"/>
              <w:right w:val="nil"/>
            </w:tcBorders>
          </w:tcPr>
          <w:p w14:paraId="213AE425"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BC68C4">
              <w:rPr>
                <w:rFonts w:ascii="Times New Roman" w:hAnsi="Times New Roman" w:cs="Times New Roman"/>
                <w:sz w:val="16"/>
                <w:szCs w:val="16"/>
              </w:rPr>
              <w:t>A binary variable = 1 if each share did not have equal voting rights, 0 otherwise</w:t>
            </w:r>
          </w:p>
        </w:tc>
        <w:tc>
          <w:tcPr>
            <w:tcW w:w="1006" w:type="pct"/>
            <w:tcBorders>
              <w:top w:val="nil"/>
              <w:left w:val="nil"/>
              <w:right w:val="nil"/>
            </w:tcBorders>
          </w:tcPr>
          <w:p w14:paraId="6B4F3083"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BC68C4">
              <w:rPr>
                <w:rFonts w:ascii="Times New Roman" w:hAnsi="Times New Roman" w:cs="Times New Roman"/>
                <w:sz w:val="16"/>
                <w:szCs w:val="16"/>
              </w:rPr>
              <w:t xml:space="preserve">OR, </w:t>
            </w:r>
            <w:proofErr w:type="spellStart"/>
            <w:r w:rsidRPr="00BC68C4">
              <w:rPr>
                <w:rFonts w:ascii="Times New Roman" w:hAnsi="Times New Roman" w:cs="Times New Roman"/>
                <w:sz w:val="16"/>
                <w:szCs w:val="16"/>
              </w:rPr>
              <w:t>AoA</w:t>
            </w:r>
            <w:proofErr w:type="spellEnd"/>
            <w:r w:rsidRPr="00BC68C4">
              <w:rPr>
                <w:rFonts w:ascii="Times New Roman" w:hAnsi="Times New Roman" w:cs="Times New Roman"/>
                <w:sz w:val="16"/>
                <w:szCs w:val="16"/>
              </w:rPr>
              <w:t>, SEOI, BOI</w:t>
            </w:r>
          </w:p>
        </w:tc>
      </w:tr>
      <w:tr w:rsidR="00DC5523" w:rsidRPr="00BC68C4" w14:paraId="074498D0" w14:textId="77777777" w:rsidTr="00B83591">
        <w:trPr>
          <w:jc w:val="center"/>
        </w:trPr>
        <w:tc>
          <w:tcPr>
            <w:tcW w:w="1109" w:type="pct"/>
            <w:tcBorders>
              <w:top w:val="nil"/>
              <w:left w:val="nil"/>
              <w:bottom w:val="double" w:sz="4" w:space="0" w:color="auto"/>
              <w:right w:val="nil"/>
            </w:tcBorders>
          </w:tcPr>
          <w:p w14:paraId="52DC4946" w14:textId="77777777" w:rsidR="00DC5523" w:rsidRPr="00BC68C4" w:rsidRDefault="00DC5523" w:rsidP="00B83591">
            <w:pPr>
              <w:widowControl w:val="0"/>
              <w:autoSpaceDE w:val="0"/>
              <w:autoSpaceDN w:val="0"/>
              <w:adjustRightInd w:val="0"/>
              <w:spacing w:line="276" w:lineRule="auto"/>
              <w:rPr>
                <w:rFonts w:ascii="Times New Roman" w:hAnsi="Times New Roman" w:cs="Times New Roman"/>
                <w:sz w:val="16"/>
                <w:szCs w:val="16"/>
              </w:rPr>
            </w:pPr>
            <w:r w:rsidRPr="00BC68C4">
              <w:rPr>
                <w:rFonts w:ascii="Times New Roman" w:hAnsi="Times New Roman" w:cs="Times New Roman"/>
                <w:sz w:val="16"/>
                <w:szCs w:val="16"/>
              </w:rPr>
              <w:t>Uncalled</w:t>
            </w:r>
          </w:p>
        </w:tc>
        <w:tc>
          <w:tcPr>
            <w:tcW w:w="2886" w:type="pct"/>
            <w:tcBorders>
              <w:top w:val="nil"/>
              <w:left w:val="nil"/>
              <w:bottom w:val="double" w:sz="4" w:space="0" w:color="auto"/>
              <w:right w:val="nil"/>
            </w:tcBorders>
          </w:tcPr>
          <w:p w14:paraId="67F3D227"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BC68C4">
              <w:rPr>
                <w:rFonts w:ascii="Times New Roman" w:hAnsi="Times New Roman" w:cs="Times New Roman"/>
                <w:sz w:val="16"/>
                <w:szCs w:val="16"/>
              </w:rPr>
              <w:t>Difference between the nominal and par value of a share</w:t>
            </w:r>
          </w:p>
        </w:tc>
        <w:tc>
          <w:tcPr>
            <w:tcW w:w="1006" w:type="pct"/>
            <w:tcBorders>
              <w:top w:val="nil"/>
              <w:left w:val="nil"/>
              <w:bottom w:val="double" w:sz="4" w:space="0" w:color="auto"/>
              <w:right w:val="nil"/>
            </w:tcBorders>
          </w:tcPr>
          <w:p w14:paraId="0FD20633"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r w:rsidRPr="00BC68C4">
              <w:rPr>
                <w:rFonts w:ascii="Times New Roman" w:hAnsi="Times New Roman" w:cs="Times New Roman"/>
                <w:sz w:val="16"/>
                <w:szCs w:val="16"/>
              </w:rPr>
              <w:t xml:space="preserve">OR, </w:t>
            </w:r>
            <w:proofErr w:type="spellStart"/>
            <w:r w:rsidRPr="00BC68C4">
              <w:rPr>
                <w:rFonts w:ascii="Times New Roman" w:hAnsi="Times New Roman" w:cs="Times New Roman"/>
                <w:sz w:val="16"/>
                <w:szCs w:val="16"/>
              </w:rPr>
              <w:t>AoA</w:t>
            </w:r>
            <w:proofErr w:type="spellEnd"/>
            <w:r w:rsidRPr="00BC68C4">
              <w:rPr>
                <w:rFonts w:ascii="Times New Roman" w:hAnsi="Times New Roman" w:cs="Times New Roman"/>
                <w:sz w:val="16"/>
                <w:szCs w:val="16"/>
              </w:rPr>
              <w:t>, SEOI, BOI</w:t>
            </w:r>
          </w:p>
        </w:tc>
      </w:tr>
      <w:tr w:rsidR="00DC5523" w:rsidRPr="00BC68C4" w14:paraId="79834621" w14:textId="77777777" w:rsidTr="00B83591">
        <w:trPr>
          <w:jc w:val="center"/>
        </w:trPr>
        <w:tc>
          <w:tcPr>
            <w:tcW w:w="1109" w:type="pct"/>
            <w:tcBorders>
              <w:top w:val="double" w:sz="4" w:space="0" w:color="auto"/>
              <w:left w:val="nil"/>
              <w:bottom w:val="nil"/>
              <w:right w:val="nil"/>
            </w:tcBorders>
          </w:tcPr>
          <w:p w14:paraId="6DA72592" w14:textId="77777777" w:rsidR="00DC5523" w:rsidRPr="00BC68C4" w:rsidRDefault="00DC5523" w:rsidP="00B83591">
            <w:pPr>
              <w:widowControl w:val="0"/>
              <w:autoSpaceDE w:val="0"/>
              <w:autoSpaceDN w:val="0"/>
              <w:adjustRightInd w:val="0"/>
              <w:spacing w:line="276" w:lineRule="auto"/>
              <w:rPr>
                <w:rFonts w:ascii="Times New Roman" w:hAnsi="Times New Roman" w:cs="Times New Roman"/>
                <w:sz w:val="16"/>
                <w:szCs w:val="16"/>
              </w:rPr>
            </w:pPr>
          </w:p>
        </w:tc>
        <w:tc>
          <w:tcPr>
            <w:tcW w:w="2886" w:type="pct"/>
            <w:tcBorders>
              <w:top w:val="double" w:sz="4" w:space="0" w:color="auto"/>
              <w:left w:val="nil"/>
              <w:bottom w:val="nil"/>
              <w:right w:val="nil"/>
            </w:tcBorders>
          </w:tcPr>
          <w:p w14:paraId="40595337"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p>
        </w:tc>
        <w:tc>
          <w:tcPr>
            <w:tcW w:w="1006" w:type="pct"/>
            <w:tcBorders>
              <w:top w:val="double" w:sz="4" w:space="0" w:color="auto"/>
              <w:left w:val="nil"/>
              <w:bottom w:val="nil"/>
              <w:right w:val="nil"/>
            </w:tcBorders>
          </w:tcPr>
          <w:p w14:paraId="3DDA4484" w14:textId="77777777" w:rsidR="00DC5523" w:rsidRPr="00BC68C4" w:rsidRDefault="00DC5523" w:rsidP="00B83591">
            <w:pPr>
              <w:widowControl w:val="0"/>
              <w:autoSpaceDE w:val="0"/>
              <w:autoSpaceDN w:val="0"/>
              <w:adjustRightInd w:val="0"/>
              <w:spacing w:line="276" w:lineRule="auto"/>
              <w:jc w:val="left"/>
              <w:rPr>
                <w:rFonts w:ascii="Times New Roman" w:hAnsi="Times New Roman" w:cs="Times New Roman"/>
                <w:sz w:val="16"/>
                <w:szCs w:val="16"/>
              </w:rPr>
            </w:pPr>
          </w:p>
        </w:tc>
      </w:tr>
    </w:tbl>
    <w:p w14:paraId="3C265973" w14:textId="77777777" w:rsidR="00DC5523" w:rsidRPr="00BC68C4" w:rsidRDefault="00DC5523" w:rsidP="00DC5523">
      <w:pPr>
        <w:rPr>
          <w:rFonts w:ascii="Times New Roman" w:hAnsi="Times New Roman" w:cs="Times New Roman"/>
          <w:sz w:val="16"/>
          <w:szCs w:val="16"/>
        </w:rPr>
      </w:pPr>
      <w:r w:rsidRPr="00BC68C4">
        <w:rPr>
          <w:rFonts w:ascii="Times New Roman" w:hAnsi="Times New Roman" w:cs="Times New Roman"/>
          <w:i/>
          <w:sz w:val="16"/>
          <w:szCs w:val="16"/>
        </w:rPr>
        <w:t>Notes</w:t>
      </w:r>
      <w:r w:rsidRPr="00BC68C4">
        <w:rPr>
          <w:rFonts w:ascii="Times New Roman" w:hAnsi="Times New Roman" w:cs="Times New Roman"/>
          <w:sz w:val="16"/>
          <w:szCs w:val="16"/>
        </w:rPr>
        <w:t xml:space="preserve">: </w:t>
      </w:r>
      <w:proofErr w:type="spellStart"/>
      <w:r w:rsidRPr="00BC68C4">
        <w:rPr>
          <w:rFonts w:ascii="Times New Roman" w:hAnsi="Times New Roman" w:cs="Times New Roman"/>
          <w:sz w:val="16"/>
          <w:szCs w:val="16"/>
        </w:rPr>
        <w:t>AoA</w:t>
      </w:r>
      <w:proofErr w:type="spellEnd"/>
      <w:r w:rsidRPr="00BC68C4">
        <w:rPr>
          <w:rFonts w:ascii="Times New Roman" w:hAnsi="Times New Roman" w:cs="Times New Roman"/>
          <w:sz w:val="16"/>
          <w:szCs w:val="16"/>
        </w:rPr>
        <w:t xml:space="preserve"> = Articles of Association; BCCA = Burdett’s Collection of Company Accounts at the Guildhall Library; BOI = Burdett’s Official Intelligence; EG = Edinburgh Gazette: LG = London Gazette; IMM = Investor’s Monthly Manual; OR = ownership returns from national archives; RDC = Register of Defunct Companies; SEOI = Stock Exchange Official Intelligence; SEY = Stock Exchange Yearbook.</w:t>
      </w:r>
    </w:p>
    <w:p w14:paraId="26425530" w14:textId="77777777" w:rsidR="00DC5523" w:rsidRPr="00BC68C4" w:rsidRDefault="00DC5523" w:rsidP="00DC5523">
      <w:pPr>
        <w:spacing w:after="200" w:line="276" w:lineRule="auto"/>
        <w:jc w:val="left"/>
        <w:rPr>
          <w:rFonts w:ascii="Times New Roman" w:hAnsi="Times New Roman" w:cs="Times New Roman"/>
          <w:b/>
          <w:sz w:val="28"/>
          <w:szCs w:val="20"/>
        </w:rPr>
      </w:pPr>
    </w:p>
    <w:p w14:paraId="30534361" w14:textId="77777777" w:rsidR="00A7743F" w:rsidRDefault="00A7743F" w:rsidP="008034D7">
      <w:pPr>
        <w:widowControl w:val="0"/>
        <w:autoSpaceDE w:val="0"/>
        <w:autoSpaceDN w:val="0"/>
        <w:adjustRightInd w:val="0"/>
        <w:ind w:left="-142" w:right="-46"/>
        <w:rPr>
          <w:rFonts w:ascii="Times New Roman" w:hAnsi="Times New Roman" w:cs="Times New Roman"/>
          <w:b/>
          <w:sz w:val="28"/>
          <w:szCs w:val="20"/>
        </w:rPr>
      </w:pPr>
    </w:p>
    <w:sectPr w:rsidR="00A7743F" w:rsidSect="00954F7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A2CEC" w14:textId="77777777" w:rsidR="00E36142" w:rsidRDefault="00E36142" w:rsidP="00691B33">
      <w:r>
        <w:separator/>
      </w:r>
    </w:p>
  </w:endnote>
  <w:endnote w:type="continuationSeparator" w:id="0">
    <w:p w14:paraId="5E0A9312" w14:textId="77777777" w:rsidR="00E36142" w:rsidRDefault="00E36142" w:rsidP="00691B33">
      <w:r>
        <w:continuationSeparator/>
      </w:r>
    </w:p>
  </w:endnote>
  <w:endnote w:type="continuationNotice" w:id="1">
    <w:p w14:paraId="11353837" w14:textId="77777777" w:rsidR="00E36142" w:rsidRDefault="00E361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107131"/>
      <w:docPartObj>
        <w:docPartGallery w:val="Page Numbers (Bottom of Page)"/>
        <w:docPartUnique/>
      </w:docPartObj>
    </w:sdtPr>
    <w:sdtEndPr>
      <w:rPr>
        <w:noProof/>
      </w:rPr>
    </w:sdtEndPr>
    <w:sdtContent>
      <w:p w14:paraId="78E6618F" w14:textId="77777777" w:rsidR="00E36142" w:rsidRDefault="00E36142">
        <w:pPr>
          <w:pStyle w:val="Footer"/>
          <w:jc w:val="right"/>
        </w:pPr>
        <w:r w:rsidRPr="006042ED">
          <w:rPr>
            <w:rFonts w:ascii="Times New Roman" w:hAnsi="Times New Roman" w:cs="Times New Roman"/>
          </w:rPr>
          <w:fldChar w:fldCharType="begin"/>
        </w:r>
        <w:r w:rsidRPr="006042ED">
          <w:rPr>
            <w:rFonts w:ascii="Times New Roman" w:hAnsi="Times New Roman" w:cs="Times New Roman"/>
          </w:rPr>
          <w:instrText xml:space="preserve"> PAGE   \* MERGEFORMAT </w:instrText>
        </w:r>
        <w:r w:rsidRPr="006042ED">
          <w:rPr>
            <w:rFonts w:ascii="Times New Roman" w:hAnsi="Times New Roman" w:cs="Times New Roman"/>
          </w:rPr>
          <w:fldChar w:fldCharType="separate"/>
        </w:r>
        <w:r w:rsidR="00013CE3">
          <w:rPr>
            <w:rFonts w:ascii="Times New Roman" w:hAnsi="Times New Roman" w:cs="Times New Roman"/>
            <w:noProof/>
          </w:rPr>
          <w:t>40</w:t>
        </w:r>
        <w:r w:rsidRPr="006042ED">
          <w:rPr>
            <w:rFonts w:ascii="Times New Roman" w:hAnsi="Times New Roman" w:cs="Times New Roman"/>
            <w:noProof/>
          </w:rPr>
          <w:fldChar w:fldCharType="end"/>
        </w:r>
      </w:p>
    </w:sdtContent>
  </w:sdt>
  <w:p w14:paraId="393992CD" w14:textId="77777777" w:rsidR="00E36142" w:rsidRDefault="00E361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CF84C" w14:textId="77777777" w:rsidR="00E36142" w:rsidRDefault="00E36142" w:rsidP="00691B33">
      <w:r>
        <w:separator/>
      </w:r>
    </w:p>
  </w:footnote>
  <w:footnote w:type="continuationSeparator" w:id="0">
    <w:p w14:paraId="14662143" w14:textId="77777777" w:rsidR="00E36142" w:rsidRDefault="00E36142" w:rsidP="00691B33">
      <w:r>
        <w:continuationSeparator/>
      </w:r>
    </w:p>
  </w:footnote>
  <w:footnote w:type="continuationNotice" w:id="1">
    <w:p w14:paraId="5C37B387" w14:textId="77777777" w:rsidR="00E36142" w:rsidRDefault="00E36142"/>
  </w:footnote>
  <w:footnote w:id="2">
    <w:p w14:paraId="09EEFDF8" w14:textId="5BE42764" w:rsidR="00E36142" w:rsidRPr="003F0754" w:rsidRDefault="00E36142" w:rsidP="003F0754">
      <w:pPr>
        <w:pStyle w:val="FootnoteText"/>
        <w:rPr>
          <w:rFonts w:ascii="Times New Roman" w:hAnsi="Times New Roman" w:cs="Times New Roman"/>
        </w:rPr>
      </w:pPr>
      <w:r w:rsidRPr="003F0754">
        <w:rPr>
          <w:rStyle w:val="FootnoteReference"/>
          <w:rFonts w:ascii="Times New Roman" w:hAnsi="Times New Roman" w:cs="Times New Roman"/>
        </w:rPr>
        <w:footnoteRef/>
      </w:r>
      <w:r w:rsidRPr="003F0754">
        <w:rPr>
          <w:rFonts w:ascii="Times New Roman" w:hAnsi="Times New Roman" w:cs="Times New Roman"/>
        </w:rPr>
        <w:t xml:space="preserve"> </w:t>
      </w:r>
      <w:proofErr w:type="spellStart"/>
      <w:r w:rsidRPr="003F0754">
        <w:rPr>
          <w:rFonts w:ascii="Times New Roman" w:hAnsi="Times New Roman" w:cs="Times New Roman"/>
        </w:rPr>
        <w:t>Lipartito</w:t>
      </w:r>
      <w:proofErr w:type="spellEnd"/>
      <w:r w:rsidRPr="003F0754">
        <w:rPr>
          <w:rFonts w:ascii="Times New Roman" w:hAnsi="Times New Roman" w:cs="Times New Roman"/>
        </w:rPr>
        <w:t xml:space="preserve"> and </w:t>
      </w:r>
      <w:proofErr w:type="spellStart"/>
      <w:r w:rsidRPr="003F0754">
        <w:rPr>
          <w:rFonts w:ascii="Times New Roman" w:hAnsi="Times New Roman" w:cs="Times New Roman"/>
        </w:rPr>
        <w:t>Morii</w:t>
      </w:r>
      <w:proofErr w:type="spellEnd"/>
      <w:r w:rsidRPr="003F0754">
        <w:rPr>
          <w:rFonts w:ascii="Times New Roman" w:hAnsi="Times New Roman" w:cs="Times New Roman"/>
        </w:rPr>
        <w:t xml:space="preserve"> (2010) question whether </w:t>
      </w:r>
      <w:proofErr w:type="spellStart"/>
      <w:r w:rsidRPr="003F0754">
        <w:rPr>
          <w:rFonts w:ascii="Times New Roman" w:hAnsi="Times New Roman" w:cs="Times New Roman"/>
        </w:rPr>
        <w:t>Berle</w:t>
      </w:r>
      <w:proofErr w:type="spellEnd"/>
      <w:r w:rsidRPr="003F0754">
        <w:rPr>
          <w:rFonts w:ascii="Times New Roman" w:hAnsi="Times New Roman" w:cs="Times New Roman"/>
        </w:rPr>
        <w:t xml:space="preserve"> and Means (1932) were concerned about the classic agency problem. Rather, they argue that that </w:t>
      </w:r>
      <w:proofErr w:type="spellStart"/>
      <w:r w:rsidRPr="003F0754">
        <w:rPr>
          <w:rFonts w:ascii="Times New Roman" w:hAnsi="Times New Roman" w:cs="Times New Roman"/>
        </w:rPr>
        <w:t>Berle</w:t>
      </w:r>
      <w:proofErr w:type="spellEnd"/>
      <w:r w:rsidRPr="003F0754">
        <w:rPr>
          <w:rFonts w:ascii="Times New Roman" w:hAnsi="Times New Roman" w:cs="Times New Roman"/>
        </w:rPr>
        <w:t xml:space="preserve"> and Means were more concerned about conflicts between </w:t>
      </w:r>
      <w:proofErr w:type="spellStart"/>
      <w:r w:rsidRPr="003F0754">
        <w:rPr>
          <w:rFonts w:ascii="Times New Roman" w:hAnsi="Times New Roman" w:cs="Times New Roman"/>
        </w:rPr>
        <w:t>blockholders</w:t>
      </w:r>
      <w:proofErr w:type="spellEnd"/>
      <w:r w:rsidRPr="003F0754">
        <w:rPr>
          <w:rFonts w:ascii="Times New Roman" w:hAnsi="Times New Roman" w:cs="Times New Roman"/>
        </w:rPr>
        <w:t xml:space="preserve">. </w:t>
      </w:r>
    </w:p>
  </w:footnote>
  <w:footnote w:id="3">
    <w:p w14:paraId="1E3BE417" w14:textId="02A77FF9" w:rsidR="00E36142" w:rsidRPr="003F0754" w:rsidRDefault="00E36142" w:rsidP="003F0754">
      <w:pPr>
        <w:pStyle w:val="FootnoteText"/>
        <w:rPr>
          <w:rFonts w:ascii="Times New Roman" w:hAnsi="Times New Roman" w:cs="Times New Roman"/>
        </w:rPr>
      </w:pPr>
      <w:r w:rsidRPr="003F0754">
        <w:rPr>
          <w:rStyle w:val="FootnoteReference"/>
          <w:rFonts w:ascii="Times New Roman" w:hAnsi="Times New Roman" w:cs="Times New Roman"/>
        </w:rPr>
        <w:footnoteRef/>
      </w:r>
      <w:r w:rsidRPr="003F0754">
        <w:rPr>
          <w:rFonts w:ascii="Times New Roman" w:hAnsi="Times New Roman" w:cs="Times New Roman"/>
        </w:rPr>
        <w:t xml:space="preserve"> Tobin's Q measures how investors value the company and is widely used as a performance measure in empirical corporate finance studies (Davies et al. 2005; </w:t>
      </w:r>
      <w:proofErr w:type="spellStart"/>
      <w:r w:rsidRPr="003F0754">
        <w:rPr>
          <w:rFonts w:ascii="Times New Roman" w:hAnsi="Times New Roman" w:cs="Times New Roman"/>
        </w:rPr>
        <w:t>Demsetz</w:t>
      </w:r>
      <w:proofErr w:type="spellEnd"/>
      <w:r w:rsidRPr="003F0754">
        <w:rPr>
          <w:rFonts w:ascii="Times New Roman" w:hAnsi="Times New Roman" w:cs="Times New Roman"/>
        </w:rPr>
        <w:t xml:space="preserve"> and </w:t>
      </w:r>
      <w:proofErr w:type="spellStart"/>
      <w:r w:rsidRPr="003F0754">
        <w:rPr>
          <w:rFonts w:ascii="Times New Roman" w:hAnsi="Times New Roman" w:cs="Times New Roman"/>
        </w:rPr>
        <w:t>Villalonga</w:t>
      </w:r>
      <w:proofErr w:type="spellEnd"/>
      <w:r w:rsidRPr="003F0754">
        <w:rPr>
          <w:rFonts w:ascii="Times New Roman" w:hAnsi="Times New Roman" w:cs="Times New Roman"/>
        </w:rPr>
        <w:t xml:space="preserve"> 2001). It is the ratio of the market value of the company’s common and preferred equity and debt to the book value of the company’s assets. </w:t>
      </w:r>
    </w:p>
  </w:footnote>
  <w:footnote w:id="4">
    <w:p w14:paraId="3513B911" w14:textId="4A92AE17" w:rsidR="00E36142" w:rsidRPr="003F0754" w:rsidRDefault="00E36142" w:rsidP="003F0754">
      <w:pPr>
        <w:pStyle w:val="FootnoteText"/>
        <w:rPr>
          <w:rFonts w:ascii="Times New Roman" w:hAnsi="Times New Roman" w:cs="Times New Roman"/>
        </w:rPr>
      </w:pPr>
      <w:r w:rsidRPr="003F0754">
        <w:rPr>
          <w:rStyle w:val="FootnoteReference"/>
          <w:rFonts w:ascii="Times New Roman" w:hAnsi="Times New Roman" w:cs="Times New Roman"/>
        </w:rPr>
        <w:footnoteRef/>
      </w:r>
      <w:r w:rsidRPr="003F0754">
        <w:rPr>
          <w:rFonts w:ascii="Times New Roman" w:hAnsi="Times New Roman" w:cs="Times New Roman"/>
        </w:rPr>
        <w:t xml:space="preserve"> On the liberalisation of incorporation law, see Cottrell (1980) and Taylor (2006).  </w:t>
      </w:r>
    </w:p>
  </w:footnote>
  <w:footnote w:id="5">
    <w:p w14:paraId="7C93E823" w14:textId="235DA70A" w:rsidR="00E36142" w:rsidRPr="003F0754" w:rsidRDefault="00E36142" w:rsidP="00E82E73">
      <w:pPr>
        <w:rPr>
          <w:rFonts w:ascii="Times New Roman" w:hAnsi="Times New Roman" w:cs="Times New Roman"/>
          <w:sz w:val="20"/>
          <w:szCs w:val="20"/>
        </w:rPr>
      </w:pPr>
      <w:r w:rsidRPr="003F0754">
        <w:rPr>
          <w:rStyle w:val="FootnoteReference"/>
          <w:rFonts w:ascii="Times New Roman" w:hAnsi="Times New Roman" w:cs="Times New Roman"/>
          <w:sz w:val="20"/>
          <w:szCs w:val="20"/>
        </w:rPr>
        <w:footnoteRef/>
      </w:r>
      <w:r w:rsidRPr="003F0754">
        <w:rPr>
          <w:rFonts w:ascii="Times New Roman" w:hAnsi="Times New Roman" w:cs="Times New Roman"/>
          <w:sz w:val="20"/>
          <w:szCs w:val="20"/>
        </w:rPr>
        <w:t xml:space="preserve"> Hilt (2008) looks at New York corporations in the 1820s and finds that the voting power of management is negatively related to firm value. </w:t>
      </w:r>
    </w:p>
  </w:footnote>
  <w:footnote w:id="6">
    <w:p w14:paraId="1A9352C5" w14:textId="06D65C2D" w:rsidR="00E36142" w:rsidRPr="003F0754" w:rsidRDefault="00E36142" w:rsidP="003F0754">
      <w:pPr>
        <w:pStyle w:val="FootnoteText"/>
        <w:rPr>
          <w:rFonts w:ascii="Times New Roman" w:hAnsi="Times New Roman" w:cs="Times New Roman"/>
        </w:rPr>
      </w:pPr>
      <w:r w:rsidRPr="003F0754">
        <w:rPr>
          <w:rStyle w:val="FootnoteReference"/>
          <w:rFonts w:ascii="Times New Roman" w:hAnsi="Times New Roman" w:cs="Times New Roman"/>
        </w:rPr>
        <w:footnoteRef/>
      </w:r>
      <w:r w:rsidRPr="003F0754">
        <w:rPr>
          <w:rFonts w:ascii="Times New Roman" w:hAnsi="Times New Roman" w:cs="Times New Roman"/>
        </w:rPr>
        <w:t xml:space="preserve"> Statutory companies registered under the Companies Clauses Consolidation Act (1845) scored five out of six in the La Porta et al (1998) anti-director rights index, (Foreman-Peck and Hannah (2015). They are not included in this study.  The Companies Act (1862) scored one out of six in the anti-director rights index. All of the companies in our study were registered under this legislation. Nevertheless, there is the possibility that companies registered under the 1862 Act voluntarily adopted anti-director rights in order to list on stock exchanges or attract capital from investors. (</w:t>
      </w:r>
      <w:proofErr w:type="gramStart"/>
      <w:r w:rsidRPr="003F0754">
        <w:rPr>
          <w:rFonts w:ascii="Times New Roman" w:hAnsi="Times New Roman" w:cs="Times New Roman"/>
        </w:rPr>
        <w:t>see</w:t>
      </w:r>
      <w:proofErr w:type="gramEnd"/>
      <w:r w:rsidRPr="003F0754">
        <w:rPr>
          <w:rFonts w:ascii="Times New Roman" w:hAnsi="Times New Roman" w:cs="Times New Roman"/>
        </w:rPr>
        <w:t xml:space="preserve"> Foreman-Peck and Hannah 2015).    </w:t>
      </w:r>
    </w:p>
  </w:footnote>
  <w:footnote w:id="7">
    <w:p w14:paraId="7FB7A80F" w14:textId="0E998357" w:rsidR="00E36142" w:rsidRPr="003F0754" w:rsidRDefault="00E36142" w:rsidP="003F0754">
      <w:pPr>
        <w:pStyle w:val="FootnoteText"/>
        <w:rPr>
          <w:rFonts w:ascii="Times New Roman" w:hAnsi="Times New Roman" w:cs="Times New Roman"/>
        </w:rPr>
      </w:pPr>
      <w:r w:rsidRPr="003F0754">
        <w:rPr>
          <w:rStyle w:val="FootnoteReference"/>
          <w:rFonts w:ascii="Times New Roman" w:hAnsi="Times New Roman" w:cs="Times New Roman"/>
        </w:rPr>
        <w:footnoteRef/>
      </w:r>
      <w:r w:rsidRPr="003F0754">
        <w:rPr>
          <w:rFonts w:ascii="Times New Roman" w:hAnsi="Times New Roman" w:cs="Times New Roman"/>
        </w:rPr>
        <w:t xml:space="preserve"> Ownership data was not collected by the Registrar of Companies for statutory companies and therefore railways are not included in our sample. </w:t>
      </w:r>
    </w:p>
  </w:footnote>
  <w:footnote w:id="8">
    <w:p w14:paraId="38AB6169" w14:textId="4A1CCFD5" w:rsidR="00E36142" w:rsidRPr="003F0754" w:rsidRDefault="00E36142" w:rsidP="003F0754">
      <w:pPr>
        <w:rPr>
          <w:rFonts w:ascii="Times New Roman" w:hAnsi="Times New Roman" w:cs="Times New Roman"/>
          <w:sz w:val="20"/>
          <w:szCs w:val="20"/>
        </w:rPr>
      </w:pPr>
      <w:r w:rsidRPr="003F0754">
        <w:rPr>
          <w:rStyle w:val="FootnoteReference"/>
          <w:rFonts w:ascii="Times New Roman" w:hAnsi="Times New Roman" w:cs="Times New Roman"/>
          <w:sz w:val="20"/>
          <w:szCs w:val="20"/>
        </w:rPr>
        <w:footnoteRef/>
      </w:r>
      <w:r w:rsidRPr="003F0754">
        <w:rPr>
          <w:rFonts w:ascii="Times New Roman" w:hAnsi="Times New Roman" w:cs="Times New Roman"/>
          <w:sz w:val="20"/>
          <w:szCs w:val="20"/>
        </w:rPr>
        <w:t xml:space="preserve"> See Gordon et al. (2004) and Cheung et al. (2009). Taylor (2013, pp.215-7, 223) notes several examples of this type of practice. </w:t>
      </w:r>
    </w:p>
  </w:footnote>
  <w:footnote w:id="9">
    <w:p w14:paraId="47FB9529" w14:textId="51591D48" w:rsidR="00E36142" w:rsidRPr="003F0754" w:rsidRDefault="00E36142" w:rsidP="003F0754">
      <w:pPr>
        <w:pStyle w:val="FootnoteText"/>
        <w:rPr>
          <w:rFonts w:ascii="Times New Roman" w:hAnsi="Times New Roman" w:cs="Times New Roman"/>
        </w:rPr>
      </w:pPr>
      <w:r w:rsidRPr="003F0754">
        <w:rPr>
          <w:rStyle w:val="FootnoteReference"/>
          <w:rFonts w:ascii="Times New Roman" w:hAnsi="Times New Roman" w:cs="Times New Roman"/>
        </w:rPr>
        <w:footnoteRef/>
      </w:r>
      <w:r w:rsidRPr="003F0754">
        <w:rPr>
          <w:rFonts w:ascii="Times New Roman" w:hAnsi="Times New Roman" w:cs="Times New Roman"/>
        </w:rPr>
        <w:t xml:space="preserve"> </w:t>
      </w:r>
      <w:r w:rsidRPr="003F0754">
        <w:rPr>
          <w:rFonts w:ascii="Times New Roman" w:hAnsi="Times New Roman" w:cs="Times New Roman"/>
          <w:i/>
        </w:rPr>
        <w:t>Financial Times</w:t>
      </w:r>
      <w:r w:rsidRPr="003F0754">
        <w:rPr>
          <w:rFonts w:ascii="Times New Roman" w:hAnsi="Times New Roman" w:cs="Times New Roman"/>
        </w:rPr>
        <w:t>, Feb 21, 1898, p. 7.</w:t>
      </w:r>
    </w:p>
  </w:footnote>
  <w:footnote w:id="10">
    <w:p w14:paraId="460F2AF8" w14:textId="7474F087" w:rsidR="00E36142" w:rsidRPr="003F0754" w:rsidRDefault="00E36142" w:rsidP="003F0754">
      <w:pPr>
        <w:pStyle w:val="FootnoteText"/>
        <w:rPr>
          <w:rFonts w:ascii="Times New Roman" w:hAnsi="Times New Roman" w:cs="Times New Roman"/>
        </w:rPr>
      </w:pPr>
      <w:r w:rsidRPr="003F0754">
        <w:rPr>
          <w:rStyle w:val="FootnoteReference"/>
          <w:rFonts w:ascii="Times New Roman" w:hAnsi="Times New Roman" w:cs="Times New Roman"/>
        </w:rPr>
        <w:footnoteRef/>
      </w:r>
      <w:r w:rsidRPr="003F0754">
        <w:rPr>
          <w:rFonts w:ascii="Times New Roman" w:hAnsi="Times New Roman" w:cs="Times New Roman"/>
        </w:rPr>
        <w:t xml:space="preserve"> </w:t>
      </w:r>
      <w:r w:rsidRPr="003F0754">
        <w:rPr>
          <w:rFonts w:ascii="Times New Roman" w:hAnsi="Times New Roman" w:cs="Times New Roman"/>
          <w:i/>
        </w:rPr>
        <w:t>Financial Times</w:t>
      </w:r>
      <w:r w:rsidRPr="003F0754">
        <w:rPr>
          <w:rFonts w:ascii="Times New Roman" w:hAnsi="Times New Roman" w:cs="Times New Roman"/>
        </w:rPr>
        <w:t>, 23 Jan 1901, p. 4.</w:t>
      </w:r>
    </w:p>
  </w:footnote>
  <w:footnote w:id="11">
    <w:p w14:paraId="31FAEA59" w14:textId="3C9206C5" w:rsidR="00E36142" w:rsidRPr="003F0754" w:rsidRDefault="00E36142" w:rsidP="003F0754">
      <w:pPr>
        <w:autoSpaceDE w:val="0"/>
        <w:autoSpaceDN w:val="0"/>
        <w:adjustRightInd w:val="0"/>
        <w:rPr>
          <w:rFonts w:ascii="Times New Roman" w:hAnsi="Times New Roman" w:cs="Times New Roman"/>
          <w:sz w:val="20"/>
          <w:szCs w:val="20"/>
        </w:rPr>
      </w:pPr>
      <w:r w:rsidRPr="003F0754">
        <w:rPr>
          <w:rStyle w:val="FootnoteReference"/>
          <w:rFonts w:ascii="Times New Roman" w:hAnsi="Times New Roman" w:cs="Times New Roman"/>
          <w:sz w:val="20"/>
          <w:szCs w:val="20"/>
        </w:rPr>
        <w:footnoteRef/>
      </w:r>
      <w:r w:rsidRPr="003F0754">
        <w:rPr>
          <w:rFonts w:ascii="Times New Roman" w:hAnsi="Times New Roman" w:cs="Times New Roman"/>
          <w:sz w:val="20"/>
          <w:szCs w:val="20"/>
        </w:rPr>
        <w:t xml:space="preserve"> </w:t>
      </w:r>
      <w:r w:rsidRPr="003F0754">
        <w:rPr>
          <w:rFonts w:ascii="Times New Roman" w:hAnsi="Times New Roman" w:cs="Times New Roman"/>
          <w:i/>
          <w:sz w:val="20"/>
          <w:szCs w:val="20"/>
        </w:rPr>
        <w:t>Financial Times</w:t>
      </w:r>
      <w:r w:rsidRPr="003F0754">
        <w:rPr>
          <w:rFonts w:ascii="Times New Roman" w:hAnsi="Times New Roman" w:cs="Times New Roman"/>
          <w:sz w:val="20"/>
          <w:szCs w:val="20"/>
        </w:rPr>
        <w:t xml:space="preserve">, Nov 16, 1891, p. 2. </w:t>
      </w:r>
      <w:proofErr w:type="spellStart"/>
      <w:r w:rsidRPr="003F0754">
        <w:rPr>
          <w:rFonts w:ascii="Times New Roman" w:hAnsi="Times New Roman" w:cs="Times New Roman"/>
          <w:sz w:val="20"/>
          <w:szCs w:val="20"/>
        </w:rPr>
        <w:t>Guinnane</w:t>
      </w:r>
      <w:proofErr w:type="spellEnd"/>
      <w:r w:rsidRPr="003F0754">
        <w:rPr>
          <w:rFonts w:ascii="Times New Roman" w:hAnsi="Times New Roman" w:cs="Times New Roman"/>
          <w:sz w:val="20"/>
          <w:szCs w:val="20"/>
        </w:rPr>
        <w:t xml:space="preserve"> et al. (2014) have found that 26.2 percent of their sample of mainly private companies ‘specified in their articles that certain named directors would serve for a long period of years or even for life’.</w:t>
      </w:r>
    </w:p>
  </w:footnote>
  <w:footnote w:id="12">
    <w:p w14:paraId="49615D39" w14:textId="781BB7E8" w:rsidR="00E36142" w:rsidRPr="003F0754" w:rsidRDefault="00E36142" w:rsidP="003F0754">
      <w:pPr>
        <w:pStyle w:val="FootnoteText"/>
        <w:rPr>
          <w:rFonts w:ascii="Times New Roman" w:hAnsi="Times New Roman" w:cs="Times New Roman"/>
        </w:rPr>
      </w:pPr>
      <w:r w:rsidRPr="003F0754">
        <w:rPr>
          <w:rStyle w:val="FootnoteReference"/>
          <w:rFonts w:ascii="Times New Roman" w:hAnsi="Times New Roman" w:cs="Times New Roman"/>
        </w:rPr>
        <w:footnoteRef/>
      </w:r>
      <w:r w:rsidRPr="003F0754">
        <w:rPr>
          <w:rFonts w:ascii="Times New Roman" w:hAnsi="Times New Roman" w:cs="Times New Roman"/>
        </w:rPr>
        <w:t xml:space="preserve"> We found 64 different investment trusts who owned shares in our sample, but their shareholdings were small.</w:t>
      </w:r>
    </w:p>
  </w:footnote>
  <w:footnote w:id="13">
    <w:p w14:paraId="062D22B5" w14:textId="051D3E7D" w:rsidR="00E36142" w:rsidRPr="003F0754" w:rsidRDefault="00E36142" w:rsidP="003F0754">
      <w:pPr>
        <w:pStyle w:val="FootnoteText"/>
        <w:rPr>
          <w:rFonts w:ascii="Times New Roman" w:hAnsi="Times New Roman" w:cs="Times New Roman"/>
        </w:rPr>
      </w:pPr>
      <w:r w:rsidRPr="003F0754">
        <w:rPr>
          <w:rStyle w:val="FootnoteReference"/>
          <w:rFonts w:ascii="Times New Roman" w:hAnsi="Times New Roman" w:cs="Times New Roman"/>
        </w:rPr>
        <w:footnoteRef/>
      </w:r>
      <w:r w:rsidRPr="003F0754">
        <w:rPr>
          <w:rFonts w:ascii="Times New Roman" w:hAnsi="Times New Roman" w:cs="Times New Roman"/>
        </w:rPr>
        <w:t xml:space="preserve"> For example, the median number of trades per annum in the 1870s for the 14 UK banks reported in Acheson and Turner (2008, pp.136-7) is only 53 i.e., one share trade per week.  Also, stock repurchases were extremely uncommon prior to 1887, when they became illegal (Turner et al., 2013).</w:t>
      </w:r>
    </w:p>
  </w:footnote>
  <w:footnote w:id="14">
    <w:p w14:paraId="3A146025" w14:textId="63DF7F56" w:rsidR="00E36142" w:rsidRPr="003F0754" w:rsidRDefault="00E36142" w:rsidP="003F0754">
      <w:pPr>
        <w:pStyle w:val="FootnoteText"/>
        <w:rPr>
          <w:rFonts w:ascii="Times New Roman" w:hAnsi="Times New Roman" w:cs="Times New Roman"/>
          <w:lang w:val="en-US"/>
        </w:rPr>
      </w:pPr>
      <w:r w:rsidRPr="003F0754">
        <w:rPr>
          <w:rStyle w:val="FootnoteReference"/>
          <w:rFonts w:ascii="Times New Roman" w:hAnsi="Times New Roman" w:cs="Times New Roman"/>
        </w:rPr>
        <w:footnoteRef/>
      </w:r>
      <w:r w:rsidRPr="003F0754">
        <w:rPr>
          <w:rFonts w:ascii="Times New Roman" w:hAnsi="Times New Roman" w:cs="Times New Roman"/>
        </w:rPr>
        <w:t xml:space="preserve"> This is in the spirit of </w:t>
      </w:r>
      <w:proofErr w:type="spellStart"/>
      <w:r w:rsidRPr="003F0754">
        <w:rPr>
          <w:rFonts w:ascii="Times New Roman" w:hAnsi="Times New Roman" w:cs="Times New Roman"/>
        </w:rPr>
        <w:t>Fama</w:t>
      </w:r>
      <w:proofErr w:type="spellEnd"/>
      <w:r w:rsidRPr="003F0754">
        <w:rPr>
          <w:rFonts w:ascii="Times New Roman" w:hAnsi="Times New Roman" w:cs="Times New Roman"/>
        </w:rPr>
        <w:t xml:space="preserve"> and Jensen (1983) who see firms or organisations not surviving if they select the wrong ownership structure at their origin.</w:t>
      </w:r>
    </w:p>
  </w:footnote>
  <w:footnote w:id="15">
    <w:p w14:paraId="35A64757" w14:textId="5FB1F0EB" w:rsidR="00E36142" w:rsidRPr="003F0754" w:rsidRDefault="00E36142" w:rsidP="003F0754">
      <w:pPr>
        <w:pStyle w:val="FootnoteText"/>
        <w:rPr>
          <w:rFonts w:ascii="Times New Roman" w:hAnsi="Times New Roman" w:cs="Times New Roman"/>
          <w:lang w:val="en-US"/>
        </w:rPr>
      </w:pPr>
      <w:r w:rsidRPr="003F0754">
        <w:rPr>
          <w:rStyle w:val="FootnoteReference"/>
          <w:rFonts w:ascii="Times New Roman" w:hAnsi="Times New Roman" w:cs="Times New Roman"/>
        </w:rPr>
        <w:footnoteRef/>
      </w:r>
      <w:r w:rsidRPr="003F0754">
        <w:rPr>
          <w:rFonts w:ascii="Times New Roman" w:hAnsi="Times New Roman" w:cs="Times New Roman"/>
        </w:rPr>
        <w:t xml:space="preserve"> Most nineteenth-century companies registered under these two Acts dissolved. Their ownership records, if they survived, are in these archives.   </w:t>
      </w:r>
    </w:p>
  </w:footnote>
  <w:footnote w:id="16">
    <w:p w14:paraId="597FE028" w14:textId="32A37ABA" w:rsidR="00E36142" w:rsidRPr="003F0754" w:rsidRDefault="00E36142" w:rsidP="003F0754">
      <w:pPr>
        <w:pStyle w:val="FootnoteText"/>
        <w:rPr>
          <w:rFonts w:ascii="Times New Roman" w:hAnsi="Times New Roman" w:cs="Times New Roman"/>
        </w:rPr>
      </w:pPr>
      <w:r w:rsidRPr="003F0754">
        <w:rPr>
          <w:rStyle w:val="FootnoteReference"/>
          <w:rFonts w:ascii="Times New Roman" w:hAnsi="Times New Roman" w:cs="Times New Roman"/>
        </w:rPr>
        <w:footnoteRef/>
      </w:r>
      <w:r w:rsidRPr="003F0754">
        <w:rPr>
          <w:rFonts w:ascii="Times New Roman" w:hAnsi="Times New Roman" w:cs="Times New Roman"/>
        </w:rPr>
        <w:t xml:space="preserve"> Because the </w:t>
      </w:r>
      <w:r w:rsidRPr="003F0754">
        <w:rPr>
          <w:rFonts w:ascii="Times New Roman" w:hAnsi="Times New Roman" w:cs="Times New Roman"/>
          <w:i/>
        </w:rPr>
        <w:t>IMM</w:t>
      </w:r>
      <w:r w:rsidRPr="003F0754">
        <w:rPr>
          <w:rFonts w:ascii="Times New Roman" w:hAnsi="Times New Roman" w:cs="Times New Roman"/>
        </w:rPr>
        <w:t xml:space="preserve">, does not contain the market value of some corporate bonds or preferred shares, we have to resort to using their book values as per Davies et al. (2005).    </w:t>
      </w:r>
    </w:p>
  </w:footnote>
  <w:footnote w:id="17">
    <w:p w14:paraId="15C4F38F" w14:textId="598D9644" w:rsidR="00E36142" w:rsidRPr="003F0754" w:rsidRDefault="00E36142" w:rsidP="003F0754">
      <w:pPr>
        <w:pStyle w:val="FootnoteText"/>
        <w:rPr>
          <w:rFonts w:ascii="Times New Roman" w:hAnsi="Times New Roman" w:cs="Times New Roman"/>
          <w:lang w:val="en-US"/>
        </w:rPr>
      </w:pPr>
      <w:r w:rsidRPr="003F0754">
        <w:rPr>
          <w:rStyle w:val="FootnoteReference"/>
          <w:rFonts w:ascii="Times New Roman" w:hAnsi="Times New Roman" w:cs="Times New Roman"/>
        </w:rPr>
        <w:footnoteRef/>
      </w:r>
      <w:r w:rsidRPr="003F0754">
        <w:rPr>
          <w:rFonts w:ascii="Times New Roman" w:hAnsi="Times New Roman" w:cs="Times New Roman"/>
        </w:rPr>
        <w:t xml:space="preserve"> We use the </w:t>
      </w:r>
      <w:r w:rsidRPr="003F0754">
        <w:rPr>
          <w:rFonts w:ascii="Times New Roman" w:hAnsi="Times New Roman" w:cs="Times New Roman"/>
          <w:i/>
        </w:rPr>
        <w:t>London Gazette</w:t>
      </w:r>
      <w:r w:rsidRPr="003F0754">
        <w:rPr>
          <w:rFonts w:ascii="Times New Roman" w:hAnsi="Times New Roman" w:cs="Times New Roman"/>
        </w:rPr>
        <w:t xml:space="preserve"> and </w:t>
      </w:r>
      <w:r w:rsidRPr="003F0754">
        <w:rPr>
          <w:rFonts w:ascii="Times New Roman" w:hAnsi="Times New Roman" w:cs="Times New Roman"/>
          <w:i/>
        </w:rPr>
        <w:t>Edinburgh Gazette</w:t>
      </w:r>
      <w:r w:rsidRPr="003F0754">
        <w:rPr>
          <w:rFonts w:ascii="Times New Roman" w:hAnsi="Times New Roman" w:cs="Times New Roman"/>
        </w:rPr>
        <w:t xml:space="preserve"> as supplementary sources.</w:t>
      </w:r>
    </w:p>
  </w:footnote>
  <w:footnote w:id="18">
    <w:p w14:paraId="78036634" w14:textId="1024FD62" w:rsidR="00E36142" w:rsidRPr="003F0754" w:rsidRDefault="00E36142" w:rsidP="003F0754">
      <w:pPr>
        <w:pStyle w:val="FootnoteText"/>
        <w:rPr>
          <w:rFonts w:ascii="Times New Roman" w:hAnsi="Times New Roman" w:cs="Times New Roman"/>
        </w:rPr>
      </w:pPr>
      <w:r w:rsidRPr="003F0754">
        <w:rPr>
          <w:rStyle w:val="FootnoteReference"/>
          <w:rFonts w:ascii="Times New Roman" w:hAnsi="Times New Roman" w:cs="Times New Roman"/>
        </w:rPr>
        <w:footnoteRef/>
      </w:r>
      <w:r w:rsidRPr="003F0754">
        <w:rPr>
          <w:rFonts w:ascii="Times New Roman" w:hAnsi="Times New Roman" w:cs="Times New Roman"/>
        </w:rPr>
        <w:t xml:space="preserve"> Such voting regimes were common elsewhere in this period (Hilt, 2008, 2013; </w:t>
      </w:r>
      <w:proofErr w:type="spellStart"/>
      <w:r w:rsidRPr="003F0754">
        <w:rPr>
          <w:rFonts w:ascii="Times New Roman" w:hAnsi="Times New Roman" w:cs="Times New Roman"/>
        </w:rPr>
        <w:t>Pargendler</w:t>
      </w:r>
      <w:proofErr w:type="spellEnd"/>
      <w:r w:rsidRPr="003F0754">
        <w:rPr>
          <w:rFonts w:ascii="Times New Roman" w:hAnsi="Times New Roman" w:cs="Times New Roman"/>
        </w:rPr>
        <w:t xml:space="preserve"> and </w:t>
      </w:r>
      <w:proofErr w:type="spellStart"/>
      <w:r w:rsidRPr="003F0754">
        <w:rPr>
          <w:rFonts w:ascii="Times New Roman" w:hAnsi="Times New Roman" w:cs="Times New Roman"/>
        </w:rPr>
        <w:t>Hansmann</w:t>
      </w:r>
      <w:proofErr w:type="spellEnd"/>
      <w:r w:rsidRPr="003F0754">
        <w:rPr>
          <w:rFonts w:ascii="Times New Roman" w:hAnsi="Times New Roman" w:cs="Times New Roman"/>
        </w:rPr>
        <w:t xml:space="preserve">, 2013; </w:t>
      </w:r>
      <w:proofErr w:type="spellStart"/>
      <w:r w:rsidRPr="003F0754">
        <w:rPr>
          <w:rFonts w:ascii="Times New Roman" w:hAnsi="Times New Roman" w:cs="Times New Roman"/>
        </w:rPr>
        <w:t>Musacchio</w:t>
      </w:r>
      <w:proofErr w:type="spellEnd"/>
      <w:r w:rsidRPr="003F0754">
        <w:rPr>
          <w:rFonts w:ascii="Times New Roman" w:hAnsi="Times New Roman" w:cs="Times New Roman"/>
        </w:rPr>
        <w:t xml:space="preserve">, 2009).  </w:t>
      </w:r>
    </w:p>
  </w:footnote>
  <w:footnote w:id="19">
    <w:p w14:paraId="3064DC8B" w14:textId="348AE53C" w:rsidR="00E36142" w:rsidRPr="003F0754" w:rsidRDefault="00E36142" w:rsidP="003F0754">
      <w:pPr>
        <w:pStyle w:val="FootnoteText"/>
        <w:rPr>
          <w:rFonts w:ascii="Times New Roman" w:hAnsi="Times New Roman" w:cs="Times New Roman"/>
        </w:rPr>
      </w:pPr>
      <w:r w:rsidRPr="003F0754">
        <w:rPr>
          <w:rStyle w:val="FootnoteReference"/>
          <w:rFonts w:ascii="Times New Roman" w:hAnsi="Times New Roman" w:cs="Times New Roman"/>
        </w:rPr>
        <w:footnoteRef/>
      </w:r>
      <w:r w:rsidRPr="003F0754">
        <w:rPr>
          <w:rFonts w:ascii="Times New Roman" w:hAnsi="Times New Roman" w:cs="Times New Roman"/>
        </w:rPr>
        <w:t xml:space="preserve"> Perhaps the high levels of fixed and firm-specific assets meant that there was less need for large owners to commit to other stakeholders by having a greater separation of ownership from control (Mayer, 2013) </w:t>
      </w:r>
      <w:r w:rsidR="00B14C74" w:rsidRPr="003F0754">
        <w:rPr>
          <w:rFonts w:ascii="Times New Roman" w:hAnsi="Times New Roman" w:cs="Times New Roman"/>
        </w:rPr>
        <w:t>because the</w:t>
      </w:r>
      <w:r w:rsidRPr="003F0754">
        <w:rPr>
          <w:rFonts w:ascii="Times New Roman" w:hAnsi="Times New Roman" w:cs="Times New Roman"/>
        </w:rPr>
        <w:t xml:space="preserve"> </w:t>
      </w:r>
      <w:proofErr w:type="spellStart"/>
      <w:r w:rsidRPr="003F0754">
        <w:rPr>
          <w:rFonts w:ascii="Times New Roman" w:hAnsi="Times New Roman" w:cs="Times New Roman"/>
        </w:rPr>
        <w:t>infungible</w:t>
      </w:r>
      <w:proofErr w:type="spellEnd"/>
      <w:r w:rsidRPr="003F0754">
        <w:rPr>
          <w:rFonts w:ascii="Times New Roman" w:hAnsi="Times New Roman" w:cs="Times New Roman"/>
        </w:rPr>
        <w:t xml:space="preserve"> assets meant that it was more difficult to expropriate employees, suppliers, creditors, and customers, thereby reducing the need for large owners to credibly commit to these stakeholders by separating ownership from control.</w:t>
      </w:r>
    </w:p>
  </w:footnote>
  <w:footnote w:id="20">
    <w:p w14:paraId="211ACF38" w14:textId="6A0B715D" w:rsidR="00E36142" w:rsidRPr="003F0754" w:rsidRDefault="00E36142" w:rsidP="003F0754">
      <w:pPr>
        <w:pStyle w:val="FootnoteText"/>
        <w:rPr>
          <w:rFonts w:ascii="Times New Roman" w:hAnsi="Times New Roman" w:cs="Times New Roman"/>
        </w:rPr>
      </w:pPr>
      <w:r w:rsidRPr="003F0754">
        <w:rPr>
          <w:rStyle w:val="FootnoteReference"/>
          <w:rFonts w:ascii="Times New Roman" w:hAnsi="Times New Roman" w:cs="Times New Roman"/>
        </w:rPr>
        <w:footnoteRef/>
      </w:r>
      <w:r w:rsidRPr="003F0754">
        <w:rPr>
          <w:rFonts w:ascii="Times New Roman" w:hAnsi="Times New Roman" w:cs="Times New Roman"/>
        </w:rPr>
        <w:t xml:space="preserve"> We also run our regressions with unadjusted measures and industry dummies, but this does not change our results.</w:t>
      </w:r>
    </w:p>
  </w:footnote>
  <w:footnote w:id="21">
    <w:p w14:paraId="30E2A68A" w14:textId="6D686E58" w:rsidR="00E36142" w:rsidRPr="003F0754" w:rsidRDefault="00E36142" w:rsidP="003F0754">
      <w:pPr>
        <w:pStyle w:val="FootnoteText"/>
        <w:contextualSpacing/>
        <w:rPr>
          <w:rFonts w:ascii="Times New Roman" w:hAnsi="Times New Roman" w:cs="Times New Roman"/>
          <w:lang w:val="en-US"/>
        </w:rPr>
      </w:pPr>
      <w:r w:rsidRPr="003F0754">
        <w:rPr>
          <w:rStyle w:val="FootnoteReference"/>
          <w:rFonts w:ascii="Times New Roman" w:hAnsi="Times New Roman" w:cs="Times New Roman"/>
        </w:rPr>
        <w:footnoteRef/>
      </w:r>
      <w:r w:rsidRPr="003F0754">
        <w:rPr>
          <w:rFonts w:ascii="Times New Roman" w:hAnsi="Times New Roman" w:cs="Times New Roman"/>
        </w:rPr>
        <w:t xml:space="preserve"> This involved raising new capital or reorganising existing capital or, sometimes, renaming and re-registering the firm.</w:t>
      </w:r>
    </w:p>
  </w:footnote>
  <w:footnote w:id="22">
    <w:p w14:paraId="348F4F6A" w14:textId="6810D038" w:rsidR="00E36142" w:rsidRPr="003F0754" w:rsidRDefault="00E36142" w:rsidP="003F0754">
      <w:pPr>
        <w:pStyle w:val="FootnoteText"/>
        <w:contextualSpacing/>
        <w:rPr>
          <w:rFonts w:ascii="Times New Roman" w:hAnsi="Times New Roman" w:cs="Times New Roman"/>
        </w:rPr>
      </w:pPr>
      <w:r w:rsidRPr="003F0754">
        <w:rPr>
          <w:rStyle w:val="FootnoteReference"/>
          <w:rFonts w:ascii="Times New Roman" w:hAnsi="Times New Roman" w:cs="Times New Roman"/>
        </w:rPr>
        <w:footnoteRef/>
      </w:r>
      <w:r w:rsidRPr="003F0754">
        <w:rPr>
          <w:rFonts w:ascii="Times New Roman" w:hAnsi="Times New Roman" w:cs="Times New Roman"/>
        </w:rPr>
        <w:t xml:space="preserve"> After removal of 1</w:t>
      </w:r>
      <w:r w:rsidRPr="003F0754">
        <w:rPr>
          <w:rFonts w:ascii="Times New Roman" w:hAnsi="Times New Roman" w:cs="Times New Roman"/>
          <w:vertAlign w:val="superscript"/>
        </w:rPr>
        <w:t>st</w:t>
      </w:r>
      <w:r w:rsidRPr="003F0754">
        <w:rPr>
          <w:rFonts w:ascii="Times New Roman" w:hAnsi="Times New Roman" w:cs="Times New Roman"/>
        </w:rPr>
        <w:t xml:space="preserve"> and 99</w:t>
      </w:r>
      <w:r w:rsidRPr="003F0754">
        <w:rPr>
          <w:rFonts w:ascii="Times New Roman" w:hAnsi="Times New Roman" w:cs="Times New Roman"/>
          <w:vertAlign w:val="superscript"/>
        </w:rPr>
        <w:t>th</w:t>
      </w:r>
      <w:r w:rsidRPr="003F0754">
        <w:rPr>
          <w:rFonts w:ascii="Times New Roman" w:hAnsi="Times New Roman" w:cs="Times New Roman"/>
        </w:rPr>
        <w:t xml:space="preserve"> percentiles</w:t>
      </w:r>
    </w:p>
  </w:footnote>
  <w:footnote w:id="23">
    <w:p w14:paraId="220C5C08" w14:textId="18ADF34E" w:rsidR="00E36142" w:rsidRPr="003F0754" w:rsidRDefault="00E36142" w:rsidP="003F0754">
      <w:pPr>
        <w:pStyle w:val="FootnoteText"/>
        <w:contextualSpacing/>
        <w:rPr>
          <w:rFonts w:ascii="Times New Roman" w:hAnsi="Times New Roman" w:cs="Times New Roman"/>
        </w:rPr>
      </w:pPr>
      <w:r w:rsidRPr="003F0754">
        <w:rPr>
          <w:rStyle w:val="FootnoteReference"/>
          <w:rFonts w:ascii="Times New Roman" w:hAnsi="Times New Roman" w:cs="Times New Roman"/>
        </w:rPr>
        <w:footnoteRef/>
      </w:r>
      <w:r w:rsidRPr="003F0754">
        <w:rPr>
          <w:rFonts w:ascii="Times New Roman" w:hAnsi="Times New Roman" w:cs="Times New Roman"/>
        </w:rPr>
        <w:t xml:space="preserve"> The mean and median leverage ratios in Table 1 are low compared to the Essex-Crosby data for all companies listed in </w:t>
      </w:r>
      <w:r w:rsidRPr="003F0754">
        <w:rPr>
          <w:rFonts w:ascii="Times New Roman" w:hAnsi="Times New Roman" w:cs="Times New Roman"/>
          <w:i/>
        </w:rPr>
        <w:t>BOI</w:t>
      </w:r>
      <w:r w:rsidRPr="003F0754">
        <w:rPr>
          <w:rFonts w:ascii="Times New Roman" w:hAnsi="Times New Roman" w:cs="Times New Roman"/>
        </w:rPr>
        <w:t xml:space="preserve"> in 1885 and 1895, where the respective averages are 20.7 and 29.0 per cent (</w:t>
      </w:r>
      <w:proofErr w:type="spellStart"/>
      <w:r w:rsidRPr="003F0754">
        <w:rPr>
          <w:rFonts w:ascii="Times New Roman" w:hAnsi="Times New Roman" w:cs="Times New Roman"/>
        </w:rPr>
        <w:t>Jefferys</w:t>
      </w:r>
      <w:proofErr w:type="spellEnd"/>
      <w:r w:rsidRPr="003F0754">
        <w:rPr>
          <w:rFonts w:ascii="Times New Roman" w:hAnsi="Times New Roman" w:cs="Times New Roman"/>
        </w:rPr>
        <w:t xml:space="preserve"> 1977, p. 458). There are at least two reasons for this.  First, we have an over-representation of banks and other financial companies which did not have long-term debt in their capital structure.  Second, some public companies, such as breweries, issued only debentures to the public and are therefore not in our sample, but are included in the Essex-Crosby figures.</w:t>
      </w:r>
    </w:p>
  </w:footnote>
  <w:footnote w:id="24">
    <w:p w14:paraId="567EAC0F" w14:textId="645052E2" w:rsidR="00E36142" w:rsidRPr="00F83CDE" w:rsidRDefault="00E36142" w:rsidP="00F83CDE">
      <w:pPr>
        <w:rPr>
          <w:rFonts w:ascii="Times New Roman" w:hAnsi="Times New Roman" w:cs="Times New Roman"/>
          <w:sz w:val="20"/>
          <w:szCs w:val="20"/>
        </w:rPr>
      </w:pPr>
      <w:r w:rsidRPr="003F0754">
        <w:rPr>
          <w:rStyle w:val="FootnoteReference"/>
          <w:rFonts w:ascii="Times New Roman" w:hAnsi="Times New Roman" w:cs="Times New Roman"/>
          <w:sz w:val="20"/>
          <w:szCs w:val="20"/>
        </w:rPr>
        <w:footnoteRef/>
      </w:r>
      <w:r w:rsidRPr="003F0754">
        <w:rPr>
          <w:rFonts w:ascii="Times New Roman" w:hAnsi="Times New Roman" w:cs="Times New Roman"/>
          <w:sz w:val="20"/>
          <w:szCs w:val="20"/>
        </w:rPr>
        <w:t xml:space="preserve"> The ownership concentration measures are based on voting rights.  For the sake of robustness, we also use cash-flow rights as a measure of ownership concentration and find that the results, are similar to those in Table 4.</w:t>
      </w:r>
    </w:p>
  </w:footnote>
  <w:footnote w:id="25">
    <w:p w14:paraId="4D63441E" w14:textId="3B6B9C98" w:rsidR="00E36142" w:rsidRPr="003F0754" w:rsidRDefault="00E36142" w:rsidP="003F0754">
      <w:pPr>
        <w:rPr>
          <w:rFonts w:ascii="Times New Roman" w:hAnsi="Times New Roman" w:cs="Times New Roman"/>
          <w:sz w:val="20"/>
          <w:szCs w:val="20"/>
        </w:rPr>
      </w:pPr>
      <w:r w:rsidRPr="003F0754">
        <w:rPr>
          <w:rStyle w:val="FootnoteReference"/>
          <w:rFonts w:ascii="Times New Roman" w:hAnsi="Times New Roman" w:cs="Times New Roman"/>
          <w:sz w:val="20"/>
          <w:szCs w:val="20"/>
        </w:rPr>
        <w:footnoteRef/>
      </w:r>
      <w:r w:rsidRPr="003F0754">
        <w:rPr>
          <w:rFonts w:ascii="Times New Roman" w:hAnsi="Times New Roman" w:cs="Times New Roman"/>
          <w:sz w:val="20"/>
          <w:szCs w:val="20"/>
        </w:rPr>
        <w:t xml:space="preserve"> Changing the definition of a large shareholder to someone holding five per cent of stock creates a substantial increase in the number of individuals classified as large </w:t>
      </w:r>
      <w:proofErr w:type="spellStart"/>
      <w:r w:rsidRPr="003F0754">
        <w:rPr>
          <w:rFonts w:ascii="Times New Roman" w:hAnsi="Times New Roman" w:cs="Times New Roman"/>
          <w:sz w:val="20"/>
          <w:szCs w:val="20"/>
        </w:rPr>
        <w:t>blockholders</w:t>
      </w:r>
      <w:proofErr w:type="spellEnd"/>
      <w:r w:rsidRPr="003F0754">
        <w:rPr>
          <w:rFonts w:ascii="Times New Roman" w:hAnsi="Times New Roman" w:cs="Times New Roman"/>
          <w:sz w:val="20"/>
          <w:szCs w:val="20"/>
        </w:rPr>
        <w:t xml:space="preserve">, with the 20 per cent definition reducing them.  </w:t>
      </w:r>
    </w:p>
    <w:p w14:paraId="0E407AC7" w14:textId="1B48A404" w:rsidR="00E36142" w:rsidRPr="003F0754" w:rsidRDefault="00E36142" w:rsidP="003F0754">
      <w:pPr>
        <w:pStyle w:val="FootnoteText"/>
        <w:rPr>
          <w:rFonts w:ascii="Times New Roman" w:hAnsi="Times New Roman" w:cs="Times New Roman"/>
          <w:lang w:val="en-US"/>
        </w:rPr>
      </w:pPr>
    </w:p>
  </w:footnote>
  <w:footnote w:id="26">
    <w:p w14:paraId="7BC2ABDD" w14:textId="4F88F05C" w:rsidR="00E36142" w:rsidRPr="003F0754" w:rsidRDefault="00E36142" w:rsidP="003F0754">
      <w:pPr>
        <w:pStyle w:val="FootnoteText"/>
        <w:rPr>
          <w:rFonts w:ascii="Times New Roman" w:hAnsi="Times New Roman" w:cs="Times New Roman"/>
          <w:lang w:val="en-US"/>
        </w:rPr>
      </w:pPr>
      <w:r w:rsidRPr="003F0754">
        <w:rPr>
          <w:rStyle w:val="FootnoteReference"/>
          <w:rFonts w:ascii="Times New Roman" w:hAnsi="Times New Roman" w:cs="Times New Roman"/>
        </w:rPr>
        <w:footnoteRef/>
      </w:r>
      <w:r w:rsidRPr="003F0754">
        <w:rPr>
          <w:rFonts w:ascii="Times New Roman" w:hAnsi="Times New Roman" w:cs="Times New Roman"/>
        </w:rPr>
        <w:t xml:space="preserve"> With few cases where anyone is identified simply as Manager</w:t>
      </w:r>
      <w:r w:rsidR="00A94B4F" w:rsidRPr="003F0754">
        <w:rPr>
          <w:rFonts w:ascii="Times New Roman" w:hAnsi="Times New Roman" w:cs="Times New Roman"/>
        </w:rPr>
        <w:t>, we</w:t>
      </w:r>
      <w:r w:rsidRPr="003F0754">
        <w:rPr>
          <w:rFonts w:ascii="Times New Roman" w:hAnsi="Times New Roman" w:cs="Times New Roman"/>
        </w:rPr>
        <w:t xml:space="preserve"> used judgement as to what different titles actually meant.</w:t>
      </w:r>
    </w:p>
  </w:footnote>
  <w:footnote w:id="27">
    <w:p w14:paraId="4A78B1DE" w14:textId="73344C5D" w:rsidR="00E36142" w:rsidRPr="003F0754" w:rsidRDefault="00E36142" w:rsidP="003F0754">
      <w:pPr>
        <w:pStyle w:val="FootnoteText"/>
        <w:rPr>
          <w:rFonts w:ascii="Times New Roman" w:hAnsi="Times New Roman" w:cs="Times New Roman"/>
          <w:lang w:val="en-US"/>
        </w:rPr>
      </w:pPr>
      <w:r w:rsidRPr="003F0754">
        <w:rPr>
          <w:rStyle w:val="FootnoteReference"/>
          <w:rFonts w:ascii="Times New Roman" w:hAnsi="Times New Roman" w:cs="Times New Roman"/>
        </w:rPr>
        <w:footnoteRef/>
      </w:r>
      <w:r w:rsidRPr="003F0754">
        <w:rPr>
          <w:rFonts w:ascii="Times New Roman" w:hAnsi="Times New Roman" w:cs="Times New Roman"/>
        </w:rPr>
        <w:t xml:space="preserve"> </w:t>
      </w:r>
      <w:r w:rsidRPr="003F0754">
        <w:rPr>
          <w:rFonts w:ascii="Times New Roman" w:hAnsi="Times New Roman" w:cs="Times New Roman"/>
          <w:lang w:val="en-US"/>
        </w:rPr>
        <w:t>Contact authors for results.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743B"/>
    <w:multiLevelType w:val="hybridMultilevel"/>
    <w:tmpl w:val="500E9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3251E9"/>
    <w:multiLevelType w:val="hybridMultilevel"/>
    <w:tmpl w:val="D89C7642"/>
    <w:lvl w:ilvl="0" w:tplc="8EB2D004">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8B75C8"/>
    <w:multiLevelType w:val="hybridMultilevel"/>
    <w:tmpl w:val="895E7A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E42C6"/>
    <w:multiLevelType w:val="hybridMultilevel"/>
    <w:tmpl w:val="D2325D3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C7C7CB4"/>
    <w:multiLevelType w:val="hybridMultilevel"/>
    <w:tmpl w:val="E4F2DD80"/>
    <w:lvl w:ilvl="0" w:tplc="23AA8968">
      <w:start w:val="16"/>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1235787"/>
    <w:multiLevelType w:val="hybridMultilevel"/>
    <w:tmpl w:val="1734AA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1A146C"/>
    <w:multiLevelType w:val="hybridMultilevel"/>
    <w:tmpl w:val="0FAC99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136235"/>
    <w:multiLevelType w:val="hybridMultilevel"/>
    <w:tmpl w:val="B798E6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F2740F"/>
    <w:multiLevelType w:val="hybridMultilevel"/>
    <w:tmpl w:val="4566A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2635A2"/>
    <w:multiLevelType w:val="hybridMultilevel"/>
    <w:tmpl w:val="861C6544"/>
    <w:lvl w:ilvl="0" w:tplc="CB4A7E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9F6A76"/>
    <w:multiLevelType w:val="hybridMultilevel"/>
    <w:tmpl w:val="E1A63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D97616"/>
    <w:multiLevelType w:val="hybridMultilevel"/>
    <w:tmpl w:val="FBA6C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487067"/>
    <w:multiLevelType w:val="hybridMultilevel"/>
    <w:tmpl w:val="E7E03890"/>
    <w:lvl w:ilvl="0" w:tplc="8B443D3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5BF0D79"/>
    <w:multiLevelType w:val="hybridMultilevel"/>
    <w:tmpl w:val="6D5E2C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6EC34E3"/>
    <w:multiLevelType w:val="hybridMultilevel"/>
    <w:tmpl w:val="83A84CB8"/>
    <w:lvl w:ilvl="0" w:tplc="310E6148">
      <w:start w:val="1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EB3BB5"/>
    <w:multiLevelType w:val="hybridMultilevel"/>
    <w:tmpl w:val="887CA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994BD9"/>
    <w:multiLevelType w:val="hybridMultilevel"/>
    <w:tmpl w:val="D3001F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13"/>
  </w:num>
  <w:num w:numId="5">
    <w:abstractNumId w:val="16"/>
  </w:num>
  <w:num w:numId="6">
    <w:abstractNumId w:val="6"/>
  </w:num>
  <w:num w:numId="7">
    <w:abstractNumId w:val="11"/>
  </w:num>
  <w:num w:numId="8">
    <w:abstractNumId w:val="15"/>
  </w:num>
  <w:num w:numId="9">
    <w:abstractNumId w:val="8"/>
  </w:num>
  <w:num w:numId="10">
    <w:abstractNumId w:val="10"/>
  </w:num>
  <w:num w:numId="11">
    <w:abstractNumId w:val="0"/>
  </w:num>
  <w:num w:numId="12">
    <w:abstractNumId w:val="12"/>
  </w:num>
  <w:num w:numId="13">
    <w:abstractNumId w:val="9"/>
  </w:num>
  <w:num w:numId="14">
    <w:abstractNumId w:val="3"/>
  </w:num>
  <w:num w:numId="15">
    <w:abstractNumId w:val="7"/>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D16"/>
    <w:rsid w:val="00000621"/>
    <w:rsid w:val="000026F3"/>
    <w:rsid w:val="00002C56"/>
    <w:rsid w:val="00003081"/>
    <w:rsid w:val="00003301"/>
    <w:rsid w:val="00005448"/>
    <w:rsid w:val="00007FB1"/>
    <w:rsid w:val="00010B03"/>
    <w:rsid w:val="00011330"/>
    <w:rsid w:val="00012722"/>
    <w:rsid w:val="00013CE3"/>
    <w:rsid w:val="0001588A"/>
    <w:rsid w:val="00015A5B"/>
    <w:rsid w:val="00016CB5"/>
    <w:rsid w:val="000178D7"/>
    <w:rsid w:val="000200FD"/>
    <w:rsid w:val="00022C98"/>
    <w:rsid w:val="0002303C"/>
    <w:rsid w:val="000241E1"/>
    <w:rsid w:val="000267AD"/>
    <w:rsid w:val="00027597"/>
    <w:rsid w:val="00030298"/>
    <w:rsid w:val="000306D6"/>
    <w:rsid w:val="000307F6"/>
    <w:rsid w:val="0003153D"/>
    <w:rsid w:val="00032BAE"/>
    <w:rsid w:val="00033369"/>
    <w:rsid w:val="000336B0"/>
    <w:rsid w:val="0003480D"/>
    <w:rsid w:val="0003514A"/>
    <w:rsid w:val="00035AA8"/>
    <w:rsid w:val="00036AA0"/>
    <w:rsid w:val="00042266"/>
    <w:rsid w:val="00042AD0"/>
    <w:rsid w:val="00042BE0"/>
    <w:rsid w:val="00043EDF"/>
    <w:rsid w:val="000452CC"/>
    <w:rsid w:val="00046609"/>
    <w:rsid w:val="000468F9"/>
    <w:rsid w:val="00047E28"/>
    <w:rsid w:val="0005082C"/>
    <w:rsid w:val="000509A9"/>
    <w:rsid w:val="00052E8F"/>
    <w:rsid w:val="00053280"/>
    <w:rsid w:val="000553B2"/>
    <w:rsid w:val="00055BA4"/>
    <w:rsid w:val="00055E8E"/>
    <w:rsid w:val="00056DC5"/>
    <w:rsid w:val="00060A94"/>
    <w:rsid w:val="00063B89"/>
    <w:rsid w:val="00063D17"/>
    <w:rsid w:val="0006460A"/>
    <w:rsid w:val="00065DD9"/>
    <w:rsid w:val="000660F0"/>
    <w:rsid w:val="000661EA"/>
    <w:rsid w:val="00067C17"/>
    <w:rsid w:val="000700D0"/>
    <w:rsid w:val="000718FA"/>
    <w:rsid w:val="00071DB2"/>
    <w:rsid w:val="000727BD"/>
    <w:rsid w:val="00072EA0"/>
    <w:rsid w:val="00072ED8"/>
    <w:rsid w:val="00074CE9"/>
    <w:rsid w:val="0007504B"/>
    <w:rsid w:val="00075DC5"/>
    <w:rsid w:val="00076402"/>
    <w:rsid w:val="00076A20"/>
    <w:rsid w:val="00080705"/>
    <w:rsid w:val="000819BB"/>
    <w:rsid w:val="0008468A"/>
    <w:rsid w:val="000850A8"/>
    <w:rsid w:val="00086614"/>
    <w:rsid w:val="00087887"/>
    <w:rsid w:val="00090075"/>
    <w:rsid w:val="000911CE"/>
    <w:rsid w:val="0009179C"/>
    <w:rsid w:val="00091B90"/>
    <w:rsid w:val="00093CEC"/>
    <w:rsid w:val="00093FF7"/>
    <w:rsid w:val="00094508"/>
    <w:rsid w:val="00096585"/>
    <w:rsid w:val="0009746B"/>
    <w:rsid w:val="000975B8"/>
    <w:rsid w:val="00097AA1"/>
    <w:rsid w:val="000A0023"/>
    <w:rsid w:val="000A2625"/>
    <w:rsid w:val="000A2763"/>
    <w:rsid w:val="000A309B"/>
    <w:rsid w:val="000A3247"/>
    <w:rsid w:val="000A3A4C"/>
    <w:rsid w:val="000A43E6"/>
    <w:rsid w:val="000A7122"/>
    <w:rsid w:val="000B1981"/>
    <w:rsid w:val="000B1E4B"/>
    <w:rsid w:val="000B2B41"/>
    <w:rsid w:val="000B2CE7"/>
    <w:rsid w:val="000B2F6B"/>
    <w:rsid w:val="000B5391"/>
    <w:rsid w:val="000B6C9E"/>
    <w:rsid w:val="000B7030"/>
    <w:rsid w:val="000C019F"/>
    <w:rsid w:val="000C0211"/>
    <w:rsid w:val="000C4773"/>
    <w:rsid w:val="000C515A"/>
    <w:rsid w:val="000C51EA"/>
    <w:rsid w:val="000C6038"/>
    <w:rsid w:val="000D5138"/>
    <w:rsid w:val="000D6E5A"/>
    <w:rsid w:val="000E0DC8"/>
    <w:rsid w:val="000E30DF"/>
    <w:rsid w:val="000E3861"/>
    <w:rsid w:val="000E509E"/>
    <w:rsid w:val="000E5E19"/>
    <w:rsid w:val="000E651B"/>
    <w:rsid w:val="000E769A"/>
    <w:rsid w:val="000E7C05"/>
    <w:rsid w:val="000E7E97"/>
    <w:rsid w:val="000F0DED"/>
    <w:rsid w:val="000F14CC"/>
    <w:rsid w:val="000F21F6"/>
    <w:rsid w:val="000F3B1A"/>
    <w:rsid w:val="000F4521"/>
    <w:rsid w:val="000F68D3"/>
    <w:rsid w:val="000F79EA"/>
    <w:rsid w:val="0010060A"/>
    <w:rsid w:val="0010340B"/>
    <w:rsid w:val="00104967"/>
    <w:rsid w:val="00104C53"/>
    <w:rsid w:val="00104D55"/>
    <w:rsid w:val="001059D0"/>
    <w:rsid w:val="00105DFA"/>
    <w:rsid w:val="00106E15"/>
    <w:rsid w:val="00107084"/>
    <w:rsid w:val="00107D72"/>
    <w:rsid w:val="00112A36"/>
    <w:rsid w:val="00112BFB"/>
    <w:rsid w:val="00113213"/>
    <w:rsid w:val="00113243"/>
    <w:rsid w:val="00114F36"/>
    <w:rsid w:val="00115739"/>
    <w:rsid w:val="00115E72"/>
    <w:rsid w:val="00117E78"/>
    <w:rsid w:val="00117FA0"/>
    <w:rsid w:val="001201D3"/>
    <w:rsid w:val="001212DE"/>
    <w:rsid w:val="001220DA"/>
    <w:rsid w:val="00122A26"/>
    <w:rsid w:val="001242FF"/>
    <w:rsid w:val="0012554C"/>
    <w:rsid w:val="00127CFA"/>
    <w:rsid w:val="00132928"/>
    <w:rsid w:val="00133BBE"/>
    <w:rsid w:val="0013432B"/>
    <w:rsid w:val="001344F0"/>
    <w:rsid w:val="00134C5D"/>
    <w:rsid w:val="00135D05"/>
    <w:rsid w:val="001360F6"/>
    <w:rsid w:val="001364AC"/>
    <w:rsid w:val="001368C4"/>
    <w:rsid w:val="00137CF6"/>
    <w:rsid w:val="001431D0"/>
    <w:rsid w:val="001438AC"/>
    <w:rsid w:val="00143AF6"/>
    <w:rsid w:val="0014498D"/>
    <w:rsid w:val="00146FC8"/>
    <w:rsid w:val="0015050B"/>
    <w:rsid w:val="00150A29"/>
    <w:rsid w:val="00151EDA"/>
    <w:rsid w:val="00152FBB"/>
    <w:rsid w:val="001561F2"/>
    <w:rsid w:val="00156FD7"/>
    <w:rsid w:val="00160949"/>
    <w:rsid w:val="00160D34"/>
    <w:rsid w:val="00161132"/>
    <w:rsid w:val="001613C8"/>
    <w:rsid w:val="00161703"/>
    <w:rsid w:val="001617F7"/>
    <w:rsid w:val="00161B3E"/>
    <w:rsid w:val="00162B38"/>
    <w:rsid w:val="00165A44"/>
    <w:rsid w:val="001663E2"/>
    <w:rsid w:val="001712C1"/>
    <w:rsid w:val="0017166C"/>
    <w:rsid w:val="00171738"/>
    <w:rsid w:val="001731D3"/>
    <w:rsid w:val="00174D0A"/>
    <w:rsid w:val="00180312"/>
    <w:rsid w:val="00180652"/>
    <w:rsid w:val="00181DAA"/>
    <w:rsid w:val="00181F45"/>
    <w:rsid w:val="00182F58"/>
    <w:rsid w:val="00185C89"/>
    <w:rsid w:val="00185FAD"/>
    <w:rsid w:val="001867DE"/>
    <w:rsid w:val="001900A9"/>
    <w:rsid w:val="001917A2"/>
    <w:rsid w:val="00192FF2"/>
    <w:rsid w:val="00193CD7"/>
    <w:rsid w:val="00194678"/>
    <w:rsid w:val="00195979"/>
    <w:rsid w:val="001960EC"/>
    <w:rsid w:val="001A1CC1"/>
    <w:rsid w:val="001A2ED7"/>
    <w:rsid w:val="001A5639"/>
    <w:rsid w:val="001A7E25"/>
    <w:rsid w:val="001B07E4"/>
    <w:rsid w:val="001B0E85"/>
    <w:rsid w:val="001B1468"/>
    <w:rsid w:val="001B15AC"/>
    <w:rsid w:val="001B167F"/>
    <w:rsid w:val="001B191D"/>
    <w:rsid w:val="001B2FB8"/>
    <w:rsid w:val="001B3E6F"/>
    <w:rsid w:val="001B41B6"/>
    <w:rsid w:val="001B4909"/>
    <w:rsid w:val="001B4979"/>
    <w:rsid w:val="001B5238"/>
    <w:rsid w:val="001B608B"/>
    <w:rsid w:val="001C011C"/>
    <w:rsid w:val="001C29DE"/>
    <w:rsid w:val="001C36AB"/>
    <w:rsid w:val="001C692E"/>
    <w:rsid w:val="001C72BE"/>
    <w:rsid w:val="001C789F"/>
    <w:rsid w:val="001D1489"/>
    <w:rsid w:val="001D2868"/>
    <w:rsid w:val="001D40B9"/>
    <w:rsid w:val="001D41F2"/>
    <w:rsid w:val="001D53F3"/>
    <w:rsid w:val="001D5972"/>
    <w:rsid w:val="001D6560"/>
    <w:rsid w:val="001D6C6E"/>
    <w:rsid w:val="001D7FFB"/>
    <w:rsid w:val="001E2250"/>
    <w:rsid w:val="001E3BEB"/>
    <w:rsid w:val="001E5369"/>
    <w:rsid w:val="001F0974"/>
    <w:rsid w:val="001F0FAB"/>
    <w:rsid w:val="001F118E"/>
    <w:rsid w:val="001F1CE5"/>
    <w:rsid w:val="001F2D8D"/>
    <w:rsid w:val="001F4402"/>
    <w:rsid w:val="001F4908"/>
    <w:rsid w:val="001F50DA"/>
    <w:rsid w:val="001F5DE8"/>
    <w:rsid w:val="001F616B"/>
    <w:rsid w:val="001F649D"/>
    <w:rsid w:val="001F64AF"/>
    <w:rsid w:val="001F7889"/>
    <w:rsid w:val="00201C16"/>
    <w:rsid w:val="00202159"/>
    <w:rsid w:val="002021F7"/>
    <w:rsid w:val="002028F1"/>
    <w:rsid w:val="00203F0F"/>
    <w:rsid w:val="00205E7D"/>
    <w:rsid w:val="00207A9B"/>
    <w:rsid w:val="002125B1"/>
    <w:rsid w:val="00212B45"/>
    <w:rsid w:val="00212C69"/>
    <w:rsid w:val="0021368D"/>
    <w:rsid w:val="00214440"/>
    <w:rsid w:val="002152A5"/>
    <w:rsid w:val="00216393"/>
    <w:rsid w:val="00216D40"/>
    <w:rsid w:val="002179DA"/>
    <w:rsid w:val="00217D31"/>
    <w:rsid w:val="00217E37"/>
    <w:rsid w:val="00221D5D"/>
    <w:rsid w:val="002225D6"/>
    <w:rsid w:val="00222F65"/>
    <w:rsid w:val="002241BE"/>
    <w:rsid w:val="00224B80"/>
    <w:rsid w:val="00230220"/>
    <w:rsid w:val="00232255"/>
    <w:rsid w:val="00233874"/>
    <w:rsid w:val="00234603"/>
    <w:rsid w:val="002359C2"/>
    <w:rsid w:val="00240991"/>
    <w:rsid w:val="00241B9D"/>
    <w:rsid w:val="00242346"/>
    <w:rsid w:val="002433EA"/>
    <w:rsid w:val="00243C40"/>
    <w:rsid w:val="00243D8A"/>
    <w:rsid w:val="0024597B"/>
    <w:rsid w:val="002459A5"/>
    <w:rsid w:val="00246371"/>
    <w:rsid w:val="002474B1"/>
    <w:rsid w:val="00247E83"/>
    <w:rsid w:val="00250156"/>
    <w:rsid w:val="00250A0C"/>
    <w:rsid w:val="002510DC"/>
    <w:rsid w:val="00251556"/>
    <w:rsid w:val="00251E7E"/>
    <w:rsid w:val="00253D9D"/>
    <w:rsid w:val="0025535E"/>
    <w:rsid w:val="00257040"/>
    <w:rsid w:val="002571C7"/>
    <w:rsid w:val="00260CE9"/>
    <w:rsid w:val="0026178C"/>
    <w:rsid w:val="00261860"/>
    <w:rsid w:val="00262AFE"/>
    <w:rsid w:val="00262DD1"/>
    <w:rsid w:val="00263639"/>
    <w:rsid w:val="00265118"/>
    <w:rsid w:val="00266EB3"/>
    <w:rsid w:val="00267172"/>
    <w:rsid w:val="00267BA8"/>
    <w:rsid w:val="00267CDA"/>
    <w:rsid w:val="002707F2"/>
    <w:rsid w:val="00270E4A"/>
    <w:rsid w:val="00272706"/>
    <w:rsid w:val="0027475B"/>
    <w:rsid w:val="00274CE4"/>
    <w:rsid w:val="00276068"/>
    <w:rsid w:val="00276ED1"/>
    <w:rsid w:val="002803D8"/>
    <w:rsid w:val="00280E76"/>
    <w:rsid w:val="002811A1"/>
    <w:rsid w:val="002815B8"/>
    <w:rsid w:val="002824B5"/>
    <w:rsid w:val="00282C02"/>
    <w:rsid w:val="00284D5D"/>
    <w:rsid w:val="00285D68"/>
    <w:rsid w:val="002874B9"/>
    <w:rsid w:val="00287913"/>
    <w:rsid w:val="00287CB6"/>
    <w:rsid w:val="00290226"/>
    <w:rsid w:val="002918E8"/>
    <w:rsid w:val="00293DEE"/>
    <w:rsid w:val="002A0A77"/>
    <w:rsid w:val="002A0CF1"/>
    <w:rsid w:val="002A173B"/>
    <w:rsid w:val="002A212C"/>
    <w:rsid w:val="002A34B9"/>
    <w:rsid w:val="002A518F"/>
    <w:rsid w:val="002A67C8"/>
    <w:rsid w:val="002A749E"/>
    <w:rsid w:val="002A77A9"/>
    <w:rsid w:val="002A7FB5"/>
    <w:rsid w:val="002B053A"/>
    <w:rsid w:val="002B0B89"/>
    <w:rsid w:val="002B0BC3"/>
    <w:rsid w:val="002B117A"/>
    <w:rsid w:val="002B1CEF"/>
    <w:rsid w:val="002B3961"/>
    <w:rsid w:val="002B3B35"/>
    <w:rsid w:val="002B4E95"/>
    <w:rsid w:val="002B717F"/>
    <w:rsid w:val="002B7229"/>
    <w:rsid w:val="002C07FC"/>
    <w:rsid w:val="002C231D"/>
    <w:rsid w:val="002C2F71"/>
    <w:rsid w:val="002C380C"/>
    <w:rsid w:val="002C3B22"/>
    <w:rsid w:val="002C407C"/>
    <w:rsid w:val="002C49FC"/>
    <w:rsid w:val="002C7BD0"/>
    <w:rsid w:val="002C7FA6"/>
    <w:rsid w:val="002D00B8"/>
    <w:rsid w:val="002D1646"/>
    <w:rsid w:val="002D51B6"/>
    <w:rsid w:val="002D5934"/>
    <w:rsid w:val="002D7921"/>
    <w:rsid w:val="002D7B48"/>
    <w:rsid w:val="002D7D83"/>
    <w:rsid w:val="002D7E47"/>
    <w:rsid w:val="002E043E"/>
    <w:rsid w:val="002E07DF"/>
    <w:rsid w:val="002E182C"/>
    <w:rsid w:val="002E2E0C"/>
    <w:rsid w:val="002E35AC"/>
    <w:rsid w:val="002E6970"/>
    <w:rsid w:val="002E6E76"/>
    <w:rsid w:val="002E78FD"/>
    <w:rsid w:val="002E794D"/>
    <w:rsid w:val="002F1FA8"/>
    <w:rsid w:val="002F3FD3"/>
    <w:rsid w:val="002F5F69"/>
    <w:rsid w:val="002F6B1E"/>
    <w:rsid w:val="002F7933"/>
    <w:rsid w:val="00303D18"/>
    <w:rsid w:val="003052FE"/>
    <w:rsid w:val="00305495"/>
    <w:rsid w:val="003061CC"/>
    <w:rsid w:val="003066EC"/>
    <w:rsid w:val="00310E64"/>
    <w:rsid w:val="00311375"/>
    <w:rsid w:val="00311531"/>
    <w:rsid w:val="00311E55"/>
    <w:rsid w:val="0031200A"/>
    <w:rsid w:val="003136BC"/>
    <w:rsid w:val="003143BA"/>
    <w:rsid w:val="00315AED"/>
    <w:rsid w:val="00316D00"/>
    <w:rsid w:val="00316EC3"/>
    <w:rsid w:val="00317013"/>
    <w:rsid w:val="00320132"/>
    <w:rsid w:val="003205EE"/>
    <w:rsid w:val="0032292E"/>
    <w:rsid w:val="0032415B"/>
    <w:rsid w:val="003250D7"/>
    <w:rsid w:val="003251C8"/>
    <w:rsid w:val="003253B2"/>
    <w:rsid w:val="00326222"/>
    <w:rsid w:val="00326FC0"/>
    <w:rsid w:val="00330F3C"/>
    <w:rsid w:val="00332719"/>
    <w:rsid w:val="00332BFC"/>
    <w:rsid w:val="0033581F"/>
    <w:rsid w:val="00337E79"/>
    <w:rsid w:val="0034110C"/>
    <w:rsid w:val="0034254B"/>
    <w:rsid w:val="003427D7"/>
    <w:rsid w:val="00342DF9"/>
    <w:rsid w:val="00343FDA"/>
    <w:rsid w:val="003441F6"/>
    <w:rsid w:val="00344833"/>
    <w:rsid w:val="00344FC1"/>
    <w:rsid w:val="0034511D"/>
    <w:rsid w:val="003516A3"/>
    <w:rsid w:val="00352286"/>
    <w:rsid w:val="00352E06"/>
    <w:rsid w:val="00353385"/>
    <w:rsid w:val="00353E25"/>
    <w:rsid w:val="0035581A"/>
    <w:rsid w:val="00356314"/>
    <w:rsid w:val="003602F1"/>
    <w:rsid w:val="003634D0"/>
    <w:rsid w:val="00364A46"/>
    <w:rsid w:val="00366D28"/>
    <w:rsid w:val="00367E45"/>
    <w:rsid w:val="00370346"/>
    <w:rsid w:val="003710F6"/>
    <w:rsid w:val="00372621"/>
    <w:rsid w:val="00374BB9"/>
    <w:rsid w:val="00375521"/>
    <w:rsid w:val="00375C35"/>
    <w:rsid w:val="003767F8"/>
    <w:rsid w:val="00376AC8"/>
    <w:rsid w:val="00380EAC"/>
    <w:rsid w:val="00381E5F"/>
    <w:rsid w:val="00382824"/>
    <w:rsid w:val="003832B4"/>
    <w:rsid w:val="00383383"/>
    <w:rsid w:val="003835A1"/>
    <w:rsid w:val="00383B86"/>
    <w:rsid w:val="003850F1"/>
    <w:rsid w:val="003857A2"/>
    <w:rsid w:val="00385D1B"/>
    <w:rsid w:val="003876AA"/>
    <w:rsid w:val="00390741"/>
    <w:rsid w:val="00392820"/>
    <w:rsid w:val="0039356A"/>
    <w:rsid w:val="00396F80"/>
    <w:rsid w:val="003A0F2B"/>
    <w:rsid w:val="003A1522"/>
    <w:rsid w:val="003A3C7B"/>
    <w:rsid w:val="003A42B4"/>
    <w:rsid w:val="003A4E33"/>
    <w:rsid w:val="003A4FD7"/>
    <w:rsid w:val="003A565C"/>
    <w:rsid w:val="003A7114"/>
    <w:rsid w:val="003A7117"/>
    <w:rsid w:val="003A7820"/>
    <w:rsid w:val="003B0C91"/>
    <w:rsid w:val="003B2213"/>
    <w:rsid w:val="003B3C03"/>
    <w:rsid w:val="003B3C66"/>
    <w:rsid w:val="003B47F5"/>
    <w:rsid w:val="003B51DD"/>
    <w:rsid w:val="003B59C1"/>
    <w:rsid w:val="003B7092"/>
    <w:rsid w:val="003B72DF"/>
    <w:rsid w:val="003B7F0F"/>
    <w:rsid w:val="003C0FD1"/>
    <w:rsid w:val="003C11AE"/>
    <w:rsid w:val="003C152C"/>
    <w:rsid w:val="003C1EF1"/>
    <w:rsid w:val="003C202E"/>
    <w:rsid w:val="003C25ED"/>
    <w:rsid w:val="003C5BB2"/>
    <w:rsid w:val="003C6AE2"/>
    <w:rsid w:val="003C6B59"/>
    <w:rsid w:val="003C6D53"/>
    <w:rsid w:val="003C792E"/>
    <w:rsid w:val="003C7A35"/>
    <w:rsid w:val="003D2603"/>
    <w:rsid w:val="003D2962"/>
    <w:rsid w:val="003D3D17"/>
    <w:rsid w:val="003D403D"/>
    <w:rsid w:val="003D513A"/>
    <w:rsid w:val="003D655E"/>
    <w:rsid w:val="003D76B7"/>
    <w:rsid w:val="003E1840"/>
    <w:rsid w:val="003E1907"/>
    <w:rsid w:val="003E281F"/>
    <w:rsid w:val="003E38AD"/>
    <w:rsid w:val="003E4C3E"/>
    <w:rsid w:val="003F05FF"/>
    <w:rsid w:val="003F0754"/>
    <w:rsid w:val="003F30CF"/>
    <w:rsid w:val="003F3667"/>
    <w:rsid w:val="003F3BF9"/>
    <w:rsid w:val="003F58E3"/>
    <w:rsid w:val="003F5F6C"/>
    <w:rsid w:val="003F7712"/>
    <w:rsid w:val="00400190"/>
    <w:rsid w:val="0040063D"/>
    <w:rsid w:val="00401E2D"/>
    <w:rsid w:val="00402A5F"/>
    <w:rsid w:val="00403013"/>
    <w:rsid w:val="00404056"/>
    <w:rsid w:val="00404B06"/>
    <w:rsid w:val="00405D49"/>
    <w:rsid w:val="004068EA"/>
    <w:rsid w:val="004070BA"/>
    <w:rsid w:val="004101BB"/>
    <w:rsid w:val="00410F24"/>
    <w:rsid w:val="0041146E"/>
    <w:rsid w:val="0041240F"/>
    <w:rsid w:val="00412B51"/>
    <w:rsid w:val="00412B77"/>
    <w:rsid w:val="00413184"/>
    <w:rsid w:val="00413759"/>
    <w:rsid w:val="00413D8A"/>
    <w:rsid w:val="004155F6"/>
    <w:rsid w:val="00415F6D"/>
    <w:rsid w:val="004177F5"/>
    <w:rsid w:val="00417D22"/>
    <w:rsid w:val="0042029C"/>
    <w:rsid w:val="00422369"/>
    <w:rsid w:val="004231B1"/>
    <w:rsid w:val="0042403C"/>
    <w:rsid w:val="004270F1"/>
    <w:rsid w:val="00427D6C"/>
    <w:rsid w:val="004309AC"/>
    <w:rsid w:val="00431F86"/>
    <w:rsid w:val="00432006"/>
    <w:rsid w:val="004322D5"/>
    <w:rsid w:val="00433E7D"/>
    <w:rsid w:val="0044062C"/>
    <w:rsid w:val="0044302D"/>
    <w:rsid w:val="004435E7"/>
    <w:rsid w:val="00444A8A"/>
    <w:rsid w:val="00444E3F"/>
    <w:rsid w:val="00444E56"/>
    <w:rsid w:val="0044578E"/>
    <w:rsid w:val="00446421"/>
    <w:rsid w:val="0044697E"/>
    <w:rsid w:val="00447733"/>
    <w:rsid w:val="004503A5"/>
    <w:rsid w:val="0045049B"/>
    <w:rsid w:val="00451015"/>
    <w:rsid w:val="00452241"/>
    <w:rsid w:val="0045387D"/>
    <w:rsid w:val="004554FE"/>
    <w:rsid w:val="00456029"/>
    <w:rsid w:val="004612F9"/>
    <w:rsid w:val="00461D86"/>
    <w:rsid w:val="00462059"/>
    <w:rsid w:val="0046365E"/>
    <w:rsid w:val="00464E82"/>
    <w:rsid w:val="004654CA"/>
    <w:rsid w:val="00465A02"/>
    <w:rsid w:val="004668B8"/>
    <w:rsid w:val="00466E3D"/>
    <w:rsid w:val="00470481"/>
    <w:rsid w:val="00472067"/>
    <w:rsid w:val="00476143"/>
    <w:rsid w:val="00476ABD"/>
    <w:rsid w:val="004775DD"/>
    <w:rsid w:val="00480B80"/>
    <w:rsid w:val="00481A0A"/>
    <w:rsid w:val="00481A0E"/>
    <w:rsid w:val="00482129"/>
    <w:rsid w:val="00482656"/>
    <w:rsid w:val="00482955"/>
    <w:rsid w:val="004829E6"/>
    <w:rsid w:val="0048438F"/>
    <w:rsid w:val="00487A53"/>
    <w:rsid w:val="00487D85"/>
    <w:rsid w:val="004908B9"/>
    <w:rsid w:val="00491831"/>
    <w:rsid w:val="004918F8"/>
    <w:rsid w:val="00491D0A"/>
    <w:rsid w:val="00494263"/>
    <w:rsid w:val="00495892"/>
    <w:rsid w:val="00496997"/>
    <w:rsid w:val="00497773"/>
    <w:rsid w:val="004A0BD3"/>
    <w:rsid w:val="004A2C70"/>
    <w:rsid w:val="004A30E2"/>
    <w:rsid w:val="004A458B"/>
    <w:rsid w:val="004A4F53"/>
    <w:rsid w:val="004A56B2"/>
    <w:rsid w:val="004A56B4"/>
    <w:rsid w:val="004A7B32"/>
    <w:rsid w:val="004B2D29"/>
    <w:rsid w:val="004B2D8A"/>
    <w:rsid w:val="004B3DFD"/>
    <w:rsid w:val="004B5262"/>
    <w:rsid w:val="004B5296"/>
    <w:rsid w:val="004B54D9"/>
    <w:rsid w:val="004B55D2"/>
    <w:rsid w:val="004B60BE"/>
    <w:rsid w:val="004B7144"/>
    <w:rsid w:val="004C15C8"/>
    <w:rsid w:val="004C23E3"/>
    <w:rsid w:val="004C4793"/>
    <w:rsid w:val="004C53F8"/>
    <w:rsid w:val="004C561E"/>
    <w:rsid w:val="004C5963"/>
    <w:rsid w:val="004C69F6"/>
    <w:rsid w:val="004D0012"/>
    <w:rsid w:val="004D3008"/>
    <w:rsid w:val="004D4331"/>
    <w:rsid w:val="004D63BF"/>
    <w:rsid w:val="004D6F5C"/>
    <w:rsid w:val="004D7C6F"/>
    <w:rsid w:val="004E0C18"/>
    <w:rsid w:val="004E3008"/>
    <w:rsid w:val="004E4773"/>
    <w:rsid w:val="004E4F36"/>
    <w:rsid w:val="004E58DB"/>
    <w:rsid w:val="004E6E31"/>
    <w:rsid w:val="004E6E82"/>
    <w:rsid w:val="004F04C0"/>
    <w:rsid w:val="004F1213"/>
    <w:rsid w:val="004F31F0"/>
    <w:rsid w:val="004F5F79"/>
    <w:rsid w:val="004F7F31"/>
    <w:rsid w:val="00501D77"/>
    <w:rsid w:val="0050260A"/>
    <w:rsid w:val="00503FFF"/>
    <w:rsid w:val="005042EA"/>
    <w:rsid w:val="00505E80"/>
    <w:rsid w:val="00507020"/>
    <w:rsid w:val="005071B2"/>
    <w:rsid w:val="005115F3"/>
    <w:rsid w:val="0051238E"/>
    <w:rsid w:val="0051331C"/>
    <w:rsid w:val="005134DD"/>
    <w:rsid w:val="00515A3C"/>
    <w:rsid w:val="00521EDF"/>
    <w:rsid w:val="00522F90"/>
    <w:rsid w:val="005267F9"/>
    <w:rsid w:val="00530074"/>
    <w:rsid w:val="0053054D"/>
    <w:rsid w:val="00530F85"/>
    <w:rsid w:val="005311F4"/>
    <w:rsid w:val="00532B3A"/>
    <w:rsid w:val="00533FC4"/>
    <w:rsid w:val="00536257"/>
    <w:rsid w:val="00537487"/>
    <w:rsid w:val="0054060A"/>
    <w:rsid w:val="00541D48"/>
    <w:rsid w:val="005433B5"/>
    <w:rsid w:val="005448DB"/>
    <w:rsid w:val="00545AF0"/>
    <w:rsid w:val="0054705B"/>
    <w:rsid w:val="00547481"/>
    <w:rsid w:val="00550407"/>
    <w:rsid w:val="00551666"/>
    <w:rsid w:val="005518B3"/>
    <w:rsid w:val="00551E1C"/>
    <w:rsid w:val="0055449E"/>
    <w:rsid w:val="00555553"/>
    <w:rsid w:val="0055746A"/>
    <w:rsid w:val="00557EC3"/>
    <w:rsid w:val="00561A6F"/>
    <w:rsid w:val="00561B81"/>
    <w:rsid w:val="0056200C"/>
    <w:rsid w:val="00562196"/>
    <w:rsid w:val="00563D9F"/>
    <w:rsid w:val="00567D90"/>
    <w:rsid w:val="00572688"/>
    <w:rsid w:val="00574372"/>
    <w:rsid w:val="00575892"/>
    <w:rsid w:val="00576DD7"/>
    <w:rsid w:val="00580B80"/>
    <w:rsid w:val="0058248B"/>
    <w:rsid w:val="005827DF"/>
    <w:rsid w:val="00583DE9"/>
    <w:rsid w:val="00584CAF"/>
    <w:rsid w:val="005905A1"/>
    <w:rsid w:val="005909F8"/>
    <w:rsid w:val="00592362"/>
    <w:rsid w:val="00595132"/>
    <w:rsid w:val="00597AA5"/>
    <w:rsid w:val="00597D56"/>
    <w:rsid w:val="005A0CD6"/>
    <w:rsid w:val="005A1EF4"/>
    <w:rsid w:val="005A23BF"/>
    <w:rsid w:val="005A525D"/>
    <w:rsid w:val="005A540A"/>
    <w:rsid w:val="005A6192"/>
    <w:rsid w:val="005A6BF8"/>
    <w:rsid w:val="005B037B"/>
    <w:rsid w:val="005B26BF"/>
    <w:rsid w:val="005B317C"/>
    <w:rsid w:val="005B33E0"/>
    <w:rsid w:val="005B3991"/>
    <w:rsid w:val="005B4928"/>
    <w:rsid w:val="005B54CB"/>
    <w:rsid w:val="005B6D2F"/>
    <w:rsid w:val="005B6F84"/>
    <w:rsid w:val="005C0CEF"/>
    <w:rsid w:val="005C15D7"/>
    <w:rsid w:val="005C1923"/>
    <w:rsid w:val="005C3F86"/>
    <w:rsid w:val="005C492B"/>
    <w:rsid w:val="005C4F55"/>
    <w:rsid w:val="005C523C"/>
    <w:rsid w:val="005C6ADF"/>
    <w:rsid w:val="005C705D"/>
    <w:rsid w:val="005D0DD4"/>
    <w:rsid w:val="005D0FA1"/>
    <w:rsid w:val="005D178C"/>
    <w:rsid w:val="005D1AB8"/>
    <w:rsid w:val="005D248A"/>
    <w:rsid w:val="005D607E"/>
    <w:rsid w:val="005D75CD"/>
    <w:rsid w:val="005D76B1"/>
    <w:rsid w:val="005D78C9"/>
    <w:rsid w:val="005E10EA"/>
    <w:rsid w:val="005E276C"/>
    <w:rsid w:val="005E27A6"/>
    <w:rsid w:val="005E2DC0"/>
    <w:rsid w:val="005E3A0F"/>
    <w:rsid w:val="005E56CA"/>
    <w:rsid w:val="005F2B67"/>
    <w:rsid w:val="005F5270"/>
    <w:rsid w:val="005F5F32"/>
    <w:rsid w:val="00601844"/>
    <w:rsid w:val="00603FF1"/>
    <w:rsid w:val="006042ED"/>
    <w:rsid w:val="0060636A"/>
    <w:rsid w:val="0060733A"/>
    <w:rsid w:val="006076AD"/>
    <w:rsid w:val="00611D41"/>
    <w:rsid w:val="00611D42"/>
    <w:rsid w:val="00612257"/>
    <w:rsid w:val="00612A51"/>
    <w:rsid w:val="0061490B"/>
    <w:rsid w:val="00614AC4"/>
    <w:rsid w:val="00615ECA"/>
    <w:rsid w:val="00616C03"/>
    <w:rsid w:val="0061751E"/>
    <w:rsid w:val="0061775E"/>
    <w:rsid w:val="006202F6"/>
    <w:rsid w:val="00620337"/>
    <w:rsid w:val="006205DE"/>
    <w:rsid w:val="0062092B"/>
    <w:rsid w:val="00620DD7"/>
    <w:rsid w:val="00621664"/>
    <w:rsid w:val="00621ACC"/>
    <w:rsid w:val="0062212B"/>
    <w:rsid w:val="006222C5"/>
    <w:rsid w:val="00623181"/>
    <w:rsid w:val="006244F6"/>
    <w:rsid w:val="0062593F"/>
    <w:rsid w:val="0062693E"/>
    <w:rsid w:val="0062706C"/>
    <w:rsid w:val="00627597"/>
    <w:rsid w:val="00627655"/>
    <w:rsid w:val="0062772A"/>
    <w:rsid w:val="00627A9A"/>
    <w:rsid w:val="00630881"/>
    <w:rsid w:val="0063258A"/>
    <w:rsid w:val="00633CCB"/>
    <w:rsid w:val="00635C6E"/>
    <w:rsid w:val="00635E6D"/>
    <w:rsid w:val="00636AD8"/>
    <w:rsid w:val="00636AD9"/>
    <w:rsid w:val="00640AB0"/>
    <w:rsid w:val="00640BA1"/>
    <w:rsid w:val="00641D78"/>
    <w:rsid w:val="00643958"/>
    <w:rsid w:val="0064421F"/>
    <w:rsid w:val="0064431A"/>
    <w:rsid w:val="0064575C"/>
    <w:rsid w:val="00646102"/>
    <w:rsid w:val="006469E4"/>
    <w:rsid w:val="00646B30"/>
    <w:rsid w:val="0065036C"/>
    <w:rsid w:val="006518B2"/>
    <w:rsid w:val="00652107"/>
    <w:rsid w:val="00653893"/>
    <w:rsid w:val="00653CEB"/>
    <w:rsid w:val="00653E38"/>
    <w:rsid w:val="00655CAC"/>
    <w:rsid w:val="0065695A"/>
    <w:rsid w:val="00657F61"/>
    <w:rsid w:val="00661B03"/>
    <w:rsid w:val="006623B7"/>
    <w:rsid w:val="006627F1"/>
    <w:rsid w:val="006629E9"/>
    <w:rsid w:val="00662D51"/>
    <w:rsid w:val="00662FF1"/>
    <w:rsid w:val="006658C5"/>
    <w:rsid w:val="00665C7D"/>
    <w:rsid w:val="0066603F"/>
    <w:rsid w:val="00666BE1"/>
    <w:rsid w:val="006674E0"/>
    <w:rsid w:val="00670C31"/>
    <w:rsid w:val="00670FD8"/>
    <w:rsid w:val="006710B7"/>
    <w:rsid w:val="00671349"/>
    <w:rsid w:val="00671AFD"/>
    <w:rsid w:val="006724C0"/>
    <w:rsid w:val="00673BBA"/>
    <w:rsid w:val="0067506B"/>
    <w:rsid w:val="006752DD"/>
    <w:rsid w:val="00675873"/>
    <w:rsid w:val="00676FD1"/>
    <w:rsid w:val="00677436"/>
    <w:rsid w:val="0068074E"/>
    <w:rsid w:val="0068136C"/>
    <w:rsid w:val="00681E08"/>
    <w:rsid w:val="006824E5"/>
    <w:rsid w:val="00682529"/>
    <w:rsid w:val="0068256A"/>
    <w:rsid w:val="00682E5D"/>
    <w:rsid w:val="0068375C"/>
    <w:rsid w:val="0068475F"/>
    <w:rsid w:val="00685367"/>
    <w:rsid w:val="00687802"/>
    <w:rsid w:val="0069021B"/>
    <w:rsid w:val="0069108E"/>
    <w:rsid w:val="00691594"/>
    <w:rsid w:val="00691B33"/>
    <w:rsid w:val="006930DC"/>
    <w:rsid w:val="006931AD"/>
    <w:rsid w:val="00693390"/>
    <w:rsid w:val="00694B42"/>
    <w:rsid w:val="00694F22"/>
    <w:rsid w:val="006A0491"/>
    <w:rsid w:val="006A2489"/>
    <w:rsid w:val="006A27D7"/>
    <w:rsid w:val="006A30BE"/>
    <w:rsid w:val="006A648E"/>
    <w:rsid w:val="006A775A"/>
    <w:rsid w:val="006B2C12"/>
    <w:rsid w:val="006B38B7"/>
    <w:rsid w:val="006B4E7B"/>
    <w:rsid w:val="006B560E"/>
    <w:rsid w:val="006B58C3"/>
    <w:rsid w:val="006B7D57"/>
    <w:rsid w:val="006C1E8F"/>
    <w:rsid w:val="006C261F"/>
    <w:rsid w:val="006C6368"/>
    <w:rsid w:val="006C77C6"/>
    <w:rsid w:val="006D12C7"/>
    <w:rsid w:val="006D23D4"/>
    <w:rsid w:val="006D2E1C"/>
    <w:rsid w:val="006D2F90"/>
    <w:rsid w:val="006D4224"/>
    <w:rsid w:val="006D432C"/>
    <w:rsid w:val="006D5236"/>
    <w:rsid w:val="006D6AC1"/>
    <w:rsid w:val="006D7DF2"/>
    <w:rsid w:val="006E1ABC"/>
    <w:rsid w:val="006E22E2"/>
    <w:rsid w:val="006E2AC7"/>
    <w:rsid w:val="006E2D81"/>
    <w:rsid w:val="006E31B6"/>
    <w:rsid w:val="006E5F14"/>
    <w:rsid w:val="006E67B4"/>
    <w:rsid w:val="006E720F"/>
    <w:rsid w:val="006F02C9"/>
    <w:rsid w:val="006F1270"/>
    <w:rsid w:val="006F127E"/>
    <w:rsid w:val="006F14E2"/>
    <w:rsid w:val="006F2748"/>
    <w:rsid w:val="006F5264"/>
    <w:rsid w:val="006F75E9"/>
    <w:rsid w:val="007012A5"/>
    <w:rsid w:val="0070381D"/>
    <w:rsid w:val="00703AC0"/>
    <w:rsid w:val="0070451A"/>
    <w:rsid w:val="007051E6"/>
    <w:rsid w:val="0070674F"/>
    <w:rsid w:val="00707529"/>
    <w:rsid w:val="00707B3D"/>
    <w:rsid w:val="0071038C"/>
    <w:rsid w:val="007112AF"/>
    <w:rsid w:val="00712EFD"/>
    <w:rsid w:val="00715279"/>
    <w:rsid w:val="00715511"/>
    <w:rsid w:val="00716269"/>
    <w:rsid w:val="007164A6"/>
    <w:rsid w:val="00716FF7"/>
    <w:rsid w:val="00717663"/>
    <w:rsid w:val="00720859"/>
    <w:rsid w:val="00721334"/>
    <w:rsid w:val="00722A04"/>
    <w:rsid w:val="007253A0"/>
    <w:rsid w:val="0072573F"/>
    <w:rsid w:val="00725D21"/>
    <w:rsid w:val="00730D14"/>
    <w:rsid w:val="007316C8"/>
    <w:rsid w:val="007321CA"/>
    <w:rsid w:val="007324FE"/>
    <w:rsid w:val="007328A3"/>
    <w:rsid w:val="0073486B"/>
    <w:rsid w:val="00737B80"/>
    <w:rsid w:val="00737D56"/>
    <w:rsid w:val="00740433"/>
    <w:rsid w:val="00740C98"/>
    <w:rsid w:val="00743631"/>
    <w:rsid w:val="0074557B"/>
    <w:rsid w:val="00745638"/>
    <w:rsid w:val="00745992"/>
    <w:rsid w:val="007474E1"/>
    <w:rsid w:val="0074776C"/>
    <w:rsid w:val="00750022"/>
    <w:rsid w:val="007505B8"/>
    <w:rsid w:val="00750FBA"/>
    <w:rsid w:val="00751201"/>
    <w:rsid w:val="00751AFE"/>
    <w:rsid w:val="0075409C"/>
    <w:rsid w:val="007552E9"/>
    <w:rsid w:val="00755C4E"/>
    <w:rsid w:val="007570FE"/>
    <w:rsid w:val="00757CF4"/>
    <w:rsid w:val="0076105A"/>
    <w:rsid w:val="00761EEB"/>
    <w:rsid w:val="00762C47"/>
    <w:rsid w:val="00764BA8"/>
    <w:rsid w:val="007669C1"/>
    <w:rsid w:val="00767C23"/>
    <w:rsid w:val="0077069F"/>
    <w:rsid w:val="0077180C"/>
    <w:rsid w:val="00771C2D"/>
    <w:rsid w:val="00773EDF"/>
    <w:rsid w:val="007744E5"/>
    <w:rsid w:val="007752EB"/>
    <w:rsid w:val="007754A2"/>
    <w:rsid w:val="00775C1C"/>
    <w:rsid w:val="00776E52"/>
    <w:rsid w:val="007779E7"/>
    <w:rsid w:val="00777FEC"/>
    <w:rsid w:val="00780593"/>
    <w:rsid w:val="00786D77"/>
    <w:rsid w:val="00787D24"/>
    <w:rsid w:val="007920AB"/>
    <w:rsid w:val="007922F8"/>
    <w:rsid w:val="00792A89"/>
    <w:rsid w:val="0079342F"/>
    <w:rsid w:val="007936D2"/>
    <w:rsid w:val="00793C6D"/>
    <w:rsid w:val="00795991"/>
    <w:rsid w:val="007A2589"/>
    <w:rsid w:val="007A2E40"/>
    <w:rsid w:val="007A48DF"/>
    <w:rsid w:val="007A61A0"/>
    <w:rsid w:val="007A7279"/>
    <w:rsid w:val="007A7A4B"/>
    <w:rsid w:val="007B04CE"/>
    <w:rsid w:val="007B1ACB"/>
    <w:rsid w:val="007B1E7E"/>
    <w:rsid w:val="007B3E3B"/>
    <w:rsid w:val="007B440F"/>
    <w:rsid w:val="007B53CD"/>
    <w:rsid w:val="007B5737"/>
    <w:rsid w:val="007B6539"/>
    <w:rsid w:val="007B6988"/>
    <w:rsid w:val="007B6E3D"/>
    <w:rsid w:val="007B7532"/>
    <w:rsid w:val="007B7E8E"/>
    <w:rsid w:val="007C26D6"/>
    <w:rsid w:val="007C273F"/>
    <w:rsid w:val="007C3C5A"/>
    <w:rsid w:val="007C3DE9"/>
    <w:rsid w:val="007D2398"/>
    <w:rsid w:val="007D2657"/>
    <w:rsid w:val="007D29AC"/>
    <w:rsid w:val="007D3E56"/>
    <w:rsid w:val="007D40C7"/>
    <w:rsid w:val="007E1045"/>
    <w:rsid w:val="007E164C"/>
    <w:rsid w:val="007E1E30"/>
    <w:rsid w:val="007E470F"/>
    <w:rsid w:val="007E4A49"/>
    <w:rsid w:val="007E4A72"/>
    <w:rsid w:val="007E56B0"/>
    <w:rsid w:val="007E6652"/>
    <w:rsid w:val="007E7908"/>
    <w:rsid w:val="007E7A61"/>
    <w:rsid w:val="007F266A"/>
    <w:rsid w:val="007F2C2D"/>
    <w:rsid w:val="007F3300"/>
    <w:rsid w:val="007F376A"/>
    <w:rsid w:val="007F5331"/>
    <w:rsid w:val="007F56D4"/>
    <w:rsid w:val="008017D8"/>
    <w:rsid w:val="00803146"/>
    <w:rsid w:val="008034D7"/>
    <w:rsid w:val="008071EF"/>
    <w:rsid w:val="00810620"/>
    <w:rsid w:val="00811730"/>
    <w:rsid w:val="00811C97"/>
    <w:rsid w:val="00811EE0"/>
    <w:rsid w:val="00812525"/>
    <w:rsid w:val="00812C0F"/>
    <w:rsid w:val="008136B4"/>
    <w:rsid w:val="0081479E"/>
    <w:rsid w:val="008155AD"/>
    <w:rsid w:val="00815A2F"/>
    <w:rsid w:val="00820101"/>
    <w:rsid w:val="008211B9"/>
    <w:rsid w:val="00821867"/>
    <w:rsid w:val="00821EF1"/>
    <w:rsid w:val="008241EB"/>
    <w:rsid w:val="00825A0B"/>
    <w:rsid w:val="0082663F"/>
    <w:rsid w:val="00827207"/>
    <w:rsid w:val="008272D9"/>
    <w:rsid w:val="00827913"/>
    <w:rsid w:val="00830814"/>
    <w:rsid w:val="00830C09"/>
    <w:rsid w:val="00830D15"/>
    <w:rsid w:val="00830D46"/>
    <w:rsid w:val="00832066"/>
    <w:rsid w:val="00833A59"/>
    <w:rsid w:val="008348A1"/>
    <w:rsid w:val="00835224"/>
    <w:rsid w:val="00835648"/>
    <w:rsid w:val="0083730C"/>
    <w:rsid w:val="00840313"/>
    <w:rsid w:val="0084155B"/>
    <w:rsid w:val="00843DED"/>
    <w:rsid w:val="00844BAA"/>
    <w:rsid w:val="00845AAE"/>
    <w:rsid w:val="00846A6D"/>
    <w:rsid w:val="0085191C"/>
    <w:rsid w:val="00852083"/>
    <w:rsid w:val="008529BF"/>
    <w:rsid w:val="00852A45"/>
    <w:rsid w:val="00853403"/>
    <w:rsid w:val="00854807"/>
    <w:rsid w:val="0085542D"/>
    <w:rsid w:val="00856319"/>
    <w:rsid w:val="0085766B"/>
    <w:rsid w:val="0086038D"/>
    <w:rsid w:val="00861ACC"/>
    <w:rsid w:val="00861BE8"/>
    <w:rsid w:val="00863849"/>
    <w:rsid w:val="00863AFC"/>
    <w:rsid w:val="00863FA0"/>
    <w:rsid w:val="00865D42"/>
    <w:rsid w:val="00865E7E"/>
    <w:rsid w:val="008664C0"/>
    <w:rsid w:val="00866A17"/>
    <w:rsid w:val="00870F6E"/>
    <w:rsid w:val="008715BB"/>
    <w:rsid w:val="00873864"/>
    <w:rsid w:val="0087547A"/>
    <w:rsid w:val="00875987"/>
    <w:rsid w:val="00876487"/>
    <w:rsid w:val="00876ECA"/>
    <w:rsid w:val="00877930"/>
    <w:rsid w:val="00877F61"/>
    <w:rsid w:val="00880079"/>
    <w:rsid w:val="0088180D"/>
    <w:rsid w:val="00881BE7"/>
    <w:rsid w:val="00882A5F"/>
    <w:rsid w:val="00883396"/>
    <w:rsid w:val="008844EB"/>
    <w:rsid w:val="008855A3"/>
    <w:rsid w:val="00890B0F"/>
    <w:rsid w:val="008924D5"/>
    <w:rsid w:val="008934A2"/>
    <w:rsid w:val="00893A43"/>
    <w:rsid w:val="00893AB3"/>
    <w:rsid w:val="00893ABB"/>
    <w:rsid w:val="00897DEE"/>
    <w:rsid w:val="008A0B78"/>
    <w:rsid w:val="008A3B2E"/>
    <w:rsid w:val="008A4046"/>
    <w:rsid w:val="008A5D49"/>
    <w:rsid w:val="008A7791"/>
    <w:rsid w:val="008B2D67"/>
    <w:rsid w:val="008B40D3"/>
    <w:rsid w:val="008B5C9F"/>
    <w:rsid w:val="008B6738"/>
    <w:rsid w:val="008B7DF8"/>
    <w:rsid w:val="008B7F17"/>
    <w:rsid w:val="008C17E4"/>
    <w:rsid w:val="008C2884"/>
    <w:rsid w:val="008C3762"/>
    <w:rsid w:val="008C4D4A"/>
    <w:rsid w:val="008C5998"/>
    <w:rsid w:val="008C5A14"/>
    <w:rsid w:val="008C5F3A"/>
    <w:rsid w:val="008C6960"/>
    <w:rsid w:val="008C6F14"/>
    <w:rsid w:val="008C7877"/>
    <w:rsid w:val="008D05C5"/>
    <w:rsid w:val="008D0943"/>
    <w:rsid w:val="008D0D1D"/>
    <w:rsid w:val="008D0F75"/>
    <w:rsid w:val="008D1DA6"/>
    <w:rsid w:val="008D21B4"/>
    <w:rsid w:val="008D2FBA"/>
    <w:rsid w:val="008D3BC4"/>
    <w:rsid w:val="008D4F0E"/>
    <w:rsid w:val="008D55A4"/>
    <w:rsid w:val="008D56AE"/>
    <w:rsid w:val="008D6CC3"/>
    <w:rsid w:val="008D6CDA"/>
    <w:rsid w:val="008D6CF2"/>
    <w:rsid w:val="008E3209"/>
    <w:rsid w:val="008E35CB"/>
    <w:rsid w:val="008E3ED7"/>
    <w:rsid w:val="008E4497"/>
    <w:rsid w:val="008E5699"/>
    <w:rsid w:val="008E5A93"/>
    <w:rsid w:val="008E5E83"/>
    <w:rsid w:val="008E60DD"/>
    <w:rsid w:val="008E6A08"/>
    <w:rsid w:val="008E7BC6"/>
    <w:rsid w:val="008F2015"/>
    <w:rsid w:val="008F3FA8"/>
    <w:rsid w:val="008F52F8"/>
    <w:rsid w:val="00900217"/>
    <w:rsid w:val="00901032"/>
    <w:rsid w:val="00902BCD"/>
    <w:rsid w:val="00905A5A"/>
    <w:rsid w:val="00907133"/>
    <w:rsid w:val="00912B96"/>
    <w:rsid w:val="00915321"/>
    <w:rsid w:val="00917006"/>
    <w:rsid w:val="00917072"/>
    <w:rsid w:val="00920923"/>
    <w:rsid w:val="00921851"/>
    <w:rsid w:val="00926055"/>
    <w:rsid w:val="00926259"/>
    <w:rsid w:val="00926A18"/>
    <w:rsid w:val="009279CC"/>
    <w:rsid w:val="00931A63"/>
    <w:rsid w:val="00932F83"/>
    <w:rsid w:val="00933ECE"/>
    <w:rsid w:val="0093566C"/>
    <w:rsid w:val="00936C75"/>
    <w:rsid w:val="00936E5C"/>
    <w:rsid w:val="0094159D"/>
    <w:rsid w:val="00941B49"/>
    <w:rsid w:val="00943093"/>
    <w:rsid w:val="00943B9D"/>
    <w:rsid w:val="009440E9"/>
    <w:rsid w:val="009454DE"/>
    <w:rsid w:val="00945ECF"/>
    <w:rsid w:val="009463C4"/>
    <w:rsid w:val="00946C14"/>
    <w:rsid w:val="00946C3C"/>
    <w:rsid w:val="009475AB"/>
    <w:rsid w:val="00947C30"/>
    <w:rsid w:val="00950604"/>
    <w:rsid w:val="00950B8A"/>
    <w:rsid w:val="00950B8D"/>
    <w:rsid w:val="00950C59"/>
    <w:rsid w:val="00951044"/>
    <w:rsid w:val="00951AFC"/>
    <w:rsid w:val="00952574"/>
    <w:rsid w:val="00954F72"/>
    <w:rsid w:val="009566B9"/>
    <w:rsid w:val="009572EE"/>
    <w:rsid w:val="009574B9"/>
    <w:rsid w:val="00957548"/>
    <w:rsid w:val="0096122E"/>
    <w:rsid w:val="00961E53"/>
    <w:rsid w:val="00963123"/>
    <w:rsid w:val="00964332"/>
    <w:rsid w:val="0096583D"/>
    <w:rsid w:val="00970CB8"/>
    <w:rsid w:val="00971AA9"/>
    <w:rsid w:val="00971DD0"/>
    <w:rsid w:val="009728FC"/>
    <w:rsid w:val="00972B14"/>
    <w:rsid w:val="00973931"/>
    <w:rsid w:val="00974031"/>
    <w:rsid w:val="009769AF"/>
    <w:rsid w:val="009769C9"/>
    <w:rsid w:val="009769FC"/>
    <w:rsid w:val="00976ACD"/>
    <w:rsid w:val="00977346"/>
    <w:rsid w:val="009773CE"/>
    <w:rsid w:val="00980806"/>
    <w:rsid w:val="00980C04"/>
    <w:rsid w:val="00980D56"/>
    <w:rsid w:val="00980FC9"/>
    <w:rsid w:val="00982467"/>
    <w:rsid w:val="00983DF4"/>
    <w:rsid w:val="009847EB"/>
    <w:rsid w:val="00985173"/>
    <w:rsid w:val="00985832"/>
    <w:rsid w:val="0099024A"/>
    <w:rsid w:val="009912BC"/>
    <w:rsid w:val="00993344"/>
    <w:rsid w:val="0099415B"/>
    <w:rsid w:val="00994349"/>
    <w:rsid w:val="0099487E"/>
    <w:rsid w:val="009A0977"/>
    <w:rsid w:val="009A0BFB"/>
    <w:rsid w:val="009A0C9D"/>
    <w:rsid w:val="009A0F0B"/>
    <w:rsid w:val="009A11BC"/>
    <w:rsid w:val="009A1EFC"/>
    <w:rsid w:val="009A2A82"/>
    <w:rsid w:val="009A2CC6"/>
    <w:rsid w:val="009A4AC1"/>
    <w:rsid w:val="009A53CF"/>
    <w:rsid w:val="009A5D49"/>
    <w:rsid w:val="009A6127"/>
    <w:rsid w:val="009B09A3"/>
    <w:rsid w:val="009B1964"/>
    <w:rsid w:val="009B4C69"/>
    <w:rsid w:val="009B67D7"/>
    <w:rsid w:val="009B6CCD"/>
    <w:rsid w:val="009B7469"/>
    <w:rsid w:val="009C1DDF"/>
    <w:rsid w:val="009C2788"/>
    <w:rsid w:val="009C2A9D"/>
    <w:rsid w:val="009C7221"/>
    <w:rsid w:val="009D06B9"/>
    <w:rsid w:val="009D0DBB"/>
    <w:rsid w:val="009D166C"/>
    <w:rsid w:val="009D21A0"/>
    <w:rsid w:val="009D3704"/>
    <w:rsid w:val="009D6426"/>
    <w:rsid w:val="009E454D"/>
    <w:rsid w:val="009E5D49"/>
    <w:rsid w:val="009E6EC9"/>
    <w:rsid w:val="009F584E"/>
    <w:rsid w:val="009F6754"/>
    <w:rsid w:val="009F6BA0"/>
    <w:rsid w:val="009F6E3E"/>
    <w:rsid w:val="009F7BEE"/>
    <w:rsid w:val="00A002CE"/>
    <w:rsid w:val="00A00BC1"/>
    <w:rsid w:val="00A04C29"/>
    <w:rsid w:val="00A078B3"/>
    <w:rsid w:val="00A10159"/>
    <w:rsid w:val="00A1049D"/>
    <w:rsid w:val="00A10A9B"/>
    <w:rsid w:val="00A10C7F"/>
    <w:rsid w:val="00A11227"/>
    <w:rsid w:val="00A1130F"/>
    <w:rsid w:val="00A11BAE"/>
    <w:rsid w:val="00A12C39"/>
    <w:rsid w:val="00A12DA5"/>
    <w:rsid w:val="00A13286"/>
    <w:rsid w:val="00A133AF"/>
    <w:rsid w:val="00A134F9"/>
    <w:rsid w:val="00A13B5D"/>
    <w:rsid w:val="00A15D61"/>
    <w:rsid w:val="00A17F7B"/>
    <w:rsid w:val="00A205FC"/>
    <w:rsid w:val="00A221A2"/>
    <w:rsid w:val="00A22432"/>
    <w:rsid w:val="00A23C39"/>
    <w:rsid w:val="00A23DB7"/>
    <w:rsid w:val="00A23EED"/>
    <w:rsid w:val="00A24384"/>
    <w:rsid w:val="00A261A5"/>
    <w:rsid w:val="00A26C24"/>
    <w:rsid w:val="00A2731D"/>
    <w:rsid w:val="00A3017B"/>
    <w:rsid w:val="00A30A69"/>
    <w:rsid w:val="00A3130D"/>
    <w:rsid w:val="00A35DF4"/>
    <w:rsid w:val="00A37398"/>
    <w:rsid w:val="00A37FC4"/>
    <w:rsid w:val="00A439E1"/>
    <w:rsid w:val="00A47B3E"/>
    <w:rsid w:val="00A515E4"/>
    <w:rsid w:val="00A51EFE"/>
    <w:rsid w:val="00A52D29"/>
    <w:rsid w:val="00A543CF"/>
    <w:rsid w:val="00A60E6D"/>
    <w:rsid w:val="00A61C96"/>
    <w:rsid w:val="00A6205D"/>
    <w:rsid w:val="00A62847"/>
    <w:rsid w:val="00A6636A"/>
    <w:rsid w:val="00A66480"/>
    <w:rsid w:val="00A667A1"/>
    <w:rsid w:val="00A7161C"/>
    <w:rsid w:val="00A72F09"/>
    <w:rsid w:val="00A76688"/>
    <w:rsid w:val="00A7743F"/>
    <w:rsid w:val="00A77847"/>
    <w:rsid w:val="00A77F94"/>
    <w:rsid w:val="00A80245"/>
    <w:rsid w:val="00A807E6"/>
    <w:rsid w:val="00A82C29"/>
    <w:rsid w:val="00A83475"/>
    <w:rsid w:val="00A8539E"/>
    <w:rsid w:val="00A8660D"/>
    <w:rsid w:val="00A9024D"/>
    <w:rsid w:val="00A90372"/>
    <w:rsid w:val="00A906AA"/>
    <w:rsid w:val="00A90D6C"/>
    <w:rsid w:val="00A922DD"/>
    <w:rsid w:val="00A92D67"/>
    <w:rsid w:val="00A93C32"/>
    <w:rsid w:val="00A942D9"/>
    <w:rsid w:val="00A94B4F"/>
    <w:rsid w:val="00A950A6"/>
    <w:rsid w:val="00A957AF"/>
    <w:rsid w:val="00A95977"/>
    <w:rsid w:val="00A96478"/>
    <w:rsid w:val="00AA0E81"/>
    <w:rsid w:val="00AA1637"/>
    <w:rsid w:val="00AA226B"/>
    <w:rsid w:val="00AA4640"/>
    <w:rsid w:val="00AA481F"/>
    <w:rsid w:val="00AA5D00"/>
    <w:rsid w:val="00AB0D0A"/>
    <w:rsid w:val="00AB32D0"/>
    <w:rsid w:val="00AB3987"/>
    <w:rsid w:val="00AB4E11"/>
    <w:rsid w:val="00AB63FD"/>
    <w:rsid w:val="00AB7386"/>
    <w:rsid w:val="00AB7991"/>
    <w:rsid w:val="00AC10DA"/>
    <w:rsid w:val="00AC131F"/>
    <w:rsid w:val="00AC2D3D"/>
    <w:rsid w:val="00AC34C8"/>
    <w:rsid w:val="00AC383F"/>
    <w:rsid w:val="00AC3A68"/>
    <w:rsid w:val="00AC4F84"/>
    <w:rsid w:val="00AC56EC"/>
    <w:rsid w:val="00AC6393"/>
    <w:rsid w:val="00AC6B0B"/>
    <w:rsid w:val="00AC770D"/>
    <w:rsid w:val="00AD03F6"/>
    <w:rsid w:val="00AD4D76"/>
    <w:rsid w:val="00AD4EBB"/>
    <w:rsid w:val="00AD539A"/>
    <w:rsid w:val="00AD56C7"/>
    <w:rsid w:val="00AD5C29"/>
    <w:rsid w:val="00AD5D95"/>
    <w:rsid w:val="00AD6C73"/>
    <w:rsid w:val="00AD7425"/>
    <w:rsid w:val="00AD76DE"/>
    <w:rsid w:val="00AD7826"/>
    <w:rsid w:val="00AE0AE9"/>
    <w:rsid w:val="00AE0C7F"/>
    <w:rsid w:val="00AE0F82"/>
    <w:rsid w:val="00AE0FA6"/>
    <w:rsid w:val="00AE11AE"/>
    <w:rsid w:val="00AE188F"/>
    <w:rsid w:val="00AE20E4"/>
    <w:rsid w:val="00AE22E8"/>
    <w:rsid w:val="00AE22F5"/>
    <w:rsid w:val="00AE3036"/>
    <w:rsid w:val="00AE31E4"/>
    <w:rsid w:val="00AE3DDD"/>
    <w:rsid w:val="00AE4405"/>
    <w:rsid w:val="00AE4688"/>
    <w:rsid w:val="00AE5448"/>
    <w:rsid w:val="00AE5511"/>
    <w:rsid w:val="00AE64E7"/>
    <w:rsid w:val="00AE6722"/>
    <w:rsid w:val="00AE74FB"/>
    <w:rsid w:val="00AE7691"/>
    <w:rsid w:val="00AF0ADE"/>
    <w:rsid w:val="00AF1FD8"/>
    <w:rsid w:val="00AF403C"/>
    <w:rsid w:val="00AF75E6"/>
    <w:rsid w:val="00B007F8"/>
    <w:rsid w:val="00B01D8C"/>
    <w:rsid w:val="00B048F1"/>
    <w:rsid w:val="00B04CD9"/>
    <w:rsid w:val="00B052BD"/>
    <w:rsid w:val="00B05552"/>
    <w:rsid w:val="00B0588F"/>
    <w:rsid w:val="00B06A02"/>
    <w:rsid w:val="00B07442"/>
    <w:rsid w:val="00B12897"/>
    <w:rsid w:val="00B139AB"/>
    <w:rsid w:val="00B14C74"/>
    <w:rsid w:val="00B158D5"/>
    <w:rsid w:val="00B20F56"/>
    <w:rsid w:val="00B21537"/>
    <w:rsid w:val="00B21AC2"/>
    <w:rsid w:val="00B23FF0"/>
    <w:rsid w:val="00B2441A"/>
    <w:rsid w:val="00B24D36"/>
    <w:rsid w:val="00B27481"/>
    <w:rsid w:val="00B30A18"/>
    <w:rsid w:val="00B3122D"/>
    <w:rsid w:val="00B31EE5"/>
    <w:rsid w:val="00B334A2"/>
    <w:rsid w:val="00B347CD"/>
    <w:rsid w:val="00B34F0E"/>
    <w:rsid w:val="00B35A1E"/>
    <w:rsid w:val="00B35AC7"/>
    <w:rsid w:val="00B362A5"/>
    <w:rsid w:val="00B3764A"/>
    <w:rsid w:val="00B41E31"/>
    <w:rsid w:val="00B42CEF"/>
    <w:rsid w:val="00B44062"/>
    <w:rsid w:val="00B444FE"/>
    <w:rsid w:val="00B44E13"/>
    <w:rsid w:val="00B462FF"/>
    <w:rsid w:val="00B507E3"/>
    <w:rsid w:val="00B511A4"/>
    <w:rsid w:val="00B51B63"/>
    <w:rsid w:val="00B51BC9"/>
    <w:rsid w:val="00B522B7"/>
    <w:rsid w:val="00B52402"/>
    <w:rsid w:val="00B52E61"/>
    <w:rsid w:val="00B546B7"/>
    <w:rsid w:val="00B5548C"/>
    <w:rsid w:val="00B5578E"/>
    <w:rsid w:val="00B56AF6"/>
    <w:rsid w:val="00B56DE5"/>
    <w:rsid w:val="00B57782"/>
    <w:rsid w:val="00B60845"/>
    <w:rsid w:val="00B61170"/>
    <w:rsid w:val="00B61461"/>
    <w:rsid w:val="00B61497"/>
    <w:rsid w:val="00B6189B"/>
    <w:rsid w:val="00B62C5E"/>
    <w:rsid w:val="00B62EEE"/>
    <w:rsid w:val="00B62FBC"/>
    <w:rsid w:val="00B6342B"/>
    <w:rsid w:val="00B6452F"/>
    <w:rsid w:val="00B677FB"/>
    <w:rsid w:val="00B7115C"/>
    <w:rsid w:val="00B71D16"/>
    <w:rsid w:val="00B727D6"/>
    <w:rsid w:val="00B72D2C"/>
    <w:rsid w:val="00B733E9"/>
    <w:rsid w:val="00B7372F"/>
    <w:rsid w:val="00B7709D"/>
    <w:rsid w:val="00B80D40"/>
    <w:rsid w:val="00B811F4"/>
    <w:rsid w:val="00B83591"/>
    <w:rsid w:val="00B85DBE"/>
    <w:rsid w:val="00B85EAC"/>
    <w:rsid w:val="00B87226"/>
    <w:rsid w:val="00B872A3"/>
    <w:rsid w:val="00B8740F"/>
    <w:rsid w:val="00B905C7"/>
    <w:rsid w:val="00B920D3"/>
    <w:rsid w:val="00B925BE"/>
    <w:rsid w:val="00B95BF8"/>
    <w:rsid w:val="00B96116"/>
    <w:rsid w:val="00B9713A"/>
    <w:rsid w:val="00B97944"/>
    <w:rsid w:val="00BA0037"/>
    <w:rsid w:val="00BA17A5"/>
    <w:rsid w:val="00BA22CD"/>
    <w:rsid w:val="00BA5BDA"/>
    <w:rsid w:val="00BA5D3C"/>
    <w:rsid w:val="00BA61EB"/>
    <w:rsid w:val="00BB21A4"/>
    <w:rsid w:val="00BB402D"/>
    <w:rsid w:val="00BB58BE"/>
    <w:rsid w:val="00BC1261"/>
    <w:rsid w:val="00BC153E"/>
    <w:rsid w:val="00BC2272"/>
    <w:rsid w:val="00BC3A7C"/>
    <w:rsid w:val="00BC63E7"/>
    <w:rsid w:val="00BC68C4"/>
    <w:rsid w:val="00BC6BF5"/>
    <w:rsid w:val="00BD3513"/>
    <w:rsid w:val="00BD4D36"/>
    <w:rsid w:val="00BD5428"/>
    <w:rsid w:val="00BD5EBB"/>
    <w:rsid w:val="00BD74B3"/>
    <w:rsid w:val="00BE01F6"/>
    <w:rsid w:val="00BE1C32"/>
    <w:rsid w:val="00BE1D69"/>
    <w:rsid w:val="00BE2B99"/>
    <w:rsid w:val="00BE3B2D"/>
    <w:rsid w:val="00BE3E1D"/>
    <w:rsid w:val="00BE7920"/>
    <w:rsid w:val="00BF0B52"/>
    <w:rsid w:val="00BF1FC5"/>
    <w:rsid w:val="00BF3378"/>
    <w:rsid w:val="00BF3880"/>
    <w:rsid w:val="00BF44F6"/>
    <w:rsid w:val="00BF50DE"/>
    <w:rsid w:val="00BF55A4"/>
    <w:rsid w:val="00BF5FDD"/>
    <w:rsid w:val="00BF7428"/>
    <w:rsid w:val="00C00EDC"/>
    <w:rsid w:val="00C011BC"/>
    <w:rsid w:val="00C03440"/>
    <w:rsid w:val="00C047B6"/>
    <w:rsid w:val="00C04FC8"/>
    <w:rsid w:val="00C04FE7"/>
    <w:rsid w:val="00C074AD"/>
    <w:rsid w:val="00C07621"/>
    <w:rsid w:val="00C07E02"/>
    <w:rsid w:val="00C10207"/>
    <w:rsid w:val="00C11DEA"/>
    <w:rsid w:val="00C1350D"/>
    <w:rsid w:val="00C142A9"/>
    <w:rsid w:val="00C1454E"/>
    <w:rsid w:val="00C15E5B"/>
    <w:rsid w:val="00C171E7"/>
    <w:rsid w:val="00C1754B"/>
    <w:rsid w:val="00C177BD"/>
    <w:rsid w:val="00C179DC"/>
    <w:rsid w:val="00C2045A"/>
    <w:rsid w:val="00C20E77"/>
    <w:rsid w:val="00C20F9B"/>
    <w:rsid w:val="00C2105D"/>
    <w:rsid w:val="00C224F0"/>
    <w:rsid w:val="00C2329A"/>
    <w:rsid w:val="00C2340B"/>
    <w:rsid w:val="00C23D82"/>
    <w:rsid w:val="00C24321"/>
    <w:rsid w:val="00C25236"/>
    <w:rsid w:val="00C252E4"/>
    <w:rsid w:val="00C254B2"/>
    <w:rsid w:val="00C26C3D"/>
    <w:rsid w:val="00C300DC"/>
    <w:rsid w:val="00C309AD"/>
    <w:rsid w:val="00C31557"/>
    <w:rsid w:val="00C337B8"/>
    <w:rsid w:val="00C33C52"/>
    <w:rsid w:val="00C3488F"/>
    <w:rsid w:val="00C36FD6"/>
    <w:rsid w:val="00C37B8C"/>
    <w:rsid w:val="00C403E9"/>
    <w:rsid w:val="00C40649"/>
    <w:rsid w:val="00C42B73"/>
    <w:rsid w:val="00C4582D"/>
    <w:rsid w:val="00C461DC"/>
    <w:rsid w:val="00C46ADC"/>
    <w:rsid w:val="00C477F9"/>
    <w:rsid w:val="00C47EF0"/>
    <w:rsid w:val="00C516DE"/>
    <w:rsid w:val="00C51C39"/>
    <w:rsid w:val="00C52EF8"/>
    <w:rsid w:val="00C52F3E"/>
    <w:rsid w:val="00C532D3"/>
    <w:rsid w:val="00C540FF"/>
    <w:rsid w:val="00C54236"/>
    <w:rsid w:val="00C54317"/>
    <w:rsid w:val="00C54403"/>
    <w:rsid w:val="00C54949"/>
    <w:rsid w:val="00C55EB6"/>
    <w:rsid w:val="00C6106E"/>
    <w:rsid w:val="00C62C91"/>
    <w:rsid w:val="00C6376C"/>
    <w:rsid w:val="00C66C40"/>
    <w:rsid w:val="00C672B6"/>
    <w:rsid w:val="00C67CE4"/>
    <w:rsid w:val="00C703EC"/>
    <w:rsid w:val="00C7103F"/>
    <w:rsid w:val="00C74AE2"/>
    <w:rsid w:val="00C77E6F"/>
    <w:rsid w:val="00C8068C"/>
    <w:rsid w:val="00C8123B"/>
    <w:rsid w:val="00C828AF"/>
    <w:rsid w:val="00C82DDC"/>
    <w:rsid w:val="00C83805"/>
    <w:rsid w:val="00C84B67"/>
    <w:rsid w:val="00C8558D"/>
    <w:rsid w:val="00C85CFC"/>
    <w:rsid w:val="00C85D64"/>
    <w:rsid w:val="00C85EA2"/>
    <w:rsid w:val="00C86660"/>
    <w:rsid w:val="00C86CCB"/>
    <w:rsid w:val="00C90FD4"/>
    <w:rsid w:val="00C934B8"/>
    <w:rsid w:val="00C93BC8"/>
    <w:rsid w:val="00C9417F"/>
    <w:rsid w:val="00C94D9F"/>
    <w:rsid w:val="00C9528B"/>
    <w:rsid w:val="00C957EB"/>
    <w:rsid w:val="00C96192"/>
    <w:rsid w:val="00C96366"/>
    <w:rsid w:val="00CA12C9"/>
    <w:rsid w:val="00CA3997"/>
    <w:rsid w:val="00CA42C9"/>
    <w:rsid w:val="00CA48B0"/>
    <w:rsid w:val="00CA4AF6"/>
    <w:rsid w:val="00CA4B3E"/>
    <w:rsid w:val="00CB1AE4"/>
    <w:rsid w:val="00CB4FA2"/>
    <w:rsid w:val="00CB6066"/>
    <w:rsid w:val="00CB6BBA"/>
    <w:rsid w:val="00CB6FA6"/>
    <w:rsid w:val="00CB72D1"/>
    <w:rsid w:val="00CC01CF"/>
    <w:rsid w:val="00CC2A79"/>
    <w:rsid w:val="00CC39E4"/>
    <w:rsid w:val="00CC3CEC"/>
    <w:rsid w:val="00CC5A0E"/>
    <w:rsid w:val="00CC62ED"/>
    <w:rsid w:val="00CC652A"/>
    <w:rsid w:val="00CC6713"/>
    <w:rsid w:val="00CC67C8"/>
    <w:rsid w:val="00CC7614"/>
    <w:rsid w:val="00CC7CEA"/>
    <w:rsid w:val="00CD26A0"/>
    <w:rsid w:val="00CD44F8"/>
    <w:rsid w:val="00CD65DC"/>
    <w:rsid w:val="00CD748B"/>
    <w:rsid w:val="00CE13AC"/>
    <w:rsid w:val="00CE1F38"/>
    <w:rsid w:val="00CE34FD"/>
    <w:rsid w:val="00CE6A66"/>
    <w:rsid w:val="00CE6B95"/>
    <w:rsid w:val="00CE761F"/>
    <w:rsid w:val="00CF1958"/>
    <w:rsid w:val="00CF1D86"/>
    <w:rsid w:val="00CF3EB9"/>
    <w:rsid w:val="00CF451F"/>
    <w:rsid w:val="00CF530E"/>
    <w:rsid w:val="00CF6AE9"/>
    <w:rsid w:val="00CF6F94"/>
    <w:rsid w:val="00CF78C8"/>
    <w:rsid w:val="00CF7E22"/>
    <w:rsid w:val="00D0183A"/>
    <w:rsid w:val="00D019F5"/>
    <w:rsid w:val="00D01A5C"/>
    <w:rsid w:val="00D02486"/>
    <w:rsid w:val="00D0248F"/>
    <w:rsid w:val="00D03997"/>
    <w:rsid w:val="00D05BBE"/>
    <w:rsid w:val="00D1073C"/>
    <w:rsid w:val="00D11068"/>
    <w:rsid w:val="00D14DA4"/>
    <w:rsid w:val="00D15672"/>
    <w:rsid w:val="00D15DA4"/>
    <w:rsid w:val="00D163DB"/>
    <w:rsid w:val="00D164A8"/>
    <w:rsid w:val="00D16B56"/>
    <w:rsid w:val="00D16CE6"/>
    <w:rsid w:val="00D177BC"/>
    <w:rsid w:val="00D2113B"/>
    <w:rsid w:val="00D2128D"/>
    <w:rsid w:val="00D22433"/>
    <w:rsid w:val="00D22617"/>
    <w:rsid w:val="00D2302D"/>
    <w:rsid w:val="00D259CF"/>
    <w:rsid w:val="00D26684"/>
    <w:rsid w:val="00D26A65"/>
    <w:rsid w:val="00D31C35"/>
    <w:rsid w:val="00D32B12"/>
    <w:rsid w:val="00D3300D"/>
    <w:rsid w:val="00D33CAD"/>
    <w:rsid w:val="00D34E4E"/>
    <w:rsid w:val="00D370D1"/>
    <w:rsid w:val="00D41FD3"/>
    <w:rsid w:val="00D42421"/>
    <w:rsid w:val="00D44182"/>
    <w:rsid w:val="00D45F48"/>
    <w:rsid w:val="00D47CC1"/>
    <w:rsid w:val="00D50AC8"/>
    <w:rsid w:val="00D50FDC"/>
    <w:rsid w:val="00D51217"/>
    <w:rsid w:val="00D51C74"/>
    <w:rsid w:val="00D52D15"/>
    <w:rsid w:val="00D53DF2"/>
    <w:rsid w:val="00D541EB"/>
    <w:rsid w:val="00D552D7"/>
    <w:rsid w:val="00D607C3"/>
    <w:rsid w:val="00D6144F"/>
    <w:rsid w:val="00D6471B"/>
    <w:rsid w:val="00D65911"/>
    <w:rsid w:val="00D67FCF"/>
    <w:rsid w:val="00D7094E"/>
    <w:rsid w:val="00D73252"/>
    <w:rsid w:val="00D74CA4"/>
    <w:rsid w:val="00D74EDB"/>
    <w:rsid w:val="00D81963"/>
    <w:rsid w:val="00D81EFF"/>
    <w:rsid w:val="00D82E5E"/>
    <w:rsid w:val="00D83610"/>
    <w:rsid w:val="00D846B6"/>
    <w:rsid w:val="00D85390"/>
    <w:rsid w:val="00D86096"/>
    <w:rsid w:val="00D8643B"/>
    <w:rsid w:val="00D8699E"/>
    <w:rsid w:val="00D9265B"/>
    <w:rsid w:val="00D9308E"/>
    <w:rsid w:val="00D94416"/>
    <w:rsid w:val="00D95CD8"/>
    <w:rsid w:val="00D965D4"/>
    <w:rsid w:val="00D97E2F"/>
    <w:rsid w:val="00DA081D"/>
    <w:rsid w:val="00DA0B7D"/>
    <w:rsid w:val="00DA1E94"/>
    <w:rsid w:val="00DA2390"/>
    <w:rsid w:val="00DA4283"/>
    <w:rsid w:val="00DA43DB"/>
    <w:rsid w:val="00DA501D"/>
    <w:rsid w:val="00DA6940"/>
    <w:rsid w:val="00DA79BC"/>
    <w:rsid w:val="00DB0AC1"/>
    <w:rsid w:val="00DB0C5A"/>
    <w:rsid w:val="00DB4616"/>
    <w:rsid w:val="00DB5F70"/>
    <w:rsid w:val="00DC1AC7"/>
    <w:rsid w:val="00DC1BCA"/>
    <w:rsid w:val="00DC3915"/>
    <w:rsid w:val="00DC45F3"/>
    <w:rsid w:val="00DC5181"/>
    <w:rsid w:val="00DC5523"/>
    <w:rsid w:val="00DC5ADB"/>
    <w:rsid w:val="00DC5ADC"/>
    <w:rsid w:val="00DC6E3F"/>
    <w:rsid w:val="00DC73AF"/>
    <w:rsid w:val="00DC7C45"/>
    <w:rsid w:val="00DD21C6"/>
    <w:rsid w:val="00DD2849"/>
    <w:rsid w:val="00DD2F07"/>
    <w:rsid w:val="00DD31F6"/>
    <w:rsid w:val="00DD36CF"/>
    <w:rsid w:val="00DD5F0B"/>
    <w:rsid w:val="00DD6A20"/>
    <w:rsid w:val="00DE0851"/>
    <w:rsid w:val="00DE1625"/>
    <w:rsid w:val="00DE1D55"/>
    <w:rsid w:val="00DE21B0"/>
    <w:rsid w:val="00DE3E06"/>
    <w:rsid w:val="00DE52A8"/>
    <w:rsid w:val="00DE5A1B"/>
    <w:rsid w:val="00DE5D5B"/>
    <w:rsid w:val="00DE64AC"/>
    <w:rsid w:val="00DE6560"/>
    <w:rsid w:val="00DE7B77"/>
    <w:rsid w:val="00DF12D7"/>
    <w:rsid w:val="00DF36D4"/>
    <w:rsid w:val="00DF4C1B"/>
    <w:rsid w:val="00DF5972"/>
    <w:rsid w:val="00DF5EAB"/>
    <w:rsid w:val="00DF6ED7"/>
    <w:rsid w:val="00DF754C"/>
    <w:rsid w:val="00DF7823"/>
    <w:rsid w:val="00E012B3"/>
    <w:rsid w:val="00E01BCC"/>
    <w:rsid w:val="00E02D89"/>
    <w:rsid w:val="00E03249"/>
    <w:rsid w:val="00E05766"/>
    <w:rsid w:val="00E0576C"/>
    <w:rsid w:val="00E05863"/>
    <w:rsid w:val="00E05A59"/>
    <w:rsid w:val="00E05B80"/>
    <w:rsid w:val="00E06725"/>
    <w:rsid w:val="00E0675B"/>
    <w:rsid w:val="00E06F59"/>
    <w:rsid w:val="00E073EC"/>
    <w:rsid w:val="00E11144"/>
    <w:rsid w:val="00E117F7"/>
    <w:rsid w:val="00E11945"/>
    <w:rsid w:val="00E147B6"/>
    <w:rsid w:val="00E14976"/>
    <w:rsid w:val="00E205C6"/>
    <w:rsid w:val="00E20604"/>
    <w:rsid w:val="00E209AC"/>
    <w:rsid w:val="00E236F2"/>
    <w:rsid w:val="00E25033"/>
    <w:rsid w:val="00E2532D"/>
    <w:rsid w:val="00E2584A"/>
    <w:rsid w:val="00E26FAB"/>
    <w:rsid w:val="00E27CE8"/>
    <w:rsid w:val="00E30C43"/>
    <w:rsid w:val="00E311C2"/>
    <w:rsid w:val="00E317A7"/>
    <w:rsid w:val="00E34423"/>
    <w:rsid w:val="00E35783"/>
    <w:rsid w:val="00E36142"/>
    <w:rsid w:val="00E36E91"/>
    <w:rsid w:val="00E40245"/>
    <w:rsid w:val="00E40926"/>
    <w:rsid w:val="00E42132"/>
    <w:rsid w:val="00E43187"/>
    <w:rsid w:val="00E44112"/>
    <w:rsid w:val="00E442D9"/>
    <w:rsid w:val="00E46B22"/>
    <w:rsid w:val="00E50E8E"/>
    <w:rsid w:val="00E51379"/>
    <w:rsid w:val="00E51972"/>
    <w:rsid w:val="00E53E91"/>
    <w:rsid w:val="00E550AC"/>
    <w:rsid w:val="00E5564C"/>
    <w:rsid w:val="00E5628F"/>
    <w:rsid w:val="00E576E8"/>
    <w:rsid w:val="00E60913"/>
    <w:rsid w:val="00E61100"/>
    <w:rsid w:val="00E61AA2"/>
    <w:rsid w:val="00E6246D"/>
    <w:rsid w:val="00E62BF4"/>
    <w:rsid w:val="00E63553"/>
    <w:rsid w:val="00E636DF"/>
    <w:rsid w:val="00E64FC6"/>
    <w:rsid w:val="00E6506D"/>
    <w:rsid w:val="00E657DD"/>
    <w:rsid w:val="00E662BC"/>
    <w:rsid w:val="00E675F2"/>
    <w:rsid w:val="00E7164D"/>
    <w:rsid w:val="00E71773"/>
    <w:rsid w:val="00E721A7"/>
    <w:rsid w:val="00E72235"/>
    <w:rsid w:val="00E740AB"/>
    <w:rsid w:val="00E74199"/>
    <w:rsid w:val="00E755B5"/>
    <w:rsid w:val="00E767FD"/>
    <w:rsid w:val="00E77841"/>
    <w:rsid w:val="00E81854"/>
    <w:rsid w:val="00E81DAB"/>
    <w:rsid w:val="00E82E73"/>
    <w:rsid w:val="00E83BF4"/>
    <w:rsid w:val="00E84878"/>
    <w:rsid w:val="00E849FD"/>
    <w:rsid w:val="00E854A4"/>
    <w:rsid w:val="00E85719"/>
    <w:rsid w:val="00E87DBF"/>
    <w:rsid w:val="00E90B88"/>
    <w:rsid w:val="00E93E58"/>
    <w:rsid w:val="00E958AC"/>
    <w:rsid w:val="00E961EE"/>
    <w:rsid w:val="00E96E16"/>
    <w:rsid w:val="00EA07BA"/>
    <w:rsid w:val="00EA0BE3"/>
    <w:rsid w:val="00EA24A1"/>
    <w:rsid w:val="00EA2A8D"/>
    <w:rsid w:val="00EA348E"/>
    <w:rsid w:val="00EA3C2F"/>
    <w:rsid w:val="00EA3D90"/>
    <w:rsid w:val="00EA41DF"/>
    <w:rsid w:val="00EA5DEF"/>
    <w:rsid w:val="00EA69A3"/>
    <w:rsid w:val="00EA7124"/>
    <w:rsid w:val="00EB0578"/>
    <w:rsid w:val="00EB0B66"/>
    <w:rsid w:val="00EB181D"/>
    <w:rsid w:val="00EB18C3"/>
    <w:rsid w:val="00EB1905"/>
    <w:rsid w:val="00EB1A28"/>
    <w:rsid w:val="00EB1E09"/>
    <w:rsid w:val="00EB2CAB"/>
    <w:rsid w:val="00EB4641"/>
    <w:rsid w:val="00EB7638"/>
    <w:rsid w:val="00EB7E7A"/>
    <w:rsid w:val="00EC0A0E"/>
    <w:rsid w:val="00EC38AF"/>
    <w:rsid w:val="00EC3BE8"/>
    <w:rsid w:val="00EC61C3"/>
    <w:rsid w:val="00EC6D47"/>
    <w:rsid w:val="00EC6FFF"/>
    <w:rsid w:val="00ED005D"/>
    <w:rsid w:val="00ED0A8C"/>
    <w:rsid w:val="00ED1362"/>
    <w:rsid w:val="00ED1A43"/>
    <w:rsid w:val="00ED1AD2"/>
    <w:rsid w:val="00ED1E04"/>
    <w:rsid w:val="00ED1F1B"/>
    <w:rsid w:val="00ED2A31"/>
    <w:rsid w:val="00ED350E"/>
    <w:rsid w:val="00ED3632"/>
    <w:rsid w:val="00ED52CC"/>
    <w:rsid w:val="00ED6384"/>
    <w:rsid w:val="00ED7D9B"/>
    <w:rsid w:val="00ED7FE3"/>
    <w:rsid w:val="00EE010D"/>
    <w:rsid w:val="00EE102D"/>
    <w:rsid w:val="00EE1D4A"/>
    <w:rsid w:val="00EE3BCD"/>
    <w:rsid w:val="00EE3D33"/>
    <w:rsid w:val="00EE3F5E"/>
    <w:rsid w:val="00EE4D80"/>
    <w:rsid w:val="00EE522D"/>
    <w:rsid w:val="00EE7D2F"/>
    <w:rsid w:val="00EF3AE5"/>
    <w:rsid w:val="00EF4B0D"/>
    <w:rsid w:val="00EF5B47"/>
    <w:rsid w:val="00EF5D40"/>
    <w:rsid w:val="00EF6E28"/>
    <w:rsid w:val="00EF71E2"/>
    <w:rsid w:val="00EF7787"/>
    <w:rsid w:val="00F002FD"/>
    <w:rsid w:val="00F0044D"/>
    <w:rsid w:val="00F00B6B"/>
    <w:rsid w:val="00F01CD8"/>
    <w:rsid w:val="00F027F2"/>
    <w:rsid w:val="00F033C9"/>
    <w:rsid w:val="00F034E2"/>
    <w:rsid w:val="00F05069"/>
    <w:rsid w:val="00F05278"/>
    <w:rsid w:val="00F061DB"/>
    <w:rsid w:val="00F0657F"/>
    <w:rsid w:val="00F06DB1"/>
    <w:rsid w:val="00F07103"/>
    <w:rsid w:val="00F10CA5"/>
    <w:rsid w:val="00F11863"/>
    <w:rsid w:val="00F12351"/>
    <w:rsid w:val="00F141F4"/>
    <w:rsid w:val="00F1426A"/>
    <w:rsid w:val="00F151EF"/>
    <w:rsid w:val="00F167E2"/>
    <w:rsid w:val="00F1681A"/>
    <w:rsid w:val="00F16FE4"/>
    <w:rsid w:val="00F206F0"/>
    <w:rsid w:val="00F20A5C"/>
    <w:rsid w:val="00F21206"/>
    <w:rsid w:val="00F21A28"/>
    <w:rsid w:val="00F2253D"/>
    <w:rsid w:val="00F230AD"/>
    <w:rsid w:val="00F26AA5"/>
    <w:rsid w:val="00F26CF6"/>
    <w:rsid w:val="00F30DF2"/>
    <w:rsid w:val="00F3233D"/>
    <w:rsid w:val="00F32851"/>
    <w:rsid w:val="00F32A8D"/>
    <w:rsid w:val="00F338F0"/>
    <w:rsid w:val="00F33BED"/>
    <w:rsid w:val="00F35481"/>
    <w:rsid w:val="00F3741B"/>
    <w:rsid w:val="00F37AE8"/>
    <w:rsid w:val="00F40EF7"/>
    <w:rsid w:val="00F41DE5"/>
    <w:rsid w:val="00F43677"/>
    <w:rsid w:val="00F43C87"/>
    <w:rsid w:val="00F43DAE"/>
    <w:rsid w:val="00F43E09"/>
    <w:rsid w:val="00F44B3A"/>
    <w:rsid w:val="00F44FE2"/>
    <w:rsid w:val="00F45F4F"/>
    <w:rsid w:val="00F463BF"/>
    <w:rsid w:val="00F47AA9"/>
    <w:rsid w:val="00F47D25"/>
    <w:rsid w:val="00F50337"/>
    <w:rsid w:val="00F52CAC"/>
    <w:rsid w:val="00F53DA8"/>
    <w:rsid w:val="00F55E13"/>
    <w:rsid w:val="00F55E7A"/>
    <w:rsid w:val="00F57852"/>
    <w:rsid w:val="00F57B48"/>
    <w:rsid w:val="00F57BFD"/>
    <w:rsid w:val="00F605CB"/>
    <w:rsid w:val="00F60979"/>
    <w:rsid w:val="00F60D47"/>
    <w:rsid w:val="00F60FEE"/>
    <w:rsid w:val="00F61942"/>
    <w:rsid w:val="00F64B7F"/>
    <w:rsid w:val="00F653AB"/>
    <w:rsid w:val="00F66996"/>
    <w:rsid w:val="00F67787"/>
    <w:rsid w:val="00F70B9A"/>
    <w:rsid w:val="00F70E3F"/>
    <w:rsid w:val="00F71327"/>
    <w:rsid w:val="00F7233F"/>
    <w:rsid w:val="00F7287A"/>
    <w:rsid w:val="00F7447C"/>
    <w:rsid w:val="00F7528B"/>
    <w:rsid w:val="00F76255"/>
    <w:rsid w:val="00F76CA8"/>
    <w:rsid w:val="00F771E2"/>
    <w:rsid w:val="00F8052D"/>
    <w:rsid w:val="00F838AA"/>
    <w:rsid w:val="00F83CDE"/>
    <w:rsid w:val="00F84B68"/>
    <w:rsid w:val="00F84B83"/>
    <w:rsid w:val="00F85AEF"/>
    <w:rsid w:val="00F86C79"/>
    <w:rsid w:val="00F87AB3"/>
    <w:rsid w:val="00F90094"/>
    <w:rsid w:val="00F910DB"/>
    <w:rsid w:val="00F9204A"/>
    <w:rsid w:val="00F92BDF"/>
    <w:rsid w:val="00F930C0"/>
    <w:rsid w:val="00F93ED8"/>
    <w:rsid w:val="00F94C95"/>
    <w:rsid w:val="00FA05E2"/>
    <w:rsid w:val="00FA0BB2"/>
    <w:rsid w:val="00FA3597"/>
    <w:rsid w:val="00FA4A64"/>
    <w:rsid w:val="00FA5033"/>
    <w:rsid w:val="00FA57DF"/>
    <w:rsid w:val="00FB13F2"/>
    <w:rsid w:val="00FB22A1"/>
    <w:rsid w:val="00FB43E8"/>
    <w:rsid w:val="00FB46DB"/>
    <w:rsid w:val="00FC0401"/>
    <w:rsid w:val="00FC3695"/>
    <w:rsid w:val="00FC6588"/>
    <w:rsid w:val="00FC6A44"/>
    <w:rsid w:val="00FD3412"/>
    <w:rsid w:val="00FD3B6C"/>
    <w:rsid w:val="00FD5057"/>
    <w:rsid w:val="00FE04B0"/>
    <w:rsid w:val="00FE05C9"/>
    <w:rsid w:val="00FE103C"/>
    <w:rsid w:val="00FE15AB"/>
    <w:rsid w:val="00FE2281"/>
    <w:rsid w:val="00FE427B"/>
    <w:rsid w:val="00FE5AC0"/>
    <w:rsid w:val="00FE77B0"/>
    <w:rsid w:val="00FF088A"/>
    <w:rsid w:val="00FF1CE5"/>
    <w:rsid w:val="00FF20FE"/>
    <w:rsid w:val="00FF2498"/>
    <w:rsid w:val="00FF317B"/>
    <w:rsid w:val="00FF5027"/>
    <w:rsid w:val="00FF505E"/>
    <w:rsid w:val="00FF50ED"/>
    <w:rsid w:val="00FF7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40713A4-1A3A-4365-A718-ADD5176D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D16"/>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B41"/>
    <w:pPr>
      <w:ind w:left="720"/>
      <w:contextualSpacing/>
    </w:pPr>
  </w:style>
  <w:style w:type="paragraph" w:styleId="FootnoteText">
    <w:name w:val="footnote text"/>
    <w:basedOn w:val="Normal"/>
    <w:link w:val="FootnoteTextChar"/>
    <w:uiPriority w:val="99"/>
    <w:unhideWhenUsed/>
    <w:rsid w:val="00691B33"/>
    <w:rPr>
      <w:sz w:val="20"/>
      <w:szCs w:val="20"/>
    </w:rPr>
  </w:style>
  <w:style w:type="character" w:customStyle="1" w:styleId="FootnoteTextChar">
    <w:name w:val="Footnote Text Char"/>
    <w:basedOn w:val="DefaultParagraphFont"/>
    <w:link w:val="FootnoteText"/>
    <w:uiPriority w:val="99"/>
    <w:rsid w:val="00691B33"/>
    <w:rPr>
      <w:sz w:val="20"/>
      <w:szCs w:val="20"/>
    </w:rPr>
  </w:style>
  <w:style w:type="character" w:styleId="FootnoteReference">
    <w:name w:val="footnote reference"/>
    <w:basedOn w:val="DefaultParagraphFont"/>
    <w:uiPriority w:val="99"/>
    <w:unhideWhenUsed/>
    <w:rsid w:val="00691B33"/>
    <w:rPr>
      <w:vertAlign w:val="superscript"/>
    </w:rPr>
  </w:style>
  <w:style w:type="paragraph" w:styleId="BodyText">
    <w:name w:val="Body Text"/>
    <w:basedOn w:val="Normal"/>
    <w:link w:val="BodyTextChar"/>
    <w:rsid w:val="00284D5D"/>
    <w:pPr>
      <w:jc w:val="left"/>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84D5D"/>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715279"/>
    <w:pPr>
      <w:tabs>
        <w:tab w:val="center" w:pos="4513"/>
        <w:tab w:val="right" w:pos="9026"/>
      </w:tabs>
    </w:pPr>
  </w:style>
  <w:style w:type="character" w:customStyle="1" w:styleId="HeaderChar">
    <w:name w:val="Header Char"/>
    <w:basedOn w:val="DefaultParagraphFont"/>
    <w:link w:val="Header"/>
    <w:uiPriority w:val="99"/>
    <w:rsid w:val="00715279"/>
  </w:style>
  <w:style w:type="paragraph" w:styleId="Footer">
    <w:name w:val="footer"/>
    <w:basedOn w:val="Normal"/>
    <w:link w:val="FooterChar"/>
    <w:uiPriority w:val="99"/>
    <w:unhideWhenUsed/>
    <w:rsid w:val="00715279"/>
    <w:pPr>
      <w:tabs>
        <w:tab w:val="center" w:pos="4513"/>
        <w:tab w:val="right" w:pos="9026"/>
      </w:tabs>
    </w:pPr>
  </w:style>
  <w:style w:type="character" w:customStyle="1" w:styleId="FooterChar">
    <w:name w:val="Footer Char"/>
    <w:basedOn w:val="DefaultParagraphFont"/>
    <w:link w:val="Footer"/>
    <w:uiPriority w:val="99"/>
    <w:rsid w:val="00715279"/>
  </w:style>
  <w:style w:type="paragraph" w:styleId="EndnoteText">
    <w:name w:val="endnote text"/>
    <w:basedOn w:val="Normal"/>
    <w:link w:val="EndnoteTextChar"/>
    <w:rsid w:val="000F3B1A"/>
    <w:pPr>
      <w:jc w:val="left"/>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semiHidden/>
    <w:rsid w:val="000F3B1A"/>
    <w:rPr>
      <w:rFonts w:ascii="Times New Roman" w:eastAsia="Times New Roman" w:hAnsi="Times New Roman" w:cs="Times New Roman"/>
      <w:sz w:val="20"/>
      <w:szCs w:val="20"/>
      <w:lang w:val="en-US"/>
    </w:rPr>
  </w:style>
  <w:style w:type="table" w:styleId="TableGrid">
    <w:name w:val="Table Grid"/>
    <w:basedOn w:val="TableNormal"/>
    <w:uiPriority w:val="59"/>
    <w:rsid w:val="008C5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54CB"/>
    <w:rPr>
      <w:sz w:val="16"/>
      <w:szCs w:val="16"/>
    </w:rPr>
  </w:style>
  <w:style w:type="paragraph" w:styleId="CommentText">
    <w:name w:val="annotation text"/>
    <w:basedOn w:val="Normal"/>
    <w:link w:val="CommentTextChar"/>
    <w:uiPriority w:val="99"/>
    <w:unhideWhenUsed/>
    <w:rsid w:val="000336B0"/>
    <w:rPr>
      <w:sz w:val="20"/>
      <w:szCs w:val="20"/>
    </w:rPr>
  </w:style>
  <w:style w:type="character" w:customStyle="1" w:styleId="CommentTextChar">
    <w:name w:val="Comment Text Char"/>
    <w:basedOn w:val="DefaultParagraphFont"/>
    <w:link w:val="CommentText"/>
    <w:uiPriority w:val="99"/>
    <w:rsid w:val="005B54CB"/>
    <w:rPr>
      <w:sz w:val="20"/>
      <w:szCs w:val="20"/>
    </w:rPr>
  </w:style>
  <w:style w:type="paragraph" w:styleId="CommentSubject">
    <w:name w:val="annotation subject"/>
    <w:basedOn w:val="CommentText"/>
    <w:next w:val="CommentText"/>
    <w:link w:val="CommentSubjectChar"/>
    <w:uiPriority w:val="99"/>
    <w:semiHidden/>
    <w:unhideWhenUsed/>
    <w:rsid w:val="005B54CB"/>
    <w:rPr>
      <w:b/>
      <w:bCs/>
    </w:rPr>
  </w:style>
  <w:style w:type="character" w:customStyle="1" w:styleId="CommentSubjectChar">
    <w:name w:val="Comment Subject Char"/>
    <w:basedOn w:val="CommentTextChar"/>
    <w:link w:val="CommentSubject"/>
    <w:uiPriority w:val="99"/>
    <w:semiHidden/>
    <w:rsid w:val="005B54CB"/>
    <w:rPr>
      <w:b/>
      <w:bCs/>
      <w:sz w:val="20"/>
      <w:szCs w:val="20"/>
    </w:rPr>
  </w:style>
  <w:style w:type="paragraph" w:styleId="BalloonText">
    <w:name w:val="Balloon Text"/>
    <w:basedOn w:val="Normal"/>
    <w:link w:val="BalloonTextChar"/>
    <w:uiPriority w:val="99"/>
    <w:semiHidden/>
    <w:unhideWhenUsed/>
    <w:rsid w:val="005B54CB"/>
    <w:rPr>
      <w:rFonts w:ascii="Tahoma" w:hAnsi="Tahoma" w:cs="Tahoma"/>
      <w:sz w:val="16"/>
      <w:szCs w:val="16"/>
    </w:rPr>
  </w:style>
  <w:style w:type="character" w:customStyle="1" w:styleId="BalloonTextChar">
    <w:name w:val="Balloon Text Char"/>
    <w:basedOn w:val="DefaultParagraphFont"/>
    <w:link w:val="BalloonText"/>
    <w:uiPriority w:val="99"/>
    <w:semiHidden/>
    <w:rsid w:val="005B54CB"/>
    <w:rPr>
      <w:rFonts w:ascii="Tahoma" w:hAnsi="Tahoma" w:cs="Tahoma"/>
      <w:sz w:val="16"/>
      <w:szCs w:val="16"/>
    </w:rPr>
  </w:style>
  <w:style w:type="paragraph" w:styleId="Title">
    <w:name w:val="Title"/>
    <w:basedOn w:val="Normal"/>
    <w:link w:val="TitleChar"/>
    <w:qFormat/>
    <w:rsid w:val="00DE3E06"/>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DE3E06"/>
    <w:rPr>
      <w:rFonts w:ascii="Times New Roman" w:eastAsia="Times New Roman" w:hAnsi="Times New Roman" w:cs="Times New Roman"/>
      <w:b/>
      <w:sz w:val="24"/>
      <w:szCs w:val="20"/>
    </w:rPr>
  </w:style>
  <w:style w:type="paragraph" w:styleId="NoSpacing">
    <w:name w:val="No Spacing"/>
    <w:uiPriority w:val="1"/>
    <w:qFormat/>
    <w:rsid w:val="00C37B8C"/>
    <w:pPr>
      <w:spacing w:after="0" w:line="240" w:lineRule="auto"/>
      <w:jc w:val="both"/>
    </w:pPr>
  </w:style>
  <w:style w:type="character" w:styleId="Hyperlink">
    <w:name w:val="Hyperlink"/>
    <w:basedOn w:val="DefaultParagraphFont"/>
    <w:uiPriority w:val="99"/>
    <w:unhideWhenUsed/>
    <w:rsid w:val="003D2603"/>
    <w:rPr>
      <w:color w:val="0000FF" w:themeColor="hyperlink"/>
      <w:u w:val="single"/>
    </w:rPr>
  </w:style>
  <w:style w:type="character" w:styleId="PlaceholderText">
    <w:name w:val="Placeholder Text"/>
    <w:basedOn w:val="DefaultParagraphFont"/>
    <w:uiPriority w:val="99"/>
    <w:semiHidden/>
    <w:rsid w:val="001F64AF"/>
    <w:rPr>
      <w:color w:val="808080"/>
    </w:rPr>
  </w:style>
  <w:style w:type="paragraph" w:styleId="Revision">
    <w:name w:val="Revision"/>
    <w:hidden/>
    <w:uiPriority w:val="99"/>
    <w:semiHidden/>
    <w:rsid w:val="009D166C"/>
    <w:pPr>
      <w:spacing w:after="0" w:line="240" w:lineRule="auto"/>
    </w:pPr>
  </w:style>
  <w:style w:type="paragraph" w:styleId="BodyText2">
    <w:name w:val="Body Text 2"/>
    <w:basedOn w:val="Normal"/>
    <w:link w:val="BodyText2Char"/>
    <w:uiPriority w:val="99"/>
    <w:unhideWhenUsed/>
    <w:rsid w:val="00E50E8E"/>
    <w:pPr>
      <w:spacing w:after="120" w:line="480" w:lineRule="auto"/>
    </w:pPr>
  </w:style>
  <w:style w:type="character" w:customStyle="1" w:styleId="BodyText2Char">
    <w:name w:val="Body Text 2 Char"/>
    <w:basedOn w:val="DefaultParagraphFont"/>
    <w:link w:val="BodyText2"/>
    <w:uiPriority w:val="99"/>
    <w:rsid w:val="00E50E8E"/>
  </w:style>
  <w:style w:type="character" w:customStyle="1" w:styleId="FootnoteTextChar1">
    <w:name w:val="Footnote Text Char1"/>
    <w:basedOn w:val="DefaultParagraphFont"/>
    <w:rsid w:val="00344FC1"/>
    <w:rPr>
      <w:rFonts w:ascii="Calibri" w:eastAsia="Calibri" w:hAnsi="Calibri"/>
    </w:rPr>
  </w:style>
  <w:style w:type="character" w:customStyle="1" w:styleId="EndnoteTextChar1">
    <w:name w:val="Endnote Text Char1"/>
    <w:basedOn w:val="DefaultParagraphFont"/>
    <w:rsid w:val="00290226"/>
    <w:rPr>
      <w:rFonts w:ascii="Calibri" w:eastAsia="Calibri" w:hAnsi="Calibri"/>
    </w:rPr>
  </w:style>
  <w:style w:type="character" w:customStyle="1" w:styleId="apple-converted-space">
    <w:name w:val="apple-converted-space"/>
    <w:basedOn w:val="DefaultParagraphFont"/>
    <w:rsid w:val="00BF3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00294">
      <w:bodyDiv w:val="1"/>
      <w:marLeft w:val="0"/>
      <w:marRight w:val="0"/>
      <w:marTop w:val="0"/>
      <w:marBottom w:val="0"/>
      <w:divBdr>
        <w:top w:val="none" w:sz="0" w:space="0" w:color="auto"/>
        <w:left w:val="none" w:sz="0" w:space="0" w:color="auto"/>
        <w:bottom w:val="none" w:sz="0" w:space="0" w:color="auto"/>
        <w:right w:val="none" w:sz="0" w:space="0" w:color="auto"/>
      </w:divBdr>
    </w:div>
    <w:div w:id="80683508">
      <w:bodyDiv w:val="1"/>
      <w:marLeft w:val="0"/>
      <w:marRight w:val="0"/>
      <w:marTop w:val="0"/>
      <w:marBottom w:val="0"/>
      <w:divBdr>
        <w:top w:val="none" w:sz="0" w:space="0" w:color="auto"/>
        <w:left w:val="none" w:sz="0" w:space="0" w:color="auto"/>
        <w:bottom w:val="none" w:sz="0" w:space="0" w:color="auto"/>
        <w:right w:val="none" w:sz="0" w:space="0" w:color="auto"/>
      </w:divBdr>
    </w:div>
    <w:div w:id="186649311">
      <w:bodyDiv w:val="1"/>
      <w:marLeft w:val="0"/>
      <w:marRight w:val="0"/>
      <w:marTop w:val="0"/>
      <w:marBottom w:val="0"/>
      <w:divBdr>
        <w:top w:val="none" w:sz="0" w:space="0" w:color="auto"/>
        <w:left w:val="none" w:sz="0" w:space="0" w:color="auto"/>
        <w:bottom w:val="none" w:sz="0" w:space="0" w:color="auto"/>
        <w:right w:val="none" w:sz="0" w:space="0" w:color="auto"/>
      </w:divBdr>
    </w:div>
    <w:div w:id="255360817">
      <w:bodyDiv w:val="1"/>
      <w:marLeft w:val="0"/>
      <w:marRight w:val="0"/>
      <w:marTop w:val="0"/>
      <w:marBottom w:val="0"/>
      <w:divBdr>
        <w:top w:val="none" w:sz="0" w:space="0" w:color="auto"/>
        <w:left w:val="none" w:sz="0" w:space="0" w:color="auto"/>
        <w:bottom w:val="none" w:sz="0" w:space="0" w:color="auto"/>
        <w:right w:val="none" w:sz="0" w:space="0" w:color="auto"/>
      </w:divBdr>
    </w:div>
    <w:div w:id="317465769">
      <w:bodyDiv w:val="1"/>
      <w:marLeft w:val="0"/>
      <w:marRight w:val="0"/>
      <w:marTop w:val="0"/>
      <w:marBottom w:val="0"/>
      <w:divBdr>
        <w:top w:val="none" w:sz="0" w:space="0" w:color="auto"/>
        <w:left w:val="none" w:sz="0" w:space="0" w:color="auto"/>
        <w:bottom w:val="none" w:sz="0" w:space="0" w:color="auto"/>
        <w:right w:val="none" w:sz="0" w:space="0" w:color="auto"/>
      </w:divBdr>
    </w:div>
    <w:div w:id="330837440">
      <w:bodyDiv w:val="1"/>
      <w:marLeft w:val="0"/>
      <w:marRight w:val="0"/>
      <w:marTop w:val="0"/>
      <w:marBottom w:val="0"/>
      <w:divBdr>
        <w:top w:val="none" w:sz="0" w:space="0" w:color="auto"/>
        <w:left w:val="none" w:sz="0" w:space="0" w:color="auto"/>
        <w:bottom w:val="none" w:sz="0" w:space="0" w:color="auto"/>
        <w:right w:val="none" w:sz="0" w:space="0" w:color="auto"/>
      </w:divBdr>
    </w:div>
    <w:div w:id="417797925">
      <w:bodyDiv w:val="1"/>
      <w:marLeft w:val="0"/>
      <w:marRight w:val="0"/>
      <w:marTop w:val="0"/>
      <w:marBottom w:val="0"/>
      <w:divBdr>
        <w:top w:val="none" w:sz="0" w:space="0" w:color="auto"/>
        <w:left w:val="none" w:sz="0" w:space="0" w:color="auto"/>
        <w:bottom w:val="none" w:sz="0" w:space="0" w:color="auto"/>
        <w:right w:val="none" w:sz="0" w:space="0" w:color="auto"/>
      </w:divBdr>
    </w:div>
    <w:div w:id="438986028">
      <w:bodyDiv w:val="1"/>
      <w:marLeft w:val="0"/>
      <w:marRight w:val="0"/>
      <w:marTop w:val="0"/>
      <w:marBottom w:val="0"/>
      <w:divBdr>
        <w:top w:val="none" w:sz="0" w:space="0" w:color="auto"/>
        <w:left w:val="none" w:sz="0" w:space="0" w:color="auto"/>
        <w:bottom w:val="none" w:sz="0" w:space="0" w:color="auto"/>
        <w:right w:val="none" w:sz="0" w:space="0" w:color="auto"/>
      </w:divBdr>
    </w:div>
    <w:div w:id="545411445">
      <w:bodyDiv w:val="1"/>
      <w:marLeft w:val="0"/>
      <w:marRight w:val="0"/>
      <w:marTop w:val="0"/>
      <w:marBottom w:val="0"/>
      <w:divBdr>
        <w:top w:val="none" w:sz="0" w:space="0" w:color="auto"/>
        <w:left w:val="none" w:sz="0" w:space="0" w:color="auto"/>
        <w:bottom w:val="none" w:sz="0" w:space="0" w:color="auto"/>
        <w:right w:val="none" w:sz="0" w:space="0" w:color="auto"/>
      </w:divBdr>
    </w:div>
    <w:div w:id="564143856">
      <w:bodyDiv w:val="1"/>
      <w:marLeft w:val="0"/>
      <w:marRight w:val="0"/>
      <w:marTop w:val="0"/>
      <w:marBottom w:val="0"/>
      <w:divBdr>
        <w:top w:val="none" w:sz="0" w:space="0" w:color="auto"/>
        <w:left w:val="none" w:sz="0" w:space="0" w:color="auto"/>
        <w:bottom w:val="none" w:sz="0" w:space="0" w:color="auto"/>
        <w:right w:val="none" w:sz="0" w:space="0" w:color="auto"/>
      </w:divBdr>
    </w:div>
    <w:div w:id="572353756">
      <w:bodyDiv w:val="1"/>
      <w:marLeft w:val="0"/>
      <w:marRight w:val="0"/>
      <w:marTop w:val="0"/>
      <w:marBottom w:val="0"/>
      <w:divBdr>
        <w:top w:val="none" w:sz="0" w:space="0" w:color="auto"/>
        <w:left w:val="none" w:sz="0" w:space="0" w:color="auto"/>
        <w:bottom w:val="none" w:sz="0" w:space="0" w:color="auto"/>
        <w:right w:val="none" w:sz="0" w:space="0" w:color="auto"/>
      </w:divBdr>
    </w:div>
    <w:div w:id="591014553">
      <w:bodyDiv w:val="1"/>
      <w:marLeft w:val="0"/>
      <w:marRight w:val="0"/>
      <w:marTop w:val="0"/>
      <w:marBottom w:val="0"/>
      <w:divBdr>
        <w:top w:val="none" w:sz="0" w:space="0" w:color="auto"/>
        <w:left w:val="none" w:sz="0" w:space="0" w:color="auto"/>
        <w:bottom w:val="none" w:sz="0" w:space="0" w:color="auto"/>
        <w:right w:val="none" w:sz="0" w:space="0" w:color="auto"/>
      </w:divBdr>
    </w:div>
    <w:div w:id="622734600">
      <w:bodyDiv w:val="1"/>
      <w:marLeft w:val="0"/>
      <w:marRight w:val="0"/>
      <w:marTop w:val="0"/>
      <w:marBottom w:val="0"/>
      <w:divBdr>
        <w:top w:val="none" w:sz="0" w:space="0" w:color="auto"/>
        <w:left w:val="none" w:sz="0" w:space="0" w:color="auto"/>
        <w:bottom w:val="none" w:sz="0" w:space="0" w:color="auto"/>
        <w:right w:val="none" w:sz="0" w:space="0" w:color="auto"/>
      </w:divBdr>
    </w:div>
    <w:div w:id="658845493">
      <w:bodyDiv w:val="1"/>
      <w:marLeft w:val="0"/>
      <w:marRight w:val="0"/>
      <w:marTop w:val="0"/>
      <w:marBottom w:val="0"/>
      <w:divBdr>
        <w:top w:val="none" w:sz="0" w:space="0" w:color="auto"/>
        <w:left w:val="none" w:sz="0" w:space="0" w:color="auto"/>
        <w:bottom w:val="none" w:sz="0" w:space="0" w:color="auto"/>
        <w:right w:val="none" w:sz="0" w:space="0" w:color="auto"/>
      </w:divBdr>
    </w:div>
    <w:div w:id="667944969">
      <w:bodyDiv w:val="1"/>
      <w:marLeft w:val="0"/>
      <w:marRight w:val="0"/>
      <w:marTop w:val="0"/>
      <w:marBottom w:val="0"/>
      <w:divBdr>
        <w:top w:val="none" w:sz="0" w:space="0" w:color="auto"/>
        <w:left w:val="none" w:sz="0" w:space="0" w:color="auto"/>
        <w:bottom w:val="none" w:sz="0" w:space="0" w:color="auto"/>
        <w:right w:val="none" w:sz="0" w:space="0" w:color="auto"/>
      </w:divBdr>
    </w:div>
    <w:div w:id="788931763">
      <w:bodyDiv w:val="1"/>
      <w:marLeft w:val="0"/>
      <w:marRight w:val="0"/>
      <w:marTop w:val="0"/>
      <w:marBottom w:val="0"/>
      <w:divBdr>
        <w:top w:val="none" w:sz="0" w:space="0" w:color="auto"/>
        <w:left w:val="none" w:sz="0" w:space="0" w:color="auto"/>
        <w:bottom w:val="none" w:sz="0" w:space="0" w:color="auto"/>
        <w:right w:val="none" w:sz="0" w:space="0" w:color="auto"/>
      </w:divBdr>
    </w:div>
    <w:div w:id="830758311">
      <w:bodyDiv w:val="1"/>
      <w:marLeft w:val="0"/>
      <w:marRight w:val="0"/>
      <w:marTop w:val="0"/>
      <w:marBottom w:val="0"/>
      <w:divBdr>
        <w:top w:val="none" w:sz="0" w:space="0" w:color="auto"/>
        <w:left w:val="none" w:sz="0" w:space="0" w:color="auto"/>
        <w:bottom w:val="none" w:sz="0" w:space="0" w:color="auto"/>
        <w:right w:val="none" w:sz="0" w:space="0" w:color="auto"/>
      </w:divBdr>
    </w:div>
    <w:div w:id="923496562">
      <w:bodyDiv w:val="1"/>
      <w:marLeft w:val="0"/>
      <w:marRight w:val="0"/>
      <w:marTop w:val="0"/>
      <w:marBottom w:val="0"/>
      <w:divBdr>
        <w:top w:val="none" w:sz="0" w:space="0" w:color="auto"/>
        <w:left w:val="none" w:sz="0" w:space="0" w:color="auto"/>
        <w:bottom w:val="none" w:sz="0" w:space="0" w:color="auto"/>
        <w:right w:val="none" w:sz="0" w:space="0" w:color="auto"/>
      </w:divBdr>
    </w:div>
    <w:div w:id="935481119">
      <w:bodyDiv w:val="1"/>
      <w:marLeft w:val="0"/>
      <w:marRight w:val="0"/>
      <w:marTop w:val="0"/>
      <w:marBottom w:val="0"/>
      <w:divBdr>
        <w:top w:val="none" w:sz="0" w:space="0" w:color="auto"/>
        <w:left w:val="none" w:sz="0" w:space="0" w:color="auto"/>
        <w:bottom w:val="none" w:sz="0" w:space="0" w:color="auto"/>
        <w:right w:val="none" w:sz="0" w:space="0" w:color="auto"/>
      </w:divBdr>
    </w:div>
    <w:div w:id="1079601311">
      <w:bodyDiv w:val="1"/>
      <w:marLeft w:val="0"/>
      <w:marRight w:val="0"/>
      <w:marTop w:val="0"/>
      <w:marBottom w:val="0"/>
      <w:divBdr>
        <w:top w:val="none" w:sz="0" w:space="0" w:color="auto"/>
        <w:left w:val="none" w:sz="0" w:space="0" w:color="auto"/>
        <w:bottom w:val="none" w:sz="0" w:space="0" w:color="auto"/>
        <w:right w:val="none" w:sz="0" w:space="0" w:color="auto"/>
      </w:divBdr>
    </w:div>
    <w:div w:id="1101026750">
      <w:bodyDiv w:val="1"/>
      <w:marLeft w:val="0"/>
      <w:marRight w:val="0"/>
      <w:marTop w:val="0"/>
      <w:marBottom w:val="0"/>
      <w:divBdr>
        <w:top w:val="none" w:sz="0" w:space="0" w:color="auto"/>
        <w:left w:val="none" w:sz="0" w:space="0" w:color="auto"/>
        <w:bottom w:val="none" w:sz="0" w:space="0" w:color="auto"/>
        <w:right w:val="none" w:sz="0" w:space="0" w:color="auto"/>
      </w:divBdr>
    </w:div>
    <w:div w:id="1159729401">
      <w:bodyDiv w:val="1"/>
      <w:marLeft w:val="0"/>
      <w:marRight w:val="0"/>
      <w:marTop w:val="0"/>
      <w:marBottom w:val="0"/>
      <w:divBdr>
        <w:top w:val="none" w:sz="0" w:space="0" w:color="auto"/>
        <w:left w:val="none" w:sz="0" w:space="0" w:color="auto"/>
        <w:bottom w:val="none" w:sz="0" w:space="0" w:color="auto"/>
        <w:right w:val="none" w:sz="0" w:space="0" w:color="auto"/>
      </w:divBdr>
    </w:div>
    <w:div w:id="1193693156">
      <w:bodyDiv w:val="1"/>
      <w:marLeft w:val="0"/>
      <w:marRight w:val="0"/>
      <w:marTop w:val="0"/>
      <w:marBottom w:val="0"/>
      <w:divBdr>
        <w:top w:val="none" w:sz="0" w:space="0" w:color="auto"/>
        <w:left w:val="none" w:sz="0" w:space="0" w:color="auto"/>
        <w:bottom w:val="none" w:sz="0" w:space="0" w:color="auto"/>
        <w:right w:val="none" w:sz="0" w:space="0" w:color="auto"/>
      </w:divBdr>
    </w:div>
    <w:div w:id="1210802795">
      <w:bodyDiv w:val="1"/>
      <w:marLeft w:val="0"/>
      <w:marRight w:val="0"/>
      <w:marTop w:val="0"/>
      <w:marBottom w:val="0"/>
      <w:divBdr>
        <w:top w:val="none" w:sz="0" w:space="0" w:color="auto"/>
        <w:left w:val="none" w:sz="0" w:space="0" w:color="auto"/>
        <w:bottom w:val="none" w:sz="0" w:space="0" w:color="auto"/>
        <w:right w:val="none" w:sz="0" w:space="0" w:color="auto"/>
      </w:divBdr>
    </w:div>
    <w:div w:id="1225989289">
      <w:bodyDiv w:val="1"/>
      <w:marLeft w:val="0"/>
      <w:marRight w:val="0"/>
      <w:marTop w:val="0"/>
      <w:marBottom w:val="0"/>
      <w:divBdr>
        <w:top w:val="none" w:sz="0" w:space="0" w:color="auto"/>
        <w:left w:val="none" w:sz="0" w:space="0" w:color="auto"/>
        <w:bottom w:val="none" w:sz="0" w:space="0" w:color="auto"/>
        <w:right w:val="none" w:sz="0" w:space="0" w:color="auto"/>
      </w:divBdr>
    </w:div>
    <w:div w:id="1239747469">
      <w:bodyDiv w:val="1"/>
      <w:marLeft w:val="0"/>
      <w:marRight w:val="0"/>
      <w:marTop w:val="0"/>
      <w:marBottom w:val="0"/>
      <w:divBdr>
        <w:top w:val="none" w:sz="0" w:space="0" w:color="auto"/>
        <w:left w:val="none" w:sz="0" w:space="0" w:color="auto"/>
        <w:bottom w:val="none" w:sz="0" w:space="0" w:color="auto"/>
        <w:right w:val="none" w:sz="0" w:space="0" w:color="auto"/>
      </w:divBdr>
    </w:div>
    <w:div w:id="1287657427">
      <w:bodyDiv w:val="1"/>
      <w:marLeft w:val="0"/>
      <w:marRight w:val="0"/>
      <w:marTop w:val="0"/>
      <w:marBottom w:val="0"/>
      <w:divBdr>
        <w:top w:val="none" w:sz="0" w:space="0" w:color="auto"/>
        <w:left w:val="none" w:sz="0" w:space="0" w:color="auto"/>
        <w:bottom w:val="none" w:sz="0" w:space="0" w:color="auto"/>
        <w:right w:val="none" w:sz="0" w:space="0" w:color="auto"/>
      </w:divBdr>
    </w:div>
    <w:div w:id="1288970906">
      <w:bodyDiv w:val="1"/>
      <w:marLeft w:val="0"/>
      <w:marRight w:val="0"/>
      <w:marTop w:val="0"/>
      <w:marBottom w:val="0"/>
      <w:divBdr>
        <w:top w:val="none" w:sz="0" w:space="0" w:color="auto"/>
        <w:left w:val="none" w:sz="0" w:space="0" w:color="auto"/>
        <w:bottom w:val="none" w:sz="0" w:space="0" w:color="auto"/>
        <w:right w:val="none" w:sz="0" w:space="0" w:color="auto"/>
      </w:divBdr>
    </w:div>
    <w:div w:id="1310940987">
      <w:bodyDiv w:val="1"/>
      <w:marLeft w:val="0"/>
      <w:marRight w:val="0"/>
      <w:marTop w:val="0"/>
      <w:marBottom w:val="0"/>
      <w:divBdr>
        <w:top w:val="none" w:sz="0" w:space="0" w:color="auto"/>
        <w:left w:val="none" w:sz="0" w:space="0" w:color="auto"/>
        <w:bottom w:val="none" w:sz="0" w:space="0" w:color="auto"/>
        <w:right w:val="none" w:sz="0" w:space="0" w:color="auto"/>
      </w:divBdr>
    </w:div>
    <w:div w:id="1314262928">
      <w:bodyDiv w:val="1"/>
      <w:marLeft w:val="0"/>
      <w:marRight w:val="0"/>
      <w:marTop w:val="0"/>
      <w:marBottom w:val="0"/>
      <w:divBdr>
        <w:top w:val="none" w:sz="0" w:space="0" w:color="auto"/>
        <w:left w:val="none" w:sz="0" w:space="0" w:color="auto"/>
        <w:bottom w:val="none" w:sz="0" w:space="0" w:color="auto"/>
        <w:right w:val="none" w:sz="0" w:space="0" w:color="auto"/>
      </w:divBdr>
    </w:div>
    <w:div w:id="1349866526">
      <w:bodyDiv w:val="1"/>
      <w:marLeft w:val="0"/>
      <w:marRight w:val="0"/>
      <w:marTop w:val="0"/>
      <w:marBottom w:val="0"/>
      <w:divBdr>
        <w:top w:val="none" w:sz="0" w:space="0" w:color="auto"/>
        <w:left w:val="none" w:sz="0" w:space="0" w:color="auto"/>
        <w:bottom w:val="none" w:sz="0" w:space="0" w:color="auto"/>
        <w:right w:val="none" w:sz="0" w:space="0" w:color="auto"/>
      </w:divBdr>
    </w:div>
    <w:div w:id="1375153927">
      <w:bodyDiv w:val="1"/>
      <w:marLeft w:val="0"/>
      <w:marRight w:val="0"/>
      <w:marTop w:val="0"/>
      <w:marBottom w:val="0"/>
      <w:divBdr>
        <w:top w:val="none" w:sz="0" w:space="0" w:color="auto"/>
        <w:left w:val="none" w:sz="0" w:space="0" w:color="auto"/>
        <w:bottom w:val="none" w:sz="0" w:space="0" w:color="auto"/>
        <w:right w:val="none" w:sz="0" w:space="0" w:color="auto"/>
      </w:divBdr>
    </w:div>
    <w:div w:id="1375231504">
      <w:bodyDiv w:val="1"/>
      <w:marLeft w:val="0"/>
      <w:marRight w:val="0"/>
      <w:marTop w:val="0"/>
      <w:marBottom w:val="0"/>
      <w:divBdr>
        <w:top w:val="none" w:sz="0" w:space="0" w:color="auto"/>
        <w:left w:val="none" w:sz="0" w:space="0" w:color="auto"/>
        <w:bottom w:val="none" w:sz="0" w:space="0" w:color="auto"/>
        <w:right w:val="none" w:sz="0" w:space="0" w:color="auto"/>
      </w:divBdr>
    </w:div>
    <w:div w:id="1388608343">
      <w:bodyDiv w:val="1"/>
      <w:marLeft w:val="0"/>
      <w:marRight w:val="0"/>
      <w:marTop w:val="0"/>
      <w:marBottom w:val="0"/>
      <w:divBdr>
        <w:top w:val="none" w:sz="0" w:space="0" w:color="auto"/>
        <w:left w:val="none" w:sz="0" w:space="0" w:color="auto"/>
        <w:bottom w:val="none" w:sz="0" w:space="0" w:color="auto"/>
        <w:right w:val="none" w:sz="0" w:space="0" w:color="auto"/>
      </w:divBdr>
    </w:div>
    <w:div w:id="1391423982">
      <w:bodyDiv w:val="1"/>
      <w:marLeft w:val="0"/>
      <w:marRight w:val="0"/>
      <w:marTop w:val="0"/>
      <w:marBottom w:val="0"/>
      <w:divBdr>
        <w:top w:val="none" w:sz="0" w:space="0" w:color="auto"/>
        <w:left w:val="none" w:sz="0" w:space="0" w:color="auto"/>
        <w:bottom w:val="none" w:sz="0" w:space="0" w:color="auto"/>
        <w:right w:val="none" w:sz="0" w:space="0" w:color="auto"/>
      </w:divBdr>
    </w:div>
    <w:div w:id="1546986038">
      <w:bodyDiv w:val="1"/>
      <w:marLeft w:val="0"/>
      <w:marRight w:val="0"/>
      <w:marTop w:val="0"/>
      <w:marBottom w:val="0"/>
      <w:divBdr>
        <w:top w:val="none" w:sz="0" w:space="0" w:color="auto"/>
        <w:left w:val="none" w:sz="0" w:space="0" w:color="auto"/>
        <w:bottom w:val="none" w:sz="0" w:space="0" w:color="auto"/>
        <w:right w:val="none" w:sz="0" w:space="0" w:color="auto"/>
      </w:divBdr>
    </w:div>
    <w:div w:id="1583293000">
      <w:bodyDiv w:val="1"/>
      <w:marLeft w:val="0"/>
      <w:marRight w:val="0"/>
      <w:marTop w:val="0"/>
      <w:marBottom w:val="0"/>
      <w:divBdr>
        <w:top w:val="none" w:sz="0" w:space="0" w:color="auto"/>
        <w:left w:val="none" w:sz="0" w:space="0" w:color="auto"/>
        <w:bottom w:val="none" w:sz="0" w:space="0" w:color="auto"/>
        <w:right w:val="none" w:sz="0" w:space="0" w:color="auto"/>
      </w:divBdr>
    </w:div>
    <w:div w:id="1591423657">
      <w:bodyDiv w:val="1"/>
      <w:marLeft w:val="0"/>
      <w:marRight w:val="0"/>
      <w:marTop w:val="0"/>
      <w:marBottom w:val="0"/>
      <w:divBdr>
        <w:top w:val="none" w:sz="0" w:space="0" w:color="auto"/>
        <w:left w:val="none" w:sz="0" w:space="0" w:color="auto"/>
        <w:bottom w:val="none" w:sz="0" w:space="0" w:color="auto"/>
        <w:right w:val="none" w:sz="0" w:space="0" w:color="auto"/>
      </w:divBdr>
    </w:div>
    <w:div w:id="1809398941">
      <w:bodyDiv w:val="1"/>
      <w:marLeft w:val="0"/>
      <w:marRight w:val="0"/>
      <w:marTop w:val="0"/>
      <w:marBottom w:val="0"/>
      <w:divBdr>
        <w:top w:val="none" w:sz="0" w:space="0" w:color="auto"/>
        <w:left w:val="none" w:sz="0" w:space="0" w:color="auto"/>
        <w:bottom w:val="none" w:sz="0" w:space="0" w:color="auto"/>
        <w:right w:val="none" w:sz="0" w:space="0" w:color="auto"/>
      </w:divBdr>
    </w:div>
    <w:div w:id="1854176500">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2020109731">
      <w:bodyDiv w:val="1"/>
      <w:marLeft w:val="0"/>
      <w:marRight w:val="0"/>
      <w:marTop w:val="0"/>
      <w:marBottom w:val="0"/>
      <w:divBdr>
        <w:top w:val="none" w:sz="0" w:space="0" w:color="auto"/>
        <w:left w:val="none" w:sz="0" w:space="0" w:color="auto"/>
        <w:bottom w:val="none" w:sz="0" w:space="0" w:color="auto"/>
        <w:right w:val="none" w:sz="0" w:space="0" w:color="auto"/>
      </w:divBdr>
    </w:div>
    <w:div w:id="2068915149">
      <w:bodyDiv w:val="1"/>
      <w:marLeft w:val="0"/>
      <w:marRight w:val="0"/>
      <w:marTop w:val="0"/>
      <w:marBottom w:val="0"/>
      <w:divBdr>
        <w:top w:val="none" w:sz="0" w:space="0" w:color="auto"/>
        <w:left w:val="none" w:sz="0" w:space="0" w:color="auto"/>
        <w:bottom w:val="none" w:sz="0" w:space="0" w:color="auto"/>
        <w:right w:val="none" w:sz="0" w:space="0" w:color="auto"/>
      </w:divBdr>
    </w:div>
    <w:div w:id="212160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srn.com/abstract=15624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D5F45-2A2E-493B-8EA4-505D1E3413CB}">
  <ds:schemaRefs>
    <ds:schemaRef ds:uri="http://schemas.openxmlformats.org/officeDocument/2006/bibliography"/>
  </ds:schemaRefs>
</ds:datastoreItem>
</file>

<file path=customXml/itemProps2.xml><?xml version="1.0" encoding="utf-8"?>
<ds:datastoreItem xmlns:ds="http://schemas.openxmlformats.org/officeDocument/2006/customXml" ds:itemID="{1705E9D7-D7F2-4FC9-AE76-4CD4E28FA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12984</Words>
  <Characters>74009</Characters>
  <Application>Microsoft Office Word</Application>
  <DocSecurity>4</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86820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JohnTurner</dc:creator>
  <cp:lastModifiedBy>Nadia Vanteeva</cp:lastModifiedBy>
  <cp:revision>2</cp:revision>
  <cp:lastPrinted>2015-09-14T12:05:00Z</cp:lastPrinted>
  <dcterms:created xsi:type="dcterms:W3CDTF">2015-09-28T15:35:00Z</dcterms:created>
  <dcterms:modified xsi:type="dcterms:W3CDTF">2015-09-28T15:35:00Z</dcterms:modified>
</cp:coreProperties>
</file>