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813BF" w14:textId="123603B1" w:rsidR="001F0FB1" w:rsidRDefault="001F0FB1" w:rsidP="001F0FB1">
      <w:pPr>
        <w:rPr>
          <w:b/>
          <w:sz w:val="28"/>
          <w:szCs w:val="28"/>
          <w:lang w:val="en-US"/>
        </w:rPr>
      </w:pPr>
      <w:r w:rsidRPr="00BD334E">
        <w:rPr>
          <w:b/>
          <w:lang w:val="en-US"/>
        </w:rPr>
        <w:t xml:space="preserve">Measuring the Intellectual Capital of Italian listed companies </w:t>
      </w:r>
      <w:r w:rsidRPr="00BD334E" w:rsidDel="002D3AFE">
        <w:rPr>
          <w:b/>
          <w:sz w:val="28"/>
          <w:szCs w:val="28"/>
          <w:lang w:val="en-US"/>
        </w:rPr>
        <w:t xml:space="preserve"> </w:t>
      </w:r>
    </w:p>
    <w:p w14:paraId="011A4FD2" w14:textId="77777777" w:rsidR="001F0FB1" w:rsidRPr="009D26DD" w:rsidRDefault="001F0FB1" w:rsidP="001F0FB1">
      <w:pPr>
        <w:rPr>
          <w:b/>
          <w:sz w:val="20"/>
          <w:szCs w:val="20"/>
        </w:rPr>
      </w:pPr>
      <w:r w:rsidRPr="009D26DD">
        <w:rPr>
          <w:b/>
          <w:sz w:val="20"/>
          <w:szCs w:val="20"/>
        </w:rPr>
        <w:t>WILLIAM FORTE</w:t>
      </w:r>
      <w:r w:rsidRPr="009D26DD">
        <w:rPr>
          <w:b/>
          <w:sz w:val="20"/>
          <w:szCs w:val="20"/>
          <w:vertAlign w:val="superscript"/>
          <w:lang w:val="en-US"/>
        </w:rPr>
        <w:footnoteReference w:id="1"/>
      </w:r>
      <w:r w:rsidRPr="009D26DD">
        <w:rPr>
          <w:b/>
          <w:sz w:val="20"/>
          <w:szCs w:val="20"/>
        </w:rPr>
        <w:t>, JON TUCKER</w:t>
      </w:r>
      <w:r w:rsidRPr="009D26DD">
        <w:rPr>
          <w:b/>
          <w:sz w:val="20"/>
          <w:szCs w:val="20"/>
          <w:vertAlign w:val="superscript"/>
        </w:rPr>
        <w:footnoteReference w:id="2"/>
      </w:r>
      <w:r w:rsidRPr="009D26DD">
        <w:rPr>
          <w:b/>
          <w:sz w:val="20"/>
          <w:szCs w:val="20"/>
        </w:rPr>
        <w:t>, GAETANO MATONTI</w:t>
      </w:r>
      <w:r w:rsidRPr="009D26DD">
        <w:rPr>
          <w:b/>
          <w:sz w:val="20"/>
          <w:szCs w:val="20"/>
          <w:vertAlign w:val="superscript"/>
          <w:lang w:val="en-US"/>
        </w:rPr>
        <w:footnoteReference w:id="3"/>
      </w:r>
      <w:r w:rsidRPr="009D26DD">
        <w:rPr>
          <w:b/>
          <w:sz w:val="20"/>
          <w:szCs w:val="20"/>
        </w:rPr>
        <w:t>, GIUSEPPE NICOLÒ</w:t>
      </w:r>
      <w:r w:rsidRPr="009D26DD">
        <w:rPr>
          <w:b/>
          <w:sz w:val="20"/>
          <w:szCs w:val="20"/>
          <w:vertAlign w:val="superscript"/>
          <w:lang w:val="en-US"/>
        </w:rPr>
        <w:footnoteReference w:id="4"/>
      </w:r>
    </w:p>
    <w:p w14:paraId="6974DF10" w14:textId="77777777" w:rsidR="001F0FB1" w:rsidRPr="00DC3171" w:rsidRDefault="001F0FB1" w:rsidP="001F0FB1">
      <w:pPr>
        <w:rPr>
          <w:b/>
          <w:sz w:val="24"/>
          <w:szCs w:val="24"/>
          <w:lang w:val="en-US"/>
        </w:rPr>
      </w:pPr>
      <w:r w:rsidRPr="00DC3171">
        <w:rPr>
          <w:b/>
          <w:sz w:val="24"/>
          <w:szCs w:val="24"/>
          <w:lang w:val="en-US"/>
        </w:rPr>
        <w:t>ABSTRACT</w:t>
      </w:r>
    </w:p>
    <w:p w14:paraId="439E565C" w14:textId="77777777" w:rsidR="001F0FB1" w:rsidRPr="00EA4B66" w:rsidRDefault="001F0FB1" w:rsidP="001F0FB1">
      <w:pPr>
        <w:spacing w:after="0" w:line="256" w:lineRule="auto"/>
        <w:jc w:val="both"/>
        <w:rPr>
          <w:color w:val="000000" w:themeColor="text1"/>
          <w:sz w:val="24"/>
          <w:szCs w:val="24"/>
          <w:lang w:val="en-US"/>
        </w:rPr>
      </w:pPr>
      <w:r w:rsidRPr="00EA4B66">
        <w:rPr>
          <w:b/>
          <w:i/>
          <w:color w:val="000000" w:themeColor="text1"/>
          <w:sz w:val="24"/>
          <w:szCs w:val="24"/>
          <w:lang w:val="en-US"/>
        </w:rPr>
        <w:t xml:space="preserve">Purpose – </w:t>
      </w:r>
      <w:r>
        <w:rPr>
          <w:color w:val="000000" w:themeColor="text1"/>
          <w:sz w:val="24"/>
          <w:szCs w:val="24"/>
          <w:lang w:val="en-US"/>
        </w:rPr>
        <w:t>T</w:t>
      </w:r>
      <w:r w:rsidRPr="00EA4B66">
        <w:rPr>
          <w:color w:val="000000" w:themeColor="text1"/>
          <w:sz w:val="24"/>
          <w:szCs w:val="24"/>
          <w:lang w:val="en-US"/>
        </w:rPr>
        <w:t>his paper investigate</w:t>
      </w:r>
      <w:r>
        <w:rPr>
          <w:color w:val="000000" w:themeColor="text1"/>
          <w:sz w:val="24"/>
          <w:szCs w:val="24"/>
          <w:lang w:val="en-US"/>
        </w:rPr>
        <w:t>s</w:t>
      </w:r>
      <w:r w:rsidRPr="00EA4B66">
        <w:rPr>
          <w:color w:val="000000" w:themeColor="text1"/>
          <w:sz w:val="24"/>
          <w:szCs w:val="24"/>
          <w:lang w:val="en-US"/>
        </w:rPr>
        <w:t xml:space="preserve"> the relationship between Intellectual Capital (IC), measured in terms of the Market to Book (MTB) ratio, and potential key determinants of IC value such as intangible assets</w:t>
      </w:r>
      <w:r>
        <w:rPr>
          <w:color w:val="000000" w:themeColor="text1"/>
          <w:sz w:val="24"/>
          <w:szCs w:val="24"/>
          <w:lang w:val="en-US"/>
        </w:rPr>
        <w:t xml:space="preserve"> (IA)</w:t>
      </w:r>
      <w:r w:rsidRPr="00EA4B66">
        <w:rPr>
          <w:color w:val="000000" w:themeColor="text1"/>
          <w:sz w:val="24"/>
          <w:szCs w:val="24"/>
          <w:lang w:val="en-US"/>
        </w:rPr>
        <w:t xml:space="preserve"> and a range of other factors. </w:t>
      </w:r>
    </w:p>
    <w:p w14:paraId="2C63DBCB" w14:textId="77777777" w:rsidR="001F0FB1" w:rsidRPr="00EA4B66" w:rsidRDefault="001F0FB1" w:rsidP="001F0FB1">
      <w:pPr>
        <w:spacing w:after="0"/>
        <w:jc w:val="both"/>
        <w:rPr>
          <w:color w:val="000000" w:themeColor="text1"/>
          <w:sz w:val="24"/>
          <w:szCs w:val="24"/>
          <w:lang w:val="en-US"/>
        </w:rPr>
      </w:pPr>
      <w:r w:rsidRPr="00EA4B66">
        <w:rPr>
          <w:b/>
          <w:i/>
          <w:color w:val="000000" w:themeColor="text1"/>
          <w:sz w:val="24"/>
          <w:szCs w:val="24"/>
          <w:lang w:val="en-US"/>
        </w:rPr>
        <w:t xml:space="preserve">Design/methodology/approach – </w:t>
      </w:r>
      <w:r w:rsidRPr="00EA4B66">
        <w:rPr>
          <w:color w:val="000000" w:themeColor="text1"/>
          <w:sz w:val="24"/>
          <w:szCs w:val="24"/>
          <w:lang w:val="en-US"/>
        </w:rPr>
        <w:t xml:space="preserve">The study is conducted for a sample of 140 Italian </w:t>
      </w:r>
      <w:r>
        <w:rPr>
          <w:color w:val="000000" w:themeColor="text1"/>
          <w:sz w:val="24"/>
          <w:szCs w:val="24"/>
          <w:lang w:val="en-US"/>
        </w:rPr>
        <w:t>corporations</w:t>
      </w:r>
      <w:r w:rsidRPr="00EA4B66">
        <w:rPr>
          <w:color w:val="000000" w:themeColor="text1"/>
          <w:sz w:val="24"/>
          <w:szCs w:val="24"/>
          <w:lang w:val="en-US"/>
        </w:rPr>
        <w:t xml:space="preserve"> over the period 2009-2013. </w:t>
      </w:r>
      <w:r>
        <w:rPr>
          <w:color w:val="000000" w:themeColor="text1"/>
          <w:sz w:val="24"/>
          <w:szCs w:val="24"/>
          <w:lang w:val="en-US"/>
        </w:rPr>
        <w:t xml:space="preserve">Applying a </w:t>
      </w:r>
      <w:r w:rsidRPr="00EA4B66">
        <w:rPr>
          <w:color w:val="000000" w:themeColor="text1"/>
          <w:sz w:val="24"/>
          <w:szCs w:val="24"/>
          <w:lang w:val="en-US"/>
        </w:rPr>
        <w:t>holistic market-based approach</w:t>
      </w:r>
      <w:r>
        <w:rPr>
          <w:color w:val="000000" w:themeColor="text1"/>
          <w:sz w:val="24"/>
          <w:szCs w:val="24"/>
          <w:lang w:val="en-US"/>
        </w:rPr>
        <w:t>,</w:t>
      </w:r>
      <w:r w:rsidRPr="00EA4B66">
        <w:rPr>
          <w:color w:val="000000" w:themeColor="text1"/>
          <w:sz w:val="24"/>
          <w:szCs w:val="24"/>
          <w:lang w:val="en-US"/>
        </w:rPr>
        <w:t xml:space="preserve"> the relationship between IC value and selected determinants from the extant literature</w:t>
      </w:r>
      <w:r>
        <w:rPr>
          <w:color w:val="000000" w:themeColor="text1"/>
          <w:sz w:val="24"/>
          <w:szCs w:val="24"/>
          <w:lang w:val="en-US"/>
        </w:rPr>
        <w:t xml:space="preserve"> is tested</w:t>
      </w:r>
      <w:r w:rsidRPr="00EA4B66">
        <w:rPr>
          <w:color w:val="000000" w:themeColor="text1"/>
          <w:sz w:val="24"/>
          <w:szCs w:val="24"/>
          <w:lang w:val="en-US"/>
        </w:rPr>
        <w:t xml:space="preserve">. </w:t>
      </w:r>
      <w:r>
        <w:rPr>
          <w:color w:val="000000" w:themeColor="text1"/>
          <w:sz w:val="24"/>
          <w:szCs w:val="24"/>
          <w:lang w:val="en-US"/>
        </w:rPr>
        <w:t>F</w:t>
      </w:r>
      <w:r w:rsidRPr="00EA4B66">
        <w:rPr>
          <w:color w:val="000000" w:themeColor="text1"/>
          <w:sz w:val="24"/>
          <w:szCs w:val="24"/>
          <w:lang w:val="en-US"/>
        </w:rPr>
        <w:t>ive hypotheses are tested using a pooled OLS regression model, while controlling for time</w:t>
      </w:r>
      <w:r>
        <w:rPr>
          <w:color w:val="000000" w:themeColor="text1"/>
          <w:sz w:val="24"/>
          <w:szCs w:val="24"/>
          <w:lang w:val="en-US"/>
        </w:rPr>
        <w:t xml:space="preserve">. </w:t>
      </w:r>
      <w:r w:rsidRPr="00EA4B66">
        <w:rPr>
          <w:color w:val="000000" w:themeColor="text1"/>
          <w:sz w:val="24"/>
          <w:szCs w:val="24"/>
          <w:lang w:val="en-US"/>
        </w:rPr>
        <w:t xml:space="preserve">ROE is employed as a </w:t>
      </w:r>
      <w:r>
        <w:rPr>
          <w:color w:val="000000" w:themeColor="text1"/>
          <w:sz w:val="24"/>
          <w:szCs w:val="24"/>
          <w:lang w:val="en-US"/>
        </w:rPr>
        <w:t xml:space="preserve">useful </w:t>
      </w:r>
      <w:r w:rsidRPr="00EA4B66">
        <w:rPr>
          <w:color w:val="000000" w:themeColor="text1"/>
          <w:sz w:val="24"/>
          <w:szCs w:val="24"/>
          <w:lang w:val="en-US"/>
        </w:rPr>
        <w:t xml:space="preserve">firm profitability indicator from the perspective of an equity investor. Moreover, four robustness tests are undertaken. </w:t>
      </w:r>
    </w:p>
    <w:p w14:paraId="0DF3C275" w14:textId="77777777" w:rsidR="001F0FB1" w:rsidRPr="00EA4B66" w:rsidRDefault="001F0FB1" w:rsidP="001F0FB1">
      <w:pPr>
        <w:spacing w:after="0"/>
        <w:jc w:val="both"/>
        <w:rPr>
          <w:b/>
          <w:i/>
          <w:color w:val="000000" w:themeColor="text1"/>
          <w:sz w:val="24"/>
          <w:szCs w:val="24"/>
          <w:lang w:val="en-US"/>
        </w:rPr>
      </w:pPr>
      <w:r w:rsidRPr="00EA4B66">
        <w:rPr>
          <w:b/>
          <w:i/>
          <w:color w:val="000000" w:themeColor="text1"/>
          <w:sz w:val="24"/>
          <w:szCs w:val="24"/>
          <w:lang w:val="en-US"/>
        </w:rPr>
        <w:t xml:space="preserve">Findings – </w:t>
      </w:r>
      <w:r w:rsidRPr="00EA4B66">
        <w:rPr>
          <w:color w:val="000000" w:themeColor="text1"/>
          <w:sz w:val="24"/>
          <w:szCs w:val="24"/>
          <w:lang w:val="en-US"/>
        </w:rPr>
        <w:t>The</w:t>
      </w:r>
      <w:r w:rsidRPr="00EA4B66">
        <w:rPr>
          <w:b/>
          <w:i/>
          <w:color w:val="000000" w:themeColor="text1"/>
          <w:sz w:val="24"/>
          <w:szCs w:val="24"/>
          <w:lang w:val="en-US"/>
        </w:rPr>
        <w:t xml:space="preserve"> </w:t>
      </w:r>
      <w:r w:rsidRPr="00EA4B66">
        <w:rPr>
          <w:color w:val="000000" w:themeColor="text1"/>
          <w:sz w:val="24"/>
          <w:szCs w:val="24"/>
          <w:lang w:val="en-US"/>
        </w:rPr>
        <w:t>results show that</w:t>
      </w:r>
      <w:r w:rsidRPr="00EA4B66">
        <w:rPr>
          <w:color w:val="000000" w:themeColor="text1"/>
          <w:lang w:val="en-US"/>
        </w:rPr>
        <w:t xml:space="preserve"> </w:t>
      </w:r>
      <w:r>
        <w:rPr>
          <w:color w:val="000000" w:themeColor="text1"/>
          <w:sz w:val="24"/>
          <w:szCs w:val="24"/>
          <w:lang w:val="en-US"/>
        </w:rPr>
        <w:t>IA</w:t>
      </w:r>
      <w:r w:rsidRPr="00EA4B66">
        <w:rPr>
          <w:color w:val="000000" w:themeColor="text1"/>
          <w:sz w:val="24"/>
          <w:szCs w:val="24"/>
          <w:lang w:val="en-US"/>
        </w:rPr>
        <w:t>, profitability, leverage, industry type, auditor type, and family ownership positively affect IC value, whereas SIZE and AGE negatively affect IC value. Moreover, the findings of the robustness tests suggest that all firms</w:t>
      </w:r>
      <w:r>
        <w:rPr>
          <w:color w:val="000000" w:themeColor="text1"/>
          <w:sz w:val="24"/>
          <w:szCs w:val="24"/>
          <w:lang w:val="en-US"/>
        </w:rPr>
        <w:t>, and</w:t>
      </w:r>
      <w:r w:rsidRPr="00EA4B66">
        <w:rPr>
          <w:color w:val="000000" w:themeColor="text1"/>
          <w:sz w:val="24"/>
          <w:szCs w:val="24"/>
          <w:lang w:val="en-US"/>
        </w:rPr>
        <w:t xml:space="preserve"> not </w:t>
      </w:r>
      <w:r>
        <w:rPr>
          <w:color w:val="000000" w:themeColor="text1"/>
          <w:sz w:val="24"/>
          <w:szCs w:val="24"/>
          <w:lang w:val="en-US"/>
        </w:rPr>
        <w:t xml:space="preserve">just </w:t>
      </w:r>
      <w:r w:rsidRPr="00EA4B66">
        <w:rPr>
          <w:color w:val="000000" w:themeColor="text1"/>
          <w:sz w:val="24"/>
          <w:szCs w:val="24"/>
          <w:lang w:val="en-US"/>
        </w:rPr>
        <w:t xml:space="preserve">KIBS industry firms, manage knowledge. </w:t>
      </w:r>
    </w:p>
    <w:p w14:paraId="5B77AF76" w14:textId="77777777" w:rsidR="001F0FB1" w:rsidRPr="00EA4B66" w:rsidRDefault="001F0FB1" w:rsidP="001F0FB1">
      <w:pPr>
        <w:spacing w:after="0"/>
        <w:jc w:val="both"/>
        <w:rPr>
          <w:color w:val="000000" w:themeColor="text1"/>
          <w:sz w:val="24"/>
          <w:szCs w:val="24"/>
          <w:lang w:val="en-US"/>
        </w:rPr>
      </w:pPr>
      <w:r w:rsidRPr="00EA4B66">
        <w:rPr>
          <w:b/>
          <w:i/>
          <w:color w:val="000000" w:themeColor="text1"/>
          <w:sz w:val="24"/>
          <w:szCs w:val="24"/>
          <w:lang w:val="en-US"/>
        </w:rPr>
        <w:t xml:space="preserve">Research limitations/implications - </w:t>
      </w:r>
      <w:r w:rsidRPr="00EA4B66">
        <w:rPr>
          <w:color w:val="000000" w:themeColor="text1"/>
          <w:sz w:val="24"/>
          <w:szCs w:val="24"/>
          <w:lang w:val="en-US"/>
        </w:rPr>
        <w:t xml:space="preserve">The validity of the findings is limited to the Italian context, as the study focuses on a sample of companies listed on the Milan Stock Exchange, all of which prepare their individual financial statements according to IFRS. Further limitations are related to the use of market value in the short term, as it is influenced by market volatility. The study may allow academic researchers to investigate the impact of other non-accounting sources of information on market value within a multidisciplinary perspective. </w:t>
      </w:r>
    </w:p>
    <w:p w14:paraId="19931B1C" w14:textId="77777777" w:rsidR="001F0FB1" w:rsidRPr="00EA4B66" w:rsidRDefault="001F0FB1" w:rsidP="001F0FB1">
      <w:pPr>
        <w:spacing w:after="0" w:line="240" w:lineRule="auto"/>
        <w:jc w:val="both"/>
        <w:rPr>
          <w:color w:val="000000" w:themeColor="text1"/>
          <w:sz w:val="24"/>
          <w:szCs w:val="24"/>
          <w:lang w:val="en-US"/>
        </w:rPr>
      </w:pPr>
      <w:r w:rsidRPr="00EA4B66">
        <w:rPr>
          <w:b/>
          <w:i/>
          <w:color w:val="000000" w:themeColor="text1"/>
          <w:sz w:val="24"/>
          <w:szCs w:val="24"/>
          <w:lang w:val="en-US"/>
        </w:rPr>
        <w:t xml:space="preserve">Practical implications - </w:t>
      </w:r>
      <w:r w:rsidRPr="00EA4B66">
        <w:rPr>
          <w:color w:val="000000" w:themeColor="text1"/>
          <w:sz w:val="24"/>
          <w:szCs w:val="24"/>
          <w:lang w:val="en-US"/>
        </w:rPr>
        <w:t>This paper also has implications for managers and practitioners. The findings suggest that managers should not take for granted that firm growth (an increase in SIZE) alone will lead to an increase in IC value, in the absence of a consistent IC-oriented investment strategy. Managers should also avoid smoothing their IC investment as the company grows, in order to maintain a stable</w:t>
      </w:r>
      <w:r>
        <w:rPr>
          <w:color w:val="000000" w:themeColor="text1"/>
          <w:sz w:val="24"/>
          <w:szCs w:val="24"/>
          <w:lang w:val="en-US"/>
        </w:rPr>
        <w:t xml:space="preserve"> MTB</w:t>
      </w:r>
      <w:r w:rsidRPr="00EA4B66">
        <w:rPr>
          <w:color w:val="000000" w:themeColor="text1"/>
          <w:sz w:val="24"/>
          <w:szCs w:val="24"/>
          <w:lang w:val="en-US"/>
        </w:rPr>
        <w:t xml:space="preserve"> ratio. Further, standard setters should seek to explore better means of disclosing non-accounting information relating to IC value. </w:t>
      </w:r>
    </w:p>
    <w:p w14:paraId="3B83C176" w14:textId="77777777" w:rsidR="001F0FB1" w:rsidRPr="00EA4B66" w:rsidRDefault="001F0FB1" w:rsidP="001F0FB1">
      <w:pPr>
        <w:spacing w:after="0"/>
        <w:jc w:val="both"/>
        <w:rPr>
          <w:b/>
          <w:i/>
          <w:color w:val="000000" w:themeColor="text1"/>
          <w:sz w:val="24"/>
          <w:szCs w:val="24"/>
          <w:lang w:val="en-US"/>
        </w:rPr>
      </w:pPr>
      <w:r w:rsidRPr="00EA4B66">
        <w:rPr>
          <w:b/>
          <w:i/>
          <w:color w:val="000000" w:themeColor="text1"/>
          <w:sz w:val="24"/>
          <w:szCs w:val="24"/>
          <w:lang w:val="en-US"/>
        </w:rPr>
        <w:t xml:space="preserve">Originality/value – </w:t>
      </w:r>
      <w:r w:rsidRPr="00EA4B66">
        <w:rPr>
          <w:color w:val="000000" w:themeColor="text1"/>
          <w:sz w:val="24"/>
          <w:szCs w:val="24"/>
          <w:lang w:val="en-US"/>
        </w:rPr>
        <w:t xml:space="preserve">This paper contributes to the IC literature as it is the first study which applies the Market Capitalization approach to analyze IC value determinants in the Italian context, within the framework of </w:t>
      </w:r>
      <w:r>
        <w:rPr>
          <w:color w:val="000000" w:themeColor="text1"/>
          <w:sz w:val="24"/>
          <w:szCs w:val="24"/>
          <w:lang w:val="en-US"/>
        </w:rPr>
        <w:t>IFRS</w:t>
      </w:r>
      <w:r w:rsidRPr="00EA4B66">
        <w:rPr>
          <w:color w:val="000000" w:themeColor="text1"/>
          <w:sz w:val="24"/>
          <w:szCs w:val="24"/>
          <w:lang w:val="en-US"/>
        </w:rPr>
        <w:t xml:space="preserve">. The findings reveal some interesting relationships between the MTB ratio and recognized intangible investments, which are found to be insignificant in previous studies, confirming that, through the holistic effect, the MTB ratio may be a good proxy for </w:t>
      </w:r>
      <w:r>
        <w:rPr>
          <w:color w:val="000000" w:themeColor="text1"/>
          <w:sz w:val="24"/>
          <w:szCs w:val="24"/>
          <w:lang w:val="en-US"/>
        </w:rPr>
        <w:t>IC</w:t>
      </w:r>
      <w:r w:rsidRPr="00EA4B66">
        <w:rPr>
          <w:color w:val="000000" w:themeColor="text1"/>
          <w:sz w:val="24"/>
          <w:szCs w:val="24"/>
          <w:lang w:val="en-US"/>
        </w:rPr>
        <w:t>.</w:t>
      </w:r>
    </w:p>
    <w:p w14:paraId="48A19FDD" w14:textId="77777777" w:rsidR="001F0FB1" w:rsidRPr="00EA4B66" w:rsidRDefault="001F0FB1" w:rsidP="001F0FB1">
      <w:pPr>
        <w:spacing w:after="0"/>
        <w:jc w:val="both"/>
        <w:rPr>
          <w:color w:val="000000" w:themeColor="text1"/>
          <w:sz w:val="24"/>
          <w:szCs w:val="24"/>
          <w:lang w:val="en-US"/>
        </w:rPr>
      </w:pPr>
    </w:p>
    <w:p w14:paraId="7B7EAC83" w14:textId="77777777" w:rsidR="001F0FB1" w:rsidRPr="00EA4B66" w:rsidRDefault="001F0FB1" w:rsidP="001F0FB1">
      <w:pPr>
        <w:spacing w:after="0"/>
        <w:jc w:val="both"/>
        <w:rPr>
          <w:color w:val="000000" w:themeColor="text1"/>
          <w:sz w:val="24"/>
          <w:szCs w:val="24"/>
          <w:lang w:val="en-US"/>
        </w:rPr>
      </w:pPr>
      <w:r w:rsidRPr="00EA4B66">
        <w:rPr>
          <w:b/>
          <w:i/>
          <w:color w:val="000000" w:themeColor="text1"/>
          <w:sz w:val="24"/>
          <w:szCs w:val="24"/>
          <w:lang w:val="en-US"/>
        </w:rPr>
        <w:t>Keywords</w:t>
      </w:r>
      <w:r w:rsidRPr="00EA4B66">
        <w:rPr>
          <w:color w:val="000000" w:themeColor="text1"/>
          <w:sz w:val="24"/>
          <w:szCs w:val="24"/>
          <w:lang w:val="en-US"/>
        </w:rPr>
        <w:t>: Intellectual Capital, Intangible Assets, Market to Book Ratio, Italy, Listed Companies.</w:t>
      </w:r>
    </w:p>
    <w:p w14:paraId="45AD0584" w14:textId="77777777" w:rsidR="001F0FB1" w:rsidRDefault="001F0FB1" w:rsidP="001F0FB1">
      <w:pPr>
        <w:spacing w:after="0"/>
        <w:jc w:val="both"/>
        <w:rPr>
          <w:sz w:val="24"/>
          <w:szCs w:val="24"/>
          <w:lang w:val="en-US"/>
        </w:rPr>
      </w:pPr>
    </w:p>
    <w:p w14:paraId="19B97066" w14:textId="77777777" w:rsidR="001F0FB1" w:rsidRDefault="001F0FB1" w:rsidP="001F0FB1">
      <w:pPr>
        <w:spacing w:after="0"/>
        <w:jc w:val="both"/>
        <w:rPr>
          <w:rFonts w:asciiTheme="minorHAnsi" w:hAnsiTheme="minorHAnsi"/>
          <w:b/>
          <w:sz w:val="24"/>
          <w:szCs w:val="24"/>
          <w:lang w:val="en-US"/>
        </w:rPr>
      </w:pPr>
      <w:r w:rsidRPr="00FE5FE7">
        <w:rPr>
          <w:b/>
          <w:i/>
          <w:sz w:val="24"/>
          <w:szCs w:val="24"/>
          <w:lang w:val="en-US"/>
        </w:rPr>
        <w:t>Paper type</w:t>
      </w:r>
      <w:r>
        <w:rPr>
          <w:b/>
          <w:i/>
          <w:sz w:val="24"/>
          <w:szCs w:val="24"/>
          <w:lang w:val="en-US"/>
        </w:rPr>
        <w:t xml:space="preserve"> – </w:t>
      </w:r>
      <w:r w:rsidRPr="00FE5FE7">
        <w:rPr>
          <w:sz w:val="24"/>
          <w:szCs w:val="24"/>
          <w:lang w:val="en-US"/>
        </w:rPr>
        <w:t>Research Paper</w:t>
      </w:r>
      <w:r>
        <w:rPr>
          <w:sz w:val="24"/>
          <w:szCs w:val="24"/>
          <w:lang w:val="en-US"/>
        </w:rPr>
        <w:t>.</w:t>
      </w:r>
      <w:r w:rsidRPr="00FE5FE7">
        <w:rPr>
          <w:sz w:val="24"/>
          <w:szCs w:val="24"/>
          <w:lang w:val="en-US"/>
        </w:rPr>
        <w:t xml:space="preserve"> </w:t>
      </w:r>
    </w:p>
    <w:p w14:paraId="3BE2F5D8" w14:textId="77777777" w:rsidR="001F0FB1" w:rsidRDefault="001F0FB1">
      <w:pPr>
        <w:spacing w:after="0" w:line="240" w:lineRule="auto"/>
        <w:rPr>
          <w:b/>
          <w:color w:val="000000" w:themeColor="text1"/>
          <w:lang w:val="en-US"/>
        </w:rPr>
      </w:pPr>
    </w:p>
    <w:p w14:paraId="7DA731FF" w14:textId="77777777" w:rsidR="001F0FB1" w:rsidRDefault="001F0FB1">
      <w:pPr>
        <w:spacing w:after="0" w:line="240" w:lineRule="auto"/>
        <w:rPr>
          <w:b/>
          <w:color w:val="000000" w:themeColor="text1"/>
          <w:lang w:val="en-US"/>
        </w:rPr>
      </w:pPr>
      <w:r>
        <w:rPr>
          <w:b/>
          <w:color w:val="000000" w:themeColor="text1"/>
          <w:lang w:val="en-US"/>
        </w:rPr>
        <w:br w:type="page"/>
      </w:r>
    </w:p>
    <w:p w14:paraId="3707A435" w14:textId="72388730" w:rsidR="002D3AFE" w:rsidRPr="00EA4B66" w:rsidRDefault="00530E85" w:rsidP="30989F24">
      <w:pPr>
        <w:rPr>
          <w:b/>
          <w:color w:val="000000" w:themeColor="text1"/>
          <w:sz w:val="28"/>
          <w:szCs w:val="28"/>
          <w:lang w:val="en-US"/>
        </w:rPr>
      </w:pPr>
      <w:r w:rsidRPr="00EA4B66">
        <w:rPr>
          <w:b/>
          <w:color w:val="000000" w:themeColor="text1"/>
          <w:lang w:val="en-US"/>
        </w:rPr>
        <w:lastRenderedPageBreak/>
        <w:t>Measuring the Intellec</w:t>
      </w:r>
      <w:r w:rsidR="00372242">
        <w:rPr>
          <w:b/>
          <w:color w:val="000000" w:themeColor="text1"/>
          <w:lang w:val="en-US"/>
        </w:rPr>
        <w:t>tual Capital of Italian Listed C</w:t>
      </w:r>
      <w:r w:rsidRPr="00EA4B66">
        <w:rPr>
          <w:b/>
          <w:color w:val="000000" w:themeColor="text1"/>
          <w:lang w:val="en-US"/>
        </w:rPr>
        <w:t xml:space="preserve">ompanies </w:t>
      </w:r>
      <w:r w:rsidR="002D3AFE" w:rsidRPr="00EA4B66" w:rsidDel="002D3AFE">
        <w:rPr>
          <w:b/>
          <w:color w:val="000000" w:themeColor="text1"/>
          <w:sz w:val="28"/>
          <w:szCs w:val="28"/>
          <w:lang w:val="en-US"/>
        </w:rPr>
        <w:t xml:space="preserve"> </w:t>
      </w:r>
    </w:p>
    <w:p w14:paraId="39A3921F" w14:textId="77777777" w:rsidR="002D3AFE" w:rsidRPr="00EA4B66" w:rsidRDefault="002D3AFE" w:rsidP="00DC3171">
      <w:pPr>
        <w:rPr>
          <w:b/>
          <w:color w:val="000000" w:themeColor="text1"/>
          <w:sz w:val="24"/>
          <w:szCs w:val="24"/>
          <w:lang w:val="en-US"/>
        </w:rPr>
      </w:pPr>
      <w:r w:rsidRPr="00EA4B66">
        <w:rPr>
          <w:b/>
          <w:color w:val="000000" w:themeColor="text1"/>
          <w:sz w:val="24"/>
          <w:szCs w:val="24"/>
          <w:lang w:val="en-US"/>
        </w:rPr>
        <w:t>ABSTRACT</w:t>
      </w:r>
    </w:p>
    <w:p w14:paraId="532975C5" w14:textId="0D634FB8" w:rsidR="00666883" w:rsidRPr="00EA4B66" w:rsidRDefault="00B64FC3" w:rsidP="00666883">
      <w:pPr>
        <w:spacing w:after="0" w:line="256" w:lineRule="auto"/>
        <w:jc w:val="both"/>
        <w:rPr>
          <w:color w:val="000000" w:themeColor="text1"/>
          <w:sz w:val="24"/>
          <w:szCs w:val="24"/>
          <w:lang w:val="en-US"/>
        </w:rPr>
      </w:pPr>
      <w:r w:rsidRPr="00EA4B66">
        <w:rPr>
          <w:b/>
          <w:i/>
          <w:color w:val="000000" w:themeColor="text1"/>
          <w:sz w:val="24"/>
          <w:szCs w:val="24"/>
          <w:lang w:val="en-US"/>
        </w:rPr>
        <w:t xml:space="preserve">Purpose </w:t>
      </w:r>
      <w:r w:rsidR="00192C5E" w:rsidRPr="00EA4B66">
        <w:rPr>
          <w:b/>
          <w:i/>
          <w:color w:val="000000" w:themeColor="text1"/>
          <w:sz w:val="24"/>
          <w:szCs w:val="24"/>
          <w:lang w:val="en-US"/>
        </w:rPr>
        <w:t>–</w:t>
      </w:r>
      <w:r w:rsidRPr="00EA4B66">
        <w:rPr>
          <w:b/>
          <w:i/>
          <w:color w:val="000000" w:themeColor="text1"/>
          <w:sz w:val="24"/>
          <w:szCs w:val="24"/>
          <w:lang w:val="en-US"/>
        </w:rPr>
        <w:t xml:space="preserve"> </w:t>
      </w:r>
      <w:r w:rsidR="00192C5E" w:rsidRPr="00EA4B66">
        <w:rPr>
          <w:color w:val="000000" w:themeColor="text1"/>
          <w:sz w:val="24"/>
          <w:szCs w:val="24"/>
          <w:lang w:val="en-US"/>
        </w:rPr>
        <w:t xml:space="preserve">The purpose of this paper is </w:t>
      </w:r>
      <w:r w:rsidR="00EA36F4" w:rsidRPr="00EA4B66">
        <w:rPr>
          <w:color w:val="000000" w:themeColor="text1"/>
          <w:sz w:val="24"/>
          <w:szCs w:val="24"/>
          <w:lang w:val="en-US"/>
        </w:rPr>
        <w:t xml:space="preserve">to </w:t>
      </w:r>
      <w:r w:rsidR="00192C5E" w:rsidRPr="00EA4B66">
        <w:rPr>
          <w:color w:val="000000" w:themeColor="text1"/>
          <w:sz w:val="24"/>
          <w:szCs w:val="24"/>
          <w:lang w:val="en-US"/>
        </w:rPr>
        <w:t>investigate</w:t>
      </w:r>
      <w:r w:rsidR="00EA36F4" w:rsidRPr="00EA4B66">
        <w:rPr>
          <w:color w:val="000000" w:themeColor="text1"/>
          <w:sz w:val="24"/>
          <w:szCs w:val="24"/>
          <w:lang w:val="en-US"/>
        </w:rPr>
        <w:t xml:space="preserve"> the relationship between </w:t>
      </w:r>
      <w:r w:rsidRPr="00EA4B66">
        <w:rPr>
          <w:color w:val="000000" w:themeColor="text1"/>
          <w:sz w:val="24"/>
          <w:szCs w:val="24"/>
          <w:lang w:val="en-US"/>
        </w:rPr>
        <w:t>Intellectual Capital (IC)</w:t>
      </w:r>
      <w:r w:rsidR="00FB768E" w:rsidRPr="00EA4B66">
        <w:rPr>
          <w:color w:val="000000" w:themeColor="text1"/>
          <w:sz w:val="24"/>
          <w:szCs w:val="24"/>
          <w:lang w:val="en-US"/>
        </w:rPr>
        <w:t>,</w:t>
      </w:r>
      <w:r w:rsidRPr="00EA4B66">
        <w:rPr>
          <w:color w:val="000000" w:themeColor="text1"/>
          <w:sz w:val="24"/>
          <w:szCs w:val="24"/>
          <w:lang w:val="en-US"/>
        </w:rPr>
        <w:t xml:space="preserve"> measured </w:t>
      </w:r>
      <w:r w:rsidR="00664D22" w:rsidRPr="00EA4B66">
        <w:rPr>
          <w:color w:val="000000" w:themeColor="text1"/>
          <w:sz w:val="24"/>
          <w:szCs w:val="24"/>
          <w:lang w:val="en-US"/>
        </w:rPr>
        <w:t xml:space="preserve">in terms of </w:t>
      </w:r>
      <w:r w:rsidRPr="00EA4B66">
        <w:rPr>
          <w:color w:val="000000" w:themeColor="text1"/>
          <w:sz w:val="24"/>
          <w:szCs w:val="24"/>
          <w:lang w:val="en-US"/>
        </w:rPr>
        <w:t>the</w:t>
      </w:r>
      <w:r w:rsidR="00EA36F4" w:rsidRPr="00EA4B66">
        <w:rPr>
          <w:color w:val="000000" w:themeColor="text1"/>
          <w:sz w:val="24"/>
          <w:szCs w:val="24"/>
          <w:lang w:val="en-US"/>
        </w:rPr>
        <w:t xml:space="preserve"> Market to Book </w:t>
      </w:r>
      <w:r w:rsidR="00B011C1" w:rsidRPr="00EA4B66">
        <w:rPr>
          <w:color w:val="000000" w:themeColor="text1"/>
          <w:sz w:val="24"/>
          <w:szCs w:val="24"/>
          <w:lang w:val="en-US"/>
        </w:rPr>
        <w:t>(MTB) r</w:t>
      </w:r>
      <w:r w:rsidR="00EA36F4" w:rsidRPr="00EA4B66">
        <w:rPr>
          <w:color w:val="000000" w:themeColor="text1"/>
          <w:sz w:val="24"/>
          <w:szCs w:val="24"/>
          <w:lang w:val="en-US"/>
        </w:rPr>
        <w:t>atio</w:t>
      </w:r>
      <w:r w:rsidR="00FB768E" w:rsidRPr="00EA4B66">
        <w:rPr>
          <w:color w:val="000000" w:themeColor="text1"/>
          <w:sz w:val="24"/>
          <w:szCs w:val="24"/>
          <w:lang w:val="en-US"/>
        </w:rPr>
        <w:t>,</w:t>
      </w:r>
      <w:r w:rsidRPr="00EA4B66">
        <w:rPr>
          <w:color w:val="000000" w:themeColor="text1"/>
          <w:sz w:val="24"/>
          <w:szCs w:val="24"/>
          <w:lang w:val="en-US"/>
        </w:rPr>
        <w:t xml:space="preserve"> </w:t>
      </w:r>
      <w:r w:rsidR="00EA36F4" w:rsidRPr="00EA4B66">
        <w:rPr>
          <w:color w:val="000000" w:themeColor="text1"/>
          <w:sz w:val="24"/>
          <w:szCs w:val="24"/>
          <w:lang w:val="en-US"/>
        </w:rPr>
        <w:t xml:space="preserve">and potential </w:t>
      </w:r>
      <w:r w:rsidR="00617567" w:rsidRPr="00EA4B66">
        <w:rPr>
          <w:color w:val="000000" w:themeColor="text1"/>
          <w:sz w:val="24"/>
          <w:szCs w:val="24"/>
          <w:lang w:val="en-US"/>
        </w:rPr>
        <w:t xml:space="preserve">key </w:t>
      </w:r>
      <w:r w:rsidR="00EA36F4" w:rsidRPr="00EA4B66">
        <w:rPr>
          <w:color w:val="000000" w:themeColor="text1"/>
          <w:sz w:val="24"/>
          <w:szCs w:val="24"/>
          <w:lang w:val="en-US"/>
        </w:rPr>
        <w:t>determinants</w:t>
      </w:r>
      <w:r w:rsidR="00FB768E" w:rsidRPr="00EA4B66">
        <w:rPr>
          <w:color w:val="000000" w:themeColor="text1"/>
          <w:sz w:val="24"/>
          <w:szCs w:val="24"/>
          <w:lang w:val="en-US"/>
        </w:rPr>
        <w:t xml:space="preserve"> of IC value</w:t>
      </w:r>
      <w:r w:rsidR="00EA36F4" w:rsidRPr="00EA4B66">
        <w:rPr>
          <w:color w:val="000000" w:themeColor="text1"/>
          <w:sz w:val="24"/>
          <w:szCs w:val="24"/>
          <w:lang w:val="en-US"/>
        </w:rPr>
        <w:t xml:space="preserve"> such as intangible assets</w:t>
      </w:r>
      <w:r w:rsidR="006A53E6">
        <w:rPr>
          <w:color w:val="000000" w:themeColor="text1"/>
          <w:sz w:val="24"/>
          <w:szCs w:val="24"/>
          <w:lang w:val="en-US"/>
        </w:rPr>
        <w:t xml:space="preserve"> (IA)</w:t>
      </w:r>
      <w:r w:rsidR="00EA36F4" w:rsidRPr="00EA4B66">
        <w:rPr>
          <w:color w:val="000000" w:themeColor="text1"/>
          <w:sz w:val="24"/>
          <w:szCs w:val="24"/>
          <w:lang w:val="en-US"/>
        </w:rPr>
        <w:t xml:space="preserve"> and a range of other factors</w:t>
      </w:r>
      <w:r w:rsidRPr="00EA4B66">
        <w:rPr>
          <w:color w:val="000000" w:themeColor="text1"/>
          <w:sz w:val="24"/>
          <w:szCs w:val="24"/>
          <w:lang w:val="en-US"/>
        </w:rPr>
        <w:t>.</w:t>
      </w:r>
      <w:r w:rsidR="00A5135F" w:rsidRPr="00EA4B66">
        <w:rPr>
          <w:color w:val="000000" w:themeColor="text1"/>
          <w:sz w:val="24"/>
          <w:szCs w:val="24"/>
          <w:lang w:val="en-US"/>
        </w:rPr>
        <w:t xml:space="preserve"> </w:t>
      </w:r>
    </w:p>
    <w:p w14:paraId="50737D5B" w14:textId="5D750003" w:rsidR="00D3002E" w:rsidRPr="00EA4B66" w:rsidRDefault="00B64FC3" w:rsidP="00D3002E">
      <w:pPr>
        <w:spacing w:after="0"/>
        <w:jc w:val="both"/>
        <w:rPr>
          <w:color w:val="000000" w:themeColor="text1"/>
          <w:sz w:val="24"/>
          <w:szCs w:val="24"/>
          <w:lang w:val="en-US"/>
        </w:rPr>
      </w:pPr>
      <w:r w:rsidRPr="00EA4B66">
        <w:rPr>
          <w:b/>
          <w:i/>
          <w:color w:val="000000" w:themeColor="text1"/>
          <w:sz w:val="24"/>
          <w:szCs w:val="24"/>
          <w:lang w:val="en-US"/>
        </w:rPr>
        <w:t xml:space="preserve">Design/methodology/approach </w:t>
      </w:r>
      <w:r w:rsidR="00BA2A2A" w:rsidRPr="00EA4B66">
        <w:rPr>
          <w:b/>
          <w:i/>
          <w:color w:val="000000" w:themeColor="text1"/>
          <w:sz w:val="24"/>
          <w:szCs w:val="24"/>
          <w:lang w:val="en-US"/>
        </w:rPr>
        <w:t>–</w:t>
      </w:r>
      <w:r w:rsidRPr="00EA4B66">
        <w:rPr>
          <w:b/>
          <w:i/>
          <w:color w:val="000000" w:themeColor="text1"/>
          <w:sz w:val="24"/>
          <w:szCs w:val="24"/>
          <w:lang w:val="en-US"/>
        </w:rPr>
        <w:t xml:space="preserve"> </w:t>
      </w:r>
      <w:r w:rsidR="00FB0039" w:rsidRPr="00EA4B66">
        <w:rPr>
          <w:color w:val="000000" w:themeColor="text1"/>
          <w:sz w:val="24"/>
          <w:szCs w:val="24"/>
          <w:lang w:val="en-US"/>
        </w:rPr>
        <w:t xml:space="preserve">The </w:t>
      </w:r>
      <w:r w:rsidRPr="00EA4B66">
        <w:rPr>
          <w:color w:val="000000" w:themeColor="text1"/>
          <w:sz w:val="24"/>
          <w:szCs w:val="24"/>
          <w:lang w:val="en-US"/>
        </w:rPr>
        <w:t xml:space="preserve">study </w:t>
      </w:r>
      <w:r w:rsidR="00FB768E" w:rsidRPr="00EA4B66">
        <w:rPr>
          <w:color w:val="000000" w:themeColor="text1"/>
          <w:sz w:val="24"/>
          <w:szCs w:val="24"/>
          <w:lang w:val="en-US"/>
        </w:rPr>
        <w:t xml:space="preserve">is </w:t>
      </w:r>
      <w:r w:rsidRPr="00EA4B66">
        <w:rPr>
          <w:color w:val="000000" w:themeColor="text1"/>
          <w:sz w:val="24"/>
          <w:szCs w:val="24"/>
          <w:lang w:val="en-US"/>
        </w:rPr>
        <w:t xml:space="preserve">conducted </w:t>
      </w:r>
      <w:r w:rsidR="00FB768E" w:rsidRPr="00EA4B66">
        <w:rPr>
          <w:color w:val="000000" w:themeColor="text1"/>
          <w:sz w:val="24"/>
          <w:szCs w:val="24"/>
          <w:lang w:val="en-US"/>
        </w:rPr>
        <w:t xml:space="preserve">for </w:t>
      </w:r>
      <w:r w:rsidRPr="00EA4B66">
        <w:rPr>
          <w:color w:val="000000" w:themeColor="text1"/>
          <w:sz w:val="24"/>
          <w:szCs w:val="24"/>
          <w:lang w:val="en-US"/>
        </w:rPr>
        <w:t xml:space="preserve">a sample of </w:t>
      </w:r>
      <w:r w:rsidR="00780D8C" w:rsidRPr="00EA4B66">
        <w:rPr>
          <w:color w:val="000000" w:themeColor="text1"/>
          <w:sz w:val="24"/>
          <w:szCs w:val="24"/>
          <w:lang w:val="en-US"/>
        </w:rPr>
        <w:t xml:space="preserve">140 </w:t>
      </w:r>
      <w:r w:rsidRPr="00EA4B66">
        <w:rPr>
          <w:color w:val="000000" w:themeColor="text1"/>
          <w:sz w:val="24"/>
          <w:szCs w:val="24"/>
          <w:lang w:val="en-US"/>
        </w:rPr>
        <w:t xml:space="preserve">Italian </w:t>
      </w:r>
      <w:r w:rsidR="00052233">
        <w:rPr>
          <w:color w:val="000000" w:themeColor="text1"/>
          <w:sz w:val="24"/>
          <w:szCs w:val="24"/>
          <w:lang w:val="en-US"/>
        </w:rPr>
        <w:t>corporations</w:t>
      </w:r>
      <w:r w:rsidRPr="00EA4B66">
        <w:rPr>
          <w:color w:val="000000" w:themeColor="text1"/>
          <w:sz w:val="24"/>
          <w:szCs w:val="24"/>
          <w:lang w:val="en-US"/>
        </w:rPr>
        <w:t xml:space="preserve"> </w:t>
      </w:r>
      <w:r w:rsidR="00FB768E" w:rsidRPr="00EA4B66">
        <w:rPr>
          <w:color w:val="000000" w:themeColor="text1"/>
          <w:sz w:val="24"/>
          <w:szCs w:val="24"/>
          <w:lang w:val="en-US"/>
        </w:rPr>
        <w:t xml:space="preserve">over the period </w:t>
      </w:r>
      <w:r w:rsidRPr="00EA4B66">
        <w:rPr>
          <w:color w:val="000000" w:themeColor="text1"/>
          <w:sz w:val="24"/>
          <w:szCs w:val="24"/>
          <w:lang w:val="en-US"/>
        </w:rPr>
        <w:t xml:space="preserve">2009-2013. </w:t>
      </w:r>
      <w:r w:rsidR="00381FD3">
        <w:rPr>
          <w:color w:val="000000" w:themeColor="text1"/>
          <w:sz w:val="24"/>
          <w:szCs w:val="24"/>
          <w:lang w:val="en-US"/>
        </w:rPr>
        <w:t xml:space="preserve">Applying a </w:t>
      </w:r>
      <w:r w:rsidR="001515F3" w:rsidRPr="00EA4B66">
        <w:rPr>
          <w:color w:val="000000" w:themeColor="text1"/>
          <w:sz w:val="24"/>
          <w:szCs w:val="24"/>
          <w:lang w:val="en-US"/>
        </w:rPr>
        <w:t>holistic market-based approach</w:t>
      </w:r>
      <w:r w:rsidR="00617567">
        <w:rPr>
          <w:color w:val="000000" w:themeColor="text1"/>
          <w:sz w:val="24"/>
          <w:szCs w:val="24"/>
          <w:lang w:val="en-US"/>
        </w:rPr>
        <w:t>,</w:t>
      </w:r>
      <w:r w:rsidR="001515F3" w:rsidRPr="00EA4B66">
        <w:rPr>
          <w:color w:val="000000" w:themeColor="text1"/>
          <w:sz w:val="24"/>
          <w:szCs w:val="24"/>
          <w:lang w:val="en-US"/>
        </w:rPr>
        <w:t xml:space="preserve"> </w:t>
      </w:r>
      <w:r w:rsidR="00FB768E" w:rsidRPr="00EA4B66">
        <w:rPr>
          <w:color w:val="000000" w:themeColor="text1"/>
          <w:sz w:val="24"/>
          <w:szCs w:val="24"/>
          <w:lang w:val="en-US"/>
        </w:rPr>
        <w:t xml:space="preserve">the relationship between IC value and </w:t>
      </w:r>
      <w:r w:rsidR="005554DC" w:rsidRPr="00EA4B66">
        <w:rPr>
          <w:color w:val="000000" w:themeColor="text1"/>
          <w:sz w:val="24"/>
          <w:szCs w:val="24"/>
          <w:lang w:val="en-US"/>
        </w:rPr>
        <w:t xml:space="preserve">selected </w:t>
      </w:r>
      <w:r w:rsidR="00130028" w:rsidRPr="00EA4B66">
        <w:rPr>
          <w:color w:val="000000" w:themeColor="text1"/>
          <w:sz w:val="24"/>
          <w:szCs w:val="24"/>
          <w:lang w:val="en-US"/>
        </w:rPr>
        <w:t xml:space="preserve">determinants </w:t>
      </w:r>
      <w:r w:rsidR="005554DC" w:rsidRPr="00EA4B66">
        <w:rPr>
          <w:color w:val="000000" w:themeColor="text1"/>
          <w:sz w:val="24"/>
          <w:szCs w:val="24"/>
          <w:lang w:val="en-US"/>
        </w:rPr>
        <w:t>from</w:t>
      </w:r>
      <w:r w:rsidR="00D3002E" w:rsidRPr="00EA4B66">
        <w:rPr>
          <w:color w:val="000000" w:themeColor="text1"/>
          <w:sz w:val="24"/>
          <w:szCs w:val="24"/>
          <w:lang w:val="en-US"/>
        </w:rPr>
        <w:t xml:space="preserve"> the </w:t>
      </w:r>
      <w:r w:rsidR="00CE7DFC" w:rsidRPr="00EA4B66">
        <w:rPr>
          <w:color w:val="000000" w:themeColor="text1"/>
          <w:sz w:val="24"/>
          <w:szCs w:val="24"/>
          <w:lang w:val="en-US"/>
        </w:rPr>
        <w:t xml:space="preserve">extant </w:t>
      </w:r>
      <w:r w:rsidR="00D3002E" w:rsidRPr="00EA4B66">
        <w:rPr>
          <w:color w:val="000000" w:themeColor="text1"/>
          <w:sz w:val="24"/>
          <w:szCs w:val="24"/>
          <w:lang w:val="en-US"/>
        </w:rPr>
        <w:t>literature</w:t>
      </w:r>
      <w:r w:rsidR="00195364">
        <w:rPr>
          <w:color w:val="000000" w:themeColor="text1"/>
          <w:sz w:val="24"/>
          <w:szCs w:val="24"/>
          <w:lang w:val="en-US"/>
        </w:rPr>
        <w:t xml:space="preserve"> is tested</w:t>
      </w:r>
      <w:r w:rsidR="00F034B8" w:rsidRPr="00EA4B66">
        <w:rPr>
          <w:color w:val="000000" w:themeColor="text1"/>
          <w:sz w:val="24"/>
          <w:szCs w:val="24"/>
          <w:lang w:val="en-US"/>
        </w:rPr>
        <w:t xml:space="preserve">. </w:t>
      </w:r>
      <w:r w:rsidR="00955DCB">
        <w:rPr>
          <w:color w:val="000000" w:themeColor="text1"/>
          <w:sz w:val="24"/>
          <w:szCs w:val="24"/>
          <w:lang w:val="en-US"/>
        </w:rPr>
        <w:t>F</w:t>
      </w:r>
      <w:r w:rsidR="005554DC" w:rsidRPr="00EA4B66">
        <w:rPr>
          <w:color w:val="000000" w:themeColor="text1"/>
          <w:sz w:val="24"/>
          <w:szCs w:val="24"/>
          <w:lang w:val="en-US"/>
        </w:rPr>
        <w:t>ive</w:t>
      </w:r>
      <w:r w:rsidR="00D3002E" w:rsidRPr="00EA4B66">
        <w:rPr>
          <w:color w:val="000000" w:themeColor="text1"/>
          <w:sz w:val="24"/>
          <w:szCs w:val="24"/>
          <w:lang w:val="en-US"/>
        </w:rPr>
        <w:t xml:space="preserve"> hypotheses are tested using a pooled </w:t>
      </w:r>
      <w:r w:rsidR="00491235" w:rsidRPr="00EA4B66">
        <w:rPr>
          <w:color w:val="000000" w:themeColor="text1"/>
          <w:sz w:val="24"/>
          <w:szCs w:val="24"/>
          <w:lang w:val="en-US"/>
        </w:rPr>
        <w:t>OLS</w:t>
      </w:r>
      <w:r w:rsidR="005554DC" w:rsidRPr="00EA4B66">
        <w:rPr>
          <w:color w:val="000000" w:themeColor="text1"/>
          <w:sz w:val="24"/>
          <w:szCs w:val="24"/>
          <w:lang w:val="en-US"/>
        </w:rPr>
        <w:t xml:space="preserve"> regression model</w:t>
      </w:r>
      <w:r w:rsidR="00491235" w:rsidRPr="00EA4B66">
        <w:rPr>
          <w:color w:val="000000" w:themeColor="text1"/>
          <w:sz w:val="24"/>
          <w:szCs w:val="24"/>
          <w:lang w:val="en-US"/>
        </w:rPr>
        <w:t xml:space="preserve">, </w:t>
      </w:r>
      <w:r w:rsidR="005554DC" w:rsidRPr="00EA4B66">
        <w:rPr>
          <w:color w:val="000000" w:themeColor="text1"/>
          <w:sz w:val="24"/>
          <w:szCs w:val="24"/>
          <w:lang w:val="en-US"/>
        </w:rPr>
        <w:t xml:space="preserve">while </w:t>
      </w:r>
      <w:r w:rsidR="00491235" w:rsidRPr="00EA4B66">
        <w:rPr>
          <w:color w:val="000000" w:themeColor="text1"/>
          <w:sz w:val="24"/>
          <w:szCs w:val="24"/>
          <w:lang w:val="en-US"/>
        </w:rPr>
        <w:t>controlling for time</w:t>
      </w:r>
      <w:r w:rsidR="00E672F1">
        <w:rPr>
          <w:color w:val="000000" w:themeColor="text1"/>
          <w:sz w:val="24"/>
          <w:szCs w:val="24"/>
          <w:lang w:val="en-US"/>
        </w:rPr>
        <w:t xml:space="preserve">. </w:t>
      </w:r>
      <w:r w:rsidR="004D6898" w:rsidRPr="00EA4B66">
        <w:rPr>
          <w:color w:val="000000" w:themeColor="text1"/>
          <w:sz w:val="24"/>
          <w:szCs w:val="24"/>
          <w:lang w:val="en-US"/>
        </w:rPr>
        <w:t xml:space="preserve">ROE is employed as a </w:t>
      </w:r>
      <w:r w:rsidR="00617567">
        <w:rPr>
          <w:color w:val="000000" w:themeColor="text1"/>
          <w:sz w:val="24"/>
          <w:szCs w:val="24"/>
          <w:lang w:val="en-US"/>
        </w:rPr>
        <w:t xml:space="preserve">useful </w:t>
      </w:r>
      <w:r w:rsidR="004D6898" w:rsidRPr="00EA4B66">
        <w:rPr>
          <w:color w:val="000000" w:themeColor="text1"/>
          <w:sz w:val="24"/>
          <w:szCs w:val="24"/>
          <w:lang w:val="en-US"/>
        </w:rPr>
        <w:t xml:space="preserve">firm profitability indicator from the perspective of an equity investor. </w:t>
      </w:r>
      <w:r w:rsidR="00CE7DFC" w:rsidRPr="00EA4B66">
        <w:rPr>
          <w:color w:val="000000" w:themeColor="text1"/>
          <w:sz w:val="24"/>
          <w:szCs w:val="24"/>
          <w:lang w:val="en-US"/>
        </w:rPr>
        <w:t xml:space="preserve">Moreover, </w:t>
      </w:r>
      <w:r w:rsidR="00111F18" w:rsidRPr="00EA4B66">
        <w:rPr>
          <w:color w:val="000000" w:themeColor="text1"/>
          <w:sz w:val="24"/>
          <w:szCs w:val="24"/>
          <w:lang w:val="en-US"/>
        </w:rPr>
        <w:t>f</w:t>
      </w:r>
      <w:r w:rsidR="0026120B" w:rsidRPr="00EA4B66">
        <w:rPr>
          <w:color w:val="000000" w:themeColor="text1"/>
          <w:sz w:val="24"/>
          <w:szCs w:val="24"/>
          <w:lang w:val="en-US"/>
        </w:rPr>
        <w:t>our robustness test</w:t>
      </w:r>
      <w:r w:rsidR="001C1586" w:rsidRPr="00EA4B66">
        <w:rPr>
          <w:color w:val="000000" w:themeColor="text1"/>
          <w:sz w:val="24"/>
          <w:szCs w:val="24"/>
          <w:lang w:val="en-US"/>
        </w:rPr>
        <w:t>s</w:t>
      </w:r>
      <w:r w:rsidR="0026120B" w:rsidRPr="00EA4B66">
        <w:rPr>
          <w:color w:val="000000" w:themeColor="text1"/>
          <w:sz w:val="24"/>
          <w:szCs w:val="24"/>
          <w:lang w:val="en-US"/>
        </w:rPr>
        <w:t xml:space="preserve"> are </w:t>
      </w:r>
      <w:r w:rsidR="004D6898" w:rsidRPr="00EA4B66">
        <w:rPr>
          <w:color w:val="000000" w:themeColor="text1"/>
          <w:sz w:val="24"/>
          <w:szCs w:val="24"/>
          <w:lang w:val="en-US"/>
        </w:rPr>
        <w:t>undertaken.</w:t>
      </w:r>
      <w:r w:rsidR="00111F18" w:rsidRPr="00EA4B66">
        <w:rPr>
          <w:color w:val="000000" w:themeColor="text1"/>
          <w:sz w:val="24"/>
          <w:szCs w:val="24"/>
          <w:lang w:val="en-US"/>
        </w:rPr>
        <w:t xml:space="preserve"> </w:t>
      </w:r>
    </w:p>
    <w:p w14:paraId="7518AC7E" w14:textId="3B36854B" w:rsidR="00FE520D" w:rsidRPr="00EA4B66" w:rsidRDefault="00192C5E" w:rsidP="006A26CD">
      <w:pPr>
        <w:spacing w:after="0"/>
        <w:jc w:val="both"/>
        <w:rPr>
          <w:b/>
          <w:i/>
          <w:color w:val="000000" w:themeColor="text1"/>
          <w:sz w:val="24"/>
          <w:szCs w:val="24"/>
          <w:lang w:val="en-US"/>
        </w:rPr>
      </w:pPr>
      <w:r w:rsidRPr="00EA4B66">
        <w:rPr>
          <w:b/>
          <w:i/>
          <w:color w:val="000000" w:themeColor="text1"/>
          <w:sz w:val="24"/>
          <w:szCs w:val="24"/>
          <w:lang w:val="en-US"/>
        </w:rPr>
        <w:t xml:space="preserve">Findings </w:t>
      </w:r>
      <w:r w:rsidR="00FE520D" w:rsidRPr="00EA4B66">
        <w:rPr>
          <w:b/>
          <w:i/>
          <w:color w:val="000000" w:themeColor="text1"/>
          <w:sz w:val="24"/>
          <w:szCs w:val="24"/>
          <w:lang w:val="en-US"/>
        </w:rPr>
        <w:t>–</w:t>
      </w:r>
      <w:r w:rsidR="00FB0039" w:rsidRPr="00EA4B66">
        <w:rPr>
          <w:b/>
          <w:i/>
          <w:color w:val="000000" w:themeColor="text1"/>
          <w:sz w:val="24"/>
          <w:szCs w:val="24"/>
          <w:lang w:val="en-US"/>
        </w:rPr>
        <w:t xml:space="preserve"> </w:t>
      </w:r>
      <w:r w:rsidR="00196F8B" w:rsidRPr="00EA4B66">
        <w:rPr>
          <w:color w:val="000000" w:themeColor="text1"/>
          <w:sz w:val="24"/>
          <w:szCs w:val="24"/>
          <w:lang w:val="en-US"/>
        </w:rPr>
        <w:t>The</w:t>
      </w:r>
      <w:r w:rsidR="00196F8B" w:rsidRPr="00EA4B66">
        <w:rPr>
          <w:b/>
          <w:i/>
          <w:color w:val="000000" w:themeColor="text1"/>
          <w:sz w:val="24"/>
          <w:szCs w:val="24"/>
          <w:lang w:val="en-US"/>
        </w:rPr>
        <w:t xml:space="preserve"> </w:t>
      </w:r>
      <w:r w:rsidR="00196F8B" w:rsidRPr="00EA4B66">
        <w:rPr>
          <w:color w:val="000000" w:themeColor="text1"/>
          <w:sz w:val="24"/>
          <w:szCs w:val="24"/>
          <w:lang w:val="en-US"/>
        </w:rPr>
        <w:t>r</w:t>
      </w:r>
      <w:r w:rsidR="00FE520D" w:rsidRPr="00EA4B66">
        <w:rPr>
          <w:color w:val="000000" w:themeColor="text1"/>
          <w:sz w:val="24"/>
          <w:szCs w:val="24"/>
          <w:lang w:val="en-US"/>
        </w:rPr>
        <w:t>esults show that</w:t>
      </w:r>
      <w:r w:rsidR="00FE520D" w:rsidRPr="00EA4B66">
        <w:rPr>
          <w:color w:val="000000" w:themeColor="text1"/>
          <w:lang w:val="en-US"/>
        </w:rPr>
        <w:t xml:space="preserve"> </w:t>
      </w:r>
      <w:r w:rsidR="006A53E6">
        <w:rPr>
          <w:color w:val="000000" w:themeColor="text1"/>
          <w:sz w:val="24"/>
          <w:szCs w:val="24"/>
          <w:lang w:val="en-US"/>
        </w:rPr>
        <w:t>IA</w:t>
      </w:r>
      <w:r w:rsidR="00ED0CA1" w:rsidRPr="00EA4B66">
        <w:rPr>
          <w:color w:val="000000" w:themeColor="text1"/>
          <w:sz w:val="24"/>
          <w:szCs w:val="24"/>
          <w:lang w:val="en-US"/>
        </w:rPr>
        <w:t xml:space="preserve">, </w:t>
      </w:r>
      <w:r w:rsidR="003053FC" w:rsidRPr="00EA4B66">
        <w:rPr>
          <w:color w:val="000000" w:themeColor="text1"/>
          <w:sz w:val="24"/>
          <w:szCs w:val="24"/>
          <w:lang w:val="en-US"/>
        </w:rPr>
        <w:t>profitability</w:t>
      </w:r>
      <w:r w:rsidR="00A45E8F" w:rsidRPr="00EA4B66">
        <w:rPr>
          <w:color w:val="000000" w:themeColor="text1"/>
          <w:sz w:val="24"/>
          <w:szCs w:val="24"/>
          <w:lang w:val="en-US"/>
        </w:rPr>
        <w:t xml:space="preserve">, </w:t>
      </w:r>
      <w:r w:rsidR="00D55FA8" w:rsidRPr="00EA4B66">
        <w:rPr>
          <w:color w:val="000000" w:themeColor="text1"/>
          <w:sz w:val="24"/>
          <w:szCs w:val="24"/>
          <w:lang w:val="en-US"/>
        </w:rPr>
        <w:t xml:space="preserve">leverage, industry type, </w:t>
      </w:r>
      <w:r w:rsidR="003053FC" w:rsidRPr="00EA4B66">
        <w:rPr>
          <w:color w:val="000000" w:themeColor="text1"/>
          <w:sz w:val="24"/>
          <w:szCs w:val="24"/>
          <w:lang w:val="en-US"/>
        </w:rPr>
        <w:t xml:space="preserve">auditor type, and </w:t>
      </w:r>
      <w:r w:rsidR="00FE520D" w:rsidRPr="00EA4B66">
        <w:rPr>
          <w:color w:val="000000" w:themeColor="text1"/>
          <w:sz w:val="24"/>
          <w:szCs w:val="24"/>
          <w:lang w:val="en-US"/>
        </w:rPr>
        <w:t xml:space="preserve">family ownership </w:t>
      </w:r>
      <w:r w:rsidR="003053FC" w:rsidRPr="00EA4B66">
        <w:rPr>
          <w:color w:val="000000" w:themeColor="text1"/>
          <w:sz w:val="24"/>
          <w:szCs w:val="24"/>
          <w:lang w:val="en-US"/>
        </w:rPr>
        <w:t xml:space="preserve">positively </w:t>
      </w:r>
      <w:r w:rsidR="005554DC" w:rsidRPr="00EA4B66">
        <w:rPr>
          <w:color w:val="000000" w:themeColor="text1"/>
          <w:sz w:val="24"/>
          <w:szCs w:val="24"/>
          <w:lang w:val="en-US"/>
        </w:rPr>
        <w:t xml:space="preserve">affect </w:t>
      </w:r>
      <w:r w:rsidR="00FE520D" w:rsidRPr="00EA4B66">
        <w:rPr>
          <w:color w:val="000000" w:themeColor="text1"/>
          <w:sz w:val="24"/>
          <w:szCs w:val="24"/>
          <w:lang w:val="en-US"/>
        </w:rPr>
        <w:t>IC value</w:t>
      </w:r>
      <w:r w:rsidR="005554DC" w:rsidRPr="00EA4B66">
        <w:rPr>
          <w:color w:val="000000" w:themeColor="text1"/>
          <w:sz w:val="24"/>
          <w:szCs w:val="24"/>
          <w:lang w:val="en-US"/>
        </w:rPr>
        <w:t xml:space="preserve">, whereas </w:t>
      </w:r>
      <w:r w:rsidR="003053FC" w:rsidRPr="00EA4B66">
        <w:rPr>
          <w:color w:val="000000" w:themeColor="text1"/>
          <w:sz w:val="24"/>
          <w:szCs w:val="24"/>
          <w:lang w:val="en-US"/>
        </w:rPr>
        <w:t>SIZE and AGE negatively affect IC value.</w:t>
      </w:r>
      <w:r w:rsidR="0067103E" w:rsidRPr="00EA4B66">
        <w:rPr>
          <w:color w:val="000000" w:themeColor="text1"/>
          <w:sz w:val="24"/>
          <w:szCs w:val="24"/>
          <w:lang w:val="en-US"/>
        </w:rPr>
        <w:t xml:space="preserve"> Moreover, </w:t>
      </w:r>
      <w:r w:rsidR="00830BF6" w:rsidRPr="00EA4B66">
        <w:rPr>
          <w:color w:val="000000" w:themeColor="text1"/>
          <w:sz w:val="24"/>
          <w:szCs w:val="24"/>
          <w:lang w:val="en-US"/>
        </w:rPr>
        <w:t xml:space="preserve">the </w:t>
      </w:r>
      <w:r w:rsidR="004D6898" w:rsidRPr="00EA4B66">
        <w:rPr>
          <w:color w:val="000000" w:themeColor="text1"/>
          <w:sz w:val="24"/>
          <w:szCs w:val="24"/>
          <w:lang w:val="en-US"/>
        </w:rPr>
        <w:t xml:space="preserve">findings of the </w:t>
      </w:r>
      <w:r w:rsidR="00830BF6" w:rsidRPr="00EA4B66">
        <w:rPr>
          <w:color w:val="000000" w:themeColor="text1"/>
          <w:sz w:val="24"/>
          <w:szCs w:val="24"/>
          <w:lang w:val="en-US"/>
        </w:rPr>
        <w:t xml:space="preserve">robustness </w:t>
      </w:r>
      <w:r w:rsidR="004D6898" w:rsidRPr="00EA4B66">
        <w:rPr>
          <w:color w:val="000000" w:themeColor="text1"/>
          <w:sz w:val="24"/>
          <w:szCs w:val="24"/>
          <w:lang w:val="en-US"/>
        </w:rPr>
        <w:t xml:space="preserve">tests </w:t>
      </w:r>
      <w:r w:rsidR="00830BF6" w:rsidRPr="00EA4B66">
        <w:rPr>
          <w:color w:val="000000" w:themeColor="text1"/>
          <w:sz w:val="24"/>
          <w:szCs w:val="24"/>
          <w:lang w:val="en-US"/>
        </w:rPr>
        <w:t xml:space="preserve">suggest that </w:t>
      </w:r>
      <w:r w:rsidR="00617567" w:rsidRPr="00EA4B66">
        <w:rPr>
          <w:color w:val="000000" w:themeColor="text1"/>
          <w:sz w:val="24"/>
          <w:szCs w:val="24"/>
          <w:lang w:val="en-US"/>
        </w:rPr>
        <w:t>all firms</w:t>
      </w:r>
      <w:r w:rsidR="00617567">
        <w:rPr>
          <w:color w:val="000000" w:themeColor="text1"/>
          <w:sz w:val="24"/>
          <w:szCs w:val="24"/>
          <w:lang w:val="en-US"/>
        </w:rPr>
        <w:t>, and</w:t>
      </w:r>
      <w:r w:rsidR="00617567" w:rsidRPr="00EA4B66">
        <w:rPr>
          <w:color w:val="000000" w:themeColor="text1"/>
          <w:sz w:val="24"/>
          <w:szCs w:val="24"/>
          <w:lang w:val="en-US"/>
        </w:rPr>
        <w:t xml:space="preserve"> </w:t>
      </w:r>
      <w:r w:rsidR="004D6898" w:rsidRPr="00EA4B66">
        <w:rPr>
          <w:color w:val="000000" w:themeColor="text1"/>
          <w:sz w:val="24"/>
          <w:szCs w:val="24"/>
          <w:lang w:val="en-US"/>
        </w:rPr>
        <w:t xml:space="preserve">not </w:t>
      </w:r>
      <w:r w:rsidR="00617567">
        <w:rPr>
          <w:color w:val="000000" w:themeColor="text1"/>
          <w:sz w:val="24"/>
          <w:szCs w:val="24"/>
          <w:lang w:val="en-US"/>
        </w:rPr>
        <w:t xml:space="preserve">just </w:t>
      </w:r>
      <w:r w:rsidR="004D6898" w:rsidRPr="00EA4B66">
        <w:rPr>
          <w:color w:val="000000" w:themeColor="text1"/>
          <w:sz w:val="24"/>
          <w:szCs w:val="24"/>
          <w:lang w:val="en-US"/>
        </w:rPr>
        <w:t xml:space="preserve">KIBS industry firms, </w:t>
      </w:r>
      <w:r w:rsidR="004A628C" w:rsidRPr="00EA4B66">
        <w:rPr>
          <w:color w:val="000000" w:themeColor="text1"/>
          <w:sz w:val="24"/>
          <w:szCs w:val="24"/>
          <w:lang w:val="en-US"/>
        </w:rPr>
        <w:t>manage</w:t>
      </w:r>
      <w:r w:rsidR="004D6898" w:rsidRPr="00EA4B66">
        <w:rPr>
          <w:color w:val="000000" w:themeColor="text1"/>
          <w:sz w:val="24"/>
          <w:szCs w:val="24"/>
          <w:lang w:val="en-US"/>
        </w:rPr>
        <w:t xml:space="preserve"> knowledge.</w:t>
      </w:r>
      <w:r w:rsidR="00830BF6" w:rsidRPr="00EA4B66">
        <w:rPr>
          <w:color w:val="000000" w:themeColor="text1"/>
          <w:sz w:val="24"/>
          <w:szCs w:val="24"/>
          <w:lang w:val="en-US"/>
        </w:rPr>
        <w:t xml:space="preserve"> </w:t>
      </w:r>
    </w:p>
    <w:p w14:paraId="4E9E64DE" w14:textId="1249F469" w:rsidR="00FB768E" w:rsidRPr="00EA4B66" w:rsidRDefault="00FE520D" w:rsidP="00594D9E">
      <w:pPr>
        <w:spacing w:after="0"/>
        <w:jc w:val="both"/>
        <w:rPr>
          <w:color w:val="000000" w:themeColor="text1"/>
          <w:sz w:val="24"/>
          <w:szCs w:val="24"/>
          <w:lang w:val="en-US"/>
        </w:rPr>
      </w:pPr>
      <w:r w:rsidRPr="00EA4B66">
        <w:rPr>
          <w:b/>
          <w:i/>
          <w:color w:val="000000" w:themeColor="text1"/>
          <w:sz w:val="24"/>
          <w:szCs w:val="24"/>
          <w:lang w:val="en-US"/>
        </w:rPr>
        <w:t xml:space="preserve">Research limitations/implications - </w:t>
      </w:r>
      <w:r w:rsidR="00BA2A2A" w:rsidRPr="00EA4B66">
        <w:rPr>
          <w:color w:val="000000" w:themeColor="text1"/>
          <w:sz w:val="24"/>
          <w:szCs w:val="24"/>
          <w:lang w:val="en-US"/>
        </w:rPr>
        <w:t xml:space="preserve">The </w:t>
      </w:r>
      <w:r w:rsidR="00F673A3" w:rsidRPr="00EA4B66">
        <w:rPr>
          <w:color w:val="000000" w:themeColor="text1"/>
          <w:sz w:val="24"/>
          <w:szCs w:val="24"/>
          <w:lang w:val="en-US"/>
        </w:rPr>
        <w:t xml:space="preserve">validity </w:t>
      </w:r>
      <w:r w:rsidR="007E7747" w:rsidRPr="00EA4B66">
        <w:rPr>
          <w:color w:val="000000" w:themeColor="text1"/>
          <w:sz w:val="24"/>
          <w:szCs w:val="24"/>
          <w:lang w:val="en-US"/>
        </w:rPr>
        <w:t>of</w:t>
      </w:r>
      <w:r w:rsidR="00F673A3" w:rsidRPr="00EA4B66">
        <w:rPr>
          <w:color w:val="000000" w:themeColor="text1"/>
          <w:sz w:val="24"/>
          <w:szCs w:val="24"/>
          <w:lang w:val="en-US"/>
        </w:rPr>
        <w:t xml:space="preserve"> the </w:t>
      </w:r>
      <w:r w:rsidR="006F3C9C" w:rsidRPr="00EA4B66">
        <w:rPr>
          <w:color w:val="000000" w:themeColor="text1"/>
          <w:sz w:val="24"/>
          <w:szCs w:val="24"/>
          <w:lang w:val="en-US"/>
        </w:rPr>
        <w:t xml:space="preserve">findings </w:t>
      </w:r>
      <w:r w:rsidR="005554DC" w:rsidRPr="00EA4B66">
        <w:rPr>
          <w:color w:val="000000" w:themeColor="text1"/>
          <w:sz w:val="24"/>
          <w:szCs w:val="24"/>
          <w:lang w:val="en-US"/>
        </w:rPr>
        <w:t xml:space="preserve">is </w:t>
      </w:r>
      <w:r w:rsidR="006F3C9C" w:rsidRPr="00EA4B66">
        <w:rPr>
          <w:color w:val="000000" w:themeColor="text1"/>
          <w:sz w:val="24"/>
          <w:szCs w:val="24"/>
          <w:lang w:val="en-US"/>
        </w:rPr>
        <w:t xml:space="preserve">limited to </w:t>
      </w:r>
      <w:r w:rsidR="007E7747" w:rsidRPr="00EA4B66">
        <w:rPr>
          <w:color w:val="000000" w:themeColor="text1"/>
          <w:sz w:val="24"/>
          <w:szCs w:val="24"/>
          <w:lang w:val="en-US"/>
        </w:rPr>
        <w:t>the Italian context</w:t>
      </w:r>
      <w:r w:rsidR="00631653" w:rsidRPr="00EA4B66">
        <w:rPr>
          <w:color w:val="000000" w:themeColor="text1"/>
          <w:sz w:val="24"/>
          <w:szCs w:val="24"/>
          <w:lang w:val="en-US"/>
        </w:rPr>
        <w:t xml:space="preserve">, </w:t>
      </w:r>
      <w:r w:rsidR="005554DC" w:rsidRPr="00EA4B66">
        <w:rPr>
          <w:color w:val="000000" w:themeColor="text1"/>
          <w:sz w:val="24"/>
          <w:szCs w:val="24"/>
          <w:lang w:val="en-US"/>
        </w:rPr>
        <w:t xml:space="preserve">as </w:t>
      </w:r>
      <w:r w:rsidR="004D6898" w:rsidRPr="00EA4B66">
        <w:rPr>
          <w:color w:val="000000" w:themeColor="text1"/>
          <w:sz w:val="24"/>
          <w:szCs w:val="24"/>
          <w:lang w:val="en-US"/>
        </w:rPr>
        <w:t>the study focuses on</w:t>
      </w:r>
      <w:r w:rsidR="00631653" w:rsidRPr="00EA4B66">
        <w:rPr>
          <w:color w:val="000000" w:themeColor="text1"/>
          <w:sz w:val="24"/>
          <w:szCs w:val="24"/>
          <w:lang w:val="en-US"/>
        </w:rPr>
        <w:t xml:space="preserve"> </w:t>
      </w:r>
      <w:r w:rsidR="005342D0" w:rsidRPr="00EA4B66">
        <w:rPr>
          <w:color w:val="000000" w:themeColor="text1"/>
          <w:sz w:val="24"/>
          <w:szCs w:val="24"/>
          <w:lang w:val="en-US"/>
        </w:rPr>
        <w:t>a sample</w:t>
      </w:r>
      <w:r w:rsidR="007E7747" w:rsidRPr="00EA4B66">
        <w:rPr>
          <w:color w:val="000000" w:themeColor="text1"/>
          <w:sz w:val="24"/>
          <w:szCs w:val="24"/>
          <w:lang w:val="en-US"/>
        </w:rPr>
        <w:t xml:space="preserve"> of companies listed on </w:t>
      </w:r>
      <w:r w:rsidR="005554DC" w:rsidRPr="00EA4B66">
        <w:rPr>
          <w:color w:val="000000" w:themeColor="text1"/>
          <w:sz w:val="24"/>
          <w:szCs w:val="24"/>
          <w:lang w:val="en-US"/>
        </w:rPr>
        <w:t xml:space="preserve">the </w:t>
      </w:r>
      <w:r w:rsidR="007E7747" w:rsidRPr="00EA4B66">
        <w:rPr>
          <w:color w:val="000000" w:themeColor="text1"/>
          <w:sz w:val="24"/>
          <w:szCs w:val="24"/>
          <w:lang w:val="en-US"/>
        </w:rPr>
        <w:t>Milan Stock Exchange</w:t>
      </w:r>
      <w:r w:rsidR="004D6898" w:rsidRPr="00EA4B66">
        <w:rPr>
          <w:color w:val="000000" w:themeColor="text1"/>
          <w:sz w:val="24"/>
          <w:szCs w:val="24"/>
          <w:lang w:val="en-US"/>
        </w:rPr>
        <w:t>,</w:t>
      </w:r>
      <w:r w:rsidR="005554DC" w:rsidRPr="00EA4B66">
        <w:rPr>
          <w:color w:val="000000" w:themeColor="text1"/>
          <w:sz w:val="24"/>
          <w:szCs w:val="24"/>
          <w:lang w:val="en-US"/>
        </w:rPr>
        <w:t xml:space="preserve"> </w:t>
      </w:r>
      <w:r w:rsidR="001C1586" w:rsidRPr="00EA4B66">
        <w:rPr>
          <w:color w:val="000000" w:themeColor="text1"/>
          <w:sz w:val="24"/>
          <w:szCs w:val="24"/>
          <w:lang w:val="en-US"/>
        </w:rPr>
        <w:t xml:space="preserve">all of </w:t>
      </w:r>
      <w:r w:rsidR="005554DC" w:rsidRPr="00EA4B66">
        <w:rPr>
          <w:color w:val="000000" w:themeColor="text1"/>
          <w:sz w:val="24"/>
          <w:szCs w:val="24"/>
          <w:lang w:val="en-US"/>
        </w:rPr>
        <w:t>which</w:t>
      </w:r>
      <w:r w:rsidR="007E7747" w:rsidRPr="00EA4B66">
        <w:rPr>
          <w:color w:val="000000" w:themeColor="text1"/>
          <w:sz w:val="24"/>
          <w:szCs w:val="24"/>
          <w:lang w:val="en-US"/>
        </w:rPr>
        <w:t xml:space="preserve"> </w:t>
      </w:r>
      <w:r w:rsidR="00483CDA" w:rsidRPr="00EA4B66">
        <w:rPr>
          <w:color w:val="000000" w:themeColor="text1"/>
          <w:sz w:val="24"/>
          <w:szCs w:val="24"/>
          <w:lang w:val="en-US"/>
        </w:rPr>
        <w:t>prepar</w:t>
      </w:r>
      <w:r w:rsidR="005554DC" w:rsidRPr="00EA4B66">
        <w:rPr>
          <w:color w:val="000000" w:themeColor="text1"/>
          <w:sz w:val="24"/>
          <w:szCs w:val="24"/>
          <w:lang w:val="en-US"/>
        </w:rPr>
        <w:t>e</w:t>
      </w:r>
      <w:r w:rsidR="00483CDA" w:rsidRPr="00EA4B66">
        <w:rPr>
          <w:color w:val="000000" w:themeColor="text1"/>
          <w:sz w:val="24"/>
          <w:szCs w:val="24"/>
          <w:lang w:val="en-US"/>
        </w:rPr>
        <w:t xml:space="preserve"> the</w:t>
      </w:r>
      <w:r w:rsidR="005554DC" w:rsidRPr="00EA4B66">
        <w:rPr>
          <w:color w:val="000000" w:themeColor="text1"/>
          <w:sz w:val="24"/>
          <w:szCs w:val="24"/>
          <w:lang w:val="en-US"/>
        </w:rPr>
        <w:t>ir</w:t>
      </w:r>
      <w:r w:rsidR="00483CDA" w:rsidRPr="00EA4B66">
        <w:rPr>
          <w:color w:val="000000" w:themeColor="text1"/>
          <w:sz w:val="24"/>
          <w:szCs w:val="24"/>
          <w:lang w:val="en-US"/>
        </w:rPr>
        <w:t xml:space="preserve"> individual financial statement</w:t>
      </w:r>
      <w:r w:rsidR="007E7747" w:rsidRPr="00EA4B66">
        <w:rPr>
          <w:color w:val="000000" w:themeColor="text1"/>
          <w:sz w:val="24"/>
          <w:szCs w:val="24"/>
          <w:lang w:val="en-US"/>
        </w:rPr>
        <w:t>s</w:t>
      </w:r>
      <w:r w:rsidR="00483CDA" w:rsidRPr="00EA4B66">
        <w:rPr>
          <w:color w:val="000000" w:themeColor="text1"/>
          <w:sz w:val="24"/>
          <w:szCs w:val="24"/>
          <w:lang w:val="en-US"/>
        </w:rPr>
        <w:t xml:space="preserve"> according to IFRS. </w:t>
      </w:r>
      <w:r w:rsidR="00796232" w:rsidRPr="00EA4B66">
        <w:rPr>
          <w:color w:val="000000" w:themeColor="text1"/>
          <w:sz w:val="24"/>
          <w:szCs w:val="24"/>
          <w:lang w:val="en-US"/>
        </w:rPr>
        <w:t>Further limitation</w:t>
      </w:r>
      <w:r w:rsidR="005554DC" w:rsidRPr="00EA4B66">
        <w:rPr>
          <w:color w:val="000000" w:themeColor="text1"/>
          <w:sz w:val="24"/>
          <w:szCs w:val="24"/>
          <w:lang w:val="en-US"/>
        </w:rPr>
        <w:t>s</w:t>
      </w:r>
      <w:r w:rsidR="0060426A" w:rsidRPr="00EA4B66">
        <w:rPr>
          <w:color w:val="000000" w:themeColor="text1"/>
          <w:sz w:val="24"/>
          <w:szCs w:val="24"/>
          <w:lang w:val="en-US"/>
        </w:rPr>
        <w:t xml:space="preserve"> are</w:t>
      </w:r>
      <w:r w:rsidR="00036F81" w:rsidRPr="00EA4B66">
        <w:rPr>
          <w:color w:val="000000" w:themeColor="text1"/>
          <w:sz w:val="24"/>
          <w:szCs w:val="24"/>
          <w:lang w:val="en-US"/>
        </w:rPr>
        <w:t xml:space="preserve"> related </w:t>
      </w:r>
      <w:r w:rsidR="00527BF7" w:rsidRPr="00EA4B66">
        <w:rPr>
          <w:color w:val="000000" w:themeColor="text1"/>
          <w:sz w:val="24"/>
          <w:szCs w:val="24"/>
          <w:lang w:val="en-US"/>
        </w:rPr>
        <w:t xml:space="preserve">to </w:t>
      </w:r>
      <w:r w:rsidR="00D9273B" w:rsidRPr="00EA4B66">
        <w:rPr>
          <w:color w:val="000000" w:themeColor="text1"/>
          <w:sz w:val="24"/>
          <w:szCs w:val="24"/>
          <w:lang w:val="en-US"/>
        </w:rPr>
        <w:t xml:space="preserve">the use of </w:t>
      </w:r>
      <w:r w:rsidR="00527BF7" w:rsidRPr="00EA4B66">
        <w:rPr>
          <w:color w:val="000000" w:themeColor="text1"/>
          <w:sz w:val="24"/>
          <w:szCs w:val="24"/>
          <w:lang w:val="en-US"/>
        </w:rPr>
        <w:t>market valu</w:t>
      </w:r>
      <w:r w:rsidR="00D9273B" w:rsidRPr="00EA4B66">
        <w:rPr>
          <w:color w:val="000000" w:themeColor="text1"/>
          <w:sz w:val="24"/>
          <w:szCs w:val="24"/>
          <w:lang w:val="en-US"/>
        </w:rPr>
        <w:t>e</w:t>
      </w:r>
      <w:r w:rsidR="00036F81" w:rsidRPr="00EA4B66">
        <w:rPr>
          <w:color w:val="000000" w:themeColor="text1"/>
          <w:sz w:val="24"/>
          <w:szCs w:val="24"/>
          <w:lang w:val="en-US"/>
        </w:rPr>
        <w:t xml:space="preserve"> </w:t>
      </w:r>
      <w:r w:rsidR="00527BF7" w:rsidRPr="00EA4B66">
        <w:rPr>
          <w:color w:val="000000" w:themeColor="text1"/>
          <w:sz w:val="24"/>
          <w:szCs w:val="24"/>
          <w:lang w:val="en-US"/>
        </w:rPr>
        <w:t>in the short term</w:t>
      </w:r>
      <w:r w:rsidR="00F63947" w:rsidRPr="00EA4B66">
        <w:rPr>
          <w:color w:val="000000" w:themeColor="text1"/>
          <w:sz w:val="24"/>
          <w:szCs w:val="24"/>
          <w:lang w:val="en-US"/>
        </w:rPr>
        <w:t xml:space="preserve">, </w:t>
      </w:r>
      <w:r w:rsidR="00D9273B" w:rsidRPr="00EA4B66">
        <w:rPr>
          <w:color w:val="000000" w:themeColor="text1"/>
          <w:sz w:val="24"/>
          <w:szCs w:val="24"/>
          <w:lang w:val="en-US"/>
        </w:rPr>
        <w:t xml:space="preserve">as it is </w:t>
      </w:r>
      <w:r w:rsidR="00F63947" w:rsidRPr="00EA4B66">
        <w:rPr>
          <w:color w:val="000000" w:themeColor="text1"/>
          <w:sz w:val="24"/>
          <w:szCs w:val="24"/>
          <w:lang w:val="en-US"/>
        </w:rPr>
        <w:t xml:space="preserve">influenced by </w:t>
      </w:r>
      <w:r w:rsidR="00D9273B" w:rsidRPr="00EA4B66">
        <w:rPr>
          <w:color w:val="000000" w:themeColor="text1"/>
          <w:sz w:val="24"/>
          <w:szCs w:val="24"/>
          <w:lang w:val="en-US"/>
        </w:rPr>
        <w:t>market volatility</w:t>
      </w:r>
      <w:r w:rsidR="00527BF7" w:rsidRPr="00EA4B66">
        <w:rPr>
          <w:color w:val="000000" w:themeColor="text1"/>
          <w:sz w:val="24"/>
          <w:szCs w:val="24"/>
          <w:lang w:val="en-US"/>
        </w:rPr>
        <w:t xml:space="preserve">. </w:t>
      </w:r>
      <w:r w:rsidR="00115F3C" w:rsidRPr="00EA4B66">
        <w:rPr>
          <w:color w:val="000000" w:themeColor="text1"/>
          <w:sz w:val="24"/>
          <w:szCs w:val="24"/>
          <w:lang w:val="en-US"/>
        </w:rPr>
        <w:t>The</w:t>
      </w:r>
      <w:r w:rsidR="008129DF" w:rsidRPr="00EA4B66">
        <w:rPr>
          <w:color w:val="000000" w:themeColor="text1"/>
          <w:sz w:val="24"/>
          <w:szCs w:val="24"/>
          <w:lang w:val="en-US"/>
        </w:rPr>
        <w:t xml:space="preserve"> study </w:t>
      </w:r>
      <w:r w:rsidR="00527BF7" w:rsidRPr="00EA4B66">
        <w:rPr>
          <w:color w:val="000000" w:themeColor="text1"/>
          <w:sz w:val="24"/>
          <w:szCs w:val="24"/>
          <w:lang w:val="en-US"/>
        </w:rPr>
        <w:t>may allow</w:t>
      </w:r>
      <w:r w:rsidR="00115F3C" w:rsidRPr="00EA4B66">
        <w:rPr>
          <w:color w:val="000000" w:themeColor="text1"/>
          <w:sz w:val="24"/>
          <w:szCs w:val="24"/>
          <w:lang w:val="en-US"/>
        </w:rPr>
        <w:t xml:space="preserve"> </w:t>
      </w:r>
      <w:r w:rsidR="008129DF" w:rsidRPr="00EA4B66">
        <w:rPr>
          <w:color w:val="000000" w:themeColor="text1"/>
          <w:sz w:val="24"/>
          <w:szCs w:val="24"/>
          <w:lang w:val="en-US"/>
        </w:rPr>
        <w:t xml:space="preserve">academic researchers to investigate the impact of other non-accounting sources of information </w:t>
      </w:r>
      <w:r w:rsidR="00617567" w:rsidRPr="00EA4B66">
        <w:rPr>
          <w:color w:val="000000" w:themeColor="text1"/>
          <w:sz w:val="24"/>
          <w:szCs w:val="24"/>
          <w:lang w:val="en-US"/>
        </w:rPr>
        <w:t xml:space="preserve">on market value </w:t>
      </w:r>
      <w:r w:rsidR="00D9273B" w:rsidRPr="00EA4B66">
        <w:rPr>
          <w:color w:val="000000" w:themeColor="text1"/>
          <w:sz w:val="24"/>
          <w:szCs w:val="24"/>
          <w:lang w:val="en-US"/>
        </w:rPr>
        <w:t>with</w:t>
      </w:r>
      <w:r w:rsidR="000E26D3" w:rsidRPr="00EA4B66">
        <w:rPr>
          <w:color w:val="000000" w:themeColor="text1"/>
          <w:sz w:val="24"/>
          <w:szCs w:val="24"/>
          <w:lang w:val="en-US"/>
        </w:rPr>
        <w:t xml:space="preserve">in a multidisciplinary perspective. </w:t>
      </w:r>
    </w:p>
    <w:p w14:paraId="6BB4D238" w14:textId="0F56C428" w:rsidR="00DE13EA" w:rsidRPr="00EA4B66" w:rsidRDefault="00B866CB" w:rsidP="00770F17">
      <w:pPr>
        <w:spacing w:after="0" w:line="240" w:lineRule="auto"/>
        <w:jc w:val="both"/>
        <w:rPr>
          <w:color w:val="000000" w:themeColor="text1"/>
          <w:sz w:val="24"/>
          <w:szCs w:val="24"/>
          <w:lang w:val="en-US"/>
        </w:rPr>
      </w:pPr>
      <w:r w:rsidRPr="00EA4B66">
        <w:rPr>
          <w:b/>
          <w:i/>
          <w:color w:val="000000" w:themeColor="text1"/>
          <w:sz w:val="24"/>
          <w:szCs w:val="24"/>
          <w:lang w:val="en-US"/>
        </w:rPr>
        <w:t>Practical implications -</w:t>
      </w:r>
      <w:r w:rsidR="00FE5FE7" w:rsidRPr="00EA4B66">
        <w:rPr>
          <w:b/>
          <w:i/>
          <w:color w:val="000000" w:themeColor="text1"/>
          <w:sz w:val="24"/>
          <w:szCs w:val="24"/>
          <w:lang w:val="en-US"/>
        </w:rPr>
        <w:t xml:space="preserve"> </w:t>
      </w:r>
      <w:r w:rsidR="00D9273B" w:rsidRPr="00EA4B66">
        <w:rPr>
          <w:color w:val="000000" w:themeColor="text1"/>
          <w:sz w:val="24"/>
          <w:szCs w:val="24"/>
          <w:lang w:val="en-US"/>
        </w:rPr>
        <w:t>This paper</w:t>
      </w:r>
      <w:r w:rsidR="00770F17" w:rsidRPr="00EA4B66">
        <w:rPr>
          <w:color w:val="000000" w:themeColor="text1"/>
          <w:sz w:val="24"/>
          <w:szCs w:val="24"/>
          <w:lang w:val="en-US"/>
        </w:rPr>
        <w:t xml:space="preserve"> also </w:t>
      </w:r>
      <w:r w:rsidR="00D9273B" w:rsidRPr="00EA4B66">
        <w:rPr>
          <w:color w:val="000000" w:themeColor="text1"/>
          <w:sz w:val="24"/>
          <w:szCs w:val="24"/>
          <w:lang w:val="en-US"/>
        </w:rPr>
        <w:t xml:space="preserve">has </w:t>
      </w:r>
      <w:r w:rsidR="00770F17" w:rsidRPr="00EA4B66">
        <w:rPr>
          <w:color w:val="000000" w:themeColor="text1"/>
          <w:sz w:val="24"/>
          <w:szCs w:val="24"/>
          <w:lang w:val="en-US"/>
        </w:rPr>
        <w:t xml:space="preserve">implications for </w:t>
      </w:r>
      <w:r w:rsidR="008129DF" w:rsidRPr="00EA4B66">
        <w:rPr>
          <w:color w:val="000000" w:themeColor="text1"/>
          <w:sz w:val="24"/>
          <w:szCs w:val="24"/>
          <w:lang w:val="en-US"/>
        </w:rPr>
        <w:t xml:space="preserve">managers and </w:t>
      </w:r>
      <w:r w:rsidR="00770F17" w:rsidRPr="00EA4B66">
        <w:rPr>
          <w:color w:val="000000" w:themeColor="text1"/>
          <w:sz w:val="24"/>
          <w:szCs w:val="24"/>
          <w:lang w:val="en-US"/>
        </w:rPr>
        <w:t xml:space="preserve">practitioners. </w:t>
      </w:r>
      <w:r w:rsidR="009E6182" w:rsidRPr="00EA4B66">
        <w:rPr>
          <w:color w:val="000000" w:themeColor="text1"/>
          <w:sz w:val="24"/>
          <w:szCs w:val="24"/>
          <w:lang w:val="en-US"/>
        </w:rPr>
        <w:t xml:space="preserve">The findings suggest that managers should not take for granted that </w:t>
      </w:r>
      <w:r w:rsidR="001C1586" w:rsidRPr="00EA4B66">
        <w:rPr>
          <w:color w:val="000000" w:themeColor="text1"/>
          <w:sz w:val="24"/>
          <w:szCs w:val="24"/>
          <w:lang w:val="en-US"/>
        </w:rPr>
        <w:t xml:space="preserve">firm </w:t>
      </w:r>
      <w:r w:rsidR="009E6182" w:rsidRPr="00EA4B66">
        <w:rPr>
          <w:color w:val="000000" w:themeColor="text1"/>
          <w:sz w:val="24"/>
          <w:szCs w:val="24"/>
          <w:lang w:val="en-US"/>
        </w:rPr>
        <w:t xml:space="preserve">growth </w:t>
      </w:r>
      <w:r w:rsidR="00776B4C" w:rsidRPr="00EA4B66">
        <w:rPr>
          <w:color w:val="000000" w:themeColor="text1"/>
          <w:sz w:val="24"/>
          <w:szCs w:val="24"/>
          <w:lang w:val="en-US"/>
        </w:rPr>
        <w:t>(</w:t>
      </w:r>
      <w:r w:rsidR="001C1586" w:rsidRPr="00EA4B66">
        <w:rPr>
          <w:color w:val="000000" w:themeColor="text1"/>
          <w:sz w:val="24"/>
          <w:szCs w:val="24"/>
          <w:lang w:val="en-US"/>
        </w:rPr>
        <w:t xml:space="preserve">an increase in </w:t>
      </w:r>
      <w:r w:rsidR="00776B4C" w:rsidRPr="00EA4B66">
        <w:rPr>
          <w:color w:val="000000" w:themeColor="text1"/>
          <w:sz w:val="24"/>
          <w:szCs w:val="24"/>
          <w:lang w:val="en-US"/>
        </w:rPr>
        <w:t xml:space="preserve">SIZE) </w:t>
      </w:r>
      <w:r w:rsidR="00D9273B" w:rsidRPr="00EA4B66">
        <w:rPr>
          <w:color w:val="000000" w:themeColor="text1"/>
          <w:sz w:val="24"/>
          <w:szCs w:val="24"/>
          <w:lang w:val="en-US"/>
        </w:rPr>
        <w:t xml:space="preserve">alone </w:t>
      </w:r>
      <w:r w:rsidR="001C1586" w:rsidRPr="00EA4B66">
        <w:rPr>
          <w:color w:val="000000" w:themeColor="text1"/>
          <w:sz w:val="24"/>
          <w:szCs w:val="24"/>
          <w:lang w:val="en-US"/>
        </w:rPr>
        <w:t xml:space="preserve">will lead to </w:t>
      </w:r>
      <w:r w:rsidR="009E6182" w:rsidRPr="00EA4B66">
        <w:rPr>
          <w:color w:val="000000" w:themeColor="text1"/>
          <w:sz w:val="24"/>
          <w:szCs w:val="24"/>
          <w:lang w:val="en-US"/>
        </w:rPr>
        <w:t xml:space="preserve">an increase in IC value, in </w:t>
      </w:r>
      <w:r w:rsidR="00D9273B" w:rsidRPr="00EA4B66">
        <w:rPr>
          <w:color w:val="000000" w:themeColor="text1"/>
          <w:sz w:val="24"/>
          <w:szCs w:val="24"/>
          <w:lang w:val="en-US"/>
        </w:rPr>
        <w:t xml:space="preserve">the </w:t>
      </w:r>
      <w:r w:rsidR="009E6182" w:rsidRPr="00EA4B66">
        <w:rPr>
          <w:color w:val="000000" w:themeColor="text1"/>
          <w:sz w:val="24"/>
          <w:szCs w:val="24"/>
          <w:lang w:val="en-US"/>
        </w:rPr>
        <w:t>absence of a consistent IC-oriented investment strateg</w:t>
      </w:r>
      <w:r w:rsidR="00D9273B" w:rsidRPr="00EA4B66">
        <w:rPr>
          <w:color w:val="000000" w:themeColor="text1"/>
          <w:sz w:val="24"/>
          <w:szCs w:val="24"/>
          <w:lang w:val="en-US"/>
        </w:rPr>
        <w:t>y</w:t>
      </w:r>
      <w:r w:rsidR="009E6182" w:rsidRPr="00EA4B66">
        <w:rPr>
          <w:color w:val="000000" w:themeColor="text1"/>
          <w:sz w:val="24"/>
          <w:szCs w:val="24"/>
          <w:lang w:val="en-US"/>
        </w:rPr>
        <w:t xml:space="preserve">. </w:t>
      </w:r>
      <w:r w:rsidR="001C1586" w:rsidRPr="00EA4B66">
        <w:rPr>
          <w:color w:val="000000" w:themeColor="text1"/>
          <w:sz w:val="24"/>
          <w:szCs w:val="24"/>
          <w:lang w:val="en-US"/>
        </w:rPr>
        <w:t>M</w:t>
      </w:r>
      <w:r w:rsidR="00CD6DB1" w:rsidRPr="00EA4B66">
        <w:rPr>
          <w:color w:val="000000" w:themeColor="text1"/>
          <w:sz w:val="24"/>
          <w:szCs w:val="24"/>
          <w:lang w:val="en-US"/>
        </w:rPr>
        <w:t xml:space="preserve">anagers </w:t>
      </w:r>
      <w:r w:rsidR="009E6182" w:rsidRPr="00EA4B66">
        <w:rPr>
          <w:color w:val="000000" w:themeColor="text1"/>
          <w:sz w:val="24"/>
          <w:szCs w:val="24"/>
          <w:lang w:val="en-US"/>
        </w:rPr>
        <w:t xml:space="preserve">should </w:t>
      </w:r>
      <w:r w:rsidR="00D9273B" w:rsidRPr="00EA4B66">
        <w:rPr>
          <w:color w:val="000000" w:themeColor="text1"/>
          <w:sz w:val="24"/>
          <w:szCs w:val="24"/>
          <w:lang w:val="en-US"/>
        </w:rPr>
        <w:t xml:space="preserve">also </w:t>
      </w:r>
      <w:r w:rsidR="009E6182" w:rsidRPr="00EA4B66">
        <w:rPr>
          <w:color w:val="000000" w:themeColor="text1"/>
          <w:sz w:val="24"/>
          <w:szCs w:val="24"/>
          <w:lang w:val="en-US"/>
        </w:rPr>
        <w:t>avoid smooth</w:t>
      </w:r>
      <w:r w:rsidR="00D9273B" w:rsidRPr="00EA4B66">
        <w:rPr>
          <w:color w:val="000000" w:themeColor="text1"/>
          <w:sz w:val="24"/>
          <w:szCs w:val="24"/>
          <w:lang w:val="en-US"/>
        </w:rPr>
        <w:t>ing</w:t>
      </w:r>
      <w:r w:rsidR="009E6182" w:rsidRPr="00EA4B66">
        <w:rPr>
          <w:color w:val="000000" w:themeColor="text1"/>
          <w:sz w:val="24"/>
          <w:szCs w:val="24"/>
          <w:lang w:val="en-US"/>
        </w:rPr>
        <w:t xml:space="preserve"> their </w:t>
      </w:r>
      <w:r w:rsidR="00092955" w:rsidRPr="00EA4B66">
        <w:rPr>
          <w:color w:val="000000" w:themeColor="text1"/>
          <w:sz w:val="24"/>
          <w:szCs w:val="24"/>
          <w:lang w:val="en-US"/>
        </w:rPr>
        <w:t>IC investment</w:t>
      </w:r>
      <w:r w:rsidR="009E6182" w:rsidRPr="00EA4B66">
        <w:rPr>
          <w:color w:val="000000" w:themeColor="text1"/>
          <w:sz w:val="24"/>
          <w:szCs w:val="24"/>
          <w:lang w:val="en-US"/>
        </w:rPr>
        <w:t xml:space="preserve"> as </w:t>
      </w:r>
      <w:r w:rsidR="00D9273B" w:rsidRPr="00EA4B66">
        <w:rPr>
          <w:color w:val="000000" w:themeColor="text1"/>
          <w:sz w:val="24"/>
          <w:szCs w:val="24"/>
          <w:lang w:val="en-US"/>
        </w:rPr>
        <w:t xml:space="preserve">the </w:t>
      </w:r>
      <w:r w:rsidR="009E6182" w:rsidRPr="00EA4B66">
        <w:rPr>
          <w:color w:val="000000" w:themeColor="text1"/>
          <w:sz w:val="24"/>
          <w:szCs w:val="24"/>
          <w:lang w:val="en-US"/>
        </w:rPr>
        <w:t>company</w:t>
      </w:r>
      <w:r w:rsidR="00D9273B" w:rsidRPr="00EA4B66">
        <w:rPr>
          <w:color w:val="000000" w:themeColor="text1"/>
          <w:sz w:val="24"/>
          <w:szCs w:val="24"/>
          <w:lang w:val="en-US"/>
        </w:rPr>
        <w:t xml:space="preserve"> </w:t>
      </w:r>
      <w:r w:rsidR="00FA1811" w:rsidRPr="00EA4B66">
        <w:rPr>
          <w:color w:val="000000" w:themeColor="text1"/>
          <w:sz w:val="24"/>
          <w:szCs w:val="24"/>
          <w:lang w:val="en-US"/>
        </w:rPr>
        <w:t>grow</w:t>
      </w:r>
      <w:r w:rsidR="00D30019" w:rsidRPr="00EA4B66">
        <w:rPr>
          <w:color w:val="000000" w:themeColor="text1"/>
          <w:sz w:val="24"/>
          <w:szCs w:val="24"/>
          <w:lang w:val="en-US"/>
        </w:rPr>
        <w:t>s</w:t>
      </w:r>
      <w:r w:rsidR="009E6182" w:rsidRPr="00EA4B66">
        <w:rPr>
          <w:color w:val="000000" w:themeColor="text1"/>
          <w:sz w:val="24"/>
          <w:szCs w:val="24"/>
          <w:lang w:val="en-US"/>
        </w:rPr>
        <w:t xml:space="preserve">, in order to maintain </w:t>
      </w:r>
      <w:r w:rsidR="00617567" w:rsidRPr="00EA4B66">
        <w:rPr>
          <w:color w:val="000000" w:themeColor="text1"/>
          <w:sz w:val="24"/>
          <w:szCs w:val="24"/>
          <w:lang w:val="en-US"/>
        </w:rPr>
        <w:t xml:space="preserve">a </w:t>
      </w:r>
      <w:r w:rsidR="00760701" w:rsidRPr="00EA4B66">
        <w:rPr>
          <w:color w:val="000000" w:themeColor="text1"/>
          <w:sz w:val="24"/>
          <w:szCs w:val="24"/>
          <w:lang w:val="en-US"/>
        </w:rPr>
        <w:t>stable</w:t>
      </w:r>
      <w:r w:rsidR="00617567">
        <w:rPr>
          <w:color w:val="000000" w:themeColor="text1"/>
          <w:sz w:val="24"/>
          <w:szCs w:val="24"/>
          <w:lang w:val="en-US"/>
        </w:rPr>
        <w:t xml:space="preserve"> </w:t>
      </w:r>
      <w:r w:rsidR="00D34DE0">
        <w:rPr>
          <w:color w:val="000000" w:themeColor="text1"/>
          <w:sz w:val="24"/>
          <w:szCs w:val="24"/>
          <w:lang w:val="en-US"/>
        </w:rPr>
        <w:t>MTB</w:t>
      </w:r>
      <w:r w:rsidR="009E6182" w:rsidRPr="00EA4B66">
        <w:rPr>
          <w:color w:val="000000" w:themeColor="text1"/>
          <w:sz w:val="24"/>
          <w:szCs w:val="24"/>
          <w:lang w:val="en-US"/>
        </w:rPr>
        <w:t xml:space="preserve"> ratio.</w:t>
      </w:r>
      <w:r w:rsidR="00734B8F" w:rsidRPr="00EA4B66">
        <w:rPr>
          <w:color w:val="000000" w:themeColor="text1"/>
          <w:sz w:val="24"/>
          <w:szCs w:val="24"/>
          <w:lang w:val="en-US"/>
        </w:rPr>
        <w:t xml:space="preserve"> </w:t>
      </w:r>
      <w:r w:rsidR="00D9273B" w:rsidRPr="00EA4B66">
        <w:rPr>
          <w:color w:val="000000" w:themeColor="text1"/>
          <w:sz w:val="24"/>
          <w:szCs w:val="24"/>
          <w:lang w:val="en-US"/>
        </w:rPr>
        <w:t>Further</w:t>
      </w:r>
      <w:r w:rsidR="00DE13EA" w:rsidRPr="00EA4B66">
        <w:rPr>
          <w:color w:val="000000" w:themeColor="text1"/>
          <w:sz w:val="24"/>
          <w:szCs w:val="24"/>
          <w:lang w:val="en-US"/>
        </w:rPr>
        <w:t xml:space="preserve">, standard setters should seek </w:t>
      </w:r>
      <w:r w:rsidR="00D0653D" w:rsidRPr="00EA4B66">
        <w:rPr>
          <w:color w:val="000000" w:themeColor="text1"/>
          <w:sz w:val="24"/>
          <w:szCs w:val="24"/>
          <w:lang w:val="en-US"/>
        </w:rPr>
        <w:t xml:space="preserve">to explore better means of disclosing non-accounting information relating to IC value. </w:t>
      </w:r>
    </w:p>
    <w:p w14:paraId="6550C303" w14:textId="0FF78B4B" w:rsidR="0060426A" w:rsidRPr="00EA4B66" w:rsidRDefault="00FE5FE7" w:rsidP="006A26CD">
      <w:pPr>
        <w:spacing w:after="0"/>
        <w:jc w:val="both"/>
        <w:rPr>
          <w:b/>
          <w:i/>
          <w:color w:val="000000" w:themeColor="text1"/>
          <w:sz w:val="24"/>
          <w:szCs w:val="24"/>
          <w:lang w:val="en-US"/>
        </w:rPr>
      </w:pPr>
      <w:r w:rsidRPr="00EA4B66">
        <w:rPr>
          <w:b/>
          <w:i/>
          <w:color w:val="000000" w:themeColor="text1"/>
          <w:sz w:val="24"/>
          <w:szCs w:val="24"/>
          <w:lang w:val="en-US"/>
        </w:rPr>
        <w:t xml:space="preserve">Originality/value </w:t>
      </w:r>
      <w:r w:rsidR="00BA6641" w:rsidRPr="00EA4B66">
        <w:rPr>
          <w:b/>
          <w:i/>
          <w:color w:val="000000" w:themeColor="text1"/>
          <w:sz w:val="24"/>
          <w:szCs w:val="24"/>
          <w:lang w:val="en-US"/>
        </w:rPr>
        <w:t>–</w:t>
      </w:r>
      <w:r w:rsidRPr="00EA4B66">
        <w:rPr>
          <w:b/>
          <w:i/>
          <w:color w:val="000000" w:themeColor="text1"/>
          <w:sz w:val="24"/>
          <w:szCs w:val="24"/>
          <w:lang w:val="en-US"/>
        </w:rPr>
        <w:t xml:space="preserve"> </w:t>
      </w:r>
      <w:r w:rsidR="0060426A" w:rsidRPr="00EA4B66">
        <w:rPr>
          <w:color w:val="000000" w:themeColor="text1"/>
          <w:sz w:val="24"/>
          <w:szCs w:val="24"/>
          <w:lang w:val="en-US"/>
        </w:rPr>
        <w:t xml:space="preserve">This paper contributes to the IC literature </w:t>
      </w:r>
      <w:r w:rsidR="00D9273B" w:rsidRPr="00EA4B66">
        <w:rPr>
          <w:color w:val="000000" w:themeColor="text1"/>
          <w:sz w:val="24"/>
          <w:szCs w:val="24"/>
          <w:lang w:val="en-US"/>
        </w:rPr>
        <w:t xml:space="preserve">as it is </w:t>
      </w:r>
      <w:r w:rsidR="0060426A" w:rsidRPr="00EA4B66">
        <w:rPr>
          <w:color w:val="000000" w:themeColor="text1"/>
          <w:sz w:val="24"/>
          <w:szCs w:val="24"/>
          <w:lang w:val="en-US"/>
        </w:rPr>
        <w:t>the first study which appli</w:t>
      </w:r>
      <w:r w:rsidR="00D9273B" w:rsidRPr="00EA4B66">
        <w:rPr>
          <w:color w:val="000000" w:themeColor="text1"/>
          <w:sz w:val="24"/>
          <w:szCs w:val="24"/>
          <w:lang w:val="en-US"/>
        </w:rPr>
        <w:t>es</w:t>
      </w:r>
      <w:r w:rsidR="0060426A" w:rsidRPr="00EA4B66">
        <w:rPr>
          <w:color w:val="000000" w:themeColor="text1"/>
          <w:sz w:val="24"/>
          <w:szCs w:val="24"/>
          <w:lang w:val="en-US"/>
        </w:rPr>
        <w:t xml:space="preserve"> the Market C</w:t>
      </w:r>
      <w:r w:rsidR="00F63947" w:rsidRPr="00EA4B66">
        <w:rPr>
          <w:color w:val="000000" w:themeColor="text1"/>
          <w:sz w:val="24"/>
          <w:szCs w:val="24"/>
          <w:lang w:val="en-US"/>
        </w:rPr>
        <w:t>a</w:t>
      </w:r>
      <w:r w:rsidR="00856CFB" w:rsidRPr="00EA4B66">
        <w:rPr>
          <w:color w:val="000000" w:themeColor="text1"/>
          <w:sz w:val="24"/>
          <w:szCs w:val="24"/>
          <w:lang w:val="en-US"/>
        </w:rPr>
        <w:t>pitalization approach</w:t>
      </w:r>
      <w:r w:rsidR="00D9273B" w:rsidRPr="00EA4B66">
        <w:rPr>
          <w:color w:val="000000" w:themeColor="text1"/>
          <w:sz w:val="24"/>
          <w:szCs w:val="24"/>
          <w:lang w:val="en-US"/>
        </w:rPr>
        <w:t xml:space="preserve"> to</w:t>
      </w:r>
      <w:r w:rsidR="00856CFB" w:rsidRPr="00EA4B66">
        <w:rPr>
          <w:color w:val="000000" w:themeColor="text1"/>
          <w:sz w:val="24"/>
          <w:szCs w:val="24"/>
          <w:lang w:val="en-US"/>
        </w:rPr>
        <w:t xml:space="preserve"> </w:t>
      </w:r>
      <w:r w:rsidR="001C1586" w:rsidRPr="00EA4B66">
        <w:rPr>
          <w:color w:val="000000" w:themeColor="text1"/>
          <w:sz w:val="24"/>
          <w:szCs w:val="24"/>
          <w:lang w:val="en-US"/>
        </w:rPr>
        <w:t>analyze</w:t>
      </w:r>
      <w:r w:rsidR="0060426A" w:rsidRPr="00EA4B66">
        <w:rPr>
          <w:color w:val="000000" w:themeColor="text1"/>
          <w:sz w:val="24"/>
          <w:szCs w:val="24"/>
          <w:lang w:val="en-US"/>
        </w:rPr>
        <w:t xml:space="preserve"> IC value</w:t>
      </w:r>
      <w:r w:rsidR="001107C6" w:rsidRPr="00EA4B66">
        <w:rPr>
          <w:color w:val="000000" w:themeColor="text1"/>
          <w:sz w:val="24"/>
          <w:szCs w:val="24"/>
          <w:lang w:val="en-US"/>
        </w:rPr>
        <w:t xml:space="preserve"> determinants in the </w:t>
      </w:r>
      <w:r w:rsidR="0060426A" w:rsidRPr="00EA4B66">
        <w:rPr>
          <w:color w:val="000000" w:themeColor="text1"/>
          <w:sz w:val="24"/>
          <w:szCs w:val="24"/>
          <w:lang w:val="en-US"/>
        </w:rPr>
        <w:t>Italian context</w:t>
      </w:r>
      <w:r w:rsidR="00D9273B" w:rsidRPr="00EA4B66">
        <w:rPr>
          <w:color w:val="000000" w:themeColor="text1"/>
          <w:sz w:val="24"/>
          <w:szCs w:val="24"/>
          <w:lang w:val="en-US"/>
        </w:rPr>
        <w:t>, within the framework of</w:t>
      </w:r>
      <w:r w:rsidR="0060426A" w:rsidRPr="00EA4B66">
        <w:rPr>
          <w:color w:val="000000" w:themeColor="text1"/>
          <w:sz w:val="24"/>
          <w:szCs w:val="24"/>
          <w:lang w:val="en-US"/>
        </w:rPr>
        <w:t xml:space="preserve"> </w:t>
      </w:r>
      <w:r w:rsidR="00165F7E">
        <w:rPr>
          <w:color w:val="000000" w:themeColor="text1"/>
          <w:sz w:val="24"/>
          <w:szCs w:val="24"/>
          <w:lang w:val="en-US"/>
        </w:rPr>
        <w:t>IFRS</w:t>
      </w:r>
      <w:r w:rsidR="001107C6" w:rsidRPr="00EA4B66">
        <w:rPr>
          <w:color w:val="000000" w:themeColor="text1"/>
          <w:sz w:val="24"/>
          <w:szCs w:val="24"/>
          <w:lang w:val="en-US"/>
        </w:rPr>
        <w:t>.</w:t>
      </w:r>
      <w:r w:rsidR="00856CFB" w:rsidRPr="00EA4B66">
        <w:rPr>
          <w:color w:val="000000" w:themeColor="text1"/>
          <w:sz w:val="24"/>
          <w:szCs w:val="24"/>
          <w:lang w:val="en-US"/>
        </w:rPr>
        <w:t xml:space="preserve"> </w:t>
      </w:r>
      <w:r w:rsidR="00D9273B" w:rsidRPr="00EA4B66">
        <w:rPr>
          <w:color w:val="000000" w:themeColor="text1"/>
          <w:sz w:val="24"/>
          <w:szCs w:val="24"/>
          <w:lang w:val="en-US"/>
        </w:rPr>
        <w:t>T</w:t>
      </w:r>
      <w:r w:rsidR="00E65B32" w:rsidRPr="00EA4B66">
        <w:rPr>
          <w:color w:val="000000" w:themeColor="text1"/>
          <w:sz w:val="24"/>
          <w:szCs w:val="24"/>
          <w:lang w:val="en-US"/>
        </w:rPr>
        <w:t xml:space="preserve">he findings </w:t>
      </w:r>
      <w:r w:rsidR="00D9273B" w:rsidRPr="00EA4B66">
        <w:rPr>
          <w:color w:val="000000" w:themeColor="text1"/>
          <w:sz w:val="24"/>
          <w:szCs w:val="24"/>
          <w:lang w:val="en-US"/>
        </w:rPr>
        <w:t xml:space="preserve">reveal </w:t>
      </w:r>
      <w:r w:rsidR="00E65B32" w:rsidRPr="00EA4B66">
        <w:rPr>
          <w:color w:val="000000" w:themeColor="text1"/>
          <w:sz w:val="24"/>
          <w:szCs w:val="24"/>
          <w:lang w:val="en-US"/>
        </w:rPr>
        <w:t>some interesting relations</w:t>
      </w:r>
      <w:r w:rsidR="00D9273B" w:rsidRPr="00EA4B66">
        <w:rPr>
          <w:color w:val="000000" w:themeColor="text1"/>
          <w:sz w:val="24"/>
          <w:szCs w:val="24"/>
          <w:lang w:val="en-US"/>
        </w:rPr>
        <w:t>hips</w:t>
      </w:r>
      <w:r w:rsidR="00E65B32" w:rsidRPr="00EA4B66">
        <w:rPr>
          <w:color w:val="000000" w:themeColor="text1"/>
          <w:sz w:val="24"/>
          <w:szCs w:val="24"/>
          <w:lang w:val="en-US"/>
        </w:rPr>
        <w:t xml:space="preserve"> between the MTB </w:t>
      </w:r>
      <w:r w:rsidR="00D9273B" w:rsidRPr="00EA4B66">
        <w:rPr>
          <w:color w:val="000000" w:themeColor="text1"/>
          <w:sz w:val="24"/>
          <w:szCs w:val="24"/>
          <w:lang w:val="en-US"/>
        </w:rPr>
        <w:t xml:space="preserve">ratio </w:t>
      </w:r>
      <w:r w:rsidR="00E65B32" w:rsidRPr="00EA4B66">
        <w:rPr>
          <w:color w:val="000000" w:themeColor="text1"/>
          <w:sz w:val="24"/>
          <w:szCs w:val="24"/>
          <w:lang w:val="en-US"/>
        </w:rPr>
        <w:t>and recognized intangible investments</w:t>
      </w:r>
      <w:r w:rsidR="00D9273B" w:rsidRPr="00EA4B66">
        <w:rPr>
          <w:color w:val="000000" w:themeColor="text1"/>
          <w:sz w:val="24"/>
          <w:szCs w:val="24"/>
          <w:lang w:val="en-US"/>
        </w:rPr>
        <w:t>,</w:t>
      </w:r>
      <w:r w:rsidR="00411AF7" w:rsidRPr="00EA4B66">
        <w:rPr>
          <w:color w:val="000000" w:themeColor="text1"/>
          <w:sz w:val="24"/>
          <w:szCs w:val="24"/>
          <w:lang w:val="en-US"/>
        </w:rPr>
        <w:t xml:space="preserve"> </w:t>
      </w:r>
      <w:r w:rsidR="00D9273B" w:rsidRPr="00EA4B66">
        <w:rPr>
          <w:color w:val="000000" w:themeColor="text1"/>
          <w:sz w:val="24"/>
          <w:szCs w:val="24"/>
          <w:lang w:val="en-US"/>
        </w:rPr>
        <w:t>which are found to be insignificant</w:t>
      </w:r>
      <w:r w:rsidR="00411AF7" w:rsidRPr="00EA4B66">
        <w:rPr>
          <w:color w:val="000000" w:themeColor="text1"/>
          <w:sz w:val="24"/>
          <w:szCs w:val="24"/>
          <w:lang w:val="en-US"/>
        </w:rPr>
        <w:t xml:space="preserve"> in previous studies</w:t>
      </w:r>
      <w:r w:rsidR="00E65B32" w:rsidRPr="00EA4B66">
        <w:rPr>
          <w:color w:val="000000" w:themeColor="text1"/>
          <w:sz w:val="24"/>
          <w:szCs w:val="24"/>
          <w:lang w:val="en-US"/>
        </w:rPr>
        <w:t>, confirming that, through the holistic effect</w:t>
      </w:r>
      <w:r w:rsidR="00411AF7" w:rsidRPr="00EA4B66">
        <w:rPr>
          <w:color w:val="000000" w:themeColor="text1"/>
          <w:sz w:val="24"/>
          <w:szCs w:val="24"/>
          <w:lang w:val="en-US"/>
        </w:rPr>
        <w:t>,</w:t>
      </w:r>
      <w:r w:rsidR="00E65B32" w:rsidRPr="00EA4B66">
        <w:rPr>
          <w:color w:val="000000" w:themeColor="text1"/>
          <w:sz w:val="24"/>
          <w:szCs w:val="24"/>
          <w:lang w:val="en-US"/>
        </w:rPr>
        <w:t xml:space="preserve"> the MTB </w:t>
      </w:r>
      <w:r w:rsidR="00D9273B" w:rsidRPr="00EA4B66">
        <w:rPr>
          <w:color w:val="000000" w:themeColor="text1"/>
          <w:sz w:val="24"/>
          <w:szCs w:val="24"/>
          <w:lang w:val="en-US"/>
        </w:rPr>
        <w:t xml:space="preserve">ratio </w:t>
      </w:r>
      <w:r w:rsidR="00411AF7" w:rsidRPr="00EA4B66">
        <w:rPr>
          <w:color w:val="000000" w:themeColor="text1"/>
          <w:sz w:val="24"/>
          <w:szCs w:val="24"/>
          <w:lang w:val="en-US"/>
        </w:rPr>
        <w:t xml:space="preserve">may be </w:t>
      </w:r>
      <w:r w:rsidR="00E65B32" w:rsidRPr="00EA4B66">
        <w:rPr>
          <w:color w:val="000000" w:themeColor="text1"/>
          <w:sz w:val="24"/>
          <w:szCs w:val="24"/>
          <w:lang w:val="en-US"/>
        </w:rPr>
        <w:t xml:space="preserve">a good proxy </w:t>
      </w:r>
      <w:r w:rsidR="00D9273B" w:rsidRPr="00EA4B66">
        <w:rPr>
          <w:color w:val="000000" w:themeColor="text1"/>
          <w:sz w:val="24"/>
          <w:szCs w:val="24"/>
          <w:lang w:val="en-US"/>
        </w:rPr>
        <w:t xml:space="preserve">for </w:t>
      </w:r>
      <w:r w:rsidR="009B4674">
        <w:rPr>
          <w:color w:val="000000" w:themeColor="text1"/>
          <w:sz w:val="24"/>
          <w:szCs w:val="24"/>
          <w:lang w:val="en-US"/>
        </w:rPr>
        <w:t>IC</w:t>
      </w:r>
      <w:r w:rsidR="00411AF7" w:rsidRPr="00EA4B66">
        <w:rPr>
          <w:color w:val="000000" w:themeColor="text1"/>
          <w:sz w:val="24"/>
          <w:szCs w:val="24"/>
          <w:lang w:val="en-US"/>
        </w:rPr>
        <w:t>.</w:t>
      </w:r>
    </w:p>
    <w:p w14:paraId="1C64D5FA" w14:textId="6364D55F" w:rsidR="00FE5FE7" w:rsidRPr="00EA4B66" w:rsidRDefault="00FE5FE7" w:rsidP="006A26CD">
      <w:pPr>
        <w:spacing w:after="0"/>
        <w:jc w:val="both"/>
        <w:rPr>
          <w:color w:val="000000" w:themeColor="text1"/>
          <w:sz w:val="24"/>
          <w:szCs w:val="24"/>
          <w:lang w:val="en-US"/>
        </w:rPr>
      </w:pPr>
    </w:p>
    <w:p w14:paraId="63719E07" w14:textId="2297DF9A" w:rsidR="00FE5FE7" w:rsidRPr="00EA4B66" w:rsidRDefault="00FE5FE7" w:rsidP="006A26CD">
      <w:pPr>
        <w:spacing w:after="0"/>
        <w:jc w:val="both"/>
        <w:rPr>
          <w:color w:val="000000" w:themeColor="text1"/>
          <w:sz w:val="24"/>
          <w:szCs w:val="24"/>
          <w:lang w:val="en-US"/>
        </w:rPr>
      </w:pPr>
      <w:r w:rsidRPr="00EA4B66">
        <w:rPr>
          <w:b/>
          <w:i/>
          <w:color w:val="000000" w:themeColor="text1"/>
          <w:sz w:val="24"/>
          <w:szCs w:val="24"/>
          <w:lang w:val="en-US"/>
        </w:rPr>
        <w:t>Keywords</w:t>
      </w:r>
      <w:r w:rsidRPr="00EA4B66">
        <w:rPr>
          <w:color w:val="000000" w:themeColor="text1"/>
          <w:sz w:val="24"/>
          <w:szCs w:val="24"/>
          <w:lang w:val="en-US"/>
        </w:rPr>
        <w:t>: Intellectual Capital, Intangible Assets, Market to Book</w:t>
      </w:r>
      <w:r w:rsidR="00901C99" w:rsidRPr="00EA4B66">
        <w:rPr>
          <w:color w:val="000000" w:themeColor="text1"/>
          <w:sz w:val="24"/>
          <w:szCs w:val="24"/>
          <w:lang w:val="en-US"/>
        </w:rPr>
        <w:t xml:space="preserve"> Ratio</w:t>
      </w:r>
      <w:r w:rsidRPr="00EA4B66">
        <w:rPr>
          <w:color w:val="000000" w:themeColor="text1"/>
          <w:sz w:val="24"/>
          <w:szCs w:val="24"/>
          <w:lang w:val="en-US"/>
        </w:rPr>
        <w:t>, Italy</w:t>
      </w:r>
      <w:r w:rsidR="00901C99" w:rsidRPr="00EA4B66">
        <w:rPr>
          <w:color w:val="000000" w:themeColor="text1"/>
          <w:sz w:val="24"/>
          <w:szCs w:val="24"/>
          <w:lang w:val="en-US"/>
        </w:rPr>
        <w:t xml:space="preserve">, Listed </w:t>
      </w:r>
      <w:r w:rsidR="00CB234F" w:rsidRPr="00EA4B66">
        <w:rPr>
          <w:color w:val="000000" w:themeColor="text1"/>
          <w:sz w:val="24"/>
          <w:szCs w:val="24"/>
          <w:lang w:val="en-US"/>
        </w:rPr>
        <w:t>C</w:t>
      </w:r>
      <w:r w:rsidR="00901C99" w:rsidRPr="00EA4B66">
        <w:rPr>
          <w:color w:val="000000" w:themeColor="text1"/>
          <w:sz w:val="24"/>
          <w:szCs w:val="24"/>
          <w:lang w:val="en-US"/>
        </w:rPr>
        <w:t>ompanies</w:t>
      </w:r>
      <w:r w:rsidRPr="00EA4B66">
        <w:rPr>
          <w:color w:val="000000" w:themeColor="text1"/>
          <w:sz w:val="24"/>
          <w:szCs w:val="24"/>
          <w:lang w:val="en-US"/>
        </w:rPr>
        <w:t>.</w:t>
      </w:r>
    </w:p>
    <w:p w14:paraId="18C853F4" w14:textId="77777777" w:rsidR="006A26CD" w:rsidRPr="00EA4B66" w:rsidRDefault="00FE5FE7" w:rsidP="00594D9E">
      <w:pPr>
        <w:spacing w:after="0"/>
        <w:jc w:val="both"/>
        <w:rPr>
          <w:color w:val="000000" w:themeColor="text1"/>
          <w:sz w:val="24"/>
          <w:szCs w:val="24"/>
          <w:lang w:val="en-US"/>
        </w:rPr>
      </w:pPr>
      <w:r w:rsidRPr="00EA4B66">
        <w:rPr>
          <w:b/>
          <w:i/>
          <w:color w:val="000000" w:themeColor="text1"/>
          <w:sz w:val="24"/>
          <w:szCs w:val="24"/>
          <w:lang w:val="en-US"/>
        </w:rPr>
        <w:t xml:space="preserve">Paper type – </w:t>
      </w:r>
      <w:r w:rsidRPr="00EA4B66">
        <w:rPr>
          <w:color w:val="000000" w:themeColor="text1"/>
          <w:sz w:val="24"/>
          <w:szCs w:val="24"/>
          <w:lang w:val="en-US"/>
        </w:rPr>
        <w:t xml:space="preserve">Research Paper. </w:t>
      </w:r>
    </w:p>
    <w:p w14:paraId="58497036" w14:textId="77777777" w:rsidR="002D3AFE" w:rsidRPr="00EA4B66" w:rsidRDefault="002D3AFE" w:rsidP="00F0754C">
      <w:pPr>
        <w:rPr>
          <w:b/>
          <w:bCs/>
          <w:color w:val="000000" w:themeColor="text1"/>
          <w:sz w:val="24"/>
          <w:szCs w:val="24"/>
          <w:lang w:val="en-US"/>
        </w:rPr>
      </w:pPr>
    </w:p>
    <w:p w14:paraId="1462A6C7" w14:textId="77777777" w:rsidR="00380420" w:rsidRPr="00EA4B66" w:rsidRDefault="00380420" w:rsidP="00F0754C">
      <w:pPr>
        <w:rPr>
          <w:b/>
          <w:bCs/>
          <w:color w:val="000000" w:themeColor="text1"/>
          <w:sz w:val="24"/>
          <w:szCs w:val="24"/>
          <w:lang w:val="en-US"/>
        </w:rPr>
      </w:pPr>
    </w:p>
    <w:p w14:paraId="27A4EDFF" w14:textId="77777777" w:rsidR="00262617" w:rsidRPr="00EA4B66" w:rsidRDefault="002D3AFE" w:rsidP="00262617">
      <w:pPr>
        <w:spacing w:after="0" w:line="240" w:lineRule="auto"/>
        <w:rPr>
          <w:b/>
          <w:bCs/>
          <w:color w:val="000000" w:themeColor="text1"/>
          <w:sz w:val="24"/>
          <w:szCs w:val="24"/>
          <w:lang w:val="en-US"/>
        </w:rPr>
      </w:pPr>
      <w:r w:rsidRPr="00EA4B66">
        <w:rPr>
          <w:b/>
          <w:bCs/>
          <w:color w:val="000000" w:themeColor="text1"/>
          <w:sz w:val="24"/>
          <w:szCs w:val="24"/>
          <w:lang w:val="en-US"/>
        </w:rPr>
        <w:br w:type="page"/>
      </w:r>
    </w:p>
    <w:p w14:paraId="7D4B10F9" w14:textId="77777777" w:rsidR="0090491F" w:rsidRPr="00EA4B66" w:rsidRDefault="30989F24" w:rsidP="00262617">
      <w:pPr>
        <w:spacing w:after="0" w:line="240" w:lineRule="auto"/>
        <w:rPr>
          <w:b/>
          <w:bCs/>
          <w:color w:val="000000" w:themeColor="text1"/>
          <w:sz w:val="24"/>
          <w:szCs w:val="24"/>
          <w:lang w:val="en-US"/>
        </w:rPr>
      </w:pPr>
      <w:r w:rsidRPr="00EA4B66">
        <w:rPr>
          <w:b/>
          <w:bCs/>
          <w:color w:val="000000" w:themeColor="text1"/>
          <w:sz w:val="24"/>
          <w:szCs w:val="24"/>
          <w:lang w:val="en-US"/>
        </w:rPr>
        <w:lastRenderedPageBreak/>
        <w:t>1. Introduction</w:t>
      </w:r>
    </w:p>
    <w:p w14:paraId="41FFCCBF" w14:textId="2152FB2E" w:rsidR="00BF2E1B" w:rsidRPr="00EA4B66" w:rsidRDefault="008B2389" w:rsidP="00251B8D">
      <w:pPr>
        <w:spacing w:after="0" w:line="240" w:lineRule="auto"/>
        <w:jc w:val="both"/>
        <w:rPr>
          <w:noProof/>
          <w:color w:val="000000" w:themeColor="text1"/>
          <w:sz w:val="24"/>
          <w:szCs w:val="24"/>
          <w:lang w:val="en-US"/>
        </w:rPr>
      </w:pPr>
      <w:r w:rsidRPr="00EA4B66">
        <w:rPr>
          <w:noProof/>
          <w:color w:val="000000" w:themeColor="text1"/>
          <w:sz w:val="24"/>
          <w:szCs w:val="24"/>
          <w:lang w:val="en-US"/>
        </w:rPr>
        <w:t>Over the decades</w:t>
      </w:r>
      <w:r w:rsidR="600ABC83" w:rsidRPr="00EA4B66">
        <w:rPr>
          <w:noProof/>
          <w:color w:val="000000" w:themeColor="text1"/>
          <w:sz w:val="24"/>
          <w:szCs w:val="24"/>
          <w:lang w:val="en-US"/>
        </w:rPr>
        <w:t>, the</w:t>
      </w:r>
      <w:r w:rsidR="00204097" w:rsidRPr="00EA4B66">
        <w:rPr>
          <w:noProof/>
          <w:color w:val="000000" w:themeColor="text1"/>
          <w:sz w:val="24"/>
          <w:szCs w:val="24"/>
          <w:lang w:val="en-US"/>
        </w:rPr>
        <w:t xml:space="preserve"> world</w:t>
      </w:r>
      <w:r w:rsidR="600ABC83" w:rsidRPr="00EA4B66">
        <w:rPr>
          <w:noProof/>
          <w:color w:val="000000" w:themeColor="text1"/>
          <w:sz w:val="24"/>
          <w:szCs w:val="24"/>
          <w:lang w:val="en-US"/>
        </w:rPr>
        <w:t xml:space="preserve"> economy has moved from an industrial to a knowledge economy</w:t>
      </w:r>
      <w:r w:rsidR="00B25905" w:rsidRPr="00EA4B66">
        <w:rPr>
          <w:noProof/>
          <w:color w:val="000000" w:themeColor="text1"/>
          <w:sz w:val="24"/>
          <w:szCs w:val="24"/>
          <w:lang w:val="en-US"/>
        </w:rPr>
        <w:t xml:space="preserve"> (</w:t>
      </w:r>
      <w:r w:rsidR="003F093E" w:rsidRPr="00EA4B66">
        <w:rPr>
          <w:noProof/>
          <w:color w:val="000000" w:themeColor="text1"/>
          <w:sz w:val="24"/>
          <w:szCs w:val="24"/>
          <w:lang w:val="en-US"/>
        </w:rPr>
        <w:t xml:space="preserve">Guthrie and Petty, 2000; </w:t>
      </w:r>
      <w:r w:rsidR="006D1126" w:rsidRPr="00EA4B66">
        <w:rPr>
          <w:noProof/>
          <w:color w:val="000000" w:themeColor="text1"/>
          <w:sz w:val="24"/>
          <w:szCs w:val="24"/>
          <w:lang w:val="en-US"/>
        </w:rPr>
        <w:t xml:space="preserve">Marr </w:t>
      </w:r>
      <w:r w:rsidR="00C15405" w:rsidRPr="0068377A">
        <w:rPr>
          <w:i/>
          <w:noProof/>
          <w:color w:val="000000" w:themeColor="text1"/>
          <w:sz w:val="24"/>
          <w:szCs w:val="24"/>
          <w:lang w:val="en-US"/>
        </w:rPr>
        <w:t>et al</w:t>
      </w:r>
      <w:r w:rsidR="00C15405" w:rsidRPr="00EA4B66">
        <w:rPr>
          <w:noProof/>
          <w:color w:val="000000" w:themeColor="text1"/>
          <w:sz w:val="24"/>
          <w:szCs w:val="24"/>
          <w:lang w:val="en-US"/>
        </w:rPr>
        <w:t xml:space="preserve">., </w:t>
      </w:r>
      <w:r w:rsidR="006D1126" w:rsidRPr="00EA4B66">
        <w:rPr>
          <w:noProof/>
          <w:color w:val="000000" w:themeColor="text1"/>
          <w:sz w:val="24"/>
          <w:szCs w:val="24"/>
          <w:lang w:val="en-US"/>
        </w:rPr>
        <w:t xml:space="preserve"> 2004; Lev </w:t>
      </w:r>
      <w:r w:rsidR="006D1126" w:rsidRPr="00EA4B66">
        <w:rPr>
          <w:i/>
          <w:noProof/>
          <w:color w:val="000000" w:themeColor="text1"/>
          <w:sz w:val="24"/>
          <w:szCs w:val="24"/>
          <w:lang w:val="en-US"/>
        </w:rPr>
        <w:t>et al</w:t>
      </w:r>
      <w:r w:rsidR="006D1126" w:rsidRPr="00EA4B66">
        <w:rPr>
          <w:noProof/>
          <w:color w:val="000000" w:themeColor="text1"/>
          <w:sz w:val="24"/>
          <w:szCs w:val="24"/>
          <w:lang w:val="en-US"/>
        </w:rPr>
        <w:t>., 2005</w:t>
      </w:r>
      <w:r w:rsidR="00701B5E" w:rsidRPr="00EA4B66">
        <w:rPr>
          <w:noProof/>
          <w:color w:val="000000" w:themeColor="text1"/>
          <w:sz w:val="24"/>
          <w:szCs w:val="24"/>
          <w:lang w:val="en-US"/>
        </w:rPr>
        <w:t xml:space="preserve">; </w:t>
      </w:r>
      <w:r w:rsidR="002C1685" w:rsidRPr="00EA4B66">
        <w:rPr>
          <w:noProof/>
          <w:color w:val="000000" w:themeColor="text1"/>
          <w:sz w:val="24"/>
          <w:szCs w:val="24"/>
          <w:lang w:val="en-US"/>
        </w:rPr>
        <w:t xml:space="preserve">Dženopoljac </w:t>
      </w:r>
      <w:r w:rsidR="002C1685" w:rsidRPr="00EA4B66">
        <w:rPr>
          <w:i/>
          <w:noProof/>
          <w:color w:val="000000" w:themeColor="text1"/>
          <w:sz w:val="24"/>
          <w:szCs w:val="24"/>
          <w:lang w:val="en-US"/>
        </w:rPr>
        <w:t>et al</w:t>
      </w:r>
      <w:r w:rsidR="002C1685" w:rsidRPr="00EA4B66">
        <w:rPr>
          <w:noProof/>
          <w:color w:val="000000" w:themeColor="text1"/>
          <w:sz w:val="24"/>
          <w:szCs w:val="24"/>
          <w:lang w:val="en-US"/>
        </w:rPr>
        <w:t>., 2016</w:t>
      </w:r>
      <w:r w:rsidR="001B283B" w:rsidRPr="00EA4B66">
        <w:rPr>
          <w:noProof/>
          <w:color w:val="000000" w:themeColor="text1"/>
          <w:sz w:val="24"/>
          <w:szCs w:val="24"/>
          <w:lang w:val="en-US"/>
        </w:rPr>
        <w:t>)</w:t>
      </w:r>
      <w:r w:rsidR="00204097" w:rsidRPr="00EA4B66">
        <w:rPr>
          <w:noProof/>
          <w:color w:val="000000" w:themeColor="text1"/>
          <w:sz w:val="24"/>
          <w:szCs w:val="24"/>
          <w:lang w:val="en-US"/>
        </w:rPr>
        <w:t xml:space="preserve">, </w:t>
      </w:r>
      <w:r w:rsidR="007F4542" w:rsidRPr="00EA4B66">
        <w:rPr>
          <w:noProof/>
          <w:color w:val="000000" w:themeColor="text1"/>
          <w:sz w:val="24"/>
          <w:szCs w:val="24"/>
          <w:lang w:val="en-US"/>
        </w:rPr>
        <w:t>with</w:t>
      </w:r>
      <w:r w:rsidR="00204097" w:rsidRPr="00EA4B66">
        <w:rPr>
          <w:noProof/>
          <w:color w:val="000000" w:themeColor="text1"/>
          <w:sz w:val="24"/>
          <w:szCs w:val="24"/>
          <w:lang w:val="en-US"/>
        </w:rPr>
        <w:t xml:space="preserve">in which </w:t>
      </w:r>
      <w:r w:rsidR="007F4542" w:rsidRPr="00EA4B66">
        <w:rPr>
          <w:noProof/>
          <w:color w:val="000000" w:themeColor="text1"/>
          <w:sz w:val="24"/>
          <w:szCs w:val="24"/>
          <w:lang w:val="en-US"/>
        </w:rPr>
        <w:t xml:space="preserve">firms pursuing value creation and competitive advantage have focused their attention on developing their </w:t>
      </w:r>
      <w:r w:rsidR="00204097" w:rsidRPr="00EA4B66">
        <w:rPr>
          <w:noProof/>
          <w:color w:val="000000" w:themeColor="text1"/>
          <w:sz w:val="24"/>
          <w:szCs w:val="24"/>
          <w:lang w:val="en-US"/>
        </w:rPr>
        <w:t>intangible and know</w:t>
      </w:r>
      <w:r w:rsidR="007F4542" w:rsidRPr="00EA4B66">
        <w:rPr>
          <w:noProof/>
          <w:color w:val="000000" w:themeColor="text1"/>
          <w:sz w:val="24"/>
          <w:szCs w:val="24"/>
          <w:lang w:val="en-US"/>
        </w:rPr>
        <w:t>le</w:t>
      </w:r>
      <w:r w:rsidR="00204097" w:rsidRPr="00EA4B66">
        <w:rPr>
          <w:noProof/>
          <w:color w:val="000000" w:themeColor="text1"/>
          <w:sz w:val="24"/>
          <w:szCs w:val="24"/>
          <w:lang w:val="en-US"/>
        </w:rPr>
        <w:t>dge assets as critical factors</w:t>
      </w:r>
      <w:r w:rsidR="00653BFE" w:rsidRPr="00EA4B66">
        <w:rPr>
          <w:noProof/>
          <w:color w:val="000000" w:themeColor="text1"/>
          <w:sz w:val="24"/>
          <w:szCs w:val="24"/>
          <w:lang w:val="en-US"/>
        </w:rPr>
        <w:t xml:space="preserve"> to success</w:t>
      </w:r>
      <w:r w:rsidR="00204097" w:rsidRPr="00EA4B66">
        <w:rPr>
          <w:noProof/>
          <w:color w:val="000000" w:themeColor="text1"/>
          <w:sz w:val="24"/>
          <w:szCs w:val="24"/>
          <w:lang w:val="en-US"/>
        </w:rPr>
        <w:t xml:space="preserve"> (Li </w:t>
      </w:r>
      <w:r w:rsidR="00204097" w:rsidRPr="00EA4B66">
        <w:rPr>
          <w:i/>
          <w:noProof/>
          <w:color w:val="000000" w:themeColor="text1"/>
          <w:sz w:val="24"/>
          <w:szCs w:val="24"/>
          <w:lang w:val="en-US"/>
        </w:rPr>
        <w:t>et al</w:t>
      </w:r>
      <w:r w:rsidR="00204097" w:rsidRPr="00EA4B66">
        <w:rPr>
          <w:noProof/>
          <w:color w:val="000000" w:themeColor="text1"/>
          <w:sz w:val="24"/>
          <w:szCs w:val="24"/>
          <w:lang w:val="en-US"/>
        </w:rPr>
        <w:t xml:space="preserve">., 2008; Sonnier </w:t>
      </w:r>
      <w:r w:rsidR="00204097" w:rsidRPr="00EA4B66">
        <w:rPr>
          <w:i/>
          <w:noProof/>
          <w:color w:val="000000" w:themeColor="text1"/>
          <w:sz w:val="24"/>
          <w:szCs w:val="24"/>
          <w:lang w:val="en-US"/>
        </w:rPr>
        <w:t>et al</w:t>
      </w:r>
      <w:r w:rsidR="008352B4" w:rsidRPr="00EA4B66">
        <w:rPr>
          <w:noProof/>
          <w:color w:val="000000" w:themeColor="text1"/>
          <w:sz w:val="24"/>
          <w:szCs w:val="24"/>
          <w:lang w:val="en-US"/>
        </w:rPr>
        <w:t>., 2009</w:t>
      </w:r>
      <w:r w:rsidR="00204097" w:rsidRPr="00EA4B66">
        <w:rPr>
          <w:noProof/>
          <w:color w:val="000000" w:themeColor="text1"/>
          <w:sz w:val="24"/>
          <w:szCs w:val="24"/>
          <w:lang w:val="en-US"/>
        </w:rPr>
        <w:t>; Yi and Davey, 2010).</w:t>
      </w:r>
      <w:r w:rsidR="00653BFE" w:rsidRPr="00EA4B66">
        <w:rPr>
          <w:noProof/>
          <w:color w:val="000000" w:themeColor="text1"/>
          <w:sz w:val="24"/>
          <w:szCs w:val="24"/>
          <w:lang w:val="en-US"/>
        </w:rPr>
        <w:t xml:space="preserve"> </w:t>
      </w:r>
      <w:r w:rsidR="00FD03DE" w:rsidRPr="00EA4B66">
        <w:rPr>
          <w:noProof/>
          <w:color w:val="000000" w:themeColor="text1"/>
          <w:sz w:val="24"/>
          <w:szCs w:val="24"/>
          <w:lang w:val="en-US"/>
        </w:rPr>
        <w:t xml:space="preserve">Intellectual </w:t>
      </w:r>
      <w:r w:rsidR="00CB234F" w:rsidRPr="00EA4B66">
        <w:rPr>
          <w:noProof/>
          <w:color w:val="000000" w:themeColor="text1"/>
          <w:sz w:val="24"/>
          <w:szCs w:val="24"/>
          <w:lang w:val="en-US"/>
        </w:rPr>
        <w:t>c</w:t>
      </w:r>
      <w:r w:rsidR="00FD03DE" w:rsidRPr="00EA4B66">
        <w:rPr>
          <w:noProof/>
          <w:color w:val="000000" w:themeColor="text1"/>
          <w:sz w:val="24"/>
          <w:szCs w:val="24"/>
          <w:lang w:val="en-US"/>
        </w:rPr>
        <w:t>apital (IC)</w:t>
      </w:r>
      <w:r w:rsidR="006B5886" w:rsidRPr="00EA4B66">
        <w:rPr>
          <w:noProof/>
          <w:color w:val="000000" w:themeColor="text1"/>
          <w:sz w:val="24"/>
          <w:szCs w:val="24"/>
          <w:lang w:val="en-US"/>
        </w:rPr>
        <w:t xml:space="preserve"> is</w:t>
      </w:r>
      <w:r w:rsidR="00FD03DE" w:rsidRPr="00EA4B66">
        <w:rPr>
          <w:noProof/>
          <w:color w:val="000000" w:themeColor="text1"/>
          <w:sz w:val="24"/>
          <w:szCs w:val="24"/>
          <w:lang w:val="en-US"/>
        </w:rPr>
        <w:t xml:space="preserve"> commonly referred to </w:t>
      </w:r>
      <w:r w:rsidR="00653BFE" w:rsidRPr="00EA4B66">
        <w:rPr>
          <w:noProof/>
          <w:color w:val="000000" w:themeColor="text1"/>
          <w:sz w:val="24"/>
          <w:szCs w:val="24"/>
          <w:lang w:val="en-US"/>
        </w:rPr>
        <w:t xml:space="preserve">as </w:t>
      </w:r>
      <w:r w:rsidR="00FD03DE" w:rsidRPr="00EA4B66">
        <w:rPr>
          <w:noProof/>
          <w:color w:val="000000" w:themeColor="text1"/>
          <w:sz w:val="24"/>
          <w:szCs w:val="24"/>
          <w:lang w:val="en-US"/>
        </w:rPr>
        <w:t>intangible assets</w:t>
      </w:r>
      <w:r w:rsidR="00CF0BD5">
        <w:rPr>
          <w:noProof/>
          <w:color w:val="000000" w:themeColor="text1"/>
          <w:sz w:val="24"/>
          <w:szCs w:val="24"/>
          <w:lang w:val="en-US"/>
        </w:rPr>
        <w:t xml:space="preserve"> (IA)</w:t>
      </w:r>
      <w:r w:rsidR="00FD03DE" w:rsidRPr="00EA4B66">
        <w:rPr>
          <w:noProof/>
          <w:color w:val="000000" w:themeColor="text1"/>
          <w:sz w:val="24"/>
          <w:szCs w:val="24"/>
          <w:lang w:val="en-US"/>
        </w:rPr>
        <w:t>,</w:t>
      </w:r>
      <w:r w:rsidR="00210539" w:rsidRPr="00EA4B66">
        <w:rPr>
          <w:noProof/>
          <w:color w:val="000000" w:themeColor="text1"/>
          <w:sz w:val="24"/>
          <w:szCs w:val="24"/>
          <w:lang w:val="en-US"/>
        </w:rPr>
        <w:t xml:space="preserve"> </w:t>
      </w:r>
      <w:r w:rsidR="00653BFE" w:rsidRPr="00EA4B66">
        <w:rPr>
          <w:noProof/>
          <w:color w:val="000000" w:themeColor="text1"/>
          <w:sz w:val="24"/>
          <w:szCs w:val="24"/>
          <w:lang w:val="en-US"/>
        </w:rPr>
        <w:t xml:space="preserve">and takes </w:t>
      </w:r>
      <w:r w:rsidR="00071ACB" w:rsidRPr="00EA4B66">
        <w:rPr>
          <w:noProof/>
          <w:color w:val="000000" w:themeColor="text1"/>
          <w:sz w:val="24"/>
          <w:szCs w:val="24"/>
          <w:lang w:val="en-US"/>
        </w:rPr>
        <w:t>the form of knowledge, brands,</w:t>
      </w:r>
      <w:r w:rsidR="004F48F6" w:rsidRPr="00EA4B66">
        <w:rPr>
          <w:noProof/>
          <w:color w:val="000000" w:themeColor="text1"/>
          <w:sz w:val="24"/>
          <w:szCs w:val="24"/>
          <w:lang w:val="en-US"/>
        </w:rPr>
        <w:t xml:space="preserve"> </w:t>
      </w:r>
      <w:r w:rsidR="00071ACB" w:rsidRPr="00EA4B66">
        <w:rPr>
          <w:noProof/>
          <w:color w:val="000000" w:themeColor="text1"/>
          <w:sz w:val="24"/>
          <w:szCs w:val="24"/>
          <w:lang w:val="en-US"/>
        </w:rPr>
        <w:t xml:space="preserve">patents and trademarks, customer relationships, human capital, </w:t>
      </w:r>
      <w:r w:rsidR="00C13AD1" w:rsidRPr="00EA4B66">
        <w:rPr>
          <w:noProof/>
          <w:color w:val="000000" w:themeColor="text1"/>
          <w:sz w:val="24"/>
          <w:szCs w:val="24"/>
          <w:lang w:val="en-US"/>
        </w:rPr>
        <w:t xml:space="preserve">and </w:t>
      </w:r>
      <w:r w:rsidR="00071ACB" w:rsidRPr="00EA4B66">
        <w:rPr>
          <w:noProof/>
          <w:color w:val="000000" w:themeColor="text1"/>
          <w:sz w:val="24"/>
          <w:szCs w:val="24"/>
          <w:lang w:val="en-US"/>
        </w:rPr>
        <w:t>research and development</w:t>
      </w:r>
      <w:r w:rsidR="00C13AD1" w:rsidRPr="00EA4B66">
        <w:rPr>
          <w:noProof/>
          <w:color w:val="000000" w:themeColor="text1"/>
          <w:sz w:val="24"/>
          <w:szCs w:val="24"/>
          <w:lang w:val="en-US"/>
        </w:rPr>
        <w:t xml:space="preserve"> </w:t>
      </w:r>
      <w:r w:rsidR="00347911" w:rsidRPr="00EA4B66">
        <w:rPr>
          <w:noProof/>
          <w:color w:val="000000" w:themeColor="text1"/>
          <w:sz w:val="24"/>
          <w:szCs w:val="24"/>
          <w:lang w:val="en-US"/>
        </w:rPr>
        <w:t>(</w:t>
      </w:r>
      <w:r w:rsidR="00210539" w:rsidRPr="00EA4B66">
        <w:rPr>
          <w:noProof/>
          <w:color w:val="000000" w:themeColor="text1"/>
          <w:sz w:val="24"/>
          <w:szCs w:val="24"/>
          <w:lang w:val="en-US"/>
        </w:rPr>
        <w:t xml:space="preserve">Lev </w:t>
      </w:r>
      <w:r w:rsidR="00210539" w:rsidRPr="00EA4B66">
        <w:rPr>
          <w:i/>
          <w:noProof/>
          <w:color w:val="000000" w:themeColor="text1"/>
          <w:sz w:val="24"/>
          <w:szCs w:val="24"/>
          <w:lang w:val="en-US"/>
        </w:rPr>
        <w:t>et al</w:t>
      </w:r>
      <w:r w:rsidR="00210539" w:rsidRPr="00EA4B66">
        <w:rPr>
          <w:noProof/>
          <w:color w:val="000000" w:themeColor="text1"/>
          <w:sz w:val="24"/>
          <w:szCs w:val="24"/>
          <w:lang w:val="en-US"/>
        </w:rPr>
        <w:t>., 2005;</w:t>
      </w:r>
      <w:r w:rsidR="009E2EC9" w:rsidRPr="00EA4B66">
        <w:rPr>
          <w:noProof/>
          <w:color w:val="000000" w:themeColor="text1"/>
          <w:sz w:val="24"/>
          <w:szCs w:val="24"/>
          <w:lang w:val="en-US"/>
        </w:rPr>
        <w:t xml:space="preserve"> Sonnier </w:t>
      </w:r>
      <w:r w:rsidR="009E2EC9" w:rsidRPr="00EA4B66">
        <w:rPr>
          <w:i/>
          <w:noProof/>
          <w:color w:val="000000" w:themeColor="text1"/>
          <w:sz w:val="24"/>
          <w:szCs w:val="24"/>
          <w:lang w:val="en-US"/>
        </w:rPr>
        <w:t>et al.</w:t>
      </w:r>
      <w:r w:rsidR="008352B4" w:rsidRPr="00EA4B66">
        <w:rPr>
          <w:noProof/>
          <w:color w:val="000000" w:themeColor="text1"/>
          <w:sz w:val="24"/>
          <w:szCs w:val="24"/>
          <w:lang w:val="en-US"/>
        </w:rPr>
        <w:t>, 2009</w:t>
      </w:r>
      <w:r w:rsidR="00701B5E" w:rsidRPr="00EA4B66">
        <w:rPr>
          <w:noProof/>
          <w:color w:val="000000" w:themeColor="text1"/>
          <w:sz w:val="24"/>
          <w:szCs w:val="24"/>
          <w:lang w:val="en-US"/>
        </w:rPr>
        <w:t>;</w:t>
      </w:r>
      <w:r w:rsidR="00443F52" w:rsidRPr="00EA4B66">
        <w:rPr>
          <w:color w:val="000000" w:themeColor="text1"/>
          <w:lang w:val="en-US"/>
        </w:rPr>
        <w:t xml:space="preserve"> </w:t>
      </w:r>
      <w:r w:rsidR="00443F52" w:rsidRPr="00EA4B66">
        <w:rPr>
          <w:noProof/>
          <w:color w:val="000000" w:themeColor="text1"/>
          <w:sz w:val="24"/>
          <w:szCs w:val="24"/>
          <w:lang w:val="en-US"/>
        </w:rPr>
        <w:t xml:space="preserve">Dženopoljac </w:t>
      </w:r>
      <w:r w:rsidR="00443F52" w:rsidRPr="00EA4B66">
        <w:rPr>
          <w:i/>
          <w:noProof/>
          <w:color w:val="000000" w:themeColor="text1"/>
          <w:sz w:val="24"/>
          <w:szCs w:val="24"/>
          <w:lang w:val="en-US"/>
        </w:rPr>
        <w:t>et al</w:t>
      </w:r>
      <w:r w:rsidR="00443F52" w:rsidRPr="00EA4B66">
        <w:rPr>
          <w:noProof/>
          <w:color w:val="000000" w:themeColor="text1"/>
          <w:sz w:val="24"/>
          <w:szCs w:val="24"/>
          <w:lang w:val="en-US"/>
        </w:rPr>
        <w:t>., 2016</w:t>
      </w:r>
      <w:r w:rsidR="00347911" w:rsidRPr="00EA4B66">
        <w:rPr>
          <w:noProof/>
          <w:color w:val="000000" w:themeColor="text1"/>
          <w:sz w:val="24"/>
          <w:szCs w:val="24"/>
          <w:lang w:val="en-US"/>
        </w:rPr>
        <w:t>)</w:t>
      </w:r>
      <w:r w:rsidR="00977712" w:rsidRPr="00EA4B66">
        <w:rPr>
          <w:noProof/>
          <w:color w:val="000000" w:themeColor="text1"/>
          <w:sz w:val="24"/>
          <w:szCs w:val="24"/>
          <w:lang w:val="en-US"/>
        </w:rPr>
        <w:t>.</w:t>
      </w:r>
      <w:r w:rsidR="00210539" w:rsidRPr="00EA4B66">
        <w:rPr>
          <w:noProof/>
          <w:color w:val="000000" w:themeColor="text1"/>
          <w:sz w:val="24"/>
          <w:szCs w:val="24"/>
          <w:lang w:val="en-US"/>
        </w:rPr>
        <w:t xml:space="preserve"> In this new economy, IC</w:t>
      </w:r>
      <w:r w:rsidR="006B5886" w:rsidRPr="00EA4B66">
        <w:rPr>
          <w:noProof/>
          <w:color w:val="000000" w:themeColor="text1"/>
          <w:sz w:val="24"/>
          <w:szCs w:val="24"/>
          <w:lang w:val="en-US"/>
        </w:rPr>
        <w:t xml:space="preserve"> is </w:t>
      </w:r>
      <w:r w:rsidR="00210539" w:rsidRPr="00EA4B66">
        <w:rPr>
          <w:noProof/>
          <w:color w:val="000000" w:themeColor="text1"/>
          <w:sz w:val="24"/>
          <w:szCs w:val="24"/>
          <w:lang w:val="en-US"/>
        </w:rPr>
        <w:t>considered as</w:t>
      </w:r>
      <w:r w:rsidR="006B5886" w:rsidRPr="00EA4B66">
        <w:rPr>
          <w:noProof/>
          <w:color w:val="000000" w:themeColor="text1"/>
          <w:sz w:val="24"/>
          <w:szCs w:val="24"/>
          <w:lang w:val="en-US"/>
        </w:rPr>
        <w:t xml:space="preserve"> the preeminent resource for </w:t>
      </w:r>
      <w:r w:rsidR="00653BFE" w:rsidRPr="00EA4B66">
        <w:rPr>
          <w:noProof/>
          <w:color w:val="000000" w:themeColor="text1"/>
          <w:sz w:val="24"/>
          <w:szCs w:val="24"/>
          <w:lang w:val="en-US"/>
        </w:rPr>
        <w:t xml:space="preserve">generating </w:t>
      </w:r>
      <w:r w:rsidR="006B5886" w:rsidRPr="00EA4B66">
        <w:rPr>
          <w:noProof/>
          <w:color w:val="000000" w:themeColor="text1"/>
          <w:sz w:val="24"/>
          <w:szCs w:val="24"/>
          <w:lang w:val="en-US"/>
        </w:rPr>
        <w:t>economic wealth</w:t>
      </w:r>
      <w:r w:rsidR="00210539" w:rsidRPr="00EA4B66">
        <w:rPr>
          <w:noProof/>
          <w:color w:val="000000" w:themeColor="text1"/>
          <w:sz w:val="24"/>
          <w:szCs w:val="24"/>
          <w:lang w:val="en-US"/>
        </w:rPr>
        <w:t xml:space="preserve"> and growth (Guthrie and Petty, 2000;</w:t>
      </w:r>
      <w:r w:rsidR="004A5912" w:rsidRPr="00EA4B66">
        <w:rPr>
          <w:noProof/>
          <w:color w:val="000000" w:themeColor="text1"/>
          <w:sz w:val="24"/>
          <w:szCs w:val="24"/>
          <w:lang w:val="en-US"/>
        </w:rPr>
        <w:t xml:space="preserve"> Bontis, 2003;</w:t>
      </w:r>
      <w:r w:rsidR="00210539" w:rsidRPr="00EA4B66">
        <w:rPr>
          <w:noProof/>
          <w:color w:val="000000" w:themeColor="text1"/>
          <w:sz w:val="24"/>
          <w:szCs w:val="24"/>
          <w:lang w:val="en-US"/>
        </w:rPr>
        <w:t xml:space="preserve"> Siboni </w:t>
      </w:r>
      <w:r w:rsidR="00210539" w:rsidRPr="00EA4B66">
        <w:rPr>
          <w:i/>
          <w:noProof/>
          <w:color w:val="000000" w:themeColor="text1"/>
          <w:sz w:val="24"/>
          <w:szCs w:val="24"/>
          <w:lang w:val="en-US"/>
        </w:rPr>
        <w:t>et al</w:t>
      </w:r>
      <w:r w:rsidR="00210539" w:rsidRPr="00EA4B66">
        <w:rPr>
          <w:noProof/>
          <w:color w:val="000000" w:themeColor="text1"/>
          <w:sz w:val="24"/>
          <w:szCs w:val="24"/>
          <w:lang w:val="en-US"/>
        </w:rPr>
        <w:t xml:space="preserve">., 2013) </w:t>
      </w:r>
      <w:r w:rsidR="00653BFE" w:rsidRPr="00EA4B66">
        <w:rPr>
          <w:noProof/>
          <w:color w:val="000000" w:themeColor="text1"/>
          <w:sz w:val="24"/>
          <w:szCs w:val="24"/>
          <w:lang w:val="en-US"/>
        </w:rPr>
        <w:t xml:space="preserve">as well </w:t>
      </w:r>
      <w:r w:rsidR="006B5886" w:rsidRPr="00EA4B66">
        <w:rPr>
          <w:noProof/>
          <w:color w:val="000000" w:themeColor="text1"/>
          <w:sz w:val="24"/>
          <w:szCs w:val="24"/>
          <w:lang w:val="en-US"/>
        </w:rPr>
        <w:t xml:space="preserve">as a strong driver of </w:t>
      </w:r>
      <w:r w:rsidR="00653BFE" w:rsidRPr="00EA4B66">
        <w:rPr>
          <w:noProof/>
          <w:color w:val="000000" w:themeColor="text1"/>
          <w:sz w:val="24"/>
          <w:szCs w:val="24"/>
          <w:lang w:val="en-US"/>
        </w:rPr>
        <w:t xml:space="preserve">firm </w:t>
      </w:r>
      <w:r w:rsidR="006B5886" w:rsidRPr="00EA4B66">
        <w:rPr>
          <w:noProof/>
          <w:color w:val="000000" w:themeColor="text1"/>
          <w:sz w:val="24"/>
          <w:szCs w:val="24"/>
          <w:lang w:val="en-US"/>
        </w:rPr>
        <w:t>performance and market value (</w:t>
      </w:r>
      <w:r w:rsidR="00660202" w:rsidRPr="00EA4B66">
        <w:rPr>
          <w:noProof/>
          <w:color w:val="000000" w:themeColor="text1"/>
          <w:sz w:val="24"/>
          <w:szCs w:val="24"/>
          <w:lang w:val="en-US"/>
        </w:rPr>
        <w:t xml:space="preserve">Bozzolan </w:t>
      </w:r>
      <w:r w:rsidR="00660202" w:rsidRPr="00EA4B66">
        <w:rPr>
          <w:i/>
          <w:noProof/>
          <w:color w:val="000000" w:themeColor="text1"/>
          <w:sz w:val="24"/>
          <w:szCs w:val="24"/>
          <w:lang w:val="en-US"/>
        </w:rPr>
        <w:t>et al</w:t>
      </w:r>
      <w:r w:rsidR="00660202" w:rsidRPr="00EA4B66">
        <w:rPr>
          <w:noProof/>
          <w:color w:val="000000" w:themeColor="text1"/>
          <w:sz w:val="24"/>
          <w:szCs w:val="24"/>
          <w:lang w:val="en-US"/>
        </w:rPr>
        <w:t>., 2003</w:t>
      </w:r>
      <w:r w:rsidR="002C1685" w:rsidRPr="00EA4B66">
        <w:rPr>
          <w:noProof/>
          <w:color w:val="000000" w:themeColor="text1"/>
          <w:sz w:val="24"/>
          <w:szCs w:val="24"/>
          <w:lang w:val="en-US"/>
        </w:rPr>
        <w:t xml:space="preserve">; Sonnier </w:t>
      </w:r>
      <w:r w:rsidR="002C1685" w:rsidRPr="00EA4B66">
        <w:rPr>
          <w:i/>
          <w:noProof/>
          <w:color w:val="000000" w:themeColor="text1"/>
          <w:sz w:val="24"/>
          <w:szCs w:val="24"/>
          <w:lang w:val="en-US"/>
        </w:rPr>
        <w:t>et al</w:t>
      </w:r>
      <w:r w:rsidR="002C1685" w:rsidRPr="00EA4B66">
        <w:rPr>
          <w:noProof/>
          <w:color w:val="000000" w:themeColor="text1"/>
          <w:sz w:val="24"/>
          <w:szCs w:val="24"/>
          <w:lang w:val="en-US"/>
        </w:rPr>
        <w:t>.,</w:t>
      </w:r>
      <w:r w:rsidR="008352B4" w:rsidRPr="00EA4B66">
        <w:rPr>
          <w:noProof/>
          <w:color w:val="000000" w:themeColor="text1"/>
          <w:sz w:val="24"/>
          <w:szCs w:val="24"/>
          <w:lang w:val="en-US"/>
        </w:rPr>
        <w:t xml:space="preserve"> 2009</w:t>
      </w:r>
      <w:r w:rsidR="006B5886" w:rsidRPr="00EA4B66">
        <w:rPr>
          <w:noProof/>
          <w:color w:val="000000" w:themeColor="text1"/>
          <w:sz w:val="24"/>
          <w:szCs w:val="24"/>
          <w:lang w:val="en-US"/>
        </w:rPr>
        <w:t>).</w:t>
      </w:r>
      <w:r w:rsidR="00977712" w:rsidRPr="00EA4B66">
        <w:rPr>
          <w:noProof/>
          <w:color w:val="000000" w:themeColor="text1"/>
          <w:sz w:val="24"/>
          <w:szCs w:val="24"/>
          <w:lang w:val="en-US"/>
        </w:rPr>
        <w:t xml:space="preserve"> </w:t>
      </w:r>
      <w:r w:rsidR="00C135E0" w:rsidRPr="00EA4B66">
        <w:rPr>
          <w:noProof/>
          <w:color w:val="000000" w:themeColor="text1"/>
          <w:sz w:val="24"/>
          <w:szCs w:val="24"/>
          <w:lang w:val="en-US"/>
        </w:rPr>
        <w:t xml:space="preserve">Moreover, </w:t>
      </w:r>
      <w:r w:rsidR="00653BFE" w:rsidRPr="00EA4B66">
        <w:rPr>
          <w:noProof/>
          <w:color w:val="000000" w:themeColor="text1"/>
          <w:sz w:val="24"/>
          <w:szCs w:val="24"/>
          <w:lang w:val="en-US"/>
        </w:rPr>
        <w:t>i</w:t>
      </w:r>
      <w:r w:rsidR="00C135E0" w:rsidRPr="00EA4B66">
        <w:rPr>
          <w:noProof/>
          <w:color w:val="000000" w:themeColor="text1"/>
          <w:sz w:val="24"/>
          <w:szCs w:val="24"/>
          <w:lang w:val="en-US"/>
        </w:rPr>
        <w:t xml:space="preserve">nvestment in IC is increasingly important </w:t>
      </w:r>
      <w:r w:rsidR="00653BFE" w:rsidRPr="00EA4B66">
        <w:rPr>
          <w:noProof/>
          <w:color w:val="000000" w:themeColor="text1"/>
          <w:sz w:val="24"/>
          <w:szCs w:val="24"/>
          <w:lang w:val="en-US"/>
        </w:rPr>
        <w:t>to firms seeking to achieve</w:t>
      </w:r>
      <w:r w:rsidR="00C135E0" w:rsidRPr="00EA4B66">
        <w:rPr>
          <w:noProof/>
          <w:color w:val="000000" w:themeColor="text1"/>
          <w:sz w:val="24"/>
          <w:szCs w:val="24"/>
          <w:lang w:val="en-US"/>
        </w:rPr>
        <w:t xml:space="preserve"> productivity and efficiency gains, and </w:t>
      </w:r>
      <w:r w:rsidR="00653BFE" w:rsidRPr="00EA4B66">
        <w:rPr>
          <w:noProof/>
          <w:color w:val="000000" w:themeColor="text1"/>
          <w:sz w:val="24"/>
          <w:szCs w:val="24"/>
          <w:lang w:val="en-US"/>
        </w:rPr>
        <w:t xml:space="preserve">it thereby </w:t>
      </w:r>
      <w:r w:rsidR="00C135E0" w:rsidRPr="00EA4B66">
        <w:rPr>
          <w:noProof/>
          <w:color w:val="000000" w:themeColor="text1"/>
          <w:sz w:val="24"/>
          <w:szCs w:val="24"/>
          <w:lang w:val="en-US"/>
        </w:rPr>
        <w:t xml:space="preserve">constitutes a crucial </w:t>
      </w:r>
      <w:r w:rsidR="00653BFE" w:rsidRPr="00EA4B66">
        <w:rPr>
          <w:noProof/>
          <w:color w:val="000000" w:themeColor="text1"/>
          <w:sz w:val="24"/>
          <w:szCs w:val="24"/>
          <w:lang w:val="en-US"/>
        </w:rPr>
        <w:t xml:space="preserve">constituent </w:t>
      </w:r>
      <w:r w:rsidR="00C135E0" w:rsidRPr="00EA4B66">
        <w:rPr>
          <w:noProof/>
          <w:color w:val="000000" w:themeColor="text1"/>
          <w:sz w:val="24"/>
          <w:szCs w:val="24"/>
          <w:lang w:val="en-US"/>
        </w:rPr>
        <w:t>of innovation in relation to business processes and products (Lal Bhasin, 2012).</w:t>
      </w:r>
      <w:r w:rsidR="00CB234F" w:rsidRPr="00EA4B66">
        <w:rPr>
          <w:noProof/>
          <w:color w:val="000000" w:themeColor="text1"/>
          <w:sz w:val="24"/>
          <w:szCs w:val="24"/>
          <w:lang w:val="en-US"/>
        </w:rPr>
        <w:t xml:space="preserve"> </w:t>
      </w:r>
      <w:r w:rsidR="0090491F" w:rsidRPr="00EA4B66">
        <w:rPr>
          <w:noProof/>
          <w:color w:val="000000" w:themeColor="text1"/>
          <w:sz w:val="24"/>
          <w:szCs w:val="24"/>
          <w:lang w:val="en-US"/>
        </w:rPr>
        <w:t xml:space="preserve">The recent </w:t>
      </w:r>
      <w:r w:rsidR="003218C3" w:rsidRPr="00EA4B66">
        <w:rPr>
          <w:noProof/>
          <w:color w:val="000000" w:themeColor="text1"/>
          <w:sz w:val="24"/>
          <w:szCs w:val="24"/>
          <w:lang w:val="en-US"/>
        </w:rPr>
        <w:t xml:space="preserve">literature </w:t>
      </w:r>
      <w:r w:rsidR="00EE2531" w:rsidRPr="00EA4B66">
        <w:rPr>
          <w:noProof/>
          <w:color w:val="000000" w:themeColor="text1"/>
          <w:sz w:val="24"/>
          <w:szCs w:val="24"/>
          <w:lang w:val="en-US"/>
        </w:rPr>
        <w:t xml:space="preserve">explores </w:t>
      </w:r>
      <w:r w:rsidR="0090491F" w:rsidRPr="00EA4B66">
        <w:rPr>
          <w:noProof/>
          <w:color w:val="000000" w:themeColor="text1"/>
          <w:sz w:val="24"/>
          <w:szCs w:val="24"/>
          <w:lang w:val="en-US"/>
        </w:rPr>
        <w:t xml:space="preserve">various definitions of </w:t>
      </w:r>
      <w:r w:rsidR="003218C3" w:rsidRPr="00EA4B66">
        <w:rPr>
          <w:noProof/>
          <w:color w:val="000000" w:themeColor="text1"/>
          <w:sz w:val="24"/>
          <w:szCs w:val="24"/>
          <w:lang w:val="en-US"/>
        </w:rPr>
        <w:t>IC</w:t>
      </w:r>
      <w:r w:rsidR="009E2EC9" w:rsidRPr="00EA4B66">
        <w:rPr>
          <w:noProof/>
          <w:color w:val="000000" w:themeColor="text1"/>
          <w:sz w:val="24"/>
          <w:szCs w:val="24"/>
          <w:lang w:val="en-US"/>
        </w:rPr>
        <w:t xml:space="preserve"> and develop</w:t>
      </w:r>
      <w:r w:rsidR="00EE2531" w:rsidRPr="00EA4B66">
        <w:rPr>
          <w:noProof/>
          <w:color w:val="000000" w:themeColor="text1"/>
          <w:sz w:val="24"/>
          <w:szCs w:val="24"/>
          <w:lang w:val="en-US"/>
        </w:rPr>
        <w:t>s</w:t>
      </w:r>
      <w:r w:rsidR="009E2EC9" w:rsidRPr="00EA4B66">
        <w:rPr>
          <w:noProof/>
          <w:color w:val="000000" w:themeColor="text1"/>
          <w:sz w:val="24"/>
          <w:szCs w:val="24"/>
          <w:lang w:val="en-US"/>
        </w:rPr>
        <w:t xml:space="preserve"> several framework</w:t>
      </w:r>
      <w:r w:rsidR="00EE2531" w:rsidRPr="00EA4B66">
        <w:rPr>
          <w:noProof/>
          <w:color w:val="000000" w:themeColor="text1"/>
          <w:sz w:val="24"/>
          <w:szCs w:val="24"/>
          <w:lang w:val="en-US"/>
        </w:rPr>
        <w:t>s</w:t>
      </w:r>
      <w:r w:rsidR="003B5223" w:rsidRPr="00EA4B66">
        <w:rPr>
          <w:noProof/>
          <w:color w:val="000000" w:themeColor="text1"/>
          <w:sz w:val="24"/>
          <w:szCs w:val="24"/>
          <w:lang w:val="en-US"/>
        </w:rPr>
        <w:t xml:space="preserve"> and measurement instruments</w:t>
      </w:r>
      <w:r w:rsidR="009E2EC9" w:rsidRPr="00EA4B66">
        <w:rPr>
          <w:noProof/>
          <w:color w:val="000000" w:themeColor="text1"/>
          <w:sz w:val="24"/>
          <w:szCs w:val="24"/>
          <w:lang w:val="en-US"/>
        </w:rPr>
        <w:t xml:space="preserve"> </w:t>
      </w:r>
      <w:r w:rsidR="00EE2531" w:rsidRPr="00EA4B66">
        <w:rPr>
          <w:noProof/>
          <w:color w:val="000000" w:themeColor="text1"/>
          <w:sz w:val="24"/>
          <w:szCs w:val="24"/>
          <w:lang w:val="en-US"/>
        </w:rPr>
        <w:t xml:space="preserve">for </w:t>
      </w:r>
      <w:r w:rsidR="009E2EC9" w:rsidRPr="00EA4B66">
        <w:rPr>
          <w:noProof/>
          <w:color w:val="000000" w:themeColor="text1"/>
          <w:sz w:val="24"/>
          <w:szCs w:val="24"/>
          <w:lang w:val="en-US"/>
        </w:rPr>
        <w:t>IC components</w:t>
      </w:r>
      <w:r w:rsidR="003218C3" w:rsidRPr="00EA4B66">
        <w:rPr>
          <w:noProof/>
          <w:color w:val="000000" w:themeColor="text1"/>
          <w:sz w:val="24"/>
          <w:szCs w:val="24"/>
          <w:lang w:val="en-US"/>
        </w:rPr>
        <w:t>,</w:t>
      </w:r>
      <w:r w:rsidR="000F01E3" w:rsidRPr="00EA4B66">
        <w:rPr>
          <w:noProof/>
          <w:color w:val="000000" w:themeColor="text1"/>
          <w:sz w:val="24"/>
          <w:szCs w:val="24"/>
          <w:lang w:val="en-US"/>
        </w:rPr>
        <w:t xml:space="preserve"> </w:t>
      </w:r>
      <w:r w:rsidR="00EE2531" w:rsidRPr="00EA4B66">
        <w:rPr>
          <w:noProof/>
          <w:color w:val="000000" w:themeColor="text1"/>
          <w:sz w:val="24"/>
          <w:szCs w:val="24"/>
          <w:lang w:val="en-US"/>
        </w:rPr>
        <w:t>spurred on by a</w:t>
      </w:r>
      <w:r w:rsidR="000F524A" w:rsidRPr="00EA4B66">
        <w:rPr>
          <w:noProof/>
          <w:color w:val="000000" w:themeColor="text1"/>
          <w:sz w:val="24"/>
          <w:szCs w:val="24"/>
          <w:lang w:val="en-US"/>
        </w:rPr>
        <w:t xml:space="preserve"> growing</w:t>
      </w:r>
      <w:r w:rsidR="00443F52" w:rsidRPr="00EA4B66">
        <w:rPr>
          <w:noProof/>
          <w:color w:val="000000" w:themeColor="text1"/>
          <w:sz w:val="24"/>
          <w:szCs w:val="24"/>
          <w:lang w:val="en-US"/>
        </w:rPr>
        <w:t xml:space="preserve"> awareness of</w:t>
      </w:r>
      <w:r w:rsidR="003218C3" w:rsidRPr="00EA4B66">
        <w:rPr>
          <w:noProof/>
          <w:color w:val="000000" w:themeColor="text1"/>
          <w:sz w:val="24"/>
          <w:szCs w:val="24"/>
          <w:lang w:val="en-US"/>
        </w:rPr>
        <w:t xml:space="preserve"> </w:t>
      </w:r>
      <w:r w:rsidR="00EE2531" w:rsidRPr="00EA4B66">
        <w:rPr>
          <w:noProof/>
          <w:color w:val="000000" w:themeColor="text1"/>
          <w:sz w:val="24"/>
          <w:szCs w:val="24"/>
          <w:lang w:val="en-US"/>
        </w:rPr>
        <w:t xml:space="preserve">the </w:t>
      </w:r>
      <w:r w:rsidR="003B5223" w:rsidRPr="00EA4B66">
        <w:rPr>
          <w:noProof/>
          <w:color w:val="000000" w:themeColor="text1"/>
          <w:sz w:val="24"/>
          <w:szCs w:val="24"/>
          <w:lang w:val="en-US"/>
        </w:rPr>
        <w:t xml:space="preserve">benefits </w:t>
      </w:r>
      <w:r w:rsidR="003A27F1" w:rsidRPr="00EA4B66">
        <w:rPr>
          <w:noProof/>
          <w:color w:val="000000" w:themeColor="text1"/>
          <w:sz w:val="24"/>
          <w:szCs w:val="24"/>
          <w:lang w:val="en-US"/>
        </w:rPr>
        <w:t>that IC</w:t>
      </w:r>
      <w:r w:rsidR="00966DA5" w:rsidRPr="00EA4B66">
        <w:rPr>
          <w:noProof/>
          <w:color w:val="000000" w:themeColor="text1"/>
          <w:sz w:val="24"/>
          <w:szCs w:val="24"/>
          <w:lang w:val="en-US"/>
        </w:rPr>
        <w:t xml:space="preserve"> reporting and measurement</w:t>
      </w:r>
      <w:r w:rsidR="00901C99" w:rsidRPr="00EA4B66">
        <w:rPr>
          <w:noProof/>
          <w:color w:val="000000" w:themeColor="text1"/>
          <w:sz w:val="24"/>
          <w:szCs w:val="24"/>
          <w:lang w:val="en-US"/>
        </w:rPr>
        <w:t xml:space="preserve"> may</w:t>
      </w:r>
      <w:r w:rsidR="0090491F" w:rsidRPr="00EA4B66">
        <w:rPr>
          <w:noProof/>
          <w:color w:val="000000" w:themeColor="text1"/>
          <w:sz w:val="24"/>
          <w:szCs w:val="24"/>
          <w:lang w:val="en-US"/>
        </w:rPr>
        <w:t xml:space="preserve"> have </w:t>
      </w:r>
      <w:r w:rsidR="00EE2531" w:rsidRPr="00EA4B66">
        <w:rPr>
          <w:noProof/>
          <w:color w:val="000000" w:themeColor="text1"/>
          <w:sz w:val="24"/>
          <w:szCs w:val="24"/>
          <w:lang w:val="en-US"/>
        </w:rPr>
        <w:t xml:space="preserve">for </w:t>
      </w:r>
      <w:r w:rsidR="003A27F1" w:rsidRPr="00EA4B66">
        <w:rPr>
          <w:noProof/>
          <w:color w:val="000000" w:themeColor="text1"/>
          <w:sz w:val="24"/>
          <w:szCs w:val="24"/>
          <w:lang w:val="en-US"/>
        </w:rPr>
        <w:t>a company</w:t>
      </w:r>
      <w:r w:rsidR="00966DA5" w:rsidRPr="00EA4B66">
        <w:rPr>
          <w:noProof/>
          <w:color w:val="000000" w:themeColor="text1"/>
          <w:sz w:val="24"/>
          <w:szCs w:val="24"/>
          <w:lang w:val="en-US"/>
        </w:rPr>
        <w:t xml:space="preserve"> </w:t>
      </w:r>
      <w:r w:rsidR="000F524A" w:rsidRPr="00EA4B66">
        <w:rPr>
          <w:noProof/>
          <w:color w:val="000000" w:themeColor="text1"/>
          <w:sz w:val="24"/>
          <w:szCs w:val="24"/>
          <w:lang w:val="en-US"/>
        </w:rPr>
        <w:t>in terms of</w:t>
      </w:r>
      <w:r w:rsidR="00966DA5" w:rsidRPr="00EA4B66">
        <w:rPr>
          <w:noProof/>
          <w:color w:val="000000" w:themeColor="text1"/>
          <w:sz w:val="24"/>
          <w:szCs w:val="24"/>
          <w:lang w:val="en-US"/>
        </w:rPr>
        <w:t xml:space="preserve">: support </w:t>
      </w:r>
      <w:r w:rsidR="00EE2531" w:rsidRPr="00EA4B66">
        <w:rPr>
          <w:noProof/>
          <w:color w:val="000000" w:themeColor="text1"/>
          <w:sz w:val="24"/>
          <w:szCs w:val="24"/>
          <w:lang w:val="en-US"/>
        </w:rPr>
        <w:t xml:space="preserve">for the determination of </w:t>
      </w:r>
      <w:r w:rsidR="00966DA5" w:rsidRPr="00EA4B66">
        <w:rPr>
          <w:noProof/>
          <w:color w:val="000000" w:themeColor="text1"/>
          <w:sz w:val="24"/>
          <w:szCs w:val="24"/>
          <w:lang w:val="en-US"/>
        </w:rPr>
        <w:t xml:space="preserve">strategies; improvement </w:t>
      </w:r>
      <w:r w:rsidR="00EE2531" w:rsidRPr="00EA4B66">
        <w:rPr>
          <w:noProof/>
          <w:color w:val="000000" w:themeColor="text1"/>
          <w:sz w:val="24"/>
          <w:szCs w:val="24"/>
          <w:lang w:val="en-US"/>
        </w:rPr>
        <w:t>in</w:t>
      </w:r>
      <w:r w:rsidR="00966DA5" w:rsidRPr="00EA4B66">
        <w:rPr>
          <w:noProof/>
          <w:color w:val="000000" w:themeColor="text1"/>
          <w:sz w:val="24"/>
          <w:szCs w:val="24"/>
          <w:lang w:val="en-US"/>
        </w:rPr>
        <w:t xml:space="preserve"> the evaluation of implemented</w:t>
      </w:r>
      <w:r w:rsidR="00D65940" w:rsidRPr="00EA4B66">
        <w:rPr>
          <w:noProof/>
          <w:color w:val="000000" w:themeColor="text1"/>
          <w:sz w:val="24"/>
          <w:szCs w:val="24"/>
          <w:lang w:val="en-US"/>
        </w:rPr>
        <w:t xml:space="preserve"> strategies</w:t>
      </w:r>
      <w:r w:rsidR="00901C99" w:rsidRPr="00EA4B66">
        <w:rPr>
          <w:noProof/>
          <w:color w:val="000000" w:themeColor="text1"/>
          <w:sz w:val="24"/>
          <w:szCs w:val="24"/>
          <w:lang w:val="en-US"/>
        </w:rPr>
        <w:t xml:space="preserve">; support in </w:t>
      </w:r>
      <w:r w:rsidR="00CB234F" w:rsidRPr="00EA4B66">
        <w:rPr>
          <w:noProof/>
          <w:color w:val="000000" w:themeColor="text1"/>
          <w:sz w:val="24"/>
          <w:szCs w:val="24"/>
          <w:lang w:val="en-US"/>
        </w:rPr>
        <w:t xml:space="preserve">the </w:t>
      </w:r>
      <w:r w:rsidR="00901C99" w:rsidRPr="00EA4B66">
        <w:rPr>
          <w:noProof/>
          <w:color w:val="000000" w:themeColor="text1"/>
          <w:sz w:val="24"/>
          <w:szCs w:val="24"/>
          <w:lang w:val="en-US"/>
        </w:rPr>
        <w:t>assessment of mergers and a</w:t>
      </w:r>
      <w:r w:rsidR="00966DA5" w:rsidRPr="00EA4B66">
        <w:rPr>
          <w:noProof/>
          <w:color w:val="000000" w:themeColor="text1"/>
          <w:sz w:val="24"/>
          <w:szCs w:val="24"/>
          <w:lang w:val="en-US"/>
        </w:rPr>
        <w:t>cquisitions</w:t>
      </w:r>
      <w:r w:rsidR="00CB234F" w:rsidRPr="00EA4B66">
        <w:rPr>
          <w:noProof/>
          <w:color w:val="000000" w:themeColor="text1"/>
          <w:sz w:val="24"/>
          <w:szCs w:val="24"/>
          <w:lang w:val="en-US"/>
        </w:rPr>
        <w:t>;</w:t>
      </w:r>
      <w:r w:rsidR="00966DA5" w:rsidRPr="00EA4B66">
        <w:rPr>
          <w:noProof/>
          <w:color w:val="000000" w:themeColor="text1"/>
          <w:sz w:val="24"/>
          <w:szCs w:val="24"/>
          <w:lang w:val="en-US"/>
        </w:rPr>
        <w:t xml:space="preserve"> and improvement </w:t>
      </w:r>
      <w:r w:rsidR="00CB234F" w:rsidRPr="00EA4B66">
        <w:rPr>
          <w:noProof/>
          <w:color w:val="000000" w:themeColor="text1"/>
          <w:sz w:val="24"/>
          <w:szCs w:val="24"/>
          <w:lang w:val="en-US"/>
        </w:rPr>
        <w:t>in the</w:t>
      </w:r>
      <w:r w:rsidR="00966DA5" w:rsidRPr="00EA4B66">
        <w:rPr>
          <w:noProof/>
          <w:color w:val="000000" w:themeColor="text1"/>
          <w:sz w:val="24"/>
          <w:szCs w:val="24"/>
          <w:lang w:val="en-US"/>
        </w:rPr>
        <w:t xml:space="preserve"> communication with external stakeholders</w:t>
      </w:r>
      <w:r w:rsidR="00BF2E1B" w:rsidRPr="00EA4B66">
        <w:rPr>
          <w:noProof/>
          <w:color w:val="000000" w:themeColor="text1"/>
          <w:sz w:val="24"/>
          <w:szCs w:val="24"/>
          <w:lang w:val="en-US"/>
        </w:rPr>
        <w:t xml:space="preserve"> (</w:t>
      </w:r>
      <w:r w:rsidR="004A5912" w:rsidRPr="00EA4B66">
        <w:rPr>
          <w:noProof/>
          <w:color w:val="000000" w:themeColor="text1"/>
          <w:sz w:val="24"/>
          <w:szCs w:val="24"/>
          <w:lang w:val="en-US"/>
        </w:rPr>
        <w:t xml:space="preserve">Bontis, 2003; </w:t>
      </w:r>
      <w:r w:rsidR="00BF2E1B" w:rsidRPr="00EA4B66">
        <w:rPr>
          <w:noProof/>
          <w:color w:val="000000" w:themeColor="text1"/>
          <w:sz w:val="24"/>
          <w:szCs w:val="24"/>
          <w:lang w:val="en-US"/>
        </w:rPr>
        <w:t xml:space="preserve">Marr </w:t>
      </w:r>
      <w:r w:rsidR="00BF2E1B" w:rsidRPr="00EA4B66">
        <w:rPr>
          <w:i/>
          <w:noProof/>
          <w:color w:val="000000" w:themeColor="text1"/>
          <w:sz w:val="24"/>
          <w:szCs w:val="24"/>
          <w:lang w:val="en-US"/>
        </w:rPr>
        <w:t>et al</w:t>
      </w:r>
      <w:r w:rsidR="00BF2E1B" w:rsidRPr="00EA4B66">
        <w:rPr>
          <w:noProof/>
          <w:color w:val="000000" w:themeColor="text1"/>
          <w:sz w:val="24"/>
          <w:szCs w:val="24"/>
          <w:lang w:val="en-US"/>
        </w:rPr>
        <w:t>., 2003; Lal Bhasin, 2012)</w:t>
      </w:r>
      <w:r w:rsidR="00966DA5" w:rsidRPr="00EA4B66">
        <w:rPr>
          <w:noProof/>
          <w:color w:val="000000" w:themeColor="text1"/>
          <w:sz w:val="24"/>
          <w:szCs w:val="24"/>
          <w:lang w:val="en-US"/>
        </w:rPr>
        <w:t xml:space="preserve">.  </w:t>
      </w:r>
    </w:p>
    <w:p w14:paraId="01479B78" w14:textId="1758AF4F" w:rsidR="006D1126" w:rsidRPr="00EA4B66" w:rsidRDefault="004D6898" w:rsidP="004D6898">
      <w:pPr>
        <w:spacing w:after="0" w:line="240" w:lineRule="auto"/>
        <w:jc w:val="both"/>
        <w:rPr>
          <w:color w:val="000000" w:themeColor="text1"/>
          <w:sz w:val="24"/>
          <w:szCs w:val="24"/>
          <w:lang w:val="en-US"/>
        </w:rPr>
      </w:pPr>
      <w:r w:rsidRPr="00EA4B66">
        <w:rPr>
          <w:noProof/>
          <w:color w:val="000000" w:themeColor="text1"/>
          <w:sz w:val="24"/>
          <w:szCs w:val="24"/>
          <w:lang w:val="en-US"/>
        </w:rPr>
        <w:t xml:space="preserve">   </w:t>
      </w:r>
      <w:r w:rsidR="00DA2AE1" w:rsidRPr="00EA4B66">
        <w:rPr>
          <w:noProof/>
          <w:color w:val="000000" w:themeColor="text1"/>
          <w:sz w:val="24"/>
          <w:szCs w:val="24"/>
          <w:lang w:val="en-US"/>
        </w:rPr>
        <w:t>Stewart (1997) argue</w:t>
      </w:r>
      <w:r w:rsidR="00CB234F" w:rsidRPr="00EA4B66">
        <w:rPr>
          <w:noProof/>
          <w:color w:val="000000" w:themeColor="text1"/>
          <w:sz w:val="24"/>
          <w:szCs w:val="24"/>
          <w:lang w:val="en-US"/>
        </w:rPr>
        <w:t>s</w:t>
      </w:r>
      <w:r w:rsidR="00DA2AE1" w:rsidRPr="00EA4B66">
        <w:rPr>
          <w:noProof/>
          <w:color w:val="000000" w:themeColor="text1"/>
          <w:sz w:val="24"/>
          <w:szCs w:val="24"/>
          <w:lang w:val="en-US"/>
        </w:rPr>
        <w:t xml:space="preserve"> that </w:t>
      </w:r>
      <w:r w:rsidR="00004A8C">
        <w:rPr>
          <w:noProof/>
          <w:color w:val="000000" w:themeColor="text1"/>
          <w:sz w:val="24"/>
          <w:szCs w:val="24"/>
          <w:lang w:val="en-US"/>
        </w:rPr>
        <w:t>IC</w:t>
      </w:r>
      <w:r w:rsidR="00DA2AE1" w:rsidRPr="00EA4B66">
        <w:rPr>
          <w:noProof/>
          <w:color w:val="000000" w:themeColor="text1"/>
          <w:sz w:val="24"/>
          <w:szCs w:val="24"/>
          <w:lang w:val="en-US"/>
        </w:rPr>
        <w:t xml:space="preserve"> </w:t>
      </w:r>
      <w:r w:rsidR="00CB234F" w:rsidRPr="00EA4B66">
        <w:rPr>
          <w:noProof/>
          <w:color w:val="000000" w:themeColor="text1"/>
          <w:sz w:val="24"/>
          <w:szCs w:val="24"/>
          <w:lang w:val="en-US"/>
        </w:rPr>
        <w:t>gauges the</w:t>
      </w:r>
      <w:r w:rsidR="00DA2AE1" w:rsidRPr="00EA4B66">
        <w:rPr>
          <w:noProof/>
          <w:color w:val="000000" w:themeColor="text1"/>
          <w:sz w:val="24"/>
          <w:szCs w:val="24"/>
          <w:lang w:val="en-US"/>
        </w:rPr>
        <w:t xml:space="preserve"> intellectual</w:t>
      </w:r>
      <w:r w:rsidR="00CB234F" w:rsidRPr="00EA4B66">
        <w:rPr>
          <w:noProof/>
          <w:color w:val="000000" w:themeColor="text1"/>
          <w:sz w:val="24"/>
          <w:szCs w:val="24"/>
          <w:lang w:val="en-US"/>
        </w:rPr>
        <w:t xml:space="preserve"> </w:t>
      </w:r>
      <w:r w:rsidR="009E6E71" w:rsidRPr="00EA4B66">
        <w:rPr>
          <w:noProof/>
          <w:color w:val="000000" w:themeColor="text1"/>
          <w:sz w:val="24"/>
          <w:szCs w:val="24"/>
          <w:lang w:val="en-US"/>
        </w:rPr>
        <w:t>resources</w:t>
      </w:r>
      <w:r w:rsidR="00DA2AE1" w:rsidRPr="00EA4B66">
        <w:rPr>
          <w:noProof/>
          <w:color w:val="000000" w:themeColor="text1"/>
          <w:sz w:val="24"/>
          <w:szCs w:val="24"/>
          <w:lang w:val="en-US"/>
        </w:rPr>
        <w:t xml:space="preserve">, </w:t>
      </w:r>
      <w:r w:rsidR="009E6E71" w:rsidRPr="00EA4B66">
        <w:rPr>
          <w:noProof/>
          <w:color w:val="000000" w:themeColor="text1"/>
          <w:sz w:val="24"/>
          <w:szCs w:val="24"/>
          <w:lang w:val="en-US"/>
        </w:rPr>
        <w:t xml:space="preserve">knowledge, </w:t>
      </w:r>
      <w:r w:rsidR="00DA2AE1" w:rsidRPr="00EA4B66">
        <w:rPr>
          <w:noProof/>
          <w:color w:val="000000" w:themeColor="text1"/>
          <w:sz w:val="24"/>
          <w:szCs w:val="24"/>
          <w:lang w:val="en-US"/>
        </w:rPr>
        <w:t xml:space="preserve">experience, </w:t>
      </w:r>
      <w:r w:rsidR="009E6E71" w:rsidRPr="00EA4B66">
        <w:rPr>
          <w:noProof/>
          <w:color w:val="000000" w:themeColor="text1"/>
          <w:sz w:val="24"/>
          <w:szCs w:val="24"/>
          <w:lang w:val="en-US"/>
        </w:rPr>
        <w:t xml:space="preserve">information, </w:t>
      </w:r>
      <w:r w:rsidR="00DA2AE1" w:rsidRPr="00EA4B66">
        <w:rPr>
          <w:noProof/>
          <w:color w:val="000000" w:themeColor="text1"/>
          <w:sz w:val="24"/>
          <w:szCs w:val="24"/>
          <w:lang w:val="en-US"/>
        </w:rPr>
        <w:t>competiti</w:t>
      </w:r>
      <w:r w:rsidR="009E6E71" w:rsidRPr="00EA4B66">
        <w:rPr>
          <w:noProof/>
          <w:color w:val="000000" w:themeColor="text1"/>
          <w:sz w:val="24"/>
          <w:szCs w:val="24"/>
          <w:lang w:val="en-US"/>
        </w:rPr>
        <w:t>veness</w:t>
      </w:r>
      <w:r w:rsidR="00DA2AE1" w:rsidRPr="00EA4B66">
        <w:rPr>
          <w:noProof/>
          <w:color w:val="000000" w:themeColor="text1"/>
          <w:sz w:val="24"/>
          <w:szCs w:val="24"/>
          <w:lang w:val="en-US"/>
        </w:rPr>
        <w:t xml:space="preserve"> and learning </w:t>
      </w:r>
      <w:r w:rsidR="00CB234F" w:rsidRPr="00EA4B66">
        <w:rPr>
          <w:noProof/>
          <w:color w:val="000000" w:themeColor="text1"/>
          <w:sz w:val="24"/>
          <w:szCs w:val="24"/>
          <w:lang w:val="en-US"/>
        </w:rPr>
        <w:t xml:space="preserve">of </w:t>
      </w:r>
      <w:r w:rsidR="00DA2AE1" w:rsidRPr="00EA4B66">
        <w:rPr>
          <w:noProof/>
          <w:color w:val="000000" w:themeColor="text1"/>
          <w:sz w:val="24"/>
          <w:szCs w:val="24"/>
          <w:lang w:val="en-US"/>
        </w:rPr>
        <w:t xml:space="preserve">organizations used for </w:t>
      </w:r>
      <w:r w:rsidR="00CB234F" w:rsidRPr="00EA4B66">
        <w:rPr>
          <w:noProof/>
          <w:color w:val="000000" w:themeColor="text1"/>
          <w:sz w:val="24"/>
          <w:szCs w:val="24"/>
          <w:lang w:val="en-US"/>
        </w:rPr>
        <w:t xml:space="preserve">the purposes of </w:t>
      </w:r>
      <w:r w:rsidR="00DA2AE1" w:rsidRPr="00EA4B66">
        <w:rPr>
          <w:noProof/>
          <w:color w:val="000000" w:themeColor="text1"/>
          <w:sz w:val="24"/>
          <w:szCs w:val="24"/>
          <w:lang w:val="en-US"/>
        </w:rPr>
        <w:t>wealth production</w:t>
      </w:r>
      <w:r w:rsidR="009E6E71" w:rsidRPr="00EA4B66">
        <w:rPr>
          <w:noProof/>
          <w:color w:val="000000" w:themeColor="text1"/>
          <w:sz w:val="24"/>
          <w:szCs w:val="24"/>
          <w:lang w:val="en-US"/>
        </w:rPr>
        <w:t>.</w:t>
      </w:r>
      <w:r w:rsidR="00DA2AE1" w:rsidRPr="00EA4B66">
        <w:rPr>
          <w:noProof/>
          <w:color w:val="000000" w:themeColor="text1"/>
          <w:sz w:val="24"/>
          <w:szCs w:val="24"/>
          <w:lang w:val="en-US"/>
        </w:rPr>
        <w:t xml:space="preserve"> </w:t>
      </w:r>
      <w:r w:rsidR="009E6E71" w:rsidRPr="00EA4B66">
        <w:rPr>
          <w:noProof/>
          <w:color w:val="000000" w:themeColor="text1"/>
          <w:sz w:val="24"/>
          <w:szCs w:val="24"/>
          <w:lang w:val="en-US"/>
        </w:rPr>
        <w:t xml:space="preserve">The </w:t>
      </w:r>
      <w:r w:rsidR="00DA2AE1" w:rsidRPr="00EA4B66">
        <w:rPr>
          <w:noProof/>
          <w:color w:val="000000" w:themeColor="text1"/>
          <w:sz w:val="24"/>
          <w:szCs w:val="24"/>
          <w:lang w:val="en-US"/>
        </w:rPr>
        <w:t>World Intellec</w:t>
      </w:r>
      <w:r w:rsidR="00901C99" w:rsidRPr="00EA4B66">
        <w:rPr>
          <w:noProof/>
          <w:color w:val="000000" w:themeColor="text1"/>
          <w:sz w:val="24"/>
          <w:szCs w:val="24"/>
          <w:lang w:val="en-US"/>
        </w:rPr>
        <w:t xml:space="preserve">tual Capital/Assets Initiative </w:t>
      </w:r>
      <w:r w:rsidR="00DA2AE1" w:rsidRPr="00EA4B66">
        <w:rPr>
          <w:noProof/>
          <w:color w:val="000000" w:themeColor="text1"/>
          <w:sz w:val="24"/>
          <w:szCs w:val="24"/>
          <w:lang w:val="en-US"/>
        </w:rPr>
        <w:t>(2016, p.12) consider</w:t>
      </w:r>
      <w:r w:rsidR="009E6E71" w:rsidRPr="00EA4B66">
        <w:rPr>
          <w:noProof/>
          <w:color w:val="000000" w:themeColor="text1"/>
          <w:sz w:val="24"/>
          <w:szCs w:val="24"/>
          <w:lang w:val="en-US"/>
        </w:rPr>
        <w:t>s</w:t>
      </w:r>
      <w:r w:rsidR="00DA2AE1" w:rsidRPr="00EA4B66">
        <w:rPr>
          <w:noProof/>
          <w:color w:val="000000" w:themeColor="text1"/>
          <w:sz w:val="24"/>
          <w:szCs w:val="24"/>
          <w:lang w:val="en-US"/>
        </w:rPr>
        <w:t xml:space="preserve"> IC as “the internal (competencies, skills, leadership, procedures, know-how, etc</w:t>
      </w:r>
      <w:r w:rsidR="0072094E" w:rsidRPr="00EA4B66">
        <w:rPr>
          <w:noProof/>
          <w:color w:val="000000" w:themeColor="text1"/>
          <w:sz w:val="24"/>
          <w:szCs w:val="24"/>
          <w:lang w:val="en-US"/>
        </w:rPr>
        <w:t>.</w:t>
      </w:r>
      <w:r w:rsidR="00DA2AE1" w:rsidRPr="00EA4B66">
        <w:rPr>
          <w:noProof/>
          <w:color w:val="000000" w:themeColor="text1"/>
          <w:sz w:val="24"/>
          <w:szCs w:val="24"/>
          <w:lang w:val="en-US"/>
        </w:rPr>
        <w:t>) and external (image, brands, alliances, customer satisfaction, etc.) stock of d</w:t>
      </w:r>
      <w:r w:rsidR="009E6E71" w:rsidRPr="00EA4B66">
        <w:rPr>
          <w:noProof/>
          <w:color w:val="000000" w:themeColor="text1"/>
          <w:sz w:val="24"/>
          <w:szCs w:val="24"/>
          <w:lang w:val="en-US"/>
        </w:rPr>
        <w:t>y</w:t>
      </w:r>
      <w:r w:rsidR="00DA2AE1" w:rsidRPr="00EA4B66">
        <w:rPr>
          <w:noProof/>
          <w:color w:val="000000" w:themeColor="text1"/>
          <w:sz w:val="24"/>
          <w:szCs w:val="24"/>
          <w:lang w:val="en-US"/>
        </w:rPr>
        <w:t>namically interrelated intangibl</w:t>
      </w:r>
      <w:r w:rsidR="00901C99" w:rsidRPr="00EA4B66">
        <w:rPr>
          <w:noProof/>
          <w:color w:val="000000" w:themeColor="text1"/>
          <w:sz w:val="24"/>
          <w:szCs w:val="24"/>
          <w:lang w:val="en-US"/>
        </w:rPr>
        <w:t>es available to an organization</w:t>
      </w:r>
      <w:r w:rsidR="00DA2AE1" w:rsidRPr="00EA4B66">
        <w:rPr>
          <w:noProof/>
          <w:color w:val="000000" w:themeColor="text1"/>
          <w:sz w:val="24"/>
          <w:szCs w:val="24"/>
          <w:lang w:val="en-US"/>
        </w:rPr>
        <w:t xml:space="preserve">, which allows the latter to transform a set of tangible, financial and human resources into a system capable of pursuing sustainable value creation”. </w:t>
      </w:r>
      <w:r w:rsidR="009E6E71" w:rsidRPr="00EA4B66">
        <w:rPr>
          <w:color w:val="000000" w:themeColor="text1"/>
          <w:sz w:val="24"/>
          <w:szCs w:val="24"/>
          <w:lang w:val="en-US"/>
        </w:rPr>
        <w:t xml:space="preserve">The guidelines of the </w:t>
      </w:r>
      <w:r w:rsidR="000072EA">
        <w:rPr>
          <w:color w:val="000000" w:themeColor="text1"/>
          <w:sz w:val="24"/>
          <w:szCs w:val="24"/>
          <w:lang w:val="en-US"/>
        </w:rPr>
        <w:t>EU</w:t>
      </w:r>
      <w:r w:rsidR="00CC374C" w:rsidRPr="00EA4B66">
        <w:rPr>
          <w:color w:val="000000" w:themeColor="text1"/>
          <w:sz w:val="24"/>
          <w:szCs w:val="24"/>
          <w:lang w:val="en-US"/>
        </w:rPr>
        <w:t xml:space="preserve">’s MERITUM project </w:t>
      </w:r>
      <w:r w:rsidR="009E6E71" w:rsidRPr="00EA4B66">
        <w:rPr>
          <w:color w:val="000000" w:themeColor="text1"/>
          <w:sz w:val="24"/>
          <w:szCs w:val="24"/>
          <w:lang w:val="en-US"/>
        </w:rPr>
        <w:t>(2002)</w:t>
      </w:r>
      <w:r w:rsidR="009858DA" w:rsidRPr="00EA4B66">
        <w:rPr>
          <w:color w:val="000000" w:themeColor="text1"/>
          <w:sz w:val="24"/>
          <w:szCs w:val="24"/>
          <w:lang w:val="en-US"/>
        </w:rPr>
        <w:t xml:space="preserve"> </w:t>
      </w:r>
      <w:r w:rsidR="00707B6E" w:rsidRPr="00EA4B66">
        <w:rPr>
          <w:color w:val="000000" w:themeColor="text1"/>
          <w:sz w:val="24"/>
          <w:szCs w:val="24"/>
          <w:lang w:val="en-US"/>
        </w:rPr>
        <w:t xml:space="preserve">divide IC into three categories: </w:t>
      </w:r>
      <w:r w:rsidR="00CC374C" w:rsidRPr="00EA4B66">
        <w:rPr>
          <w:color w:val="000000" w:themeColor="text1"/>
          <w:sz w:val="24"/>
          <w:szCs w:val="24"/>
          <w:lang w:val="en-US"/>
        </w:rPr>
        <w:t xml:space="preserve">human capital, structural capital, and relational capital. Human capital is defined as </w:t>
      </w:r>
      <w:r w:rsidR="00B81227" w:rsidRPr="00EA4B66">
        <w:rPr>
          <w:color w:val="000000" w:themeColor="text1"/>
          <w:sz w:val="24"/>
          <w:szCs w:val="24"/>
          <w:lang w:val="en-US"/>
        </w:rPr>
        <w:t>the knowledge and skills that employees bring with them when they leave the company</w:t>
      </w:r>
      <w:r w:rsidR="00707B6E" w:rsidRPr="00EA4B66">
        <w:rPr>
          <w:color w:val="000000" w:themeColor="text1"/>
          <w:sz w:val="24"/>
          <w:szCs w:val="24"/>
          <w:lang w:val="en-US"/>
        </w:rPr>
        <w:t xml:space="preserve">. </w:t>
      </w:r>
      <w:r w:rsidR="00CC374C" w:rsidRPr="00EA4B66">
        <w:rPr>
          <w:color w:val="000000" w:themeColor="text1"/>
          <w:sz w:val="24"/>
          <w:szCs w:val="24"/>
          <w:lang w:val="en-US"/>
        </w:rPr>
        <w:t>Structural capital is</w:t>
      </w:r>
      <w:r w:rsidR="00294682" w:rsidRPr="00EA4B66">
        <w:rPr>
          <w:color w:val="000000" w:themeColor="text1"/>
          <w:sz w:val="24"/>
          <w:szCs w:val="24"/>
          <w:lang w:val="en-US"/>
        </w:rPr>
        <w:t xml:space="preserve"> seen as</w:t>
      </w:r>
      <w:r w:rsidR="00CC374C" w:rsidRPr="00EA4B66">
        <w:rPr>
          <w:color w:val="000000" w:themeColor="text1"/>
          <w:sz w:val="24"/>
          <w:szCs w:val="24"/>
          <w:lang w:val="en-US"/>
        </w:rPr>
        <w:t xml:space="preserve"> th</w:t>
      </w:r>
      <w:r w:rsidR="00294682" w:rsidRPr="00EA4B66">
        <w:rPr>
          <w:color w:val="000000" w:themeColor="text1"/>
          <w:sz w:val="24"/>
          <w:szCs w:val="24"/>
          <w:lang w:val="en-US"/>
        </w:rPr>
        <w:t>e knowledge w</w:t>
      </w:r>
      <w:r w:rsidR="00055B00" w:rsidRPr="00EA4B66">
        <w:rPr>
          <w:color w:val="000000" w:themeColor="text1"/>
          <w:sz w:val="24"/>
          <w:szCs w:val="24"/>
          <w:lang w:val="en-US"/>
        </w:rPr>
        <w:t>hich remains within the company when employees leave</w:t>
      </w:r>
      <w:r w:rsidR="009E6E71" w:rsidRPr="00EA4B66">
        <w:rPr>
          <w:color w:val="000000" w:themeColor="text1"/>
          <w:sz w:val="24"/>
          <w:szCs w:val="24"/>
          <w:lang w:val="en-US"/>
        </w:rPr>
        <w:t>,</w:t>
      </w:r>
      <w:r w:rsidR="00055B00" w:rsidRPr="00EA4B66">
        <w:rPr>
          <w:color w:val="000000" w:themeColor="text1"/>
          <w:sz w:val="24"/>
          <w:szCs w:val="24"/>
          <w:lang w:val="en-US"/>
        </w:rPr>
        <w:t xml:space="preserve"> </w:t>
      </w:r>
      <w:r w:rsidR="00294682" w:rsidRPr="00EA4B66">
        <w:rPr>
          <w:color w:val="000000" w:themeColor="text1"/>
          <w:sz w:val="24"/>
          <w:szCs w:val="24"/>
          <w:lang w:val="en-US"/>
        </w:rPr>
        <w:t>and includes</w:t>
      </w:r>
      <w:r w:rsidR="00294682" w:rsidRPr="00EA4B66">
        <w:rPr>
          <w:color w:val="000000" w:themeColor="text1"/>
          <w:lang w:val="en-US"/>
        </w:rPr>
        <w:t xml:space="preserve"> </w:t>
      </w:r>
      <w:r w:rsidR="00294682" w:rsidRPr="00EA4B66">
        <w:rPr>
          <w:color w:val="000000" w:themeColor="text1"/>
          <w:sz w:val="24"/>
          <w:szCs w:val="24"/>
          <w:lang w:val="en-US"/>
        </w:rPr>
        <w:t xml:space="preserve">organizational routines, procedures, cultures, databases, </w:t>
      </w:r>
      <w:r w:rsidR="009E6E71" w:rsidRPr="00EA4B66">
        <w:rPr>
          <w:color w:val="000000" w:themeColor="text1"/>
          <w:sz w:val="24"/>
          <w:szCs w:val="24"/>
          <w:lang w:val="en-US"/>
        </w:rPr>
        <w:t>and so on</w:t>
      </w:r>
      <w:r w:rsidR="00CC374C" w:rsidRPr="00EA4B66">
        <w:rPr>
          <w:color w:val="000000" w:themeColor="text1"/>
          <w:sz w:val="24"/>
          <w:szCs w:val="24"/>
          <w:lang w:val="en-US"/>
        </w:rPr>
        <w:t xml:space="preserve">. </w:t>
      </w:r>
      <w:r w:rsidR="00294682" w:rsidRPr="00EA4B66">
        <w:rPr>
          <w:color w:val="000000" w:themeColor="text1"/>
          <w:sz w:val="24"/>
          <w:szCs w:val="24"/>
          <w:lang w:val="en-US"/>
        </w:rPr>
        <w:t xml:space="preserve">Finally, </w:t>
      </w:r>
      <w:r w:rsidR="009E6E71" w:rsidRPr="00EA4B66">
        <w:rPr>
          <w:color w:val="000000" w:themeColor="text1"/>
          <w:sz w:val="24"/>
          <w:szCs w:val="24"/>
          <w:lang w:val="en-US"/>
        </w:rPr>
        <w:t>r</w:t>
      </w:r>
      <w:r w:rsidR="00294682" w:rsidRPr="00EA4B66">
        <w:rPr>
          <w:color w:val="000000" w:themeColor="text1"/>
          <w:sz w:val="24"/>
          <w:szCs w:val="24"/>
          <w:lang w:val="en-US"/>
        </w:rPr>
        <w:t xml:space="preserve">elational </w:t>
      </w:r>
      <w:r w:rsidR="009E6E71" w:rsidRPr="00EA4B66">
        <w:rPr>
          <w:color w:val="000000" w:themeColor="text1"/>
          <w:sz w:val="24"/>
          <w:szCs w:val="24"/>
          <w:lang w:val="en-US"/>
        </w:rPr>
        <w:t>c</w:t>
      </w:r>
      <w:r w:rsidR="00294682" w:rsidRPr="00EA4B66">
        <w:rPr>
          <w:color w:val="000000" w:themeColor="text1"/>
          <w:sz w:val="24"/>
          <w:szCs w:val="24"/>
          <w:lang w:val="en-US"/>
        </w:rPr>
        <w:t>apital comprises all external relationships</w:t>
      </w:r>
      <w:r w:rsidR="008E5339" w:rsidRPr="00EA4B66">
        <w:rPr>
          <w:color w:val="000000" w:themeColor="text1"/>
          <w:sz w:val="24"/>
          <w:szCs w:val="24"/>
          <w:lang w:val="en-US"/>
        </w:rPr>
        <w:t xml:space="preserve"> </w:t>
      </w:r>
      <w:r w:rsidR="009E6E71" w:rsidRPr="00EA4B66">
        <w:rPr>
          <w:color w:val="000000" w:themeColor="text1"/>
          <w:sz w:val="24"/>
          <w:szCs w:val="24"/>
          <w:lang w:val="en-US"/>
        </w:rPr>
        <w:t xml:space="preserve">such as </w:t>
      </w:r>
      <w:r w:rsidR="008E5339" w:rsidRPr="00EA4B66">
        <w:rPr>
          <w:color w:val="000000" w:themeColor="text1"/>
          <w:sz w:val="24"/>
          <w:szCs w:val="24"/>
          <w:lang w:val="en-US"/>
        </w:rPr>
        <w:t xml:space="preserve">formal business collaborations </w:t>
      </w:r>
      <w:r w:rsidR="00294682" w:rsidRPr="00EA4B66">
        <w:rPr>
          <w:color w:val="000000" w:themeColor="text1"/>
          <w:sz w:val="24"/>
          <w:szCs w:val="24"/>
          <w:lang w:val="en-US"/>
        </w:rPr>
        <w:t xml:space="preserve">and all </w:t>
      </w:r>
      <w:r w:rsidR="008E5339" w:rsidRPr="00EA4B66">
        <w:rPr>
          <w:color w:val="000000" w:themeColor="text1"/>
          <w:sz w:val="24"/>
          <w:szCs w:val="24"/>
          <w:lang w:val="en-US"/>
        </w:rPr>
        <w:t xml:space="preserve">other informal links to external entities such as </w:t>
      </w:r>
      <w:r w:rsidR="00294682" w:rsidRPr="00EA4B66">
        <w:rPr>
          <w:color w:val="000000" w:themeColor="text1"/>
          <w:sz w:val="24"/>
          <w:szCs w:val="24"/>
          <w:lang w:val="en-US"/>
        </w:rPr>
        <w:t>customers, suppliers,</w:t>
      </w:r>
      <w:r w:rsidR="008E5339" w:rsidRPr="00EA4B66">
        <w:rPr>
          <w:color w:val="000000" w:themeColor="text1"/>
          <w:sz w:val="24"/>
          <w:szCs w:val="24"/>
          <w:lang w:val="en-US"/>
        </w:rPr>
        <w:t xml:space="preserve"> banks,</w:t>
      </w:r>
      <w:r w:rsidR="00294682" w:rsidRPr="00EA4B66">
        <w:rPr>
          <w:color w:val="000000" w:themeColor="text1"/>
          <w:sz w:val="24"/>
          <w:szCs w:val="24"/>
          <w:lang w:val="en-US"/>
        </w:rPr>
        <w:t xml:space="preserve"> </w:t>
      </w:r>
      <w:r w:rsidR="00303784" w:rsidRPr="00EA4B66">
        <w:rPr>
          <w:color w:val="000000" w:themeColor="text1"/>
          <w:sz w:val="24"/>
          <w:szCs w:val="24"/>
          <w:lang w:val="en-US"/>
        </w:rPr>
        <w:t xml:space="preserve">and </w:t>
      </w:r>
      <w:r w:rsidR="00294682" w:rsidRPr="00EA4B66">
        <w:rPr>
          <w:color w:val="000000" w:themeColor="text1"/>
          <w:sz w:val="24"/>
          <w:szCs w:val="24"/>
          <w:lang w:val="en-US"/>
        </w:rPr>
        <w:t>no</w:t>
      </w:r>
      <w:r w:rsidR="009E6E71" w:rsidRPr="00EA4B66">
        <w:rPr>
          <w:color w:val="000000" w:themeColor="text1"/>
          <w:sz w:val="24"/>
          <w:szCs w:val="24"/>
          <w:lang w:val="en-US"/>
        </w:rPr>
        <w:t>n-</w:t>
      </w:r>
      <w:r w:rsidR="00294682" w:rsidRPr="00EA4B66">
        <w:rPr>
          <w:color w:val="000000" w:themeColor="text1"/>
          <w:sz w:val="24"/>
          <w:szCs w:val="24"/>
          <w:lang w:val="en-US"/>
        </w:rPr>
        <w:t>profit organizations (Leitner, 2004).</w:t>
      </w:r>
    </w:p>
    <w:p w14:paraId="3324026B" w14:textId="56D5E2EF" w:rsidR="00004ACB" w:rsidRPr="00EA4B66" w:rsidRDefault="004D6898" w:rsidP="004D6898">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9E6E71" w:rsidRPr="00EA4B66">
        <w:rPr>
          <w:color w:val="000000" w:themeColor="text1"/>
          <w:sz w:val="24"/>
          <w:szCs w:val="24"/>
          <w:lang w:val="en-US"/>
        </w:rPr>
        <w:t>D</w:t>
      </w:r>
      <w:r w:rsidR="006D1126" w:rsidRPr="00EA4B66">
        <w:rPr>
          <w:color w:val="000000" w:themeColor="text1"/>
          <w:sz w:val="24"/>
          <w:szCs w:val="24"/>
          <w:lang w:val="en-US"/>
        </w:rPr>
        <w:t xml:space="preserve">espite </w:t>
      </w:r>
      <w:r w:rsidR="009E6E71" w:rsidRPr="00EA4B66">
        <w:rPr>
          <w:color w:val="000000" w:themeColor="text1"/>
          <w:sz w:val="24"/>
          <w:szCs w:val="24"/>
          <w:lang w:val="en-US"/>
        </w:rPr>
        <w:t xml:space="preserve">a wealth of </w:t>
      </w:r>
      <w:r w:rsidR="006D1126" w:rsidRPr="00EA4B66">
        <w:rPr>
          <w:color w:val="000000" w:themeColor="text1"/>
          <w:sz w:val="24"/>
          <w:szCs w:val="24"/>
          <w:lang w:val="en-US"/>
        </w:rPr>
        <w:t xml:space="preserve">studies that highlight the importance of </w:t>
      </w:r>
      <w:r w:rsidR="0046565A">
        <w:rPr>
          <w:color w:val="000000" w:themeColor="text1"/>
          <w:sz w:val="24"/>
          <w:szCs w:val="24"/>
          <w:lang w:val="en-US"/>
        </w:rPr>
        <w:t>IC</w:t>
      </w:r>
      <w:r w:rsidR="006D1126" w:rsidRPr="00EA4B66">
        <w:rPr>
          <w:color w:val="000000" w:themeColor="text1"/>
          <w:sz w:val="24"/>
          <w:szCs w:val="24"/>
          <w:lang w:val="en-US"/>
        </w:rPr>
        <w:t xml:space="preserve"> </w:t>
      </w:r>
      <w:r w:rsidR="009858DA" w:rsidRPr="00EA4B66">
        <w:rPr>
          <w:color w:val="000000" w:themeColor="text1"/>
          <w:sz w:val="24"/>
          <w:szCs w:val="24"/>
          <w:lang w:val="en-US"/>
        </w:rPr>
        <w:t xml:space="preserve">to </w:t>
      </w:r>
      <w:r w:rsidR="006D1126" w:rsidRPr="00EA4B66">
        <w:rPr>
          <w:color w:val="000000" w:themeColor="text1"/>
          <w:sz w:val="24"/>
          <w:szCs w:val="24"/>
          <w:lang w:val="en-US"/>
        </w:rPr>
        <w:t>firm value creation</w:t>
      </w:r>
      <w:r w:rsidR="001006E8" w:rsidRPr="00EA4B66">
        <w:rPr>
          <w:color w:val="000000" w:themeColor="text1"/>
          <w:sz w:val="24"/>
          <w:szCs w:val="24"/>
          <w:lang w:val="en-US"/>
        </w:rPr>
        <w:t xml:space="preserve"> and the need to develop appropriate measurement tools</w:t>
      </w:r>
      <w:r w:rsidR="006D1126" w:rsidRPr="00EA4B66">
        <w:rPr>
          <w:color w:val="000000" w:themeColor="text1"/>
          <w:sz w:val="24"/>
          <w:szCs w:val="24"/>
          <w:lang w:val="en-US"/>
        </w:rPr>
        <w:t xml:space="preserve">, </w:t>
      </w:r>
      <w:r w:rsidR="003B5223" w:rsidRPr="00EA4B66">
        <w:rPr>
          <w:color w:val="000000" w:themeColor="text1"/>
          <w:sz w:val="24"/>
          <w:szCs w:val="24"/>
          <w:lang w:val="en-US"/>
        </w:rPr>
        <w:t xml:space="preserve">traditional financial accounting </w:t>
      </w:r>
      <w:r w:rsidR="006E0BC6" w:rsidRPr="00EA4B66">
        <w:rPr>
          <w:color w:val="000000" w:themeColor="text1"/>
          <w:sz w:val="24"/>
          <w:szCs w:val="24"/>
          <w:lang w:val="en-US"/>
        </w:rPr>
        <w:t>still</w:t>
      </w:r>
      <w:r w:rsidR="003B5223" w:rsidRPr="00EA4B66">
        <w:rPr>
          <w:color w:val="000000" w:themeColor="text1"/>
          <w:sz w:val="24"/>
          <w:szCs w:val="24"/>
          <w:lang w:val="en-US"/>
        </w:rPr>
        <w:t xml:space="preserve"> </w:t>
      </w:r>
      <w:r w:rsidR="004B4269" w:rsidRPr="00EA4B66">
        <w:rPr>
          <w:color w:val="000000" w:themeColor="text1"/>
          <w:sz w:val="24"/>
          <w:szCs w:val="24"/>
          <w:lang w:val="en-US"/>
        </w:rPr>
        <w:t>do</w:t>
      </w:r>
      <w:r w:rsidR="009858DA" w:rsidRPr="00EA4B66">
        <w:rPr>
          <w:color w:val="000000" w:themeColor="text1"/>
          <w:sz w:val="24"/>
          <w:szCs w:val="24"/>
          <w:lang w:val="en-US"/>
        </w:rPr>
        <w:t>es</w:t>
      </w:r>
      <w:r w:rsidR="004B4269" w:rsidRPr="00EA4B66">
        <w:rPr>
          <w:color w:val="000000" w:themeColor="text1"/>
          <w:sz w:val="24"/>
          <w:szCs w:val="24"/>
          <w:lang w:val="en-US"/>
        </w:rPr>
        <w:t xml:space="preserve"> </w:t>
      </w:r>
      <w:r w:rsidR="003B5223" w:rsidRPr="00EA4B66">
        <w:rPr>
          <w:color w:val="000000" w:themeColor="text1"/>
          <w:sz w:val="24"/>
          <w:szCs w:val="24"/>
          <w:lang w:val="en-US"/>
        </w:rPr>
        <w:t>not take into account</w:t>
      </w:r>
      <w:r w:rsidR="009858DA" w:rsidRPr="00EA4B66">
        <w:rPr>
          <w:color w:val="000000" w:themeColor="text1"/>
          <w:sz w:val="24"/>
          <w:szCs w:val="24"/>
          <w:lang w:val="en-US"/>
        </w:rPr>
        <w:t xml:space="preserve"> the full range of </w:t>
      </w:r>
      <w:r w:rsidR="003B5223" w:rsidRPr="00EA4B66">
        <w:rPr>
          <w:color w:val="000000" w:themeColor="text1"/>
          <w:sz w:val="24"/>
          <w:szCs w:val="24"/>
          <w:lang w:val="en-US"/>
        </w:rPr>
        <w:t xml:space="preserve">intangible </w:t>
      </w:r>
      <w:r w:rsidR="004F48F6" w:rsidRPr="00EA4B66">
        <w:rPr>
          <w:color w:val="000000" w:themeColor="text1"/>
          <w:sz w:val="24"/>
          <w:szCs w:val="24"/>
          <w:lang w:val="en-US"/>
        </w:rPr>
        <w:t>resources</w:t>
      </w:r>
      <w:r w:rsidR="003B5223" w:rsidRPr="00EA4B66">
        <w:rPr>
          <w:color w:val="000000" w:themeColor="text1"/>
          <w:sz w:val="24"/>
          <w:szCs w:val="24"/>
          <w:lang w:val="en-US"/>
        </w:rPr>
        <w:t xml:space="preserve"> that drive a company’s value and its growth prospects</w:t>
      </w:r>
      <w:r w:rsidR="009858DA" w:rsidRPr="00EA4B66">
        <w:rPr>
          <w:color w:val="000000" w:themeColor="text1"/>
          <w:sz w:val="24"/>
          <w:szCs w:val="24"/>
          <w:lang w:val="en-US"/>
        </w:rPr>
        <w:t xml:space="preserve"> (Edvinsson and Malone, 1997; Bontis, 2003; Oliveras </w:t>
      </w:r>
      <w:r w:rsidR="009858DA" w:rsidRPr="00EA4B66">
        <w:rPr>
          <w:i/>
          <w:color w:val="000000" w:themeColor="text1"/>
          <w:sz w:val="24"/>
          <w:szCs w:val="24"/>
          <w:lang w:val="en-US"/>
        </w:rPr>
        <w:t>et al</w:t>
      </w:r>
      <w:r w:rsidR="009858DA" w:rsidRPr="00EA4B66">
        <w:rPr>
          <w:color w:val="000000" w:themeColor="text1"/>
          <w:sz w:val="24"/>
          <w:szCs w:val="24"/>
          <w:lang w:val="en-US"/>
        </w:rPr>
        <w:t>., 2008; Lal Bhasin, 2012; Abhayawansa and Guthrie, 2016; WICI, 2016)</w:t>
      </w:r>
      <w:r w:rsidR="001D30E9" w:rsidRPr="00EA4B66">
        <w:rPr>
          <w:color w:val="000000" w:themeColor="text1"/>
          <w:sz w:val="24"/>
          <w:szCs w:val="24"/>
          <w:lang w:val="en-US"/>
        </w:rPr>
        <w:t xml:space="preserve">. </w:t>
      </w:r>
      <w:r w:rsidR="009858DA" w:rsidRPr="00EA4B66">
        <w:rPr>
          <w:color w:val="000000" w:themeColor="text1"/>
          <w:sz w:val="24"/>
          <w:szCs w:val="24"/>
          <w:lang w:val="en-US"/>
        </w:rPr>
        <w:t>From an accounting perspective, m</w:t>
      </w:r>
      <w:r w:rsidR="004F48F6" w:rsidRPr="00EA4B66">
        <w:rPr>
          <w:color w:val="000000" w:themeColor="text1"/>
          <w:sz w:val="24"/>
          <w:szCs w:val="24"/>
          <w:lang w:val="en-US"/>
        </w:rPr>
        <w:t xml:space="preserve">ost </w:t>
      </w:r>
      <w:r w:rsidR="00791870">
        <w:rPr>
          <w:color w:val="000000" w:themeColor="text1"/>
          <w:sz w:val="24"/>
          <w:szCs w:val="24"/>
          <w:lang w:val="en-US"/>
        </w:rPr>
        <w:t>IA</w:t>
      </w:r>
      <w:r w:rsidR="004F48F6" w:rsidRPr="00EA4B66">
        <w:rPr>
          <w:color w:val="000000" w:themeColor="text1"/>
          <w:sz w:val="24"/>
          <w:szCs w:val="24"/>
          <w:lang w:val="en-US"/>
        </w:rPr>
        <w:t xml:space="preserve"> are not identifiable, excepting assets covered by </w:t>
      </w:r>
      <w:r w:rsidR="003B5223" w:rsidRPr="00EA4B66">
        <w:rPr>
          <w:color w:val="000000" w:themeColor="text1"/>
          <w:sz w:val="24"/>
          <w:szCs w:val="24"/>
          <w:lang w:val="en-US"/>
        </w:rPr>
        <w:t>specific legal rights (e.g. patents</w:t>
      </w:r>
      <w:r w:rsidR="001D30E9" w:rsidRPr="00EA4B66">
        <w:rPr>
          <w:color w:val="000000" w:themeColor="text1"/>
          <w:sz w:val="24"/>
          <w:szCs w:val="24"/>
          <w:lang w:val="en-US"/>
        </w:rPr>
        <w:t xml:space="preserve"> and </w:t>
      </w:r>
      <w:r w:rsidR="003B5223" w:rsidRPr="00EA4B66">
        <w:rPr>
          <w:color w:val="000000" w:themeColor="text1"/>
          <w:sz w:val="24"/>
          <w:szCs w:val="24"/>
          <w:lang w:val="en-US"/>
        </w:rPr>
        <w:t>trademarks) that may be recogniz</w:t>
      </w:r>
      <w:r w:rsidR="004F48F6" w:rsidRPr="00EA4B66">
        <w:rPr>
          <w:color w:val="000000" w:themeColor="text1"/>
          <w:sz w:val="24"/>
          <w:szCs w:val="24"/>
          <w:lang w:val="en-US"/>
        </w:rPr>
        <w:t>ed only when they are purchased</w:t>
      </w:r>
      <w:r w:rsidR="004F41FB" w:rsidRPr="00EA4B66">
        <w:rPr>
          <w:color w:val="000000" w:themeColor="text1"/>
          <w:sz w:val="24"/>
          <w:szCs w:val="24"/>
          <w:lang w:val="en-US"/>
        </w:rPr>
        <w:t xml:space="preserve"> (IAS 38)</w:t>
      </w:r>
      <w:r w:rsidR="004F48F6" w:rsidRPr="00EA4B66">
        <w:rPr>
          <w:color w:val="000000" w:themeColor="text1"/>
          <w:sz w:val="24"/>
          <w:szCs w:val="24"/>
          <w:lang w:val="en-US"/>
        </w:rPr>
        <w:t>.</w:t>
      </w:r>
      <w:r w:rsidR="001006E8" w:rsidRPr="00EA4B66">
        <w:rPr>
          <w:color w:val="000000" w:themeColor="text1"/>
          <w:sz w:val="24"/>
          <w:szCs w:val="24"/>
          <w:lang w:val="en-US"/>
        </w:rPr>
        <w:t xml:space="preserve"> Moreover, </w:t>
      </w:r>
      <w:r w:rsidR="00725549" w:rsidRPr="00EA4B66">
        <w:rPr>
          <w:color w:val="000000" w:themeColor="text1"/>
          <w:sz w:val="24"/>
          <w:szCs w:val="24"/>
          <w:lang w:val="en-US"/>
        </w:rPr>
        <w:t xml:space="preserve">researchers </w:t>
      </w:r>
      <w:r w:rsidR="009858DA" w:rsidRPr="00EA4B66">
        <w:rPr>
          <w:color w:val="000000" w:themeColor="text1"/>
          <w:sz w:val="24"/>
          <w:szCs w:val="24"/>
          <w:lang w:val="en-US"/>
        </w:rPr>
        <w:t>do</w:t>
      </w:r>
      <w:r w:rsidR="004A5912" w:rsidRPr="00EA4B66">
        <w:rPr>
          <w:color w:val="000000" w:themeColor="text1"/>
          <w:sz w:val="24"/>
          <w:szCs w:val="24"/>
          <w:lang w:val="en-US"/>
        </w:rPr>
        <w:t xml:space="preserve"> not yet </w:t>
      </w:r>
      <w:r w:rsidR="009858DA" w:rsidRPr="00EA4B66">
        <w:rPr>
          <w:color w:val="000000" w:themeColor="text1"/>
          <w:sz w:val="24"/>
          <w:szCs w:val="24"/>
          <w:lang w:val="en-US"/>
        </w:rPr>
        <w:t xml:space="preserve">have </w:t>
      </w:r>
      <w:r w:rsidR="004A5912" w:rsidRPr="00EA4B66">
        <w:rPr>
          <w:color w:val="000000" w:themeColor="text1"/>
          <w:sz w:val="24"/>
          <w:szCs w:val="24"/>
          <w:lang w:val="en-US"/>
        </w:rPr>
        <w:t xml:space="preserve">a universally </w:t>
      </w:r>
      <w:r w:rsidR="009858DA" w:rsidRPr="00EA4B66">
        <w:rPr>
          <w:color w:val="000000" w:themeColor="text1"/>
          <w:sz w:val="24"/>
          <w:szCs w:val="24"/>
          <w:lang w:val="en-US"/>
        </w:rPr>
        <w:t xml:space="preserve">accepted </w:t>
      </w:r>
      <w:r w:rsidR="000F524A" w:rsidRPr="00EA4B66">
        <w:rPr>
          <w:color w:val="000000" w:themeColor="text1"/>
          <w:sz w:val="24"/>
          <w:szCs w:val="24"/>
          <w:lang w:val="en-US"/>
        </w:rPr>
        <w:t xml:space="preserve">instrument to </w:t>
      </w:r>
      <w:r w:rsidR="009858DA" w:rsidRPr="00EA4B66">
        <w:rPr>
          <w:color w:val="000000" w:themeColor="text1"/>
          <w:sz w:val="24"/>
          <w:szCs w:val="24"/>
          <w:lang w:val="en-US"/>
        </w:rPr>
        <w:t>enable t</w:t>
      </w:r>
      <w:r w:rsidR="00912D85" w:rsidRPr="00EA4B66">
        <w:rPr>
          <w:color w:val="000000" w:themeColor="text1"/>
          <w:sz w:val="24"/>
          <w:szCs w:val="24"/>
          <w:lang w:val="en-US"/>
        </w:rPr>
        <w:t>he</w:t>
      </w:r>
      <w:r w:rsidR="009858DA" w:rsidRPr="00EA4B66">
        <w:rPr>
          <w:color w:val="000000" w:themeColor="text1"/>
          <w:sz w:val="24"/>
          <w:szCs w:val="24"/>
          <w:lang w:val="en-US"/>
        </w:rPr>
        <w:t xml:space="preserve"> </w:t>
      </w:r>
      <w:r w:rsidR="000F524A" w:rsidRPr="00EA4B66">
        <w:rPr>
          <w:color w:val="000000" w:themeColor="text1"/>
          <w:sz w:val="24"/>
          <w:szCs w:val="24"/>
          <w:lang w:val="en-US"/>
        </w:rPr>
        <w:t>measure</w:t>
      </w:r>
      <w:r w:rsidR="00912D85" w:rsidRPr="00EA4B66">
        <w:rPr>
          <w:color w:val="000000" w:themeColor="text1"/>
          <w:sz w:val="24"/>
          <w:szCs w:val="24"/>
          <w:lang w:val="en-US"/>
        </w:rPr>
        <w:t xml:space="preserve">ment of </w:t>
      </w:r>
      <w:r w:rsidR="009858DA" w:rsidRPr="00EA4B66">
        <w:rPr>
          <w:color w:val="000000" w:themeColor="text1"/>
          <w:sz w:val="24"/>
          <w:szCs w:val="24"/>
          <w:lang w:val="en-US"/>
        </w:rPr>
        <w:t>i</w:t>
      </w:r>
      <w:r w:rsidR="00EA24E4" w:rsidRPr="00EA4B66">
        <w:rPr>
          <w:color w:val="000000" w:themeColor="text1"/>
          <w:sz w:val="24"/>
          <w:szCs w:val="24"/>
          <w:lang w:val="en-US"/>
        </w:rPr>
        <w:t xml:space="preserve">ntellectual </w:t>
      </w:r>
      <w:r w:rsidR="009858DA" w:rsidRPr="00EA4B66">
        <w:rPr>
          <w:color w:val="000000" w:themeColor="text1"/>
          <w:sz w:val="24"/>
          <w:szCs w:val="24"/>
          <w:lang w:val="en-US"/>
        </w:rPr>
        <w:t>c</w:t>
      </w:r>
      <w:r w:rsidR="004A5912" w:rsidRPr="00EA4B66">
        <w:rPr>
          <w:color w:val="000000" w:themeColor="text1"/>
          <w:sz w:val="24"/>
          <w:szCs w:val="24"/>
          <w:lang w:val="en-US"/>
        </w:rPr>
        <w:t>apital</w:t>
      </w:r>
      <w:r w:rsidR="00EA24E4" w:rsidRPr="00EA4B66">
        <w:rPr>
          <w:color w:val="000000" w:themeColor="text1"/>
          <w:sz w:val="24"/>
          <w:szCs w:val="24"/>
          <w:lang w:val="en-US"/>
        </w:rPr>
        <w:t xml:space="preserve"> value</w:t>
      </w:r>
      <w:r w:rsidR="004A5912" w:rsidRPr="00EA4B66">
        <w:rPr>
          <w:color w:val="000000" w:themeColor="text1"/>
          <w:sz w:val="24"/>
          <w:szCs w:val="24"/>
          <w:lang w:val="en-US"/>
        </w:rPr>
        <w:t xml:space="preserve"> </w:t>
      </w:r>
      <w:r w:rsidR="00716CF7" w:rsidRPr="00EA4B66">
        <w:rPr>
          <w:color w:val="000000" w:themeColor="text1"/>
          <w:sz w:val="24"/>
          <w:szCs w:val="24"/>
          <w:lang w:val="en-US"/>
        </w:rPr>
        <w:t>(</w:t>
      </w:r>
      <w:r w:rsidR="001006E8" w:rsidRPr="00EA4B66">
        <w:rPr>
          <w:color w:val="000000" w:themeColor="text1"/>
          <w:sz w:val="24"/>
          <w:szCs w:val="24"/>
          <w:lang w:val="en-US"/>
        </w:rPr>
        <w:t>Goebel, 2015</w:t>
      </w:r>
      <w:r w:rsidR="004A5912" w:rsidRPr="00EA4B66">
        <w:rPr>
          <w:color w:val="000000" w:themeColor="text1"/>
          <w:sz w:val="24"/>
          <w:szCs w:val="24"/>
          <w:lang w:val="en-US"/>
        </w:rPr>
        <w:t xml:space="preserve">; Dženopoljac </w:t>
      </w:r>
      <w:r w:rsidR="004A5912" w:rsidRPr="00EA4B66">
        <w:rPr>
          <w:i/>
          <w:color w:val="000000" w:themeColor="text1"/>
          <w:sz w:val="24"/>
          <w:szCs w:val="24"/>
          <w:lang w:val="en-US"/>
        </w:rPr>
        <w:t>et al</w:t>
      </w:r>
      <w:r w:rsidR="004A5912" w:rsidRPr="00EA4B66">
        <w:rPr>
          <w:color w:val="000000" w:themeColor="text1"/>
          <w:sz w:val="24"/>
          <w:szCs w:val="24"/>
          <w:lang w:val="en-US"/>
        </w:rPr>
        <w:t>., 2016</w:t>
      </w:r>
      <w:r w:rsidR="001006E8" w:rsidRPr="00EA4B66">
        <w:rPr>
          <w:color w:val="000000" w:themeColor="text1"/>
          <w:sz w:val="24"/>
          <w:szCs w:val="24"/>
          <w:lang w:val="en-US"/>
        </w:rPr>
        <w:t>).</w:t>
      </w:r>
      <w:r w:rsidR="003B5223" w:rsidRPr="00EA4B66">
        <w:rPr>
          <w:color w:val="000000" w:themeColor="text1"/>
          <w:sz w:val="24"/>
          <w:szCs w:val="24"/>
          <w:lang w:val="en-US"/>
        </w:rPr>
        <w:t xml:space="preserve"> </w:t>
      </w:r>
    </w:p>
    <w:p w14:paraId="76D9430C" w14:textId="4D9F3DD1" w:rsidR="00966DA5" w:rsidRPr="00EA4B66" w:rsidRDefault="00497C86" w:rsidP="00497C86">
      <w:pPr>
        <w:spacing w:after="0" w:line="240" w:lineRule="auto"/>
        <w:jc w:val="both"/>
        <w:rPr>
          <w:noProof/>
          <w:color w:val="000000" w:themeColor="text1"/>
          <w:sz w:val="24"/>
          <w:szCs w:val="24"/>
          <w:lang w:val="en-US"/>
        </w:rPr>
      </w:pPr>
      <w:r w:rsidRPr="00EA4B66">
        <w:rPr>
          <w:color w:val="000000" w:themeColor="text1"/>
          <w:sz w:val="24"/>
          <w:szCs w:val="24"/>
          <w:lang w:val="en-US"/>
        </w:rPr>
        <w:t xml:space="preserve">   </w:t>
      </w:r>
      <w:r w:rsidR="009858DA" w:rsidRPr="00EA4B66">
        <w:rPr>
          <w:color w:val="000000" w:themeColor="text1"/>
          <w:sz w:val="24"/>
          <w:szCs w:val="24"/>
          <w:lang w:val="en-US"/>
        </w:rPr>
        <w:t>A</w:t>
      </w:r>
      <w:r w:rsidR="003B5223" w:rsidRPr="00EA4B66">
        <w:rPr>
          <w:color w:val="000000" w:themeColor="text1"/>
          <w:sz w:val="24"/>
          <w:szCs w:val="24"/>
          <w:lang w:val="en-US"/>
        </w:rPr>
        <w:t xml:space="preserve">ccording to the existing literature, IC </w:t>
      </w:r>
      <w:r w:rsidR="009858DA" w:rsidRPr="00EA4B66">
        <w:rPr>
          <w:color w:val="000000" w:themeColor="text1"/>
          <w:sz w:val="24"/>
          <w:szCs w:val="24"/>
          <w:lang w:val="en-US"/>
        </w:rPr>
        <w:t xml:space="preserve">may </w:t>
      </w:r>
      <w:r w:rsidR="001006E8" w:rsidRPr="00EA4B66">
        <w:rPr>
          <w:color w:val="000000" w:themeColor="text1"/>
          <w:sz w:val="24"/>
          <w:szCs w:val="24"/>
          <w:lang w:val="en-US"/>
        </w:rPr>
        <w:t>be</w:t>
      </w:r>
      <w:r w:rsidR="003B5223" w:rsidRPr="00EA4B66">
        <w:rPr>
          <w:color w:val="000000" w:themeColor="text1"/>
          <w:sz w:val="24"/>
          <w:szCs w:val="24"/>
          <w:lang w:val="en-US"/>
        </w:rPr>
        <w:t xml:space="preserve"> considered </w:t>
      </w:r>
      <w:r w:rsidR="001006E8" w:rsidRPr="00EA4B66">
        <w:rPr>
          <w:color w:val="000000" w:themeColor="text1"/>
          <w:sz w:val="24"/>
          <w:szCs w:val="24"/>
          <w:lang w:val="en-US"/>
        </w:rPr>
        <w:t>as</w:t>
      </w:r>
      <w:r w:rsidR="003B5223" w:rsidRPr="00EA4B66">
        <w:rPr>
          <w:color w:val="000000" w:themeColor="text1"/>
          <w:sz w:val="24"/>
          <w:szCs w:val="24"/>
          <w:lang w:val="en-US"/>
        </w:rPr>
        <w:t xml:space="preserve"> </w:t>
      </w:r>
      <w:r w:rsidR="009858DA" w:rsidRPr="00EA4B66">
        <w:rPr>
          <w:color w:val="000000" w:themeColor="text1"/>
          <w:sz w:val="24"/>
          <w:szCs w:val="24"/>
          <w:lang w:val="en-US"/>
        </w:rPr>
        <w:t xml:space="preserve">a significant </w:t>
      </w:r>
      <w:r w:rsidR="003B5223" w:rsidRPr="00EA4B66">
        <w:rPr>
          <w:color w:val="000000" w:themeColor="text1"/>
          <w:sz w:val="24"/>
          <w:szCs w:val="24"/>
          <w:lang w:val="en-US"/>
        </w:rPr>
        <w:t xml:space="preserve">‘hidden value’ that </w:t>
      </w:r>
      <w:r w:rsidR="009858DA" w:rsidRPr="00EA4B66">
        <w:rPr>
          <w:color w:val="000000" w:themeColor="text1"/>
          <w:sz w:val="24"/>
          <w:szCs w:val="24"/>
          <w:lang w:val="en-US"/>
        </w:rPr>
        <w:t xml:space="preserve">is not captured in </w:t>
      </w:r>
      <w:r w:rsidR="003B5223" w:rsidRPr="00EA4B66">
        <w:rPr>
          <w:color w:val="000000" w:themeColor="text1"/>
          <w:sz w:val="24"/>
          <w:szCs w:val="24"/>
          <w:lang w:val="en-US"/>
        </w:rPr>
        <w:t>the financial statements,</w:t>
      </w:r>
      <w:r w:rsidR="009858DA" w:rsidRPr="00EA4B66">
        <w:rPr>
          <w:color w:val="000000" w:themeColor="text1"/>
          <w:sz w:val="24"/>
          <w:szCs w:val="24"/>
          <w:lang w:val="en-US"/>
        </w:rPr>
        <w:t xml:space="preserve"> the value of which may be gauged in</w:t>
      </w:r>
      <w:r w:rsidR="00004ACB" w:rsidRPr="00EA4B66">
        <w:rPr>
          <w:color w:val="000000" w:themeColor="text1"/>
          <w:sz w:val="24"/>
          <w:szCs w:val="24"/>
          <w:lang w:val="en-US"/>
        </w:rPr>
        <w:t xml:space="preserve"> the difference between </w:t>
      </w:r>
      <w:r w:rsidR="009858DA" w:rsidRPr="00EA4B66">
        <w:rPr>
          <w:color w:val="000000" w:themeColor="text1"/>
          <w:sz w:val="24"/>
          <w:szCs w:val="24"/>
          <w:lang w:val="en-US"/>
        </w:rPr>
        <w:t>firm m</w:t>
      </w:r>
      <w:r w:rsidR="00004ACB" w:rsidRPr="00EA4B66">
        <w:rPr>
          <w:color w:val="000000" w:themeColor="text1"/>
          <w:sz w:val="24"/>
          <w:szCs w:val="24"/>
          <w:lang w:val="en-US"/>
        </w:rPr>
        <w:t>arket value and book value</w:t>
      </w:r>
      <w:r w:rsidR="009858DA" w:rsidRPr="00EA4B66">
        <w:rPr>
          <w:color w:val="000000" w:themeColor="text1"/>
          <w:sz w:val="24"/>
          <w:szCs w:val="24"/>
          <w:lang w:val="en-US"/>
        </w:rPr>
        <w:t xml:space="preserve"> (Edvinsson and Malone, 1997; Brennan, 2001; </w:t>
      </w:r>
      <w:r w:rsidR="00AA3B17" w:rsidRPr="00EA4B66">
        <w:rPr>
          <w:color w:val="000000" w:themeColor="text1"/>
          <w:sz w:val="24"/>
          <w:szCs w:val="24"/>
          <w:lang w:val="en-US"/>
        </w:rPr>
        <w:t xml:space="preserve">Ordóñez </w:t>
      </w:r>
      <w:r w:rsidR="009858DA" w:rsidRPr="00EA4B66">
        <w:rPr>
          <w:color w:val="000000" w:themeColor="text1"/>
          <w:sz w:val="24"/>
          <w:szCs w:val="24"/>
          <w:lang w:val="en-US"/>
        </w:rPr>
        <w:t xml:space="preserve">de Pablos, 2003; Oliveras </w:t>
      </w:r>
      <w:r w:rsidR="009858DA" w:rsidRPr="00EA4B66">
        <w:rPr>
          <w:i/>
          <w:color w:val="000000" w:themeColor="text1"/>
          <w:sz w:val="24"/>
          <w:szCs w:val="24"/>
          <w:lang w:val="en-US"/>
        </w:rPr>
        <w:t>et al</w:t>
      </w:r>
      <w:r w:rsidR="009858DA" w:rsidRPr="00EA4B66">
        <w:rPr>
          <w:color w:val="000000" w:themeColor="text1"/>
          <w:sz w:val="24"/>
          <w:szCs w:val="24"/>
          <w:lang w:val="en-US"/>
        </w:rPr>
        <w:t>., 2008; Ruta, 2009)</w:t>
      </w:r>
      <w:r w:rsidR="00004ACB" w:rsidRPr="00EA4B66">
        <w:rPr>
          <w:color w:val="000000" w:themeColor="text1"/>
          <w:sz w:val="24"/>
          <w:szCs w:val="24"/>
          <w:lang w:val="en-US"/>
        </w:rPr>
        <w:t>.</w:t>
      </w:r>
      <w:r w:rsidR="009858DA" w:rsidRPr="00EA4B66">
        <w:rPr>
          <w:color w:val="000000" w:themeColor="text1"/>
          <w:sz w:val="24"/>
          <w:szCs w:val="24"/>
          <w:lang w:val="en-US"/>
        </w:rPr>
        <w:t xml:space="preserve"> </w:t>
      </w:r>
      <w:r w:rsidR="009858DA" w:rsidRPr="00EA4B66">
        <w:rPr>
          <w:noProof/>
          <w:color w:val="000000" w:themeColor="text1"/>
          <w:sz w:val="24"/>
          <w:szCs w:val="24"/>
          <w:lang w:val="en-US"/>
        </w:rPr>
        <w:t xml:space="preserve">Thus, one </w:t>
      </w:r>
      <w:r w:rsidR="00716CF7" w:rsidRPr="00EA4B66">
        <w:rPr>
          <w:noProof/>
          <w:color w:val="000000" w:themeColor="text1"/>
          <w:sz w:val="24"/>
          <w:szCs w:val="24"/>
          <w:lang w:val="en-US"/>
        </w:rPr>
        <w:t>suitable</w:t>
      </w:r>
      <w:r w:rsidR="00966DA5" w:rsidRPr="00EA4B66">
        <w:rPr>
          <w:noProof/>
          <w:color w:val="000000" w:themeColor="text1"/>
          <w:sz w:val="24"/>
          <w:szCs w:val="24"/>
          <w:lang w:val="en-US"/>
        </w:rPr>
        <w:t xml:space="preserve"> method </w:t>
      </w:r>
      <w:r w:rsidR="009858DA" w:rsidRPr="00EA4B66">
        <w:rPr>
          <w:noProof/>
          <w:color w:val="000000" w:themeColor="text1"/>
          <w:sz w:val="24"/>
          <w:szCs w:val="24"/>
          <w:lang w:val="en-US"/>
        </w:rPr>
        <w:t xml:space="preserve">for </w:t>
      </w:r>
      <w:r w:rsidR="00966DA5" w:rsidRPr="00EA4B66">
        <w:rPr>
          <w:noProof/>
          <w:color w:val="000000" w:themeColor="text1"/>
          <w:sz w:val="24"/>
          <w:szCs w:val="24"/>
          <w:lang w:val="en-US"/>
        </w:rPr>
        <w:t>determin</w:t>
      </w:r>
      <w:r w:rsidR="009858DA" w:rsidRPr="00EA4B66">
        <w:rPr>
          <w:noProof/>
          <w:color w:val="000000" w:themeColor="text1"/>
          <w:sz w:val="24"/>
          <w:szCs w:val="24"/>
          <w:lang w:val="en-US"/>
        </w:rPr>
        <w:t>ing</w:t>
      </w:r>
      <w:r w:rsidR="00966DA5" w:rsidRPr="00EA4B66">
        <w:rPr>
          <w:noProof/>
          <w:color w:val="000000" w:themeColor="text1"/>
          <w:sz w:val="24"/>
          <w:szCs w:val="24"/>
          <w:lang w:val="en-US"/>
        </w:rPr>
        <w:t xml:space="preserve"> the value of </w:t>
      </w:r>
      <w:r w:rsidR="009858DA" w:rsidRPr="00EA4B66">
        <w:rPr>
          <w:noProof/>
          <w:color w:val="000000" w:themeColor="text1"/>
          <w:sz w:val="24"/>
          <w:szCs w:val="24"/>
          <w:lang w:val="en-US"/>
        </w:rPr>
        <w:t xml:space="preserve">the </w:t>
      </w:r>
      <w:r w:rsidR="00966DA5" w:rsidRPr="00EA4B66">
        <w:rPr>
          <w:noProof/>
          <w:color w:val="000000" w:themeColor="text1"/>
          <w:sz w:val="24"/>
          <w:szCs w:val="24"/>
          <w:lang w:val="en-US"/>
        </w:rPr>
        <w:t>intellectual (intangible) assets of a company is to compare its market to its book value by computing</w:t>
      </w:r>
      <w:r w:rsidR="008C46C5" w:rsidRPr="00EA4B66">
        <w:rPr>
          <w:noProof/>
          <w:color w:val="000000" w:themeColor="text1"/>
          <w:sz w:val="24"/>
          <w:szCs w:val="24"/>
          <w:lang w:val="en-US"/>
        </w:rPr>
        <w:t xml:space="preserve"> </w:t>
      </w:r>
      <w:r w:rsidR="008C46C5" w:rsidRPr="00EA4B66">
        <w:rPr>
          <w:noProof/>
          <w:color w:val="000000" w:themeColor="text1"/>
          <w:sz w:val="24"/>
          <w:szCs w:val="24"/>
          <w:lang w:val="en-US"/>
        </w:rPr>
        <w:lastRenderedPageBreak/>
        <w:t xml:space="preserve">the </w:t>
      </w:r>
      <w:r w:rsidR="009858DA" w:rsidRPr="00EA4B66">
        <w:rPr>
          <w:noProof/>
          <w:color w:val="000000" w:themeColor="text1"/>
          <w:sz w:val="24"/>
          <w:szCs w:val="24"/>
          <w:lang w:val="en-US"/>
        </w:rPr>
        <w:t>m</w:t>
      </w:r>
      <w:r w:rsidR="008C46C5" w:rsidRPr="00EA4B66">
        <w:rPr>
          <w:noProof/>
          <w:color w:val="000000" w:themeColor="text1"/>
          <w:sz w:val="24"/>
          <w:szCs w:val="24"/>
          <w:lang w:val="en-US"/>
        </w:rPr>
        <w:t xml:space="preserve">arket </w:t>
      </w:r>
      <w:r w:rsidR="009858DA" w:rsidRPr="00EA4B66">
        <w:rPr>
          <w:noProof/>
          <w:color w:val="000000" w:themeColor="text1"/>
          <w:sz w:val="24"/>
          <w:szCs w:val="24"/>
          <w:lang w:val="en-US"/>
        </w:rPr>
        <w:t>t</w:t>
      </w:r>
      <w:r w:rsidR="008C46C5" w:rsidRPr="00EA4B66">
        <w:rPr>
          <w:noProof/>
          <w:color w:val="000000" w:themeColor="text1"/>
          <w:sz w:val="24"/>
          <w:szCs w:val="24"/>
          <w:lang w:val="en-US"/>
        </w:rPr>
        <w:t xml:space="preserve">o </w:t>
      </w:r>
      <w:r w:rsidR="009858DA" w:rsidRPr="00EA4B66">
        <w:rPr>
          <w:noProof/>
          <w:color w:val="000000" w:themeColor="text1"/>
          <w:sz w:val="24"/>
          <w:szCs w:val="24"/>
          <w:lang w:val="en-US"/>
        </w:rPr>
        <w:t>b</w:t>
      </w:r>
      <w:r w:rsidR="008C46C5" w:rsidRPr="00EA4B66">
        <w:rPr>
          <w:noProof/>
          <w:color w:val="000000" w:themeColor="text1"/>
          <w:sz w:val="24"/>
          <w:szCs w:val="24"/>
          <w:lang w:val="en-US"/>
        </w:rPr>
        <w:t xml:space="preserve">ook </w:t>
      </w:r>
      <w:r w:rsidR="00A303C4" w:rsidRPr="00EA4B66">
        <w:rPr>
          <w:noProof/>
          <w:color w:val="000000" w:themeColor="text1"/>
          <w:sz w:val="24"/>
          <w:szCs w:val="24"/>
          <w:lang w:val="en-US"/>
        </w:rPr>
        <w:t>(MT</w:t>
      </w:r>
      <w:r w:rsidR="009858DA" w:rsidRPr="00EA4B66">
        <w:rPr>
          <w:noProof/>
          <w:color w:val="000000" w:themeColor="text1"/>
          <w:sz w:val="24"/>
          <w:szCs w:val="24"/>
          <w:lang w:val="en-US"/>
        </w:rPr>
        <w:t>B) r</w:t>
      </w:r>
      <w:r w:rsidR="00966DA5" w:rsidRPr="00EA4B66">
        <w:rPr>
          <w:noProof/>
          <w:color w:val="000000" w:themeColor="text1"/>
          <w:sz w:val="24"/>
          <w:szCs w:val="24"/>
          <w:lang w:val="en-US"/>
        </w:rPr>
        <w:t>atio</w:t>
      </w:r>
      <w:r w:rsidR="009858DA" w:rsidRPr="00EA4B66">
        <w:rPr>
          <w:noProof/>
          <w:color w:val="000000" w:themeColor="text1"/>
          <w:sz w:val="24"/>
          <w:szCs w:val="24"/>
          <w:lang w:val="en-US"/>
        </w:rPr>
        <w:t xml:space="preserve"> (Kok, 2007)</w:t>
      </w:r>
      <w:r w:rsidR="00966DA5" w:rsidRPr="00EA4B66">
        <w:rPr>
          <w:noProof/>
          <w:color w:val="000000" w:themeColor="text1"/>
          <w:sz w:val="24"/>
          <w:szCs w:val="24"/>
          <w:lang w:val="en-US"/>
        </w:rPr>
        <w:t>.</w:t>
      </w:r>
      <w:r w:rsidR="00BF2E1B" w:rsidRPr="00EA4B66">
        <w:rPr>
          <w:noProof/>
          <w:color w:val="000000" w:themeColor="text1"/>
          <w:sz w:val="24"/>
          <w:szCs w:val="24"/>
          <w:lang w:val="en-US"/>
        </w:rPr>
        <w:t xml:space="preserve"> </w:t>
      </w:r>
      <w:r w:rsidR="009858DA" w:rsidRPr="00EA4B66">
        <w:rPr>
          <w:noProof/>
          <w:color w:val="000000" w:themeColor="text1"/>
          <w:sz w:val="24"/>
          <w:szCs w:val="24"/>
          <w:lang w:val="en-US"/>
        </w:rPr>
        <w:t>I</w:t>
      </w:r>
      <w:r w:rsidR="00BF2E1B" w:rsidRPr="00EA4B66">
        <w:rPr>
          <w:noProof/>
          <w:color w:val="000000" w:themeColor="text1"/>
          <w:sz w:val="24"/>
          <w:szCs w:val="24"/>
          <w:lang w:val="en-US"/>
        </w:rPr>
        <w:t>n recent years, several studies employ the</w:t>
      </w:r>
      <w:r w:rsidR="00096CA4" w:rsidRPr="00EA4B66">
        <w:rPr>
          <w:noProof/>
          <w:color w:val="000000" w:themeColor="text1"/>
          <w:sz w:val="24"/>
          <w:szCs w:val="24"/>
          <w:lang w:val="en-US"/>
        </w:rPr>
        <w:t xml:space="preserve"> </w:t>
      </w:r>
      <w:r w:rsidR="00570048" w:rsidRPr="00EA4B66">
        <w:rPr>
          <w:noProof/>
          <w:color w:val="000000" w:themeColor="text1"/>
          <w:sz w:val="24"/>
          <w:szCs w:val="24"/>
          <w:lang w:val="en-US"/>
        </w:rPr>
        <w:t>Market Capitalization</w:t>
      </w:r>
      <w:r w:rsidR="00096CA4" w:rsidRPr="00EA4B66">
        <w:rPr>
          <w:noProof/>
          <w:color w:val="000000" w:themeColor="text1"/>
          <w:sz w:val="24"/>
          <w:szCs w:val="24"/>
          <w:lang w:val="en-US"/>
        </w:rPr>
        <w:t xml:space="preserve"> </w:t>
      </w:r>
      <w:r w:rsidR="009858DA" w:rsidRPr="00EA4B66">
        <w:rPr>
          <w:noProof/>
          <w:color w:val="000000" w:themeColor="text1"/>
          <w:sz w:val="24"/>
          <w:szCs w:val="24"/>
          <w:lang w:val="en-US"/>
        </w:rPr>
        <w:t>A</w:t>
      </w:r>
      <w:r w:rsidR="00096CA4" w:rsidRPr="00EA4B66">
        <w:rPr>
          <w:noProof/>
          <w:color w:val="000000" w:themeColor="text1"/>
          <w:sz w:val="24"/>
          <w:szCs w:val="24"/>
          <w:lang w:val="en-US"/>
        </w:rPr>
        <w:t>pproach</w:t>
      </w:r>
      <w:r w:rsidR="00C6468B">
        <w:rPr>
          <w:noProof/>
          <w:color w:val="000000" w:themeColor="text1"/>
          <w:sz w:val="24"/>
          <w:szCs w:val="24"/>
          <w:lang w:val="en-US"/>
        </w:rPr>
        <w:t xml:space="preserve"> (MCA)</w:t>
      </w:r>
      <w:r w:rsidR="00EE60A6" w:rsidRPr="00EA4B66">
        <w:rPr>
          <w:noProof/>
          <w:color w:val="000000" w:themeColor="text1"/>
          <w:sz w:val="24"/>
          <w:szCs w:val="24"/>
          <w:lang w:val="en-US"/>
        </w:rPr>
        <w:t>,</w:t>
      </w:r>
      <w:r w:rsidR="00096CA4" w:rsidRPr="00EA4B66">
        <w:rPr>
          <w:noProof/>
          <w:color w:val="000000" w:themeColor="text1"/>
          <w:sz w:val="24"/>
          <w:szCs w:val="24"/>
          <w:lang w:val="en-US"/>
        </w:rPr>
        <w:t xml:space="preserve"> based on the </w:t>
      </w:r>
      <w:r w:rsidR="00425D5E">
        <w:rPr>
          <w:noProof/>
          <w:color w:val="000000" w:themeColor="text1"/>
          <w:sz w:val="24"/>
          <w:szCs w:val="24"/>
          <w:lang w:val="en-US"/>
        </w:rPr>
        <w:t>MTB</w:t>
      </w:r>
      <w:r w:rsidR="008C46C5" w:rsidRPr="00EA4B66">
        <w:rPr>
          <w:noProof/>
          <w:color w:val="000000" w:themeColor="text1"/>
          <w:sz w:val="24"/>
          <w:szCs w:val="24"/>
          <w:lang w:val="en-US"/>
        </w:rPr>
        <w:t xml:space="preserve"> ratio</w:t>
      </w:r>
      <w:r w:rsidR="00EE60A6" w:rsidRPr="00EA4B66">
        <w:rPr>
          <w:noProof/>
          <w:color w:val="000000" w:themeColor="text1"/>
          <w:sz w:val="24"/>
          <w:szCs w:val="24"/>
          <w:lang w:val="en-US"/>
        </w:rPr>
        <w:t>,</w:t>
      </w:r>
      <w:r w:rsidR="008C46C5" w:rsidRPr="00EA4B66">
        <w:rPr>
          <w:noProof/>
          <w:color w:val="000000" w:themeColor="text1"/>
          <w:sz w:val="24"/>
          <w:szCs w:val="24"/>
          <w:lang w:val="en-US"/>
        </w:rPr>
        <w:t xml:space="preserve"> </w:t>
      </w:r>
      <w:r w:rsidR="00EE60A6" w:rsidRPr="00EA4B66">
        <w:rPr>
          <w:noProof/>
          <w:color w:val="000000" w:themeColor="text1"/>
          <w:sz w:val="24"/>
          <w:szCs w:val="24"/>
          <w:lang w:val="en-US"/>
        </w:rPr>
        <w:t xml:space="preserve">in order </w:t>
      </w:r>
      <w:r w:rsidR="000F524A" w:rsidRPr="00EA4B66">
        <w:rPr>
          <w:noProof/>
          <w:color w:val="000000" w:themeColor="text1"/>
          <w:sz w:val="24"/>
          <w:szCs w:val="24"/>
          <w:lang w:val="en-US"/>
        </w:rPr>
        <w:t xml:space="preserve">to estimate </w:t>
      </w:r>
      <w:r w:rsidR="00425D5E">
        <w:rPr>
          <w:noProof/>
          <w:color w:val="000000" w:themeColor="text1"/>
          <w:sz w:val="24"/>
          <w:szCs w:val="24"/>
          <w:lang w:val="en-US"/>
        </w:rPr>
        <w:t>IC</w:t>
      </w:r>
      <w:r w:rsidR="00BF2E1B" w:rsidRPr="00EA4B66">
        <w:rPr>
          <w:noProof/>
          <w:color w:val="000000" w:themeColor="text1"/>
          <w:sz w:val="24"/>
          <w:szCs w:val="24"/>
          <w:lang w:val="en-US"/>
        </w:rPr>
        <w:t xml:space="preserve"> value (Brenna</w:t>
      </w:r>
      <w:r w:rsidR="005B4ED2" w:rsidRPr="00EA4B66">
        <w:rPr>
          <w:noProof/>
          <w:color w:val="000000" w:themeColor="text1"/>
          <w:sz w:val="24"/>
          <w:szCs w:val="24"/>
          <w:lang w:val="en-US"/>
        </w:rPr>
        <w:t>n</w:t>
      </w:r>
      <w:r w:rsidR="00BF2E1B" w:rsidRPr="00EA4B66">
        <w:rPr>
          <w:noProof/>
          <w:color w:val="000000" w:themeColor="text1"/>
          <w:sz w:val="24"/>
          <w:szCs w:val="24"/>
          <w:lang w:val="en-US"/>
        </w:rPr>
        <w:t xml:space="preserve">, 2001; Bramhandkar </w:t>
      </w:r>
      <w:r w:rsidR="00BF2E1B" w:rsidRPr="00EA4B66">
        <w:rPr>
          <w:i/>
          <w:noProof/>
          <w:color w:val="000000" w:themeColor="text1"/>
          <w:sz w:val="24"/>
          <w:szCs w:val="24"/>
          <w:lang w:val="en-US"/>
        </w:rPr>
        <w:t>et al</w:t>
      </w:r>
      <w:r w:rsidR="00A622A8" w:rsidRPr="00EA4B66">
        <w:rPr>
          <w:noProof/>
          <w:color w:val="000000" w:themeColor="text1"/>
          <w:sz w:val="24"/>
          <w:szCs w:val="24"/>
          <w:lang w:val="en-US"/>
        </w:rPr>
        <w:t>., 2007</w:t>
      </w:r>
      <w:r w:rsidR="00BF2E1B" w:rsidRPr="00EA4B66">
        <w:rPr>
          <w:noProof/>
          <w:color w:val="000000" w:themeColor="text1"/>
          <w:sz w:val="24"/>
          <w:szCs w:val="24"/>
          <w:lang w:val="en-US"/>
        </w:rPr>
        <w:t xml:space="preserve">; </w:t>
      </w:r>
      <w:r w:rsidR="00BF2E1B" w:rsidRPr="00EA4B66">
        <w:rPr>
          <w:rFonts w:cs="Calibri"/>
          <w:noProof/>
          <w:color w:val="000000" w:themeColor="text1"/>
          <w:sz w:val="24"/>
          <w:szCs w:val="24"/>
          <w:lang w:val="en-US"/>
        </w:rPr>
        <w:t>Kok 2007;</w:t>
      </w:r>
      <w:r w:rsidR="005B4ED2" w:rsidRPr="00EA4B66">
        <w:rPr>
          <w:rFonts w:cs="Calibri"/>
          <w:noProof/>
          <w:color w:val="000000" w:themeColor="text1"/>
          <w:sz w:val="24"/>
          <w:szCs w:val="24"/>
          <w:lang w:val="en-US"/>
        </w:rPr>
        <w:t xml:space="preserve"> Whiting and Miller, 2008;</w:t>
      </w:r>
      <w:r w:rsidR="00BF2E1B" w:rsidRPr="00EA4B66">
        <w:rPr>
          <w:rFonts w:cs="Calibri"/>
          <w:noProof/>
          <w:color w:val="000000" w:themeColor="text1"/>
          <w:sz w:val="24"/>
          <w:szCs w:val="24"/>
          <w:lang w:val="en-US"/>
        </w:rPr>
        <w:t xml:space="preserve"> Goebel 2015; </w:t>
      </w:r>
      <w:r w:rsidR="00BF2E1B" w:rsidRPr="00EA4B66">
        <w:rPr>
          <w:noProof/>
          <w:color w:val="000000" w:themeColor="text1"/>
          <w:sz w:val="24"/>
          <w:szCs w:val="24"/>
          <w:lang w:val="en-US"/>
        </w:rPr>
        <w:t>Kuo-An Tseng</w:t>
      </w:r>
      <w:r w:rsidR="00BF2E1B" w:rsidRPr="00EA4B66">
        <w:rPr>
          <w:i/>
          <w:iCs/>
          <w:noProof/>
          <w:color w:val="000000" w:themeColor="text1"/>
          <w:sz w:val="24"/>
          <w:szCs w:val="24"/>
          <w:lang w:val="en-US"/>
        </w:rPr>
        <w:t xml:space="preserve"> et al.</w:t>
      </w:r>
      <w:r w:rsidR="00BF2E1B" w:rsidRPr="00EA4B66">
        <w:rPr>
          <w:noProof/>
          <w:color w:val="000000" w:themeColor="text1"/>
          <w:sz w:val="24"/>
          <w:szCs w:val="24"/>
          <w:lang w:val="en-US"/>
        </w:rPr>
        <w:t>, 2015)</w:t>
      </w:r>
      <w:r w:rsidR="005B4ED2" w:rsidRPr="00EA4B66">
        <w:rPr>
          <w:noProof/>
          <w:color w:val="000000" w:themeColor="text1"/>
          <w:sz w:val="24"/>
          <w:szCs w:val="24"/>
          <w:lang w:val="en-US"/>
        </w:rPr>
        <w:t>.</w:t>
      </w:r>
      <w:r w:rsidR="00096CA4" w:rsidRPr="00EA4B66">
        <w:rPr>
          <w:noProof/>
          <w:color w:val="000000" w:themeColor="text1"/>
          <w:sz w:val="24"/>
          <w:szCs w:val="24"/>
          <w:lang w:val="en-US"/>
        </w:rPr>
        <w:t xml:space="preserve"> This approach assumes that financial markets</w:t>
      </w:r>
      <w:r w:rsidR="00520C4A" w:rsidRPr="00EA4B66">
        <w:rPr>
          <w:noProof/>
          <w:color w:val="000000" w:themeColor="text1"/>
          <w:sz w:val="24"/>
          <w:szCs w:val="24"/>
          <w:lang w:val="en-US"/>
        </w:rPr>
        <w:t xml:space="preserve"> do not</w:t>
      </w:r>
      <w:r w:rsidR="00096CA4" w:rsidRPr="00EA4B66">
        <w:rPr>
          <w:noProof/>
          <w:color w:val="000000" w:themeColor="text1"/>
          <w:sz w:val="24"/>
          <w:szCs w:val="24"/>
          <w:lang w:val="en-US"/>
        </w:rPr>
        <w:t xml:space="preserve"> </w:t>
      </w:r>
      <w:r w:rsidR="00A303C4" w:rsidRPr="00EA4B66">
        <w:rPr>
          <w:noProof/>
          <w:color w:val="000000" w:themeColor="text1"/>
          <w:sz w:val="24"/>
          <w:szCs w:val="24"/>
          <w:lang w:val="en-US"/>
        </w:rPr>
        <w:t xml:space="preserve">gauge </w:t>
      </w:r>
      <w:r w:rsidR="00096CA4" w:rsidRPr="00EA4B66">
        <w:rPr>
          <w:noProof/>
          <w:color w:val="000000" w:themeColor="text1"/>
          <w:sz w:val="24"/>
          <w:szCs w:val="24"/>
          <w:lang w:val="en-US"/>
        </w:rPr>
        <w:t xml:space="preserve">IC value </w:t>
      </w:r>
      <w:r w:rsidR="00A303C4" w:rsidRPr="00EA4B66">
        <w:rPr>
          <w:noProof/>
          <w:color w:val="000000" w:themeColor="text1"/>
          <w:sz w:val="24"/>
          <w:szCs w:val="24"/>
          <w:lang w:val="en-US"/>
        </w:rPr>
        <w:t xml:space="preserve">by analyzing the statement of financial position and </w:t>
      </w:r>
      <w:r w:rsidR="008D2663" w:rsidRPr="00EA4B66">
        <w:rPr>
          <w:noProof/>
          <w:color w:val="000000" w:themeColor="text1"/>
          <w:sz w:val="24"/>
          <w:szCs w:val="24"/>
          <w:lang w:val="en-US"/>
        </w:rPr>
        <w:t xml:space="preserve">the </w:t>
      </w:r>
      <w:r w:rsidR="00A303C4" w:rsidRPr="00EA4B66">
        <w:rPr>
          <w:noProof/>
          <w:color w:val="000000" w:themeColor="text1"/>
          <w:sz w:val="24"/>
          <w:szCs w:val="24"/>
          <w:lang w:val="en-US"/>
        </w:rPr>
        <w:t xml:space="preserve">income statement </w:t>
      </w:r>
      <w:r w:rsidR="00096CA4" w:rsidRPr="00EA4B66">
        <w:rPr>
          <w:noProof/>
          <w:color w:val="000000" w:themeColor="text1"/>
          <w:sz w:val="24"/>
          <w:szCs w:val="24"/>
          <w:lang w:val="en-US"/>
        </w:rPr>
        <w:t xml:space="preserve">(Sveiby, 1997a; </w:t>
      </w:r>
      <w:r w:rsidR="00A303C4" w:rsidRPr="00EA4B66">
        <w:rPr>
          <w:noProof/>
          <w:color w:val="000000" w:themeColor="text1"/>
          <w:sz w:val="24"/>
          <w:szCs w:val="24"/>
          <w:lang w:val="en-US"/>
        </w:rPr>
        <w:t xml:space="preserve">Penman, 2009; </w:t>
      </w:r>
      <w:r w:rsidR="00096CA4" w:rsidRPr="00EA4B66">
        <w:rPr>
          <w:noProof/>
          <w:color w:val="000000" w:themeColor="text1"/>
          <w:sz w:val="24"/>
          <w:szCs w:val="24"/>
          <w:lang w:val="en-US"/>
        </w:rPr>
        <w:t>Goebel, 2015</w:t>
      </w:r>
      <w:r w:rsidR="00A303C4" w:rsidRPr="00EA4B66">
        <w:rPr>
          <w:noProof/>
          <w:color w:val="000000" w:themeColor="text1"/>
          <w:sz w:val="24"/>
          <w:szCs w:val="24"/>
          <w:lang w:val="en-US"/>
        </w:rPr>
        <w:t>)</w:t>
      </w:r>
      <w:r w:rsidR="00096CA4" w:rsidRPr="00EA4B66">
        <w:rPr>
          <w:noProof/>
          <w:color w:val="000000" w:themeColor="text1"/>
          <w:sz w:val="24"/>
          <w:szCs w:val="24"/>
          <w:lang w:val="en-US"/>
        </w:rPr>
        <w:t>.</w:t>
      </w:r>
      <w:r w:rsidR="00460B32" w:rsidRPr="00EA4B66">
        <w:rPr>
          <w:noProof/>
          <w:color w:val="000000" w:themeColor="text1"/>
          <w:sz w:val="24"/>
          <w:szCs w:val="24"/>
          <w:lang w:val="en-US"/>
        </w:rPr>
        <w:t xml:space="preserve"> </w:t>
      </w:r>
      <w:r w:rsidR="00A303C4" w:rsidRPr="00EA4B66">
        <w:rPr>
          <w:noProof/>
          <w:color w:val="000000" w:themeColor="text1"/>
          <w:sz w:val="24"/>
          <w:szCs w:val="24"/>
          <w:lang w:val="en-US"/>
        </w:rPr>
        <w:t>Instead,</w:t>
      </w:r>
      <w:r w:rsidR="00460B32" w:rsidRPr="00EA4B66">
        <w:rPr>
          <w:noProof/>
          <w:color w:val="000000" w:themeColor="text1"/>
          <w:sz w:val="24"/>
          <w:szCs w:val="24"/>
          <w:lang w:val="en-US"/>
        </w:rPr>
        <w:t xml:space="preserve"> Lal Bhasin (2012) </w:t>
      </w:r>
      <w:r w:rsidR="00A303C4" w:rsidRPr="00EA4B66">
        <w:rPr>
          <w:noProof/>
          <w:color w:val="000000" w:themeColor="text1"/>
          <w:sz w:val="24"/>
          <w:szCs w:val="24"/>
          <w:lang w:val="en-US"/>
        </w:rPr>
        <w:t>argues that</w:t>
      </w:r>
      <w:r w:rsidR="00460B32" w:rsidRPr="00EA4B66">
        <w:rPr>
          <w:noProof/>
          <w:color w:val="000000" w:themeColor="text1"/>
          <w:sz w:val="24"/>
          <w:szCs w:val="24"/>
          <w:lang w:val="en-US"/>
        </w:rPr>
        <w:t xml:space="preserve"> financial markets are more accurate in their valuation of companies, and any excess valuation of a company over its book value will be the correct valuation of the company’s </w:t>
      </w:r>
      <w:r w:rsidR="00791870">
        <w:rPr>
          <w:noProof/>
          <w:color w:val="000000" w:themeColor="text1"/>
          <w:sz w:val="24"/>
          <w:szCs w:val="24"/>
          <w:lang w:val="en-US"/>
        </w:rPr>
        <w:t>IA</w:t>
      </w:r>
      <w:r w:rsidR="00460B32" w:rsidRPr="00EA4B66">
        <w:rPr>
          <w:noProof/>
          <w:color w:val="000000" w:themeColor="text1"/>
          <w:sz w:val="24"/>
          <w:szCs w:val="24"/>
          <w:lang w:val="en-US"/>
        </w:rPr>
        <w:t xml:space="preserve">. Bramhandkar </w:t>
      </w:r>
      <w:r w:rsidR="00460B32" w:rsidRPr="00EA4B66">
        <w:rPr>
          <w:i/>
          <w:noProof/>
          <w:color w:val="000000" w:themeColor="text1"/>
          <w:sz w:val="24"/>
          <w:szCs w:val="24"/>
          <w:lang w:val="en-US"/>
        </w:rPr>
        <w:t>et al.</w:t>
      </w:r>
      <w:r w:rsidR="00A622A8" w:rsidRPr="00EA4B66">
        <w:rPr>
          <w:noProof/>
          <w:color w:val="000000" w:themeColor="text1"/>
          <w:sz w:val="24"/>
          <w:szCs w:val="24"/>
          <w:lang w:val="en-US"/>
        </w:rPr>
        <w:t xml:space="preserve"> (2007, p. 3</w:t>
      </w:r>
      <w:r w:rsidR="00460B32" w:rsidRPr="00EA4B66">
        <w:rPr>
          <w:noProof/>
          <w:color w:val="000000" w:themeColor="text1"/>
          <w:sz w:val="24"/>
          <w:szCs w:val="24"/>
          <w:lang w:val="en-US"/>
        </w:rPr>
        <w:t>59) argue th</w:t>
      </w:r>
      <w:r w:rsidR="00A303C4" w:rsidRPr="00EA4B66">
        <w:rPr>
          <w:noProof/>
          <w:color w:val="000000" w:themeColor="text1"/>
          <w:sz w:val="24"/>
          <w:szCs w:val="24"/>
          <w:lang w:val="en-US"/>
        </w:rPr>
        <w:t>at</w:t>
      </w:r>
      <w:r w:rsidR="00460B32" w:rsidRPr="00EA4B66">
        <w:rPr>
          <w:noProof/>
          <w:color w:val="000000" w:themeColor="text1"/>
          <w:sz w:val="24"/>
          <w:szCs w:val="24"/>
          <w:lang w:val="en-US"/>
        </w:rPr>
        <w:t xml:space="preserve"> </w:t>
      </w:r>
      <w:r w:rsidR="00A303C4" w:rsidRPr="00EA4B66">
        <w:rPr>
          <w:noProof/>
          <w:color w:val="000000" w:themeColor="text1"/>
          <w:sz w:val="24"/>
          <w:szCs w:val="24"/>
          <w:lang w:val="en-US"/>
        </w:rPr>
        <w:t xml:space="preserve">the MTB ratio </w:t>
      </w:r>
      <w:r w:rsidR="00460B32" w:rsidRPr="00EA4B66">
        <w:rPr>
          <w:noProof/>
          <w:color w:val="000000" w:themeColor="text1"/>
          <w:sz w:val="24"/>
          <w:szCs w:val="24"/>
          <w:lang w:val="en-US"/>
        </w:rPr>
        <w:t xml:space="preserve">measure is “well-established in the literature and, although broad, readily identifies those organizations doing a better job with their knowledge assets”. </w:t>
      </w:r>
    </w:p>
    <w:p w14:paraId="3F2F2B82" w14:textId="54F71FD6" w:rsidR="00BD7084" w:rsidRPr="00EA4B66" w:rsidRDefault="00303784" w:rsidP="00AA78AC">
      <w:pPr>
        <w:widowControl w:val="0"/>
        <w:autoSpaceDE w:val="0"/>
        <w:autoSpaceDN w:val="0"/>
        <w:adjustRightInd w:val="0"/>
        <w:spacing w:after="0" w:line="240" w:lineRule="auto"/>
        <w:ind w:firstLine="284"/>
        <w:jc w:val="both"/>
        <w:rPr>
          <w:noProof/>
          <w:color w:val="000000" w:themeColor="text1"/>
          <w:sz w:val="24"/>
          <w:szCs w:val="24"/>
          <w:lang w:val="en-US"/>
        </w:rPr>
      </w:pPr>
      <w:r w:rsidRPr="00EA4B66">
        <w:rPr>
          <w:noProof/>
          <w:color w:val="000000" w:themeColor="text1"/>
          <w:sz w:val="24"/>
          <w:szCs w:val="24"/>
          <w:lang w:val="en-US"/>
        </w:rPr>
        <w:t>The authors</w:t>
      </w:r>
      <w:r w:rsidR="00A303C4" w:rsidRPr="00EA4B66">
        <w:rPr>
          <w:noProof/>
          <w:color w:val="000000" w:themeColor="text1"/>
          <w:sz w:val="24"/>
          <w:szCs w:val="24"/>
          <w:lang w:val="en-US"/>
        </w:rPr>
        <w:t xml:space="preserve"> apply the </w:t>
      </w:r>
      <w:r w:rsidR="000617E5">
        <w:rPr>
          <w:noProof/>
          <w:color w:val="000000" w:themeColor="text1"/>
          <w:sz w:val="24"/>
          <w:szCs w:val="24"/>
          <w:lang w:val="en-US"/>
        </w:rPr>
        <w:t>MCA</w:t>
      </w:r>
      <w:r w:rsidR="00A303C4" w:rsidRPr="00EA4B66">
        <w:rPr>
          <w:noProof/>
          <w:color w:val="000000" w:themeColor="text1"/>
          <w:sz w:val="24"/>
          <w:szCs w:val="24"/>
          <w:lang w:val="en-US"/>
        </w:rPr>
        <w:t xml:space="preserve"> to study </w:t>
      </w:r>
      <w:r w:rsidR="00205BE7" w:rsidRPr="00EA4B66">
        <w:rPr>
          <w:noProof/>
          <w:color w:val="000000" w:themeColor="text1"/>
          <w:sz w:val="24"/>
          <w:szCs w:val="24"/>
          <w:lang w:val="en-US"/>
        </w:rPr>
        <w:t>a sample of 140 Italian companies listed on the Milan Stock Exchange</w:t>
      </w:r>
      <w:r w:rsidR="00A303C4" w:rsidRPr="00EA4B66">
        <w:rPr>
          <w:noProof/>
          <w:color w:val="000000" w:themeColor="text1"/>
          <w:sz w:val="24"/>
          <w:szCs w:val="24"/>
          <w:lang w:val="en-US"/>
        </w:rPr>
        <w:t xml:space="preserve"> over the period 2009 to 2013</w:t>
      </w:r>
      <w:r w:rsidR="00205BE7" w:rsidRPr="00EA4B66">
        <w:rPr>
          <w:noProof/>
          <w:color w:val="000000" w:themeColor="text1"/>
          <w:sz w:val="24"/>
          <w:szCs w:val="24"/>
          <w:lang w:val="en-US"/>
        </w:rPr>
        <w:t xml:space="preserve">, </w:t>
      </w:r>
      <w:r w:rsidR="00A303C4" w:rsidRPr="00EA4B66">
        <w:rPr>
          <w:noProof/>
          <w:color w:val="000000" w:themeColor="text1"/>
          <w:sz w:val="24"/>
          <w:szCs w:val="24"/>
          <w:lang w:val="en-US"/>
        </w:rPr>
        <w:t xml:space="preserve">and in so doing </w:t>
      </w:r>
      <w:r w:rsidR="00337F70" w:rsidRPr="00EA4B66">
        <w:rPr>
          <w:noProof/>
          <w:color w:val="000000" w:themeColor="text1"/>
          <w:sz w:val="24"/>
          <w:szCs w:val="24"/>
          <w:lang w:val="en-US"/>
        </w:rPr>
        <w:t xml:space="preserve">aim to </w:t>
      </w:r>
      <w:r w:rsidR="005F62DB" w:rsidRPr="00EA4B66">
        <w:rPr>
          <w:noProof/>
          <w:color w:val="000000" w:themeColor="text1"/>
          <w:sz w:val="24"/>
          <w:szCs w:val="24"/>
          <w:lang w:val="en-US"/>
        </w:rPr>
        <w:t>test</w:t>
      </w:r>
      <w:r w:rsidR="00205BE7" w:rsidRPr="00EA4B66">
        <w:rPr>
          <w:noProof/>
          <w:color w:val="000000" w:themeColor="text1"/>
          <w:sz w:val="24"/>
          <w:szCs w:val="24"/>
          <w:lang w:val="en-US"/>
        </w:rPr>
        <w:t xml:space="preserve"> the relationship between the MTB</w:t>
      </w:r>
      <w:r w:rsidR="003950F8" w:rsidRPr="00EA4B66">
        <w:rPr>
          <w:noProof/>
          <w:color w:val="000000" w:themeColor="text1"/>
          <w:sz w:val="24"/>
          <w:szCs w:val="24"/>
          <w:lang w:val="en-US"/>
        </w:rPr>
        <w:t xml:space="preserve"> </w:t>
      </w:r>
      <w:r w:rsidR="00205BE7" w:rsidRPr="00EA4B66">
        <w:rPr>
          <w:noProof/>
          <w:color w:val="000000" w:themeColor="text1"/>
          <w:sz w:val="24"/>
          <w:szCs w:val="24"/>
          <w:lang w:val="en-US"/>
        </w:rPr>
        <w:t>and selected determinants that</w:t>
      </w:r>
      <w:r w:rsidR="00311928" w:rsidRPr="00EA4B66">
        <w:rPr>
          <w:noProof/>
          <w:color w:val="000000" w:themeColor="text1"/>
          <w:sz w:val="24"/>
          <w:szCs w:val="24"/>
          <w:lang w:val="en-US"/>
        </w:rPr>
        <w:t>, according to the literature</w:t>
      </w:r>
      <w:r w:rsidR="00A303C4" w:rsidRPr="00EA4B66">
        <w:rPr>
          <w:noProof/>
          <w:color w:val="000000" w:themeColor="text1"/>
          <w:sz w:val="24"/>
          <w:szCs w:val="24"/>
          <w:lang w:val="en-US"/>
        </w:rPr>
        <w:t>,</w:t>
      </w:r>
      <w:r w:rsidR="00205BE7" w:rsidRPr="00EA4B66">
        <w:rPr>
          <w:noProof/>
          <w:color w:val="000000" w:themeColor="text1"/>
          <w:sz w:val="24"/>
          <w:szCs w:val="24"/>
          <w:lang w:val="en-US"/>
        </w:rPr>
        <w:t xml:space="preserve"> may </w:t>
      </w:r>
      <w:r w:rsidR="00A303C4" w:rsidRPr="00EA4B66">
        <w:rPr>
          <w:noProof/>
          <w:color w:val="000000" w:themeColor="text1"/>
          <w:sz w:val="24"/>
          <w:szCs w:val="24"/>
          <w:lang w:val="en-US"/>
        </w:rPr>
        <w:t>exert some impact up</w:t>
      </w:r>
      <w:r w:rsidR="00205BE7" w:rsidRPr="00EA4B66">
        <w:rPr>
          <w:noProof/>
          <w:color w:val="000000" w:themeColor="text1"/>
          <w:sz w:val="24"/>
          <w:szCs w:val="24"/>
          <w:lang w:val="en-US"/>
        </w:rPr>
        <w:t>on IC value.</w:t>
      </w:r>
      <w:r w:rsidR="00A303C4" w:rsidRPr="00EA4B66">
        <w:rPr>
          <w:rFonts w:cs="Calibri"/>
          <w:noProof/>
          <w:color w:val="000000" w:themeColor="text1"/>
          <w:sz w:val="24"/>
          <w:szCs w:val="24"/>
          <w:lang w:val="en-US"/>
        </w:rPr>
        <w:t xml:space="preserve"> </w:t>
      </w:r>
      <w:r w:rsidR="00595CD9" w:rsidRPr="00EA4B66">
        <w:rPr>
          <w:rFonts w:cs="Calibri"/>
          <w:noProof/>
          <w:color w:val="000000" w:themeColor="text1"/>
          <w:sz w:val="24"/>
          <w:szCs w:val="24"/>
          <w:lang w:val="en-US"/>
        </w:rPr>
        <w:t xml:space="preserve">Given the </w:t>
      </w:r>
      <w:r w:rsidR="0031366F" w:rsidRPr="00EA4B66">
        <w:rPr>
          <w:rFonts w:cs="Calibri"/>
          <w:noProof/>
          <w:color w:val="000000" w:themeColor="text1"/>
          <w:sz w:val="24"/>
          <w:szCs w:val="24"/>
          <w:lang w:val="en-US"/>
        </w:rPr>
        <w:t xml:space="preserve">paucity </w:t>
      </w:r>
      <w:r w:rsidR="00595CD9" w:rsidRPr="00EA4B66">
        <w:rPr>
          <w:rFonts w:cs="Calibri"/>
          <w:noProof/>
          <w:color w:val="000000" w:themeColor="text1"/>
          <w:sz w:val="24"/>
          <w:szCs w:val="24"/>
          <w:lang w:val="en-US"/>
        </w:rPr>
        <w:t xml:space="preserve">of studies </w:t>
      </w:r>
      <w:r w:rsidR="0031366F" w:rsidRPr="00EA4B66">
        <w:rPr>
          <w:rFonts w:cs="Calibri"/>
          <w:noProof/>
          <w:color w:val="000000" w:themeColor="text1"/>
          <w:sz w:val="24"/>
          <w:szCs w:val="24"/>
          <w:lang w:val="en-US"/>
        </w:rPr>
        <w:t xml:space="preserve">on the measurement of </w:t>
      </w:r>
      <w:r w:rsidR="00595CD9" w:rsidRPr="00EA4B66">
        <w:rPr>
          <w:rFonts w:cs="Calibri"/>
          <w:noProof/>
          <w:color w:val="000000" w:themeColor="text1"/>
          <w:sz w:val="24"/>
          <w:szCs w:val="24"/>
          <w:lang w:val="en-US"/>
        </w:rPr>
        <w:t>IC</w:t>
      </w:r>
      <w:r w:rsidR="0031366F" w:rsidRPr="00EA4B66">
        <w:rPr>
          <w:rFonts w:cs="Calibri"/>
          <w:noProof/>
          <w:color w:val="000000" w:themeColor="text1"/>
          <w:sz w:val="24"/>
          <w:szCs w:val="24"/>
          <w:lang w:val="en-US"/>
        </w:rPr>
        <w:t xml:space="preserve"> </w:t>
      </w:r>
      <w:r w:rsidR="00595CD9" w:rsidRPr="00EA4B66">
        <w:rPr>
          <w:rFonts w:cs="Calibri"/>
          <w:noProof/>
          <w:color w:val="000000" w:themeColor="text1"/>
          <w:sz w:val="24"/>
          <w:szCs w:val="24"/>
          <w:lang w:val="en-US"/>
        </w:rPr>
        <w:t xml:space="preserve">value </w:t>
      </w:r>
      <w:r w:rsidR="0072094E" w:rsidRPr="00EA4B66">
        <w:rPr>
          <w:rFonts w:cs="Calibri"/>
          <w:noProof/>
          <w:color w:val="000000" w:themeColor="text1"/>
          <w:sz w:val="24"/>
          <w:szCs w:val="24"/>
          <w:lang w:val="en-US"/>
        </w:rPr>
        <w:t xml:space="preserve">and </w:t>
      </w:r>
      <w:r w:rsidR="0031366F" w:rsidRPr="00EA4B66">
        <w:rPr>
          <w:rFonts w:cs="Calibri"/>
          <w:noProof/>
          <w:color w:val="000000" w:themeColor="text1"/>
          <w:sz w:val="24"/>
          <w:szCs w:val="24"/>
          <w:lang w:val="en-US"/>
        </w:rPr>
        <w:t>its</w:t>
      </w:r>
      <w:r w:rsidR="00BF4AD7" w:rsidRPr="00EA4B66">
        <w:rPr>
          <w:rFonts w:cs="Calibri"/>
          <w:noProof/>
          <w:color w:val="000000" w:themeColor="text1"/>
          <w:sz w:val="24"/>
          <w:szCs w:val="24"/>
          <w:lang w:val="en-US"/>
        </w:rPr>
        <w:t xml:space="preserve"> determinants,</w:t>
      </w:r>
      <w:r w:rsidR="00BD7084" w:rsidRPr="00EA4B66">
        <w:rPr>
          <w:rFonts w:cs="Calibri"/>
          <w:noProof/>
          <w:color w:val="000000" w:themeColor="text1"/>
          <w:sz w:val="24"/>
          <w:szCs w:val="24"/>
          <w:lang w:val="en-US"/>
        </w:rPr>
        <w:t xml:space="preserve"> </w:t>
      </w:r>
      <w:r w:rsidR="0031366F" w:rsidRPr="00EA4B66">
        <w:rPr>
          <w:rFonts w:cs="Calibri"/>
          <w:noProof/>
          <w:color w:val="000000" w:themeColor="text1"/>
          <w:sz w:val="24"/>
          <w:szCs w:val="24"/>
          <w:lang w:val="en-US"/>
        </w:rPr>
        <w:t xml:space="preserve">particularly </w:t>
      </w:r>
      <w:r w:rsidR="00BD7084" w:rsidRPr="00EA4B66">
        <w:rPr>
          <w:rFonts w:cs="Calibri"/>
          <w:noProof/>
          <w:color w:val="000000" w:themeColor="text1"/>
          <w:sz w:val="24"/>
          <w:szCs w:val="24"/>
          <w:lang w:val="en-US"/>
        </w:rPr>
        <w:t xml:space="preserve">in </w:t>
      </w:r>
      <w:r w:rsidR="0031366F" w:rsidRPr="00EA4B66">
        <w:rPr>
          <w:rFonts w:cs="Calibri"/>
          <w:noProof/>
          <w:color w:val="000000" w:themeColor="text1"/>
          <w:sz w:val="24"/>
          <w:szCs w:val="24"/>
          <w:lang w:val="en-US"/>
        </w:rPr>
        <w:t>the</w:t>
      </w:r>
      <w:r w:rsidR="00BD7084" w:rsidRPr="00EA4B66">
        <w:rPr>
          <w:rFonts w:cs="Calibri"/>
          <w:noProof/>
          <w:color w:val="000000" w:themeColor="text1"/>
          <w:sz w:val="24"/>
          <w:szCs w:val="24"/>
          <w:lang w:val="en-US"/>
        </w:rPr>
        <w:t xml:space="preserve"> Italian context in which the few </w:t>
      </w:r>
      <w:r w:rsidR="0031366F" w:rsidRPr="00EA4B66">
        <w:rPr>
          <w:rFonts w:cs="Calibri"/>
          <w:noProof/>
          <w:color w:val="000000" w:themeColor="text1"/>
          <w:sz w:val="24"/>
          <w:szCs w:val="24"/>
          <w:lang w:val="en-US"/>
        </w:rPr>
        <w:t xml:space="preserve">existing </w:t>
      </w:r>
      <w:r w:rsidR="00BD7084" w:rsidRPr="00EA4B66">
        <w:rPr>
          <w:rFonts w:cs="Calibri"/>
          <w:noProof/>
          <w:color w:val="000000" w:themeColor="text1"/>
          <w:sz w:val="24"/>
          <w:szCs w:val="24"/>
          <w:lang w:val="en-US"/>
        </w:rPr>
        <w:t>studies</w:t>
      </w:r>
      <w:r w:rsidR="00E07E24" w:rsidRPr="00EA4B66">
        <w:rPr>
          <w:rFonts w:cs="Calibri"/>
          <w:noProof/>
          <w:color w:val="000000" w:themeColor="text1"/>
          <w:sz w:val="24"/>
          <w:szCs w:val="24"/>
          <w:lang w:val="en-US"/>
        </w:rPr>
        <w:t xml:space="preserve"> </w:t>
      </w:r>
      <w:r w:rsidR="0031366F" w:rsidRPr="00EA4B66">
        <w:rPr>
          <w:rFonts w:cs="Calibri"/>
          <w:noProof/>
          <w:color w:val="000000" w:themeColor="text1"/>
          <w:sz w:val="24"/>
          <w:szCs w:val="24"/>
          <w:lang w:val="en-US"/>
        </w:rPr>
        <w:t>tend to employ</w:t>
      </w:r>
      <w:r w:rsidR="00BD7084" w:rsidRPr="00EA4B66">
        <w:rPr>
          <w:rFonts w:cs="Calibri"/>
          <w:noProof/>
          <w:color w:val="000000" w:themeColor="text1"/>
          <w:sz w:val="24"/>
          <w:szCs w:val="24"/>
          <w:lang w:val="en-US"/>
        </w:rPr>
        <w:t xml:space="preserve"> the “aggregate components approach” and content analysis</w:t>
      </w:r>
      <w:r w:rsidR="00874024" w:rsidRPr="00EA4B66">
        <w:rPr>
          <w:rFonts w:cs="Calibri"/>
          <w:noProof/>
          <w:color w:val="000000" w:themeColor="text1"/>
          <w:sz w:val="24"/>
          <w:szCs w:val="24"/>
          <w:lang w:val="en-US"/>
        </w:rPr>
        <w:t>,</w:t>
      </w:r>
      <w:r w:rsidR="00BD7084" w:rsidRPr="00EA4B66">
        <w:rPr>
          <w:rFonts w:cs="Calibri"/>
          <w:noProof/>
          <w:color w:val="000000" w:themeColor="text1"/>
          <w:sz w:val="24"/>
          <w:szCs w:val="24"/>
          <w:lang w:val="en-US"/>
        </w:rPr>
        <w:t xml:space="preserve"> </w:t>
      </w:r>
      <w:r w:rsidR="0031366F" w:rsidRPr="00EA4B66">
        <w:rPr>
          <w:rFonts w:cs="Calibri"/>
          <w:noProof/>
          <w:color w:val="000000" w:themeColor="text1"/>
          <w:sz w:val="24"/>
          <w:szCs w:val="24"/>
          <w:lang w:val="en-US"/>
        </w:rPr>
        <w:t>our paper</w:t>
      </w:r>
      <w:r w:rsidR="00656B5A" w:rsidRPr="00EA4B66">
        <w:rPr>
          <w:rFonts w:cs="Calibri"/>
          <w:noProof/>
          <w:color w:val="000000" w:themeColor="text1"/>
          <w:sz w:val="24"/>
          <w:szCs w:val="24"/>
          <w:lang w:val="en-US"/>
        </w:rPr>
        <w:t xml:space="preserve"> contributes to the IC measurement </w:t>
      </w:r>
      <w:r w:rsidR="00BD7084" w:rsidRPr="00EA4B66">
        <w:rPr>
          <w:rFonts w:cs="Calibri"/>
          <w:noProof/>
          <w:color w:val="000000" w:themeColor="text1"/>
          <w:sz w:val="24"/>
          <w:szCs w:val="24"/>
          <w:lang w:val="en-US"/>
        </w:rPr>
        <w:t>literature by</w:t>
      </w:r>
      <w:r w:rsidR="00656B5A" w:rsidRPr="00EA4B66">
        <w:rPr>
          <w:rFonts w:cs="Calibri"/>
          <w:noProof/>
          <w:color w:val="000000" w:themeColor="text1"/>
          <w:sz w:val="24"/>
          <w:szCs w:val="24"/>
          <w:lang w:val="en-US"/>
        </w:rPr>
        <w:t xml:space="preserve"> examining the relationship between </w:t>
      </w:r>
      <w:r w:rsidR="00BD7084" w:rsidRPr="00EA4B66">
        <w:rPr>
          <w:rFonts w:cs="Calibri"/>
          <w:noProof/>
          <w:color w:val="000000" w:themeColor="text1"/>
          <w:sz w:val="24"/>
          <w:szCs w:val="24"/>
          <w:lang w:val="en-US"/>
        </w:rPr>
        <w:t>IC value</w:t>
      </w:r>
      <w:r w:rsidR="0031366F" w:rsidRPr="00EA4B66">
        <w:rPr>
          <w:rFonts w:cs="Calibri"/>
          <w:noProof/>
          <w:color w:val="000000" w:themeColor="text1"/>
          <w:sz w:val="24"/>
          <w:szCs w:val="24"/>
          <w:lang w:val="en-US"/>
        </w:rPr>
        <w:t xml:space="preserve"> (MTB) </w:t>
      </w:r>
      <w:r w:rsidR="00656B5A" w:rsidRPr="00EA4B66">
        <w:rPr>
          <w:rFonts w:cs="Calibri"/>
          <w:noProof/>
          <w:color w:val="000000" w:themeColor="text1"/>
          <w:sz w:val="24"/>
          <w:szCs w:val="24"/>
          <w:lang w:val="en-US"/>
        </w:rPr>
        <w:t xml:space="preserve">and </w:t>
      </w:r>
      <w:r w:rsidR="0031366F" w:rsidRPr="00EA4B66">
        <w:rPr>
          <w:rFonts w:cs="Calibri"/>
          <w:noProof/>
          <w:color w:val="000000" w:themeColor="text1"/>
          <w:sz w:val="24"/>
          <w:szCs w:val="24"/>
          <w:lang w:val="en-US"/>
        </w:rPr>
        <w:t xml:space="preserve">its </w:t>
      </w:r>
      <w:r w:rsidR="00656B5A" w:rsidRPr="00EA4B66">
        <w:rPr>
          <w:rFonts w:cs="Calibri"/>
          <w:noProof/>
          <w:color w:val="000000" w:themeColor="text1"/>
          <w:sz w:val="24"/>
          <w:szCs w:val="24"/>
          <w:lang w:val="en-US"/>
        </w:rPr>
        <w:t xml:space="preserve">potential determinants such as </w:t>
      </w:r>
      <w:r w:rsidR="00E02B50">
        <w:rPr>
          <w:rFonts w:cs="Calibri"/>
          <w:noProof/>
          <w:color w:val="000000" w:themeColor="text1"/>
          <w:sz w:val="24"/>
          <w:szCs w:val="24"/>
          <w:lang w:val="en-US"/>
        </w:rPr>
        <w:t>IA</w:t>
      </w:r>
      <w:r w:rsidR="0072094E" w:rsidRPr="00EA4B66">
        <w:rPr>
          <w:rFonts w:cs="Calibri"/>
          <w:noProof/>
          <w:color w:val="000000" w:themeColor="text1"/>
          <w:sz w:val="24"/>
          <w:szCs w:val="24"/>
          <w:lang w:val="en-US"/>
        </w:rPr>
        <w:t>,</w:t>
      </w:r>
      <w:r w:rsidR="00656B5A" w:rsidRPr="00EA4B66">
        <w:rPr>
          <w:rFonts w:cs="Calibri"/>
          <w:noProof/>
          <w:color w:val="000000" w:themeColor="text1"/>
          <w:sz w:val="24"/>
          <w:szCs w:val="24"/>
          <w:lang w:val="en-US"/>
        </w:rPr>
        <w:t xml:space="preserve"> and </w:t>
      </w:r>
      <w:r w:rsidR="0065446D" w:rsidRPr="00EA4B66">
        <w:rPr>
          <w:rFonts w:cs="Calibri"/>
          <w:noProof/>
          <w:color w:val="000000" w:themeColor="text1"/>
          <w:sz w:val="24"/>
          <w:szCs w:val="24"/>
          <w:lang w:val="en-US"/>
        </w:rPr>
        <w:t>other</w:t>
      </w:r>
      <w:r w:rsidR="00725549" w:rsidRPr="00EA4B66">
        <w:rPr>
          <w:rFonts w:cs="Calibri"/>
          <w:noProof/>
          <w:color w:val="000000" w:themeColor="text1"/>
          <w:sz w:val="24"/>
          <w:szCs w:val="24"/>
          <w:lang w:val="en-US"/>
        </w:rPr>
        <w:t xml:space="preserve"> variable</w:t>
      </w:r>
      <w:r w:rsidR="0065446D" w:rsidRPr="00EA4B66">
        <w:rPr>
          <w:rFonts w:cs="Calibri"/>
          <w:noProof/>
          <w:color w:val="000000" w:themeColor="text1"/>
          <w:sz w:val="24"/>
          <w:szCs w:val="24"/>
          <w:lang w:val="en-US"/>
        </w:rPr>
        <w:t>s</w:t>
      </w:r>
      <w:r w:rsidR="000D6748" w:rsidRPr="00EA4B66">
        <w:rPr>
          <w:rFonts w:cs="Calibri"/>
          <w:noProof/>
          <w:color w:val="000000" w:themeColor="text1"/>
          <w:sz w:val="24"/>
          <w:szCs w:val="24"/>
          <w:lang w:val="en-US"/>
        </w:rPr>
        <w:t xml:space="preserve">, </w:t>
      </w:r>
      <w:r w:rsidR="0031366F" w:rsidRPr="00EA4B66">
        <w:rPr>
          <w:rFonts w:cs="Calibri"/>
          <w:noProof/>
          <w:color w:val="000000" w:themeColor="text1"/>
          <w:sz w:val="24"/>
          <w:szCs w:val="24"/>
          <w:lang w:val="en-US"/>
        </w:rPr>
        <w:t>using an econometric modelling approach.</w:t>
      </w:r>
      <w:r w:rsidR="00656B5A" w:rsidRPr="00EA4B66">
        <w:rPr>
          <w:rFonts w:cs="Calibri"/>
          <w:noProof/>
          <w:color w:val="000000" w:themeColor="text1"/>
          <w:sz w:val="24"/>
          <w:szCs w:val="24"/>
          <w:lang w:val="en-US"/>
        </w:rPr>
        <w:t xml:space="preserve"> </w:t>
      </w:r>
      <w:r w:rsidRPr="00EA4B66">
        <w:rPr>
          <w:rFonts w:cs="Calibri"/>
          <w:noProof/>
          <w:color w:val="000000" w:themeColor="text1"/>
          <w:sz w:val="24"/>
          <w:szCs w:val="24"/>
          <w:lang w:val="en-US"/>
        </w:rPr>
        <w:t xml:space="preserve">The </w:t>
      </w:r>
      <w:r w:rsidR="00BD7084" w:rsidRPr="00EA4B66">
        <w:rPr>
          <w:rFonts w:cs="Calibri"/>
          <w:noProof/>
          <w:color w:val="000000" w:themeColor="text1"/>
          <w:sz w:val="24"/>
          <w:szCs w:val="24"/>
          <w:lang w:val="en-US"/>
        </w:rPr>
        <w:t xml:space="preserve">results </w:t>
      </w:r>
      <w:r w:rsidR="00674BF1" w:rsidRPr="00EA4B66">
        <w:rPr>
          <w:rFonts w:cs="Calibri"/>
          <w:noProof/>
          <w:color w:val="000000" w:themeColor="text1"/>
          <w:sz w:val="24"/>
          <w:szCs w:val="24"/>
          <w:lang w:val="en-US"/>
        </w:rPr>
        <w:t xml:space="preserve">of this paper </w:t>
      </w:r>
      <w:r w:rsidR="00BD7084" w:rsidRPr="00EA4B66">
        <w:rPr>
          <w:rFonts w:cs="Calibri"/>
          <w:noProof/>
          <w:color w:val="000000" w:themeColor="text1"/>
          <w:sz w:val="24"/>
          <w:szCs w:val="24"/>
          <w:lang w:val="en-US"/>
        </w:rPr>
        <w:t xml:space="preserve">show that </w:t>
      </w:r>
      <w:r w:rsidR="00E02B50">
        <w:rPr>
          <w:rFonts w:cs="Calibri"/>
          <w:noProof/>
          <w:color w:val="000000" w:themeColor="text1"/>
          <w:sz w:val="24"/>
          <w:szCs w:val="24"/>
          <w:lang w:val="en-US"/>
        </w:rPr>
        <w:t>IA</w:t>
      </w:r>
      <w:r w:rsidR="0031366F" w:rsidRPr="00EA4B66">
        <w:rPr>
          <w:rFonts w:cs="Calibri"/>
          <w:noProof/>
          <w:color w:val="000000" w:themeColor="text1"/>
          <w:sz w:val="24"/>
          <w:szCs w:val="24"/>
          <w:lang w:val="en-US"/>
        </w:rPr>
        <w:t>,</w:t>
      </w:r>
      <w:r w:rsidR="00BD7084" w:rsidRPr="00EA4B66">
        <w:rPr>
          <w:rFonts w:cs="Calibri"/>
          <w:noProof/>
          <w:color w:val="000000" w:themeColor="text1"/>
          <w:sz w:val="24"/>
          <w:szCs w:val="24"/>
          <w:lang w:val="en-US"/>
        </w:rPr>
        <w:t xml:space="preserve"> </w:t>
      </w:r>
      <w:r w:rsidR="0031366F" w:rsidRPr="00EA4B66">
        <w:rPr>
          <w:rFonts w:cs="Calibri"/>
          <w:noProof/>
          <w:color w:val="000000" w:themeColor="text1"/>
          <w:sz w:val="24"/>
          <w:szCs w:val="24"/>
          <w:lang w:val="en-US"/>
        </w:rPr>
        <w:t>auditor quality,</w:t>
      </w:r>
      <w:r w:rsidR="007062E4" w:rsidRPr="00EA4B66">
        <w:rPr>
          <w:rFonts w:cs="Calibri"/>
          <w:noProof/>
          <w:color w:val="000000" w:themeColor="text1"/>
          <w:sz w:val="24"/>
          <w:szCs w:val="24"/>
          <w:lang w:val="en-US"/>
        </w:rPr>
        <w:t xml:space="preserve"> profitability</w:t>
      </w:r>
      <w:r w:rsidR="0031366F" w:rsidRPr="00EA4B66">
        <w:rPr>
          <w:rFonts w:cs="Calibri"/>
          <w:noProof/>
          <w:color w:val="000000" w:themeColor="text1"/>
          <w:sz w:val="24"/>
          <w:szCs w:val="24"/>
          <w:lang w:val="en-US"/>
        </w:rPr>
        <w:t>,</w:t>
      </w:r>
      <w:r w:rsidR="007062E4" w:rsidRPr="00EA4B66">
        <w:rPr>
          <w:rFonts w:cs="Calibri"/>
          <w:noProof/>
          <w:color w:val="000000" w:themeColor="text1"/>
          <w:sz w:val="24"/>
          <w:szCs w:val="24"/>
          <w:lang w:val="en-US"/>
        </w:rPr>
        <w:t xml:space="preserve"> and family ownership are positively </w:t>
      </w:r>
      <w:r w:rsidR="0031366F" w:rsidRPr="00EA4B66">
        <w:rPr>
          <w:rFonts w:cs="Calibri"/>
          <w:noProof/>
          <w:color w:val="000000" w:themeColor="text1"/>
          <w:sz w:val="24"/>
          <w:szCs w:val="24"/>
          <w:lang w:val="en-US"/>
        </w:rPr>
        <w:t xml:space="preserve">associated with </w:t>
      </w:r>
      <w:r w:rsidR="007062E4" w:rsidRPr="00EA4B66">
        <w:rPr>
          <w:rFonts w:cs="Calibri"/>
          <w:noProof/>
          <w:color w:val="000000" w:themeColor="text1"/>
          <w:sz w:val="24"/>
          <w:szCs w:val="24"/>
          <w:lang w:val="en-US"/>
        </w:rPr>
        <w:t>IC value</w:t>
      </w:r>
      <w:r w:rsidR="0031366F" w:rsidRPr="00EA4B66">
        <w:rPr>
          <w:rFonts w:cs="Calibri"/>
          <w:noProof/>
          <w:color w:val="000000" w:themeColor="text1"/>
          <w:sz w:val="24"/>
          <w:szCs w:val="24"/>
          <w:lang w:val="en-US"/>
        </w:rPr>
        <w:t>,</w:t>
      </w:r>
      <w:r w:rsidR="00874024" w:rsidRPr="00EA4B66">
        <w:rPr>
          <w:rFonts w:cs="Calibri"/>
          <w:noProof/>
          <w:color w:val="000000" w:themeColor="text1"/>
          <w:sz w:val="24"/>
          <w:szCs w:val="24"/>
          <w:lang w:val="en-US"/>
        </w:rPr>
        <w:t xml:space="preserve"> while </w:t>
      </w:r>
      <w:r w:rsidR="0031366F" w:rsidRPr="00EA4B66">
        <w:rPr>
          <w:rFonts w:cs="Calibri"/>
          <w:noProof/>
          <w:color w:val="000000" w:themeColor="text1"/>
          <w:sz w:val="24"/>
          <w:szCs w:val="24"/>
          <w:lang w:val="en-US"/>
        </w:rPr>
        <w:t xml:space="preserve">firm </w:t>
      </w:r>
      <w:r w:rsidR="007062E4" w:rsidRPr="00EA4B66">
        <w:rPr>
          <w:rFonts w:cs="Calibri"/>
          <w:noProof/>
          <w:color w:val="000000" w:themeColor="text1"/>
          <w:sz w:val="24"/>
          <w:szCs w:val="24"/>
          <w:lang w:val="en-US"/>
        </w:rPr>
        <w:t>size</w:t>
      </w:r>
      <w:r w:rsidR="00EA24E4" w:rsidRPr="00EA4B66">
        <w:rPr>
          <w:rFonts w:cs="Calibri"/>
          <w:noProof/>
          <w:color w:val="000000" w:themeColor="text1"/>
          <w:sz w:val="24"/>
          <w:szCs w:val="24"/>
          <w:lang w:val="en-US"/>
        </w:rPr>
        <w:t xml:space="preserve"> and </w:t>
      </w:r>
      <w:r w:rsidR="007062E4" w:rsidRPr="00EA4B66">
        <w:rPr>
          <w:rFonts w:cs="Calibri"/>
          <w:noProof/>
          <w:color w:val="000000" w:themeColor="text1"/>
          <w:sz w:val="24"/>
          <w:szCs w:val="24"/>
          <w:lang w:val="en-US"/>
        </w:rPr>
        <w:t xml:space="preserve">age are negatively associated with IC value. </w:t>
      </w:r>
    </w:p>
    <w:p w14:paraId="0FA4DFC3" w14:textId="1991F1A2" w:rsidR="00BD7084" w:rsidRPr="00EA4B66" w:rsidRDefault="00497C86" w:rsidP="00497C86">
      <w:pPr>
        <w:spacing w:after="0" w:line="240" w:lineRule="auto"/>
        <w:jc w:val="both"/>
        <w:rPr>
          <w:b/>
          <w:bCs/>
          <w:color w:val="000000" w:themeColor="text1"/>
          <w:sz w:val="24"/>
          <w:szCs w:val="24"/>
          <w:lang w:val="en-US"/>
        </w:rPr>
      </w:pPr>
      <w:r w:rsidRPr="00EA4B66">
        <w:rPr>
          <w:noProof/>
          <w:color w:val="000000" w:themeColor="text1"/>
          <w:sz w:val="24"/>
          <w:szCs w:val="24"/>
          <w:lang w:val="en-US"/>
        </w:rPr>
        <w:t xml:space="preserve">   </w:t>
      </w:r>
      <w:r w:rsidR="00BD7084" w:rsidRPr="00EA4B66">
        <w:rPr>
          <w:noProof/>
          <w:color w:val="000000" w:themeColor="text1"/>
          <w:sz w:val="24"/>
          <w:szCs w:val="24"/>
          <w:lang w:val="en-US"/>
        </w:rPr>
        <w:t xml:space="preserve">The rest of the paper is organised as follows. Section 2 discusses the </w:t>
      </w:r>
      <w:r w:rsidR="0031366F" w:rsidRPr="00EA4B66">
        <w:rPr>
          <w:noProof/>
          <w:color w:val="000000" w:themeColor="text1"/>
          <w:sz w:val="24"/>
          <w:szCs w:val="24"/>
          <w:lang w:val="en-US"/>
        </w:rPr>
        <w:t xml:space="preserve">existing </w:t>
      </w:r>
      <w:r w:rsidR="00406FFB" w:rsidRPr="00EA4B66">
        <w:rPr>
          <w:noProof/>
          <w:color w:val="000000" w:themeColor="text1"/>
          <w:sz w:val="24"/>
          <w:szCs w:val="24"/>
          <w:lang w:val="en-US"/>
        </w:rPr>
        <w:t>literature on IC measurement</w:t>
      </w:r>
      <w:r w:rsidR="0031366F" w:rsidRPr="00EA4B66">
        <w:rPr>
          <w:noProof/>
          <w:color w:val="000000" w:themeColor="text1"/>
          <w:sz w:val="24"/>
          <w:szCs w:val="24"/>
          <w:lang w:val="en-US"/>
        </w:rPr>
        <w:t>,</w:t>
      </w:r>
      <w:r w:rsidR="00406FFB" w:rsidRPr="00EA4B66">
        <w:rPr>
          <w:noProof/>
          <w:color w:val="000000" w:themeColor="text1"/>
          <w:sz w:val="24"/>
          <w:szCs w:val="24"/>
          <w:lang w:val="en-US"/>
        </w:rPr>
        <w:t xml:space="preserve"> focus</w:t>
      </w:r>
      <w:r w:rsidR="0031366F" w:rsidRPr="00EA4B66">
        <w:rPr>
          <w:noProof/>
          <w:color w:val="000000" w:themeColor="text1"/>
          <w:sz w:val="24"/>
          <w:szCs w:val="24"/>
          <w:lang w:val="en-US"/>
        </w:rPr>
        <w:t>ing</w:t>
      </w:r>
      <w:r w:rsidR="00406FFB" w:rsidRPr="00EA4B66">
        <w:rPr>
          <w:noProof/>
          <w:color w:val="000000" w:themeColor="text1"/>
          <w:sz w:val="24"/>
          <w:szCs w:val="24"/>
          <w:lang w:val="en-US"/>
        </w:rPr>
        <w:t xml:space="preserve"> on</w:t>
      </w:r>
      <w:r w:rsidR="00BD7084" w:rsidRPr="00EA4B66">
        <w:rPr>
          <w:noProof/>
          <w:color w:val="000000" w:themeColor="text1"/>
          <w:sz w:val="24"/>
          <w:szCs w:val="24"/>
          <w:lang w:val="en-US"/>
        </w:rPr>
        <w:t xml:space="preserve"> </w:t>
      </w:r>
      <w:r w:rsidR="0031366F" w:rsidRPr="00EA4B66">
        <w:rPr>
          <w:noProof/>
          <w:color w:val="000000" w:themeColor="text1"/>
          <w:sz w:val="24"/>
          <w:szCs w:val="24"/>
          <w:lang w:val="en-US"/>
        </w:rPr>
        <w:t>rec</w:t>
      </w:r>
      <w:r w:rsidR="0072094E" w:rsidRPr="00EA4B66">
        <w:rPr>
          <w:noProof/>
          <w:color w:val="000000" w:themeColor="text1"/>
          <w:sz w:val="24"/>
          <w:szCs w:val="24"/>
          <w:lang w:val="en-US"/>
        </w:rPr>
        <w:t>ent developments in</w:t>
      </w:r>
      <w:r w:rsidR="001779AC" w:rsidRPr="00EA4B66">
        <w:rPr>
          <w:noProof/>
          <w:color w:val="000000" w:themeColor="text1"/>
          <w:sz w:val="24"/>
          <w:szCs w:val="24"/>
          <w:lang w:val="en-US"/>
        </w:rPr>
        <w:t xml:space="preserve"> measuring</w:t>
      </w:r>
      <w:r w:rsidR="00406FFB" w:rsidRPr="00EA4B66">
        <w:rPr>
          <w:noProof/>
          <w:color w:val="000000" w:themeColor="text1"/>
          <w:sz w:val="24"/>
          <w:szCs w:val="24"/>
          <w:lang w:val="en-US"/>
        </w:rPr>
        <w:t xml:space="preserve"> </w:t>
      </w:r>
      <w:r w:rsidR="0031366F" w:rsidRPr="00EA4B66">
        <w:rPr>
          <w:noProof/>
          <w:color w:val="000000" w:themeColor="text1"/>
          <w:sz w:val="24"/>
          <w:szCs w:val="24"/>
          <w:lang w:val="en-US"/>
        </w:rPr>
        <w:t>i</w:t>
      </w:r>
      <w:r w:rsidR="00406FFB" w:rsidRPr="00EA4B66">
        <w:rPr>
          <w:noProof/>
          <w:color w:val="000000" w:themeColor="text1"/>
          <w:sz w:val="24"/>
          <w:szCs w:val="24"/>
          <w:lang w:val="en-US"/>
        </w:rPr>
        <w:t xml:space="preserve">ntellectual </w:t>
      </w:r>
      <w:r w:rsidR="0031366F" w:rsidRPr="00EA4B66">
        <w:rPr>
          <w:noProof/>
          <w:color w:val="000000" w:themeColor="text1"/>
          <w:sz w:val="24"/>
          <w:szCs w:val="24"/>
          <w:lang w:val="en-US"/>
        </w:rPr>
        <w:t>c</w:t>
      </w:r>
      <w:r w:rsidR="00BD7084" w:rsidRPr="00EA4B66">
        <w:rPr>
          <w:noProof/>
          <w:color w:val="000000" w:themeColor="text1"/>
          <w:sz w:val="24"/>
          <w:szCs w:val="24"/>
          <w:lang w:val="en-US"/>
        </w:rPr>
        <w:t>apital</w:t>
      </w:r>
      <w:r w:rsidR="0031366F" w:rsidRPr="00EA4B66">
        <w:rPr>
          <w:noProof/>
          <w:color w:val="000000" w:themeColor="text1"/>
          <w:sz w:val="24"/>
          <w:szCs w:val="24"/>
          <w:lang w:val="en-US"/>
        </w:rPr>
        <w:t>.</w:t>
      </w:r>
      <w:r w:rsidR="00406FFB" w:rsidRPr="00EA4B66">
        <w:rPr>
          <w:noProof/>
          <w:color w:val="000000" w:themeColor="text1"/>
          <w:sz w:val="24"/>
          <w:szCs w:val="24"/>
          <w:lang w:val="en-US"/>
        </w:rPr>
        <w:t xml:space="preserve"> </w:t>
      </w:r>
      <w:r w:rsidR="0031366F" w:rsidRPr="00EA4B66">
        <w:rPr>
          <w:noProof/>
          <w:color w:val="000000" w:themeColor="text1"/>
          <w:sz w:val="24"/>
          <w:szCs w:val="24"/>
          <w:lang w:val="en-US"/>
        </w:rPr>
        <w:t>In s</w:t>
      </w:r>
      <w:r w:rsidR="00406FFB" w:rsidRPr="00EA4B66">
        <w:rPr>
          <w:noProof/>
          <w:color w:val="000000" w:themeColor="text1"/>
          <w:sz w:val="24"/>
          <w:szCs w:val="24"/>
          <w:lang w:val="en-US"/>
        </w:rPr>
        <w:t xml:space="preserve">ection 3 </w:t>
      </w:r>
      <w:r w:rsidR="00725549" w:rsidRPr="00EA4B66">
        <w:rPr>
          <w:noProof/>
          <w:color w:val="000000" w:themeColor="text1"/>
          <w:sz w:val="24"/>
          <w:szCs w:val="24"/>
          <w:lang w:val="en-US"/>
        </w:rPr>
        <w:t xml:space="preserve">the </w:t>
      </w:r>
      <w:r w:rsidR="008C017D" w:rsidRPr="00EA4B66">
        <w:rPr>
          <w:noProof/>
          <w:color w:val="000000" w:themeColor="text1"/>
          <w:sz w:val="24"/>
          <w:szCs w:val="24"/>
          <w:lang w:val="en-US"/>
        </w:rPr>
        <w:t xml:space="preserve">authors </w:t>
      </w:r>
      <w:r w:rsidR="0031366F" w:rsidRPr="00EA4B66">
        <w:rPr>
          <w:noProof/>
          <w:color w:val="000000" w:themeColor="text1"/>
          <w:sz w:val="24"/>
          <w:szCs w:val="24"/>
          <w:lang w:val="en-US"/>
        </w:rPr>
        <w:t>develop</w:t>
      </w:r>
      <w:r w:rsidR="00BD7084" w:rsidRPr="00EA4B66">
        <w:rPr>
          <w:noProof/>
          <w:color w:val="000000" w:themeColor="text1"/>
          <w:sz w:val="24"/>
          <w:szCs w:val="24"/>
          <w:lang w:val="en-US"/>
        </w:rPr>
        <w:t xml:space="preserve"> hypotheses </w:t>
      </w:r>
      <w:r w:rsidR="00562616" w:rsidRPr="00EA4B66">
        <w:rPr>
          <w:noProof/>
          <w:color w:val="000000" w:themeColor="text1"/>
          <w:sz w:val="24"/>
          <w:szCs w:val="24"/>
          <w:lang w:val="en-US"/>
        </w:rPr>
        <w:t xml:space="preserve">for the </w:t>
      </w:r>
      <w:r w:rsidR="00BD7084" w:rsidRPr="00EA4B66">
        <w:rPr>
          <w:noProof/>
          <w:color w:val="000000" w:themeColor="text1"/>
          <w:sz w:val="24"/>
          <w:szCs w:val="24"/>
          <w:lang w:val="en-US"/>
        </w:rPr>
        <w:t xml:space="preserve">potential determinants of </w:t>
      </w:r>
      <w:r w:rsidR="00562616" w:rsidRPr="00EA4B66">
        <w:rPr>
          <w:noProof/>
          <w:color w:val="000000" w:themeColor="text1"/>
          <w:sz w:val="24"/>
          <w:szCs w:val="24"/>
          <w:lang w:val="en-US"/>
        </w:rPr>
        <w:t xml:space="preserve">the </w:t>
      </w:r>
      <w:r w:rsidR="00BD7084" w:rsidRPr="00EA4B66">
        <w:rPr>
          <w:noProof/>
          <w:color w:val="000000" w:themeColor="text1"/>
          <w:sz w:val="24"/>
          <w:szCs w:val="24"/>
          <w:lang w:val="en-US"/>
        </w:rPr>
        <w:t>M</w:t>
      </w:r>
      <w:r w:rsidR="0031366F" w:rsidRPr="00EA4B66">
        <w:rPr>
          <w:noProof/>
          <w:color w:val="000000" w:themeColor="text1"/>
          <w:sz w:val="24"/>
          <w:szCs w:val="24"/>
          <w:lang w:val="en-US"/>
        </w:rPr>
        <w:t>T</w:t>
      </w:r>
      <w:r w:rsidR="00BD7084" w:rsidRPr="00EA4B66">
        <w:rPr>
          <w:noProof/>
          <w:color w:val="000000" w:themeColor="text1"/>
          <w:sz w:val="24"/>
          <w:szCs w:val="24"/>
          <w:lang w:val="en-US"/>
        </w:rPr>
        <w:t>B</w:t>
      </w:r>
      <w:r w:rsidR="00562616" w:rsidRPr="00EA4B66">
        <w:rPr>
          <w:noProof/>
          <w:color w:val="000000" w:themeColor="text1"/>
          <w:sz w:val="24"/>
          <w:szCs w:val="24"/>
          <w:lang w:val="en-US"/>
        </w:rPr>
        <w:t xml:space="preserve"> ratio</w:t>
      </w:r>
      <w:r w:rsidR="00BD7084" w:rsidRPr="00EA4B66">
        <w:rPr>
          <w:noProof/>
          <w:color w:val="000000" w:themeColor="text1"/>
          <w:sz w:val="24"/>
          <w:szCs w:val="24"/>
          <w:lang w:val="en-US"/>
        </w:rPr>
        <w:t xml:space="preserve">. In section 4 the research methodology and sample selection </w:t>
      </w:r>
      <w:r w:rsidR="00562616" w:rsidRPr="00EA4B66">
        <w:rPr>
          <w:noProof/>
          <w:color w:val="000000" w:themeColor="text1"/>
          <w:sz w:val="24"/>
          <w:szCs w:val="24"/>
          <w:lang w:val="en-US"/>
        </w:rPr>
        <w:t>are explained</w:t>
      </w:r>
      <w:r w:rsidR="00BD7084" w:rsidRPr="00EA4B66">
        <w:rPr>
          <w:noProof/>
          <w:color w:val="000000" w:themeColor="text1"/>
          <w:sz w:val="24"/>
          <w:szCs w:val="24"/>
          <w:lang w:val="en-US"/>
        </w:rPr>
        <w:t xml:space="preserve">. Finally, </w:t>
      </w:r>
      <w:r w:rsidR="00725549" w:rsidRPr="00EA4B66">
        <w:rPr>
          <w:noProof/>
          <w:color w:val="000000" w:themeColor="text1"/>
          <w:sz w:val="24"/>
          <w:szCs w:val="24"/>
          <w:lang w:val="en-US"/>
        </w:rPr>
        <w:t xml:space="preserve">the </w:t>
      </w:r>
      <w:r w:rsidR="00BD7084" w:rsidRPr="00EA4B66">
        <w:rPr>
          <w:noProof/>
          <w:color w:val="000000" w:themeColor="text1"/>
          <w:sz w:val="24"/>
          <w:szCs w:val="24"/>
          <w:lang w:val="en-US"/>
        </w:rPr>
        <w:t xml:space="preserve">results </w:t>
      </w:r>
      <w:r w:rsidR="00562616" w:rsidRPr="00EA4B66">
        <w:rPr>
          <w:noProof/>
          <w:color w:val="000000" w:themeColor="text1"/>
          <w:sz w:val="24"/>
          <w:szCs w:val="24"/>
          <w:lang w:val="en-US"/>
        </w:rPr>
        <w:t xml:space="preserve">of </w:t>
      </w:r>
      <w:r w:rsidR="00B86049" w:rsidRPr="00EA4B66">
        <w:rPr>
          <w:noProof/>
          <w:color w:val="000000" w:themeColor="text1"/>
          <w:sz w:val="24"/>
          <w:szCs w:val="24"/>
          <w:lang w:val="en-US"/>
        </w:rPr>
        <w:t xml:space="preserve">the </w:t>
      </w:r>
      <w:r w:rsidR="00562616" w:rsidRPr="00EA4B66">
        <w:rPr>
          <w:noProof/>
          <w:color w:val="000000" w:themeColor="text1"/>
          <w:sz w:val="24"/>
          <w:szCs w:val="24"/>
          <w:lang w:val="en-US"/>
        </w:rPr>
        <w:t xml:space="preserve">models </w:t>
      </w:r>
      <w:r w:rsidR="00725549" w:rsidRPr="00EA4B66">
        <w:rPr>
          <w:noProof/>
          <w:color w:val="000000" w:themeColor="text1"/>
          <w:sz w:val="24"/>
          <w:szCs w:val="24"/>
          <w:lang w:val="en-US"/>
        </w:rPr>
        <w:t xml:space="preserve">are discussed </w:t>
      </w:r>
      <w:r w:rsidR="00BD7084" w:rsidRPr="00EA4B66">
        <w:rPr>
          <w:noProof/>
          <w:color w:val="000000" w:themeColor="text1"/>
          <w:sz w:val="24"/>
          <w:szCs w:val="24"/>
          <w:lang w:val="en-US"/>
        </w:rPr>
        <w:t xml:space="preserve">in section 5, </w:t>
      </w:r>
      <w:r w:rsidR="00725549" w:rsidRPr="00EA4B66">
        <w:rPr>
          <w:noProof/>
          <w:color w:val="000000" w:themeColor="text1"/>
          <w:sz w:val="24"/>
          <w:szCs w:val="24"/>
          <w:lang w:val="en-US"/>
        </w:rPr>
        <w:t>with</w:t>
      </w:r>
      <w:r w:rsidR="00784226" w:rsidRPr="00EA4B66">
        <w:rPr>
          <w:noProof/>
          <w:color w:val="000000" w:themeColor="text1"/>
          <w:sz w:val="24"/>
          <w:szCs w:val="24"/>
          <w:lang w:val="en-US"/>
        </w:rPr>
        <w:t xml:space="preserve"> ro</w:t>
      </w:r>
      <w:r w:rsidR="00D211AE" w:rsidRPr="00EA4B66">
        <w:rPr>
          <w:noProof/>
          <w:color w:val="000000" w:themeColor="text1"/>
          <w:sz w:val="24"/>
          <w:szCs w:val="24"/>
          <w:lang w:val="en-US"/>
        </w:rPr>
        <w:t>bustness test</w:t>
      </w:r>
      <w:r w:rsidR="00CA11F1" w:rsidRPr="00EA4B66">
        <w:rPr>
          <w:noProof/>
          <w:color w:val="000000" w:themeColor="text1"/>
          <w:sz w:val="24"/>
          <w:szCs w:val="24"/>
          <w:lang w:val="en-US"/>
        </w:rPr>
        <w:t>s</w:t>
      </w:r>
      <w:r w:rsidR="00D211AE" w:rsidRPr="00EA4B66">
        <w:rPr>
          <w:noProof/>
          <w:color w:val="000000" w:themeColor="text1"/>
          <w:sz w:val="24"/>
          <w:szCs w:val="24"/>
          <w:lang w:val="en-US"/>
        </w:rPr>
        <w:t xml:space="preserve"> in section 6</w:t>
      </w:r>
      <w:r w:rsidR="00725549" w:rsidRPr="00EA4B66">
        <w:rPr>
          <w:noProof/>
          <w:color w:val="000000" w:themeColor="text1"/>
          <w:sz w:val="24"/>
          <w:szCs w:val="24"/>
          <w:lang w:val="en-US"/>
        </w:rPr>
        <w:t>. Section 7 then provides a summary and conclusion.</w:t>
      </w:r>
    </w:p>
    <w:p w14:paraId="432904E5" w14:textId="77777777" w:rsidR="000D6748" w:rsidRPr="00EA4B66" w:rsidRDefault="000D6748" w:rsidP="00210539">
      <w:pPr>
        <w:widowControl w:val="0"/>
        <w:autoSpaceDE w:val="0"/>
        <w:autoSpaceDN w:val="0"/>
        <w:adjustRightInd w:val="0"/>
        <w:spacing w:after="0" w:line="240" w:lineRule="auto"/>
        <w:ind w:firstLine="284"/>
        <w:jc w:val="both"/>
        <w:rPr>
          <w:noProof/>
          <w:color w:val="000000" w:themeColor="text1"/>
          <w:sz w:val="24"/>
          <w:szCs w:val="24"/>
          <w:lang w:val="en-US"/>
        </w:rPr>
      </w:pPr>
    </w:p>
    <w:p w14:paraId="6CB45024" w14:textId="75111FBA" w:rsidR="00F958C0" w:rsidRPr="00EA4B66" w:rsidRDefault="30989F24" w:rsidP="00251B8D">
      <w:pPr>
        <w:spacing w:after="0" w:line="240" w:lineRule="auto"/>
        <w:jc w:val="both"/>
        <w:rPr>
          <w:color w:val="000000" w:themeColor="text1"/>
          <w:lang w:val="en-US"/>
        </w:rPr>
      </w:pPr>
      <w:r w:rsidRPr="00EA4B66">
        <w:rPr>
          <w:b/>
          <w:bCs/>
          <w:color w:val="000000" w:themeColor="text1"/>
          <w:sz w:val="24"/>
          <w:szCs w:val="24"/>
          <w:lang w:val="en-US"/>
        </w:rPr>
        <w:t xml:space="preserve">2. </w:t>
      </w:r>
      <w:r w:rsidR="00164AF4" w:rsidRPr="00EA4B66">
        <w:rPr>
          <w:b/>
          <w:bCs/>
          <w:color w:val="000000" w:themeColor="text1"/>
          <w:sz w:val="24"/>
          <w:szCs w:val="24"/>
          <w:lang w:val="en-US"/>
        </w:rPr>
        <w:t xml:space="preserve">Intellectual capital measurement in the existing </w:t>
      </w:r>
      <w:r w:rsidR="00660202" w:rsidRPr="00EA4B66">
        <w:rPr>
          <w:b/>
          <w:bCs/>
          <w:color w:val="000000" w:themeColor="text1"/>
          <w:sz w:val="24"/>
          <w:szCs w:val="24"/>
          <w:lang w:val="en-US"/>
        </w:rPr>
        <w:t>literature</w:t>
      </w:r>
    </w:p>
    <w:p w14:paraId="54C8D881" w14:textId="428F305C" w:rsidR="00865D4A" w:rsidRPr="00EA4B66" w:rsidRDefault="00865D4A" w:rsidP="00251B8D">
      <w:pPr>
        <w:spacing w:after="0" w:line="240" w:lineRule="auto"/>
        <w:jc w:val="both"/>
        <w:rPr>
          <w:color w:val="000000" w:themeColor="text1"/>
          <w:lang w:val="en-US"/>
        </w:rPr>
      </w:pPr>
      <w:r w:rsidRPr="00EA4B66">
        <w:rPr>
          <w:color w:val="000000" w:themeColor="text1"/>
          <w:sz w:val="24"/>
          <w:szCs w:val="24"/>
          <w:lang w:val="en-US"/>
        </w:rPr>
        <w:t xml:space="preserve">The accounting and </w:t>
      </w:r>
      <w:r w:rsidR="00755972" w:rsidRPr="00EA4B66">
        <w:rPr>
          <w:color w:val="000000" w:themeColor="text1"/>
          <w:sz w:val="24"/>
          <w:szCs w:val="24"/>
          <w:lang w:val="en-US"/>
        </w:rPr>
        <w:t xml:space="preserve">business </w:t>
      </w:r>
      <w:r w:rsidRPr="00EA4B66">
        <w:rPr>
          <w:color w:val="000000" w:themeColor="text1"/>
          <w:sz w:val="24"/>
          <w:szCs w:val="24"/>
          <w:lang w:val="en-US"/>
        </w:rPr>
        <w:t xml:space="preserve">management research literature </w:t>
      </w:r>
      <w:r w:rsidR="00755972" w:rsidRPr="00EA4B66">
        <w:rPr>
          <w:color w:val="000000" w:themeColor="text1"/>
          <w:sz w:val="24"/>
          <w:szCs w:val="24"/>
          <w:lang w:val="en-US"/>
        </w:rPr>
        <w:t xml:space="preserve">reports </w:t>
      </w:r>
      <w:r w:rsidRPr="00EA4B66">
        <w:rPr>
          <w:color w:val="000000" w:themeColor="text1"/>
          <w:sz w:val="24"/>
          <w:szCs w:val="24"/>
          <w:lang w:val="en-US"/>
        </w:rPr>
        <w:t xml:space="preserve">a variety of approaches to </w:t>
      </w:r>
      <w:r w:rsidR="00755972" w:rsidRPr="00EA4B66">
        <w:rPr>
          <w:color w:val="000000" w:themeColor="text1"/>
          <w:sz w:val="24"/>
          <w:szCs w:val="24"/>
          <w:lang w:val="en-US"/>
        </w:rPr>
        <w:t xml:space="preserve">the </w:t>
      </w:r>
      <w:r w:rsidRPr="00EA4B66">
        <w:rPr>
          <w:color w:val="000000" w:themeColor="text1"/>
          <w:sz w:val="24"/>
          <w:szCs w:val="24"/>
          <w:lang w:val="en-US"/>
        </w:rPr>
        <w:t>measur</w:t>
      </w:r>
      <w:r w:rsidR="00755972" w:rsidRPr="00EA4B66">
        <w:rPr>
          <w:color w:val="000000" w:themeColor="text1"/>
          <w:sz w:val="24"/>
          <w:szCs w:val="24"/>
          <w:lang w:val="en-US"/>
        </w:rPr>
        <w:t>ement of</w:t>
      </w:r>
      <w:r w:rsidRPr="00EA4B66">
        <w:rPr>
          <w:color w:val="000000" w:themeColor="text1"/>
          <w:sz w:val="24"/>
          <w:szCs w:val="24"/>
          <w:lang w:val="en-US"/>
        </w:rPr>
        <w:t xml:space="preserve"> </w:t>
      </w:r>
      <w:r w:rsidR="00A005A4">
        <w:rPr>
          <w:color w:val="000000" w:themeColor="text1"/>
          <w:sz w:val="24"/>
          <w:szCs w:val="24"/>
          <w:lang w:val="en-US"/>
        </w:rPr>
        <w:t>IC</w:t>
      </w:r>
      <w:r w:rsidRPr="00EA4B66">
        <w:rPr>
          <w:color w:val="000000" w:themeColor="text1"/>
          <w:sz w:val="24"/>
          <w:szCs w:val="24"/>
          <w:lang w:val="en-US"/>
        </w:rPr>
        <w:t xml:space="preserve"> (</w:t>
      </w:r>
      <w:r w:rsidR="002C1A2E" w:rsidRPr="00EA4B66">
        <w:rPr>
          <w:color w:val="000000" w:themeColor="text1"/>
          <w:sz w:val="24"/>
          <w:szCs w:val="24"/>
          <w:lang w:val="en-US"/>
        </w:rPr>
        <w:t xml:space="preserve">Morariu, 2014; </w:t>
      </w:r>
      <w:r w:rsidRPr="00EA4B66">
        <w:rPr>
          <w:color w:val="000000" w:themeColor="text1"/>
          <w:sz w:val="24"/>
          <w:szCs w:val="24"/>
          <w:lang w:val="en-US"/>
        </w:rPr>
        <w:t>Goebel, 2015</w:t>
      </w:r>
      <w:r w:rsidR="00716CF7" w:rsidRPr="00EA4B66">
        <w:rPr>
          <w:color w:val="000000" w:themeColor="text1"/>
          <w:sz w:val="24"/>
          <w:szCs w:val="24"/>
          <w:lang w:val="en-US"/>
        </w:rPr>
        <w:t>;</w:t>
      </w:r>
      <w:r w:rsidR="00716CF7" w:rsidRPr="00EA4B66">
        <w:rPr>
          <w:color w:val="000000" w:themeColor="text1"/>
          <w:lang w:val="en-US"/>
        </w:rPr>
        <w:t xml:space="preserve"> </w:t>
      </w:r>
      <w:r w:rsidR="00716CF7" w:rsidRPr="00EA4B66">
        <w:rPr>
          <w:color w:val="000000" w:themeColor="text1"/>
          <w:sz w:val="24"/>
          <w:szCs w:val="24"/>
          <w:lang w:val="en-US"/>
        </w:rPr>
        <w:t xml:space="preserve">Dženopoljac </w:t>
      </w:r>
      <w:r w:rsidR="00716CF7" w:rsidRPr="00EA4B66">
        <w:rPr>
          <w:i/>
          <w:color w:val="000000" w:themeColor="text1"/>
          <w:sz w:val="24"/>
          <w:szCs w:val="24"/>
          <w:lang w:val="en-US"/>
        </w:rPr>
        <w:t>et al</w:t>
      </w:r>
      <w:r w:rsidR="00716CF7" w:rsidRPr="00EA4B66">
        <w:rPr>
          <w:color w:val="000000" w:themeColor="text1"/>
          <w:sz w:val="24"/>
          <w:szCs w:val="24"/>
          <w:lang w:val="en-US"/>
        </w:rPr>
        <w:t>., 2016</w:t>
      </w:r>
      <w:r w:rsidRPr="00EA4B66">
        <w:rPr>
          <w:color w:val="000000" w:themeColor="text1"/>
          <w:sz w:val="24"/>
          <w:szCs w:val="24"/>
          <w:lang w:val="en-US"/>
        </w:rPr>
        <w:t xml:space="preserve">). The first group is based on a </w:t>
      </w:r>
      <w:r w:rsidR="00755972" w:rsidRPr="00EA4B66">
        <w:rPr>
          <w:color w:val="000000" w:themeColor="text1"/>
          <w:sz w:val="24"/>
          <w:szCs w:val="24"/>
          <w:lang w:val="en-US"/>
        </w:rPr>
        <w:t>S</w:t>
      </w:r>
      <w:r w:rsidRPr="00EA4B66">
        <w:rPr>
          <w:color w:val="000000" w:themeColor="text1"/>
          <w:sz w:val="24"/>
          <w:szCs w:val="24"/>
          <w:lang w:val="en-US"/>
        </w:rPr>
        <w:t xml:space="preserve">corecard </w:t>
      </w:r>
      <w:r w:rsidR="00755972" w:rsidRPr="00EA4B66">
        <w:rPr>
          <w:color w:val="000000" w:themeColor="text1"/>
          <w:sz w:val="24"/>
          <w:szCs w:val="24"/>
          <w:lang w:val="en-US"/>
        </w:rPr>
        <w:t>A</w:t>
      </w:r>
      <w:r w:rsidRPr="00EA4B66">
        <w:rPr>
          <w:color w:val="000000" w:themeColor="text1"/>
          <w:sz w:val="24"/>
          <w:szCs w:val="24"/>
          <w:lang w:val="en-US"/>
        </w:rPr>
        <w:t>pproach which aims to describe</w:t>
      </w:r>
      <w:r w:rsidR="00755972" w:rsidRPr="00EA4B66">
        <w:rPr>
          <w:color w:val="000000" w:themeColor="text1"/>
          <w:sz w:val="24"/>
          <w:szCs w:val="24"/>
          <w:lang w:val="en-US"/>
        </w:rPr>
        <w:t>,</w:t>
      </w:r>
      <w:r w:rsidRPr="00EA4B66">
        <w:rPr>
          <w:color w:val="000000" w:themeColor="text1"/>
          <w:sz w:val="24"/>
          <w:szCs w:val="24"/>
          <w:lang w:val="en-US"/>
        </w:rPr>
        <w:t xml:space="preserve"> but no</w:t>
      </w:r>
      <w:r w:rsidR="00716CF7" w:rsidRPr="00EA4B66">
        <w:rPr>
          <w:color w:val="000000" w:themeColor="text1"/>
          <w:sz w:val="24"/>
          <w:szCs w:val="24"/>
          <w:lang w:val="en-US"/>
        </w:rPr>
        <w:t>t always measure the value of</w:t>
      </w:r>
      <w:r w:rsidR="00755972" w:rsidRPr="00EA4B66">
        <w:rPr>
          <w:color w:val="000000" w:themeColor="text1"/>
          <w:sz w:val="24"/>
          <w:szCs w:val="24"/>
          <w:lang w:val="en-US"/>
        </w:rPr>
        <w:t>,</w:t>
      </w:r>
      <w:r w:rsidR="00716CF7" w:rsidRPr="00EA4B66">
        <w:rPr>
          <w:color w:val="000000" w:themeColor="text1"/>
          <w:sz w:val="24"/>
          <w:szCs w:val="24"/>
          <w:lang w:val="en-US"/>
        </w:rPr>
        <w:t xml:space="preserve"> </w:t>
      </w:r>
      <w:r w:rsidR="00914D77">
        <w:rPr>
          <w:color w:val="000000" w:themeColor="text1"/>
          <w:sz w:val="24"/>
          <w:szCs w:val="24"/>
          <w:lang w:val="en-US"/>
        </w:rPr>
        <w:t>IC</w:t>
      </w:r>
      <w:r w:rsidRPr="00EA4B66">
        <w:rPr>
          <w:color w:val="000000" w:themeColor="text1"/>
          <w:sz w:val="24"/>
          <w:szCs w:val="24"/>
          <w:lang w:val="en-US"/>
        </w:rPr>
        <w:t xml:space="preserve"> with respect to a range of </w:t>
      </w:r>
      <w:r w:rsidR="00755972" w:rsidRPr="00EA4B66">
        <w:rPr>
          <w:color w:val="000000" w:themeColor="text1"/>
          <w:sz w:val="24"/>
          <w:szCs w:val="24"/>
          <w:lang w:val="en-US"/>
        </w:rPr>
        <w:t xml:space="preserve">both </w:t>
      </w:r>
      <w:r w:rsidRPr="00EA4B66">
        <w:rPr>
          <w:color w:val="000000" w:themeColor="text1"/>
          <w:sz w:val="24"/>
          <w:szCs w:val="24"/>
          <w:lang w:val="en-US"/>
        </w:rPr>
        <w:t xml:space="preserve">non-financial indicators and selected financial ratios </w:t>
      </w:r>
      <w:r w:rsidR="00755972" w:rsidRPr="00EA4B66">
        <w:rPr>
          <w:color w:val="000000" w:themeColor="text1"/>
          <w:sz w:val="24"/>
          <w:szCs w:val="24"/>
          <w:lang w:val="en-US"/>
        </w:rPr>
        <w:t xml:space="preserve">in order </w:t>
      </w:r>
      <w:r w:rsidRPr="00EA4B66">
        <w:rPr>
          <w:color w:val="000000" w:themeColor="text1"/>
          <w:sz w:val="24"/>
          <w:szCs w:val="24"/>
          <w:lang w:val="en-US"/>
        </w:rPr>
        <w:t xml:space="preserve">to gauge specific </w:t>
      </w:r>
      <w:r w:rsidR="00E02B50">
        <w:rPr>
          <w:color w:val="000000" w:themeColor="text1"/>
          <w:sz w:val="24"/>
          <w:szCs w:val="24"/>
          <w:lang w:val="en-US"/>
        </w:rPr>
        <w:t>IA</w:t>
      </w:r>
      <w:r w:rsidRPr="00EA4B66">
        <w:rPr>
          <w:color w:val="000000" w:themeColor="text1"/>
          <w:sz w:val="24"/>
          <w:szCs w:val="24"/>
          <w:lang w:val="en-US"/>
        </w:rPr>
        <w:t xml:space="preserve">, </w:t>
      </w:r>
      <w:r w:rsidR="00755972" w:rsidRPr="00EA4B66">
        <w:rPr>
          <w:color w:val="000000" w:themeColor="text1"/>
          <w:sz w:val="24"/>
          <w:szCs w:val="24"/>
          <w:lang w:val="en-US"/>
        </w:rPr>
        <w:t xml:space="preserve">and </w:t>
      </w:r>
      <w:r w:rsidRPr="00EA4B66">
        <w:rPr>
          <w:color w:val="000000" w:themeColor="text1"/>
          <w:sz w:val="24"/>
          <w:szCs w:val="24"/>
          <w:lang w:val="en-US"/>
        </w:rPr>
        <w:t>report</w:t>
      </w:r>
      <w:r w:rsidR="00755972" w:rsidRPr="00EA4B66">
        <w:rPr>
          <w:color w:val="000000" w:themeColor="text1"/>
          <w:sz w:val="24"/>
          <w:szCs w:val="24"/>
          <w:lang w:val="en-US"/>
        </w:rPr>
        <w:t>s</w:t>
      </w:r>
      <w:r w:rsidRPr="00EA4B66">
        <w:rPr>
          <w:color w:val="000000" w:themeColor="text1"/>
          <w:sz w:val="24"/>
          <w:szCs w:val="24"/>
          <w:lang w:val="en-US"/>
        </w:rPr>
        <w:t xml:space="preserve"> by means of integrated scorecards or graphs. However, the approach</w:t>
      </w:r>
      <w:r w:rsidR="00662819" w:rsidRPr="00EA4B66">
        <w:rPr>
          <w:color w:val="000000" w:themeColor="text1"/>
          <w:sz w:val="24"/>
          <w:szCs w:val="24"/>
          <w:lang w:val="en-US"/>
        </w:rPr>
        <w:t>, exemplified by</w:t>
      </w:r>
      <w:r w:rsidRPr="00EA4B66">
        <w:rPr>
          <w:color w:val="000000" w:themeColor="text1"/>
          <w:sz w:val="24"/>
          <w:szCs w:val="24"/>
          <w:lang w:val="en-US"/>
        </w:rPr>
        <w:t xml:space="preserve"> </w:t>
      </w:r>
      <w:r w:rsidR="00662819" w:rsidRPr="00EA4B66">
        <w:rPr>
          <w:color w:val="000000" w:themeColor="text1"/>
          <w:sz w:val="24"/>
          <w:szCs w:val="24"/>
          <w:lang w:val="en-US"/>
        </w:rPr>
        <w:t xml:space="preserve">models such as the Skandia Navigator (Edvinsson and Malone, 1997) and the Intangible Assets Monitor (Sveiby, 1997b), </w:t>
      </w:r>
      <w:r w:rsidRPr="00EA4B66">
        <w:rPr>
          <w:color w:val="000000" w:themeColor="text1"/>
          <w:sz w:val="24"/>
          <w:szCs w:val="24"/>
          <w:lang w:val="en-US"/>
        </w:rPr>
        <w:t>does not measure the financial value of IC, at least at the firm level</w:t>
      </w:r>
      <w:r w:rsidR="00662819" w:rsidRPr="00EA4B66">
        <w:rPr>
          <w:color w:val="000000" w:themeColor="text1"/>
          <w:sz w:val="24"/>
          <w:szCs w:val="24"/>
          <w:lang w:val="en-US"/>
        </w:rPr>
        <w:t>.</w:t>
      </w:r>
    </w:p>
    <w:p w14:paraId="006FF13B" w14:textId="0EEFA41A" w:rsidR="00865D4A" w:rsidRPr="00EA4B66" w:rsidRDefault="00497C86" w:rsidP="00497C86">
      <w:pPr>
        <w:spacing w:after="0" w:line="240" w:lineRule="auto"/>
        <w:jc w:val="both"/>
        <w:rPr>
          <w:color w:val="000000" w:themeColor="text1"/>
          <w:lang w:val="en-US"/>
        </w:rPr>
      </w:pPr>
      <w:r w:rsidRPr="00EA4B66">
        <w:rPr>
          <w:color w:val="000000" w:themeColor="text1"/>
          <w:sz w:val="24"/>
          <w:szCs w:val="24"/>
          <w:lang w:val="en-US"/>
        </w:rPr>
        <w:t xml:space="preserve">   </w:t>
      </w:r>
      <w:r w:rsidR="00865D4A" w:rsidRPr="00EA4B66">
        <w:rPr>
          <w:color w:val="000000" w:themeColor="text1"/>
          <w:sz w:val="24"/>
          <w:szCs w:val="24"/>
          <w:lang w:val="en-US"/>
        </w:rPr>
        <w:t xml:space="preserve">The second group is based on an IC </w:t>
      </w:r>
      <w:r w:rsidR="00662819" w:rsidRPr="00EA4B66">
        <w:rPr>
          <w:color w:val="000000" w:themeColor="text1"/>
          <w:sz w:val="24"/>
          <w:szCs w:val="24"/>
          <w:lang w:val="en-US"/>
        </w:rPr>
        <w:t>E</w:t>
      </w:r>
      <w:r w:rsidR="00865D4A" w:rsidRPr="00EA4B66">
        <w:rPr>
          <w:color w:val="000000" w:themeColor="text1"/>
          <w:sz w:val="24"/>
          <w:szCs w:val="24"/>
          <w:lang w:val="en-US"/>
        </w:rPr>
        <w:t>xpense-</w:t>
      </w:r>
      <w:r w:rsidR="00662819" w:rsidRPr="00EA4B66">
        <w:rPr>
          <w:color w:val="000000" w:themeColor="text1"/>
          <w:sz w:val="24"/>
          <w:szCs w:val="24"/>
          <w:lang w:val="en-US"/>
        </w:rPr>
        <w:t>I</w:t>
      </w:r>
      <w:r w:rsidR="00865D4A" w:rsidRPr="00EA4B66">
        <w:rPr>
          <w:color w:val="000000" w:themeColor="text1"/>
          <w:sz w:val="24"/>
          <w:szCs w:val="24"/>
          <w:lang w:val="en-US"/>
        </w:rPr>
        <w:t xml:space="preserve">nvestment </w:t>
      </w:r>
      <w:r w:rsidR="00662819" w:rsidRPr="00EA4B66">
        <w:rPr>
          <w:color w:val="000000" w:themeColor="text1"/>
          <w:sz w:val="24"/>
          <w:szCs w:val="24"/>
          <w:lang w:val="en-US"/>
        </w:rPr>
        <w:t>A</w:t>
      </w:r>
      <w:r w:rsidR="00865D4A" w:rsidRPr="00EA4B66">
        <w:rPr>
          <w:color w:val="000000" w:themeColor="text1"/>
          <w:sz w:val="24"/>
          <w:szCs w:val="24"/>
          <w:lang w:val="en-US"/>
        </w:rPr>
        <w:t xml:space="preserve">pproach (Goebel, 2015) that </w:t>
      </w:r>
      <w:r w:rsidR="00662819" w:rsidRPr="00EA4B66">
        <w:rPr>
          <w:color w:val="000000" w:themeColor="text1"/>
          <w:sz w:val="24"/>
          <w:szCs w:val="24"/>
          <w:lang w:val="en-US"/>
        </w:rPr>
        <w:t xml:space="preserve">classes certain IC-related expenses, as reported in the income statement, </w:t>
      </w:r>
      <w:r w:rsidR="00865D4A" w:rsidRPr="00EA4B66">
        <w:rPr>
          <w:color w:val="000000" w:themeColor="text1"/>
          <w:sz w:val="24"/>
          <w:szCs w:val="24"/>
          <w:lang w:val="en-US"/>
        </w:rPr>
        <w:t xml:space="preserve">as IC investments that generate an excess return on assets, </w:t>
      </w:r>
      <w:r w:rsidR="00662819" w:rsidRPr="00EA4B66">
        <w:rPr>
          <w:color w:val="000000" w:themeColor="text1"/>
          <w:sz w:val="24"/>
          <w:szCs w:val="24"/>
          <w:lang w:val="en-US"/>
        </w:rPr>
        <w:t xml:space="preserve">or </w:t>
      </w:r>
      <w:r w:rsidR="00865D4A" w:rsidRPr="00EA4B66">
        <w:rPr>
          <w:color w:val="000000" w:themeColor="text1"/>
          <w:sz w:val="24"/>
          <w:szCs w:val="24"/>
          <w:lang w:val="en-US"/>
        </w:rPr>
        <w:t>alternatively</w:t>
      </w:r>
      <w:r w:rsidR="00662819" w:rsidRPr="00EA4B66">
        <w:rPr>
          <w:color w:val="000000" w:themeColor="text1"/>
          <w:sz w:val="24"/>
          <w:szCs w:val="24"/>
          <w:lang w:val="en-US"/>
        </w:rPr>
        <w:t>,</w:t>
      </w:r>
      <w:r w:rsidR="00865D4A" w:rsidRPr="00EA4B66">
        <w:rPr>
          <w:color w:val="000000" w:themeColor="text1"/>
          <w:sz w:val="24"/>
          <w:szCs w:val="24"/>
          <w:lang w:val="en-US"/>
        </w:rPr>
        <w:t xml:space="preserve"> “knowledge capital earnings” (Lev</w:t>
      </w:r>
      <w:r w:rsidR="00521986" w:rsidRPr="00EA4B66">
        <w:rPr>
          <w:color w:val="000000" w:themeColor="text1"/>
          <w:sz w:val="24"/>
          <w:szCs w:val="24"/>
          <w:lang w:val="en-US"/>
        </w:rPr>
        <w:t xml:space="preserve"> and Zarowin</w:t>
      </w:r>
      <w:r w:rsidR="00865D4A" w:rsidRPr="00EA4B66">
        <w:rPr>
          <w:color w:val="000000" w:themeColor="text1"/>
          <w:sz w:val="24"/>
          <w:szCs w:val="24"/>
          <w:lang w:val="en-US"/>
        </w:rPr>
        <w:t xml:space="preserve">, 1999). Pulic (1998) </w:t>
      </w:r>
      <w:r w:rsidR="00662819" w:rsidRPr="00EA4B66">
        <w:rPr>
          <w:color w:val="000000" w:themeColor="text1"/>
          <w:sz w:val="24"/>
          <w:szCs w:val="24"/>
          <w:lang w:val="en-US"/>
        </w:rPr>
        <w:t xml:space="preserve">develops </w:t>
      </w:r>
      <w:r w:rsidR="00865D4A" w:rsidRPr="00EA4B66">
        <w:rPr>
          <w:color w:val="000000" w:themeColor="text1"/>
          <w:sz w:val="24"/>
          <w:szCs w:val="24"/>
          <w:lang w:val="en-US"/>
        </w:rPr>
        <w:t xml:space="preserve">a Value Added Intellectual Coefficient (VAIC) which is based on the traditional concept of </w:t>
      </w:r>
      <w:r w:rsidR="00662819" w:rsidRPr="00EA4B66">
        <w:rPr>
          <w:color w:val="000000" w:themeColor="text1"/>
          <w:sz w:val="24"/>
          <w:szCs w:val="24"/>
          <w:lang w:val="en-US"/>
        </w:rPr>
        <w:t xml:space="preserve">the </w:t>
      </w:r>
      <w:r w:rsidR="00865D4A" w:rsidRPr="00EA4B66">
        <w:rPr>
          <w:color w:val="000000" w:themeColor="text1"/>
          <w:sz w:val="24"/>
          <w:szCs w:val="24"/>
          <w:lang w:val="en-US"/>
        </w:rPr>
        <w:t xml:space="preserve">value added resulting from the sum of net income plus personnel expenses. However, </w:t>
      </w:r>
      <w:r w:rsidR="006910C2" w:rsidRPr="00EA4B66">
        <w:rPr>
          <w:color w:val="000000" w:themeColor="text1"/>
          <w:sz w:val="24"/>
          <w:szCs w:val="24"/>
          <w:lang w:val="en-US"/>
        </w:rPr>
        <w:t xml:space="preserve">the </w:t>
      </w:r>
      <w:r w:rsidR="008B71B5" w:rsidRPr="00EA4B66">
        <w:rPr>
          <w:color w:val="000000" w:themeColor="text1"/>
          <w:sz w:val="24"/>
          <w:szCs w:val="24"/>
          <w:lang w:val="en-US"/>
        </w:rPr>
        <w:t>VAIC</w:t>
      </w:r>
      <w:r w:rsidR="00865D4A" w:rsidRPr="00EA4B66">
        <w:rPr>
          <w:color w:val="000000" w:themeColor="text1"/>
          <w:sz w:val="24"/>
          <w:szCs w:val="24"/>
          <w:lang w:val="en-US"/>
        </w:rPr>
        <w:t xml:space="preserve"> </w:t>
      </w:r>
      <w:r w:rsidR="006910C2" w:rsidRPr="00EA4B66">
        <w:rPr>
          <w:color w:val="000000" w:themeColor="text1"/>
          <w:sz w:val="24"/>
          <w:szCs w:val="24"/>
          <w:lang w:val="en-US"/>
        </w:rPr>
        <w:t xml:space="preserve">approach </w:t>
      </w:r>
      <w:r w:rsidR="00865D4A" w:rsidRPr="00EA4B66">
        <w:rPr>
          <w:color w:val="000000" w:themeColor="text1"/>
          <w:sz w:val="24"/>
          <w:szCs w:val="24"/>
          <w:lang w:val="en-US"/>
        </w:rPr>
        <w:t xml:space="preserve">has been criticized </w:t>
      </w:r>
      <w:r w:rsidR="00662819" w:rsidRPr="00EA4B66">
        <w:rPr>
          <w:color w:val="000000" w:themeColor="text1"/>
          <w:sz w:val="24"/>
          <w:szCs w:val="24"/>
          <w:lang w:val="en-US"/>
        </w:rPr>
        <w:t xml:space="preserve">by Goebel (2015) </w:t>
      </w:r>
      <w:r w:rsidR="00093574" w:rsidRPr="00EA4B66">
        <w:rPr>
          <w:color w:val="000000" w:themeColor="text1"/>
          <w:sz w:val="24"/>
          <w:szCs w:val="24"/>
          <w:lang w:val="en-US"/>
        </w:rPr>
        <w:t>for two reasons.</w:t>
      </w:r>
      <w:r w:rsidR="003E579C" w:rsidRPr="00EA4B66">
        <w:rPr>
          <w:color w:val="000000" w:themeColor="text1"/>
          <w:sz w:val="24"/>
          <w:szCs w:val="24"/>
          <w:lang w:val="en-US"/>
        </w:rPr>
        <w:t xml:space="preserve"> </w:t>
      </w:r>
      <w:r w:rsidR="00786B0C" w:rsidRPr="00EA4B66">
        <w:rPr>
          <w:color w:val="000000" w:themeColor="text1"/>
          <w:sz w:val="24"/>
          <w:szCs w:val="24"/>
          <w:lang w:val="en-US"/>
        </w:rPr>
        <w:t>F</w:t>
      </w:r>
      <w:r w:rsidR="003E579C" w:rsidRPr="00EA4B66">
        <w:rPr>
          <w:color w:val="000000" w:themeColor="text1"/>
          <w:sz w:val="24"/>
          <w:szCs w:val="24"/>
          <w:lang w:val="en-US"/>
        </w:rPr>
        <w:t>irst</w:t>
      </w:r>
      <w:r w:rsidR="00786B0C" w:rsidRPr="00EA4B66">
        <w:rPr>
          <w:color w:val="000000" w:themeColor="text1"/>
          <w:sz w:val="24"/>
          <w:szCs w:val="24"/>
          <w:lang w:val="en-US"/>
        </w:rPr>
        <w:t>ly,</w:t>
      </w:r>
      <w:r w:rsidR="006910C2" w:rsidRPr="00EA4B66">
        <w:rPr>
          <w:color w:val="000000" w:themeColor="text1"/>
          <w:sz w:val="24"/>
          <w:szCs w:val="24"/>
          <w:lang w:val="en-US"/>
        </w:rPr>
        <w:t xml:space="preserve"> the </w:t>
      </w:r>
      <w:r w:rsidR="00557498" w:rsidRPr="00EA4B66">
        <w:rPr>
          <w:color w:val="000000" w:themeColor="text1"/>
          <w:sz w:val="24"/>
          <w:szCs w:val="24"/>
          <w:lang w:val="en-US"/>
        </w:rPr>
        <w:t xml:space="preserve">VAIC approach considers </w:t>
      </w:r>
      <w:r w:rsidR="003E579C" w:rsidRPr="00EA4B66">
        <w:rPr>
          <w:color w:val="000000" w:themeColor="text1"/>
          <w:sz w:val="24"/>
          <w:szCs w:val="24"/>
          <w:lang w:val="en-US"/>
        </w:rPr>
        <w:t xml:space="preserve">human capital </w:t>
      </w:r>
      <w:r w:rsidR="00557498" w:rsidRPr="00EA4B66">
        <w:rPr>
          <w:color w:val="000000" w:themeColor="text1"/>
          <w:sz w:val="24"/>
          <w:szCs w:val="24"/>
          <w:lang w:val="en-US"/>
        </w:rPr>
        <w:t xml:space="preserve">(proxied by labour expenses recognized in the income statement) as </w:t>
      </w:r>
      <w:r w:rsidR="003E579C" w:rsidRPr="00EA4B66">
        <w:rPr>
          <w:color w:val="000000" w:themeColor="text1"/>
          <w:sz w:val="24"/>
          <w:szCs w:val="24"/>
          <w:lang w:val="en-US"/>
        </w:rPr>
        <w:t>an investment rather than a cost</w:t>
      </w:r>
      <w:r w:rsidR="00FB10BF" w:rsidRPr="00EA4B66">
        <w:rPr>
          <w:color w:val="000000" w:themeColor="text1"/>
          <w:sz w:val="24"/>
          <w:szCs w:val="24"/>
          <w:lang w:val="en-US"/>
        </w:rPr>
        <w:t>. Secondly,</w:t>
      </w:r>
      <w:r w:rsidR="006910C2" w:rsidRPr="00EA4B66">
        <w:rPr>
          <w:color w:val="000000" w:themeColor="text1"/>
          <w:sz w:val="24"/>
          <w:szCs w:val="24"/>
          <w:lang w:val="en-US"/>
        </w:rPr>
        <w:t xml:space="preserve"> the</w:t>
      </w:r>
      <w:r w:rsidR="00FB10BF" w:rsidRPr="00EA4B66">
        <w:rPr>
          <w:color w:val="000000" w:themeColor="text1"/>
          <w:sz w:val="24"/>
          <w:szCs w:val="24"/>
          <w:lang w:val="en-US"/>
        </w:rPr>
        <w:t xml:space="preserve"> </w:t>
      </w:r>
      <w:r w:rsidR="006351E3" w:rsidRPr="00EA4B66">
        <w:rPr>
          <w:color w:val="000000" w:themeColor="text1"/>
          <w:sz w:val="24"/>
          <w:szCs w:val="24"/>
          <w:lang w:val="en-US"/>
        </w:rPr>
        <w:t>VAIC approach</w:t>
      </w:r>
      <w:r w:rsidR="003E579C" w:rsidRPr="00EA4B66">
        <w:rPr>
          <w:color w:val="000000" w:themeColor="text1"/>
          <w:sz w:val="24"/>
          <w:szCs w:val="24"/>
          <w:lang w:val="en-US"/>
        </w:rPr>
        <w:t xml:space="preserve"> </w:t>
      </w:r>
      <w:r w:rsidR="00991596" w:rsidRPr="00EA4B66">
        <w:rPr>
          <w:color w:val="000000" w:themeColor="text1"/>
          <w:sz w:val="24"/>
          <w:szCs w:val="24"/>
          <w:lang w:val="en-US"/>
        </w:rPr>
        <w:t>relates</w:t>
      </w:r>
      <w:r w:rsidR="006351E3" w:rsidRPr="00EA4B66">
        <w:rPr>
          <w:color w:val="000000" w:themeColor="text1"/>
          <w:sz w:val="24"/>
          <w:szCs w:val="24"/>
          <w:lang w:val="en-US"/>
        </w:rPr>
        <w:t xml:space="preserve"> all </w:t>
      </w:r>
      <w:r w:rsidR="003E579C" w:rsidRPr="00EA4B66">
        <w:rPr>
          <w:color w:val="000000" w:themeColor="text1"/>
          <w:sz w:val="24"/>
          <w:szCs w:val="24"/>
          <w:lang w:val="en-US"/>
        </w:rPr>
        <w:t>operating expenses to IC capital.</w:t>
      </w:r>
      <w:r w:rsidR="00662819" w:rsidRPr="00EA4B66">
        <w:rPr>
          <w:color w:val="000000" w:themeColor="text1"/>
          <w:sz w:val="24"/>
          <w:szCs w:val="24"/>
          <w:lang w:val="en-US"/>
        </w:rPr>
        <w:t xml:space="preserve"> </w:t>
      </w:r>
    </w:p>
    <w:p w14:paraId="618622D9" w14:textId="1D73045F" w:rsidR="00865D4A" w:rsidRPr="00EA4B66" w:rsidRDefault="00497C86" w:rsidP="00497C86">
      <w:pPr>
        <w:spacing w:after="0" w:line="240" w:lineRule="auto"/>
        <w:jc w:val="both"/>
        <w:rPr>
          <w:color w:val="000000" w:themeColor="text1"/>
          <w:lang w:val="en-US"/>
        </w:rPr>
      </w:pPr>
      <w:r w:rsidRPr="00EA4B66">
        <w:rPr>
          <w:color w:val="000000" w:themeColor="text1"/>
          <w:sz w:val="24"/>
          <w:szCs w:val="24"/>
          <w:lang w:val="en-US"/>
        </w:rPr>
        <w:t xml:space="preserve">   </w:t>
      </w:r>
      <w:r w:rsidR="00865D4A" w:rsidRPr="00EA4B66">
        <w:rPr>
          <w:color w:val="000000" w:themeColor="text1"/>
          <w:sz w:val="24"/>
          <w:szCs w:val="24"/>
          <w:lang w:val="en-US"/>
        </w:rPr>
        <w:t xml:space="preserve">The third group </w:t>
      </w:r>
      <w:r w:rsidR="00D96853" w:rsidRPr="00EA4B66">
        <w:rPr>
          <w:color w:val="000000" w:themeColor="text1"/>
          <w:sz w:val="24"/>
          <w:szCs w:val="24"/>
          <w:lang w:val="en-US"/>
        </w:rPr>
        <w:t>constitute</w:t>
      </w:r>
      <w:r w:rsidR="00472985" w:rsidRPr="00EA4B66">
        <w:rPr>
          <w:color w:val="000000" w:themeColor="text1"/>
          <w:sz w:val="24"/>
          <w:szCs w:val="24"/>
          <w:lang w:val="en-US"/>
        </w:rPr>
        <w:t>s</w:t>
      </w:r>
      <w:r w:rsidR="00D96853" w:rsidRPr="00EA4B66">
        <w:rPr>
          <w:color w:val="000000" w:themeColor="text1"/>
          <w:sz w:val="24"/>
          <w:szCs w:val="24"/>
          <w:lang w:val="en-US"/>
        </w:rPr>
        <w:t xml:space="preserve"> </w:t>
      </w:r>
      <w:r w:rsidR="00865D4A" w:rsidRPr="00EA4B66">
        <w:rPr>
          <w:color w:val="000000" w:themeColor="text1"/>
          <w:sz w:val="24"/>
          <w:szCs w:val="24"/>
          <w:lang w:val="en-US"/>
        </w:rPr>
        <w:t xml:space="preserve">an </w:t>
      </w:r>
      <w:r w:rsidR="00D96853" w:rsidRPr="00EA4B66">
        <w:rPr>
          <w:color w:val="000000" w:themeColor="text1"/>
          <w:sz w:val="24"/>
          <w:szCs w:val="24"/>
          <w:lang w:val="en-US"/>
        </w:rPr>
        <w:t>A</w:t>
      </w:r>
      <w:r w:rsidR="00865D4A" w:rsidRPr="00EA4B66">
        <w:rPr>
          <w:color w:val="000000" w:themeColor="text1"/>
          <w:sz w:val="24"/>
          <w:szCs w:val="24"/>
          <w:lang w:val="en-US"/>
        </w:rPr>
        <w:t xml:space="preserve">ggregate </w:t>
      </w:r>
      <w:r w:rsidR="00D96853" w:rsidRPr="00EA4B66">
        <w:rPr>
          <w:color w:val="000000" w:themeColor="text1"/>
          <w:sz w:val="24"/>
          <w:szCs w:val="24"/>
          <w:lang w:val="en-US"/>
        </w:rPr>
        <w:t>C</w:t>
      </w:r>
      <w:r w:rsidR="00865D4A" w:rsidRPr="00EA4B66">
        <w:rPr>
          <w:color w:val="000000" w:themeColor="text1"/>
          <w:sz w:val="24"/>
          <w:szCs w:val="24"/>
          <w:lang w:val="en-US"/>
        </w:rPr>
        <w:t xml:space="preserve">omponents approach which aims to estimate the value of specific individual </w:t>
      </w:r>
      <w:r w:rsidR="00E02B50">
        <w:rPr>
          <w:color w:val="000000" w:themeColor="text1"/>
          <w:sz w:val="24"/>
          <w:szCs w:val="24"/>
          <w:lang w:val="en-US"/>
        </w:rPr>
        <w:t>IA</w:t>
      </w:r>
      <w:r w:rsidR="00865D4A" w:rsidRPr="00EA4B66">
        <w:rPr>
          <w:color w:val="000000" w:themeColor="text1"/>
          <w:sz w:val="24"/>
          <w:szCs w:val="24"/>
          <w:lang w:val="en-US"/>
        </w:rPr>
        <w:t>, and then derive</w:t>
      </w:r>
      <w:r w:rsidR="00A6480E">
        <w:rPr>
          <w:color w:val="000000" w:themeColor="text1"/>
          <w:sz w:val="24"/>
          <w:szCs w:val="24"/>
          <w:lang w:val="en-US"/>
        </w:rPr>
        <w:t>s</w:t>
      </w:r>
      <w:r w:rsidR="00865D4A" w:rsidRPr="00EA4B66">
        <w:rPr>
          <w:color w:val="000000" w:themeColor="text1"/>
          <w:sz w:val="24"/>
          <w:szCs w:val="24"/>
          <w:lang w:val="en-US"/>
        </w:rPr>
        <w:t xml:space="preserve"> the total aggregate value of IC. However, this approach is difficult to implement in practice </w:t>
      </w:r>
      <w:r w:rsidR="00D96853" w:rsidRPr="00EA4B66">
        <w:rPr>
          <w:color w:val="000000" w:themeColor="text1"/>
          <w:sz w:val="24"/>
          <w:szCs w:val="24"/>
          <w:lang w:val="en-US"/>
        </w:rPr>
        <w:t xml:space="preserve">as </w:t>
      </w:r>
      <w:r w:rsidR="00865D4A" w:rsidRPr="00EA4B66">
        <w:rPr>
          <w:color w:val="000000" w:themeColor="text1"/>
          <w:sz w:val="24"/>
          <w:szCs w:val="24"/>
          <w:lang w:val="en-US"/>
        </w:rPr>
        <w:t xml:space="preserve">quantitative information on individual IC components is </w:t>
      </w:r>
      <w:r w:rsidR="00865D4A" w:rsidRPr="00EA4B66">
        <w:rPr>
          <w:color w:val="000000" w:themeColor="text1"/>
          <w:sz w:val="24"/>
          <w:szCs w:val="24"/>
          <w:lang w:val="en-US"/>
        </w:rPr>
        <w:lastRenderedPageBreak/>
        <w:t xml:space="preserve">frequently incomplete or unreliable. Moreover, it ignores the holistic effect of the </w:t>
      </w:r>
      <w:r w:rsidR="00D96853" w:rsidRPr="00EA4B66">
        <w:rPr>
          <w:color w:val="000000" w:themeColor="text1"/>
          <w:sz w:val="24"/>
          <w:szCs w:val="24"/>
          <w:lang w:val="en-US"/>
        </w:rPr>
        <w:t xml:space="preserve">synergistic </w:t>
      </w:r>
      <w:r w:rsidR="00865D4A" w:rsidRPr="00EA4B66">
        <w:rPr>
          <w:color w:val="000000" w:themeColor="text1"/>
          <w:sz w:val="24"/>
          <w:szCs w:val="24"/>
          <w:lang w:val="en-US"/>
        </w:rPr>
        <w:t xml:space="preserve">interaction of IC elements on overall IC value (Mouritsen, 2009). </w:t>
      </w:r>
      <w:r w:rsidR="00D96853" w:rsidRPr="00EA4B66">
        <w:rPr>
          <w:color w:val="000000" w:themeColor="text1"/>
          <w:sz w:val="24"/>
          <w:szCs w:val="24"/>
          <w:lang w:val="en-US"/>
        </w:rPr>
        <w:t xml:space="preserve">Models such as the </w:t>
      </w:r>
      <w:r w:rsidR="00865D4A" w:rsidRPr="00EA4B66">
        <w:rPr>
          <w:color w:val="000000" w:themeColor="text1"/>
          <w:sz w:val="24"/>
          <w:szCs w:val="24"/>
          <w:lang w:val="en-US"/>
        </w:rPr>
        <w:t>IA Valuation</w:t>
      </w:r>
      <w:r w:rsidR="00D96853" w:rsidRPr="00EA4B66">
        <w:rPr>
          <w:color w:val="000000" w:themeColor="text1"/>
          <w:sz w:val="24"/>
          <w:szCs w:val="24"/>
          <w:lang w:val="en-US"/>
        </w:rPr>
        <w:t xml:space="preserve"> approach of</w:t>
      </w:r>
      <w:r w:rsidR="00865D4A" w:rsidRPr="00EA4B66">
        <w:rPr>
          <w:color w:val="000000" w:themeColor="text1"/>
          <w:sz w:val="24"/>
          <w:szCs w:val="24"/>
          <w:lang w:val="en-US"/>
        </w:rPr>
        <w:t xml:space="preserve"> Sullivan</w:t>
      </w:r>
      <w:r w:rsidR="00AF0F2E" w:rsidRPr="00EA4B66">
        <w:rPr>
          <w:color w:val="000000" w:themeColor="text1"/>
          <w:sz w:val="24"/>
          <w:szCs w:val="24"/>
          <w:lang w:val="en-US"/>
        </w:rPr>
        <w:t xml:space="preserve"> </w:t>
      </w:r>
      <w:r w:rsidR="00D96853" w:rsidRPr="00EA4B66">
        <w:rPr>
          <w:color w:val="000000" w:themeColor="text1"/>
          <w:sz w:val="24"/>
          <w:szCs w:val="24"/>
          <w:lang w:val="en-US"/>
        </w:rPr>
        <w:t>(</w:t>
      </w:r>
      <w:r w:rsidR="00865D4A" w:rsidRPr="00EA4B66">
        <w:rPr>
          <w:color w:val="000000" w:themeColor="text1"/>
          <w:sz w:val="24"/>
          <w:szCs w:val="24"/>
          <w:lang w:val="en-US"/>
        </w:rPr>
        <w:t xml:space="preserve">2000) attempt to investigate the contribution of individual </w:t>
      </w:r>
      <w:r w:rsidR="00E02B50">
        <w:rPr>
          <w:color w:val="000000" w:themeColor="text1"/>
          <w:sz w:val="24"/>
          <w:szCs w:val="24"/>
          <w:lang w:val="en-US"/>
        </w:rPr>
        <w:t>IA</w:t>
      </w:r>
      <w:r w:rsidR="00865D4A" w:rsidRPr="00EA4B66">
        <w:rPr>
          <w:color w:val="000000" w:themeColor="text1"/>
          <w:sz w:val="24"/>
          <w:szCs w:val="24"/>
          <w:lang w:val="en-US"/>
        </w:rPr>
        <w:t xml:space="preserve"> to a company’s market value. The Market Valuation Model of Pantzalis and Park (2009)</w:t>
      </w:r>
      <w:r w:rsidR="00623BD4" w:rsidRPr="00EA4B66">
        <w:rPr>
          <w:color w:val="000000" w:themeColor="text1"/>
          <w:sz w:val="24"/>
          <w:szCs w:val="24"/>
          <w:lang w:val="en-US"/>
        </w:rPr>
        <w:t xml:space="preserve"> </w:t>
      </w:r>
      <w:r w:rsidR="00865D4A" w:rsidRPr="00EA4B66">
        <w:rPr>
          <w:color w:val="000000" w:themeColor="text1"/>
          <w:sz w:val="24"/>
          <w:szCs w:val="24"/>
          <w:lang w:val="en-US"/>
        </w:rPr>
        <w:t>relate</w:t>
      </w:r>
      <w:r w:rsidR="00623BD4" w:rsidRPr="00EA4B66">
        <w:rPr>
          <w:color w:val="000000" w:themeColor="text1"/>
          <w:sz w:val="24"/>
          <w:szCs w:val="24"/>
          <w:lang w:val="en-US"/>
        </w:rPr>
        <w:t>s</w:t>
      </w:r>
      <w:r w:rsidR="00865D4A" w:rsidRPr="00EA4B66">
        <w:rPr>
          <w:color w:val="000000" w:themeColor="text1"/>
          <w:sz w:val="24"/>
          <w:szCs w:val="24"/>
          <w:lang w:val="en-US"/>
        </w:rPr>
        <w:t xml:space="preserve"> human capital</w:t>
      </w:r>
      <w:r w:rsidR="00623BD4" w:rsidRPr="00EA4B66">
        <w:rPr>
          <w:color w:val="000000" w:themeColor="text1"/>
          <w:sz w:val="24"/>
          <w:szCs w:val="24"/>
          <w:lang w:val="en-US"/>
        </w:rPr>
        <w:t xml:space="preserve">, </w:t>
      </w:r>
      <w:r w:rsidR="00865D4A" w:rsidRPr="00EA4B66">
        <w:rPr>
          <w:color w:val="000000" w:themeColor="text1"/>
          <w:sz w:val="24"/>
          <w:szCs w:val="24"/>
          <w:lang w:val="en-US"/>
        </w:rPr>
        <w:t>measured as the ratio of total firm employees to total industry employees</w:t>
      </w:r>
      <w:r w:rsidR="00623BD4" w:rsidRPr="00EA4B66">
        <w:rPr>
          <w:color w:val="000000" w:themeColor="text1"/>
          <w:sz w:val="24"/>
          <w:szCs w:val="24"/>
          <w:lang w:val="en-US"/>
        </w:rPr>
        <w:t>,</w:t>
      </w:r>
      <w:r w:rsidR="00865D4A" w:rsidRPr="00EA4B66">
        <w:rPr>
          <w:color w:val="000000" w:themeColor="text1"/>
          <w:sz w:val="24"/>
          <w:szCs w:val="24"/>
          <w:lang w:val="en-US"/>
        </w:rPr>
        <w:t xml:space="preserve"> to market value. However, among other limitations, the</w:t>
      </w:r>
      <w:r w:rsidR="00623BD4" w:rsidRPr="00EA4B66">
        <w:rPr>
          <w:color w:val="000000" w:themeColor="text1"/>
          <w:sz w:val="24"/>
          <w:szCs w:val="24"/>
          <w:lang w:val="en-US"/>
        </w:rPr>
        <w:t>ir</w:t>
      </w:r>
      <w:r w:rsidR="00865D4A" w:rsidRPr="00EA4B66">
        <w:rPr>
          <w:color w:val="000000" w:themeColor="text1"/>
          <w:sz w:val="24"/>
          <w:szCs w:val="24"/>
          <w:lang w:val="en-US"/>
        </w:rPr>
        <w:t xml:space="preserve"> model does not consider two critical components of human capital,</w:t>
      </w:r>
      <w:r w:rsidR="00623BD4" w:rsidRPr="00EA4B66">
        <w:rPr>
          <w:color w:val="000000" w:themeColor="text1"/>
          <w:sz w:val="24"/>
          <w:szCs w:val="24"/>
          <w:lang w:val="en-US"/>
        </w:rPr>
        <w:t xml:space="preserve"> that is,</w:t>
      </w:r>
      <w:r w:rsidR="00865D4A" w:rsidRPr="00EA4B66">
        <w:rPr>
          <w:color w:val="000000" w:themeColor="text1"/>
          <w:sz w:val="24"/>
          <w:szCs w:val="24"/>
          <w:lang w:val="en-US"/>
        </w:rPr>
        <w:t xml:space="preserve"> investment in the training and education of employees. </w:t>
      </w:r>
      <w:r w:rsidR="00623BD4" w:rsidRPr="00EA4B66">
        <w:rPr>
          <w:color w:val="000000" w:themeColor="text1"/>
          <w:sz w:val="24"/>
          <w:szCs w:val="24"/>
          <w:lang w:val="en-US"/>
        </w:rPr>
        <w:t xml:space="preserve">In an Italian study of Human Capital valuation models, </w:t>
      </w:r>
      <w:r w:rsidR="00865D4A" w:rsidRPr="00EA4B66">
        <w:rPr>
          <w:color w:val="000000" w:themeColor="text1"/>
          <w:sz w:val="24"/>
          <w:szCs w:val="24"/>
          <w:lang w:val="en-US"/>
        </w:rPr>
        <w:t xml:space="preserve">Zanda </w:t>
      </w:r>
      <w:r w:rsidR="00865D4A" w:rsidRPr="00EA4B66">
        <w:rPr>
          <w:i/>
          <w:color w:val="000000" w:themeColor="text1"/>
          <w:sz w:val="24"/>
          <w:szCs w:val="24"/>
          <w:lang w:val="en-US"/>
        </w:rPr>
        <w:t>et al</w:t>
      </w:r>
      <w:r w:rsidR="00865D4A" w:rsidRPr="00EA4B66">
        <w:rPr>
          <w:color w:val="000000" w:themeColor="text1"/>
          <w:sz w:val="24"/>
          <w:szCs w:val="24"/>
          <w:lang w:val="en-US"/>
        </w:rPr>
        <w:t xml:space="preserve">. (1993) measure the capitalization of costs relating to training and education, as well as extraordinary losses incurred if trained employees leave </w:t>
      </w:r>
      <w:r w:rsidR="00623BD4" w:rsidRPr="00EA4B66">
        <w:rPr>
          <w:color w:val="000000" w:themeColor="text1"/>
          <w:sz w:val="24"/>
          <w:szCs w:val="24"/>
          <w:lang w:val="en-US"/>
        </w:rPr>
        <w:t xml:space="preserve">a </w:t>
      </w:r>
      <w:r w:rsidR="00865D4A" w:rsidRPr="00EA4B66">
        <w:rPr>
          <w:color w:val="000000" w:themeColor="text1"/>
          <w:sz w:val="24"/>
          <w:szCs w:val="24"/>
          <w:lang w:val="en-US"/>
        </w:rPr>
        <w:t xml:space="preserve">firm. </w:t>
      </w:r>
      <w:r w:rsidR="00623BD4" w:rsidRPr="00EA4B66">
        <w:rPr>
          <w:color w:val="000000" w:themeColor="text1"/>
          <w:sz w:val="24"/>
          <w:szCs w:val="24"/>
          <w:lang w:val="en-US"/>
        </w:rPr>
        <w:t xml:space="preserve">Further </w:t>
      </w:r>
      <w:r w:rsidR="00865D4A" w:rsidRPr="00EA4B66">
        <w:rPr>
          <w:color w:val="000000" w:themeColor="text1"/>
          <w:sz w:val="24"/>
          <w:szCs w:val="24"/>
          <w:lang w:val="en-US"/>
        </w:rPr>
        <w:t xml:space="preserve">models based on direct estimates of individual </w:t>
      </w:r>
      <w:r w:rsidR="00E02B50">
        <w:rPr>
          <w:color w:val="000000" w:themeColor="text1"/>
          <w:sz w:val="24"/>
          <w:szCs w:val="24"/>
          <w:lang w:val="en-US"/>
        </w:rPr>
        <w:t>IA</w:t>
      </w:r>
      <w:r w:rsidR="00865D4A" w:rsidRPr="00EA4B66">
        <w:rPr>
          <w:color w:val="000000" w:themeColor="text1"/>
          <w:sz w:val="24"/>
          <w:szCs w:val="24"/>
          <w:lang w:val="en-US"/>
        </w:rPr>
        <w:t xml:space="preserve"> include the following</w:t>
      </w:r>
      <w:r w:rsidR="00623BD4" w:rsidRPr="00EA4B66">
        <w:rPr>
          <w:color w:val="000000" w:themeColor="text1"/>
          <w:sz w:val="24"/>
          <w:szCs w:val="24"/>
          <w:lang w:val="en-US"/>
        </w:rPr>
        <w:t xml:space="preserve"> approaches</w:t>
      </w:r>
      <w:r w:rsidR="00865D4A" w:rsidRPr="00EA4B66">
        <w:rPr>
          <w:color w:val="000000" w:themeColor="text1"/>
          <w:sz w:val="24"/>
          <w:szCs w:val="24"/>
          <w:lang w:val="en-US"/>
        </w:rPr>
        <w:t>: Technology Broker (Brooking, 1996); Citation-Weighted Patents (Bontis, 1998); Inclusive Valuation Methodology (McPherson, 1998); The Value Explorer (Andriessen and Tiessen, 2000</w:t>
      </w:r>
      <w:r w:rsidR="00204CB8">
        <w:rPr>
          <w:color w:val="000000" w:themeColor="text1"/>
          <w:sz w:val="24"/>
          <w:szCs w:val="24"/>
          <w:lang w:val="en-US"/>
        </w:rPr>
        <w:t>); Total Value Creation (Anderse</w:t>
      </w:r>
      <w:r w:rsidR="00865D4A" w:rsidRPr="00EA4B66">
        <w:rPr>
          <w:color w:val="000000" w:themeColor="text1"/>
          <w:sz w:val="24"/>
          <w:szCs w:val="24"/>
          <w:lang w:val="en-US"/>
        </w:rPr>
        <w:t>n and McLean, 2000); and Accounting For The Future (Nash, 1998).</w:t>
      </w:r>
    </w:p>
    <w:p w14:paraId="5E7A4DAD" w14:textId="20F43117" w:rsidR="00355E9D" w:rsidRPr="00EA4B66" w:rsidRDefault="00497C86" w:rsidP="00497C86">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865D4A" w:rsidRPr="00EA4B66">
        <w:rPr>
          <w:color w:val="000000" w:themeColor="text1"/>
          <w:sz w:val="24"/>
          <w:szCs w:val="24"/>
          <w:lang w:val="en-US"/>
        </w:rPr>
        <w:t>The final group focus</w:t>
      </w:r>
      <w:r w:rsidR="00DD5C84" w:rsidRPr="00EA4B66">
        <w:rPr>
          <w:color w:val="000000" w:themeColor="text1"/>
          <w:sz w:val="24"/>
          <w:szCs w:val="24"/>
          <w:lang w:val="en-US"/>
        </w:rPr>
        <w:t>es</w:t>
      </w:r>
      <w:r w:rsidR="00865D4A" w:rsidRPr="00EA4B66">
        <w:rPr>
          <w:color w:val="000000" w:themeColor="text1"/>
          <w:sz w:val="24"/>
          <w:szCs w:val="24"/>
          <w:lang w:val="en-US"/>
        </w:rPr>
        <w:t xml:space="preserve"> on a </w:t>
      </w:r>
      <w:r w:rsidR="0046565A">
        <w:rPr>
          <w:color w:val="000000" w:themeColor="text1"/>
          <w:sz w:val="24"/>
          <w:szCs w:val="24"/>
          <w:lang w:val="en-US"/>
        </w:rPr>
        <w:t>MCA</w:t>
      </w:r>
      <w:r w:rsidR="00392E9F">
        <w:rPr>
          <w:color w:val="000000" w:themeColor="text1"/>
          <w:sz w:val="24"/>
          <w:szCs w:val="24"/>
          <w:lang w:val="en-US"/>
        </w:rPr>
        <w:t xml:space="preserve"> </w:t>
      </w:r>
      <w:r w:rsidR="00865D4A" w:rsidRPr="00EA4B66">
        <w:rPr>
          <w:color w:val="000000" w:themeColor="text1"/>
          <w:sz w:val="24"/>
          <w:szCs w:val="24"/>
          <w:lang w:val="en-US"/>
        </w:rPr>
        <w:t xml:space="preserve">which </w:t>
      </w:r>
      <w:r w:rsidR="00483153" w:rsidRPr="00EA4B66">
        <w:rPr>
          <w:color w:val="000000" w:themeColor="text1"/>
          <w:sz w:val="24"/>
          <w:szCs w:val="24"/>
          <w:lang w:val="en-US"/>
        </w:rPr>
        <w:t>takes into account</w:t>
      </w:r>
      <w:r w:rsidR="00865D4A" w:rsidRPr="00EA4B66">
        <w:rPr>
          <w:color w:val="000000" w:themeColor="text1"/>
          <w:sz w:val="24"/>
          <w:szCs w:val="24"/>
          <w:lang w:val="en-US"/>
        </w:rPr>
        <w:t xml:space="preserve"> the holistic effects of interactions between IC components which typically generate an overall value greater than the aggregate value of the individual estimates (Van der Meer-Kooistra and Zijlstra, 2001). Th</w:t>
      </w:r>
      <w:r w:rsidR="00483153" w:rsidRPr="00EA4B66">
        <w:rPr>
          <w:color w:val="000000" w:themeColor="text1"/>
          <w:sz w:val="24"/>
          <w:szCs w:val="24"/>
          <w:lang w:val="en-US"/>
        </w:rPr>
        <w:t>is</w:t>
      </w:r>
      <w:r w:rsidR="00865D4A" w:rsidRPr="00EA4B66">
        <w:rPr>
          <w:color w:val="000000" w:themeColor="text1"/>
          <w:sz w:val="24"/>
          <w:szCs w:val="24"/>
          <w:lang w:val="en-US"/>
        </w:rPr>
        <w:t xml:space="preserve"> approach measures the value of a company’s intellectual capital as the difference between the company’s market capitalization and its book value. </w:t>
      </w:r>
      <w:r w:rsidR="00483153" w:rsidRPr="00EA4B66">
        <w:rPr>
          <w:color w:val="000000" w:themeColor="text1"/>
          <w:sz w:val="24"/>
          <w:szCs w:val="24"/>
          <w:lang w:val="en-US"/>
        </w:rPr>
        <w:t>Thus</w:t>
      </w:r>
      <w:r w:rsidR="00865D4A" w:rsidRPr="00EA4B66">
        <w:rPr>
          <w:color w:val="000000" w:themeColor="text1"/>
          <w:sz w:val="24"/>
          <w:szCs w:val="24"/>
          <w:lang w:val="en-US"/>
        </w:rPr>
        <w:t xml:space="preserve">, a positive IC value </w:t>
      </w:r>
      <w:r w:rsidR="00483153" w:rsidRPr="00EA4B66">
        <w:rPr>
          <w:color w:val="000000" w:themeColor="text1"/>
          <w:sz w:val="24"/>
          <w:szCs w:val="24"/>
          <w:lang w:val="en-US"/>
        </w:rPr>
        <w:t xml:space="preserve">is generated by a firm </w:t>
      </w:r>
      <w:r w:rsidR="00865D4A" w:rsidRPr="00EA4B66">
        <w:rPr>
          <w:color w:val="000000" w:themeColor="text1"/>
          <w:sz w:val="24"/>
          <w:szCs w:val="24"/>
          <w:lang w:val="en-US"/>
        </w:rPr>
        <w:t xml:space="preserve">where </w:t>
      </w:r>
      <w:r w:rsidR="00483153" w:rsidRPr="00EA4B66">
        <w:rPr>
          <w:color w:val="000000" w:themeColor="text1"/>
          <w:sz w:val="24"/>
          <w:szCs w:val="24"/>
          <w:lang w:val="en-US"/>
        </w:rPr>
        <w:t xml:space="preserve">its </w:t>
      </w:r>
      <w:r w:rsidR="009D6726">
        <w:rPr>
          <w:color w:val="000000" w:themeColor="text1"/>
          <w:sz w:val="24"/>
          <w:szCs w:val="24"/>
          <w:lang w:val="en-US"/>
        </w:rPr>
        <w:t>MTB</w:t>
      </w:r>
      <w:r w:rsidR="00865D4A" w:rsidRPr="00EA4B66">
        <w:rPr>
          <w:color w:val="000000" w:themeColor="text1"/>
          <w:sz w:val="24"/>
          <w:szCs w:val="24"/>
          <w:lang w:val="en-US"/>
        </w:rPr>
        <w:t xml:space="preserve"> ratio </w:t>
      </w:r>
      <w:r w:rsidR="00483153" w:rsidRPr="00EA4B66">
        <w:rPr>
          <w:color w:val="000000" w:themeColor="text1"/>
          <w:sz w:val="24"/>
          <w:szCs w:val="24"/>
          <w:lang w:val="en-US"/>
        </w:rPr>
        <w:t>exceeds</w:t>
      </w:r>
      <w:r w:rsidR="00865D4A" w:rsidRPr="00EA4B66">
        <w:rPr>
          <w:color w:val="000000" w:themeColor="text1"/>
          <w:sz w:val="24"/>
          <w:szCs w:val="24"/>
          <w:lang w:val="en-US"/>
        </w:rPr>
        <w:t xml:space="preserve"> unity (Stewart, 1997; Luthy, 1998).</w:t>
      </w:r>
      <w:r w:rsidR="00483153" w:rsidRPr="00EA4B66">
        <w:rPr>
          <w:color w:val="000000" w:themeColor="text1"/>
          <w:sz w:val="24"/>
          <w:szCs w:val="24"/>
          <w:lang w:val="en-US"/>
        </w:rPr>
        <w:t xml:space="preserve"> </w:t>
      </w:r>
      <w:r w:rsidR="00A61493" w:rsidRPr="00EA4B66">
        <w:rPr>
          <w:color w:val="000000" w:themeColor="text1"/>
          <w:sz w:val="24"/>
          <w:szCs w:val="24"/>
          <w:lang w:val="en-US"/>
        </w:rPr>
        <w:t>The excess of market capitalization over book value</w:t>
      </w:r>
      <w:r w:rsidR="00483153" w:rsidRPr="00EA4B66">
        <w:rPr>
          <w:color w:val="000000" w:themeColor="text1"/>
          <w:sz w:val="24"/>
          <w:szCs w:val="24"/>
          <w:lang w:val="en-US"/>
        </w:rPr>
        <w:t>,</w:t>
      </w:r>
      <w:r w:rsidR="00A61493" w:rsidRPr="00EA4B66">
        <w:rPr>
          <w:color w:val="000000" w:themeColor="text1"/>
          <w:sz w:val="24"/>
          <w:szCs w:val="24"/>
          <w:lang w:val="en-US"/>
        </w:rPr>
        <w:t xml:space="preserve"> generated by information sets far wider than the accounting system</w:t>
      </w:r>
      <w:r w:rsidR="00EA24E4" w:rsidRPr="00EA4B66">
        <w:rPr>
          <w:color w:val="000000" w:themeColor="text1"/>
          <w:sz w:val="24"/>
          <w:szCs w:val="24"/>
          <w:lang w:val="en-US"/>
        </w:rPr>
        <w:t>,</w:t>
      </w:r>
      <w:r w:rsidR="00A61493" w:rsidRPr="00EA4B66">
        <w:rPr>
          <w:color w:val="000000" w:themeColor="text1"/>
          <w:sz w:val="24"/>
          <w:szCs w:val="24"/>
          <w:lang w:val="en-US"/>
        </w:rPr>
        <w:t xml:space="preserve"> measures th</w:t>
      </w:r>
      <w:r w:rsidR="00483153" w:rsidRPr="00EA4B66">
        <w:rPr>
          <w:color w:val="000000" w:themeColor="text1"/>
          <w:sz w:val="24"/>
          <w:szCs w:val="24"/>
          <w:lang w:val="en-US"/>
        </w:rPr>
        <w:t>at</w:t>
      </w:r>
      <w:r w:rsidR="00A61493" w:rsidRPr="00EA4B66">
        <w:rPr>
          <w:color w:val="000000" w:themeColor="text1"/>
          <w:sz w:val="24"/>
          <w:szCs w:val="24"/>
          <w:lang w:val="en-US"/>
        </w:rPr>
        <w:t xml:space="preserve"> ‘covered’ portion of IC not currently represented in reported assets or expenses, at the least to the extent that can be incorporated in market expectations. </w:t>
      </w:r>
    </w:p>
    <w:p w14:paraId="2BDCB011" w14:textId="22BEF6B5" w:rsidR="001075CB" w:rsidRPr="00EA4B66" w:rsidRDefault="00497C86" w:rsidP="00497C86">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483153" w:rsidRPr="00EA4B66">
        <w:rPr>
          <w:color w:val="000000" w:themeColor="text1"/>
          <w:sz w:val="24"/>
          <w:szCs w:val="24"/>
          <w:lang w:val="en-US"/>
        </w:rPr>
        <w:t>Consistent with recent studies such as</w:t>
      </w:r>
      <w:r w:rsidR="00191D30" w:rsidRPr="00EA4B66">
        <w:rPr>
          <w:color w:val="000000" w:themeColor="text1"/>
          <w:sz w:val="24"/>
          <w:szCs w:val="24"/>
          <w:lang w:val="en-US"/>
        </w:rPr>
        <w:t xml:space="preserve"> Brennan </w:t>
      </w:r>
      <w:r w:rsidR="00483153" w:rsidRPr="00EA4B66">
        <w:rPr>
          <w:color w:val="000000" w:themeColor="text1"/>
          <w:sz w:val="24"/>
          <w:szCs w:val="24"/>
          <w:lang w:val="en-US"/>
        </w:rPr>
        <w:t>(</w:t>
      </w:r>
      <w:r w:rsidR="00191D30" w:rsidRPr="00EA4B66">
        <w:rPr>
          <w:color w:val="000000" w:themeColor="text1"/>
          <w:sz w:val="24"/>
          <w:szCs w:val="24"/>
          <w:lang w:val="en-US"/>
        </w:rPr>
        <w:t>2001</w:t>
      </w:r>
      <w:r w:rsidR="00483153" w:rsidRPr="00EA4B66">
        <w:rPr>
          <w:color w:val="000000" w:themeColor="text1"/>
          <w:sz w:val="24"/>
          <w:szCs w:val="24"/>
          <w:lang w:val="en-US"/>
        </w:rPr>
        <w:t>),</w:t>
      </w:r>
      <w:r w:rsidR="00191D30" w:rsidRPr="00EA4B66">
        <w:rPr>
          <w:color w:val="000000" w:themeColor="text1"/>
          <w:sz w:val="24"/>
          <w:szCs w:val="24"/>
          <w:lang w:val="en-US"/>
        </w:rPr>
        <w:t xml:space="preserve"> Bramhandkar </w:t>
      </w:r>
      <w:r w:rsidR="00191D30" w:rsidRPr="00EA4B66">
        <w:rPr>
          <w:i/>
          <w:color w:val="000000" w:themeColor="text1"/>
          <w:sz w:val="24"/>
          <w:szCs w:val="24"/>
          <w:lang w:val="en-US"/>
        </w:rPr>
        <w:t>et al</w:t>
      </w:r>
      <w:r w:rsidR="00A622A8" w:rsidRPr="00EA4B66">
        <w:rPr>
          <w:color w:val="000000" w:themeColor="text1"/>
          <w:sz w:val="24"/>
          <w:szCs w:val="24"/>
          <w:lang w:val="en-US"/>
        </w:rPr>
        <w:t xml:space="preserve">. </w:t>
      </w:r>
      <w:r w:rsidR="00483153" w:rsidRPr="00EA4B66">
        <w:rPr>
          <w:color w:val="000000" w:themeColor="text1"/>
          <w:sz w:val="24"/>
          <w:szCs w:val="24"/>
          <w:lang w:val="en-US"/>
        </w:rPr>
        <w:t>(</w:t>
      </w:r>
      <w:r w:rsidR="00A622A8" w:rsidRPr="00EA4B66">
        <w:rPr>
          <w:color w:val="000000" w:themeColor="text1"/>
          <w:sz w:val="24"/>
          <w:szCs w:val="24"/>
          <w:lang w:val="en-US"/>
        </w:rPr>
        <w:t>2007</w:t>
      </w:r>
      <w:r w:rsidR="00483153" w:rsidRPr="00EA4B66">
        <w:rPr>
          <w:color w:val="000000" w:themeColor="text1"/>
          <w:sz w:val="24"/>
          <w:szCs w:val="24"/>
          <w:lang w:val="en-US"/>
        </w:rPr>
        <w:t>),</w:t>
      </w:r>
      <w:r w:rsidR="00191D30" w:rsidRPr="00EA4B66">
        <w:rPr>
          <w:color w:val="000000" w:themeColor="text1"/>
          <w:sz w:val="24"/>
          <w:szCs w:val="24"/>
          <w:lang w:val="en-US"/>
        </w:rPr>
        <w:t xml:space="preserve"> Whiting and Miller </w:t>
      </w:r>
      <w:r w:rsidR="00483153" w:rsidRPr="00EA4B66">
        <w:rPr>
          <w:color w:val="000000" w:themeColor="text1"/>
          <w:sz w:val="24"/>
          <w:szCs w:val="24"/>
          <w:lang w:val="en-US"/>
        </w:rPr>
        <w:t>(</w:t>
      </w:r>
      <w:r w:rsidR="00191D30" w:rsidRPr="00EA4B66">
        <w:rPr>
          <w:color w:val="000000" w:themeColor="text1"/>
          <w:sz w:val="24"/>
          <w:szCs w:val="24"/>
          <w:lang w:val="en-US"/>
        </w:rPr>
        <w:t>2008</w:t>
      </w:r>
      <w:r w:rsidR="00483153" w:rsidRPr="00EA4B66">
        <w:rPr>
          <w:color w:val="000000" w:themeColor="text1"/>
          <w:sz w:val="24"/>
          <w:szCs w:val="24"/>
          <w:lang w:val="en-US"/>
        </w:rPr>
        <w:t>), and</w:t>
      </w:r>
      <w:r w:rsidR="00191D30" w:rsidRPr="00EA4B66">
        <w:rPr>
          <w:color w:val="000000" w:themeColor="text1"/>
          <w:sz w:val="24"/>
          <w:szCs w:val="24"/>
          <w:lang w:val="en-US"/>
        </w:rPr>
        <w:t xml:space="preserve"> Lal Bhasin </w:t>
      </w:r>
      <w:r w:rsidR="00483153" w:rsidRPr="00EA4B66">
        <w:rPr>
          <w:color w:val="000000" w:themeColor="text1"/>
          <w:sz w:val="24"/>
          <w:szCs w:val="24"/>
          <w:lang w:val="en-US"/>
        </w:rPr>
        <w:t>(</w:t>
      </w:r>
      <w:r w:rsidR="00191D30" w:rsidRPr="00EA4B66">
        <w:rPr>
          <w:color w:val="000000" w:themeColor="text1"/>
          <w:sz w:val="24"/>
          <w:szCs w:val="24"/>
          <w:lang w:val="en-US"/>
        </w:rPr>
        <w:t>2012</w:t>
      </w:r>
      <w:r w:rsidR="001075CB" w:rsidRPr="00EA4B66">
        <w:rPr>
          <w:color w:val="000000" w:themeColor="text1"/>
          <w:sz w:val="24"/>
          <w:szCs w:val="24"/>
          <w:lang w:val="en-US"/>
        </w:rPr>
        <w:t>)</w:t>
      </w:r>
      <w:r w:rsidR="00483153" w:rsidRPr="00EA4B66">
        <w:rPr>
          <w:color w:val="000000" w:themeColor="text1"/>
          <w:sz w:val="24"/>
          <w:szCs w:val="24"/>
          <w:lang w:val="en-US"/>
        </w:rPr>
        <w:t>,</w:t>
      </w:r>
      <w:r w:rsidR="001075CB" w:rsidRPr="00EA4B66">
        <w:rPr>
          <w:color w:val="000000" w:themeColor="text1"/>
          <w:sz w:val="24"/>
          <w:szCs w:val="24"/>
          <w:lang w:val="en-US"/>
        </w:rPr>
        <w:t xml:space="preserve"> </w:t>
      </w:r>
      <w:r w:rsidR="00B86049" w:rsidRPr="00EA4B66">
        <w:rPr>
          <w:color w:val="000000" w:themeColor="text1"/>
          <w:sz w:val="24"/>
          <w:szCs w:val="24"/>
          <w:lang w:val="en-US"/>
        </w:rPr>
        <w:t xml:space="preserve">in this </w:t>
      </w:r>
      <w:r w:rsidR="00483153" w:rsidRPr="00EA4B66">
        <w:rPr>
          <w:color w:val="000000" w:themeColor="text1"/>
          <w:sz w:val="24"/>
          <w:szCs w:val="24"/>
          <w:lang w:val="en-US"/>
        </w:rPr>
        <w:t>paper</w:t>
      </w:r>
      <w:r w:rsidR="001075CB" w:rsidRPr="00EA4B66">
        <w:rPr>
          <w:color w:val="000000" w:themeColor="text1"/>
          <w:sz w:val="24"/>
          <w:szCs w:val="24"/>
          <w:lang w:val="en-US"/>
        </w:rPr>
        <w:t xml:space="preserve"> </w:t>
      </w:r>
      <w:r w:rsidR="00B86049" w:rsidRPr="00EA4B66">
        <w:rPr>
          <w:color w:val="000000" w:themeColor="text1"/>
          <w:sz w:val="24"/>
          <w:szCs w:val="24"/>
          <w:lang w:val="en-US"/>
        </w:rPr>
        <w:t xml:space="preserve">the authors </w:t>
      </w:r>
      <w:r w:rsidR="001075CB" w:rsidRPr="00EA4B66">
        <w:rPr>
          <w:color w:val="000000" w:themeColor="text1"/>
          <w:sz w:val="24"/>
          <w:szCs w:val="24"/>
          <w:lang w:val="en-US"/>
        </w:rPr>
        <w:t xml:space="preserve">adopt the </w:t>
      </w:r>
      <w:r w:rsidR="005074C2" w:rsidRPr="00EA4B66">
        <w:rPr>
          <w:color w:val="000000" w:themeColor="text1"/>
          <w:sz w:val="24"/>
          <w:szCs w:val="24"/>
          <w:lang w:val="en-US"/>
        </w:rPr>
        <w:t>MCA</w:t>
      </w:r>
      <w:r w:rsidR="00524D22" w:rsidRPr="00EA4B66">
        <w:rPr>
          <w:color w:val="000000" w:themeColor="text1"/>
          <w:sz w:val="24"/>
          <w:szCs w:val="24"/>
          <w:lang w:val="en-US"/>
        </w:rPr>
        <w:t>, focusing</w:t>
      </w:r>
      <w:r w:rsidR="005074C2" w:rsidRPr="00EA4B66">
        <w:rPr>
          <w:color w:val="000000" w:themeColor="text1"/>
          <w:sz w:val="24"/>
          <w:szCs w:val="24"/>
          <w:lang w:val="en-US"/>
        </w:rPr>
        <w:t xml:space="preserve"> </w:t>
      </w:r>
      <w:r w:rsidR="00DC55D8" w:rsidRPr="00EA4B66">
        <w:rPr>
          <w:color w:val="000000" w:themeColor="text1"/>
          <w:sz w:val="24"/>
          <w:szCs w:val="24"/>
          <w:lang w:val="en-US"/>
        </w:rPr>
        <w:t xml:space="preserve">on </w:t>
      </w:r>
      <w:r w:rsidR="00524D22" w:rsidRPr="00EA4B66">
        <w:rPr>
          <w:color w:val="000000" w:themeColor="text1"/>
          <w:sz w:val="24"/>
          <w:szCs w:val="24"/>
          <w:lang w:val="en-US"/>
        </w:rPr>
        <w:t>the MTB</w:t>
      </w:r>
      <w:r w:rsidR="00DC55D8" w:rsidRPr="00EA4B66">
        <w:rPr>
          <w:color w:val="000000" w:themeColor="text1"/>
          <w:sz w:val="24"/>
          <w:szCs w:val="24"/>
          <w:lang w:val="en-US"/>
        </w:rPr>
        <w:t xml:space="preserve"> ratio</w:t>
      </w:r>
      <w:r w:rsidR="001075CB" w:rsidRPr="00EA4B66">
        <w:rPr>
          <w:color w:val="000000" w:themeColor="text1"/>
          <w:sz w:val="24"/>
          <w:szCs w:val="24"/>
          <w:lang w:val="en-US"/>
        </w:rPr>
        <w:t xml:space="preserve"> in order to fill </w:t>
      </w:r>
      <w:r w:rsidR="00524D22" w:rsidRPr="00EA4B66">
        <w:rPr>
          <w:color w:val="000000" w:themeColor="text1"/>
          <w:sz w:val="24"/>
          <w:szCs w:val="24"/>
          <w:lang w:val="en-US"/>
        </w:rPr>
        <w:t xml:space="preserve">an important </w:t>
      </w:r>
      <w:r w:rsidR="001075CB" w:rsidRPr="00EA4B66">
        <w:rPr>
          <w:color w:val="000000" w:themeColor="text1"/>
          <w:sz w:val="24"/>
          <w:szCs w:val="24"/>
          <w:lang w:val="en-US"/>
        </w:rPr>
        <w:t xml:space="preserve">gap in </w:t>
      </w:r>
      <w:r w:rsidR="00524D22" w:rsidRPr="00EA4B66">
        <w:rPr>
          <w:color w:val="000000" w:themeColor="text1"/>
          <w:sz w:val="24"/>
          <w:szCs w:val="24"/>
          <w:lang w:val="en-US"/>
        </w:rPr>
        <w:t xml:space="preserve">the existing </w:t>
      </w:r>
      <w:r w:rsidR="001075CB" w:rsidRPr="00EA4B66">
        <w:rPr>
          <w:color w:val="000000" w:themeColor="text1"/>
          <w:sz w:val="24"/>
          <w:szCs w:val="24"/>
          <w:lang w:val="en-US"/>
        </w:rPr>
        <w:t xml:space="preserve">accounting literature regarding the measurement and determinants </w:t>
      </w:r>
      <w:r w:rsidR="00524D22" w:rsidRPr="00EA4B66">
        <w:rPr>
          <w:color w:val="000000" w:themeColor="text1"/>
          <w:sz w:val="24"/>
          <w:szCs w:val="24"/>
          <w:lang w:val="en-US"/>
        </w:rPr>
        <w:t xml:space="preserve">of IC </w:t>
      </w:r>
      <w:r w:rsidR="00716CF7" w:rsidRPr="00EA4B66">
        <w:rPr>
          <w:color w:val="000000" w:themeColor="text1"/>
          <w:sz w:val="24"/>
          <w:szCs w:val="24"/>
          <w:lang w:val="en-US"/>
        </w:rPr>
        <w:t xml:space="preserve">in </w:t>
      </w:r>
      <w:r w:rsidR="00524D22" w:rsidRPr="00EA4B66">
        <w:rPr>
          <w:color w:val="000000" w:themeColor="text1"/>
          <w:sz w:val="24"/>
          <w:szCs w:val="24"/>
          <w:lang w:val="en-US"/>
        </w:rPr>
        <w:t xml:space="preserve">an </w:t>
      </w:r>
      <w:r w:rsidR="00716CF7" w:rsidRPr="00EA4B66">
        <w:rPr>
          <w:color w:val="000000" w:themeColor="text1"/>
          <w:sz w:val="24"/>
          <w:szCs w:val="24"/>
          <w:lang w:val="en-US"/>
        </w:rPr>
        <w:t xml:space="preserve">Italian </w:t>
      </w:r>
      <w:r w:rsidR="00524D22" w:rsidRPr="00EA4B66">
        <w:rPr>
          <w:color w:val="000000" w:themeColor="text1"/>
          <w:sz w:val="24"/>
          <w:szCs w:val="24"/>
          <w:lang w:val="en-US"/>
        </w:rPr>
        <w:t xml:space="preserve">listed firm </w:t>
      </w:r>
      <w:r w:rsidR="00716CF7" w:rsidRPr="00EA4B66">
        <w:rPr>
          <w:color w:val="000000" w:themeColor="text1"/>
          <w:sz w:val="24"/>
          <w:szCs w:val="24"/>
          <w:lang w:val="en-US"/>
        </w:rPr>
        <w:t>context.</w:t>
      </w:r>
      <w:r w:rsidR="00524D22" w:rsidRPr="00EA4B66">
        <w:rPr>
          <w:color w:val="000000" w:themeColor="text1"/>
          <w:sz w:val="24"/>
          <w:szCs w:val="24"/>
          <w:lang w:val="en-GB"/>
        </w:rPr>
        <w:t xml:space="preserve"> In so doing, </w:t>
      </w:r>
      <w:r w:rsidR="005245A0">
        <w:rPr>
          <w:color w:val="000000" w:themeColor="text1"/>
          <w:sz w:val="24"/>
          <w:szCs w:val="24"/>
          <w:lang w:val="en-GB"/>
        </w:rPr>
        <w:t xml:space="preserve">the </w:t>
      </w:r>
      <w:r w:rsidR="000B3970">
        <w:rPr>
          <w:color w:val="000000" w:themeColor="text1"/>
          <w:sz w:val="24"/>
          <w:szCs w:val="24"/>
          <w:lang w:val="en-GB"/>
        </w:rPr>
        <w:t>authors</w:t>
      </w:r>
      <w:r w:rsidR="00DD5253" w:rsidRPr="00EA4B66">
        <w:rPr>
          <w:color w:val="000000" w:themeColor="text1"/>
          <w:sz w:val="24"/>
          <w:szCs w:val="24"/>
          <w:lang w:val="en-GB"/>
        </w:rPr>
        <w:t xml:space="preserve"> </w:t>
      </w:r>
      <w:r w:rsidR="00524D22" w:rsidRPr="00EA4B66">
        <w:rPr>
          <w:color w:val="000000" w:themeColor="text1"/>
          <w:sz w:val="24"/>
          <w:szCs w:val="24"/>
          <w:lang w:val="en-GB"/>
        </w:rPr>
        <w:t>seek to determine the</w:t>
      </w:r>
      <w:r w:rsidR="001075CB" w:rsidRPr="00EA4B66">
        <w:rPr>
          <w:color w:val="000000" w:themeColor="text1"/>
          <w:sz w:val="24"/>
          <w:szCs w:val="24"/>
          <w:lang w:val="en-US"/>
        </w:rPr>
        <w:t xml:space="preserve"> extent </w:t>
      </w:r>
      <w:r w:rsidR="00524D22" w:rsidRPr="00EA4B66">
        <w:rPr>
          <w:color w:val="000000" w:themeColor="text1"/>
          <w:sz w:val="24"/>
          <w:szCs w:val="24"/>
          <w:lang w:val="en-US"/>
        </w:rPr>
        <w:t xml:space="preserve">to which </w:t>
      </w:r>
      <w:r w:rsidR="001075CB" w:rsidRPr="00EA4B66">
        <w:rPr>
          <w:color w:val="000000" w:themeColor="text1"/>
          <w:sz w:val="24"/>
          <w:szCs w:val="24"/>
          <w:lang w:val="en-US"/>
        </w:rPr>
        <w:t xml:space="preserve">potential </w:t>
      </w:r>
      <w:r w:rsidR="00C221BB" w:rsidRPr="00EA4B66">
        <w:rPr>
          <w:color w:val="000000" w:themeColor="text1"/>
          <w:sz w:val="24"/>
          <w:szCs w:val="24"/>
          <w:lang w:val="en-US"/>
        </w:rPr>
        <w:t>determinants</w:t>
      </w:r>
      <w:r w:rsidR="005974AB" w:rsidRPr="00EA4B66">
        <w:rPr>
          <w:color w:val="000000" w:themeColor="text1"/>
          <w:sz w:val="24"/>
          <w:szCs w:val="24"/>
          <w:lang w:val="en-US"/>
        </w:rPr>
        <w:t xml:space="preserve"> </w:t>
      </w:r>
      <w:r w:rsidR="00184CD9" w:rsidRPr="00EA4B66">
        <w:rPr>
          <w:color w:val="000000" w:themeColor="text1"/>
          <w:sz w:val="24"/>
          <w:szCs w:val="24"/>
          <w:lang w:val="en-US"/>
        </w:rPr>
        <w:t xml:space="preserve">of IC value selected </w:t>
      </w:r>
      <w:r w:rsidR="00311928" w:rsidRPr="00EA4B66">
        <w:rPr>
          <w:color w:val="000000" w:themeColor="text1"/>
          <w:sz w:val="24"/>
          <w:szCs w:val="24"/>
          <w:lang w:val="en-US"/>
        </w:rPr>
        <w:t xml:space="preserve">from </w:t>
      </w:r>
      <w:r w:rsidR="00524D22" w:rsidRPr="00EA4B66">
        <w:rPr>
          <w:color w:val="000000" w:themeColor="text1"/>
          <w:sz w:val="24"/>
          <w:szCs w:val="24"/>
          <w:lang w:val="en-US"/>
        </w:rPr>
        <w:t xml:space="preserve">the </w:t>
      </w:r>
      <w:r w:rsidR="00311928" w:rsidRPr="00EA4B66">
        <w:rPr>
          <w:color w:val="000000" w:themeColor="text1"/>
          <w:sz w:val="24"/>
          <w:szCs w:val="24"/>
          <w:lang w:val="en-US"/>
        </w:rPr>
        <w:t>extant literature</w:t>
      </w:r>
      <w:r w:rsidR="00524D22" w:rsidRPr="00EA4B66">
        <w:rPr>
          <w:color w:val="000000" w:themeColor="text1"/>
          <w:sz w:val="24"/>
          <w:szCs w:val="24"/>
          <w:lang w:val="en-US"/>
        </w:rPr>
        <w:t>, such as</w:t>
      </w:r>
      <w:r w:rsidR="00184CD9" w:rsidRPr="00EA4B66">
        <w:rPr>
          <w:color w:val="000000" w:themeColor="text1"/>
          <w:sz w:val="24"/>
          <w:szCs w:val="24"/>
          <w:lang w:val="en-US"/>
        </w:rPr>
        <w:t xml:space="preserve"> </w:t>
      </w:r>
      <w:r w:rsidR="00E02B50">
        <w:rPr>
          <w:color w:val="000000" w:themeColor="text1"/>
          <w:sz w:val="24"/>
          <w:szCs w:val="24"/>
          <w:lang w:val="en-US"/>
        </w:rPr>
        <w:t>IA</w:t>
      </w:r>
      <w:r w:rsidR="00311928" w:rsidRPr="00EA4B66">
        <w:rPr>
          <w:color w:val="000000" w:themeColor="text1"/>
          <w:sz w:val="24"/>
          <w:szCs w:val="24"/>
          <w:lang w:val="en-US"/>
        </w:rPr>
        <w:t>,</w:t>
      </w:r>
      <w:r w:rsidR="001075CB" w:rsidRPr="00EA4B66">
        <w:rPr>
          <w:color w:val="000000" w:themeColor="text1"/>
          <w:sz w:val="24"/>
          <w:szCs w:val="24"/>
          <w:lang w:val="en-US"/>
        </w:rPr>
        <w:t xml:space="preserve"> influence the</w:t>
      </w:r>
      <w:r w:rsidR="000D6748" w:rsidRPr="00EA4B66">
        <w:rPr>
          <w:color w:val="000000" w:themeColor="text1"/>
          <w:sz w:val="24"/>
          <w:szCs w:val="24"/>
          <w:lang w:val="en-US"/>
        </w:rPr>
        <w:t xml:space="preserve"> </w:t>
      </w:r>
      <w:r w:rsidR="00524D22" w:rsidRPr="00EA4B66">
        <w:rPr>
          <w:color w:val="000000" w:themeColor="text1"/>
          <w:sz w:val="24"/>
          <w:szCs w:val="24"/>
          <w:lang w:val="en-US"/>
        </w:rPr>
        <w:t>MTB</w:t>
      </w:r>
      <w:r w:rsidR="00724CA6" w:rsidRPr="00EA4B66">
        <w:rPr>
          <w:color w:val="000000" w:themeColor="text1"/>
          <w:sz w:val="24"/>
          <w:szCs w:val="24"/>
          <w:lang w:val="en-US"/>
        </w:rPr>
        <w:t xml:space="preserve"> ratio</w:t>
      </w:r>
      <w:r w:rsidR="00524D22" w:rsidRPr="00EA4B66">
        <w:rPr>
          <w:color w:val="000000" w:themeColor="text1"/>
          <w:sz w:val="24"/>
          <w:szCs w:val="24"/>
          <w:lang w:val="en-US"/>
        </w:rPr>
        <w:t>.</w:t>
      </w:r>
    </w:p>
    <w:p w14:paraId="69F1C291" w14:textId="77777777" w:rsidR="00251B8D" w:rsidRPr="00EA4B66" w:rsidRDefault="00251B8D" w:rsidP="00251B8D">
      <w:pPr>
        <w:spacing w:after="0" w:line="240" w:lineRule="auto"/>
        <w:jc w:val="both"/>
        <w:rPr>
          <w:color w:val="000000" w:themeColor="text1"/>
          <w:sz w:val="24"/>
          <w:szCs w:val="24"/>
          <w:lang w:val="en-US"/>
        </w:rPr>
      </w:pPr>
    </w:p>
    <w:p w14:paraId="04E01817" w14:textId="4A7D1378" w:rsidR="00F958C0" w:rsidRPr="00EA4B66" w:rsidRDefault="004468CB" w:rsidP="00251B8D">
      <w:pPr>
        <w:spacing w:after="0" w:line="240" w:lineRule="auto"/>
        <w:jc w:val="both"/>
        <w:rPr>
          <w:b/>
          <w:color w:val="000000" w:themeColor="text1"/>
          <w:sz w:val="24"/>
          <w:szCs w:val="24"/>
          <w:lang w:val="en-US"/>
        </w:rPr>
      </w:pPr>
      <w:r w:rsidRPr="00EA4B66">
        <w:rPr>
          <w:b/>
          <w:color w:val="000000" w:themeColor="text1"/>
          <w:sz w:val="24"/>
          <w:szCs w:val="24"/>
          <w:lang w:val="en-US"/>
        </w:rPr>
        <w:t>3.</w:t>
      </w:r>
      <w:r w:rsidR="00524D22" w:rsidRPr="00EA4B66">
        <w:rPr>
          <w:b/>
          <w:color w:val="000000" w:themeColor="text1"/>
          <w:sz w:val="24"/>
          <w:szCs w:val="24"/>
          <w:lang w:val="en-US"/>
        </w:rPr>
        <w:t xml:space="preserve"> </w:t>
      </w:r>
      <w:r w:rsidR="30989F24" w:rsidRPr="00EA4B66">
        <w:rPr>
          <w:b/>
          <w:color w:val="000000" w:themeColor="text1"/>
          <w:sz w:val="24"/>
          <w:szCs w:val="24"/>
          <w:lang w:val="en-US"/>
        </w:rPr>
        <w:t xml:space="preserve">Hypothesis </w:t>
      </w:r>
      <w:r w:rsidR="00524D22" w:rsidRPr="00EA4B66">
        <w:rPr>
          <w:b/>
          <w:color w:val="000000" w:themeColor="text1"/>
          <w:sz w:val="24"/>
          <w:szCs w:val="24"/>
          <w:lang w:val="en-US"/>
        </w:rPr>
        <w:t>development</w:t>
      </w:r>
    </w:p>
    <w:p w14:paraId="24DE2871" w14:textId="42AAFCA7" w:rsidR="00F41105" w:rsidRPr="00EA4B66" w:rsidRDefault="005C1481" w:rsidP="00355E9D">
      <w:pPr>
        <w:spacing w:after="0" w:line="240" w:lineRule="auto"/>
        <w:jc w:val="both"/>
        <w:rPr>
          <w:color w:val="000000" w:themeColor="text1"/>
          <w:sz w:val="24"/>
          <w:szCs w:val="24"/>
          <w:lang w:val="en-US"/>
        </w:rPr>
      </w:pPr>
      <w:r>
        <w:rPr>
          <w:color w:val="000000" w:themeColor="text1"/>
          <w:sz w:val="24"/>
          <w:szCs w:val="24"/>
          <w:lang w:val="en-US"/>
        </w:rPr>
        <w:t xml:space="preserve">   </w:t>
      </w:r>
      <w:r w:rsidR="007038B8" w:rsidRPr="00EA4B66">
        <w:rPr>
          <w:color w:val="000000" w:themeColor="text1"/>
          <w:sz w:val="24"/>
          <w:szCs w:val="24"/>
          <w:lang w:val="en-US"/>
        </w:rPr>
        <w:t>A</w:t>
      </w:r>
      <w:r w:rsidR="00831F04" w:rsidRPr="00EA4B66">
        <w:rPr>
          <w:color w:val="000000" w:themeColor="text1"/>
          <w:sz w:val="24"/>
          <w:szCs w:val="24"/>
          <w:lang w:val="en-US"/>
        </w:rPr>
        <w:t xml:space="preserve"> set of</w:t>
      </w:r>
      <w:r w:rsidR="008271E9" w:rsidRPr="00EA4B66">
        <w:rPr>
          <w:color w:val="000000" w:themeColor="text1"/>
          <w:sz w:val="24"/>
          <w:szCs w:val="24"/>
          <w:lang w:val="en-US"/>
        </w:rPr>
        <w:t xml:space="preserve"> coherent</w:t>
      </w:r>
      <w:r w:rsidR="00B2088B" w:rsidRPr="00EA4B66">
        <w:rPr>
          <w:color w:val="000000" w:themeColor="text1"/>
          <w:sz w:val="24"/>
          <w:szCs w:val="24"/>
          <w:lang w:val="en-US"/>
        </w:rPr>
        <w:t xml:space="preserve"> </w:t>
      </w:r>
      <w:r w:rsidR="00B273AA" w:rsidRPr="00EA4B66">
        <w:rPr>
          <w:color w:val="000000" w:themeColor="text1"/>
          <w:sz w:val="24"/>
          <w:szCs w:val="24"/>
          <w:lang w:val="en-US"/>
        </w:rPr>
        <w:t>hypothes</w:t>
      </w:r>
      <w:r w:rsidR="00B2088B" w:rsidRPr="00EA4B66">
        <w:rPr>
          <w:color w:val="000000" w:themeColor="text1"/>
          <w:sz w:val="24"/>
          <w:szCs w:val="24"/>
          <w:lang w:val="en-US"/>
        </w:rPr>
        <w:t>e</w:t>
      </w:r>
      <w:r w:rsidR="00B273AA" w:rsidRPr="00EA4B66">
        <w:rPr>
          <w:color w:val="000000" w:themeColor="text1"/>
          <w:sz w:val="24"/>
          <w:szCs w:val="24"/>
          <w:lang w:val="en-US"/>
        </w:rPr>
        <w:t>s</w:t>
      </w:r>
      <w:r w:rsidR="00B2088B" w:rsidRPr="00EA4B66">
        <w:rPr>
          <w:color w:val="000000" w:themeColor="text1"/>
          <w:sz w:val="24"/>
          <w:szCs w:val="24"/>
          <w:lang w:val="en-US"/>
        </w:rPr>
        <w:t xml:space="preserve"> </w:t>
      </w:r>
      <w:r w:rsidR="00831F04" w:rsidRPr="00EA4B66">
        <w:rPr>
          <w:color w:val="000000" w:themeColor="text1"/>
          <w:sz w:val="24"/>
          <w:szCs w:val="24"/>
          <w:lang w:val="en-US"/>
        </w:rPr>
        <w:t>related to</w:t>
      </w:r>
      <w:r w:rsidR="00B2088B" w:rsidRPr="00EA4B66">
        <w:rPr>
          <w:color w:val="000000" w:themeColor="text1"/>
          <w:sz w:val="24"/>
          <w:szCs w:val="24"/>
          <w:lang w:val="en-US"/>
        </w:rPr>
        <w:t xml:space="preserve"> </w:t>
      </w:r>
      <w:r w:rsidR="00D53BDE">
        <w:rPr>
          <w:color w:val="000000" w:themeColor="text1"/>
          <w:sz w:val="24"/>
          <w:szCs w:val="24"/>
          <w:lang w:val="en-US"/>
        </w:rPr>
        <w:t>the</w:t>
      </w:r>
      <w:r w:rsidR="00B2088B" w:rsidRPr="00EA4B66">
        <w:rPr>
          <w:color w:val="000000" w:themeColor="text1"/>
          <w:sz w:val="24"/>
          <w:szCs w:val="24"/>
          <w:lang w:val="en-US"/>
        </w:rPr>
        <w:t xml:space="preserve"> potential determinant</w:t>
      </w:r>
      <w:r w:rsidR="00D53BDE">
        <w:rPr>
          <w:color w:val="000000" w:themeColor="text1"/>
          <w:sz w:val="24"/>
          <w:szCs w:val="24"/>
          <w:lang w:val="en-US"/>
        </w:rPr>
        <w:t>s</w:t>
      </w:r>
      <w:r>
        <w:rPr>
          <w:color w:val="000000" w:themeColor="text1"/>
          <w:sz w:val="24"/>
          <w:szCs w:val="24"/>
          <w:lang w:val="en-US"/>
        </w:rPr>
        <w:t xml:space="preserve"> of IC value</w:t>
      </w:r>
      <w:r w:rsidR="00831F04" w:rsidRPr="00EA4B66">
        <w:rPr>
          <w:color w:val="000000" w:themeColor="text1"/>
          <w:sz w:val="24"/>
          <w:szCs w:val="24"/>
          <w:lang w:val="en-US"/>
        </w:rPr>
        <w:t xml:space="preserve"> is tested</w:t>
      </w:r>
      <w:r w:rsidR="00521126" w:rsidRPr="00EA4B66">
        <w:rPr>
          <w:color w:val="000000" w:themeColor="text1"/>
          <w:sz w:val="24"/>
          <w:szCs w:val="24"/>
          <w:lang w:val="en-US"/>
        </w:rPr>
        <w:t xml:space="preserve"> </w:t>
      </w:r>
      <w:r w:rsidR="00831F04" w:rsidRPr="00EA4B66">
        <w:rPr>
          <w:color w:val="000000" w:themeColor="text1"/>
          <w:sz w:val="24"/>
          <w:szCs w:val="24"/>
          <w:lang w:val="en-US"/>
        </w:rPr>
        <w:t>according to</w:t>
      </w:r>
      <w:r w:rsidR="00B2088B" w:rsidRPr="00EA4B66">
        <w:rPr>
          <w:color w:val="000000" w:themeColor="text1"/>
          <w:sz w:val="24"/>
          <w:szCs w:val="24"/>
          <w:lang w:val="en-US"/>
        </w:rPr>
        <w:t xml:space="preserve"> the existing theoretical and empirical IC literature.</w:t>
      </w:r>
      <w:r w:rsidR="00D42720" w:rsidRPr="00EA4B66">
        <w:rPr>
          <w:color w:val="000000" w:themeColor="text1"/>
          <w:sz w:val="24"/>
          <w:szCs w:val="24"/>
          <w:lang w:val="en-US"/>
        </w:rPr>
        <w:t xml:space="preserve"> Moreover</w:t>
      </w:r>
      <w:r w:rsidR="00387956" w:rsidRPr="00EA4B66">
        <w:rPr>
          <w:color w:val="000000" w:themeColor="text1"/>
          <w:sz w:val="24"/>
          <w:szCs w:val="24"/>
          <w:lang w:val="en-US"/>
        </w:rPr>
        <w:t xml:space="preserve">, </w:t>
      </w:r>
      <w:r w:rsidR="007038B8" w:rsidRPr="00EA4B66">
        <w:rPr>
          <w:color w:val="000000" w:themeColor="text1"/>
          <w:sz w:val="24"/>
          <w:szCs w:val="24"/>
          <w:lang w:val="en-US"/>
        </w:rPr>
        <w:t>consistent with</w:t>
      </w:r>
      <w:r w:rsidR="00387956" w:rsidRPr="00EA4B66">
        <w:rPr>
          <w:color w:val="000000" w:themeColor="text1"/>
          <w:sz w:val="24"/>
          <w:szCs w:val="24"/>
          <w:lang w:val="en-US"/>
        </w:rPr>
        <w:t xml:space="preserve"> Dumay (2014)</w:t>
      </w:r>
      <w:r w:rsidR="007038B8" w:rsidRPr="00EA4B66">
        <w:rPr>
          <w:color w:val="000000" w:themeColor="text1"/>
          <w:sz w:val="24"/>
          <w:szCs w:val="24"/>
          <w:lang w:val="en-US"/>
        </w:rPr>
        <w:t>,</w:t>
      </w:r>
      <w:r w:rsidR="00D42720" w:rsidRPr="00EA4B66">
        <w:rPr>
          <w:color w:val="000000" w:themeColor="text1"/>
          <w:sz w:val="24"/>
          <w:szCs w:val="24"/>
          <w:lang w:val="en-US"/>
        </w:rPr>
        <w:t xml:space="preserve"> </w:t>
      </w:r>
      <w:r w:rsidR="007038B8" w:rsidRPr="00EA4B66">
        <w:rPr>
          <w:color w:val="000000" w:themeColor="text1"/>
          <w:sz w:val="24"/>
          <w:szCs w:val="24"/>
          <w:lang w:val="en-US"/>
        </w:rPr>
        <w:t xml:space="preserve">additional </w:t>
      </w:r>
      <w:r w:rsidR="008271E9" w:rsidRPr="00EA4B66">
        <w:rPr>
          <w:color w:val="000000" w:themeColor="text1"/>
          <w:sz w:val="24"/>
          <w:szCs w:val="24"/>
          <w:lang w:val="en-US"/>
        </w:rPr>
        <w:t>hypothes</w:t>
      </w:r>
      <w:r w:rsidR="007038B8" w:rsidRPr="00EA4B66">
        <w:rPr>
          <w:color w:val="000000" w:themeColor="text1"/>
          <w:sz w:val="24"/>
          <w:szCs w:val="24"/>
          <w:lang w:val="en-US"/>
        </w:rPr>
        <w:t>e</w:t>
      </w:r>
      <w:r w:rsidR="008271E9" w:rsidRPr="00EA4B66">
        <w:rPr>
          <w:color w:val="000000" w:themeColor="text1"/>
          <w:sz w:val="24"/>
          <w:szCs w:val="24"/>
          <w:lang w:val="en-US"/>
        </w:rPr>
        <w:t xml:space="preserve">s are </w:t>
      </w:r>
      <w:r w:rsidR="007038B8" w:rsidRPr="00EA4B66">
        <w:rPr>
          <w:color w:val="000000" w:themeColor="text1"/>
          <w:sz w:val="24"/>
          <w:szCs w:val="24"/>
          <w:lang w:val="en-US"/>
        </w:rPr>
        <w:t xml:space="preserve">constructed on the basis of </w:t>
      </w:r>
      <w:r w:rsidR="00BD71BD" w:rsidRPr="00EA4B66">
        <w:rPr>
          <w:color w:val="000000" w:themeColor="text1"/>
          <w:sz w:val="24"/>
          <w:szCs w:val="24"/>
          <w:lang w:val="en-US"/>
        </w:rPr>
        <w:t>management, corporate governance and organizational studies</w:t>
      </w:r>
      <w:r w:rsidR="007038B8" w:rsidRPr="00EA4B66">
        <w:rPr>
          <w:color w:val="000000" w:themeColor="text1"/>
          <w:sz w:val="24"/>
          <w:szCs w:val="24"/>
          <w:lang w:val="en-US"/>
        </w:rPr>
        <w:t xml:space="preserve"> which</w:t>
      </w:r>
      <w:r w:rsidR="008271E9" w:rsidRPr="00EA4B66">
        <w:rPr>
          <w:color w:val="000000" w:themeColor="text1"/>
          <w:sz w:val="24"/>
          <w:szCs w:val="24"/>
          <w:lang w:val="en-US"/>
        </w:rPr>
        <w:t xml:space="preserve"> </w:t>
      </w:r>
      <w:r w:rsidR="007038B8" w:rsidRPr="00EA4B66">
        <w:rPr>
          <w:color w:val="000000" w:themeColor="text1"/>
          <w:sz w:val="24"/>
          <w:szCs w:val="24"/>
          <w:lang w:val="en-US"/>
        </w:rPr>
        <w:t>extend</w:t>
      </w:r>
      <w:r w:rsidR="008271E9" w:rsidRPr="00EA4B66">
        <w:rPr>
          <w:color w:val="000000" w:themeColor="text1"/>
          <w:sz w:val="24"/>
          <w:szCs w:val="24"/>
          <w:lang w:val="en-US"/>
        </w:rPr>
        <w:t xml:space="preserve"> beyond the field of </w:t>
      </w:r>
      <w:r w:rsidR="00AF25B8">
        <w:rPr>
          <w:color w:val="000000" w:themeColor="text1"/>
          <w:sz w:val="24"/>
          <w:szCs w:val="24"/>
          <w:lang w:val="en-US"/>
        </w:rPr>
        <w:t>IC</w:t>
      </w:r>
      <w:r w:rsidR="008271E9" w:rsidRPr="00EA4B66">
        <w:rPr>
          <w:color w:val="000000" w:themeColor="text1"/>
          <w:sz w:val="24"/>
          <w:szCs w:val="24"/>
          <w:lang w:val="en-US"/>
        </w:rPr>
        <w:t xml:space="preserve">, </w:t>
      </w:r>
      <w:r w:rsidR="007038B8" w:rsidRPr="00EA4B66">
        <w:rPr>
          <w:color w:val="000000" w:themeColor="text1"/>
          <w:sz w:val="24"/>
          <w:szCs w:val="24"/>
          <w:lang w:val="en-US"/>
        </w:rPr>
        <w:t>thereby</w:t>
      </w:r>
      <w:r w:rsidR="008271E9" w:rsidRPr="00EA4B66">
        <w:rPr>
          <w:color w:val="000000" w:themeColor="text1"/>
          <w:sz w:val="24"/>
          <w:szCs w:val="24"/>
          <w:lang w:val="en-US"/>
        </w:rPr>
        <w:t xml:space="preserve"> </w:t>
      </w:r>
      <w:r w:rsidR="007038B8" w:rsidRPr="00EA4B66">
        <w:rPr>
          <w:color w:val="000000" w:themeColor="text1"/>
          <w:sz w:val="24"/>
          <w:szCs w:val="24"/>
          <w:lang w:val="en-US"/>
        </w:rPr>
        <w:t xml:space="preserve">adopting </w:t>
      </w:r>
      <w:r w:rsidR="008271E9" w:rsidRPr="00EA4B66">
        <w:rPr>
          <w:color w:val="000000" w:themeColor="text1"/>
          <w:sz w:val="24"/>
          <w:szCs w:val="24"/>
          <w:lang w:val="en-US"/>
        </w:rPr>
        <w:t xml:space="preserve">a </w:t>
      </w:r>
      <w:r w:rsidR="009503D6" w:rsidRPr="00EA4B66">
        <w:rPr>
          <w:color w:val="000000" w:themeColor="text1"/>
          <w:sz w:val="24"/>
          <w:szCs w:val="24"/>
          <w:lang w:val="en-US"/>
        </w:rPr>
        <w:t>transdisciplinary</w:t>
      </w:r>
      <w:r w:rsidR="008271E9" w:rsidRPr="00EA4B66">
        <w:rPr>
          <w:color w:val="000000" w:themeColor="text1"/>
          <w:sz w:val="24"/>
          <w:szCs w:val="24"/>
          <w:lang w:val="en-US"/>
        </w:rPr>
        <w:t xml:space="preserve"> approach</w:t>
      </w:r>
      <w:r w:rsidR="009503D6" w:rsidRPr="00EA4B66">
        <w:rPr>
          <w:color w:val="000000" w:themeColor="text1"/>
          <w:sz w:val="24"/>
          <w:szCs w:val="24"/>
          <w:lang w:val="en-US"/>
        </w:rPr>
        <w:t>.</w:t>
      </w:r>
    </w:p>
    <w:p w14:paraId="327A67F5" w14:textId="77777777" w:rsidR="00472985" w:rsidRPr="00EA4B66" w:rsidRDefault="00472985" w:rsidP="00355E9D">
      <w:pPr>
        <w:spacing w:after="0" w:line="240" w:lineRule="auto"/>
        <w:jc w:val="both"/>
        <w:rPr>
          <w:color w:val="000000" w:themeColor="text1"/>
          <w:sz w:val="24"/>
          <w:szCs w:val="24"/>
          <w:lang w:val="en-US"/>
        </w:rPr>
      </w:pPr>
    </w:p>
    <w:p w14:paraId="73D69B94" w14:textId="2640A4D0" w:rsidR="00DB62C4" w:rsidRPr="00EA4B66" w:rsidRDefault="004468CB" w:rsidP="00251B8D">
      <w:pPr>
        <w:spacing w:after="0" w:line="240" w:lineRule="auto"/>
        <w:jc w:val="both"/>
        <w:rPr>
          <w:b/>
          <w:i/>
          <w:color w:val="000000" w:themeColor="text1"/>
          <w:sz w:val="24"/>
          <w:szCs w:val="24"/>
          <w:lang w:val="en-US"/>
        </w:rPr>
      </w:pPr>
      <w:r w:rsidRPr="00EA4B66">
        <w:rPr>
          <w:b/>
          <w:i/>
          <w:color w:val="000000" w:themeColor="text1"/>
          <w:sz w:val="24"/>
          <w:szCs w:val="24"/>
          <w:lang w:val="en-US"/>
        </w:rPr>
        <w:t>3</w:t>
      </w:r>
      <w:r w:rsidR="00B92421" w:rsidRPr="00EA4B66">
        <w:rPr>
          <w:b/>
          <w:i/>
          <w:color w:val="000000" w:themeColor="text1"/>
          <w:sz w:val="24"/>
          <w:szCs w:val="24"/>
          <w:lang w:val="en-US"/>
        </w:rPr>
        <w:t xml:space="preserve">.1. Intangible </w:t>
      </w:r>
      <w:r w:rsidR="00E84844" w:rsidRPr="00EA4B66">
        <w:rPr>
          <w:b/>
          <w:i/>
          <w:color w:val="000000" w:themeColor="text1"/>
          <w:sz w:val="24"/>
          <w:szCs w:val="24"/>
          <w:lang w:val="en-US"/>
        </w:rPr>
        <w:t>a</w:t>
      </w:r>
      <w:r w:rsidR="00B92421" w:rsidRPr="00EA4B66">
        <w:rPr>
          <w:b/>
          <w:i/>
          <w:color w:val="000000" w:themeColor="text1"/>
          <w:sz w:val="24"/>
          <w:szCs w:val="24"/>
          <w:lang w:val="en-US"/>
        </w:rPr>
        <w:t>ssets</w:t>
      </w:r>
      <w:r w:rsidR="00090641">
        <w:rPr>
          <w:b/>
          <w:i/>
          <w:color w:val="000000" w:themeColor="text1"/>
          <w:sz w:val="24"/>
          <w:szCs w:val="24"/>
          <w:lang w:val="en-US"/>
        </w:rPr>
        <w:t xml:space="preserve"> </w:t>
      </w:r>
    </w:p>
    <w:p w14:paraId="21EB8AC7" w14:textId="4F2863C4" w:rsidR="00250CA0" w:rsidRPr="00EA4B66" w:rsidRDefault="00120675" w:rsidP="006D1D44">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9B053A" w:rsidRPr="00EA4B66">
        <w:rPr>
          <w:color w:val="000000" w:themeColor="text1"/>
          <w:sz w:val="24"/>
          <w:szCs w:val="24"/>
          <w:lang w:val="en-US"/>
        </w:rPr>
        <w:t xml:space="preserve">Edvinsson (1997) and </w:t>
      </w:r>
      <w:r w:rsidR="00571CCC" w:rsidRPr="00EA4B66">
        <w:rPr>
          <w:color w:val="000000" w:themeColor="text1"/>
          <w:sz w:val="24"/>
          <w:szCs w:val="24"/>
          <w:lang w:val="en-US"/>
        </w:rPr>
        <w:t xml:space="preserve">Lev and </w:t>
      </w:r>
      <w:r w:rsidR="009B053A" w:rsidRPr="00EA4B66">
        <w:rPr>
          <w:color w:val="000000" w:themeColor="text1"/>
          <w:sz w:val="24"/>
          <w:szCs w:val="24"/>
          <w:lang w:val="en-US"/>
        </w:rPr>
        <w:t xml:space="preserve">Zambon (2003) argue that </w:t>
      </w:r>
      <w:r w:rsidR="00E02B50">
        <w:rPr>
          <w:color w:val="000000" w:themeColor="text1"/>
          <w:sz w:val="24"/>
          <w:szCs w:val="24"/>
          <w:lang w:val="en-US"/>
        </w:rPr>
        <w:t>IA</w:t>
      </w:r>
      <w:r w:rsidR="009B053A" w:rsidRPr="00EA4B66">
        <w:rPr>
          <w:color w:val="000000" w:themeColor="text1"/>
          <w:sz w:val="24"/>
          <w:szCs w:val="24"/>
          <w:lang w:val="en-US"/>
        </w:rPr>
        <w:t xml:space="preserve"> are </w:t>
      </w:r>
      <w:r w:rsidR="005B5A98" w:rsidRPr="00EA4B66">
        <w:rPr>
          <w:color w:val="000000" w:themeColor="text1"/>
          <w:sz w:val="24"/>
          <w:szCs w:val="24"/>
          <w:lang w:val="en-US"/>
        </w:rPr>
        <w:t xml:space="preserve">an </w:t>
      </w:r>
      <w:r w:rsidR="00EE2C4B" w:rsidRPr="00EA4B66">
        <w:rPr>
          <w:color w:val="000000" w:themeColor="text1"/>
          <w:sz w:val="24"/>
          <w:szCs w:val="24"/>
          <w:lang w:val="en-US"/>
        </w:rPr>
        <w:t>important</w:t>
      </w:r>
      <w:r w:rsidR="009B053A" w:rsidRPr="00EA4B66">
        <w:rPr>
          <w:color w:val="000000" w:themeColor="text1"/>
          <w:sz w:val="24"/>
          <w:szCs w:val="24"/>
          <w:lang w:val="en-US"/>
        </w:rPr>
        <w:t xml:space="preserve"> </w:t>
      </w:r>
      <w:r w:rsidR="00EA32C3" w:rsidRPr="00EA4B66">
        <w:rPr>
          <w:color w:val="000000" w:themeColor="text1"/>
          <w:sz w:val="24"/>
          <w:szCs w:val="24"/>
          <w:lang w:val="en-US"/>
        </w:rPr>
        <w:t xml:space="preserve">component </w:t>
      </w:r>
      <w:r w:rsidR="009B053A" w:rsidRPr="00EA4B66">
        <w:rPr>
          <w:color w:val="000000" w:themeColor="text1"/>
          <w:sz w:val="24"/>
          <w:szCs w:val="24"/>
          <w:lang w:val="en-US"/>
        </w:rPr>
        <w:t xml:space="preserve">of </w:t>
      </w:r>
      <w:r w:rsidR="009505B4">
        <w:rPr>
          <w:color w:val="000000" w:themeColor="text1"/>
          <w:sz w:val="24"/>
          <w:szCs w:val="24"/>
          <w:lang w:val="en-US"/>
        </w:rPr>
        <w:t>IC</w:t>
      </w:r>
      <w:r w:rsidR="009B053A" w:rsidRPr="00EA4B66">
        <w:rPr>
          <w:color w:val="000000" w:themeColor="text1"/>
          <w:sz w:val="24"/>
          <w:szCs w:val="24"/>
          <w:lang w:val="en-US"/>
        </w:rPr>
        <w:t xml:space="preserve"> and thus </w:t>
      </w:r>
      <w:r w:rsidR="00EA32C3" w:rsidRPr="00EA4B66">
        <w:rPr>
          <w:color w:val="000000" w:themeColor="text1"/>
          <w:sz w:val="24"/>
          <w:szCs w:val="24"/>
          <w:lang w:val="en-US"/>
        </w:rPr>
        <w:t>there is some</w:t>
      </w:r>
      <w:r w:rsidR="009B053A" w:rsidRPr="00EA4B66">
        <w:rPr>
          <w:color w:val="000000" w:themeColor="text1"/>
          <w:sz w:val="24"/>
          <w:szCs w:val="24"/>
          <w:lang w:val="en-US"/>
        </w:rPr>
        <w:t xml:space="preserve"> overlap between the two</w:t>
      </w:r>
      <w:r w:rsidR="00A17397" w:rsidRPr="00EA4B66">
        <w:rPr>
          <w:color w:val="000000" w:themeColor="text1"/>
          <w:sz w:val="24"/>
          <w:szCs w:val="24"/>
          <w:lang w:val="en-US"/>
        </w:rPr>
        <w:t>.</w:t>
      </w:r>
      <w:r w:rsidR="002A5F02" w:rsidRPr="00EA4B66">
        <w:rPr>
          <w:color w:val="000000" w:themeColor="text1"/>
          <w:sz w:val="24"/>
          <w:szCs w:val="24"/>
          <w:lang w:val="en-US"/>
        </w:rPr>
        <w:t xml:space="preserve"> </w:t>
      </w:r>
      <w:r w:rsidR="003E6DA0" w:rsidRPr="00EA4B66">
        <w:rPr>
          <w:color w:val="000000" w:themeColor="text1"/>
          <w:sz w:val="24"/>
          <w:szCs w:val="24"/>
          <w:lang w:val="en-US"/>
        </w:rPr>
        <w:t xml:space="preserve">Intangible assets, like </w:t>
      </w:r>
      <w:r w:rsidR="00D503C9">
        <w:rPr>
          <w:color w:val="000000" w:themeColor="text1"/>
          <w:sz w:val="24"/>
          <w:szCs w:val="24"/>
          <w:lang w:val="en-US"/>
        </w:rPr>
        <w:t>IC</w:t>
      </w:r>
      <w:r w:rsidR="003E6DA0" w:rsidRPr="00EA4B66">
        <w:rPr>
          <w:color w:val="000000" w:themeColor="text1"/>
          <w:sz w:val="24"/>
          <w:szCs w:val="24"/>
          <w:lang w:val="en-US"/>
        </w:rPr>
        <w:t>, have been a</w:t>
      </w:r>
      <w:r w:rsidR="00EA32C3" w:rsidRPr="00EA4B66">
        <w:rPr>
          <w:color w:val="000000" w:themeColor="text1"/>
          <w:sz w:val="24"/>
          <w:szCs w:val="24"/>
          <w:lang w:val="en-US"/>
        </w:rPr>
        <w:t xml:space="preserve"> key</w:t>
      </w:r>
      <w:r w:rsidR="003E6DA0" w:rsidRPr="00EA4B66">
        <w:rPr>
          <w:color w:val="000000" w:themeColor="text1"/>
          <w:sz w:val="24"/>
          <w:szCs w:val="24"/>
          <w:lang w:val="en-US"/>
        </w:rPr>
        <w:t xml:space="preserve"> focus of </w:t>
      </w:r>
      <w:r w:rsidR="00EA32C3" w:rsidRPr="00EA4B66">
        <w:rPr>
          <w:color w:val="000000" w:themeColor="text1"/>
          <w:sz w:val="24"/>
          <w:szCs w:val="24"/>
          <w:lang w:val="en-US"/>
        </w:rPr>
        <w:t xml:space="preserve">business </w:t>
      </w:r>
      <w:r w:rsidR="003E6DA0" w:rsidRPr="00EA4B66">
        <w:rPr>
          <w:color w:val="000000" w:themeColor="text1"/>
          <w:sz w:val="24"/>
          <w:szCs w:val="24"/>
          <w:lang w:val="en-US"/>
        </w:rPr>
        <w:t>management studies in recent years (Bontis, 200</w:t>
      </w:r>
      <w:r w:rsidR="00C92150" w:rsidRPr="00EA4B66">
        <w:rPr>
          <w:color w:val="000000" w:themeColor="text1"/>
          <w:sz w:val="24"/>
          <w:szCs w:val="24"/>
          <w:lang w:val="en-US"/>
        </w:rPr>
        <w:t>3</w:t>
      </w:r>
      <w:r w:rsidR="003E6DA0" w:rsidRPr="00EA4B66">
        <w:rPr>
          <w:color w:val="000000" w:themeColor="text1"/>
          <w:sz w:val="24"/>
          <w:szCs w:val="24"/>
          <w:lang w:val="en-US"/>
        </w:rPr>
        <w:t xml:space="preserve">). </w:t>
      </w:r>
      <w:r w:rsidR="00987865" w:rsidRPr="00EA4B66">
        <w:rPr>
          <w:color w:val="000000" w:themeColor="text1"/>
          <w:sz w:val="24"/>
          <w:szCs w:val="24"/>
          <w:lang w:val="en-US"/>
        </w:rPr>
        <w:t>I</w:t>
      </w:r>
      <w:r w:rsidR="002A5F02" w:rsidRPr="00EA4B66">
        <w:rPr>
          <w:color w:val="000000" w:themeColor="text1"/>
          <w:sz w:val="24"/>
          <w:szCs w:val="24"/>
          <w:lang w:val="en-US"/>
        </w:rPr>
        <w:t xml:space="preserve">t is </w:t>
      </w:r>
      <w:r w:rsidR="00987865" w:rsidRPr="00EA4B66">
        <w:rPr>
          <w:color w:val="000000" w:themeColor="text1"/>
          <w:sz w:val="24"/>
          <w:szCs w:val="24"/>
          <w:lang w:val="en-US"/>
        </w:rPr>
        <w:t xml:space="preserve">argued </w:t>
      </w:r>
      <w:r w:rsidR="002A5F02" w:rsidRPr="00EA4B66">
        <w:rPr>
          <w:color w:val="000000" w:themeColor="text1"/>
          <w:sz w:val="24"/>
          <w:szCs w:val="24"/>
          <w:lang w:val="en-US"/>
        </w:rPr>
        <w:t xml:space="preserve">that </w:t>
      </w:r>
      <w:r w:rsidR="00987865" w:rsidRPr="00EA4B66">
        <w:rPr>
          <w:color w:val="000000" w:themeColor="text1"/>
          <w:sz w:val="24"/>
          <w:szCs w:val="24"/>
          <w:lang w:val="en-US"/>
        </w:rPr>
        <w:t xml:space="preserve">improved </w:t>
      </w:r>
      <w:r w:rsidR="002A5F02" w:rsidRPr="00EA4B66">
        <w:rPr>
          <w:color w:val="000000" w:themeColor="text1"/>
          <w:sz w:val="24"/>
          <w:szCs w:val="24"/>
          <w:lang w:val="en-US"/>
        </w:rPr>
        <w:t xml:space="preserve">and better-utilized knowledge </w:t>
      </w:r>
      <w:r w:rsidR="00987865" w:rsidRPr="00EA4B66">
        <w:rPr>
          <w:color w:val="000000" w:themeColor="text1"/>
          <w:sz w:val="24"/>
          <w:szCs w:val="24"/>
          <w:lang w:val="en-US"/>
        </w:rPr>
        <w:t>has</w:t>
      </w:r>
      <w:r w:rsidR="002A5F02" w:rsidRPr="00EA4B66">
        <w:rPr>
          <w:color w:val="000000" w:themeColor="text1"/>
          <w:sz w:val="24"/>
          <w:szCs w:val="24"/>
          <w:lang w:val="en-US"/>
        </w:rPr>
        <w:t xml:space="preserve"> a beneficial influence on compan</w:t>
      </w:r>
      <w:r w:rsidR="00987865" w:rsidRPr="00EA4B66">
        <w:rPr>
          <w:color w:val="000000" w:themeColor="text1"/>
          <w:sz w:val="24"/>
          <w:szCs w:val="24"/>
          <w:lang w:val="en-US"/>
        </w:rPr>
        <w:t>y</w:t>
      </w:r>
      <w:r w:rsidR="002A5F02" w:rsidRPr="00EA4B66">
        <w:rPr>
          <w:color w:val="000000" w:themeColor="text1"/>
          <w:sz w:val="24"/>
          <w:szCs w:val="24"/>
          <w:lang w:val="en-US"/>
        </w:rPr>
        <w:t xml:space="preserve"> pe</w:t>
      </w:r>
      <w:r w:rsidR="00480E34" w:rsidRPr="00EA4B66">
        <w:rPr>
          <w:color w:val="000000" w:themeColor="text1"/>
          <w:sz w:val="24"/>
          <w:szCs w:val="24"/>
          <w:lang w:val="en-US"/>
        </w:rPr>
        <w:t>rformance (Roos and Roos, 1997).</w:t>
      </w:r>
      <w:r w:rsidR="00AF0F2E" w:rsidRPr="00EA4B66">
        <w:rPr>
          <w:color w:val="000000" w:themeColor="text1"/>
          <w:sz w:val="24"/>
          <w:szCs w:val="24"/>
          <w:lang w:val="en-US"/>
        </w:rPr>
        <w:t xml:space="preserve"> </w:t>
      </w:r>
      <w:r w:rsidR="00D53BDE">
        <w:rPr>
          <w:color w:val="000000" w:themeColor="text1"/>
          <w:sz w:val="24"/>
          <w:szCs w:val="24"/>
          <w:lang w:val="en-GB"/>
        </w:rPr>
        <w:t>A</w:t>
      </w:r>
      <w:r w:rsidR="00250CA0" w:rsidRPr="00EA4B66">
        <w:rPr>
          <w:color w:val="000000" w:themeColor="text1"/>
          <w:sz w:val="24"/>
          <w:szCs w:val="24"/>
          <w:lang w:val="en-GB"/>
        </w:rPr>
        <w:t xml:space="preserve">ccording to the resource based view </w:t>
      </w:r>
      <w:r w:rsidR="00CC2047" w:rsidRPr="00EA4B66">
        <w:rPr>
          <w:color w:val="000000" w:themeColor="text1"/>
          <w:sz w:val="24"/>
          <w:szCs w:val="24"/>
          <w:lang w:val="en-GB"/>
        </w:rPr>
        <w:t xml:space="preserve">(RBV) </w:t>
      </w:r>
      <w:r w:rsidR="00497C86" w:rsidRPr="00EA4B66">
        <w:rPr>
          <w:color w:val="000000" w:themeColor="text1"/>
          <w:sz w:val="24"/>
          <w:szCs w:val="24"/>
          <w:lang w:val="en-GB"/>
        </w:rPr>
        <w:t>of the firm</w:t>
      </w:r>
      <w:r w:rsidR="00250CA0" w:rsidRPr="00EA4B66">
        <w:rPr>
          <w:color w:val="000000" w:themeColor="text1"/>
          <w:sz w:val="24"/>
          <w:szCs w:val="24"/>
          <w:lang w:val="en-GB"/>
        </w:rPr>
        <w:t xml:space="preserve">, </w:t>
      </w:r>
      <w:r w:rsidR="00D53BDE" w:rsidRPr="00EA4B66">
        <w:rPr>
          <w:color w:val="000000" w:themeColor="text1"/>
          <w:sz w:val="24"/>
          <w:szCs w:val="24"/>
          <w:lang w:val="en-GB"/>
        </w:rPr>
        <w:t>Villal</w:t>
      </w:r>
      <w:r w:rsidR="00D53BDE">
        <w:rPr>
          <w:color w:val="000000" w:themeColor="text1"/>
          <w:sz w:val="24"/>
          <w:szCs w:val="24"/>
          <w:lang w:val="en-GB"/>
        </w:rPr>
        <w:t>onga (2004)</w:t>
      </w:r>
      <w:r w:rsidR="00D53BDE" w:rsidRPr="00EA4B66">
        <w:rPr>
          <w:color w:val="000000" w:themeColor="text1"/>
          <w:sz w:val="24"/>
          <w:szCs w:val="24"/>
          <w:lang w:val="en-GB"/>
        </w:rPr>
        <w:t xml:space="preserve"> </w:t>
      </w:r>
      <w:r w:rsidR="00250CA0" w:rsidRPr="00EA4B66">
        <w:rPr>
          <w:color w:val="000000" w:themeColor="text1"/>
          <w:sz w:val="24"/>
          <w:szCs w:val="24"/>
          <w:lang w:val="en-GB"/>
        </w:rPr>
        <w:t xml:space="preserve">points </w:t>
      </w:r>
      <w:r w:rsidR="00250CA0" w:rsidRPr="00EA4B66">
        <w:rPr>
          <w:color w:val="000000" w:themeColor="text1"/>
          <w:sz w:val="24"/>
          <w:szCs w:val="24"/>
          <w:lang w:val="en-US"/>
        </w:rPr>
        <w:t>to intangible resources as the main drivers of the sustainability of performance differences across firms.</w:t>
      </w:r>
      <w:r w:rsidR="00CC2047" w:rsidRPr="00EA4B66">
        <w:rPr>
          <w:color w:val="000000" w:themeColor="text1"/>
          <w:sz w:val="24"/>
          <w:szCs w:val="24"/>
          <w:lang w:val="en-US"/>
        </w:rPr>
        <w:t xml:space="preserve"> </w:t>
      </w:r>
      <w:r w:rsidR="00B86F1C" w:rsidRPr="00EA4B66">
        <w:rPr>
          <w:color w:val="000000" w:themeColor="text1"/>
          <w:sz w:val="24"/>
          <w:szCs w:val="24"/>
          <w:lang w:val="en-US"/>
        </w:rPr>
        <w:t xml:space="preserve">The </w:t>
      </w:r>
      <w:r w:rsidR="003C53B7" w:rsidRPr="00EA4B66">
        <w:rPr>
          <w:color w:val="000000" w:themeColor="text1"/>
          <w:sz w:val="24"/>
          <w:szCs w:val="24"/>
          <w:lang w:val="en-US"/>
        </w:rPr>
        <w:t>RBV</w:t>
      </w:r>
      <w:r w:rsidR="00CC2047" w:rsidRPr="00EA4B66">
        <w:rPr>
          <w:color w:val="000000" w:themeColor="text1"/>
          <w:sz w:val="24"/>
          <w:szCs w:val="24"/>
          <w:lang w:val="en-US"/>
        </w:rPr>
        <w:t xml:space="preserve"> prediction </w:t>
      </w:r>
      <w:r w:rsidR="00B86F1C" w:rsidRPr="00EA4B66">
        <w:rPr>
          <w:color w:val="000000" w:themeColor="text1"/>
          <w:sz w:val="24"/>
          <w:szCs w:val="24"/>
          <w:lang w:val="en-US"/>
        </w:rPr>
        <w:t xml:space="preserve">concerning </w:t>
      </w:r>
      <w:r w:rsidR="00CC2047" w:rsidRPr="00EA4B66">
        <w:rPr>
          <w:color w:val="000000" w:themeColor="text1"/>
          <w:sz w:val="24"/>
          <w:szCs w:val="24"/>
          <w:lang w:val="en-US"/>
        </w:rPr>
        <w:t xml:space="preserve">the role of intangibles in sustaining superior firm performance </w:t>
      </w:r>
      <w:r w:rsidR="00B86F1C" w:rsidRPr="00EA4B66">
        <w:rPr>
          <w:color w:val="000000" w:themeColor="text1"/>
          <w:sz w:val="24"/>
          <w:szCs w:val="24"/>
          <w:lang w:val="en-US"/>
        </w:rPr>
        <w:t xml:space="preserve">may </w:t>
      </w:r>
      <w:r w:rsidR="00CC2047" w:rsidRPr="00EA4B66">
        <w:rPr>
          <w:color w:val="000000" w:themeColor="text1"/>
          <w:sz w:val="24"/>
          <w:szCs w:val="24"/>
          <w:lang w:val="en-US"/>
        </w:rPr>
        <w:t xml:space="preserve">be formalized by </w:t>
      </w:r>
      <w:r w:rsidR="00B86F1C" w:rsidRPr="00EA4B66">
        <w:rPr>
          <w:color w:val="000000" w:themeColor="text1"/>
          <w:sz w:val="24"/>
          <w:szCs w:val="24"/>
          <w:lang w:val="en-US"/>
        </w:rPr>
        <w:t xml:space="preserve">arguing </w:t>
      </w:r>
      <w:r w:rsidR="00CC2047" w:rsidRPr="00EA4B66">
        <w:rPr>
          <w:color w:val="000000" w:themeColor="text1"/>
          <w:sz w:val="24"/>
          <w:szCs w:val="24"/>
          <w:lang w:val="en-US"/>
        </w:rPr>
        <w:t>that the more intangible resources a firm has, the greater the sustainability of its competitive advantage</w:t>
      </w:r>
      <w:r w:rsidR="00521126" w:rsidRPr="00EA4B66">
        <w:rPr>
          <w:color w:val="000000" w:themeColor="text1"/>
          <w:sz w:val="24"/>
          <w:szCs w:val="24"/>
          <w:lang w:val="en-US"/>
        </w:rPr>
        <w:t>.</w:t>
      </w:r>
      <w:r w:rsidR="009D5CE2" w:rsidRPr="00EA4B66">
        <w:rPr>
          <w:color w:val="000000" w:themeColor="text1"/>
          <w:sz w:val="24"/>
          <w:szCs w:val="24"/>
          <w:lang w:val="en-US"/>
        </w:rPr>
        <w:t xml:space="preserve"> </w:t>
      </w:r>
    </w:p>
    <w:p w14:paraId="0B1B849D" w14:textId="620B498B" w:rsidR="006F7E65" w:rsidRPr="00EA4B66" w:rsidRDefault="00B86F1C" w:rsidP="00355E9D">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987865" w:rsidRPr="00EA4B66">
        <w:rPr>
          <w:color w:val="000000" w:themeColor="text1"/>
          <w:sz w:val="24"/>
          <w:szCs w:val="24"/>
          <w:lang w:val="en-US"/>
        </w:rPr>
        <w:t>E</w:t>
      </w:r>
      <w:r w:rsidR="00B273AA" w:rsidRPr="00EA4B66">
        <w:rPr>
          <w:color w:val="000000" w:themeColor="text1"/>
          <w:sz w:val="24"/>
          <w:szCs w:val="24"/>
          <w:lang w:val="en-US"/>
        </w:rPr>
        <w:t xml:space="preserve">mploying </w:t>
      </w:r>
      <w:r w:rsidR="00987865" w:rsidRPr="00EA4B66">
        <w:rPr>
          <w:color w:val="000000" w:themeColor="text1"/>
          <w:sz w:val="24"/>
          <w:szCs w:val="24"/>
          <w:lang w:val="en-US"/>
        </w:rPr>
        <w:t xml:space="preserve">a </w:t>
      </w:r>
      <w:r w:rsidR="00B273AA" w:rsidRPr="00EA4B66">
        <w:rPr>
          <w:color w:val="000000" w:themeColor="text1"/>
          <w:sz w:val="24"/>
          <w:szCs w:val="24"/>
          <w:lang w:val="en-US"/>
        </w:rPr>
        <w:t xml:space="preserve">market-based approach </w:t>
      </w:r>
      <w:r w:rsidR="008F3A6C" w:rsidRPr="00EA4B66">
        <w:rPr>
          <w:color w:val="000000" w:themeColor="text1"/>
          <w:sz w:val="24"/>
          <w:szCs w:val="24"/>
          <w:lang w:val="en-US"/>
        </w:rPr>
        <w:t>focused on the holistic effects of IC value,</w:t>
      </w:r>
      <w:r w:rsidR="00B273AA" w:rsidRPr="00EA4B66">
        <w:rPr>
          <w:color w:val="000000" w:themeColor="text1"/>
          <w:sz w:val="24"/>
          <w:szCs w:val="24"/>
          <w:lang w:val="en-US"/>
        </w:rPr>
        <w:t xml:space="preserve"> </w:t>
      </w:r>
      <w:r w:rsidR="00987865" w:rsidRPr="00EA4B66">
        <w:rPr>
          <w:color w:val="000000" w:themeColor="text1"/>
          <w:sz w:val="24"/>
          <w:szCs w:val="24"/>
          <w:lang w:val="en-US"/>
        </w:rPr>
        <w:t xml:space="preserve">Goebel (2015) </w:t>
      </w:r>
      <w:r w:rsidR="00AF0F2E" w:rsidRPr="00EA4B66">
        <w:rPr>
          <w:color w:val="000000" w:themeColor="text1"/>
          <w:sz w:val="24"/>
          <w:szCs w:val="24"/>
          <w:lang w:val="en-US"/>
        </w:rPr>
        <w:t>investigate</w:t>
      </w:r>
      <w:r w:rsidR="00987865" w:rsidRPr="00EA4B66">
        <w:rPr>
          <w:color w:val="000000" w:themeColor="text1"/>
          <w:sz w:val="24"/>
          <w:szCs w:val="24"/>
          <w:lang w:val="en-US"/>
        </w:rPr>
        <w:t>s</w:t>
      </w:r>
      <w:r w:rsidR="00AF0F2E" w:rsidRPr="00EA4B66">
        <w:rPr>
          <w:color w:val="000000" w:themeColor="text1"/>
          <w:sz w:val="24"/>
          <w:szCs w:val="24"/>
          <w:lang w:val="en-US"/>
        </w:rPr>
        <w:t xml:space="preserve"> the relationship between</w:t>
      </w:r>
      <w:r w:rsidR="00B8360B" w:rsidRPr="00EA4B66">
        <w:rPr>
          <w:color w:val="000000" w:themeColor="text1"/>
          <w:sz w:val="24"/>
          <w:szCs w:val="24"/>
          <w:lang w:val="en-US"/>
        </w:rPr>
        <w:t xml:space="preserve"> IC</w:t>
      </w:r>
      <w:r w:rsidR="00987865" w:rsidRPr="00EA4B66">
        <w:rPr>
          <w:color w:val="000000" w:themeColor="text1"/>
          <w:sz w:val="24"/>
          <w:szCs w:val="24"/>
          <w:lang w:val="en-US"/>
        </w:rPr>
        <w:t>,</w:t>
      </w:r>
      <w:r w:rsidR="001E4F86" w:rsidRPr="00EA4B66">
        <w:rPr>
          <w:color w:val="000000" w:themeColor="text1"/>
          <w:sz w:val="24"/>
          <w:szCs w:val="24"/>
          <w:lang w:val="en-US"/>
        </w:rPr>
        <w:t xml:space="preserve"> proxied </w:t>
      </w:r>
      <w:r w:rsidR="00D20072" w:rsidRPr="00EA4B66">
        <w:rPr>
          <w:color w:val="000000" w:themeColor="text1"/>
          <w:sz w:val="24"/>
          <w:szCs w:val="24"/>
          <w:lang w:val="en-US"/>
        </w:rPr>
        <w:t>as</w:t>
      </w:r>
      <w:r w:rsidR="001E4F86" w:rsidRPr="00EA4B66">
        <w:rPr>
          <w:color w:val="000000" w:themeColor="text1"/>
          <w:sz w:val="24"/>
          <w:szCs w:val="24"/>
          <w:lang w:val="en-US"/>
        </w:rPr>
        <w:t xml:space="preserve"> the </w:t>
      </w:r>
      <w:r w:rsidR="00D20072" w:rsidRPr="00EA4B66">
        <w:rPr>
          <w:color w:val="000000" w:themeColor="text1"/>
          <w:sz w:val="24"/>
          <w:szCs w:val="24"/>
          <w:lang w:val="en-US"/>
        </w:rPr>
        <w:t>l</w:t>
      </w:r>
      <w:r w:rsidR="001E4F86" w:rsidRPr="00EA4B66">
        <w:rPr>
          <w:color w:val="000000" w:themeColor="text1"/>
          <w:sz w:val="24"/>
          <w:szCs w:val="24"/>
          <w:lang w:val="en-US"/>
        </w:rPr>
        <w:t xml:space="preserve">ong-run </w:t>
      </w:r>
      <w:r w:rsidR="00391D74" w:rsidRPr="00EA4B66">
        <w:rPr>
          <w:color w:val="000000" w:themeColor="text1"/>
          <w:sz w:val="24"/>
          <w:szCs w:val="24"/>
          <w:lang w:val="en-US"/>
        </w:rPr>
        <w:t>value</w:t>
      </w:r>
      <w:r w:rsidR="001E4F86" w:rsidRPr="00EA4B66">
        <w:rPr>
          <w:color w:val="000000" w:themeColor="text1"/>
          <w:sz w:val="24"/>
          <w:szCs w:val="24"/>
          <w:lang w:val="en-US"/>
        </w:rPr>
        <w:t xml:space="preserve"> to book value</w:t>
      </w:r>
      <w:r w:rsidR="00391D74" w:rsidRPr="00EA4B66">
        <w:rPr>
          <w:color w:val="000000" w:themeColor="text1"/>
          <w:sz w:val="24"/>
          <w:szCs w:val="24"/>
          <w:lang w:val="en-US"/>
        </w:rPr>
        <w:t xml:space="preserve"> (LRVTB)</w:t>
      </w:r>
      <w:r w:rsidR="00987865" w:rsidRPr="00EA4B66">
        <w:rPr>
          <w:color w:val="000000" w:themeColor="text1"/>
          <w:sz w:val="24"/>
          <w:szCs w:val="24"/>
          <w:lang w:val="en-US"/>
        </w:rPr>
        <w:t>,</w:t>
      </w:r>
      <w:r w:rsidR="00D20072" w:rsidRPr="00EA4B66">
        <w:rPr>
          <w:color w:val="000000" w:themeColor="text1"/>
          <w:sz w:val="24"/>
          <w:szCs w:val="24"/>
          <w:lang w:val="en-US"/>
        </w:rPr>
        <w:t xml:space="preserve"> </w:t>
      </w:r>
      <w:r w:rsidR="00AF0F2E" w:rsidRPr="00EA4B66">
        <w:rPr>
          <w:color w:val="000000" w:themeColor="text1"/>
          <w:sz w:val="24"/>
          <w:szCs w:val="24"/>
          <w:lang w:val="en-US"/>
        </w:rPr>
        <w:t>and</w:t>
      </w:r>
      <w:r w:rsidR="00B8360B" w:rsidRPr="00EA4B66">
        <w:rPr>
          <w:color w:val="000000" w:themeColor="text1"/>
          <w:sz w:val="24"/>
          <w:szCs w:val="24"/>
          <w:lang w:val="en-US"/>
        </w:rPr>
        <w:t xml:space="preserve"> </w:t>
      </w:r>
      <w:r w:rsidR="00E02B50">
        <w:rPr>
          <w:color w:val="000000" w:themeColor="text1"/>
          <w:sz w:val="24"/>
          <w:szCs w:val="24"/>
          <w:lang w:val="en-US"/>
        </w:rPr>
        <w:lastRenderedPageBreak/>
        <w:t>IA</w:t>
      </w:r>
      <w:r w:rsidR="00271B03" w:rsidRPr="00EA4B66">
        <w:rPr>
          <w:color w:val="000000" w:themeColor="text1"/>
          <w:sz w:val="24"/>
          <w:szCs w:val="24"/>
          <w:lang w:val="en-US"/>
        </w:rPr>
        <w:t xml:space="preserve">, </w:t>
      </w:r>
      <w:r w:rsidR="00987865" w:rsidRPr="00EA4B66">
        <w:rPr>
          <w:color w:val="000000" w:themeColor="text1"/>
          <w:sz w:val="24"/>
          <w:szCs w:val="24"/>
          <w:lang w:val="en-US"/>
        </w:rPr>
        <w:t xml:space="preserve">though </w:t>
      </w:r>
      <w:r w:rsidR="009B053A" w:rsidRPr="00EA4B66">
        <w:rPr>
          <w:color w:val="000000" w:themeColor="text1"/>
          <w:sz w:val="24"/>
          <w:szCs w:val="24"/>
          <w:lang w:val="en-US"/>
        </w:rPr>
        <w:t>find</w:t>
      </w:r>
      <w:r w:rsidR="00987865" w:rsidRPr="00EA4B66">
        <w:rPr>
          <w:color w:val="000000" w:themeColor="text1"/>
          <w:sz w:val="24"/>
          <w:szCs w:val="24"/>
          <w:lang w:val="en-US"/>
        </w:rPr>
        <w:t>s</w:t>
      </w:r>
      <w:r w:rsidR="009B053A" w:rsidRPr="00EA4B66">
        <w:rPr>
          <w:color w:val="000000" w:themeColor="text1"/>
          <w:sz w:val="24"/>
          <w:szCs w:val="24"/>
          <w:lang w:val="en-US"/>
        </w:rPr>
        <w:t xml:space="preserve"> no significant </w:t>
      </w:r>
      <w:r w:rsidR="00987865" w:rsidRPr="00EA4B66">
        <w:rPr>
          <w:color w:val="000000" w:themeColor="text1"/>
          <w:sz w:val="24"/>
          <w:szCs w:val="24"/>
          <w:lang w:val="en-US"/>
        </w:rPr>
        <w:t>relation</w:t>
      </w:r>
      <w:r w:rsidR="00D20072" w:rsidRPr="00EA4B66">
        <w:rPr>
          <w:color w:val="000000" w:themeColor="text1"/>
          <w:sz w:val="24"/>
          <w:szCs w:val="24"/>
          <w:lang w:val="en-US"/>
        </w:rPr>
        <w:t>.</w:t>
      </w:r>
      <w:r w:rsidR="00251A40" w:rsidRPr="00EA4B66">
        <w:rPr>
          <w:color w:val="000000" w:themeColor="text1"/>
          <w:sz w:val="24"/>
          <w:szCs w:val="24"/>
          <w:lang w:val="en-US"/>
        </w:rPr>
        <w:t xml:space="preserve"> Villalonga (2004) measures IC using R&amp;D</w:t>
      </w:r>
      <w:r w:rsidR="00472985" w:rsidRPr="00EA4B66">
        <w:rPr>
          <w:color w:val="000000" w:themeColor="text1"/>
          <w:sz w:val="24"/>
          <w:szCs w:val="24"/>
          <w:lang w:val="en-US"/>
        </w:rPr>
        <w:t xml:space="preserve"> expenditure</w:t>
      </w:r>
      <w:r w:rsidR="00251A40" w:rsidRPr="00EA4B66">
        <w:rPr>
          <w:color w:val="000000" w:themeColor="text1"/>
          <w:sz w:val="24"/>
          <w:szCs w:val="24"/>
          <w:lang w:val="en-US"/>
        </w:rPr>
        <w:t>, advertising</w:t>
      </w:r>
      <w:r w:rsidR="00092724" w:rsidRPr="00EA4B66">
        <w:rPr>
          <w:color w:val="000000" w:themeColor="text1"/>
          <w:sz w:val="24"/>
          <w:szCs w:val="24"/>
          <w:lang w:val="en-US"/>
        </w:rPr>
        <w:t xml:space="preserve"> </w:t>
      </w:r>
      <w:r w:rsidR="00472985" w:rsidRPr="00EA4B66">
        <w:rPr>
          <w:color w:val="000000" w:themeColor="text1"/>
          <w:sz w:val="24"/>
          <w:szCs w:val="24"/>
          <w:lang w:val="en-US"/>
        </w:rPr>
        <w:t xml:space="preserve">expenditure </w:t>
      </w:r>
      <w:r w:rsidR="00092724" w:rsidRPr="00EA4B66">
        <w:rPr>
          <w:color w:val="000000" w:themeColor="text1"/>
          <w:sz w:val="24"/>
          <w:szCs w:val="24"/>
          <w:lang w:val="en-US"/>
        </w:rPr>
        <w:t>(</w:t>
      </w:r>
      <w:r w:rsidR="005E37E3" w:rsidRPr="00EA4B66">
        <w:rPr>
          <w:color w:val="000000" w:themeColor="text1"/>
          <w:sz w:val="24"/>
          <w:szCs w:val="24"/>
          <w:lang w:val="en-US"/>
        </w:rPr>
        <w:t xml:space="preserve">recognized in the income statement </w:t>
      </w:r>
      <w:r w:rsidRPr="00EA4B66">
        <w:rPr>
          <w:color w:val="000000" w:themeColor="text1"/>
          <w:sz w:val="24"/>
          <w:szCs w:val="24"/>
          <w:lang w:val="en-US"/>
        </w:rPr>
        <w:t xml:space="preserve">for </w:t>
      </w:r>
      <w:r w:rsidR="005E37E3" w:rsidRPr="00EA4B66">
        <w:rPr>
          <w:color w:val="000000" w:themeColor="text1"/>
          <w:sz w:val="24"/>
          <w:szCs w:val="24"/>
          <w:lang w:val="en-US"/>
        </w:rPr>
        <w:t>the year)</w:t>
      </w:r>
      <w:r w:rsidR="00092724" w:rsidRPr="00EA4B66">
        <w:rPr>
          <w:color w:val="000000" w:themeColor="text1"/>
          <w:sz w:val="24"/>
          <w:szCs w:val="24"/>
          <w:lang w:val="en-US"/>
        </w:rPr>
        <w:t xml:space="preserve"> </w:t>
      </w:r>
      <w:r w:rsidR="00251A40" w:rsidRPr="00EA4B66">
        <w:rPr>
          <w:color w:val="000000" w:themeColor="text1"/>
          <w:sz w:val="24"/>
          <w:szCs w:val="24"/>
          <w:lang w:val="en-US"/>
        </w:rPr>
        <w:t xml:space="preserve">and </w:t>
      </w:r>
      <w:r w:rsidR="008A62F4" w:rsidRPr="00EA4B66">
        <w:rPr>
          <w:color w:val="000000" w:themeColor="text1"/>
          <w:sz w:val="24"/>
          <w:szCs w:val="24"/>
          <w:lang w:val="en-US"/>
        </w:rPr>
        <w:t xml:space="preserve">(capitalized) </w:t>
      </w:r>
      <w:r w:rsidR="00251A40" w:rsidRPr="00EA4B66">
        <w:rPr>
          <w:color w:val="000000" w:themeColor="text1"/>
          <w:sz w:val="24"/>
          <w:szCs w:val="24"/>
          <w:lang w:val="en-US"/>
        </w:rPr>
        <w:t xml:space="preserve">intangible assets recognized </w:t>
      </w:r>
      <w:r w:rsidR="00987865" w:rsidRPr="00EA4B66">
        <w:rPr>
          <w:color w:val="000000" w:themeColor="text1"/>
          <w:sz w:val="24"/>
          <w:szCs w:val="24"/>
          <w:lang w:val="en-US"/>
        </w:rPr>
        <w:t xml:space="preserve">on </w:t>
      </w:r>
      <w:r w:rsidR="00251A40" w:rsidRPr="00EA4B66">
        <w:rPr>
          <w:color w:val="000000" w:themeColor="text1"/>
          <w:sz w:val="24"/>
          <w:szCs w:val="24"/>
          <w:lang w:val="en-US"/>
        </w:rPr>
        <w:t>the balance sheet</w:t>
      </w:r>
      <w:r w:rsidR="00472985" w:rsidRPr="00EA4B66">
        <w:rPr>
          <w:color w:val="000000" w:themeColor="text1"/>
          <w:sz w:val="24"/>
          <w:szCs w:val="24"/>
          <w:lang w:val="en-US"/>
        </w:rPr>
        <w:t>,</w:t>
      </w:r>
      <w:r w:rsidR="005B5A98" w:rsidRPr="00EA4B66">
        <w:rPr>
          <w:color w:val="000000" w:themeColor="text1"/>
          <w:sz w:val="24"/>
          <w:szCs w:val="24"/>
          <w:lang w:val="en-US"/>
        </w:rPr>
        <w:t xml:space="preserve"> and</w:t>
      </w:r>
      <w:r w:rsidR="00987865" w:rsidRPr="00EA4B66">
        <w:rPr>
          <w:color w:val="000000" w:themeColor="text1"/>
          <w:sz w:val="24"/>
          <w:szCs w:val="24"/>
          <w:lang w:val="en-US"/>
        </w:rPr>
        <w:t xml:space="preserve"> </w:t>
      </w:r>
      <w:r w:rsidR="00251A40" w:rsidRPr="00EA4B66">
        <w:rPr>
          <w:color w:val="000000" w:themeColor="text1"/>
          <w:sz w:val="24"/>
          <w:szCs w:val="24"/>
          <w:lang w:val="en-US"/>
        </w:rPr>
        <w:t>finds</w:t>
      </w:r>
      <w:r w:rsidR="00126D83" w:rsidRPr="00EA4B66">
        <w:rPr>
          <w:color w:val="000000" w:themeColor="text1"/>
          <w:sz w:val="24"/>
          <w:szCs w:val="24"/>
          <w:lang w:val="en-US"/>
        </w:rPr>
        <w:t xml:space="preserve"> that R&amp;D and advertising expenditures are important components</w:t>
      </w:r>
      <w:r w:rsidR="00251A40" w:rsidRPr="00EA4B66">
        <w:rPr>
          <w:color w:val="000000" w:themeColor="text1"/>
          <w:sz w:val="24"/>
          <w:szCs w:val="24"/>
          <w:lang w:val="en-US"/>
        </w:rPr>
        <w:t xml:space="preserve"> </w:t>
      </w:r>
      <w:r w:rsidR="00126D83" w:rsidRPr="00EA4B66">
        <w:rPr>
          <w:color w:val="000000" w:themeColor="text1"/>
          <w:sz w:val="24"/>
          <w:szCs w:val="24"/>
          <w:lang w:val="en-US"/>
        </w:rPr>
        <w:t>of IC value since the</w:t>
      </w:r>
      <w:r w:rsidR="005B5A98" w:rsidRPr="00EA4B66">
        <w:rPr>
          <w:color w:val="000000" w:themeColor="text1"/>
          <w:sz w:val="24"/>
          <w:szCs w:val="24"/>
          <w:lang w:val="en-US"/>
        </w:rPr>
        <w:t>re is a</w:t>
      </w:r>
      <w:r w:rsidR="00126D83" w:rsidRPr="00EA4B66">
        <w:rPr>
          <w:color w:val="000000" w:themeColor="text1"/>
          <w:sz w:val="24"/>
          <w:szCs w:val="24"/>
          <w:lang w:val="en-US"/>
        </w:rPr>
        <w:t xml:space="preserve"> positive association between </w:t>
      </w:r>
      <w:r w:rsidR="009A4E81" w:rsidRPr="00EA4B66">
        <w:rPr>
          <w:color w:val="000000" w:themeColor="text1"/>
          <w:sz w:val="24"/>
          <w:szCs w:val="24"/>
          <w:lang w:val="en-US"/>
        </w:rPr>
        <w:t>these variables</w:t>
      </w:r>
      <w:r w:rsidR="00126D83" w:rsidRPr="00EA4B66">
        <w:rPr>
          <w:color w:val="000000" w:themeColor="text1"/>
          <w:sz w:val="24"/>
          <w:szCs w:val="24"/>
          <w:lang w:val="en-US"/>
        </w:rPr>
        <w:t xml:space="preserve"> and Tobin’s q </w:t>
      </w:r>
      <w:r w:rsidR="005B5A98" w:rsidRPr="00EA4B66">
        <w:rPr>
          <w:color w:val="000000" w:themeColor="text1"/>
          <w:sz w:val="24"/>
          <w:szCs w:val="24"/>
          <w:lang w:val="en-US"/>
        </w:rPr>
        <w:t>across</w:t>
      </w:r>
      <w:r w:rsidR="00126D83" w:rsidRPr="00EA4B66">
        <w:rPr>
          <w:color w:val="000000" w:themeColor="text1"/>
          <w:sz w:val="24"/>
          <w:szCs w:val="24"/>
          <w:lang w:val="en-US"/>
        </w:rPr>
        <w:t xml:space="preserve"> different industry sectors.</w:t>
      </w:r>
      <w:r w:rsidR="001B1572" w:rsidRPr="00EA4B66">
        <w:rPr>
          <w:color w:val="000000" w:themeColor="text1"/>
          <w:sz w:val="24"/>
          <w:szCs w:val="24"/>
          <w:lang w:val="en-US"/>
        </w:rPr>
        <w:t xml:space="preserve"> </w:t>
      </w:r>
      <w:r w:rsidR="005B5A98" w:rsidRPr="00EA4B66">
        <w:rPr>
          <w:color w:val="000000" w:themeColor="text1"/>
          <w:sz w:val="24"/>
          <w:szCs w:val="24"/>
          <w:lang w:val="en-US"/>
        </w:rPr>
        <w:t xml:space="preserve">Here, </w:t>
      </w:r>
      <w:r w:rsidR="009A4E81" w:rsidRPr="00EA4B66">
        <w:rPr>
          <w:color w:val="000000" w:themeColor="text1"/>
          <w:sz w:val="24"/>
          <w:szCs w:val="24"/>
          <w:lang w:val="en-US"/>
        </w:rPr>
        <w:t xml:space="preserve">Tobin’s q </w:t>
      </w:r>
      <w:r w:rsidR="00314175" w:rsidRPr="00EA4B66">
        <w:rPr>
          <w:color w:val="000000" w:themeColor="text1"/>
          <w:sz w:val="24"/>
          <w:szCs w:val="24"/>
          <w:lang w:val="en-US"/>
        </w:rPr>
        <w:t>replaces</w:t>
      </w:r>
      <w:r w:rsidR="005B5A98" w:rsidRPr="00EA4B66">
        <w:rPr>
          <w:color w:val="000000" w:themeColor="text1"/>
          <w:sz w:val="24"/>
          <w:szCs w:val="24"/>
          <w:lang w:val="en-US"/>
        </w:rPr>
        <w:t xml:space="preserve"> </w:t>
      </w:r>
      <w:r w:rsidR="009A4E81" w:rsidRPr="00EA4B66">
        <w:rPr>
          <w:color w:val="000000" w:themeColor="text1"/>
          <w:sz w:val="24"/>
          <w:szCs w:val="24"/>
          <w:lang w:val="en-US"/>
        </w:rPr>
        <w:t>book value with its replacement cost</w:t>
      </w:r>
      <w:r w:rsidR="00314175" w:rsidRPr="00EA4B66">
        <w:rPr>
          <w:color w:val="000000" w:themeColor="text1"/>
          <w:sz w:val="24"/>
          <w:szCs w:val="24"/>
          <w:lang w:val="en-US"/>
        </w:rPr>
        <w:t xml:space="preserve"> in the </w:t>
      </w:r>
      <w:r w:rsidR="002A387F">
        <w:rPr>
          <w:color w:val="000000" w:themeColor="text1"/>
          <w:sz w:val="24"/>
          <w:szCs w:val="24"/>
          <w:lang w:val="en-US"/>
        </w:rPr>
        <w:t>MTB</w:t>
      </w:r>
      <w:r w:rsidR="00314175" w:rsidRPr="00EA4B66">
        <w:rPr>
          <w:color w:val="000000" w:themeColor="text1"/>
          <w:sz w:val="24"/>
          <w:szCs w:val="24"/>
          <w:lang w:val="en-US"/>
        </w:rPr>
        <w:t xml:space="preserve"> ratio. </w:t>
      </w:r>
    </w:p>
    <w:p w14:paraId="5EC5D44F" w14:textId="306A7E1F" w:rsidR="00A17397" w:rsidRPr="00EA4B66" w:rsidRDefault="00497C86" w:rsidP="00497C86">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987865" w:rsidRPr="00EA4B66">
        <w:rPr>
          <w:color w:val="000000" w:themeColor="text1"/>
          <w:sz w:val="24"/>
          <w:szCs w:val="24"/>
          <w:lang w:val="en-US"/>
        </w:rPr>
        <w:t>Thus</w:t>
      </w:r>
      <w:r w:rsidR="00E438CD" w:rsidRPr="00EA4B66">
        <w:rPr>
          <w:color w:val="000000" w:themeColor="text1"/>
          <w:sz w:val="24"/>
          <w:szCs w:val="24"/>
          <w:lang w:val="en-US"/>
        </w:rPr>
        <w:t>, c</w:t>
      </w:r>
      <w:r w:rsidR="00792A36" w:rsidRPr="00EA4B66">
        <w:rPr>
          <w:color w:val="000000" w:themeColor="text1"/>
          <w:sz w:val="24"/>
          <w:szCs w:val="24"/>
          <w:lang w:val="en-US"/>
        </w:rPr>
        <w:t>onsistent with</w:t>
      </w:r>
      <w:r w:rsidR="002E74D7" w:rsidRPr="00EA4B66">
        <w:rPr>
          <w:color w:val="000000" w:themeColor="text1"/>
          <w:sz w:val="24"/>
          <w:szCs w:val="24"/>
          <w:lang w:val="en-US"/>
        </w:rPr>
        <w:t xml:space="preserve"> the </w:t>
      </w:r>
      <w:r w:rsidR="00792A36" w:rsidRPr="00EA4B66">
        <w:rPr>
          <w:color w:val="000000" w:themeColor="text1"/>
          <w:sz w:val="24"/>
          <w:szCs w:val="24"/>
          <w:lang w:val="en-US"/>
        </w:rPr>
        <w:t xml:space="preserve">existing </w:t>
      </w:r>
      <w:r w:rsidR="002E74D7" w:rsidRPr="00EA4B66">
        <w:rPr>
          <w:color w:val="000000" w:themeColor="text1"/>
          <w:sz w:val="24"/>
          <w:szCs w:val="24"/>
          <w:lang w:val="en-US"/>
        </w:rPr>
        <w:t>literature</w:t>
      </w:r>
      <w:r w:rsidR="00D34FB9" w:rsidRPr="00EA4B66">
        <w:rPr>
          <w:color w:val="000000" w:themeColor="text1"/>
          <w:sz w:val="24"/>
          <w:szCs w:val="24"/>
          <w:lang w:val="en-US"/>
        </w:rPr>
        <w:t xml:space="preserve"> (</w:t>
      </w:r>
      <w:r w:rsidR="004B29C7" w:rsidRPr="00EA4B66">
        <w:rPr>
          <w:color w:val="000000" w:themeColor="text1"/>
          <w:sz w:val="24"/>
          <w:szCs w:val="24"/>
          <w:lang w:val="en-US"/>
        </w:rPr>
        <w:t>Villalonga, 2004; Goebel, 2015</w:t>
      </w:r>
      <w:r w:rsidR="002E74D7" w:rsidRPr="00EA4B66">
        <w:rPr>
          <w:noProof/>
          <w:color w:val="000000" w:themeColor="text1"/>
          <w:sz w:val="24"/>
          <w:szCs w:val="24"/>
          <w:lang w:val="en-US"/>
        </w:rPr>
        <w:t>)</w:t>
      </w:r>
      <w:r w:rsidR="00D52890" w:rsidRPr="00EA4B66">
        <w:rPr>
          <w:noProof/>
          <w:color w:val="000000" w:themeColor="text1"/>
          <w:sz w:val="24"/>
          <w:szCs w:val="24"/>
          <w:lang w:val="en-US"/>
        </w:rPr>
        <w:t xml:space="preserve"> the following hypothes</w:t>
      </w:r>
      <w:r w:rsidR="00987865" w:rsidRPr="00EA4B66">
        <w:rPr>
          <w:noProof/>
          <w:color w:val="000000" w:themeColor="text1"/>
          <w:sz w:val="24"/>
          <w:szCs w:val="24"/>
          <w:lang w:val="en-US"/>
        </w:rPr>
        <w:t>i</w:t>
      </w:r>
      <w:r w:rsidR="00D52890" w:rsidRPr="00EA4B66">
        <w:rPr>
          <w:noProof/>
          <w:color w:val="000000" w:themeColor="text1"/>
          <w:sz w:val="24"/>
          <w:szCs w:val="24"/>
          <w:lang w:val="en-US"/>
        </w:rPr>
        <w:t>s</w:t>
      </w:r>
      <w:r w:rsidR="004B29C7" w:rsidRPr="00EA4B66">
        <w:rPr>
          <w:noProof/>
          <w:color w:val="000000" w:themeColor="text1"/>
          <w:sz w:val="24"/>
          <w:szCs w:val="24"/>
          <w:lang w:val="en-US"/>
        </w:rPr>
        <w:t xml:space="preserve"> is proposed</w:t>
      </w:r>
      <w:r w:rsidR="00D52890" w:rsidRPr="00EA4B66">
        <w:rPr>
          <w:noProof/>
          <w:color w:val="000000" w:themeColor="text1"/>
          <w:sz w:val="24"/>
          <w:szCs w:val="24"/>
          <w:lang w:val="en-US"/>
        </w:rPr>
        <w:t xml:space="preserve">: </w:t>
      </w:r>
    </w:p>
    <w:p w14:paraId="666ECB04" w14:textId="77777777" w:rsidR="00BD6AE1" w:rsidRPr="00EA4B66" w:rsidRDefault="00A17397" w:rsidP="000976E6">
      <w:pPr>
        <w:spacing w:after="0" w:line="240" w:lineRule="auto"/>
        <w:ind w:firstLine="284"/>
        <w:jc w:val="both"/>
        <w:rPr>
          <w:b/>
          <w:i/>
          <w:color w:val="000000" w:themeColor="text1"/>
          <w:sz w:val="24"/>
          <w:szCs w:val="24"/>
          <w:lang w:val="en-US"/>
        </w:rPr>
      </w:pPr>
      <w:r w:rsidRPr="00EA4B66">
        <w:rPr>
          <w:b/>
          <w:i/>
          <w:color w:val="000000" w:themeColor="text1"/>
          <w:sz w:val="24"/>
          <w:szCs w:val="24"/>
          <w:lang w:val="en-US"/>
        </w:rPr>
        <w:t>H</w:t>
      </w:r>
      <w:r w:rsidR="00D52890" w:rsidRPr="00EA4B66">
        <w:rPr>
          <w:b/>
          <w:i/>
          <w:color w:val="000000" w:themeColor="text1"/>
          <w:sz w:val="24"/>
          <w:szCs w:val="24"/>
          <w:lang w:val="en-US"/>
        </w:rPr>
        <w:t>1</w:t>
      </w:r>
      <w:r w:rsidR="00792A36" w:rsidRPr="00EA4B66">
        <w:rPr>
          <w:b/>
          <w:i/>
          <w:color w:val="000000" w:themeColor="text1"/>
          <w:sz w:val="24"/>
          <w:szCs w:val="24"/>
          <w:lang w:val="en-US"/>
        </w:rPr>
        <w:t>:</w:t>
      </w:r>
      <w:r w:rsidRPr="00EA4B66">
        <w:rPr>
          <w:b/>
          <w:i/>
          <w:color w:val="000000" w:themeColor="text1"/>
          <w:sz w:val="24"/>
          <w:szCs w:val="24"/>
          <w:lang w:val="en-US"/>
        </w:rPr>
        <w:t xml:space="preserve"> </w:t>
      </w:r>
      <w:r w:rsidR="00792A36" w:rsidRPr="00EA4B66">
        <w:rPr>
          <w:b/>
          <w:i/>
          <w:color w:val="000000" w:themeColor="text1"/>
          <w:sz w:val="24"/>
          <w:szCs w:val="24"/>
          <w:lang w:val="en-US"/>
        </w:rPr>
        <w:t>IC value is positively associated with</w:t>
      </w:r>
      <w:r w:rsidR="00792A36" w:rsidRPr="00EA4B66" w:rsidDel="00792A36">
        <w:rPr>
          <w:b/>
          <w:i/>
          <w:color w:val="000000" w:themeColor="text1"/>
          <w:sz w:val="24"/>
          <w:szCs w:val="24"/>
          <w:lang w:val="en-US"/>
        </w:rPr>
        <w:t xml:space="preserve"> </w:t>
      </w:r>
      <w:r w:rsidR="00792A36" w:rsidRPr="00EA4B66">
        <w:rPr>
          <w:b/>
          <w:i/>
          <w:color w:val="000000" w:themeColor="text1"/>
          <w:sz w:val="24"/>
          <w:szCs w:val="24"/>
          <w:lang w:val="en-US"/>
        </w:rPr>
        <w:t>recognized</w:t>
      </w:r>
      <w:r w:rsidRPr="00EA4B66">
        <w:rPr>
          <w:b/>
          <w:i/>
          <w:color w:val="000000" w:themeColor="text1"/>
          <w:sz w:val="24"/>
          <w:szCs w:val="24"/>
          <w:lang w:val="en-US"/>
        </w:rPr>
        <w:t xml:space="preserve"> </w:t>
      </w:r>
      <w:r w:rsidR="00DC747E" w:rsidRPr="00EA4B66">
        <w:rPr>
          <w:b/>
          <w:i/>
          <w:color w:val="000000" w:themeColor="text1"/>
          <w:sz w:val="24"/>
          <w:szCs w:val="24"/>
          <w:lang w:val="en-US"/>
        </w:rPr>
        <w:t xml:space="preserve">(visible) </w:t>
      </w:r>
      <w:r w:rsidRPr="00EA4B66">
        <w:rPr>
          <w:b/>
          <w:i/>
          <w:color w:val="000000" w:themeColor="text1"/>
          <w:sz w:val="24"/>
          <w:szCs w:val="24"/>
          <w:lang w:val="en-US"/>
        </w:rPr>
        <w:t>intangible assets</w:t>
      </w:r>
      <w:r w:rsidR="00792A36" w:rsidRPr="00EA4B66">
        <w:rPr>
          <w:b/>
          <w:i/>
          <w:color w:val="000000" w:themeColor="text1"/>
          <w:sz w:val="24"/>
          <w:szCs w:val="24"/>
          <w:lang w:val="en-US"/>
        </w:rPr>
        <w:t>.</w:t>
      </w:r>
    </w:p>
    <w:p w14:paraId="2A4EDD42" w14:textId="77777777" w:rsidR="00355E9D" w:rsidRPr="00EA4B66" w:rsidRDefault="00355E9D" w:rsidP="00355E9D">
      <w:pPr>
        <w:spacing w:after="0" w:line="240" w:lineRule="auto"/>
        <w:jc w:val="both"/>
        <w:rPr>
          <w:color w:val="000000" w:themeColor="text1"/>
          <w:sz w:val="24"/>
          <w:szCs w:val="24"/>
          <w:lang w:val="en-US"/>
        </w:rPr>
      </w:pPr>
    </w:p>
    <w:p w14:paraId="768E8F1F" w14:textId="77777777" w:rsidR="00DB62C4" w:rsidRPr="00EA4B66" w:rsidRDefault="004468CB" w:rsidP="00355E9D">
      <w:pPr>
        <w:spacing w:after="0" w:line="240" w:lineRule="auto"/>
        <w:jc w:val="both"/>
        <w:rPr>
          <w:b/>
          <w:i/>
          <w:color w:val="000000" w:themeColor="text1"/>
          <w:sz w:val="24"/>
          <w:szCs w:val="24"/>
          <w:lang w:val="en-US"/>
        </w:rPr>
      </w:pPr>
      <w:r w:rsidRPr="00EA4B66">
        <w:rPr>
          <w:b/>
          <w:i/>
          <w:color w:val="000000" w:themeColor="text1"/>
          <w:sz w:val="24"/>
          <w:szCs w:val="24"/>
          <w:lang w:val="en-US"/>
        </w:rPr>
        <w:t>3</w:t>
      </w:r>
      <w:r w:rsidR="00E84844" w:rsidRPr="00EA4B66">
        <w:rPr>
          <w:b/>
          <w:i/>
          <w:color w:val="000000" w:themeColor="text1"/>
          <w:sz w:val="24"/>
          <w:szCs w:val="24"/>
          <w:lang w:val="en-US"/>
        </w:rPr>
        <w:t>.2. Firm size</w:t>
      </w:r>
    </w:p>
    <w:p w14:paraId="25A88A22" w14:textId="5F6CE996" w:rsidR="00426D89" w:rsidRPr="00EA4B66" w:rsidRDefault="00120675" w:rsidP="00120675">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426D89" w:rsidRPr="00EA4B66">
        <w:rPr>
          <w:color w:val="000000" w:themeColor="text1"/>
          <w:sz w:val="24"/>
          <w:szCs w:val="24"/>
          <w:lang w:val="en-US"/>
        </w:rPr>
        <w:t xml:space="preserve">As Youndt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(2004) and Goebel (2015) argue, firm size may be a positive driver of IC value, given the advantages of better access to resources </w:t>
      </w:r>
      <w:r w:rsidR="00630347" w:rsidRPr="00EA4B66">
        <w:rPr>
          <w:color w:val="000000" w:themeColor="text1"/>
          <w:sz w:val="24"/>
          <w:szCs w:val="24"/>
          <w:lang w:val="en-US"/>
        </w:rPr>
        <w:t>enjoyed by</w:t>
      </w:r>
      <w:r w:rsidR="00426D89" w:rsidRPr="00EA4B66">
        <w:rPr>
          <w:color w:val="000000" w:themeColor="text1"/>
          <w:sz w:val="24"/>
          <w:szCs w:val="24"/>
          <w:lang w:val="en-US"/>
        </w:rPr>
        <w:t xml:space="preserve"> larger firms </w:t>
      </w:r>
      <w:r w:rsidR="00630347" w:rsidRPr="00EA4B66">
        <w:rPr>
          <w:color w:val="000000" w:themeColor="text1"/>
          <w:sz w:val="24"/>
          <w:szCs w:val="24"/>
          <w:lang w:val="en-US"/>
        </w:rPr>
        <w:t>along with their</w:t>
      </w:r>
      <w:r w:rsidR="00426D89" w:rsidRPr="00EA4B66">
        <w:rPr>
          <w:color w:val="000000" w:themeColor="text1"/>
          <w:sz w:val="24"/>
          <w:szCs w:val="24"/>
          <w:lang w:val="en-US"/>
        </w:rPr>
        <w:t xml:space="preserve"> greater market power.</w:t>
      </w:r>
      <w:r w:rsidR="00630347" w:rsidRPr="00EA4B66">
        <w:rPr>
          <w:color w:val="000000" w:themeColor="text1"/>
          <w:sz w:val="24"/>
          <w:szCs w:val="24"/>
          <w:lang w:val="en-US"/>
        </w:rPr>
        <w:t xml:space="preserve"> </w:t>
      </w:r>
      <w:r w:rsidR="00426D89" w:rsidRPr="00EA4B66">
        <w:rPr>
          <w:color w:val="000000" w:themeColor="text1"/>
          <w:sz w:val="24"/>
          <w:szCs w:val="24"/>
          <w:lang w:val="en-US"/>
        </w:rPr>
        <w:t xml:space="preserve">On the other hand, </w:t>
      </w:r>
      <w:r w:rsidR="00630347" w:rsidRPr="00EA4B66">
        <w:rPr>
          <w:color w:val="000000" w:themeColor="text1"/>
          <w:sz w:val="24"/>
          <w:szCs w:val="24"/>
          <w:lang w:val="en-US"/>
        </w:rPr>
        <w:t xml:space="preserve">in their study of dividend paying firms, </w:t>
      </w:r>
      <w:r w:rsidR="00426D89" w:rsidRPr="00EA4B66">
        <w:rPr>
          <w:color w:val="000000" w:themeColor="text1"/>
          <w:sz w:val="24"/>
          <w:szCs w:val="24"/>
          <w:lang w:val="en-US"/>
        </w:rPr>
        <w:t>Fama and French (2001)</w:t>
      </w:r>
      <w:r w:rsidR="00630347" w:rsidRPr="00EA4B66">
        <w:rPr>
          <w:color w:val="000000" w:themeColor="text1"/>
          <w:sz w:val="24"/>
          <w:szCs w:val="24"/>
          <w:lang w:val="en-US"/>
        </w:rPr>
        <w:t xml:space="preserve"> </w:t>
      </w:r>
      <w:r w:rsidR="00426D89" w:rsidRPr="00EA4B66">
        <w:rPr>
          <w:color w:val="000000" w:themeColor="text1"/>
          <w:sz w:val="24"/>
          <w:szCs w:val="24"/>
          <w:lang w:val="en-US"/>
        </w:rPr>
        <w:t>highlight that smaller firms have better growth opportunities, higher asset growth rates</w:t>
      </w:r>
      <w:r w:rsidR="00630347" w:rsidRPr="00EA4B66">
        <w:rPr>
          <w:color w:val="000000" w:themeColor="text1"/>
          <w:sz w:val="24"/>
          <w:szCs w:val="24"/>
          <w:lang w:val="en-US"/>
        </w:rPr>
        <w:t>,</w:t>
      </w:r>
      <w:r w:rsidR="00426D89" w:rsidRPr="00EA4B66">
        <w:rPr>
          <w:color w:val="000000" w:themeColor="text1"/>
          <w:sz w:val="24"/>
          <w:szCs w:val="24"/>
          <w:lang w:val="en-US"/>
        </w:rPr>
        <w:t xml:space="preserve"> and thus </w:t>
      </w:r>
      <w:r w:rsidR="00630347" w:rsidRPr="00EA4B66">
        <w:rPr>
          <w:color w:val="000000" w:themeColor="text1"/>
          <w:sz w:val="24"/>
          <w:szCs w:val="24"/>
          <w:lang w:val="en-US"/>
        </w:rPr>
        <w:t xml:space="preserve">a </w:t>
      </w:r>
      <w:r w:rsidR="00426D89" w:rsidRPr="00EA4B66">
        <w:rPr>
          <w:color w:val="000000" w:themeColor="text1"/>
          <w:sz w:val="24"/>
          <w:szCs w:val="24"/>
          <w:lang w:val="en-US"/>
        </w:rPr>
        <w:t xml:space="preserve">higher MTB ratio. Moreover, Loderer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(2016), in their study </w:t>
      </w:r>
      <w:r w:rsidR="00630347" w:rsidRPr="00EA4B66">
        <w:rPr>
          <w:color w:val="000000" w:themeColor="text1"/>
          <w:sz w:val="24"/>
          <w:szCs w:val="24"/>
          <w:lang w:val="en-US"/>
        </w:rPr>
        <w:t xml:space="preserve">of </w:t>
      </w:r>
      <w:r w:rsidR="00426D89" w:rsidRPr="00EA4B66">
        <w:rPr>
          <w:color w:val="000000" w:themeColor="text1"/>
          <w:sz w:val="24"/>
          <w:szCs w:val="24"/>
          <w:lang w:val="en-US"/>
        </w:rPr>
        <w:t xml:space="preserve">firm rigidities and growth opportunities, </w:t>
      </w:r>
      <w:r w:rsidR="00055865" w:rsidRPr="00EA4B66">
        <w:rPr>
          <w:color w:val="000000" w:themeColor="text1"/>
          <w:sz w:val="24"/>
          <w:szCs w:val="24"/>
          <w:lang w:val="en-US"/>
        </w:rPr>
        <w:t xml:space="preserve">find </w:t>
      </w:r>
      <w:r w:rsidR="00426D89" w:rsidRPr="00EA4B66">
        <w:rPr>
          <w:color w:val="000000" w:themeColor="text1"/>
          <w:sz w:val="24"/>
          <w:szCs w:val="24"/>
          <w:lang w:val="en-US"/>
        </w:rPr>
        <w:t>that size has no impact on Tobin’s q.</w:t>
      </w:r>
    </w:p>
    <w:p w14:paraId="0AC4E6A3" w14:textId="66115400" w:rsidR="00426D89" w:rsidRPr="00EA4B66" w:rsidRDefault="00120675" w:rsidP="00120675">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630347" w:rsidRPr="00EA4B66">
        <w:rPr>
          <w:color w:val="000000" w:themeColor="text1"/>
          <w:sz w:val="24"/>
          <w:szCs w:val="24"/>
          <w:lang w:val="en-US"/>
        </w:rPr>
        <w:t>It is important</w:t>
      </w:r>
      <w:r w:rsidR="00426D89" w:rsidRPr="00EA4B66">
        <w:rPr>
          <w:color w:val="000000" w:themeColor="text1"/>
          <w:sz w:val="24"/>
          <w:szCs w:val="24"/>
          <w:lang w:val="en-US"/>
        </w:rPr>
        <w:t xml:space="preserve"> to investigate the influence of this variable on IC value (Pucci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2015), </w:t>
      </w:r>
      <w:r w:rsidR="00630347" w:rsidRPr="00EA4B66">
        <w:rPr>
          <w:color w:val="000000" w:themeColor="text1"/>
          <w:sz w:val="24"/>
          <w:szCs w:val="24"/>
          <w:lang w:val="en-US"/>
        </w:rPr>
        <w:t>consistent with</w:t>
      </w:r>
      <w:r w:rsidR="00426D89" w:rsidRPr="00EA4B66">
        <w:rPr>
          <w:color w:val="000000" w:themeColor="text1"/>
          <w:sz w:val="24"/>
          <w:szCs w:val="24"/>
          <w:lang w:val="en-US"/>
        </w:rPr>
        <w:t xml:space="preserve"> the </w:t>
      </w:r>
      <w:r w:rsidR="00090641">
        <w:rPr>
          <w:color w:val="000000" w:themeColor="text1"/>
          <w:sz w:val="24"/>
          <w:szCs w:val="24"/>
          <w:lang w:val="en-US"/>
        </w:rPr>
        <w:t>MCA</w:t>
      </w:r>
      <w:r w:rsidR="00630347" w:rsidRPr="00EA4B66">
        <w:rPr>
          <w:color w:val="000000" w:themeColor="text1"/>
          <w:sz w:val="24"/>
          <w:szCs w:val="24"/>
          <w:lang w:val="en-US"/>
        </w:rPr>
        <w:t xml:space="preserve">. </w:t>
      </w:r>
      <w:r w:rsidR="00426D89" w:rsidRPr="00EA4B66">
        <w:rPr>
          <w:color w:val="000000" w:themeColor="text1"/>
          <w:sz w:val="24"/>
          <w:szCs w:val="24"/>
          <w:lang w:val="en-US"/>
        </w:rPr>
        <w:t xml:space="preserve">Size is measured in a variety of ways in the existing literature. Size proxies include: market capitalization (White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2007; </w:t>
      </w:r>
      <w:r w:rsidR="00D21483" w:rsidRPr="00EA4B66">
        <w:rPr>
          <w:color w:val="000000" w:themeColor="text1"/>
          <w:sz w:val="24"/>
          <w:szCs w:val="24"/>
          <w:lang w:val="en-US"/>
        </w:rPr>
        <w:t xml:space="preserve">Castelo </w:t>
      </w:r>
      <w:r w:rsidR="00426D89" w:rsidRPr="00EA4B66">
        <w:rPr>
          <w:color w:val="000000" w:themeColor="text1"/>
          <w:sz w:val="24"/>
          <w:szCs w:val="24"/>
          <w:lang w:val="en-US"/>
        </w:rPr>
        <w:t xml:space="preserve">Branco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2011); total assets (Cerbioni and Parbonetti, 2007; Nurunnabi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2011; Goebel, 2015); and firm sales (Atan and Rahim, 2012). Moreover, some studies use more than one of these proxies (Bozzolan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2003; Youndt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2004; Oliveira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2006; Reed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2006) to capture firm size. </w:t>
      </w:r>
    </w:p>
    <w:p w14:paraId="1B56E39F" w14:textId="41D08387" w:rsidR="004D5B91" w:rsidRPr="00EA4B66" w:rsidRDefault="00120675" w:rsidP="00120675">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426D89" w:rsidRPr="00EA4B66">
        <w:rPr>
          <w:color w:val="000000" w:themeColor="text1"/>
          <w:sz w:val="24"/>
          <w:szCs w:val="24"/>
          <w:lang w:val="en-US"/>
        </w:rPr>
        <w:t xml:space="preserve">Fama and French (2001) find that smaller firms have </w:t>
      </w:r>
      <w:r w:rsidR="003A344E" w:rsidRPr="00EA4B66">
        <w:rPr>
          <w:color w:val="000000" w:themeColor="text1"/>
          <w:sz w:val="24"/>
          <w:szCs w:val="24"/>
          <w:lang w:val="en-US"/>
        </w:rPr>
        <w:t xml:space="preserve">a </w:t>
      </w:r>
      <w:r w:rsidR="00426D89" w:rsidRPr="00EA4B66">
        <w:rPr>
          <w:color w:val="000000" w:themeColor="text1"/>
          <w:sz w:val="24"/>
          <w:szCs w:val="24"/>
          <w:lang w:val="en-US"/>
        </w:rPr>
        <w:t xml:space="preserve">higher MTB ratio, while Loderer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(2016) find that firm size </w:t>
      </w:r>
      <w:r w:rsidR="003A344E" w:rsidRPr="00EA4B66">
        <w:rPr>
          <w:color w:val="000000" w:themeColor="text1"/>
          <w:sz w:val="24"/>
          <w:szCs w:val="24"/>
          <w:lang w:val="en-US"/>
        </w:rPr>
        <w:t>has no impact on</w:t>
      </w:r>
      <w:r w:rsidR="00426D89" w:rsidRPr="00EA4B66">
        <w:rPr>
          <w:color w:val="000000" w:themeColor="text1"/>
          <w:sz w:val="24"/>
          <w:szCs w:val="24"/>
          <w:lang w:val="en-US"/>
        </w:rPr>
        <w:t xml:space="preserve"> the negative relationship between firm age and Tobin’s q. In </w:t>
      </w:r>
      <w:r w:rsidR="003A344E" w:rsidRPr="00EA4B66">
        <w:rPr>
          <w:color w:val="000000" w:themeColor="text1"/>
          <w:sz w:val="24"/>
          <w:szCs w:val="24"/>
          <w:lang w:val="en-US"/>
        </w:rPr>
        <w:t xml:space="preserve">the </w:t>
      </w:r>
      <w:r w:rsidR="00426D89" w:rsidRPr="00EA4B66">
        <w:rPr>
          <w:color w:val="000000" w:themeColor="text1"/>
          <w:sz w:val="24"/>
          <w:szCs w:val="24"/>
          <w:lang w:val="en-US"/>
        </w:rPr>
        <w:t>IC literature, Goebel (2015), analyzing a sample of German listed companies, uses the natural logarithm of total assets as a proxy for firm size</w:t>
      </w:r>
      <w:r w:rsidR="003A344E" w:rsidRPr="00EA4B66">
        <w:rPr>
          <w:color w:val="000000" w:themeColor="text1"/>
          <w:sz w:val="24"/>
          <w:szCs w:val="24"/>
          <w:lang w:val="en-US"/>
        </w:rPr>
        <w:t>,</w:t>
      </w:r>
      <w:r w:rsidR="00426D89" w:rsidRPr="00EA4B66">
        <w:rPr>
          <w:color w:val="000000" w:themeColor="text1"/>
          <w:sz w:val="24"/>
          <w:szCs w:val="24"/>
          <w:lang w:val="en-US"/>
        </w:rPr>
        <w:t xml:space="preserve"> and argues for a positive relationship between the dependent variable, LRVTB (a variant of the MTB ratio), and firm size. However, she finds a negative but significant relationship between the two variables. In contrast, Reed </w:t>
      </w:r>
      <w:r w:rsidR="00426D89" w:rsidRPr="00EA4B66">
        <w:rPr>
          <w:i/>
          <w:color w:val="000000" w:themeColor="text1"/>
          <w:sz w:val="24"/>
          <w:szCs w:val="24"/>
          <w:lang w:val="en-US"/>
        </w:rPr>
        <w:t>et al</w:t>
      </w:r>
      <w:r w:rsidR="00426D89" w:rsidRPr="00EA4B66">
        <w:rPr>
          <w:color w:val="000000" w:themeColor="text1"/>
          <w:sz w:val="24"/>
          <w:szCs w:val="24"/>
          <w:lang w:val="en-US"/>
        </w:rPr>
        <w:t xml:space="preserve">. (2006) find a significant positive relationship between a proxy of IC value and firm size in the banking sector. </w:t>
      </w:r>
      <w:r w:rsidR="004D5B91" w:rsidRPr="00EA4B66">
        <w:rPr>
          <w:color w:val="000000" w:themeColor="text1"/>
          <w:sz w:val="24"/>
          <w:szCs w:val="24"/>
          <w:lang w:val="en-US"/>
        </w:rPr>
        <w:t xml:space="preserve"> </w:t>
      </w:r>
    </w:p>
    <w:p w14:paraId="6DF78E76" w14:textId="29C8476C" w:rsidR="004D5B91" w:rsidRPr="00EA4B66" w:rsidRDefault="00120675" w:rsidP="00120675">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4D5B91" w:rsidRPr="00EA4B66">
        <w:rPr>
          <w:color w:val="000000" w:themeColor="text1"/>
          <w:sz w:val="24"/>
          <w:szCs w:val="24"/>
          <w:lang w:val="en-US"/>
        </w:rPr>
        <w:t xml:space="preserve">In accordance with the existing literature (Cerbioni and Parbonetti, 2007; Nurunnabi </w:t>
      </w:r>
      <w:r w:rsidR="004D5B91" w:rsidRPr="00EA4B66">
        <w:rPr>
          <w:i/>
          <w:color w:val="000000" w:themeColor="text1"/>
          <w:sz w:val="24"/>
          <w:szCs w:val="24"/>
          <w:lang w:val="en-US"/>
        </w:rPr>
        <w:t>et al</w:t>
      </w:r>
      <w:r w:rsidR="004D5B91" w:rsidRPr="00EA4B66">
        <w:rPr>
          <w:color w:val="000000" w:themeColor="text1"/>
          <w:sz w:val="24"/>
          <w:szCs w:val="24"/>
          <w:lang w:val="en-US"/>
        </w:rPr>
        <w:t xml:space="preserve">., 2011; Goebel, 2015), firm size is measured as the natural logarithm of total assets (SIZE). Thus, consistent with previous studies (Youndt </w:t>
      </w:r>
      <w:r w:rsidR="004D5B91" w:rsidRPr="00EA4B66">
        <w:rPr>
          <w:i/>
          <w:color w:val="000000" w:themeColor="text1"/>
          <w:sz w:val="24"/>
          <w:szCs w:val="24"/>
          <w:lang w:val="en-US"/>
        </w:rPr>
        <w:t>et al</w:t>
      </w:r>
      <w:r w:rsidR="004D5B91" w:rsidRPr="00EA4B66">
        <w:rPr>
          <w:color w:val="000000" w:themeColor="text1"/>
          <w:sz w:val="24"/>
          <w:szCs w:val="24"/>
          <w:lang w:val="en-US"/>
        </w:rPr>
        <w:t xml:space="preserve">., 2004; Reed </w:t>
      </w:r>
      <w:r w:rsidR="004D5B91" w:rsidRPr="00EA4B66">
        <w:rPr>
          <w:i/>
          <w:color w:val="000000" w:themeColor="text1"/>
          <w:sz w:val="24"/>
          <w:szCs w:val="24"/>
          <w:lang w:val="en-US"/>
        </w:rPr>
        <w:t>et al</w:t>
      </w:r>
      <w:r w:rsidR="004D5B91" w:rsidRPr="00EA4B66">
        <w:rPr>
          <w:color w:val="000000" w:themeColor="text1"/>
          <w:sz w:val="24"/>
          <w:szCs w:val="24"/>
          <w:lang w:val="en-US"/>
        </w:rPr>
        <w:t>., 2006; Goebel, 2015) the following hypothesis is proposed:</w:t>
      </w:r>
    </w:p>
    <w:p w14:paraId="405C456A" w14:textId="1395B60B" w:rsidR="00A4205C" w:rsidRPr="00EA4B66" w:rsidRDefault="004D5B91" w:rsidP="000976E6">
      <w:pPr>
        <w:spacing w:after="0" w:line="240" w:lineRule="auto"/>
        <w:ind w:firstLine="284"/>
        <w:jc w:val="both"/>
        <w:rPr>
          <w:color w:val="000000" w:themeColor="text1"/>
          <w:sz w:val="24"/>
          <w:szCs w:val="24"/>
          <w:lang w:val="en-US"/>
        </w:rPr>
      </w:pPr>
      <w:r w:rsidRPr="00EA4B66">
        <w:rPr>
          <w:b/>
          <w:i/>
          <w:color w:val="000000" w:themeColor="text1"/>
          <w:sz w:val="24"/>
          <w:szCs w:val="24"/>
          <w:lang w:val="en-US"/>
        </w:rPr>
        <w:t>H2: IC value is positively associated with company size</w:t>
      </w:r>
      <w:r w:rsidRPr="00EA4B66">
        <w:rPr>
          <w:color w:val="000000" w:themeColor="text1"/>
          <w:sz w:val="24"/>
          <w:szCs w:val="24"/>
          <w:lang w:val="en-US"/>
        </w:rPr>
        <w:t>.</w:t>
      </w:r>
    </w:p>
    <w:p w14:paraId="44576029" w14:textId="77777777" w:rsidR="0091230C" w:rsidRPr="00EA4B66" w:rsidRDefault="0091230C" w:rsidP="000976E6">
      <w:pPr>
        <w:spacing w:after="0" w:line="240" w:lineRule="auto"/>
        <w:ind w:firstLine="284"/>
        <w:jc w:val="both"/>
        <w:rPr>
          <w:b/>
          <w:i/>
          <w:color w:val="000000" w:themeColor="text1"/>
          <w:sz w:val="24"/>
          <w:szCs w:val="24"/>
          <w:lang w:val="en-US"/>
        </w:rPr>
      </w:pPr>
    </w:p>
    <w:p w14:paraId="5CB2CB89" w14:textId="41736468" w:rsidR="00BE5261" w:rsidRPr="00EA4B66" w:rsidRDefault="004468CB" w:rsidP="00120675">
      <w:pPr>
        <w:spacing w:after="0" w:line="240" w:lineRule="auto"/>
        <w:jc w:val="both"/>
        <w:rPr>
          <w:b/>
          <w:i/>
          <w:color w:val="000000" w:themeColor="text1"/>
          <w:sz w:val="24"/>
          <w:szCs w:val="24"/>
          <w:lang w:val="en-US"/>
        </w:rPr>
      </w:pPr>
      <w:r w:rsidRPr="00EA4B66">
        <w:rPr>
          <w:b/>
          <w:i/>
          <w:color w:val="000000" w:themeColor="text1"/>
          <w:sz w:val="24"/>
          <w:szCs w:val="24"/>
          <w:lang w:val="en-US"/>
        </w:rPr>
        <w:t>3</w:t>
      </w:r>
      <w:r w:rsidR="00E84844" w:rsidRPr="00EA4B66">
        <w:rPr>
          <w:b/>
          <w:i/>
          <w:color w:val="000000" w:themeColor="text1"/>
          <w:sz w:val="24"/>
          <w:szCs w:val="24"/>
          <w:lang w:val="en-US"/>
        </w:rPr>
        <w:t xml:space="preserve">.3. </w:t>
      </w:r>
      <w:r w:rsidR="00AF5B85" w:rsidRPr="00EA4B66">
        <w:rPr>
          <w:b/>
          <w:i/>
          <w:color w:val="000000" w:themeColor="text1"/>
          <w:sz w:val="24"/>
          <w:szCs w:val="24"/>
          <w:lang w:val="en-US"/>
        </w:rPr>
        <w:t>Firm age</w:t>
      </w:r>
    </w:p>
    <w:p w14:paraId="5237269A" w14:textId="29075124" w:rsidR="00FC00F7" w:rsidRPr="00EA4B66" w:rsidRDefault="00120675" w:rsidP="00120675">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0F127A" w:rsidRPr="00EA4B66">
        <w:rPr>
          <w:color w:val="000000" w:themeColor="text1"/>
          <w:sz w:val="24"/>
          <w:szCs w:val="24"/>
          <w:lang w:val="en-US"/>
        </w:rPr>
        <w:t>The inclusion of a variable for firm age (</w:t>
      </w:r>
      <w:r w:rsidR="000F127A" w:rsidRPr="00EA4B66">
        <w:rPr>
          <w:i/>
          <w:color w:val="000000" w:themeColor="text1"/>
          <w:sz w:val="24"/>
          <w:szCs w:val="24"/>
          <w:lang w:val="en-US"/>
        </w:rPr>
        <w:t>AGE</w:t>
      </w:r>
      <w:r w:rsidR="000F127A" w:rsidRPr="00EA4B66">
        <w:rPr>
          <w:color w:val="000000" w:themeColor="text1"/>
          <w:sz w:val="24"/>
          <w:szCs w:val="24"/>
          <w:lang w:val="en-US"/>
        </w:rPr>
        <w:t>)</w:t>
      </w:r>
      <w:r w:rsidR="003C2934" w:rsidRPr="00EA4B66">
        <w:rPr>
          <w:color w:val="000000" w:themeColor="text1"/>
          <w:sz w:val="24"/>
          <w:szCs w:val="24"/>
          <w:lang w:val="en-US"/>
        </w:rPr>
        <w:t>,</w:t>
      </w:r>
      <w:r w:rsidR="000F127A" w:rsidRPr="00EA4B66">
        <w:rPr>
          <w:color w:val="000000" w:themeColor="text1"/>
          <w:sz w:val="24"/>
          <w:szCs w:val="24"/>
          <w:lang w:val="en-US"/>
        </w:rPr>
        <w:t xml:space="preserve"> </w:t>
      </w:r>
      <w:r w:rsidR="003C2934" w:rsidRPr="00EA4B66">
        <w:rPr>
          <w:color w:val="000000" w:themeColor="text1"/>
          <w:sz w:val="24"/>
          <w:szCs w:val="24"/>
          <w:lang w:val="en-US"/>
        </w:rPr>
        <w:t xml:space="preserve">or length of establishment, </w:t>
      </w:r>
      <w:r w:rsidR="000F127A" w:rsidRPr="00EA4B66">
        <w:rPr>
          <w:color w:val="000000" w:themeColor="text1"/>
          <w:sz w:val="24"/>
          <w:szCs w:val="24"/>
          <w:lang w:val="en-US"/>
        </w:rPr>
        <w:t xml:space="preserve">recognizes the fact that companies develop IC value over time </w:t>
      </w:r>
      <w:r w:rsidR="00FC2EC1" w:rsidRPr="00EA4B66">
        <w:rPr>
          <w:color w:val="000000" w:themeColor="text1"/>
          <w:sz w:val="24"/>
          <w:szCs w:val="24"/>
          <w:lang w:val="en-US"/>
        </w:rPr>
        <w:t>in a</w:t>
      </w:r>
      <w:r w:rsidR="000F127A" w:rsidRPr="00EA4B66">
        <w:rPr>
          <w:color w:val="000000" w:themeColor="text1"/>
          <w:sz w:val="24"/>
          <w:szCs w:val="24"/>
          <w:lang w:val="en-US"/>
        </w:rPr>
        <w:t xml:space="preserve"> cumulative manner (Nahapiet and Ghoshal, 1998), though evidence on the relationship between firm age and IC value </w:t>
      </w:r>
      <w:r w:rsidR="003C2934" w:rsidRPr="00EA4B66">
        <w:rPr>
          <w:color w:val="000000" w:themeColor="text1"/>
          <w:sz w:val="24"/>
          <w:szCs w:val="24"/>
          <w:lang w:val="en-US"/>
        </w:rPr>
        <w:t xml:space="preserve">in the existing literature </w:t>
      </w:r>
      <w:r w:rsidR="000F127A" w:rsidRPr="00EA4B66">
        <w:rPr>
          <w:color w:val="000000" w:themeColor="text1"/>
          <w:sz w:val="24"/>
          <w:szCs w:val="24"/>
          <w:lang w:val="en-US"/>
        </w:rPr>
        <w:t xml:space="preserve">is </w:t>
      </w:r>
      <w:r w:rsidR="003C2934" w:rsidRPr="00EA4B66">
        <w:rPr>
          <w:color w:val="000000" w:themeColor="text1"/>
          <w:sz w:val="24"/>
          <w:szCs w:val="24"/>
          <w:lang w:val="en-US"/>
        </w:rPr>
        <w:t xml:space="preserve">somewhat </w:t>
      </w:r>
      <w:r w:rsidR="000F127A" w:rsidRPr="00EA4B66">
        <w:rPr>
          <w:color w:val="000000" w:themeColor="text1"/>
          <w:sz w:val="24"/>
          <w:szCs w:val="24"/>
          <w:lang w:val="en-US"/>
        </w:rPr>
        <w:t>mixed.</w:t>
      </w:r>
      <w:r w:rsidR="00DF6634" w:rsidRPr="00EA4B66">
        <w:rPr>
          <w:color w:val="000000" w:themeColor="text1"/>
          <w:sz w:val="24"/>
          <w:szCs w:val="24"/>
          <w:lang w:val="en-US"/>
        </w:rPr>
        <w:t xml:space="preserve"> </w:t>
      </w:r>
      <w:r w:rsidR="003A344E" w:rsidRPr="00EA4B66">
        <w:rPr>
          <w:color w:val="000000" w:themeColor="text1"/>
          <w:sz w:val="24"/>
          <w:szCs w:val="24"/>
          <w:lang w:val="en-US"/>
        </w:rPr>
        <w:t xml:space="preserve">Aside </w:t>
      </w:r>
      <w:r w:rsidR="00DF6634" w:rsidRPr="00EA4B66">
        <w:rPr>
          <w:color w:val="000000" w:themeColor="text1"/>
          <w:sz w:val="24"/>
          <w:szCs w:val="24"/>
          <w:lang w:val="en-US"/>
        </w:rPr>
        <w:t xml:space="preserve">from </w:t>
      </w:r>
      <w:r w:rsidR="003A344E" w:rsidRPr="00EA4B66">
        <w:rPr>
          <w:color w:val="000000" w:themeColor="text1"/>
          <w:sz w:val="24"/>
          <w:szCs w:val="24"/>
          <w:lang w:val="en-US"/>
        </w:rPr>
        <w:t xml:space="preserve">the </w:t>
      </w:r>
      <w:r w:rsidR="00DF6634" w:rsidRPr="00EA4B66">
        <w:rPr>
          <w:color w:val="000000" w:themeColor="text1"/>
          <w:sz w:val="24"/>
          <w:szCs w:val="24"/>
          <w:lang w:val="en-US"/>
        </w:rPr>
        <w:t xml:space="preserve">IC literature, many authors have studied the relationship between firm age and market </w:t>
      </w:r>
      <w:r w:rsidR="003A344E" w:rsidRPr="00EA4B66">
        <w:rPr>
          <w:color w:val="000000" w:themeColor="text1"/>
          <w:sz w:val="24"/>
          <w:szCs w:val="24"/>
          <w:lang w:val="en-US"/>
        </w:rPr>
        <w:t>value.</w:t>
      </w:r>
      <w:r w:rsidR="00EE2FAC" w:rsidRPr="00EA4B66">
        <w:rPr>
          <w:color w:val="000000" w:themeColor="text1"/>
          <w:sz w:val="24"/>
          <w:szCs w:val="24"/>
          <w:lang w:val="en-US"/>
        </w:rPr>
        <w:t xml:space="preserve"> </w:t>
      </w:r>
      <w:r w:rsidR="003A344E" w:rsidRPr="00EA4B66">
        <w:rPr>
          <w:color w:val="000000" w:themeColor="text1"/>
          <w:sz w:val="24"/>
          <w:szCs w:val="24"/>
          <w:lang w:val="en-US"/>
        </w:rPr>
        <w:t>I</w:t>
      </w:r>
      <w:r w:rsidR="00EE2FAC" w:rsidRPr="00EA4B66">
        <w:rPr>
          <w:color w:val="000000" w:themeColor="text1"/>
          <w:sz w:val="24"/>
          <w:szCs w:val="24"/>
          <w:lang w:val="en-US"/>
        </w:rPr>
        <w:t>n particular</w:t>
      </w:r>
      <w:r w:rsidR="0078649E" w:rsidRPr="00EA4B66">
        <w:rPr>
          <w:color w:val="000000" w:themeColor="text1"/>
          <w:sz w:val="24"/>
          <w:szCs w:val="24"/>
          <w:lang w:val="en-US"/>
        </w:rPr>
        <w:t>,</w:t>
      </w:r>
      <w:r w:rsidR="00EE2FAC" w:rsidRPr="00EA4B66">
        <w:rPr>
          <w:color w:val="000000" w:themeColor="text1"/>
          <w:sz w:val="24"/>
          <w:szCs w:val="24"/>
          <w:lang w:val="en-US"/>
        </w:rPr>
        <w:t xml:space="preserve"> </w:t>
      </w:r>
      <w:r w:rsidR="00FD7AF0" w:rsidRPr="00EA4B66">
        <w:rPr>
          <w:color w:val="000000" w:themeColor="text1"/>
          <w:sz w:val="24"/>
          <w:szCs w:val="24"/>
          <w:lang w:val="en-US"/>
        </w:rPr>
        <w:t>Leonard-Barton’s (1992) study poi</w:t>
      </w:r>
      <w:r w:rsidR="00662041" w:rsidRPr="00EA4B66">
        <w:rPr>
          <w:color w:val="000000" w:themeColor="text1"/>
          <w:sz w:val="24"/>
          <w:szCs w:val="24"/>
          <w:lang w:val="en-US"/>
        </w:rPr>
        <w:t>nts out that the core competencies</w:t>
      </w:r>
      <w:r w:rsidR="00FD7AF0" w:rsidRPr="00EA4B66">
        <w:rPr>
          <w:color w:val="000000" w:themeColor="text1"/>
          <w:sz w:val="24"/>
          <w:szCs w:val="24"/>
          <w:lang w:val="en-US"/>
        </w:rPr>
        <w:t xml:space="preserve"> could inhibit firm growth</w:t>
      </w:r>
      <w:r w:rsidR="001736BE" w:rsidRPr="00EA4B66">
        <w:rPr>
          <w:color w:val="000000" w:themeColor="text1"/>
          <w:sz w:val="24"/>
          <w:szCs w:val="24"/>
          <w:lang w:val="en-US"/>
        </w:rPr>
        <w:t xml:space="preserve"> because of the tendency of firms to change </w:t>
      </w:r>
      <w:r w:rsidR="00111E1E">
        <w:rPr>
          <w:color w:val="000000" w:themeColor="text1"/>
          <w:sz w:val="24"/>
          <w:szCs w:val="24"/>
          <w:lang w:val="en-US"/>
        </w:rPr>
        <w:t>them</w:t>
      </w:r>
      <w:r w:rsidR="001736BE" w:rsidRPr="00EA4B66">
        <w:rPr>
          <w:color w:val="000000" w:themeColor="text1"/>
          <w:sz w:val="24"/>
          <w:szCs w:val="24"/>
          <w:lang w:val="en-US"/>
        </w:rPr>
        <w:t xml:space="preserve"> into core rigidities over the time. </w:t>
      </w:r>
      <w:r w:rsidR="00EE2FAC" w:rsidRPr="00EA4B66">
        <w:rPr>
          <w:color w:val="000000" w:themeColor="text1"/>
          <w:sz w:val="24"/>
          <w:szCs w:val="24"/>
          <w:lang w:val="en-US"/>
        </w:rPr>
        <w:t xml:space="preserve">Loderer </w:t>
      </w:r>
      <w:r w:rsidR="00EE2FAC" w:rsidRPr="00EA4B66">
        <w:rPr>
          <w:i/>
          <w:color w:val="000000" w:themeColor="text1"/>
          <w:sz w:val="24"/>
          <w:szCs w:val="24"/>
          <w:lang w:val="en-US"/>
        </w:rPr>
        <w:t>et al</w:t>
      </w:r>
      <w:r w:rsidR="00EE2FAC" w:rsidRPr="00EA4B66">
        <w:rPr>
          <w:color w:val="000000" w:themeColor="text1"/>
          <w:sz w:val="24"/>
          <w:szCs w:val="24"/>
          <w:lang w:val="en-US"/>
        </w:rPr>
        <w:t>. (2016)</w:t>
      </w:r>
      <w:r w:rsidR="00F2673C" w:rsidRPr="00EA4B66">
        <w:rPr>
          <w:color w:val="000000" w:themeColor="text1"/>
          <w:sz w:val="24"/>
          <w:szCs w:val="24"/>
          <w:lang w:val="en-US"/>
        </w:rPr>
        <w:t>,</w:t>
      </w:r>
      <w:r w:rsidR="00EE2FAC" w:rsidRPr="00EA4B66">
        <w:rPr>
          <w:color w:val="000000" w:themeColor="text1"/>
          <w:sz w:val="24"/>
          <w:szCs w:val="24"/>
          <w:lang w:val="en-US"/>
        </w:rPr>
        <w:t xml:space="preserve"> following </w:t>
      </w:r>
      <w:r w:rsidR="00F2673C" w:rsidRPr="00EA4B66">
        <w:rPr>
          <w:color w:val="000000" w:themeColor="text1"/>
          <w:sz w:val="24"/>
          <w:szCs w:val="24"/>
          <w:lang w:val="en-US"/>
        </w:rPr>
        <w:t xml:space="preserve">company </w:t>
      </w:r>
      <w:r w:rsidR="00EE2FAC" w:rsidRPr="00EA4B66">
        <w:rPr>
          <w:color w:val="000000" w:themeColor="text1"/>
          <w:sz w:val="24"/>
          <w:szCs w:val="24"/>
          <w:lang w:val="en-US"/>
        </w:rPr>
        <w:t>life-cycle theories</w:t>
      </w:r>
      <w:r w:rsidR="00F2673C" w:rsidRPr="00EA4B66">
        <w:rPr>
          <w:color w:val="000000" w:themeColor="text1"/>
          <w:sz w:val="24"/>
          <w:szCs w:val="24"/>
          <w:lang w:val="en-US"/>
        </w:rPr>
        <w:t>,</w:t>
      </w:r>
      <w:r w:rsidR="00EE2FAC" w:rsidRPr="00EA4B66">
        <w:rPr>
          <w:color w:val="000000" w:themeColor="text1"/>
          <w:sz w:val="24"/>
          <w:szCs w:val="24"/>
          <w:lang w:val="en-US"/>
        </w:rPr>
        <w:t xml:space="preserve"> highlight a negative relationship between firm age and </w:t>
      </w:r>
      <w:r w:rsidR="003A344E" w:rsidRPr="00EA4B66">
        <w:rPr>
          <w:color w:val="000000" w:themeColor="text1"/>
          <w:sz w:val="24"/>
          <w:szCs w:val="24"/>
          <w:lang w:val="en-US"/>
        </w:rPr>
        <w:t xml:space="preserve">the </w:t>
      </w:r>
      <w:r w:rsidR="00EE2FAC" w:rsidRPr="00EA4B66">
        <w:rPr>
          <w:color w:val="000000" w:themeColor="text1"/>
          <w:sz w:val="24"/>
          <w:szCs w:val="24"/>
          <w:lang w:val="en-US"/>
        </w:rPr>
        <w:t>Tobin’s q ratio</w:t>
      </w:r>
      <w:r w:rsidR="003A344E" w:rsidRPr="00EA4B66">
        <w:rPr>
          <w:color w:val="000000" w:themeColor="text1"/>
          <w:sz w:val="24"/>
          <w:szCs w:val="24"/>
          <w:lang w:val="en-US"/>
        </w:rPr>
        <w:t>,</w:t>
      </w:r>
      <w:r w:rsidR="00F2673C" w:rsidRPr="00EA4B66">
        <w:rPr>
          <w:color w:val="000000" w:themeColor="text1"/>
          <w:sz w:val="24"/>
          <w:szCs w:val="24"/>
          <w:lang w:val="en-US"/>
        </w:rPr>
        <w:t xml:space="preserve"> underlining how younger firms tend to invest more in growth opportunities</w:t>
      </w:r>
      <w:r w:rsidR="003A344E" w:rsidRPr="00EA4B66">
        <w:rPr>
          <w:color w:val="000000" w:themeColor="text1"/>
          <w:sz w:val="24"/>
          <w:szCs w:val="24"/>
          <w:lang w:val="en-US"/>
        </w:rPr>
        <w:t>, thereby</w:t>
      </w:r>
      <w:r w:rsidR="0078649E" w:rsidRPr="00EA4B66">
        <w:rPr>
          <w:color w:val="000000" w:themeColor="text1"/>
          <w:sz w:val="24"/>
          <w:szCs w:val="24"/>
          <w:lang w:val="en-US"/>
        </w:rPr>
        <w:t xml:space="preserve"> obtaining </w:t>
      </w:r>
      <w:r w:rsidR="003A344E" w:rsidRPr="00EA4B66">
        <w:rPr>
          <w:color w:val="000000" w:themeColor="text1"/>
          <w:sz w:val="24"/>
          <w:szCs w:val="24"/>
          <w:lang w:val="en-US"/>
        </w:rPr>
        <w:t xml:space="preserve">a </w:t>
      </w:r>
      <w:r w:rsidR="0078649E" w:rsidRPr="00EA4B66">
        <w:rPr>
          <w:color w:val="000000" w:themeColor="text1"/>
          <w:sz w:val="24"/>
          <w:szCs w:val="24"/>
          <w:lang w:val="en-US"/>
        </w:rPr>
        <w:t xml:space="preserve">higher market </w:t>
      </w:r>
      <w:r w:rsidR="003A344E" w:rsidRPr="00EA4B66">
        <w:rPr>
          <w:color w:val="000000" w:themeColor="text1"/>
          <w:sz w:val="24"/>
          <w:szCs w:val="24"/>
          <w:lang w:val="en-US"/>
        </w:rPr>
        <w:t>value</w:t>
      </w:r>
      <w:r w:rsidR="0078649E" w:rsidRPr="00EA4B66">
        <w:rPr>
          <w:color w:val="000000" w:themeColor="text1"/>
          <w:sz w:val="24"/>
          <w:szCs w:val="24"/>
          <w:lang w:val="en-US"/>
        </w:rPr>
        <w:t>,</w:t>
      </w:r>
      <w:r w:rsidR="00F2673C" w:rsidRPr="00EA4B66">
        <w:rPr>
          <w:color w:val="000000" w:themeColor="text1"/>
          <w:sz w:val="24"/>
          <w:szCs w:val="24"/>
          <w:lang w:val="en-US"/>
        </w:rPr>
        <w:t xml:space="preserve"> while</w:t>
      </w:r>
      <w:r w:rsidR="002345DB" w:rsidRPr="00EA4B66">
        <w:rPr>
          <w:color w:val="000000" w:themeColor="text1"/>
          <w:sz w:val="24"/>
          <w:szCs w:val="24"/>
          <w:lang w:val="en-US"/>
        </w:rPr>
        <w:t xml:space="preserve"> </w:t>
      </w:r>
      <w:r w:rsidR="00F2673C" w:rsidRPr="00EA4B66">
        <w:rPr>
          <w:color w:val="000000" w:themeColor="text1"/>
          <w:sz w:val="24"/>
          <w:szCs w:val="24"/>
          <w:lang w:val="en-US"/>
        </w:rPr>
        <w:t>older firms</w:t>
      </w:r>
      <w:r w:rsidR="002345DB" w:rsidRPr="00EA4B66">
        <w:rPr>
          <w:color w:val="000000" w:themeColor="text1"/>
          <w:sz w:val="24"/>
          <w:szCs w:val="24"/>
          <w:lang w:val="en-US"/>
        </w:rPr>
        <w:t xml:space="preserve"> </w:t>
      </w:r>
      <w:r w:rsidR="00F8613D" w:rsidRPr="00EA4B66">
        <w:rPr>
          <w:color w:val="000000" w:themeColor="text1"/>
          <w:sz w:val="24"/>
          <w:szCs w:val="24"/>
          <w:lang w:val="en-US"/>
        </w:rPr>
        <w:t xml:space="preserve">invest less in R&amp;D, </w:t>
      </w:r>
      <w:r w:rsidR="00F2673C" w:rsidRPr="00EA4B66">
        <w:rPr>
          <w:color w:val="000000" w:themeColor="text1"/>
          <w:sz w:val="24"/>
          <w:szCs w:val="24"/>
          <w:lang w:val="en-US"/>
        </w:rPr>
        <w:t>tend</w:t>
      </w:r>
      <w:r w:rsidR="00F8613D" w:rsidRPr="00EA4B66">
        <w:rPr>
          <w:color w:val="000000" w:themeColor="text1"/>
          <w:sz w:val="24"/>
          <w:szCs w:val="24"/>
          <w:lang w:val="en-US"/>
        </w:rPr>
        <w:t>ing</w:t>
      </w:r>
      <w:r w:rsidR="00F2673C" w:rsidRPr="00EA4B66">
        <w:rPr>
          <w:color w:val="000000" w:themeColor="text1"/>
          <w:sz w:val="24"/>
          <w:szCs w:val="24"/>
          <w:lang w:val="en-US"/>
        </w:rPr>
        <w:t xml:space="preserve"> to concentrate their efforts on </w:t>
      </w:r>
      <w:r w:rsidR="003A344E" w:rsidRPr="00EA4B66">
        <w:rPr>
          <w:color w:val="000000" w:themeColor="text1"/>
          <w:sz w:val="24"/>
          <w:szCs w:val="24"/>
          <w:lang w:val="en-US"/>
        </w:rPr>
        <w:t>the</w:t>
      </w:r>
      <w:r w:rsidR="00F2673C" w:rsidRPr="00EA4B66">
        <w:rPr>
          <w:color w:val="000000" w:themeColor="text1"/>
          <w:sz w:val="24"/>
          <w:szCs w:val="24"/>
          <w:lang w:val="en-US"/>
        </w:rPr>
        <w:t xml:space="preserve"> better management of assets in place, </w:t>
      </w:r>
      <w:r w:rsidR="003A344E" w:rsidRPr="00EA4B66">
        <w:rPr>
          <w:color w:val="000000" w:themeColor="text1"/>
          <w:sz w:val="24"/>
          <w:szCs w:val="24"/>
          <w:lang w:val="en-US"/>
        </w:rPr>
        <w:t>thus</w:t>
      </w:r>
      <w:r w:rsidR="00F2673C" w:rsidRPr="00EA4B66">
        <w:rPr>
          <w:color w:val="000000" w:themeColor="text1"/>
          <w:sz w:val="24"/>
          <w:szCs w:val="24"/>
          <w:lang w:val="en-US"/>
        </w:rPr>
        <w:t xml:space="preserve"> causing a </w:t>
      </w:r>
      <w:r w:rsidR="003A344E" w:rsidRPr="00EA4B66">
        <w:rPr>
          <w:color w:val="000000" w:themeColor="text1"/>
          <w:sz w:val="24"/>
          <w:szCs w:val="24"/>
          <w:lang w:val="en-US"/>
        </w:rPr>
        <w:t xml:space="preserve">decline in </w:t>
      </w:r>
      <w:r w:rsidR="00F2673C" w:rsidRPr="00EA4B66">
        <w:rPr>
          <w:color w:val="000000" w:themeColor="text1"/>
          <w:sz w:val="24"/>
          <w:szCs w:val="24"/>
          <w:lang w:val="en-US"/>
        </w:rPr>
        <w:t xml:space="preserve">Tobin’s q over </w:t>
      </w:r>
      <w:r w:rsidR="003A344E" w:rsidRPr="00EA4B66">
        <w:rPr>
          <w:color w:val="000000" w:themeColor="text1"/>
          <w:sz w:val="24"/>
          <w:szCs w:val="24"/>
          <w:lang w:val="en-US"/>
        </w:rPr>
        <w:t>time</w:t>
      </w:r>
      <w:r w:rsidR="00F2673C" w:rsidRPr="00EA4B66">
        <w:rPr>
          <w:color w:val="000000" w:themeColor="text1"/>
          <w:sz w:val="24"/>
          <w:szCs w:val="24"/>
          <w:lang w:val="en-US"/>
        </w:rPr>
        <w:t xml:space="preserve">. </w:t>
      </w:r>
      <w:r w:rsidR="007D515B" w:rsidRPr="00EA4B66">
        <w:rPr>
          <w:color w:val="000000" w:themeColor="text1"/>
          <w:sz w:val="24"/>
          <w:szCs w:val="24"/>
          <w:lang w:val="en-US"/>
        </w:rPr>
        <w:t>Moreover, Pastor and Veronesi (2003) f</w:t>
      </w:r>
      <w:r w:rsidR="003A344E" w:rsidRPr="00EA4B66">
        <w:rPr>
          <w:color w:val="000000" w:themeColor="text1"/>
          <w:sz w:val="24"/>
          <w:szCs w:val="24"/>
          <w:lang w:val="en-US"/>
        </w:rPr>
        <w:t>i</w:t>
      </w:r>
      <w:r w:rsidR="007D515B" w:rsidRPr="00EA4B66">
        <w:rPr>
          <w:color w:val="000000" w:themeColor="text1"/>
          <w:sz w:val="24"/>
          <w:szCs w:val="24"/>
          <w:lang w:val="en-US"/>
        </w:rPr>
        <w:t xml:space="preserve">nd that </w:t>
      </w:r>
      <w:r w:rsidR="007D515B" w:rsidRPr="00EA4B66">
        <w:rPr>
          <w:color w:val="000000" w:themeColor="text1"/>
          <w:sz w:val="24"/>
          <w:szCs w:val="24"/>
          <w:lang w:val="en-US"/>
        </w:rPr>
        <w:lastRenderedPageBreak/>
        <w:t xml:space="preserve">younger firms have </w:t>
      </w:r>
      <w:r w:rsidR="003A344E" w:rsidRPr="00EA4B66">
        <w:rPr>
          <w:color w:val="000000" w:themeColor="text1"/>
          <w:sz w:val="24"/>
          <w:szCs w:val="24"/>
          <w:lang w:val="en-US"/>
        </w:rPr>
        <w:t xml:space="preserve">a </w:t>
      </w:r>
      <w:r w:rsidR="007D515B" w:rsidRPr="00EA4B66">
        <w:rPr>
          <w:color w:val="000000" w:themeColor="text1"/>
          <w:sz w:val="24"/>
          <w:szCs w:val="24"/>
          <w:lang w:val="en-US"/>
        </w:rPr>
        <w:t xml:space="preserve">higher MTB ratio than older firms due to </w:t>
      </w:r>
      <w:r w:rsidR="00677DC7" w:rsidRPr="00EA4B66">
        <w:rPr>
          <w:color w:val="000000" w:themeColor="text1"/>
          <w:sz w:val="24"/>
          <w:szCs w:val="24"/>
          <w:lang w:val="en-US"/>
        </w:rPr>
        <w:t xml:space="preserve">initial uncertainty </w:t>
      </w:r>
      <w:r w:rsidR="003A344E" w:rsidRPr="00EA4B66">
        <w:rPr>
          <w:color w:val="000000" w:themeColor="text1"/>
          <w:sz w:val="24"/>
          <w:szCs w:val="24"/>
          <w:lang w:val="en-US"/>
        </w:rPr>
        <w:t xml:space="preserve">concerning their </w:t>
      </w:r>
      <w:r w:rsidR="00677DC7" w:rsidRPr="00EA4B66">
        <w:rPr>
          <w:color w:val="000000" w:themeColor="text1"/>
          <w:sz w:val="24"/>
          <w:szCs w:val="24"/>
          <w:lang w:val="en-US"/>
        </w:rPr>
        <w:t>future profitability which</w:t>
      </w:r>
      <w:r w:rsidR="00F8613D" w:rsidRPr="00EA4B66">
        <w:rPr>
          <w:color w:val="000000" w:themeColor="text1"/>
          <w:sz w:val="24"/>
          <w:szCs w:val="24"/>
          <w:lang w:val="en-US"/>
        </w:rPr>
        <w:t xml:space="preserve"> instead</w:t>
      </w:r>
      <w:r w:rsidR="00677DC7" w:rsidRPr="00EA4B66">
        <w:rPr>
          <w:color w:val="000000" w:themeColor="text1"/>
          <w:sz w:val="24"/>
          <w:szCs w:val="24"/>
          <w:lang w:val="en-US"/>
        </w:rPr>
        <w:t xml:space="preserve"> tends to </w:t>
      </w:r>
      <w:r w:rsidR="003A344E" w:rsidRPr="00EA4B66">
        <w:rPr>
          <w:color w:val="000000" w:themeColor="text1"/>
          <w:sz w:val="24"/>
          <w:szCs w:val="24"/>
          <w:lang w:val="en-US"/>
        </w:rPr>
        <w:t xml:space="preserve">fall </w:t>
      </w:r>
      <w:r w:rsidR="00677DC7" w:rsidRPr="00EA4B66">
        <w:rPr>
          <w:color w:val="000000" w:themeColor="text1"/>
          <w:sz w:val="24"/>
          <w:szCs w:val="24"/>
          <w:lang w:val="en-US"/>
        </w:rPr>
        <w:t>over time due to the learning effect</w:t>
      </w:r>
      <w:r w:rsidR="00F8613D" w:rsidRPr="00EA4B66">
        <w:rPr>
          <w:color w:val="000000" w:themeColor="text1"/>
          <w:sz w:val="24"/>
          <w:szCs w:val="24"/>
          <w:lang w:val="en-US"/>
        </w:rPr>
        <w:t>,</w:t>
      </w:r>
      <w:r w:rsidR="00677DC7" w:rsidRPr="00EA4B66">
        <w:rPr>
          <w:color w:val="000000" w:themeColor="text1"/>
          <w:sz w:val="24"/>
          <w:szCs w:val="24"/>
          <w:lang w:val="en-US"/>
        </w:rPr>
        <w:t xml:space="preserve"> causing a decrease </w:t>
      </w:r>
      <w:r w:rsidR="003A344E" w:rsidRPr="00EA4B66">
        <w:rPr>
          <w:color w:val="000000" w:themeColor="text1"/>
          <w:sz w:val="24"/>
          <w:szCs w:val="24"/>
          <w:lang w:val="en-US"/>
        </w:rPr>
        <w:t>in the</w:t>
      </w:r>
      <w:r w:rsidR="00677DC7" w:rsidRPr="00EA4B66">
        <w:rPr>
          <w:color w:val="000000" w:themeColor="text1"/>
          <w:sz w:val="24"/>
          <w:szCs w:val="24"/>
          <w:lang w:val="en-US"/>
        </w:rPr>
        <w:t xml:space="preserve"> MTB ratio.</w:t>
      </w:r>
      <w:r w:rsidR="00CD348C" w:rsidRPr="00EA4B66">
        <w:rPr>
          <w:color w:val="000000" w:themeColor="text1"/>
          <w:sz w:val="24"/>
          <w:szCs w:val="24"/>
          <w:lang w:val="en-US"/>
        </w:rPr>
        <w:t xml:space="preserve"> Moreover, </w:t>
      </w:r>
      <w:r w:rsidR="003A344E" w:rsidRPr="00EA4B66">
        <w:rPr>
          <w:color w:val="000000" w:themeColor="text1"/>
          <w:sz w:val="24"/>
          <w:szCs w:val="24"/>
          <w:lang w:val="en-US"/>
        </w:rPr>
        <w:t>with</w:t>
      </w:r>
      <w:r w:rsidR="00CD348C" w:rsidRPr="00EA4B66">
        <w:rPr>
          <w:color w:val="000000" w:themeColor="text1"/>
          <w:sz w:val="24"/>
          <w:szCs w:val="24"/>
          <w:lang w:val="en-US"/>
        </w:rPr>
        <w:t>in</w:t>
      </w:r>
      <w:r w:rsidR="003A344E" w:rsidRPr="00EA4B66">
        <w:rPr>
          <w:color w:val="000000" w:themeColor="text1"/>
          <w:sz w:val="24"/>
          <w:szCs w:val="24"/>
          <w:lang w:val="en-US"/>
        </w:rPr>
        <w:t xml:space="preserve"> the sphere of</w:t>
      </w:r>
      <w:r w:rsidR="00CD348C" w:rsidRPr="00EA4B66">
        <w:rPr>
          <w:color w:val="000000" w:themeColor="text1"/>
          <w:sz w:val="24"/>
          <w:szCs w:val="24"/>
          <w:lang w:val="en-US"/>
        </w:rPr>
        <w:t xml:space="preserve"> IC studies,</w:t>
      </w:r>
      <w:r w:rsidR="0048431D" w:rsidRPr="00EA4B66">
        <w:rPr>
          <w:color w:val="000000" w:themeColor="text1"/>
          <w:sz w:val="24"/>
          <w:szCs w:val="24"/>
          <w:lang w:val="en-US"/>
        </w:rPr>
        <w:t xml:space="preserve"> </w:t>
      </w:r>
      <w:r w:rsidR="00F8613D" w:rsidRPr="00EA4B66">
        <w:rPr>
          <w:color w:val="000000" w:themeColor="text1"/>
          <w:sz w:val="24"/>
          <w:szCs w:val="24"/>
          <w:lang w:val="en-US"/>
        </w:rPr>
        <w:t>Goebel (2015) finds a negative</w:t>
      </w:r>
      <w:r w:rsidR="00D4296B" w:rsidRPr="00EA4B66">
        <w:rPr>
          <w:color w:val="000000" w:themeColor="text1"/>
          <w:sz w:val="24"/>
          <w:szCs w:val="24"/>
          <w:lang w:val="en-US"/>
        </w:rPr>
        <w:t xml:space="preserve"> but </w:t>
      </w:r>
      <w:r w:rsidR="003A344E" w:rsidRPr="00EA4B66">
        <w:rPr>
          <w:color w:val="000000" w:themeColor="text1"/>
          <w:sz w:val="24"/>
          <w:szCs w:val="24"/>
          <w:lang w:val="en-US"/>
        </w:rPr>
        <w:t>in</w:t>
      </w:r>
      <w:r w:rsidR="00D4296B" w:rsidRPr="00EA4B66">
        <w:rPr>
          <w:color w:val="000000" w:themeColor="text1"/>
          <w:sz w:val="24"/>
          <w:szCs w:val="24"/>
          <w:lang w:val="en-US"/>
        </w:rPr>
        <w:t>significant</w:t>
      </w:r>
      <w:r w:rsidR="00F8613D" w:rsidRPr="00EA4B66">
        <w:rPr>
          <w:color w:val="000000" w:themeColor="text1"/>
          <w:sz w:val="24"/>
          <w:szCs w:val="24"/>
          <w:lang w:val="en-US"/>
        </w:rPr>
        <w:t xml:space="preserve"> relation</w:t>
      </w:r>
      <w:r w:rsidR="00D4296B" w:rsidRPr="00EA4B66">
        <w:rPr>
          <w:color w:val="000000" w:themeColor="text1"/>
          <w:sz w:val="24"/>
          <w:szCs w:val="24"/>
          <w:lang w:val="en-US"/>
        </w:rPr>
        <w:t>ship</w:t>
      </w:r>
      <w:r w:rsidR="00F8613D" w:rsidRPr="00EA4B66">
        <w:rPr>
          <w:color w:val="000000" w:themeColor="text1"/>
          <w:sz w:val="24"/>
          <w:szCs w:val="24"/>
          <w:lang w:val="en-US"/>
        </w:rPr>
        <w:t xml:space="preserve"> between IC value and firm ag</w:t>
      </w:r>
      <w:r w:rsidR="00D4296B" w:rsidRPr="00EA4B66">
        <w:rPr>
          <w:color w:val="000000" w:themeColor="text1"/>
          <w:sz w:val="24"/>
          <w:szCs w:val="24"/>
          <w:lang w:val="en-US"/>
        </w:rPr>
        <w:t>e</w:t>
      </w:r>
      <w:r w:rsidR="003A344E" w:rsidRPr="00EA4B66">
        <w:rPr>
          <w:color w:val="000000" w:themeColor="text1"/>
          <w:sz w:val="24"/>
          <w:szCs w:val="24"/>
          <w:lang w:val="en-US"/>
        </w:rPr>
        <w:t>, while</w:t>
      </w:r>
      <w:r w:rsidR="00D4296B" w:rsidRPr="00EA4B66">
        <w:rPr>
          <w:color w:val="000000" w:themeColor="text1"/>
          <w:sz w:val="24"/>
          <w:szCs w:val="24"/>
          <w:lang w:val="en-US"/>
        </w:rPr>
        <w:t xml:space="preserve"> </w:t>
      </w:r>
      <w:r w:rsidR="00F8613D" w:rsidRPr="00EA4B66">
        <w:rPr>
          <w:color w:val="000000" w:themeColor="text1"/>
          <w:sz w:val="24"/>
          <w:szCs w:val="24"/>
          <w:lang w:val="en-US"/>
        </w:rPr>
        <w:t xml:space="preserve">Youndt </w:t>
      </w:r>
      <w:r w:rsidR="00F8613D" w:rsidRPr="00EA4B66">
        <w:rPr>
          <w:i/>
          <w:color w:val="000000" w:themeColor="text1"/>
          <w:sz w:val="24"/>
          <w:szCs w:val="24"/>
          <w:lang w:val="en-US"/>
        </w:rPr>
        <w:t>et al.</w:t>
      </w:r>
      <w:r w:rsidR="00F8613D" w:rsidRPr="00EA4B66">
        <w:rPr>
          <w:color w:val="000000" w:themeColor="text1"/>
          <w:sz w:val="24"/>
          <w:szCs w:val="24"/>
          <w:lang w:val="en-US"/>
        </w:rPr>
        <w:t xml:space="preserve"> (2004) </w:t>
      </w:r>
      <w:r w:rsidR="00CF029D" w:rsidRPr="00EA4B66">
        <w:rPr>
          <w:color w:val="000000" w:themeColor="text1"/>
          <w:sz w:val="24"/>
          <w:szCs w:val="24"/>
          <w:lang w:val="en-US"/>
        </w:rPr>
        <w:t xml:space="preserve">also </w:t>
      </w:r>
      <w:r w:rsidR="00F8613D" w:rsidRPr="00EA4B66">
        <w:rPr>
          <w:color w:val="000000" w:themeColor="text1"/>
          <w:sz w:val="24"/>
          <w:szCs w:val="24"/>
          <w:lang w:val="en-US"/>
        </w:rPr>
        <w:t>find no influence of firm age on IC value.</w:t>
      </w:r>
      <w:r w:rsidR="00D4296B" w:rsidRPr="00EA4B66">
        <w:rPr>
          <w:color w:val="000000" w:themeColor="text1"/>
          <w:sz w:val="24"/>
          <w:szCs w:val="24"/>
          <w:lang w:val="en-US"/>
        </w:rPr>
        <w:t xml:space="preserve"> </w:t>
      </w:r>
      <w:r w:rsidR="00CF029D" w:rsidRPr="00EA4B66">
        <w:rPr>
          <w:color w:val="000000" w:themeColor="text1"/>
          <w:sz w:val="24"/>
          <w:szCs w:val="24"/>
          <w:lang w:val="en-US"/>
        </w:rPr>
        <w:t xml:space="preserve">In contrast, </w:t>
      </w:r>
      <w:r w:rsidR="000F127A" w:rsidRPr="00EA4B66">
        <w:rPr>
          <w:color w:val="000000" w:themeColor="text1"/>
          <w:sz w:val="24"/>
          <w:szCs w:val="24"/>
          <w:lang w:val="en-US"/>
        </w:rPr>
        <w:t xml:space="preserve">Reed </w:t>
      </w:r>
      <w:r w:rsidR="000F127A" w:rsidRPr="00EA4B66">
        <w:rPr>
          <w:i/>
          <w:color w:val="000000" w:themeColor="text1"/>
          <w:sz w:val="24"/>
          <w:szCs w:val="24"/>
          <w:lang w:val="en-US"/>
        </w:rPr>
        <w:t>et al</w:t>
      </w:r>
      <w:r w:rsidR="000F127A" w:rsidRPr="00EA4B66">
        <w:rPr>
          <w:color w:val="000000" w:themeColor="text1"/>
          <w:sz w:val="24"/>
          <w:szCs w:val="24"/>
          <w:lang w:val="en-US"/>
        </w:rPr>
        <w:t xml:space="preserve">. (2006) find that firm age has a significant positive influence on IC value in their study of retail banks, though find no such relation for commercial banks. On balance, and drawing largely upon theory arguments rather than existing evidence, a </w:t>
      </w:r>
      <w:r w:rsidR="00F8613D" w:rsidRPr="00EA4B66">
        <w:rPr>
          <w:color w:val="000000" w:themeColor="text1"/>
          <w:sz w:val="24"/>
          <w:szCs w:val="24"/>
          <w:lang w:val="en-US"/>
        </w:rPr>
        <w:t xml:space="preserve">negative </w:t>
      </w:r>
      <w:r w:rsidR="000F127A" w:rsidRPr="00EA4B66">
        <w:rPr>
          <w:color w:val="000000" w:themeColor="text1"/>
          <w:sz w:val="24"/>
          <w:szCs w:val="24"/>
          <w:lang w:val="en-US"/>
        </w:rPr>
        <w:t xml:space="preserve">relation </w:t>
      </w:r>
      <w:r w:rsidR="00111E1E" w:rsidRPr="00EA4B66">
        <w:rPr>
          <w:color w:val="000000" w:themeColor="text1"/>
          <w:sz w:val="24"/>
          <w:szCs w:val="24"/>
          <w:lang w:val="en-US"/>
        </w:rPr>
        <w:t xml:space="preserve">is expected </w:t>
      </w:r>
      <w:r w:rsidR="000F127A" w:rsidRPr="00EA4B66">
        <w:rPr>
          <w:color w:val="000000" w:themeColor="text1"/>
          <w:sz w:val="24"/>
          <w:szCs w:val="24"/>
          <w:lang w:val="en-US"/>
        </w:rPr>
        <w:t>between IC value and firm age</w:t>
      </w:r>
      <w:r w:rsidR="00383C3E" w:rsidRPr="00EA4B66">
        <w:rPr>
          <w:color w:val="000000" w:themeColor="text1"/>
          <w:sz w:val="24"/>
          <w:szCs w:val="24"/>
          <w:lang w:val="en-US"/>
        </w:rPr>
        <w:t>.</w:t>
      </w:r>
    </w:p>
    <w:p w14:paraId="28D0C800" w14:textId="3B209362" w:rsidR="00BE5261" w:rsidRPr="00EA4B66" w:rsidRDefault="00FC00F7" w:rsidP="000976E6">
      <w:pPr>
        <w:spacing w:after="0" w:line="240" w:lineRule="auto"/>
        <w:ind w:firstLine="284"/>
        <w:jc w:val="both"/>
        <w:rPr>
          <w:b/>
          <w:i/>
          <w:color w:val="000000" w:themeColor="text1"/>
          <w:sz w:val="24"/>
          <w:szCs w:val="24"/>
          <w:lang w:val="en-US"/>
        </w:rPr>
      </w:pPr>
      <w:r w:rsidRPr="00EA4B66">
        <w:rPr>
          <w:b/>
          <w:i/>
          <w:color w:val="000000" w:themeColor="text1"/>
          <w:sz w:val="24"/>
          <w:szCs w:val="24"/>
          <w:lang w:val="en-US"/>
        </w:rPr>
        <w:t>H</w:t>
      </w:r>
      <w:r w:rsidR="00C23DC1" w:rsidRPr="00EA4B66">
        <w:rPr>
          <w:b/>
          <w:i/>
          <w:color w:val="000000" w:themeColor="text1"/>
          <w:sz w:val="24"/>
          <w:szCs w:val="24"/>
          <w:lang w:val="en-US"/>
        </w:rPr>
        <w:t>3</w:t>
      </w:r>
      <w:r w:rsidRPr="00EA4B66">
        <w:rPr>
          <w:b/>
          <w:i/>
          <w:color w:val="000000" w:themeColor="text1"/>
          <w:sz w:val="24"/>
          <w:szCs w:val="24"/>
          <w:lang w:val="en-US"/>
        </w:rPr>
        <w:t xml:space="preserve">: </w:t>
      </w:r>
      <w:r w:rsidR="00E86CA0" w:rsidRPr="00EA4B66">
        <w:rPr>
          <w:b/>
          <w:i/>
          <w:color w:val="000000" w:themeColor="text1"/>
          <w:sz w:val="24"/>
          <w:szCs w:val="24"/>
          <w:lang w:val="en-US"/>
        </w:rPr>
        <w:t xml:space="preserve">IC value </w:t>
      </w:r>
      <w:r w:rsidR="00C36DC3" w:rsidRPr="00EA4B66">
        <w:rPr>
          <w:b/>
          <w:i/>
          <w:color w:val="000000" w:themeColor="text1"/>
          <w:sz w:val="24"/>
          <w:szCs w:val="24"/>
          <w:lang w:val="en-US"/>
        </w:rPr>
        <w:t xml:space="preserve">is </w:t>
      </w:r>
      <w:r w:rsidR="008003CB" w:rsidRPr="00EA4B66">
        <w:rPr>
          <w:b/>
          <w:i/>
          <w:color w:val="000000" w:themeColor="text1"/>
          <w:sz w:val="24"/>
          <w:szCs w:val="24"/>
          <w:lang w:val="en-US"/>
        </w:rPr>
        <w:t xml:space="preserve">negatively </w:t>
      </w:r>
      <w:r w:rsidR="00C36DC3" w:rsidRPr="00EA4B66">
        <w:rPr>
          <w:b/>
          <w:i/>
          <w:color w:val="000000" w:themeColor="text1"/>
          <w:sz w:val="24"/>
          <w:szCs w:val="24"/>
          <w:lang w:val="en-US"/>
        </w:rPr>
        <w:t>associated with</w:t>
      </w:r>
      <w:r w:rsidR="007D4901" w:rsidRPr="00EA4B66">
        <w:rPr>
          <w:b/>
          <w:i/>
          <w:color w:val="000000" w:themeColor="text1"/>
          <w:sz w:val="24"/>
          <w:szCs w:val="24"/>
          <w:lang w:val="en-US"/>
        </w:rPr>
        <w:t xml:space="preserve"> firm age</w:t>
      </w:r>
      <w:r w:rsidR="00611E66" w:rsidRPr="00EA4B66">
        <w:rPr>
          <w:b/>
          <w:i/>
          <w:color w:val="000000" w:themeColor="text1"/>
          <w:sz w:val="24"/>
          <w:szCs w:val="24"/>
          <w:lang w:val="en-US"/>
        </w:rPr>
        <w:t>.</w:t>
      </w:r>
    </w:p>
    <w:p w14:paraId="6C956A9C" w14:textId="77777777" w:rsidR="00B00A1F" w:rsidRPr="00EA4B66" w:rsidRDefault="00B00A1F" w:rsidP="000976E6">
      <w:pPr>
        <w:spacing w:after="0" w:line="240" w:lineRule="auto"/>
        <w:ind w:firstLine="284"/>
        <w:jc w:val="both"/>
        <w:rPr>
          <w:color w:val="000000" w:themeColor="text1"/>
          <w:sz w:val="24"/>
          <w:szCs w:val="24"/>
          <w:lang w:val="en-US"/>
        </w:rPr>
      </w:pPr>
    </w:p>
    <w:p w14:paraId="3B27CEDE" w14:textId="199EBD6F" w:rsidR="0068613B" w:rsidRPr="00EA4B66" w:rsidRDefault="004468CB" w:rsidP="00120675">
      <w:pPr>
        <w:spacing w:after="0" w:line="240" w:lineRule="auto"/>
        <w:jc w:val="both"/>
        <w:rPr>
          <w:b/>
          <w:i/>
          <w:color w:val="000000" w:themeColor="text1"/>
          <w:sz w:val="24"/>
          <w:szCs w:val="24"/>
          <w:lang w:val="en-US"/>
        </w:rPr>
      </w:pPr>
      <w:r w:rsidRPr="00EA4B66">
        <w:rPr>
          <w:b/>
          <w:i/>
          <w:color w:val="000000" w:themeColor="text1"/>
          <w:sz w:val="24"/>
          <w:szCs w:val="24"/>
          <w:lang w:val="en-US"/>
        </w:rPr>
        <w:t>3</w:t>
      </w:r>
      <w:r w:rsidR="00E84844" w:rsidRPr="00EA4B66">
        <w:rPr>
          <w:b/>
          <w:i/>
          <w:color w:val="000000" w:themeColor="text1"/>
          <w:sz w:val="24"/>
          <w:szCs w:val="24"/>
          <w:lang w:val="en-US"/>
        </w:rPr>
        <w:t>.4. Firm profitability</w:t>
      </w:r>
    </w:p>
    <w:p w14:paraId="0137FF95" w14:textId="6539066B" w:rsidR="00974F6B" w:rsidRPr="00EA4B66" w:rsidRDefault="00120675" w:rsidP="00120675">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BB752A" w:rsidRPr="00EA4B66">
        <w:rPr>
          <w:color w:val="000000" w:themeColor="text1"/>
          <w:sz w:val="24"/>
          <w:szCs w:val="24"/>
          <w:lang w:val="en-US"/>
        </w:rPr>
        <w:t xml:space="preserve">Reed </w:t>
      </w:r>
      <w:r w:rsidR="00BB752A" w:rsidRPr="00EA4B66">
        <w:rPr>
          <w:i/>
          <w:color w:val="000000" w:themeColor="text1"/>
          <w:sz w:val="24"/>
          <w:szCs w:val="24"/>
          <w:lang w:val="en-US"/>
        </w:rPr>
        <w:t>et al</w:t>
      </w:r>
      <w:r w:rsidR="00BB752A" w:rsidRPr="00EA4B66">
        <w:rPr>
          <w:color w:val="000000" w:themeColor="text1"/>
          <w:sz w:val="24"/>
          <w:szCs w:val="24"/>
          <w:lang w:val="en-US"/>
        </w:rPr>
        <w:t xml:space="preserve">. (2006) and Youndt </w:t>
      </w:r>
      <w:r w:rsidR="00BB752A" w:rsidRPr="00EA4B66">
        <w:rPr>
          <w:i/>
          <w:color w:val="000000" w:themeColor="text1"/>
          <w:sz w:val="24"/>
          <w:szCs w:val="24"/>
          <w:lang w:val="en-US"/>
        </w:rPr>
        <w:t>et al</w:t>
      </w:r>
      <w:r w:rsidR="00BB752A" w:rsidRPr="00EA4B66">
        <w:rPr>
          <w:color w:val="000000" w:themeColor="text1"/>
          <w:sz w:val="24"/>
          <w:szCs w:val="24"/>
          <w:lang w:val="en-US"/>
        </w:rPr>
        <w:t xml:space="preserve">. (2004) find evidence that higher IC leads to higher competitive advantage and thus </w:t>
      </w:r>
      <w:r w:rsidR="00073327" w:rsidRPr="00EA4B66">
        <w:rPr>
          <w:color w:val="000000" w:themeColor="text1"/>
          <w:sz w:val="24"/>
          <w:szCs w:val="24"/>
          <w:lang w:val="en-US"/>
        </w:rPr>
        <w:t xml:space="preserve">company </w:t>
      </w:r>
      <w:r w:rsidR="00BB752A" w:rsidRPr="00EA4B66">
        <w:rPr>
          <w:color w:val="000000" w:themeColor="text1"/>
          <w:sz w:val="24"/>
          <w:szCs w:val="24"/>
          <w:lang w:val="en-US"/>
        </w:rPr>
        <w:t>performance.</w:t>
      </w:r>
      <w:r w:rsidR="00974F6B" w:rsidRPr="00EA4B66">
        <w:rPr>
          <w:color w:val="000000" w:themeColor="text1"/>
          <w:sz w:val="24"/>
          <w:szCs w:val="24"/>
          <w:lang w:val="en-US"/>
        </w:rPr>
        <w:t xml:space="preserve"> </w:t>
      </w:r>
      <w:r w:rsidR="00363F9A" w:rsidRPr="00EA4B66">
        <w:rPr>
          <w:color w:val="000000" w:themeColor="text1"/>
          <w:sz w:val="24"/>
          <w:szCs w:val="24"/>
          <w:lang w:val="en-US"/>
        </w:rPr>
        <w:t xml:space="preserve">According to Keenan and Aggestam (2001), </w:t>
      </w:r>
      <w:r w:rsidR="00932F14" w:rsidRPr="00EA4B66">
        <w:rPr>
          <w:color w:val="000000" w:themeColor="text1"/>
          <w:sz w:val="24"/>
          <w:szCs w:val="24"/>
          <w:lang w:val="en-US"/>
        </w:rPr>
        <w:t>focusing on</w:t>
      </w:r>
      <w:r w:rsidR="00363F9A" w:rsidRPr="00EA4B66">
        <w:rPr>
          <w:color w:val="000000" w:themeColor="text1"/>
          <w:sz w:val="24"/>
          <w:szCs w:val="24"/>
          <w:lang w:val="en-US"/>
        </w:rPr>
        <w:t xml:space="preserve"> </w:t>
      </w:r>
      <w:r w:rsidR="00AF3A6D">
        <w:rPr>
          <w:color w:val="000000" w:themeColor="text1"/>
          <w:sz w:val="24"/>
          <w:szCs w:val="24"/>
          <w:lang w:val="en-US"/>
        </w:rPr>
        <w:t>IC</w:t>
      </w:r>
      <w:r w:rsidR="00363F9A" w:rsidRPr="00EA4B66">
        <w:rPr>
          <w:color w:val="000000" w:themeColor="text1"/>
          <w:sz w:val="24"/>
          <w:szCs w:val="24"/>
          <w:lang w:val="en-US"/>
        </w:rPr>
        <w:t xml:space="preserve"> is important </w:t>
      </w:r>
      <w:r w:rsidR="00932F14" w:rsidRPr="00EA4B66">
        <w:rPr>
          <w:color w:val="000000" w:themeColor="text1"/>
          <w:sz w:val="24"/>
          <w:szCs w:val="24"/>
          <w:lang w:val="en-US"/>
        </w:rPr>
        <w:t>as</w:t>
      </w:r>
      <w:r w:rsidR="00363F9A" w:rsidRPr="00EA4B66">
        <w:rPr>
          <w:color w:val="000000" w:themeColor="text1"/>
          <w:sz w:val="24"/>
          <w:szCs w:val="24"/>
          <w:lang w:val="en-US"/>
        </w:rPr>
        <w:t xml:space="preserve"> </w:t>
      </w:r>
      <w:r w:rsidR="00932F14" w:rsidRPr="00EA4B66">
        <w:rPr>
          <w:color w:val="000000" w:themeColor="text1"/>
          <w:sz w:val="24"/>
          <w:szCs w:val="24"/>
          <w:lang w:val="en-US"/>
        </w:rPr>
        <w:t>it</w:t>
      </w:r>
      <w:r w:rsidR="00363F9A" w:rsidRPr="00EA4B66">
        <w:rPr>
          <w:color w:val="000000" w:themeColor="text1"/>
          <w:sz w:val="24"/>
          <w:szCs w:val="24"/>
          <w:lang w:val="en-US"/>
        </w:rPr>
        <w:t xml:space="preserve"> transf</w:t>
      </w:r>
      <w:r w:rsidR="00932F14" w:rsidRPr="00EA4B66">
        <w:rPr>
          <w:color w:val="000000" w:themeColor="text1"/>
          <w:sz w:val="24"/>
          <w:szCs w:val="24"/>
          <w:lang w:val="en-US"/>
        </w:rPr>
        <w:t xml:space="preserve">orms more </w:t>
      </w:r>
      <w:r w:rsidR="00363F9A" w:rsidRPr="00EA4B66">
        <w:rPr>
          <w:color w:val="000000" w:themeColor="text1"/>
          <w:sz w:val="24"/>
          <w:szCs w:val="24"/>
          <w:lang w:val="en-US"/>
        </w:rPr>
        <w:t xml:space="preserve">tangible </w:t>
      </w:r>
      <w:r w:rsidR="00932F14" w:rsidRPr="00EA4B66">
        <w:rPr>
          <w:color w:val="000000" w:themeColor="text1"/>
          <w:sz w:val="24"/>
          <w:szCs w:val="24"/>
          <w:lang w:val="en-US"/>
        </w:rPr>
        <w:t xml:space="preserve">physical and </w:t>
      </w:r>
      <w:r w:rsidR="00363F9A" w:rsidRPr="00EA4B66">
        <w:rPr>
          <w:color w:val="000000" w:themeColor="text1"/>
          <w:sz w:val="24"/>
          <w:szCs w:val="24"/>
          <w:lang w:val="en-US"/>
        </w:rPr>
        <w:t xml:space="preserve">financial </w:t>
      </w:r>
      <w:r w:rsidR="00932F14" w:rsidRPr="00EA4B66">
        <w:rPr>
          <w:color w:val="000000" w:themeColor="text1"/>
          <w:sz w:val="24"/>
          <w:szCs w:val="24"/>
          <w:lang w:val="en-US"/>
        </w:rPr>
        <w:t>capital</w:t>
      </w:r>
      <w:r w:rsidR="00363F9A" w:rsidRPr="00EA4B66">
        <w:rPr>
          <w:color w:val="000000" w:themeColor="text1"/>
          <w:sz w:val="24"/>
          <w:szCs w:val="24"/>
          <w:lang w:val="en-US"/>
        </w:rPr>
        <w:t xml:space="preserve"> into added </w:t>
      </w:r>
      <w:r w:rsidR="00932F14" w:rsidRPr="00EA4B66">
        <w:rPr>
          <w:color w:val="000000" w:themeColor="text1"/>
          <w:sz w:val="24"/>
          <w:szCs w:val="24"/>
          <w:lang w:val="en-US"/>
        </w:rPr>
        <w:t>value and improved performance</w:t>
      </w:r>
      <w:r w:rsidR="00363F9A" w:rsidRPr="00EA4B66">
        <w:rPr>
          <w:color w:val="000000" w:themeColor="text1"/>
          <w:sz w:val="24"/>
          <w:szCs w:val="24"/>
          <w:lang w:val="en-US"/>
        </w:rPr>
        <w:t xml:space="preserve">. </w:t>
      </w:r>
      <w:r w:rsidR="00B11B24" w:rsidRPr="00EA4B66">
        <w:rPr>
          <w:color w:val="000000" w:themeColor="text1"/>
          <w:sz w:val="24"/>
          <w:szCs w:val="24"/>
          <w:lang w:val="en-US"/>
        </w:rPr>
        <w:t xml:space="preserve">Nicholson and Kiel (2004) show that firms must pay specific attention to </w:t>
      </w:r>
      <w:r w:rsidR="00AF3A6D">
        <w:rPr>
          <w:color w:val="000000" w:themeColor="text1"/>
          <w:sz w:val="24"/>
          <w:szCs w:val="24"/>
          <w:lang w:val="en-US"/>
        </w:rPr>
        <w:t>IC</w:t>
      </w:r>
      <w:r w:rsidR="00B11B24" w:rsidRPr="00EA4B66">
        <w:rPr>
          <w:color w:val="000000" w:themeColor="text1"/>
          <w:sz w:val="24"/>
          <w:szCs w:val="24"/>
          <w:lang w:val="en-US"/>
        </w:rPr>
        <w:t xml:space="preserve"> </w:t>
      </w:r>
      <w:r w:rsidR="00932F14" w:rsidRPr="00EA4B66">
        <w:rPr>
          <w:color w:val="000000" w:themeColor="text1"/>
          <w:sz w:val="24"/>
          <w:szCs w:val="24"/>
          <w:lang w:val="en-US"/>
        </w:rPr>
        <w:t>when seeking to improve</w:t>
      </w:r>
      <w:r w:rsidR="00B11B24" w:rsidRPr="00EA4B66">
        <w:rPr>
          <w:color w:val="000000" w:themeColor="text1"/>
          <w:sz w:val="24"/>
          <w:szCs w:val="24"/>
          <w:lang w:val="en-US"/>
        </w:rPr>
        <w:t xml:space="preserve"> their performance. </w:t>
      </w:r>
      <w:r w:rsidR="00974F6B" w:rsidRPr="00EA4B66">
        <w:rPr>
          <w:color w:val="000000" w:themeColor="text1"/>
          <w:sz w:val="24"/>
          <w:szCs w:val="24"/>
          <w:lang w:val="en-US"/>
        </w:rPr>
        <w:t xml:space="preserve">Therefore, </w:t>
      </w:r>
      <w:r w:rsidR="00BB752A" w:rsidRPr="00EA4B66">
        <w:rPr>
          <w:color w:val="000000" w:themeColor="text1"/>
          <w:sz w:val="24"/>
          <w:szCs w:val="24"/>
          <w:lang w:val="en-US"/>
        </w:rPr>
        <w:t>consistent with the existing</w:t>
      </w:r>
      <w:r w:rsidR="00974F6B" w:rsidRPr="00EA4B66">
        <w:rPr>
          <w:color w:val="000000" w:themeColor="text1"/>
          <w:sz w:val="24"/>
          <w:szCs w:val="24"/>
          <w:lang w:val="en-US"/>
        </w:rPr>
        <w:t xml:space="preserve"> literature, </w:t>
      </w:r>
      <w:r w:rsidR="00DE61C3">
        <w:rPr>
          <w:color w:val="000000" w:themeColor="text1"/>
          <w:sz w:val="24"/>
          <w:szCs w:val="24"/>
          <w:lang w:val="en-US"/>
        </w:rPr>
        <w:t>the authors</w:t>
      </w:r>
      <w:r w:rsidR="00BB752A" w:rsidRPr="00EA4B66">
        <w:rPr>
          <w:color w:val="000000" w:themeColor="text1"/>
          <w:sz w:val="24"/>
          <w:szCs w:val="24"/>
          <w:lang w:val="en-US"/>
        </w:rPr>
        <w:t xml:space="preserve"> measure </w:t>
      </w:r>
      <w:r w:rsidR="00974F6B" w:rsidRPr="00EA4B66">
        <w:rPr>
          <w:color w:val="000000" w:themeColor="text1"/>
          <w:sz w:val="24"/>
          <w:szCs w:val="24"/>
          <w:lang w:val="en-US"/>
        </w:rPr>
        <w:t xml:space="preserve">profitability in terms of return on </w:t>
      </w:r>
      <w:r w:rsidR="009435DB" w:rsidRPr="00EA4B66">
        <w:rPr>
          <w:color w:val="000000" w:themeColor="text1"/>
          <w:sz w:val="24"/>
          <w:szCs w:val="24"/>
          <w:lang w:val="en-US"/>
        </w:rPr>
        <w:t>equity</w:t>
      </w:r>
      <w:r w:rsidR="00BB752A" w:rsidRPr="00EA4B66">
        <w:rPr>
          <w:color w:val="000000" w:themeColor="text1"/>
          <w:sz w:val="24"/>
          <w:szCs w:val="24"/>
          <w:lang w:val="en-US"/>
        </w:rPr>
        <w:t xml:space="preserve"> </w:t>
      </w:r>
      <w:r w:rsidR="00073327" w:rsidRPr="00EA4B66">
        <w:rPr>
          <w:color w:val="000000" w:themeColor="text1"/>
          <w:sz w:val="24"/>
          <w:szCs w:val="24"/>
          <w:lang w:val="en-US"/>
        </w:rPr>
        <w:t>as</w:t>
      </w:r>
      <w:r w:rsidR="009E34E9" w:rsidRPr="00EA4B66">
        <w:rPr>
          <w:color w:val="000000" w:themeColor="text1"/>
          <w:sz w:val="24"/>
          <w:szCs w:val="24"/>
          <w:lang w:val="en-US"/>
        </w:rPr>
        <w:t xml:space="preserve"> </w:t>
      </w:r>
      <w:r w:rsidR="006B4EEA" w:rsidRPr="00EA4B66">
        <w:rPr>
          <w:color w:val="000000" w:themeColor="text1"/>
          <w:sz w:val="24"/>
          <w:szCs w:val="24"/>
          <w:lang w:val="en-US"/>
        </w:rPr>
        <w:t xml:space="preserve">it should be </w:t>
      </w:r>
      <w:r w:rsidR="00AA657B" w:rsidRPr="00EA4B66">
        <w:rPr>
          <w:color w:val="000000" w:themeColor="text1"/>
          <w:sz w:val="24"/>
          <w:szCs w:val="24"/>
          <w:lang w:val="en-US"/>
        </w:rPr>
        <w:t>a better</w:t>
      </w:r>
      <w:r w:rsidR="006B4EEA" w:rsidRPr="00EA4B66">
        <w:rPr>
          <w:color w:val="000000" w:themeColor="text1"/>
          <w:sz w:val="24"/>
          <w:szCs w:val="24"/>
          <w:lang w:val="en-US"/>
        </w:rPr>
        <w:t xml:space="preserve"> indicator of firm profitability </w:t>
      </w:r>
      <w:r w:rsidR="00AA657B" w:rsidRPr="00EA4B66">
        <w:rPr>
          <w:color w:val="000000" w:themeColor="text1"/>
          <w:sz w:val="24"/>
          <w:szCs w:val="24"/>
          <w:lang w:val="en-US"/>
        </w:rPr>
        <w:t xml:space="preserve">from the </w:t>
      </w:r>
      <w:r w:rsidR="0042192D" w:rsidRPr="00EA4B66">
        <w:rPr>
          <w:color w:val="000000" w:themeColor="text1"/>
          <w:sz w:val="24"/>
          <w:szCs w:val="24"/>
          <w:lang w:val="en-US"/>
        </w:rPr>
        <w:t>perspective of</w:t>
      </w:r>
      <w:r w:rsidR="00073327" w:rsidRPr="00EA4B66">
        <w:rPr>
          <w:color w:val="000000" w:themeColor="text1"/>
          <w:sz w:val="24"/>
          <w:szCs w:val="24"/>
          <w:lang w:val="en-US"/>
        </w:rPr>
        <w:t xml:space="preserve"> an </w:t>
      </w:r>
      <w:r w:rsidR="00AA657B" w:rsidRPr="00EA4B66">
        <w:rPr>
          <w:color w:val="000000" w:themeColor="text1"/>
          <w:sz w:val="24"/>
          <w:szCs w:val="24"/>
          <w:lang w:val="en-US"/>
        </w:rPr>
        <w:t xml:space="preserve">equity investor </w:t>
      </w:r>
      <w:r w:rsidR="006B4EEA" w:rsidRPr="00EA4B66">
        <w:rPr>
          <w:color w:val="000000" w:themeColor="text1"/>
          <w:sz w:val="24"/>
          <w:szCs w:val="24"/>
          <w:lang w:val="en-US"/>
        </w:rPr>
        <w:t xml:space="preserve">than </w:t>
      </w:r>
      <w:r w:rsidR="00073327" w:rsidRPr="00EA4B66">
        <w:rPr>
          <w:color w:val="000000" w:themeColor="text1"/>
          <w:sz w:val="24"/>
          <w:szCs w:val="24"/>
          <w:lang w:val="en-US"/>
        </w:rPr>
        <w:t xml:space="preserve">alternative measures such as the </w:t>
      </w:r>
      <w:r w:rsidR="006B4EEA" w:rsidRPr="00EA4B66">
        <w:rPr>
          <w:color w:val="000000" w:themeColor="text1"/>
          <w:sz w:val="24"/>
          <w:szCs w:val="24"/>
          <w:lang w:val="en-US"/>
        </w:rPr>
        <w:t>return on assets</w:t>
      </w:r>
      <w:r w:rsidR="00712CE9">
        <w:rPr>
          <w:color w:val="000000" w:themeColor="text1"/>
          <w:sz w:val="24"/>
          <w:szCs w:val="24"/>
          <w:lang w:val="en-US"/>
        </w:rPr>
        <w:t>. The authors</w:t>
      </w:r>
      <w:r w:rsidR="006B4EEA" w:rsidRPr="00EA4B66">
        <w:rPr>
          <w:color w:val="000000" w:themeColor="text1"/>
          <w:sz w:val="24"/>
          <w:szCs w:val="24"/>
          <w:lang w:val="en-US"/>
        </w:rPr>
        <w:t xml:space="preserve"> </w:t>
      </w:r>
      <w:r w:rsidR="00BB752A" w:rsidRPr="00EA4B66">
        <w:rPr>
          <w:color w:val="000000" w:themeColor="text1"/>
          <w:sz w:val="24"/>
          <w:szCs w:val="24"/>
          <w:lang w:val="en-US"/>
        </w:rPr>
        <w:t>propose</w:t>
      </w:r>
      <w:r w:rsidR="00974F6B" w:rsidRPr="00EA4B66">
        <w:rPr>
          <w:color w:val="000000" w:themeColor="text1"/>
          <w:sz w:val="24"/>
          <w:szCs w:val="24"/>
          <w:lang w:val="en-US"/>
        </w:rPr>
        <w:t xml:space="preserve"> the following hypothesis:</w:t>
      </w:r>
    </w:p>
    <w:p w14:paraId="353C03D7" w14:textId="0FD022E1" w:rsidR="00974F6B" w:rsidRPr="00EA4B66" w:rsidRDefault="00974F6B" w:rsidP="000976E6">
      <w:pPr>
        <w:spacing w:after="0" w:line="240" w:lineRule="auto"/>
        <w:ind w:firstLine="284"/>
        <w:jc w:val="both"/>
        <w:rPr>
          <w:b/>
          <w:i/>
          <w:color w:val="000000" w:themeColor="text1"/>
          <w:sz w:val="24"/>
          <w:szCs w:val="24"/>
          <w:lang w:val="en-US"/>
        </w:rPr>
      </w:pPr>
      <w:r w:rsidRPr="00EA4B66">
        <w:rPr>
          <w:b/>
          <w:i/>
          <w:color w:val="000000" w:themeColor="text1"/>
          <w:sz w:val="24"/>
          <w:szCs w:val="24"/>
          <w:lang w:val="en-US"/>
        </w:rPr>
        <w:t xml:space="preserve">H4: </w:t>
      </w:r>
      <w:r w:rsidR="00BB752A" w:rsidRPr="00EA4B66">
        <w:rPr>
          <w:b/>
          <w:i/>
          <w:color w:val="000000" w:themeColor="text1"/>
          <w:sz w:val="24"/>
          <w:szCs w:val="24"/>
          <w:lang w:val="en-US"/>
        </w:rPr>
        <w:t>IC value is positively associated with firm profitability</w:t>
      </w:r>
      <w:r w:rsidR="003E41DD" w:rsidRPr="00EA4B66">
        <w:rPr>
          <w:b/>
          <w:i/>
          <w:color w:val="000000" w:themeColor="text1"/>
          <w:sz w:val="24"/>
          <w:szCs w:val="24"/>
          <w:lang w:val="en-US"/>
        </w:rPr>
        <w:t>.</w:t>
      </w:r>
    </w:p>
    <w:p w14:paraId="5A6C1384" w14:textId="77777777" w:rsidR="0068613B" w:rsidRPr="00EA4B66" w:rsidRDefault="0068613B" w:rsidP="000976E6">
      <w:pPr>
        <w:spacing w:after="0" w:line="240" w:lineRule="auto"/>
        <w:ind w:firstLine="284"/>
        <w:jc w:val="both"/>
        <w:rPr>
          <w:color w:val="000000" w:themeColor="text1"/>
          <w:sz w:val="24"/>
          <w:szCs w:val="24"/>
          <w:lang w:val="en-US"/>
        </w:rPr>
      </w:pPr>
    </w:p>
    <w:p w14:paraId="7F358292" w14:textId="22C31082" w:rsidR="00E07CDA" w:rsidRPr="00EA4B66" w:rsidRDefault="006B3E2A" w:rsidP="00120675">
      <w:pPr>
        <w:spacing w:after="0" w:line="240" w:lineRule="auto"/>
        <w:jc w:val="both"/>
        <w:rPr>
          <w:b/>
          <w:i/>
          <w:color w:val="000000" w:themeColor="text1"/>
          <w:sz w:val="24"/>
          <w:szCs w:val="24"/>
          <w:lang w:val="en-US"/>
        </w:rPr>
      </w:pPr>
      <w:r w:rsidRPr="00EA4B66">
        <w:rPr>
          <w:b/>
          <w:i/>
          <w:color w:val="000000" w:themeColor="text1"/>
          <w:sz w:val="24"/>
          <w:szCs w:val="24"/>
          <w:lang w:val="en-US"/>
        </w:rPr>
        <w:t>3</w:t>
      </w:r>
      <w:r w:rsidR="00E84844" w:rsidRPr="00EA4B66">
        <w:rPr>
          <w:b/>
          <w:i/>
          <w:color w:val="000000" w:themeColor="text1"/>
          <w:sz w:val="24"/>
          <w:szCs w:val="24"/>
          <w:lang w:val="en-US"/>
        </w:rPr>
        <w:t xml:space="preserve">.5. </w:t>
      </w:r>
      <w:r w:rsidR="00B52F19" w:rsidRPr="00EA4B66">
        <w:rPr>
          <w:b/>
          <w:i/>
          <w:color w:val="000000" w:themeColor="text1"/>
          <w:sz w:val="24"/>
          <w:szCs w:val="24"/>
          <w:lang w:val="en-US"/>
        </w:rPr>
        <w:t>Leverage</w:t>
      </w:r>
    </w:p>
    <w:p w14:paraId="3EFFEE0D" w14:textId="4C43359C" w:rsidR="00244E1D" w:rsidRPr="00EA4B66" w:rsidRDefault="009A30EB" w:rsidP="00244E1D">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B52F19" w:rsidRPr="00EA4B66">
        <w:rPr>
          <w:color w:val="000000" w:themeColor="text1"/>
          <w:sz w:val="24"/>
          <w:szCs w:val="24"/>
          <w:lang w:val="en-US"/>
        </w:rPr>
        <w:t xml:space="preserve">Lenders to the firm </w:t>
      </w:r>
      <w:r w:rsidR="00A700AA" w:rsidRPr="00EA4B66">
        <w:rPr>
          <w:color w:val="000000" w:themeColor="text1"/>
          <w:sz w:val="24"/>
          <w:szCs w:val="24"/>
          <w:lang w:val="en-US"/>
        </w:rPr>
        <w:t>will</w:t>
      </w:r>
      <w:r w:rsidR="00B52F19" w:rsidRPr="00EA4B66">
        <w:rPr>
          <w:color w:val="000000" w:themeColor="text1"/>
          <w:sz w:val="24"/>
          <w:szCs w:val="24"/>
          <w:lang w:val="en-US"/>
        </w:rPr>
        <w:t xml:space="preserve"> often </w:t>
      </w:r>
      <w:r w:rsidR="00A700AA" w:rsidRPr="00EA4B66">
        <w:rPr>
          <w:color w:val="000000" w:themeColor="text1"/>
          <w:sz w:val="24"/>
          <w:szCs w:val="24"/>
          <w:lang w:val="en-US"/>
        </w:rPr>
        <w:t xml:space="preserve">be </w:t>
      </w:r>
      <w:r w:rsidR="00B52F19" w:rsidRPr="00EA4B66">
        <w:rPr>
          <w:color w:val="000000" w:themeColor="text1"/>
          <w:sz w:val="24"/>
          <w:szCs w:val="24"/>
          <w:lang w:val="en-US"/>
        </w:rPr>
        <w:t>influential stakeholders. Indeed, as the debt to total assets ratio increases, lenders may gain greater influence on the firm’s management, driving them to accelerate their investment in IC</w:t>
      </w:r>
      <w:r w:rsidR="007C37D3" w:rsidRPr="00EA4B66">
        <w:rPr>
          <w:color w:val="000000" w:themeColor="text1"/>
          <w:sz w:val="24"/>
          <w:szCs w:val="24"/>
          <w:lang w:val="en-US"/>
        </w:rPr>
        <w:t xml:space="preserve"> as well as</w:t>
      </w:r>
      <w:r w:rsidR="00A700AA" w:rsidRPr="00EA4B66">
        <w:rPr>
          <w:color w:val="000000" w:themeColor="text1"/>
          <w:sz w:val="24"/>
          <w:szCs w:val="24"/>
          <w:lang w:val="en-US"/>
        </w:rPr>
        <w:t xml:space="preserve"> encouraging them to better manage </w:t>
      </w:r>
      <w:r w:rsidR="007C37D3" w:rsidRPr="00EA4B66">
        <w:rPr>
          <w:color w:val="000000" w:themeColor="text1"/>
          <w:sz w:val="24"/>
          <w:szCs w:val="24"/>
          <w:lang w:val="en-US"/>
        </w:rPr>
        <w:t xml:space="preserve">IC resources given their relevance </w:t>
      </w:r>
      <w:r w:rsidR="00A700AA" w:rsidRPr="00EA4B66">
        <w:rPr>
          <w:color w:val="000000" w:themeColor="text1"/>
          <w:sz w:val="24"/>
          <w:szCs w:val="24"/>
          <w:lang w:val="en-US"/>
        </w:rPr>
        <w:t>for</w:t>
      </w:r>
      <w:r w:rsidR="007C37D3" w:rsidRPr="00EA4B66">
        <w:rPr>
          <w:color w:val="000000" w:themeColor="text1"/>
          <w:sz w:val="24"/>
          <w:szCs w:val="24"/>
          <w:lang w:val="en-US"/>
        </w:rPr>
        <w:t xml:space="preserve"> value creation </w:t>
      </w:r>
      <w:r w:rsidR="00B52F19" w:rsidRPr="00EA4B66">
        <w:rPr>
          <w:color w:val="000000" w:themeColor="text1"/>
          <w:sz w:val="24"/>
          <w:szCs w:val="24"/>
          <w:lang w:val="en-US"/>
        </w:rPr>
        <w:t xml:space="preserve">(Keenan and Aggestam, 2001; Goebel, 2015). This effect is likely to be more pronounced for countries with insider governance systems, prevalent in countries such as Germany and Japan, as discussed by Dignam and Galanis (2009) and Goebel (2015). While lenders do not exert such a strong influence in Italian companies, their influence is nonetheless potentially important. In Italy, </w:t>
      </w:r>
      <w:r w:rsidR="008124E0">
        <w:rPr>
          <w:color w:val="000000" w:themeColor="text1"/>
          <w:sz w:val="24"/>
          <w:szCs w:val="24"/>
          <w:lang w:val="en-US"/>
        </w:rPr>
        <w:t>SMEs</w:t>
      </w:r>
      <w:r w:rsidR="00B52F19" w:rsidRPr="00EA4B66">
        <w:rPr>
          <w:color w:val="000000" w:themeColor="text1"/>
          <w:sz w:val="24"/>
          <w:szCs w:val="24"/>
          <w:lang w:val="en-US"/>
        </w:rPr>
        <w:t xml:space="preserve"> are more affected by the influence of lenders, and in particular banks. </w:t>
      </w:r>
    </w:p>
    <w:p w14:paraId="42DF1027" w14:textId="25F94666" w:rsidR="00B52F19" w:rsidRPr="00EA4B66" w:rsidRDefault="001E4504" w:rsidP="00FE0BC8">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F97DE6" w:rsidRPr="00EA4B66">
        <w:rPr>
          <w:color w:val="000000" w:themeColor="text1"/>
          <w:sz w:val="24"/>
          <w:szCs w:val="24"/>
          <w:lang w:val="en-US"/>
        </w:rPr>
        <w:t xml:space="preserve">Elshandidy and Neri (2015) argue that the monitoring role of </w:t>
      </w:r>
      <w:r w:rsidRPr="00EA4B66">
        <w:rPr>
          <w:color w:val="000000" w:themeColor="text1"/>
          <w:sz w:val="24"/>
          <w:szCs w:val="24"/>
          <w:lang w:val="en-US"/>
        </w:rPr>
        <w:t xml:space="preserve">the </w:t>
      </w:r>
      <w:r w:rsidR="00F97DE6" w:rsidRPr="00EA4B66">
        <w:rPr>
          <w:color w:val="000000" w:themeColor="text1"/>
          <w:sz w:val="24"/>
          <w:szCs w:val="24"/>
          <w:lang w:val="en-US"/>
        </w:rPr>
        <w:t>corporate governance</w:t>
      </w:r>
      <w:r w:rsidR="004F5BC2" w:rsidRPr="00EA4B66">
        <w:rPr>
          <w:color w:val="000000" w:themeColor="text1"/>
          <w:sz w:val="24"/>
          <w:szCs w:val="24"/>
          <w:lang w:val="en-US"/>
        </w:rPr>
        <w:t xml:space="preserve"> structure</w:t>
      </w:r>
      <w:r w:rsidR="00F97DE6" w:rsidRPr="00EA4B66">
        <w:rPr>
          <w:color w:val="000000" w:themeColor="text1"/>
          <w:sz w:val="24"/>
          <w:szCs w:val="24"/>
          <w:lang w:val="en-US"/>
        </w:rPr>
        <w:t xml:space="preserve"> </w:t>
      </w:r>
      <w:r w:rsidR="00D541CF" w:rsidRPr="00EA4B66">
        <w:rPr>
          <w:color w:val="000000" w:themeColor="text1"/>
          <w:sz w:val="24"/>
          <w:szCs w:val="24"/>
          <w:lang w:val="en-US"/>
        </w:rPr>
        <w:t xml:space="preserve">(i.e. </w:t>
      </w:r>
      <w:r w:rsidR="003F0212" w:rsidRPr="00EA4B66">
        <w:rPr>
          <w:color w:val="000000" w:themeColor="text1"/>
          <w:sz w:val="24"/>
          <w:szCs w:val="24"/>
          <w:lang w:val="en-US"/>
        </w:rPr>
        <w:t xml:space="preserve">the presence of </w:t>
      </w:r>
      <w:r w:rsidR="00D541CF" w:rsidRPr="00EA4B66">
        <w:rPr>
          <w:color w:val="000000" w:themeColor="text1"/>
          <w:sz w:val="24"/>
          <w:szCs w:val="24"/>
          <w:lang w:val="en-US"/>
        </w:rPr>
        <w:t xml:space="preserve">independent managers) </w:t>
      </w:r>
      <w:r w:rsidR="00452C59" w:rsidRPr="00EA4B66">
        <w:rPr>
          <w:color w:val="000000" w:themeColor="text1"/>
          <w:sz w:val="24"/>
          <w:szCs w:val="24"/>
          <w:lang w:val="en-US"/>
        </w:rPr>
        <w:t xml:space="preserve">improves the stewardship function of the firm, </w:t>
      </w:r>
      <w:r w:rsidR="00C07F4B" w:rsidRPr="00EA4B66">
        <w:rPr>
          <w:color w:val="000000" w:themeColor="text1"/>
          <w:sz w:val="24"/>
          <w:szCs w:val="24"/>
          <w:lang w:val="en-US"/>
        </w:rPr>
        <w:t xml:space="preserve">introduces </w:t>
      </w:r>
      <w:r w:rsidR="00C41936" w:rsidRPr="00EA4B66">
        <w:rPr>
          <w:color w:val="000000" w:themeColor="text1"/>
          <w:sz w:val="24"/>
          <w:szCs w:val="24"/>
          <w:lang w:val="en-US"/>
        </w:rPr>
        <w:t>an external control mechanism that reduce</w:t>
      </w:r>
      <w:r w:rsidR="0052157A">
        <w:rPr>
          <w:color w:val="000000" w:themeColor="text1"/>
          <w:sz w:val="24"/>
          <w:szCs w:val="24"/>
          <w:lang w:val="en-US"/>
        </w:rPr>
        <w:t>s</w:t>
      </w:r>
      <w:r w:rsidR="00C41936" w:rsidRPr="00EA4B66">
        <w:rPr>
          <w:color w:val="000000" w:themeColor="text1"/>
          <w:sz w:val="24"/>
          <w:szCs w:val="24"/>
          <w:lang w:val="en-US"/>
        </w:rPr>
        <w:t xml:space="preserve"> agency costs, </w:t>
      </w:r>
      <w:r w:rsidR="00452C59" w:rsidRPr="00EA4B66">
        <w:rPr>
          <w:color w:val="000000" w:themeColor="text1"/>
          <w:sz w:val="24"/>
          <w:szCs w:val="24"/>
          <w:lang w:val="en-US"/>
        </w:rPr>
        <w:t>mitigates information asymmetries, and encourage</w:t>
      </w:r>
      <w:r w:rsidR="008C5CC2" w:rsidRPr="00EA4B66">
        <w:rPr>
          <w:color w:val="000000" w:themeColor="text1"/>
          <w:sz w:val="24"/>
          <w:szCs w:val="24"/>
          <w:lang w:val="en-US"/>
        </w:rPr>
        <w:t>s</w:t>
      </w:r>
      <w:r w:rsidR="00452C59" w:rsidRPr="00EA4B66">
        <w:rPr>
          <w:color w:val="000000" w:themeColor="text1"/>
          <w:sz w:val="24"/>
          <w:szCs w:val="24"/>
          <w:lang w:val="en-US"/>
        </w:rPr>
        <w:t xml:space="preserve"> managers to provide </w:t>
      </w:r>
      <w:r w:rsidRPr="00EA4B66">
        <w:rPr>
          <w:color w:val="000000" w:themeColor="text1"/>
          <w:sz w:val="24"/>
          <w:szCs w:val="24"/>
          <w:lang w:val="en-US"/>
        </w:rPr>
        <w:t>more accurate company</w:t>
      </w:r>
      <w:r w:rsidR="00C41936" w:rsidRPr="00EA4B66">
        <w:rPr>
          <w:color w:val="000000" w:themeColor="text1"/>
          <w:sz w:val="24"/>
          <w:szCs w:val="24"/>
          <w:lang w:val="en-US"/>
        </w:rPr>
        <w:t xml:space="preserve"> risk information. </w:t>
      </w:r>
      <w:r w:rsidR="00D5031F" w:rsidRPr="00EA4B66">
        <w:rPr>
          <w:color w:val="000000" w:themeColor="text1"/>
          <w:sz w:val="24"/>
          <w:szCs w:val="24"/>
          <w:lang w:val="en-US"/>
        </w:rPr>
        <w:t xml:space="preserve">Elshandidy </w:t>
      </w:r>
      <w:r w:rsidR="00D5031F" w:rsidRPr="00EA4B66">
        <w:rPr>
          <w:i/>
          <w:color w:val="000000" w:themeColor="text1"/>
          <w:sz w:val="24"/>
          <w:szCs w:val="24"/>
          <w:lang w:val="en-US"/>
        </w:rPr>
        <w:t>et al.</w:t>
      </w:r>
      <w:r w:rsidR="00D5031F" w:rsidRPr="00EA4B66">
        <w:rPr>
          <w:color w:val="000000" w:themeColor="text1"/>
          <w:sz w:val="24"/>
          <w:szCs w:val="24"/>
          <w:lang w:val="en-US"/>
        </w:rPr>
        <w:t xml:space="preserve"> (2013) </w:t>
      </w:r>
      <w:r w:rsidRPr="00EA4B66">
        <w:rPr>
          <w:color w:val="000000" w:themeColor="text1"/>
          <w:sz w:val="24"/>
          <w:szCs w:val="24"/>
          <w:lang w:val="en-US"/>
        </w:rPr>
        <w:t>find</w:t>
      </w:r>
      <w:r w:rsidR="00D5031F" w:rsidRPr="00EA4B66">
        <w:rPr>
          <w:color w:val="000000" w:themeColor="text1"/>
          <w:sz w:val="24"/>
          <w:szCs w:val="24"/>
          <w:lang w:val="en-US"/>
        </w:rPr>
        <w:t xml:space="preserve"> that firm leverage positively influences the level of risk information </w:t>
      </w:r>
      <w:r w:rsidRPr="00EA4B66">
        <w:rPr>
          <w:color w:val="000000" w:themeColor="text1"/>
          <w:sz w:val="24"/>
          <w:szCs w:val="24"/>
          <w:lang w:val="en-US"/>
        </w:rPr>
        <w:t xml:space="preserve">that </w:t>
      </w:r>
      <w:r w:rsidR="00D5031F" w:rsidRPr="00EA4B66">
        <w:rPr>
          <w:color w:val="000000" w:themeColor="text1"/>
          <w:sz w:val="24"/>
          <w:szCs w:val="24"/>
          <w:lang w:val="en-US"/>
        </w:rPr>
        <w:t>firms provide in their narratives</w:t>
      </w:r>
      <w:r w:rsidR="00AB14E2" w:rsidRPr="00EA4B66">
        <w:rPr>
          <w:color w:val="000000" w:themeColor="text1"/>
          <w:sz w:val="24"/>
          <w:szCs w:val="24"/>
          <w:lang w:val="en-US"/>
        </w:rPr>
        <w:t xml:space="preserve">. </w:t>
      </w:r>
      <w:r w:rsidR="007C1095" w:rsidRPr="00EA4B66">
        <w:rPr>
          <w:color w:val="000000" w:themeColor="text1"/>
          <w:sz w:val="24"/>
          <w:szCs w:val="24"/>
          <w:lang w:val="en-US"/>
        </w:rPr>
        <w:t xml:space="preserve">Through </w:t>
      </w:r>
      <w:r w:rsidRPr="00EA4B66">
        <w:rPr>
          <w:color w:val="000000" w:themeColor="text1"/>
          <w:sz w:val="24"/>
          <w:szCs w:val="24"/>
          <w:lang w:val="en-US"/>
        </w:rPr>
        <w:t>a</w:t>
      </w:r>
      <w:r w:rsidR="007C1095" w:rsidRPr="00EA4B66">
        <w:rPr>
          <w:color w:val="000000" w:themeColor="text1"/>
          <w:sz w:val="24"/>
          <w:szCs w:val="24"/>
          <w:lang w:val="en-US"/>
        </w:rPr>
        <w:t xml:space="preserve"> company</w:t>
      </w:r>
      <w:r w:rsidRPr="00EA4B66">
        <w:rPr>
          <w:color w:val="000000" w:themeColor="text1"/>
          <w:sz w:val="24"/>
          <w:szCs w:val="24"/>
          <w:lang w:val="en-US"/>
        </w:rPr>
        <w:t>’s</w:t>
      </w:r>
      <w:r w:rsidR="007C1095" w:rsidRPr="00EA4B66">
        <w:rPr>
          <w:color w:val="000000" w:themeColor="text1"/>
          <w:sz w:val="24"/>
          <w:szCs w:val="24"/>
          <w:lang w:val="en-US"/>
        </w:rPr>
        <w:t xml:space="preserve"> risk profile, investors are </w:t>
      </w:r>
      <w:r w:rsidRPr="00EA4B66">
        <w:rPr>
          <w:color w:val="000000" w:themeColor="text1"/>
          <w:sz w:val="24"/>
          <w:szCs w:val="24"/>
          <w:lang w:val="en-US"/>
        </w:rPr>
        <w:t>able to better estimate company</w:t>
      </w:r>
      <w:r w:rsidR="007C1095" w:rsidRPr="00EA4B66">
        <w:rPr>
          <w:color w:val="000000" w:themeColor="text1"/>
          <w:sz w:val="24"/>
          <w:szCs w:val="24"/>
          <w:lang w:val="en-US"/>
        </w:rPr>
        <w:t xml:space="preserve"> market value, </w:t>
      </w:r>
      <w:r w:rsidR="00F97DE6" w:rsidRPr="00EA4B66">
        <w:rPr>
          <w:color w:val="000000" w:themeColor="text1"/>
          <w:sz w:val="24"/>
          <w:szCs w:val="24"/>
          <w:lang w:val="en-US"/>
        </w:rPr>
        <w:t xml:space="preserve">and to make </w:t>
      </w:r>
      <w:r w:rsidRPr="00EA4B66">
        <w:rPr>
          <w:color w:val="000000" w:themeColor="text1"/>
          <w:sz w:val="24"/>
          <w:szCs w:val="24"/>
          <w:lang w:val="en-US"/>
        </w:rPr>
        <w:t xml:space="preserve">more </w:t>
      </w:r>
      <w:r w:rsidR="00F97DE6" w:rsidRPr="00EA4B66">
        <w:rPr>
          <w:color w:val="000000" w:themeColor="text1"/>
          <w:sz w:val="24"/>
          <w:szCs w:val="24"/>
          <w:lang w:val="en-US"/>
        </w:rPr>
        <w:t>accurate investment decisions (Elshandidy and Neri, 2015</w:t>
      </w:r>
      <w:r w:rsidR="00D44C6A" w:rsidRPr="00EA4B66">
        <w:rPr>
          <w:color w:val="000000" w:themeColor="text1"/>
          <w:sz w:val="24"/>
          <w:szCs w:val="24"/>
          <w:lang w:val="en-US"/>
        </w:rPr>
        <w:t>)</w:t>
      </w:r>
      <w:r w:rsidR="00F97DE6" w:rsidRPr="00EA4B66">
        <w:rPr>
          <w:color w:val="000000" w:themeColor="text1"/>
          <w:sz w:val="24"/>
          <w:szCs w:val="24"/>
          <w:lang w:val="en-US"/>
        </w:rPr>
        <w:t xml:space="preserve">. </w:t>
      </w:r>
      <w:r w:rsidR="00B52F19" w:rsidRPr="00EA4B66">
        <w:rPr>
          <w:color w:val="000000" w:themeColor="text1"/>
          <w:sz w:val="24"/>
          <w:szCs w:val="24"/>
          <w:lang w:val="en-US"/>
        </w:rPr>
        <w:t xml:space="preserve">Therefore, a positive relation </w:t>
      </w:r>
      <w:r w:rsidR="00F97DE6" w:rsidRPr="00EA4B66">
        <w:rPr>
          <w:color w:val="000000" w:themeColor="text1"/>
          <w:sz w:val="24"/>
          <w:szCs w:val="24"/>
          <w:lang w:val="en-US"/>
        </w:rPr>
        <w:t xml:space="preserve">is expected </w:t>
      </w:r>
      <w:r w:rsidR="00B52F19" w:rsidRPr="00EA4B66">
        <w:rPr>
          <w:color w:val="000000" w:themeColor="text1"/>
          <w:sz w:val="24"/>
          <w:szCs w:val="24"/>
          <w:lang w:val="en-US"/>
        </w:rPr>
        <w:t>between leverage (</w:t>
      </w:r>
      <w:r w:rsidR="00144C56" w:rsidRPr="00EA4B66">
        <w:rPr>
          <w:i/>
          <w:color w:val="000000" w:themeColor="text1"/>
          <w:sz w:val="24"/>
          <w:szCs w:val="24"/>
          <w:lang w:val="en-US"/>
        </w:rPr>
        <w:t>DE</w:t>
      </w:r>
      <w:r w:rsidR="00B52F19" w:rsidRPr="00EA4B66">
        <w:rPr>
          <w:color w:val="000000" w:themeColor="text1"/>
          <w:sz w:val="24"/>
          <w:szCs w:val="24"/>
          <w:lang w:val="en-US"/>
        </w:rPr>
        <w:t>) and IC value.</w:t>
      </w:r>
    </w:p>
    <w:p w14:paraId="0F0256EB" w14:textId="2479D6D2" w:rsidR="00AB1121" w:rsidRPr="00EA4B66" w:rsidRDefault="007A7198" w:rsidP="00A700AA">
      <w:pPr>
        <w:spacing w:after="0" w:line="240" w:lineRule="auto"/>
        <w:ind w:firstLine="284"/>
        <w:jc w:val="both"/>
        <w:rPr>
          <w:b/>
          <w:i/>
          <w:color w:val="000000" w:themeColor="text1"/>
          <w:lang w:val="en-US"/>
        </w:rPr>
      </w:pPr>
      <w:r w:rsidRPr="00EA4B66">
        <w:rPr>
          <w:b/>
          <w:i/>
          <w:color w:val="000000" w:themeColor="text1"/>
          <w:sz w:val="24"/>
          <w:szCs w:val="24"/>
          <w:lang w:val="en-US"/>
        </w:rPr>
        <w:t>H5: IC value is positively associated with leverage</w:t>
      </w:r>
      <w:r w:rsidR="009A30EB" w:rsidRPr="00EA4B66">
        <w:rPr>
          <w:b/>
          <w:i/>
          <w:color w:val="000000" w:themeColor="text1"/>
          <w:sz w:val="24"/>
          <w:szCs w:val="24"/>
          <w:lang w:val="en-US"/>
        </w:rPr>
        <w:t>.</w:t>
      </w:r>
    </w:p>
    <w:p w14:paraId="2460E59C" w14:textId="77777777" w:rsidR="001144C5" w:rsidRPr="00EA4B66" w:rsidRDefault="001144C5" w:rsidP="001E4504">
      <w:pPr>
        <w:spacing w:after="0" w:line="240" w:lineRule="auto"/>
        <w:jc w:val="both"/>
        <w:rPr>
          <w:b/>
          <w:i/>
          <w:color w:val="000000" w:themeColor="text1"/>
          <w:sz w:val="24"/>
          <w:szCs w:val="24"/>
          <w:lang w:val="en-US"/>
        </w:rPr>
      </w:pPr>
    </w:p>
    <w:p w14:paraId="472E8CC7" w14:textId="77777777" w:rsidR="00AB1121" w:rsidRPr="00EA4B66" w:rsidRDefault="006B3E2A" w:rsidP="001E4504">
      <w:pPr>
        <w:spacing w:after="0" w:line="240" w:lineRule="auto"/>
        <w:jc w:val="both"/>
        <w:rPr>
          <w:b/>
          <w:i/>
          <w:color w:val="000000" w:themeColor="text1"/>
          <w:sz w:val="24"/>
          <w:szCs w:val="24"/>
          <w:lang w:val="en-US"/>
        </w:rPr>
      </w:pPr>
      <w:r w:rsidRPr="00EA4B66">
        <w:rPr>
          <w:b/>
          <w:i/>
          <w:color w:val="000000" w:themeColor="text1"/>
          <w:sz w:val="24"/>
          <w:szCs w:val="24"/>
          <w:lang w:val="en-US"/>
        </w:rPr>
        <w:t>3</w:t>
      </w:r>
      <w:r w:rsidR="00AB1121" w:rsidRPr="00EA4B66">
        <w:rPr>
          <w:b/>
          <w:i/>
          <w:color w:val="000000" w:themeColor="text1"/>
          <w:sz w:val="24"/>
          <w:szCs w:val="24"/>
          <w:lang w:val="en-US"/>
        </w:rPr>
        <w:t>.6. Control variables</w:t>
      </w:r>
    </w:p>
    <w:p w14:paraId="26FEFA6F" w14:textId="6B55FCF7" w:rsidR="000009D9" w:rsidRPr="00EA4B66" w:rsidRDefault="001E4504" w:rsidP="001E4504">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B763B4" w:rsidRPr="00EA4B66">
        <w:rPr>
          <w:color w:val="000000" w:themeColor="text1"/>
          <w:sz w:val="24"/>
          <w:szCs w:val="24"/>
          <w:lang w:val="en-US"/>
        </w:rPr>
        <w:t>The a</w:t>
      </w:r>
      <w:r w:rsidR="00303272" w:rsidRPr="00EA4B66">
        <w:rPr>
          <w:color w:val="000000" w:themeColor="text1"/>
          <w:sz w:val="24"/>
          <w:szCs w:val="24"/>
          <w:lang w:val="en-US"/>
        </w:rPr>
        <w:t xml:space="preserve">uthors </w:t>
      </w:r>
      <w:r w:rsidR="00AB1121" w:rsidRPr="00EA4B66">
        <w:rPr>
          <w:color w:val="000000" w:themeColor="text1"/>
          <w:sz w:val="24"/>
          <w:szCs w:val="24"/>
          <w:lang w:val="en-US"/>
        </w:rPr>
        <w:t>introduce a range of</w:t>
      </w:r>
      <w:r w:rsidR="00E53831" w:rsidRPr="00EA4B66">
        <w:rPr>
          <w:color w:val="000000" w:themeColor="text1"/>
          <w:sz w:val="24"/>
          <w:szCs w:val="24"/>
          <w:lang w:val="en-US"/>
        </w:rPr>
        <w:t xml:space="preserve"> control variables</w:t>
      </w:r>
      <w:r w:rsidR="00AB1121" w:rsidRPr="00EA4B66">
        <w:rPr>
          <w:color w:val="000000" w:themeColor="text1"/>
          <w:sz w:val="24"/>
          <w:szCs w:val="24"/>
          <w:lang w:val="en-US"/>
        </w:rPr>
        <w:t xml:space="preserve"> </w:t>
      </w:r>
      <w:r w:rsidR="005C3AAA" w:rsidRPr="00EA4B66">
        <w:rPr>
          <w:color w:val="000000" w:themeColor="text1"/>
          <w:sz w:val="24"/>
          <w:szCs w:val="24"/>
          <w:lang w:val="en-US"/>
        </w:rPr>
        <w:t>in order to investigate the</w:t>
      </w:r>
      <w:r w:rsidR="004B40E5" w:rsidRPr="00EA4B66">
        <w:rPr>
          <w:color w:val="000000" w:themeColor="text1"/>
          <w:sz w:val="24"/>
          <w:szCs w:val="24"/>
          <w:lang w:val="en-US"/>
        </w:rPr>
        <w:t>ir</w:t>
      </w:r>
      <w:r w:rsidR="005C3AAA" w:rsidRPr="00EA4B66">
        <w:rPr>
          <w:color w:val="000000" w:themeColor="text1"/>
          <w:sz w:val="24"/>
          <w:szCs w:val="24"/>
          <w:lang w:val="en-US"/>
        </w:rPr>
        <w:t xml:space="preserve"> effect on </w:t>
      </w:r>
      <w:r w:rsidR="00982DD5" w:rsidRPr="00EA4B66">
        <w:rPr>
          <w:color w:val="000000" w:themeColor="text1"/>
          <w:sz w:val="24"/>
          <w:szCs w:val="24"/>
          <w:lang w:val="en-US"/>
        </w:rPr>
        <w:t>IC value</w:t>
      </w:r>
      <w:r w:rsidR="004B40E5" w:rsidRPr="00EA4B66">
        <w:rPr>
          <w:color w:val="000000" w:themeColor="text1"/>
          <w:sz w:val="24"/>
          <w:szCs w:val="24"/>
          <w:lang w:val="en-US"/>
        </w:rPr>
        <w:t xml:space="preserve"> and to guard against omitted variable bias</w:t>
      </w:r>
      <w:r w:rsidR="005C3AAA" w:rsidRPr="00EA4B66">
        <w:rPr>
          <w:color w:val="000000" w:themeColor="text1"/>
          <w:sz w:val="24"/>
          <w:szCs w:val="24"/>
          <w:lang w:val="en-US"/>
        </w:rPr>
        <w:t xml:space="preserve">. </w:t>
      </w:r>
      <w:r w:rsidR="00B52F19" w:rsidRPr="00EA4B66">
        <w:rPr>
          <w:color w:val="000000" w:themeColor="text1"/>
          <w:sz w:val="24"/>
          <w:szCs w:val="24"/>
          <w:lang w:val="en-US"/>
        </w:rPr>
        <w:t>R</w:t>
      </w:r>
      <w:r w:rsidR="00F35E35" w:rsidRPr="00EA4B66">
        <w:rPr>
          <w:color w:val="000000" w:themeColor="text1"/>
          <w:sz w:val="24"/>
          <w:szCs w:val="24"/>
          <w:lang w:val="en-US"/>
        </w:rPr>
        <w:t xml:space="preserve">ecognizing that company </w:t>
      </w:r>
      <w:r w:rsidR="00850A83">
        <w:rPr>
          <w:color w:val="000000" w:themeColor="text1"/>
          <w:sz w:val="24"/>
          <w:szCs w:val="24"/>
          <w:lang w:val="en-US"/>
        </w:rPr>
        <w:t>IC</w:t>
      </w:r>
      <w:r w:rsidR="00D70838" w:rsidRPr="00EA4B66">
        <w:rPr>
          <w:color w:val="000000" w:themeColor="text1"/>
          <w:sz w:val="24"/>
          <w:szCs w:val="24"/>
          <w:lang w:val="en-US"/>
        </w:rPr>
        <w:t xml:space="preserve"> investments and performance outcomes may </w:t>
      </w:r>
      <w:r w:rsidR="00F35E35" w:rsidRPr="00EA4B66">
        <w:rPr>
          <w:color w:val="000000" w:themeColor="text1"/>
          <w:sz w:val="24"/>
          <w:szCs w:val="24"/>
          <w:lang w:val="en-US"/>
        </w:rPr>
        <w:t xml:space="preserve">vary systematically </w:t>
      </w:r>
      <w:r w:rsidR="00D70838" w:rsidRPr="00EA4B66">
        <w:rPr>
          <w:color w:val="000000" w:themeColor="text1"/>
          <w:sz w:val="24"/>
          <w:szCs w:val="24"/>
          <w:lang w:val="en-US"/>
        </w:rPr>
        <w:t xml:space="preserve">across industries, </w:t>
      </w:r>
      <w:r w:rsidR="00B763B4" w:rsidRPr="00EA4B66">
        <w:rPr>
          <w:color w:val="000000" w:themeColor="text1"/>
          <w:sz w:val="24"/>
          <w:szCs w:val="24"/>
          <w:lang w:val="en-US"/>
        </w:rPr>
        <w:t xml:space="preserve">the </w:t>
      </w:r>
      <w:r w:rsidR="00303272" w:rsidRPr="00EA4B66">
        <w:rPr>
          <w:color w:val="000000" w:themeColor="text1"/>
          <w:sz w:val="24"/>
          <w:szCs w:val="24"/>
          <w:lang w:val="en-US"/>
        </w:rPr>
        <w:t xml:space="preserve">authors </w:t>
      </w:r>
      <w:r w:rsidR="00D91C26" w:rsidRPr="00EA4B66">
        <w:rPr>
          <w:color w:val="000000" w:themeColor="text1"/>
          <w:sz w:val="24"/>
          <w:szCs w:val="24"/>
          <w:lang w:val="en-US"/>
        </w:rPr>
        <w:t>assig</w:t>
      </w:r>
      <w:r w:rsidR="004B40E5" w:rsidRPr="00EA4B66">
        <w:rPr>
          <w:color w:val="000000" w:themeColor="text1"/>
          <w:sz w:val="24"/>
          <w:szCs w:val="24"/>
          <w:lang w:val="en-US"/>
        </w:rPr>
        <w:t xml:space="preserve">n </w:t>
      </w:r>
      <w:r w:rsidR="00D91C26" w:rsidRPr="00EA4B66">
        <w:rPr>
          <w:color w:val="000000" w:themeColor="text1"/>
          <w:sz w:val="24"/>
          <w:szCs w:val="24"/>
          <w:lang w:val="en-US"/>
        </w:rPr>
        <w:t xml:space="preserve">firms </w:t>
      </w:r>
      <w:r w:rsidR="004B40E5" w:rsidRPr="00EA4B66">
        <w:rPr>
          <w:color w:val="000000" w:themeColor="text1"/>
          <w:sz w:val="24"/>
          <w:szCs w:val="24"/>
          <w:lang w:val="en-US"/>
        </w:rPr>
        <w:t xml:space="preserve">to </w:t>
      </w:r>
      <w:r w:rsidR="00B763B4" w:rsidRPr="00EA4B66">
        <w:rPr>
          <w:color w:val="000000" w:themeColor="text1"/>
          <w:sz w:val="24"/>
          <w:szCs w:val="24"/>
          <w:lang w:val="en-US"/>
        </w:rPr>
        <w:t xml:space="preserve">either </w:t>
      </w:r>
      <w:r w:rsidR="00D91C26" w:rsidRPr="00EA4B66">
        <w:rPr>
          <w:color w:val="000000" w:themeColor="text1"/>
          <w:sz w:val="24"/>
          <w:szCs w:val="24"/>
          <w:lang w:val="en-US"/>
        </w:rPr>
        <w:t xml:space="preserve">KIBS (knowledge-intensive business service) </w:t>
      </w:r>
      <w:r w:rsidR="004B40E5" w:rsidRPr="00EA4B66">
        <w:rPr>
          <w:color w:val="000000" w:themeColor="text1"/>
          <w:sz w:val="24"/>
          <w:szCs w:val="24"/>
          <w:lang w:val="en-US"/>
        </w:rPr>
        <w:t xml:space="preserve">industry </w:t>
      </w:r>
      <w:r w:rsidR="00D91C26" w:rsidRPr="00EA4B66">
        <w:rPr>
          <w:color w:val="000000" w:themeColor="text1"/>
          <w:sz w:val="24"/>
          <w:szCs w:val="24"/>
          <w:lang w:val="en-US"/>
        </w:rPr>
        <w:t xml:space="preserve">or </w:t>
      </w:r>
      <w:r w:rsidR="004B40E5" w:rsidRPr="00EA4B66">
        <w:rPr>
          <w:color w:val="000000" w:themeColor="text1"/>
          <w:sz w:val="24"/>
          <w:szCs w:val="24"/>
          <w:lang w:val="en-US"/>
        </w:rPr>
        <w:t>TI (t</w:t>
      </w:r>
      <w:r w:rsidR="00D91C26" w:rsidRPr="00EA4B66">
        <w:rPr>
          <w:color w:val="000000" w:themeColor="text1"/>
          <w:sz w:val="24"/>
          <w:szCs w:val="24"/>
          <w:lang w:val="en-US"/>
        </w:rPr>
        <w:t xml:space="preserve">raditional industry) </w:t>
      </w:r>
      <w:r w:rsidR="004B40E5" w:rsidRPr="00EA4B66">
        <w:rPr>
          <w:color w:val="000000" w:themeColor="text1"/>
          <w:sz w:val="24"/>
          <w:szCs w:val="24"/>
          <w:lang w:val="en-US"/>
        </w:rPr>
        <w:t>groups</w:t>
      </w:r>
      <w:r w:rsidR="007F7875" w:rsidRPr="00EA4B66">
        <w:rPr>
          <w:color w:val="000000" w:themeColor="text1"/>
          <w:sz w:val="24"/>
          <w:szCs w:val="24"/>
          <w:lang w:val="en-US"/>
        </w:rPr>
        <w:t xml:space="preserve"> according to their </w:t>
      </w:r>
      <w:r w:rsidR="00B763B4" w:rsidRPr="00EA4B66">
        <w:rPr>
          <w:color w:val="000000" w:themeColor="text1"/>
          <w:sz w:val="24"/>
          <w:szCs w:val="24"/>
          <w:lang w:val="en-US"/>
        </w:rPr>
        <w:t xml:space="preserve">respective </w:t>
      </w:r>
      <w:r w:rsidR="007F7875" w:rsidRPr="00EA4B66">
        <w:rPr>
          <w:color w:val="000000" w:themeColor="text1"/>
          <w:sz w:val="24"/>
          <w:szCs w:val="24"/>
          <w:lang w:val="en-US"/>
        </w:rPr>
        <w:t>NACE code</w:t>
      </w:r>
      <w:r w:rsidR="00B763B4" w:rsidRPr="00EA4B66">
        <w:rPr>
          <w:color w:val="000000" w:themeColor="text1"/>
          <w:sz w:val="24"/>
          <w:szCs w:val="24"/>
          <w:lang w:val="en-US"/>
        </w:rPr>
        <w:t>s</w:t>
      </w:r>
      <w:r w:rsidR="00D91C26" w:rsidRPr="00EA4B66">
        <w:rPr>
          <w:color w:val="000000" w:themeColor="text1"/>
          <w:sz w:val="24"/>
          <w:szCs w:val="24"/>
          <w:lang w:val="en-US"/>
        </w:rPr>
        <w:t xml:space="preserve">. </w:t>
      </w:r>
      <w:r w:rsidR="00CA214F" w:rsidRPr="00EA4B66">
        <w:rPr>
          <w:color w:val="000000" w:themeColor="text1"/>
          <w:sz w:val="24"/>
          <w:szCs w:val="24"/>
          <w:lang w:val="en-US"/>
        </w:rPr>
        <w:t xml:space="preserve">KIBS companies are deemed to </w:t>
      </w:r>
      <w:r w:rsidR="00B763B4" w:rsidRPr="00EA4B66">
        <w:rPr>
          <w:color w:val="000000" w:themeColor="text1"/>
          <w:sz w:val="24"/>
          <w:szCs w:val="24"/>
          <w:lang w:val="en-US"/>
        </w:rPr>
        <w:t>bear the</w:t>
      </w:r>
      <w:r w:rsidR="00CA214F" w:rsidRPr="00EA4B66">
        <w:rPr>
          <w:color w:val="000000" w:themeColor="text1"/>
          <w:sz w:val="24"/>
          <w:szCs w:val="24"/>
          <w:lang w:val="en-US"/>
        </w:rPr>
        <w:t xml:space="preserve"> distinctive traits of the so-called knowledge-based economy. The notion of KIBS was introduced by Miles </w:t>
      </w:r>
      <w:r w:rsidR="00CA214F" w:rsidRPr="00EA4B66">
        <w:rPr>
          <w:i/>
          <w:color w:val="000000" w:themeColor="text1"/>
          <w:sz w:val="24"/>
          <w:szCs w:val="24"/>
          <w:lang w:val="en-US"/>
        </w:rPr>
        <w:t>et al</w:t>
      </w:r>
      <w:r w:rsidR="00B763B4" w:rsidRPr="00EA4B66">
        <w:rPr>
          <w:i/>
          <w:color w:val="000000" w:themeColor="text1"/>
          <w:sz w:val="24"/>
          <w:szCs w:val="24"/>
          <w:lang w:val="en-US"/>
        </w:rPr>
        <w:t>.</w:t>
      </w:r>
      <w:r w:rsidR="00CA214F" w:rsidRPr="00EA4B66">
        <w:rPr>
          <w:color w:val="000000" w:themeColor="text1"/>
          <w:sz w:val="24"/>
          <w:szCs w:val="24"/>
          <w:lang w:val="en-US"/>
        </w:rPr>
        <w:t xml:space="preserve"> (1995) to denote companies whose job consists of collecting, generating, </w:t>
      </w:r>
      <w:r w:rsidR="009A30EB" w:rsidRPr="00EA4B66">
        <w:rPr>
          <w:color w:val="000000" w:themeColor="text1"/>
          <w:sz w:val="24"/>
          <w:szCs w:val="24"/>
          <w:lang w:val="en-US"/>
        </w:rPr>
        <w:t>analyzing</w:t>
      </w:r>
      <w:r w:rsidR="00CA214F" w:rsidRPr="00EA4B66">
        <w:rPr>
          <w:color w:val="000000" w:themeColor="text1"/>
          <w:sz w:val="24"/>
          <w:szCs w:val="24"/>
          <w:lang w:val="en-US"/>
        </w:rPr>
        <w:t xml:space="preserve">, and distributing </w:t>
      </w:r>
      <w:r w:rsidR="00CA214F" w:rsidRPr="00EA4B66">
        <w:rPr>
          <w:color w:val="000000" w:themeColor="text1"/>
          <w:sz w:val="24"/>
          <w:szCs w:val="24"/>
          <w:lang w:val="en-US"/>
        </w:rPr>
        <w:lastRenderedPageBreak/>
        <w:t xml:space="preserve">knowledge with the aim </w:t>
      </w:r>
      <w:r w:rsidR="00B763B4" w:rsidRPr="00EA4B66">
        <w:rPr>
          <w:color w:val="000000" w:themeColor="text1"/>
          <w:sz w:val="24"/>
          <w:szCs w:val="24"/>
          <w:lang w:val="en-US"/>
        </w:rPr>
        <w:t xml:space="preserve">of </w:t>
      </w:r>
      <w:r w:rsidR="00CA214F" w:rsidRPr="00EA4B66">
        <w:rPr>
          <w:color w:val="000000" w:themeColor="text1"/>
          <w:sz w:val="24"/>
          <w:szCs w:val="24"/>
          <w:lang w:val="en-US"/>
        </w:rPr>
        <w:t>provid</w:t>
      </w:r>
      <w:r w:rsidR="00B763B4" w:rsidRPr="00EA4B66">
        <w:rPr>
          <w:color w:val="000000" w:themeColor="text1"/>
          <w:sz w:val="24"/>
          <w:szCs w:val="24"/>
          <w:lang w:val="en-US"/>
        </w:rPr>
        <w:t>ing</w:t>
      </w:r>
      <w:r w:rsidR="00CA214F" w:rsidRPr="00EA4B66">
        <w:rPr>
          <w:color w:val="000000" w:themeColor="text1"/>
          <w:sz w:val="24"/>
          <w:szCs w:val="24"/>
          <w:lang w:val="en-US"/>
        </w:rPr>
        <w:t xml:space="preserve"> solutions to </w:t>
      </w:r>
      <w:r w:rsidR="00B763B4" w:rsidRPr="00EA4B66">
        <w:rPr>
          <w:color w:val="000000" w:themeColor="text1"/>
          <w:sz w:val="24"/>
          <w:szCs w:val="24"/>
          <w:lang w:val="en-US"/>
        </w:rPr>
        <w:t xml:space="preserve">the </w:t>
      </w:r>
      <w:r w:rsidR="00CA214F" w:rsidRPr="00EA4B66">
        <w:rPr>
          <w:color w:val="000000" w:themeColor="text1"/>
          <w:sz w:val="24"/>
          <w:szCs w:val="24"/>
          <w:lang w:val="en-US"/>
        </w:rPr>
        <w:t>problems that their client firms are not able</w:t>
      </w:r>
      <w:r w:rsidR="00B763B4" w:rsidRPr="00EA4B66">
        <w:rPr>
          <w:color w:val="000000" w:themeColor="text1"/>
          <w:sz w:val="24"/>
          <w:szCs w:val="24"/>
          <w:lang w:val="en-US"/>
        </w:rPr>
        <w:t>,</w:t>
      </w:r>
      <w:r w:rsidR="00CA214F" w:rsidRPr="00EA4B66">
        <w:rPr>
          <w:color w:val="000000" w:themeColor="text1"/>
          <w:sz w:val="24"/>
          <w:szCs w:val="24"/>
          <w:lang w:val="en-US"/>
        </w:rPr>
        <w:t xml:space="preserve"> or willing</w:t>
      </w:r>
      <w:r w:rsidR="00B763B4" w:rsidRPr="00EA4B66">
        <w:rPr>
          <w:color w:val="000000" w:themeColor="text1"/>
          <w:sz w:val="24"/>
          <w:szCs w:val="24"/>
          <w:lang w:val="en-US"/>
        </w:rPr>
        <w:t>,</w:t>
      </w:r>
      <w:r w:rsidR="00CA214F" w:rsidRPr="00EA4B66">
        <w:rPr>
          <w:color w:val="000000" w:themeColor="text1"/>
          <w:sz w:val="24"/>
          <w:szCs w:val="24"/>
          <w:lang w:val="en-US"/>
        </w:rPr>
        <w:t xml:space="preserve"> to deal with by themselves. </w:t>
      </w:r>
      <w:r w:rsidR="00B763B4" w:rsidRPr="00EA4B66">
        <w:rPr>
          <w:color w:val="000000" w:themeColor="text1"/>
          <w:sz w:val="24"/>
          <w:szCs w:val="24"/>
          <w:lang w:val="en-US"/>
        </w:rPr>
        <w:t>Thus,</w:t>
      </w:r>
      <w:r w:rsidR="00E075E8" w:rsidRPr="00EA4B66">
        <w:rPr>
          <w:color w:val="000000" w:themeColor="text1"/>
          <w:sz w:val="24"/>
          <w:szCs w:val="24"/>
          <w:lang w:val="en-US"/>
        </w:rPr>
        <w:t xml:space="preserve"> </w:t>
      </w:r>
      <w:r w:rsidR="00E02B50">
        <w:rPr>
          <w:color w:val="000000" w:themeColor="text1"/>
          <w:sz w:val="24"/>
          <w:szCs w:val="24"/>
          <w:lang w:val="en-US"/>
        </w:rPr>
        <w:t>IC</w:t>
      </w:r>
      <w:r w:rsidR="30989F24" w:rsidRPr="00EA4B66">
        <w:rPr>
          <w:color w:val="000000" w:themeColor="text1"/>
          <w:sz w:val="24"/>
          <w:szCs w:val="24"/>
          <w:lang w:val="en-US"/>
        </w:rPr>
        <w:t xml:space="preserve"> and </w:t>
      </w:r>
      <w:r w:rsidR="00E02B50">
        <w:rPr>
          <w:color w:val="000000" w:themeColor="text1"/>
          <w:sz w:val="24"/>
          <w:szCs w:val="24"/>
          <w:lang w:val="en-US"/>
        </w:rPr>
        <w:t>IA</w:t>
      </w:r>
      <w:r w:rsidR="30989F24" w:rsidRPr="00EA4B66">
        <w:rPr>
          <w:color w:val="000000" w:themeColor="text1"/>
          <w:sz w:val="24"/>
          <w:szCs w:val="24"/>
          <w:lang w:val="en-US"/>
        </w:rPr>
        <w:t xml:space="preserve"> may be more </w:t>
      </w:r>
      <w:r w:rsidR="00C15227" w:rsidRPr="00EA4B66">
        <w:rPr>
          <w:color w:val="000000" w:themeColor="text1"/>
          <w:sz w:val="24"/>
          <w:szCs w:val="24"/>
          <w:lang w:val="en-US"/>
        </w:rPr>
        <w:t xml:space="preserve">important </w:t>
      </w:r>
      <w:r w:rsidR="004B40E5" w:rsidRPr="00EA4B66">
        <w:rPr>
          <w:color w:val="000000" w:themeColor="text1"/>
          <w:sz w:val="24"/>
          <w:szCs w:val="24"/>
          <w:lang w:val="en-US"/>
        </w:rPr>
        <w:t xml:space="preserve">in </w:t>
      </w:r>
      <w:r w:rsidR="001318AD" w:rsidRPr="00EA4B66">
        <w:rPr>
          <w:color w:val="000000" w:themeColor="text1"/>
          <w:sz w:val="24"/>
          <w:szCs w:val="24"/>
          <w:lang w:val="en-US"/>
        </w:rPr>
        <w:t>KIBS industries</w:t>
      </w:r>
      <w:r w:rsidR="30989F24" w:rsidRPr="00EA4B66">
        <w:rPr>
          <w:color w:val="000000" w:themeColor="text1"/>
          <w:sz w:val="24"/>
          <w:szCs w:val="24"/>
          <w:lang w:val="en-US"/>
        </w:rPr>
        <w:t xml:space="preserve"> characterized by </w:t>
      </w:r>
      <w:r w:rsidR="004B40E5" w:rsidRPr="00EA4B66">
        <w:rPr>
          <w:color w:val="000000" w:themeColor="text1"/>
          <w:sz w:val="24"/>
          <w:szCs w:val="24"/>
          <w:lang w:val="en-US"/>
        </w:rPr>
        <w:t xml:space="preserve">the </w:t>
      </w:r>
      <w:r w:rsidR="30989F24" w:rsidRPr="00EA4B66">
        <w:rPr>
          <w:color w:val="000000" w:themeColor="text1"/>
          <w:sz w:val="24"/>
          <w:szCs w:val="24"/>
          <w:lang w:val="en-US"/>
        </w:rPr>
        <w:t xml:space="preserve">competitive advantage </w:t>
      </w:r>
      <w:r w:rsidR="00C15227" w:rsidRPr="00EA4B66">
        <w:rPr>
          <w:color w:val="000000" w:themeColor="text1"/>
          <w:sz w:val="24"/>
          <w:szCs w:val="24"/>
          <w:lang w:val="en-US"/>
        </w:rPr>
        <w:t>generated by</w:t>
      </w:r>
      <w:r w:rsidR="30989F24" w:rsidRPr="00EA4B66">
        <w:rPr>
          <w:color w:val="000000" w:themeColor="text1"/>
          <w:sz w:val="24"/>
          <w:szCs w:val="24"/>
          <w:lang w:val="en-US"/>
        </w:rPr>
        <w:t xml:space="preserve"> protected knowledge and </w:t>
      </w:r>
      <w:r w:rsidR="00C15227" w:rsidRPr="00EA4B66">
        <w:rPr>
          <w:color w:val="000000" w:themeColor="text1"/>
          <w:sz w:val="24"/>
          <w:szCs w:val="24"/>
          <w:lang w:val="en-US"/>
        </w:rPr>
        <w:t xml:space="preserve">significant </w:t>
      </w:r>
      <w:r w:rsidR="30989F24" w:rsidRPr="00EA4B66">
        <w:rPr>
          <w:color w:val="000000" w:themeColor="text1"/>
          <w:sz w:val="24"/>
          <w:szCs w:val="24"/>
          <w:lang w:val="en-US"/>
        </w:rPr>
        <w:t xml:space="preserve">capital investment in R&amp;D. </w:t>
      </w:r>
      <w:r w:rsidR="00903C4B" w:rsidRPr="00EA4B66">
        <w:rPr>
          <w:color w:val="000000" w:themeColor="text1"/>
          <w:sz w:val="24"/>
          <w:szCs w:val="24"/>
          <w:lang w:val="en-US"/>
        </w:rPr>
        <w:t xml:space="preserve">However, </w:t>
      </w:r>
      <w:r w:rsidR="00FA3406" w:rsidRPr="00EA4B66">
        <w:rPr>
          <w:color w:val="000000" w:themeColor="text1"/>
          <w:sz w:val="24"/>
          <w:szCs w:val="24"/>
          <w:lang w:val="en-US"/>
        </w:rPr>
        <w:t>Morariu (2014)</w:t>
      </w:r>
      <w:r w:rsidR="004B40E5" w:rsidRPr="00EA4B66">
        <w:rPr>
          <w:color w:val="000000" w:themeColor="text1"/>
          <w:sz w:val="24"/>
          <w:szCs w:val="24"/>
          <w:lang w:val="en-US"/>
        </w:rPr>
        <w:t xml:space="preserve">, who studies </w:t>
      </w:r>
      <w:r w:rsidR="00FA3406" w:rsidRPr="00EA4B66">
        <w:rPr>
          <w:color w:val="000000" w:themeColor="text1"/>
          <w:sz w:val="24"/>
          <w:szCs w:val="24"/>
          <w:lang w:val="en-US"/>
        </w:rPr>
        <w:t>Romanian listed companies, find</w:t>
      </w:r>
      <w:r w:rsidR="00B763B4" w:rsidRPr="00EA4B66">
        <w:rPr>
          <w:color w:val="000000" w:themeColor="text1"/>
          <w:sz w:val="24"/>
          <w:szCs w:val="24"/>
          <w:lang w:val="en-US"/>
        </w:rPr>
        <w:t>s</w:t>
      </w:r>
      <w:r w:rsidR="00FA3406" w:rsidRPr="00EA4B66">
        <w:rPr>
          <w:color w:val="000000" w:themeColor="text1"/>
          <w:sz w:val="24"/>
          <w:szCs w:val="24"/>
          <w:lang w:val="en-US"/>
        </w:rPr>
        <w:t xml:space="preserve"> </w:t>
      </w:r>
      <w:r w:rsidR="009E6F4E" w:rsidRPr="00EA4B66">
        <w:rPr>
          <w:color w:val="000000" w:themeColor="text1"/>
          <w:sz w:val="24"/>
          <w:szCs w:val="24"/>
          <w:lang w:val="en-US"/>
        </w:rPr>
        <w:t>a</w:t>
      </w:r>
      <w:r w:rsidR="00B763B4" w:rsidRPr="00EA4B66">
        <w:rPr>
          <w:color w:val="000000" w:themeColor="text1"/>
          <w:sz w:val="24"/>
          <w:szCs w:val="24"/>
          <w:lang w:val="en-US"/>
        </w:rPr>
        <w:t>n</w:t>
      </w:r>
      <w:r w:rsidR="004B40E5" w:rsidRPr="00EA4B66">
        <w:rPr>
          <w:color w:val="000000" w:themeColor="text1"/>
          <w:sz w:val="24"/>
          <w:szCs w:val="24"/>
          <w:lang w:val="en-US"/>
        </w:rPr>
        <w:t xml:space="preserve"> </w:t>
      </w:r>
      <w:r w:rsidR="00B763B4" w:rsidRPr="00EA4B66">
        <w:rPr>
          <w:color w:val="000000" w:themeColor="text1"/>
          <w:sz w:val="24"/>
          <w:szCs w:val="24"/>
          <w:lang w:val="en-US"/>
        </w:rPr>
        <w:t>in</w:t>
      </w:r>
      <w:r w:rsidR="009E6F4E" w:rsidRPr="00EA4B66">
        <w:rPr>
          <w:color w:val="000000" w:themeColor="text1"/>
          <w:sz w:val="24"/>
          <w:szCs w:val="24"/>
          <w:lang w:val="en-US"/>
        </w:rPr>
        <w:t>significant association between the VAIC and industry type (KIBS vs. TI)</w:t>
      </w:r>
      <w:r w:rsidR="005106AA" w:rsidRPr="00EA4B66">
        <w:rPr>
          <w:color w:val="000000" w:themeColor="text1"/>
          <w:sz w:val="24"/>
          <w:szCs w:val="24"/>
          <w:lang w:val="en-US"/>
        </w:rPr>
        <w:t xml:space="preserve">. Goebel (2015) groups </w:t>
      </w:r>
      <w:r w:rsidR="00927911" w:rsidRPr="00EA4B66">
        <w:rPr>
          <w:color w:val="000000" w:themeColor="text1"/>
          <w:sz w:val="24"/>
          <w:szCs w:val="24"/>
          <w:lang w:val="en-US"/>
        </w:rPr>
        <w:t>samp</w:t>
      </w:r>
      <w:r w:rsidR="005106AA" w:rsidRPr="00EA4B66">
        <w:rPr>
          <w:color w:val="000000" w:themeColor="text1"/>
          <w:sz w:val="24"/>
          <w:szCs w:val="24"/>
          <w:lang w:val="en-US"/>
        </w:rPr>
        <w:t xml:space="preserve">le firms in three </w:t>
      </w:r>
      <w:r w:rsidR="00CE130E" w:rsidRPr="00EA4B66">
        <w:rPr>
          <w:color w:val="000000" w:themeColor="text1"/>
          <w:sz w:val="24"/>
          <w:szCs w:val="24"/>
          <w:lang w:val="en-US"/>
        </w:rPr>
        <w:t xml:space="preserve">industry sectors: </w:t>
      </w:r>
      <w:r w:rsidR="005106AA" w:rsidRPr="00EA4B66">
        <w:rPr>
          <w:color w:val="000000" w:themeColor="text1"/>
          <w:sz w:val="24"/>
          <w:szCs w:val="24"/>
          <w:lang w:val="en-US"/>
        </w:rPr>
        <w:t xml:space="preserve">consumer, pharmaceutical </w:t>
      </w:r>
      <w:r w:rsidR="00CE130E" w:rsidRPr="00EA4B66">
        <w:rPr>
          <w:color w:val="000000" w:themeColor="text1"/>
          <w:sz w:val="24"/>
          <w:szCs w:val="24"/>
          <w:lang w:val="en-US"/>
        </w:rPr>
        <w:t>and</w:t>
      </w:r>
      <w:r w:rsidR="005106AA" w:rsidRPr="00EA4B66">
        <w:rPr>
          <w:color w:val="000000" w:themeColor="text1"/>
          <w:sz w:val="24"/>
          <w:szCs w:val="24"/>
          <w:lang w:val="en-US"/>
        </w:rPr>
        <w:t xml:space="preserve"> technology,</w:t>
      </w:r>
      <w:r w:rsidR="00CE130E" w:rsidRPr="00EA4B66">
        <w:rPr>
          <w:color w:val="000000" w:themeColor="text1"/>
          <w:sz w:val="24"/>
          <w:szCs w:val="24"/>
          <w:lang w:val="en-US"/>
        </w:rPr>
        <w:t xml:space="preserve"> and industrial</w:t>
      </w:r>
      <w:r w:rsidR="00850A83">
        <w:rPr>
          <w:color w:val="000000" w:themeColor="text1"/>
          <w:sz w:val="24"/>
          <w:szCs w:val="24"/>
          <w:lang w:val="en-US"/>
        </w:rPr>
        <w:t>,</w:t>
      </w:r>
      <w:r w:rsidR="00B763B4" w:rsidRPr="00EA4B66">
        <w:rPr>
          <w:color w:val="000000" w:themeColor="text1"/>
          <w:sz w:val="24"/>
          <w:szCs w:val="24"/>
          <w:lang w:val="en-US"/>
        </w:rPr>
        <w:t xml:space="preserve"> and</w:t>
      </w:r>
      <w:r w:rsidR="00CE130E" w:rsidRPr="00EA4B66">
        <w:rPr>
          <w:color w:val="000000" w:themeColor="text1"/>
          <w:sz w:val="24"/>
          <w:szCs w:val="24"/>
          <w:lang w:val="en-US"/>
        </w:rPr>
        <w:t xml:space="preserve"> finds no relation between </w:t>
      </w:r>
      <w:r w:rsidR="00B763B4" w:rsidRPr="00EA4B66">
        <w:rPr>
          <w:color w:val="000000" w:themeColor="text1"/>
          <w:sz w:val="24"/>
          <w:szCs w:val="24"/>
          <w:lang w:val="en-US"/>
        </w:rPr>
        <w:t xml:space="preserve">company </w:t>
      </w:r>
      <w:r w:rsidR="00CE130E" w:rsidRPr="00EA4B66">
        <w:rPr>
          <w:color w:val="000000" w:themeColor="text1"/>
          <w:sz w:val="24"/>
          <w:szCs w:val="24"/>
          <w:lang w:val="en-US"/>
        </w:rPr>
        <w:t>industry membership and IC value, but find</w:t>
      </w:r>
      <w:r w:rsidR="00850A83">
        <w:rPr>
          <w:color w:val="000000" w:themeColor="text1"/>
          <w:sz w:val="24"/>
          <w:szCs w:val="24"/>
          <w:lang w:val="en-US"/>
        </w:rPr>
        <w:t>s</w:t>
      </w:r>
      <w:r w:rsidR="00CE130E" w:rsidRPr="00EA4B66">
        <w:rPr>
          <w:color w:val="000000" w:themeColor="text1"/>
          <w:sz w:val="24"/>
          <w:szCs w:val="24"/>
          <w:lang w:val="en-US"/>
        </w:rPr>
        <w:t xml:space="preserve"> a weak relationship between knowledge-based industry sector membership and IC value.</w:t>
      </w:r>
      <w:r w:rsidR="005106AA" w:rsidRPr="00EA4B66">
        <w:rPr>
          <w:color w:val="000000" w:themeColor="text1"/>
          <w:sz w:val="24"/>
          <w:szCs w:val="24"/>
          <w:lang w:val="en-US"/>
        </w:rPr>
        <w:t xml:space="preserve"> </w:t>
      </w:r>
      <w:r w:rsidR="004B40E5" w:rsidRPr="00EA4B66">
        <w:rPr>
          <w:color w:val="000000" w:themeColor="text1"/>
          <w:sz w:val="24"/>
          <w:szCs w:val="24"/>
          <w:lang w:val="en-US"/>
        </w:rPr>
        <w:t xml:space="preserve">Thus, </w:t>
      </w:r>
      <w:r w:rsidR="006237AC" w:rsidRPr="00EA4B66">
        <w:rPr>
          <w:color w:val="000000" w:themeColor="text1"/>
          <w:sz w:val="24"/>
          <w:szCs w:val="24"/>
          <w:lang w:val="en-US"/>
        </w:rPr>
        <w:t>c</w:t>
      </w:r>
      <w:r w:rsidR="007A63ED" w:rsidRPr="00EA4B66">
        <w:rPr>
          <w:color w:val="000000" w:themeColor="text1"/>
          <w:sz w:val="24"/>
          <w:szCs w:val="24"/>
          <w:lang w:val="en-US"/>
        </w:rPr>
        <w:t>onsistent with the existing</w:t>
      </w:r>
      <w:r w:rsidR="008461DA" w:rsidRPr="00EA4B66">
        <w:rPr>
          <w:color w:val="000000" w:themeColor="text1"/>
          <w:sz w:val="24"/>
          <w:szCs w:val="24"/>
          <w:lang w:val="en-US"/>
        </w:rPr>
        <w:t xml:space="preserve"> literature </w:t>
      </w:r>
      <w:r w:rsidR="00D753F7" w:rsidRPr="00EA4B66">
        <w:rPr>
          <w:color w:val="000000" w:themeColor="text1"/>
          <w:sz w:val="24"/>
          <w:szCs w:val="24"/>
          <w:lang w:val="en-US"/>
        </w:rPr>
        <w:t>(Goebel, 2015)</w:t>
      </w:r>
      <w:r w:rsidR="000D73BD" w:rsidRPr="00EA4B66">
        <w:rPr>
          <w:color w:val="000000" w:themeColor="text1"/>
          <w:sz w:val="24"/>
          <w:szCs w:val="24"/>
          <w:lang w:val="en-US"/>
        </w:rPr>
        <w:t xml:space="preserve">, and taking into account </w:t>
      </w:r>
      <w:r w:rsidR="00421E67" w:rsidRPr="00EA4B66">
        <w:rPr>
          <w:color w:val="000000" w:themeColor="text1"/>
          <w:sz w:val="24"/>
          <w:szCs w:val="24"/>
          <w:lang w:val="en-US"/>
        </w:rPr>
        <w:t>the innovation catalyst</w:t>
      </w:r>
      <w:r w:rsidR="0091775B" w:rsidRPr="00EA4B66">
        <w:rPr>
          <w:color w:val="000000" w:themeColor="text1"/>
          <w:sz w:val="24"/>
          <w:szCs w:val="24"/>
          <w:lang w:val="en-US"/>
        </w:rPr>
        <w:t xml:space="preserve"> feature</w:t>
      </w:r>
      <w:r w:rsidR="00421E67" w:rsidRPr="00EA4B66">
        <w:rPr>
          <w:color w:val="000000" w:themeColor="text1"/>
          <w:sz w:val="24"/>
          <w:szCs w:val="24"/>
          <w:lang w:val="en-US"/>
        </w:rPr>
        <w:t xml:space="preserve"> of KIBS industries </w:t>
      </w:r>
      <w:r w:rsidR="0091775B" w:rsidRPr="00EA4B66">
        <w:rPr>
          <w:color w:val="000000" w:themeColor="text1"/>
          <w:sz w:val="24"/>
          <w:szCs w:val="24"/>
          <w:lang w:val="en-US"/>
        </w:rPr>
        <w:t>in generating intellectual capital</w:t>
      </w:r>
      <w:r w:rsidR="009A4947" w:rsidRPr="00EA4B66">
        <w:rPr>
          <w:color w:val="000000" w:themeColor="text1"/>
          <w:sz w:val="24"/>
          <w:szCs w:val="24"/>
          <w:lang w:val="en-US"/>
        </w:rPr>
        <w:t>,</w:t>
      </w:r>
      <w:r w:rsidR="000D73BD" w:rsidRPr="00EA4B66">
        <w:rPr>
          <w:color w:val="000000" w:themeColor="text1"/>
          <w:sz w:val="24"/>
          <w:szCs w:val="24"/>
          <w:lang w:val="en-US"/>
        </w:rPr>
        <w:t xml:space="preserve"> a positive relation between </w:t>
      </w:r>
      <w:r w:rsidR="00B763B4" w:rsidRPr="00EA4B66">
        <w:rPr>
          <w:color w:val="000000" w:themeColor="text1"/>
          <w:sz w:val="24"/>
          <w:szCs w:val="24"/>
          <w:lang w:val="en-US"/>
        </w:rPr>
        <w:t xml:space="preserve">the </w:t>
      </w:r>
      <w:r w:rsidR="00805DF1" w:rsidRPr="00EA4B66">
        <w:rPr>
          <w:color w:val="000000" w:themeColor="text1"/>
          <w:sz w:val="24"/>
          <w:szCs w:val="24"/>
          <w:lang w:val="en-US"/>
        </w:rPr>
        <w:t>MTB ratio and the control variable IND</w:t>
      </w:r>
      <w:r w:rsidR="009A4947" w:rsidRPr="00EA4B66">
        <w:rPr>
          <w:color w:val="000000" w:themeColor="text1"/>
          <w:sz w:val="24"/>
          <w:szCs w:val="24"/>
          <w:lang w:val="en-US"/>
        </w:rPr>
        <w:t xml:space="preserve"> is expected</w:t>
      </w:r>
      <w:r w:rsidR="00666E81" w:rsidRPr="00EA4B66">
        <w:rPr>
          <w:color w:val="000000" w:themeColor="text1"/>
          <w:sz w:val="24"/>
          <w:szCs w:val="24"/>
          <w:lang w:val="en-US"/>
        </w:rPr>
        <w:t>.</w:t>
      </w:r>
      <w:r w:rsidR="00666E81" w:rsidRPr="00EA4B66" w:rsidDel="00530187">
        <w:rPr>
          <w:color w:val="000000" w:themeColor="text1"/>
          <w:sz w:val="24"/>
          <w:szCs w:val="24"/>
          <w:lang w:val="en-US"/>
        </w:rPr>
        <w:t xml:space="preserve"> </w:t>
      </w:r>
    </w:p>
    <w:p w14:paraId="1EDA2DCC" w14:textId="69B817A8" w:rsidR="00A17F82" w:rsidRPr="00EA4B66" w:rsidRDefault="00903C4B" w:rsidP="00903C4B">
      <w:pPr>
        <w:spacing w:after="0" w:line="240" w:lineRule="auto"/>
        <w:jc w:val="both"/>
        <w:rPr>
          <w:color w:val="000000" w:themeColor="text1"/>
          <w:sz w:val="24"/>
          <w:szCs w:val="24"/>
          <w:lang w:val="en-US"/>
        </w:rPr>
      </w:pPr>
      <w:r w:rsidRPr="00EA4B66">
        <w:rPr>
          <w:i/>
          <w:color w:val="000000" w:themeColor="text1"/>
          <w:sz w:val="24"/>
          <w:szCs w:val="24"/>
          <w:lang w:val="en-US"/>
        </w:rPr>
        <w:t xml:space="preserve">   </w:t>
      </w:r>
      <w:r w:rsidR="00A17F82" w:rsidRPr="00EA4B66">
        <w:rPr>
          <w:i/>
          <w:color w:val="000000" w:themeColor="text1"/>
          <w:sz w:val="24"/>
          <w:szCs w:val="24"/>
          <w:lang w:val="en-US"/>
        </w:rPr>
        <w:t>Auditors</w:t>
      </w:r>
      <w:r w:rsidR="00A17F82" w:rsidRPr="00EA4B66">
        <w:rPr>
          <w:color w:val="000000" w:themeColor="text1"/>
          <w:sz w:val="24"/>
          <w:szCs w:val="24"/>
          <w:lang w:val="en-US"/>
        </w:rPr>
        <w:t xml:space="preserve"> play an important role in the presentation of annual report information. According to Wallace </w:t>
      </w:r>
      <w:r w:rsidR="00A17F82" w:rsidRPr="00EA4B66">
        <w:rPr>
          <w:i/>
          <w:color w:val="000000" w:themeColor="text1"/>
          <w:sz w:val="24"/>
          <w:szCs w:val="24"/>
          <w:lang w:val="en-US"/>
        </w:rPr>
        <w:t>et al</w:t>
      </w:r>
      <w:r w:rsidR="00A17F82" w:rsidRPr="00EA4B66">
        <w:rPr>
          <w:color w:val="000000" w:themeColor="text1"/>
          <w:sz w:val="24"/>
          <w:szCs w:val="24"/>
          <w:lang w:val="en-US"/>
        </w:rPr>
        <w:t xml:space="preserve">. (1994), auditor size can influence the content of the annual reports prepared by firms given that large, prominent auditing firms may encourage companies to disclose more information. Oliveira </w:t>
      </w:r>
      <w:r w:rsidR="00A17F82" w:rsidRPr="00EA4B66">
        <w:rPr>
          <w:i/>
          <w:color w:val="000000" w:themeColor="text1"/>
          <w:sz w:val="24"/>
          <w:szCs w:val="24"/>
          <w:lang w:val="en-US"/>
        </w:rPr>
        <w:t>et al</w:t>
      </w:r>
      <w:r w:rsidR="00A17F82" w:rsidRPr="00EA4B66">
        <w:rPr>
          <w:color w:val="000000" w:themeColor="text1"/>
          <w:sz w:val="24"/>
          <w:szCs w:val="24"/>
          <w:lang w:val="en-US"/>
        </w:rPr>
        <w:t xml:space="preserve">. (2006) argue that </w:t>
      </w:r>
      <w:r w:rsidR="00243E3E" w:rsidRPr="00EA4B66">
        <w:rPr>
          <w:color w:val="000000" w:themeColor="text1"/>
          <w:sz w:val="24"/>
          <w:szCs w:val="24"/>
          <w:lang w:val="en-US"/>
        </w:rPr>
        <w:t xml:space="preserve">the aim of </w:t>
      </w:r>
      <w:r w:rsidR="00A17F82" w:rsidRPr="00EA4B66">
        <w:rPr>
          <w:color w:val="000000" w:themeColor="text1"/>
          <w:sz w:val="24"/>
          <w:szCs w:val="24"/>
          <w:lang w:val="en-US"/>
        </w:rPr>
        <w:t xml:space="preserve">auditors </w:t>
      </w:r>
      <w:r w:rsidR="00243E3E" w:rsidRPr="00EA4B66">
        <w:rPr>
          <w:color w:val="000000" w:themeColor="text1"/>
          <w:sz w:val="24"/>
          <w:szCs w:val="24"/>
          <w:lang w:val="en-US"/>
        </w:rPr>
        <w:t xml:space="preserve">is </w:t>
      </w:r>
      <w:r w:rsidR="00A17F82" w:rsidRPr="00EA4B66">
        <w:rPr>
          <w:color w:val="000000" w:themeColor="text1"/>
          <w:sz w:val="24"/>
          <w:szCs w:val="24"/>
          <w:lang w:val="en-US"/>
        </w:rPr>
        <w:t>to preserve their reputation, develop their expertise, and ensure that they retain their clients.</w:t>
      </w:r>
      <w:r w:rsidR="00A136E5" w:rsidRPr="00EA4B66">
        <w:rPr>
          <w:color w:val="000000" w:themeColor="text1"/>
          <w:sz w:val="24"/>
          <w:szCs w:val="24"/>
          <w:lang w:val="en-US"/>
        </w:rPr>
        <w:t xml:space="preserve"> Elshandidy and Neri (2015) argue that </w:t>
      </w:r>
      <w:r w:rsidR="00DB63F3" w:rsidRPr="00EA4B66">
        <w:rPr>
          <w:color w:val="000000" w:themeColor="text1"/>
          <w:sz w:val="24"/>
          <w:szCs w:val="24"/>
          <w:lang w:val="en-US"/>
        </w:rPr>
        <w:t xml:space="preserve">an </w:t>
      </w:r>
      <w:r w:rsidR="00A136E5" w:rsidRPr="00EA4B66">
        <w:rPr>
          <w:color w:val="000000" w:themeColor="text1"/>
          <w:sz w:val="24"/>
          <w:szCs w:val="24"/>
          <w:lang w:val="en-US"/>
        </w:rPr>
        <w:t>external auditor can influence the level of firm</w:t>
      </w:r>
      <w:r w:rsidR="00E772A7" w:rsidRPr="00EA4B66">
        <w:rPr>
          <w:color w:val="000000" w:themeColor="text1"/>
          <w:sz w:val="24"/>
          <w:szCs w:val="24"/>
          <w:lang w:val="en-US"/>
        </w:rPr>
        <w:t xml:space="preserve"> voluntary</w:t>
      </w:r>
      <w:r w:rsidR="00A136E5" w:rsidRPr="00EA4B66">
        <w:rPr>
          <w:color w:val="000000" w:themeColor="text1"/>
          <w:sz w:val="24"/>
          <w:szCs w:val="24"/>
          <w:lang w:val="en-US"/>
        </w:rPr>
        <w:t xml:space="preserve"> disclosure</w:t>
      </w:r>
      <w:r w:rsidR="00DB63F3" w:rsidRPr="00EA4B66">
        <w:rPr>
          <w:color w:val="000000" w:themeColor="text1"/>
          <w:sz w:val="24"/>
          <w:szCs w:val="24"/>
          <w:lang w:val="en-US"/>
        </w:rPr>
        <w:t xml:space="preserve">, thereby </w:t>
      </w:r>
      <w:r w:rsidR="00A136E5" w:rsidRPr="00EA4B66">
        <w:rPr>
          <w:color w:val="000000" w:themeColor="text1"/>
          <w:sz w:val="24"/>
          <w:szCs w:val="24"/>
          <w:lang w:val="en-US"/>
        </w:rPr>
        <w:t>enhancing investor confidence as well as reducing earn</w:t>
      </w:r>
      <w:r w:rsidR="002345DB" w:rsidRPr="00EA4B66">
        <w:rPr>
          <w:color w:val="000000" w:themeColor="text1"/>
          <w:sz w:val="24"/>
          <w:szCs w:val="24"/>
          <w:lang w:val="en-US"/>
        </w:rPr>
        <w:t xml:space="preserve">ings management activities, </w:t>
      </w:r>
      <w:r w:rsidR="00A136E5" w:rsidRPr="00EA4B66">
        <w:rPr>
          <w:color w:val="000000" w:themeColor="text1"/>
          <w:sz w:val="24"/>
          <w:szCs w:val="24"/>
          <w:lang w:val="en-US"/>
        </w:rPr>
        <w:t>leading to a better market assessment.</w:t>
      </w:r>
      <w:r w:rsidR="00B47887" w:rsidRPr="00EA4B66">
        <w:rPr>
          <w:color w:val="000000" w:themeColor="text1"/>
          <w:sz w:val="24"/>
          <w:szCs w:val="24"/>
          <w:lang w:val="en-US"/>
        </w:rPr>
        <w:t xml:space="preserve"> </w:t>
      </w:r>
      <w:r w:rsidR="00A136E5" w:rsidRPr="00EA4B66">
        <w:rPr>
          <w:color w:val="000000" w:themeColor="text1"/>
          <w:sz w:val="24"/>
          <w:szCs w:val="24"/>
          <w:lang w:val="en-US"/>
        </w:rPr>
        <w:t>So</w:t>
      </w:r>
      <w:r w:rsidR="00A17F82" w:rsidRPr="00EA4B66">
        <w:rPr>
          <w:color w:val="000000" w:themeColor="text1"/>
          <w:sz w:val="24"/>
          <w:szCs w:val="24"/>
          <w:lang w:val="en-US"/>
        </w:rPr>
        <w:t xml:space="preserve">, </w:t>
      </w:r>
      <w:r w:rsidR="00A136E5" w:rsidRPr="00EA4B66">
        <w:rPr>
          <w:color w:val="000000" w:themeColor="text1"/>
          <w:sz w:val="24"/>
          <w:szCs w:val="24"/>
          <w:lang w:val="en-US"/>
        </w:rPr>
        <w:t xml:space="preserve">it </w:t>
      </w:r>
      <w:r w:rsidR="00DB63F3" w:rsidRPr="00EA4B66">
        <w:rPr>
          <w:color w:val="000000" w:themeColor="text1"/>
          <w:sz w:val="24"/>
          <w:szCs w:val="24"/>
          <w:lang w:val="en-US"/>
        </w:rPr>
        <w:t xml:space="preserve">may reasonably </w:t>
      </w:r>
      <w:r w:rsidR="00A136E5" w:rsidRPr="00EA4B66">
        <w:rPr>
          <w:color w:val="000000" w:themeColor="text1"/>
          <w:sz w:val="24"/>
          <w:szCs w:val="24"/>
          <w:lang w:val="en-US"/>
        </w:rPr>
        <w:t>be expected</w:t>
      </w:r>
      <w:r w:rsidR="00A17F82" w:rsidRPr="00EA4B66">
        <w:rPr>
          <w:color w:val="000000" w:themeColor="text1"/>
          <w:sz w:val="24"/>
          <w:szCs w:val="24"/>
          <w:lang w:val="en-US"/>
        </w:rPr>
        <w:t xml:space="preserve"> that companies engaging a Big-4 auditor will disclose more intellectual capital information compared to companies with less prominent auditors</w:t>
      </w:r>
      <w:r w:rsidR="00DB63F3" w:rsidRPr="00EA4B66">
        <w:rPr>
          <w:color w:val="000000" w:themeColor="text1"/>
          <w:sz w:val="24"/>
          <w:szCs w:val="24"/>
          <w:lang w:val="en-US"/>
        </w:rPr>
        <w:t xml:space="preserve"> with the aim of</w:t>
      </w:r>
      <w:r w:rsidR="00A136E5" w:rsidRPr="00EA4B66">
        <w:rPr>
          <w:color w:val="000000" w:themeColor="text1"/>
          <w:sz w:val="24"/>
          <w:szCs w:val="24"/>
          <w:lang w:val="en-US"/>
        </w:rPr>
        <w:t xml:space="preserve"> improving </w:t>
      </w:r>
      <w:r w:rsidR="00DB63F3" w:rsidRPr="00EA4B66">
        <w:rPr>
          <w:color w:val="000000" w:themeColor="text1"/>
          <w:sz w:val="24"/>
          <w:szCs w:val="24"/>
          <w:lang w:val="en-US"/>
        </w:rPr>
        <w:t xml:space="preserve">their </w:t>
      </w:r>
      <w:r w:rsidR="00A136E5" w:rsidRPr="00EA4B66">
        <w:rPr>
          <w:color w:val="000000" w:themeColor="text1"/>
          <w:sz w:val="24"/>
          <w:szCs w:val="24"/>
          <w:lang w:val="en-US"/>
        </w:rPr>
        <w:t xml:space="preserve">market </w:t>
      </w:r>
      <w:r w:rsidR="00DB63F3" w:rsidRPr="00EA4B66">
        <w:rPr>
          <w:color w:val="000000" w:themeColor="text1"/>
          <w:sz w:val="24"/>
          <w:szCs w:val="24"/>
          <w:lang w:val="en-US"/>
        </w:rPr>
        <w:t>value</w:t>
      </w:r>
      <w:r w:rsidR="00A17F82" w:rsidRPr="00EA4B66">
        <w:rPr>
          <w:color w:val="000000" w:themeColor="text1"/>
          <w:sz w:val="24"/>
          <w:szCs w:val="24"/>
          <w:lang w:val="en-US"/>
        </w:rPr>
        <w:t>.</w:t>
      </w:r>
      <w:r w:rsidR="00E772A7" w:rsidRPr="00EA4B66">
        <w:rPr>
          <w:color w:val="000000" w:themeColor="text1"/>
          <w:sz w:val="24"/>
          <w:szCs w:val="24"/>
          <w:lang w:val="en-US"/>
        </w:rPr>
        <w:t xml:space="preserve"> </w:t>
      </w:r>
      <w:r w:rsidR="00DB63F3" w:rsidRPr="00EA4B66">
        <w:rPr>
          <w:color w:val="000000" w:themeColor="text1"/>
          <w:sz w:val="24"/>
          <w:szCs w:val="24"/>
          <w:lang w:val="en-US"/>
        </w:rPr>
        <w:t>M</w:t>
      </w:r>
      <w:r w:rsidR="00E772A7" w:rsidRPr="00EA4B66">
        <w:rPr>
          <w:color w:val="000000" w:themeColor="text1"/>
          <w:sz w:val="24"/>
          <w:szCs w:val="24"/>
          <w:lang w:val="en-US"/>
        </w:rPr>
        <w:t xml:space="preserve">ost investments in IC are immediately expensed in the period in which they are incurred. Consequently, while investors are regularly informed about changes in physical and financial assets via mandatory annual and interim reports, there is relatively </w:t>
      </w:r>
      <w:r w:rsidR="00DB63F3" w:rsidRPr="00EA4B66">
        <w:rPr>
          <w:color w:val="000000" w:themeColor="text1"/>
          <w:sz w:val="24"/>
          <w:szCs w:val="24"/>
          <w:lang w:val="en-US"/>
        </w:rPr>
        <w:t xml:space="preserve">little </w:t>
      </w:r>
      <w:r w:rsidR="00E772A7" w:rsidRPr="00EA4B66">
        <w:rPr>
          <w:color w:val="000000" w:themeColor="text1"/>
          <w:sz w:val="24"/>
          <w:szCs w:val="24"/>
          <w:lang w:val="en-US"/>
        </w:rPr>
        <w:t xml:space="preserve">public information on the nature of IC investments. This creates a problem for investors when </w:t>
      </w:r>
      <w:r w:rsidR="00DB63F3" w:rsidRPr="00EA4B66">
        <w:rPr>
          <w:color w:val="000000" w:themeColor="text1"/>
          <w:sz w:val="24"/>
          <w:szCs w:val="24"/>
          <w:lang w:val="en-US"/>
        </w:rPr>
        <w:t xml:space="preserve">valuing a company’s </w:t>
      </w:r>
      <w:r w:rsidR="00E772A7" w:rsidRPr="00EA4B66">
        <w:rPr>
          <w:color w:val="000000" w:themeColor="text1"/>
          <w:sz w:val="24"/>
          <w:szCs w:val="24"/>
          <w:lang w:val="en-US"/>
        </w:rPr>
        <w:t>share</w:t>
      </w:r>
      <w:r w:rsidR="00DB63F3" w:rsidRPr="00EA4B66">
        <w:rPr>
          <w:color w:val="000000" w:themeColor="text1"/>
          <w:sz w:val="24"/>
          <w:szCs w:val="24"/>
          <w:lang w:val="en-US"/>
        </w:rPr>
        <w:t>s</w:t>
      </w:r>
      <w:r w:rsidR="00E772A7" w:rsidRPr="00EA4B66">
        <w:rPr>
          <w:color w:val="000000" w:themeColor="text1"/>
          <w:sz w:val="24"/>
          <w:szCs w:val="24"/>
          <w:lang w:val="en-US"/>
        </w:rPr>
        <w:t xml:space="preserve"> </w:t>
      </w:r>
      <w:r w:rsidR="00DB63F3" w:rsidRPr="00EA4B66">
        <w:rPr>
          <w:color w:val="000000" w:themeColor="text1"/>
          <w:sz w:val="24"/>
          <w:szCs w:val="24"/>
          <w:lang w:val="en-US"/>
        </w:rPr>
        <w:t xml:space="preserve">as </w:t>
      </w:r>
      <w:r w:rsidR="00E772A7" w:rsidRPr="00EA4B66">
        <w:rPr>
          <w:color w:val="000000" w:themeColor="text1"/>
          <w:sz w:val="24"/>
          <w:szCs w:val="24"/>
          <w:lang w:val="en-US"/>
        </w:rPr>
        <w:t>they have little or no information about the productivity</w:t>
      </w:r>
      <w:r w:rsidR="00DB63F3" w:rsidRPr="00EA4B66">
        <w:rPr>
          <w:color w:val="000000" w:themeColor="text1"/>
          <w:sz w:val="24"/>
          <w:szCs w:val="24"/>
          <w:lang w:val="en-US"/>
        </w:rPr>
        <w:t>,</w:t>
      </w:r>
      <w:r w:rsidR="00E772A7" w:rsidRPr="00EA4B66">
        <w:rPr>
          <w:color w:val="000000" w:themeColor="text1"/>
          <w:sz w:val="24"/>
          <w:szCs w:val="24"/>
          <w:lang w:val="en-US"/>
        </w:rPr>
        <w:t xml:space="preserve"> </w:t>
      </w:r>
      <w:r w:rsidR="00DB63F3" w:rsidRPr="00EA4B66">
        <w:rPr>
          <w:color w:val="000000" w:themeColor="text1"/>
          <w:sz w:val="24"/>
          <w:szCs w:val="24"/>
          <w:lang w:val="en-US"/>
        </w:rPr>
        <w:t xml:space="preserve">or </w:t>
      </w:r>
      <w:r w:rsidR="00E772A7" w:rsidRPr="00EA4B66">
        <w:rPr>
          <w:color w:val="000000" w:themeColor="text1"/>
          <w:sz w:val="24"/>
          <w:szCs w:val="24"/>
          <w:lang w:val="en-US"/>
        </w:rPr>
        <w:t>change in value</w:t>
      </w:r>
      <w:r w:rsidR="00DB63F3" w:rsidRPr="00EA4B66">
        <w:rPr>
          <w:color w:val="000000" w:themeColor="text1"/>
          <w:sz w:val="24"/>
          <w:szCs w:val="24"/>
          <w:lang w:val="en-US"/>
        </w:rPr>
        <w:t>,</w:t>
      </w:r>
      <w:r w:rsidR="00E772A7" w:rsidRPr="00EA4B66">
        <w:rPr>
          <w:color w:val="000000" w:themeColor="text1"/>
          <w:sz w:val="24"/>
          <w:szCs w:val="24"/>
          <w:lang w:val="en-US"/>
        </w:rPr>
        <w:t xml:space="preserve"> of IC investments. </w:t>
      </w:r>
      <w:r w:rsidR="00DB63F3" w:rsidRPr="00EA4B66">
        <w:rPr>
          <w:color w:val="000000" w:themeColor="text1"/>
          <w:sz w:val="24"/>
          <w:szCs w:val="24"/>
          <w:lang w:val="en-US"/>
        </w:rPr>
        <w:t>Thus</w:t>
      </w:r>
      <w:r w:rsidR="00E772A7" w:rsidRPr="00EA4B66">
        <w:rPr>
          <w:color w:val="000000" w:themeColor="text1"/>
          <w:sz w:val="24"/>
          <w:szCs w:val="24"/>
          <w:lang w:val="en-US"/>
        </w:rPr>
        <w:t xml:space="preserve">, engaging a high quality auditor may enhance IC disclosure in order to reduce information asymmetry (Li </w:t>
      </w:r>
      <w:r w:rsidR="00E772A7" w:rsidRPr="00EA4B66">
        <w:rPr>
          <w:i/>
          <w:color w:val="000000" w:themeColor="text1"/>
          <w:sz w:val="24"/>
          <w:szCs w:val="24"/>
          <w:lang w:val="en-US"/>
        </w:rPr>
        <w:t>et al</w:t>
      </w:r>
      <w:r w:rsidR="00E772A7" w:rsidRPr="00EA4B66">
        <w:rPr>
          <w:color w:val="000000" w:themeColor="text1"/>
          <w:sz w:val="24"/>
          <w:szCs w:val="24"/>
          <w:lang w:val="en-US"/>
        </w:rPr>
        <w:t xml:space="preserve">., 2012). Consistent with existing studies, a positive relationship between </w:t>
      </w:r>
      <w:r w:rsidR="00E772A7" w:rsidRPr="00EA4B66">
        <w:rPr>
          <w:i/>
          <w:color w:val="000000" w:themeColor="text1"/>
          <w:sz w:val="24"/>
          <w:szCs w:val="24"/>
          <w:lang w:val="en-US"/>
        </w:rPr>
        <w:t>AUDIT</w:t>
      </w:r>
      <w:r w:rsidR="00E772A7" w:rsidRPr="00EA4B66">
        <w:rPr>
          <w:color w:val="000000" w:themeColor="text1"/>
          <w:sz w:val="24"/>
          <w:szCs w:val="24"/>
          <w:lang w:val="en-US"/>
        </w:rPr>
        <w:t xml:space="preserve"> and MTB is expected.</w:t>
      </w:r>
    </w:p>
    <w:p w14:paraId="331BAACD" w14:textId="2EDF6987" w:rsidR="00FC2EC1" w:rsidRPr="00EA4B66" w:rsidRDefault="00903C4B" w:rsidP="00903C4B">
      <w:pPr>
        <w:spacing w:after="0" w:line="240" w:lineRule="auto"/>
        <w:jc w:val="both"/>
        <w:rPr>
          <w:i/>
          <w:color w:val="000000" w:themeColor="text1"/>
          <w:sz w:val="24"/>
          <w:szCs w:val="24"/>
          <w:lang w:val="en-US"/>
        </w:rPr>
      </w:pPr>
      <w:r w:rsidRPr="00EA4B66">
        <w:rPr>
          <w:color w:val="000000" w:themeColor="text1"/>
          <w:sz w:val="24"/>
          <w:szCs w:val="24"/>
          <w:lang w:val="en-US"/>
        </w:rPr>
        <w:t xml:space="preserve">   </w:t>
      </w:r>
      <w:r w:rsidR="0014289D">
        <w:rPr>
          <w:color w:val="000000" w:themeColor="text1"/>
          <w:sz w:val="24"/>
          <w:szCs w:val="24"/>
          <w:lang w:val="en-US"/>
        </w:rPr>
        <w:t>I</w:t>
      </w:r>
      <w:r w:rsidR="0014289D" w:rsidRPr="00EA4B66">
        <w:rPr>
          <w:color w:val="000000" w:themeColor="text1"/>
          <w:sz w:val="24"/>
          <w:szCs w:val="24"/>
          <w:lang w:val="en-US"/>
        </w:rPr>
        <w:t>n their conceptual study</w:t>
      </w:r>
      <w:r w:rsidR="0014289D">
        <w:rPr>
          <w:color w:val="000000" w:themeColor="text1"/>
          <w:sz w:val="24"/>
          <w:szCs w:val="24"/>
          <w:lang w:val="en-US"/>
        </w:rPr>
        <w:t>,</w:t>
      </w:r>
      <w:r w:rsidR="0014289D" w:rsidRPr="00EA4B66">
        <w:rPr>
          <w:color w:val="000000" w:themeColor="text1"/>
          <w:sz w:val="24"/>
          <w:szCs w:val="24"/>
          <w:lang w:val="en-US"/>
        </w:rPr>
        <w:t xml:space="preserve"> </w:t>
      </w:r>
      <w:r w:rsidR="00FC2EC1" w:rsidRPr="00EA4B66">
        <w:rPr>
          <w:color w:val="000000" w:themeColor="text1"/>
          <w:sz w:val="24"/>
          <w:szCs w:val="24"/>
          <w:lang w:val="en-US"/>
        </w:rPr>
        <w:t>Keenan and Aggestam (2001)</w:t>
      </w:r>
      <w:r w:rsidR="00243E3E" w:rsidRPr="00EA4B66">
        <w:rPr>
          <w:color w:val="000000" w:themeColor="text1"/>
          <w:sz w:val="24"/>
          <w:szCs w:val="24"/>
          <w:lang w:val="en-US"/>
        </w:rPr>
        <w:t xml:space="preserve"> </w:t>
      </w:r>
      <w:r w:rsidR="00FC7D05" w:rsidRPr="00EA4B66">
        <w:rPr>
          <w:color w:val="000000" w:themeColor="text1"/>
          <w:sz w:val="24"/>
          <w:szCs w:val="24"/>
          <w:lang w:val="en-US"/>
        </w:rPr>
        <w:t>highlight that there are im</w:t>
      </w:r>
      <w:r w:rsidR="00243E3E" w:rsidRPr="00EA4B66">
        <w:rPr>
          <w:color w:val="000000" w:themeColor="text1"/>
          <w:sz w:val="24"/>
          <w:szCs w:val="24"/>
          <w:lang w:val="en-US"/>
        </w:rPr>
        <w:t xml:space="preserve">portant connections between </w:t>
      </w:r>
      <w:r w:rsidR="00FC7D05" w:rsidRPr="00EA4B66">
        <w:rPr>
          <w:color w:val="000000" w:themeColor="text1"/>
          <w:sz w:val="24"/>
          <w:szCs w:val="24"/>
          <w:lang w:val="en-US"/>
        </w:rPr>
        <w:t xml:space="preserve">IC and corporate governance, </w:t>
      </w:r>
      <w:r w:rsidR="0014289D">
        <w:rPr>
          <w:color w:val="000000" w:themeColor="text1"/>
          <w:sz w:val="24"/>
          <w:szCs w:val="24"/>
          <w:lang w:val="en-US"/>
        </w:rPr>
        <w:t>focusing</w:t>
      </w:r>
      <w:r w:rsidR="00FC7D05" w:rsidRPr="00EA4B66">
        <w:rPr>
          <w:color w:val="000000" w:themeColor="text1"/>
          <w:sz w:val="24"/>
          <w:szCs w:val="24"/>
          <w:lang w:val="en-US"/>
        </w:rPr>
        <w:t xml:space="preserve"> on </w:t>
      </w:r>
      <w:r w:rsidR="00243E3E" w:rsidRPr="00EA4B66">
        <w:rPr>
          <w:color w:val="000000" w:themeColor="text1"/>
          <w:sz w:val="24"/>
          <w:szCs w:val="24"/>
          <w:lang w:val="en-US"/>
        </w:rPr>
        <w:t xml:space="preserve">the </w:t>
      </w:r>
      <w:r w:rsidR="00FC7D05" w:rsidRPr="00EA4B66">
        <w:rPr>
          <w:color w:val="000000" w:themeColor="text1"/>
          <w:sz w:val="24"/>
          <w:szCs w:val="24"/>
          <w:lang w:val="en-US"/>
        </w:rPr>
        <w:t xml:space="preserve">patterns of </w:t>
      </w:r>
      <w:r w:rsidR="00243E3E" w:rsidRPr="00EA4B66">
        <w:rPr>
          <w:color w:val="000000" w:themeColor="text1"/>
          <w:sz w:val="24"/>
          <w:szCs w:val="24"/>
          <w:lang w:val="en-US"/>
        </w:rPr>
        <w:t>stakeholder</w:t>
      </w:r>
      <w:r w:rsidR="00FC7D05" w:rsidRPr="00EA4B66">
        <w:rPr>
          <w:color w:val="000000" w:themeColor="text1"/>
          <w:sz w:val="24"/>
          <w:szCs w:val="24"/>
          <w:lang w:val="en-US"/>
        </w:rPr>
        <w:t xml:space="preserve"> influence that affect managerial decision-making. </w:t>
      </w:r>
      <w:r w:rsidR="001111D6" w:rsidRPr="00EA4B66">
        <w:rPr>
          <w:color w:val="000000" w:themeColor="text1"/>
          <w:sz w:val="24"/>
          <w:szCs w:val="24"/>
          <w:lang w:val="en-US"/>
        </w:rPr>
        <w:t>In particular,</w:t>
      </w:r>
      <w:r w:rsidR="00243E3E" w:rsidRPr="00EA4B66">
        <w:rPr>
          <w:color w:val="000000" w:themeColor="text1"/>
          <w:sz w:val="24"/>
          <w:szCs w:val="24"/>
          <w:lang w:val="en-US"/>
        </w:rPr>
        <w:t xml:space="preserve"> s</w:t>
      </w:r>
      <w:r w:rsidR="00524DBC" w:rsidRPr="00EA4B66">
        <w:rPr>
          <w:color w:val="000000" w:themeColor="text1"/>
          <w:sz w:val="24"/>
          <w:szCs w:val="24"/>
          <w:lang w:val="en-US"/>
        </w:rPr>
        <w:t xml:space="preserve">cholars </w:t>
      </w:r>
      <w:r w:rsidR="002E49AB" w:rsidRPr="00EA4B66">
        <w:rPr>
          <w:color w:val="000000" w:themeColor="text1"/>
          <w:sz w:val="24"/>
          <w:szCs w:val="24"/>
          <w:lang w:val="en-US"/>
        </w:rPr>
        <w:t>point out</w:t>
      </w:r>
      <w:r w:rsidR="00524DBC" w:rsidRPr="00EA4B66">
        <w:rPr>
          <w:color w:val="000000" w:themeColor="text1"/>
          <w:sz w:val="24"/>
          <w:szCs w:val="24"/>
          <w:lang w:val="en-US"/>
        </w:rPr>
        <w:t xml:space="preserve"> that diverse and relatively unconcentrated ownership may have less influence </w:t>
      </w:r>
      <w:r w:rsidR="0014289D">
        <w:rPr>
          <w:color w:val="000000" w:themeColor="text1"/>
          <w:sz w:val="24"/>
          <w:szCs w:val="24"/>
          <w:lang w:val="en-US"/>
        </w:rPr>
        <w:t>on</w:t>
      </w:r>
      <w:r w:rsidR="00524DBC" w:rsidRPr="00EA4B66">
        <w:rPr>
          <w:color w:val="000000" w:themeColor="text1"/>
          <w:sz w:val="24"/>
          <w:szCs w:val="24"/>
          <w:lang w:val="en-US"/>
        </w:rPr>
        <w:t xml:space="preserve"> governance, </w:t>
      </w:r>
      <w:r w:rsidR="00243E3E" w:rsidRPr="00EA4B66">
        <w:rPr>
          <w:color w:val="000000" w:themeColor="text1"/>
          <w:sz w:val="24"/>
          <w:szCs w:val="24"/>
          <w:lang w:val="en-US"/>
        </w:rPr>
        <w:t>leading to less concern</w:t>
      </w:r>
      <w:r w:rsidR="00524DBC" w:rsidRPr="00EA4B66">
        <w:rPr>
          <w:color w:val="000000" w:themeColor="text1"/>
          <w:sz w:val="24"/>
          <w:szCs w:val="24"/>
          <w:lang w:val="en-US"/>
        </w:rPr>
        <w:t xml:space="preserve"> about the </w:t>
      </w:r>
      <w:r w:rsidR="0014289D">
        <w:rPr>
          <w:color w:val="000000" w:themeColor="text1"/>
          <w:sz w:val="24"/>
          <w:szCs w:val="24"/>
          <w:lang w:val="en-US"/>
        </w:rPr>
        <w:t>IC</w:t>
      </w:r>
      <w:r w:rsidR="00524DBC" w:rsidRPr="00EA4B66">
        <w:rPr>
          <w:color w:val="000000" w:themeColor="text1"/>
          <w:sz w:val="24"/>
          <w:szCs w:val="24"/>
          <w:lang w:val="en-US"/>
        </w:rPr>
        <w:t xml:space="preserve"> of the firm. In the case of ownership concentrated in the hands of </w:t>
      </w:r>
      <w:r w:rsidR="00243E3E" w:rsidRPr="00EA4B66">
        <w:rPr>
          <w:color w:val="000000" w:themeColor="text1"/>
          <w:sz w:val="24"/>
          <w:szCs w:val="24"/>
          <w:lang w:val="en-US"/>
        </w:rPr>
        <w:t xml:space="preserve">relatively </w:t>
      </w:r>
      <w:r w:rsidR="00524DBC" w:rsidRPr="00EA4B66">
        <w:rPr>
          <w:color w:val="000000" w:themeColor="text1"/>
          <w:sz w:val="24"/>
          <w:szCs w:val="24"/>
          <w:lang w:val="en-US"/>
        </w:rPr>
        <w:t xml:space="preserve">few stakeholders, governance of the firm’s </w:t>
      </w:r>
      <w:r w:rsidR="0014289D">
        <w:rPr>
          <w:color w:val="000000" w:themeColor="text1"/>
          <w:sz w:val="24"/>
          <w:szCs w:val="24"/>
          <w:lang w:val="en-US"/>
        </w:rPr>
        <w:t>IC</w:t>
      </w:r>
      <w:r w:rsidR="00524DBC" w:rsidRPr="00EA4B66">
        <w:rPr>
          <w:color w:val="000000" w:themeColor="text1"/>
          <w:sz w:val="24"/>
          <w:szCs w:val="24"/>
          <w:lang w:val="en-US"/>
        </w:rPr>
        <w:t xml:space="preserve"> may </w:t>
      </w:r>
      <w:r w:rsidR="00243E3E" w:rsidRPr="00EA4B66">
        <w:rPr>
          <w:color w:val="000000" w:themeColor="text1"/>
          <w:sz w:val="24"/>
          <w:szCs w:val="24"/>
          <w:lang w:val="en-US"/>
        </w:rPr>
        <w:t>prove</w:t>
      </w:r>
      <w:r w:rsidR="00524DBC" w:rsidRPr="00EA4B66">
        <w:rPr>
          <w:color w:val="000000" w:themeColor="text1"/>
          <w:sz w:val="24"/>
          <w:szCs w:val="24"/>
          <w:lang w:val="en-US"/>
        </w:rPr>
        <w:t xml:space="preserve"> problematic. Ownership and governance </w:t>
      </w:r>
      <w:r w:rsidR="00243E3E" w:rsidRPr="00EA4B66">
        <w:rPr>
          <w:color w:val="000000" w:themeColor="text1"/>
          <w:sz w:val="24"/>
          <w:szCs w:val="24"/>
          <w:lang w:val="en-US"/>
        </w:rPr>
        <w:t>with little</w:t>
      </w:r>
      <w:r w:rsidR="00524DBC" w:rsidRPr="00EA4B66">
        <w:rPr>
          <w:color w:val="000000" w:themeColor="text1"/>
          <w:sz w:val="24"/>
          <w:szCs w:val="24"/>
          <w:lang w:val="en-US"/>
        </w:rPr>
        <w:t xml:space="preserve"> expert</w:t>
      </w:r>
      <w:r w:rsidR="00243E3E" w:rsidRPr="00EA4B66">
        <w:rPr>
          <w:color w:val="000000" w:themeColor="text1"/>
          <w:sz w:val="24"/>
          <w:szCs w:val="24"/>
          <w:lang w:val="en-US"/>
        </w:rPr>
        <w:t>ise</w:t>
      </w:r>
      <w:r w:rsidR="00524DBC" w:rsidRPr="00EA4B66">
        <w:rPr>
          <w:color w:val="000000" w:themeColor="text1"/>
          <w:sz w:val="24"/>
          <w:szCs w:val="24"/>
          <w:lang w:val="en-US"/>
        </w:rPr>
        <w:t xml:space="preserve"> </w:t>
      </w:r>
      <w:r w:rsidR="00243E3E" w:rsidRPr="00EA4B66">
        <w:rPr>
          <w:color w:val="000000" w:themeColor="text1"/>
          <w:sz w:val="24"/>
          <w:szCs w:val="24"/>
          <w:lang w:val="en-US"/>
        </w:rPr>
        <w:t>concerning IC</w:t>
      </w:r>
      <w:r w:rsidR="00524DBC" w:rsidRPr="00EA4B66">
        <w:rPr>
          <w:color w:val="000000" w:themeColor="text1"/>
          <w:sz w:val="24"/>
          <w:szCs w:val="24"/>
          <w:lang w:val="en-US"/>
        </w:rPr>
        <w:t xml:space="preserve"> may </w:t>
      </w:r>
      <w:r w:rsidR="00243E3E" w:rsidRPr="00EA4B66">
        <w:rPr>
          <w:color w:val="000000" w:themeColor="text1"/>
          <w:sz w:val="24"/>
          <w:szCs w:val="24"/>
          <w:lang w:val="en-US"/>
        </w:rPr>
        <w:t>fail to</w:t>
      </w:r>
      <w:r w:rsidR="00524DBC" w:rsidRPr="00EA4B66">
        <w:rPr>
          <w:color w:val="000000" w:themeColor="text1"/>
          <w:sz w:val="24"/>
          <w:szCs w:val="24"/>
          <w:lang w:val="en-US"/>
        </w:rPr>
        <w:t xml:space="preserve"> execute fiduciary responsibility for directing and influencing </w:t>
      </w:r>
      <w:r w:rsidR="00243E3E" w:rsidRPr="00EA4B66">
        <w:rPr>
          <w:color w:val="000000" w:themeColor="text1"/>
          <w:sz w:val="24"/>
          <w:szCs w:val="24"/>
          <w:lang w:val="en-US"/>
        </w:rPr>
        <w:t>the leverage of such</w:t>
      </w:r>
      <w:r w:rsidR="00524DBC" w:rsidRPr="00EA4B66">
        <w:rPr>
          <w:color w:val="000000" w:themeColor="text1"/>
          <w:sz w:val="24"/>
          <w:szCs w:val="24"/>
          <w:lang w:val="en-US"/>
        </w:rPr>
        <w:t xml:space="preserve"> IC. </w:t>
      </w:r>
      <w:r w:rsidR="00F3130C" w:rsidRPr="00EA4B66">
        <w:rPr>
          <w:color w:val="000000" w:themeColor="text1"/>
          <w:sz w:val="24"/>
          <w:szCs w:val="24"/>
          <w:lang w:val="en-US"/>
        </w:rPr>
        <w:t xml:space="preserve">Moreover, </w:t>
      </w:r>
      <w:r w:rsidR="00243E3E" w:rsidRPr="00EA4B66">
        <w:rPr>
          <w:color w:val="000000" w:themeColor="text1"/>
          <w:sz w:val="24"/>
          <w:szCs w:val="24"/>
          <w:lang w:val="en-US"/>
        </w:rPr>
        <w:t xml:space="preserve">a </w:t>
      </w:r>
      <w:r w:rsidR="00F3130C" w:rsidRPr="00EA4B66">
        <w:rPr>
          <w:color w:val="000000" w:themeColor="text1"/>
          <w:sz w:val="24"/>
          <w:szCs w:val="24"/>
          <w:lang w:val="en-US"/>
        </w:rPr>
        <w:t>high level of managerial ownership may induce the entrenchment effect in</w:t>
      </w:r>
      <w:r w:rsidR="009C7478" w:rsidRPr="00EA4B66">
        <w:rPr>
          <w:color w:val="000000" w:themeColor="text1"/>
          <w:sz w:val="24"/>
          <w:szCs w:val="24"/>
          <w:lang w:val="en-US"/>
        </w:rPr>
        <w:t>stead of the alignment effect for</w:t>
      </w:r>
      <w:r w:rsidR="00F3130C" w:rsidRPr="00EA4B66">
        <w:rPr>
          <w:color w:val="000000" w:themeColor="text1"/>
          <w:sz w:val="24"/>
          <w:szCs w:val="24"/>
          <w:lang w:val="en-US"/>
        </w:rPr>
        <w:t xml:space="preserve"> managerial ownership </w:t>
      </w:r>
      <w:r w:rsidR="007E2B9E" w:rsidRPr="00EA4B66">
        <w:rPr>
          <w:color w:val="000000" w:themeColor="text1"/>
          <w:sz w:val="24"/>
          <w:szCs w:val="24"/>
          <w:lang w:val="en-US"/>
        </w:rPr>
        <w:t xml:space="preserve">(Saleh </w:t>
      </w:r>
      <w:r w:rsidR="007E2B9E" w:rsidRPr="00EA4B66">
        <w:rPr>
          <w:i/>
          <w:color w:val="000000" w:themeColor="text1"/>
          <w:sz w:val="24"/>
          <w:szCs w:val="24"/>
          <w:lang w:val="en-US"/>
        </w:rPr>
        <w:t>et al.</w:t>
      </w:r>
      <w:r w:rsidR="007E2B9E" w:rsidRPr="00EA4B66">
        <w:rPr>
          <w:color w:val="000000" w:themeColor="text1"/>
          <w:sz w:val="24"/>
          <w:szCs w:val="24"/>
          <w:lang w:val="en-US"/>
        </w:rPr>
        <w:t>, 2009).</w:t>
      </w:r>
      <w:r w:rsidR="00F3130C" w:rsidRPr="00EA4B66">
        <w:rPr>
          <w:color w:val="000000" w:themeColor="text1"/>
          <w:sz w:val="24"/>
          <w:szCs w:val="24"/>
          <w:lang w:val="en-US"/>
        </w:rPr>
        <w:t xml:space="preserve"> </w:t>
      </w:r>
      <w:r w:rsidR="009C7478" w:rsidRPr="00EA4B66">
        <w:rPr>
          <w:color w:val="000000" w:themeColor="text1"/>
          <w:sz w:val="24"/>
          <w:szCs w:val="24"/>
          <w:lang w:val="en-US"/>
        </w:rPr>
        <w:t>R</w:t>
      </w:r>
      <w:r w:rsidR="00F3130C" w:rsidRPr="00EA4B66">
        <w:rPr>
          <w:color w:val="000000" w:themeColor="text1"/>
          <w:sz w:val="24"/>
          <w:szCs w:val="24"/>
          <w:lang w:val="en-US"/>
        </w:rPr>
        <w:t xml:space="preserve">isk aversion and managerial myopia may </w:t>
      </w:r>
      <w:r w:rsidR="009C7478" w:rsidRPr="00EA4B66">
        <w:rPr>
          <w:color w:val="000000" w:themeColor="text1"/>
          <w:sz w:val="24"/>
          <w:szCs w:val="24"/>
          <w:lang w:val="en-US"/>
        </w:rPr>
        <w:t xml:space="preserve">also </w:t>
      </w:r>
      <w:r w:rsidR="00F3130C" w:rsidRPr="00EA4B66">
        <w:rPr>
          <w:color w:val="000000" w:themeColor="text1"/>
          <w:sz w:val="24"/>
          <w:szCs w:val="24"/>
          <w:lang w:val="en-US"/>
        </w:rPr>
        <w:t>influence managerial decision</w:t>
      </w:r>
      <w:r w:rsidR="009C7478" w:rsidRPr="00EA4B66">
        <w:rPr>
          <w:color w:val="000000" w:themeColor="text1"/>
          <w:sz w:val="24"/>
          <w:szCs w:val="24"/>
          <w:lang w:val="en-US"/>
        </w:rPr>
        <w:t>s</w:t>
      </w:r>
      <w:r w:rsidR="00F3130C" w:rsidRPr="00EA4B66">
        <w:rPr>
          <w:color w:val="000000" w:themeColor="text1"/>
          <w:sz w:val="24"/>
          <w:szCs w:val="24"/>
          <w:lang w:val="en-US"/>
        </w:rPr>
        <w:t xml:space="preserve"> on </w:t>
      </w:r>
      <w:r w:rsidR="007E2B9E" w:rsidRPr="00EA4B66">
        <w:rPr>
          <w:color w:val="000000" w:themeColor="text1"/>
          <w:sz w:val="24"/>
          <w:szCs w:val="24"/>
          <w:lang w:val="en-US"/>
        </w:rPr>
        <w:t>IC</w:t>
      </w:r>
      <w:r w:rsidR="00F3130C" w:rsidRPr="00EA4B66">
        <w:rPr>
          <w:color w:val="000000" w:themeColor="text1"/>
          <w:sz w:val="24"/>
          <w:szCs w:val="24"/>
          <w:lang w:val="en-US"/>
        </w:rPr>
        <w:t xml:space="preserve"> investment which may </w:t>
      </w:r>
      <w:r w:rsidR="009C7478" w:rsidRPr="00EA4B66">
        <w:rPr>
          <w:color w:val="000000" w:themeColor="text1"/>
          <w:sz w:val="24"/>
          <w:szCs w:val="24"/>
          <w:lang w:val="en-US"/>
        </w:rPr>
        <w:t xml:space="preserve">in turn </w:t>
      </w:r>
      <w:r w:rsidR="00F3130C" w:rsidRPr="00EA4B66">
        <w:rPr>
          <w:color w:val="000000" w:themeColor="text1"/>
          <w:sz w:val="24"/>
          <w:szCs w:val="24"/>
          <w:lang w:val="en-US"/>
        </w:rPr>
        <w:t xml:space="preserve">affect </w:t>
      </w:r>
      <w:r w:rsidR="007E2B9E" w:rsidRPr="00EA4B66">
        <w:rPr>
          <w:color w:val="000000" w:themeColor="text1"/>
          <w:sz w:val="24"/>
          <w:szCs w:val="24"/>
          <w:lang w:val="en-US"/>
        </w:rPr>
        <w:t>IC</w:t>
      </w:r>
      <w:r w:rsidR="00F3130C" w:rsidRPr="00EA4B66">
        <w:rPr>
          <w:color w:val="000000" w:themeColor="text1"/>
          <w:sz w:val="24"/>
          <w:szCs w:val="24"/>
          <w:lang w:val="en-US"/>
        </w:rPr>
        <w:t xml:space="preserve"> value. Managerial myopia </w:t>
      </w:r>
      <w:r w:rsidR="009C7478" w:rsidRPr="00EA4B66">
        <w:rPr>
          <w:color w:val="000000" w:themeColor="text1"/>
          <w:sz w:val="24"/>
          <w:szCs w:val="24"/>
          <w:lang w:val="en-US"/>
        </w:rPr>
        <w:t>leading to a</w:t>
      </w:r>
      <w:r w:rsidR="00F3130C" w:rsidRPr="00EA4B66">
        <w:rPr>
          <w:color w:val="000000" w:themeColor="text1"/>
          <w:sz w:val="24"/>
          <w:szCs w:val="24"/>
          <w:lang w:val="en-US"/>
        </w:rPr>
        <w:t xml:space="preserve"> focus on short term performance may cause managers to prefer investments in tangible assets rather than </w:t>
      </w:r>
      <w:r w:rsidR="009C7478" w:rsidRPr="00EA4B66">
        <w:rPr>
          <w:color w:val="000000" w:themeColor="text1"/>
          <w:sz w:val="24"/>
          <w:szCs w:val="24"/>
          <w:lang w:val="en-US"/>
        </w:rPr>
        <w:t xml:space="preserve">in </w:t>
      </w:r>
      <w:r w:rsidR="0014289D">
        <w:rPr>
          <w:color w:val="000000" w:themeColor="text1"/>
          <w:sz w:val="24"/>
          <w:szCs w:val="24"/>
          <w:lang w:val="en-US"/>
        </w:rPr>
        <w:t>IC</w:t>
      </w:r>
      <w:r w:rsidR="009C7478" w:rsidRPr="00EA4B66">
        <w:rPr>
          <w:color w:val="000000" w:themeColor="text1"/>
          <w:sz w:val="24"/>
          <w:szCs w:val="24"/>
          <w:lang w:val="en-US"/>
        </w:rPr>
        <w:t xml:space="preserve"> as the former</w:t>
      </w:r>
      <w:r w:rsidR="00F3130C" w:rsidRPr="00EA4B66">
        <w:rPr>
          <w:color w:val="000000" w:themeColor="text1"/>
          <w:sz w:val="24"/>
          <w:szCs w:val="24"/>
          <w:lang w:val="en-US"/>
        </w:rPr>
        <w:t xml:space="preserve"> are easier to monitor and control as well easier to justify</w:t>
      </w:r>
      <w:r w:rsidR="009C7478" w:rsidRPr="00EA4B66">
        <w:rPr>
          <w:color w:val="000000" w:themeColor="text1"/>
          <w:sz w:val="24"/>
          <w:szCs w:val="24"/>
          <w:lang w:val="en-US"/>
        </w:rPr>
        <w:t xml:space="preserve"> than the latter</w:t>
      </w:r>
      <w:r w:rsidR="00F3130C" w:rsidRPr="00EA4B66">
        <w:rPr>
          <w:color w:val="000000" w:themeColor="text1"/>
          <w:sz w:val="24"/>
          <w:szCs w:val="24"/>
          <w:lang w:val="en-US"/>
        </w:rPr>
        <w:t xml:space="preserve">. </w:t>
      </w:r>
      <w:r w:rsidR="009C7478" w:rsidRPr="00EA4B66">
        <w:rPr>
          <w:color w:val="000000" w:themeColor="text1"/>
          <w:sz w:val="24"/>
          <w:szCs w:val="24"/>
          <w:lang w:val="en-US"/>
        </w:rPr>
        <w:t>Investment in tangible assets is</w:t>
      </w:r>
      <w:r w:rsidR="00F3130C" w:rsidRPr="00EA4B66">
        <w:rPr>
          <w:color w:val="000000" w:themeColor="text1"/>
          <w:sz w:val="24"/>
          <w:szCs w:val="24"/>
          <w:lang w:val="en-US"/>
        </w:rPr>
        <w:t xml:space="preserve"> associated with lower uncertainty and risk, </w:t>
      </w:r>
      <w:r w:rsidR="009C7478" w:rsidRPr="00EA4B66">
        <w:rPr>
          <w:color w:val="000000" w:themeColor="text1"/>
          <w:sz w:val="24"/>
          <w:szCs w:val="24"/>
          <w:lang w:val="en-US"/>
        </w:rPr>
        <w:t>thereby</w:t>
      </w:r>
      <w:r w:rsidR="00F3130C" w:rsidRPr="00EA4B66">
        <w:rPr>
          <w:color w:val="000000" w:themeColor="text1"/>
          <w:sz w:val="24"/>
          <w:szCs w:val="24"/>
          <w:lang w:val="en-US"/>
        </w:rPr>
        <w:t xml:space="preserve"> strengthening the position of managers</w:t>
      </w:r>
      <w:r w:rsidR="00512AB5" w:rsidRPr="00EA4B66">
        <w:rPr>
          <w:color w:val="000000" w:themeColor="text1"/>
          <w:sz w:val="24"/>
          <w:szCs w:val="24"/>
          <w:lang w:val="en-US"/>
        </w:rPr>
        <w:t>.</w:t>
      </w:r>
      <w:r w:rsidR="00F3130C" w:rsidRPr="00EA4B66">
        <w:rPr>
          <w:color w:val="000000" w:themeColor="text1"/>
          <w:sz w:val="24"/>
          <w:szCs w:val="24"/>
          <w:lang w:val="en-US"/>
        </w:rPr>
        <w:t xml:space="preserve"> </w:t>
      </w:r>
      <w:r w:rsidR="00FC2EC1" w:rsidRPr="00EA4B66">
        <w:rPr>
          <w:color w:val="000000" w:themeColor="text1"/>
          <w:sz w:val="24"/>
          <w:szCs w:val="24"/>
          <w:lang w:val="en-US"/>
        </w:rPr>
        <w:t>Goebel (2015)</w:t>
      </w:r>
      <w:r w:rsidR="00D843DA" w:rsidRPr="00EA4B66">
        <w:rPr>
          <w:color w:val="000000" w:themeColor="text1"/>
          <w:sz w:val="24"/>
          <w:szCs w:val="24"/>
          <w:lang w:val="en-US"/>
        </w:rPr>
        <w:t xml:space="preserve">, </w:t>
      </w:r>
      <w:r w:rsidR="009C7478" w:rsidRPr="00EA4B66">
        <w:rPr>
          <w:color w:val="000000" w:themeColor="text1"/>
          <w:sz w:val="24"/>
          <w:szCs w:val="24"/>
          <w:lang w:val="en-US"/>
        </w:rPr>
        <w:t xml:space="preserve">who studies </w:t>
      </w:r>
      <w:r w:rsidR="00D843DA" w:rsidRPr="00EA4B66">
        <w:rPr>
          <w:color w:val="000000" w:themeColor="text1"/>
          <w:sz w:val="24"/>
          <w:szCs w:val="24"/>
          <w:lang w:val="en-US"/>
        </w:rPr>
        <w:t>German listed companies,</w:t>
      </w:r>
      <w:r w:rsidR="00FC2EC1" w:rsidRPr="00EA4B66">
        <w:rPr>
          <w:color w:val="000000" w:themeColor="text1"/>
          <w:sz w:val="24"/>
          <w:szCs w:val="24"/>
          <w:lang w:val="en-US"/>
        </w:rPr>
        <w:t xml:space="preserve"> </w:t>
      </w:r>
      <w:r w:rsidR="009C7478" w:rsidRPr="00EA4B66">
        <w:rPr>
          <w:color w:val="000000" w:themeColor="text1"/>
          <w:sz w:val="24"/>
          <w:szCs w:val="24"/>
          <w:lang w:val="en-US"/>
        </w:rPr>
        <w:t>examines ownership structure as</w:t>
      </w:r>
      <w:r w:rsidR="00D843DA" w:rsidRPr="00EA4B66">
        <w:rPr>
          <w:color w:val="000000" w:themeColor="text1"/>
          <w:sz w:val="24"/>
          <w:szCs w:val="24"/>
          <w:lang w:val="en-US"/>
        </w:rPr>
        <w:t xml:space="preserve"> a potential determinant of IC value</w:t>
      </w:r>
      <w:r w:rsidR="009C7478" w:rsidRPr="00EA4B66">
        <w:rPr>
          <w:color w:val="000000" w:themeColor="text1"/>
          <w:sz w:val="24"/>
          <w:szCs w:val="24"/>
          <w:lang w:val="en-US"/>
        </w:rPr>
        <w:t xml:space="preserve">, though </w:t>
      </w:r>
      <w:r w:rsidR="00FC2EC1" w:rsidRPr="00EA4B66">
        <w:rPr>
          <w:color w:val="000000" w:themeColor="text1"/>
          <w:sz w:val="24"/>
          <w:szCs w:val="24"/>
          <w:lang w:val="en-US"/>
        </w:rPr>
        <w:t xml:space="preserve">finds no evidence of </w:t>
      </w:r>
      <w:r w:rsidR="009C7478" w:rsidRPr="00EA4B66">
        <w:rPr>
          <w:color w:val="000000" w:themeColor="text1"/>
          <w:sz w:val="24"/>
          <w:szCs w:val="24"/>
          <w:lang w:val="en-US"/>
        </w:rPr>
        <w:t xml:space="preserve">it </w:t>
      </w:r>
      <w:r w:rsidR="00FC2EC1" w:rsidRPr="00EA4B66">
        <w:rPr>
          <w:color w:val="000000" w:themeColor="text1"/>
          <w:sz w:val="24"/>
          <w:szCs w:val="24"/>
          <w:lang w:val="en-US"/>
        </w:rPr>
        <w:t xml:space="preserve">influencing IC value. </w:t>
      </w:r>
      <w:r w:rsidR="009C7478" w:rsidRPr="00EA4B66">
        <w:rPr>
          <w:color w:val="000000" w:themeColor="text1"/>
          <w:sz w:val="24"/>
          <w:szCs w:val="24"/>
          <w:lang w:val="en-US"/>
        </w:rPr>
        <w:t>Consistent with this study</w:t>
      </w:r>
      <w:r w:rsidR="0045516E" w:rsidRPr="00EA4B66">
        <w:rPr>
          <w:color w:val="000000" w:themeColor="text1"/>
          <w:sz w:val="24"/>
          <w:szCs w:val="24"/>
          <w:lang w:val="en-US"/>
        </w:rPr>
        <w:t xml:space="preserve">, the expected direction of the relation </w:t>
      </w:r>
      <w:r w:rsidR="0014289D">
        <w:rPr>
          <w:color w:val="000000" w:themeColor="text1"/>
          <w:sz w:val="24"/>
          <w:szCs w:val="24"/>
          <w:lang w:val="en-US"/>
        </w:rPr>
        <w:t>between</w:t>
      </w:r>
      <w:r w:rsidR="0045516E" w:rsidRPr="00EA4B66">
        <w:rPr>
          <w:color w:val="000000" w:themeColor="text1"/>
          <w:sz w:val="24"/>
          <w:szCs w:val="24"/>
          <w:lang w:val="en-US"/>
        </w:rPr>
        <w:t xml:space="preserve"> governance (ownership concen</w:t>
      </w:r>
      <w:r w:rsidR="0014289D">
        <w:rPr>
          <w:color w:val="000000" w:themeColor="text1"/>
          <w:sz w:val="24"/>
          <w:szCs w:val="24"/>
          <w:lang w:val="en-US"/>
        </w:rPr>
        <w:t>tration and family ownership) and</w:t>
      </w:r>
      <w:r w:rsidR="0045516E" w:rsidRPr="00EA4B66">
        <w:rPr>
          <w:color w:val="000000" w:themeColor="text1"/>
          <w:sz w:val="24"/>
          <w:szCs w:val="24"/>
          <w:lang w:val="en-US"/>
        </w:rPr>
        <w:t xml:space="preserve"> IC value</w:t>
      </w:r>
      <w:r w:rsidR="00641058" w:rsidRPr="00EA4B66">
        <w:rPr>
          <w:color w:val="000000" w:themeColor="text1"/>
          <w:sz w:val="24"/>
          <w:szCs w:val="24"/>
          <w:lang w:val="en-US"/>
        </w:rPr>
        <w:t xml:space="preserve"> is not specified in this paper</w:t>
      </w:r>
      <w:r w:rsidR="0045516E" w:rsidRPr="00EA4B66">
        <w:rPr>
          <w:color w:val="000000" w:themeColor="text1"/>
          <w:sz w:val="24"/>
          <w:szCs w:val="24"/>
          <w:lang w:val="en-US"/>
        </w:rPr>
        <w:t xml:space="preserve">. </w:t>
      </w:r>
      <w:r w:rsidR="00641058" w:rsidRPr="00EA4B66">
        <w:rPr>
          <w:color w:val="000000" w:themeColor="text1"/>
          <w:sz w:val="24"/>
          <w:szCs w:val="24"/>
          <w:lang w:val="en-US"/>
        </w:rPr>
        <w:t>T</w:t>
      </w:r>
      <w:r w:rsidR="00FC2EC1" w:rsidRPr="00EA4B66">
        <w:rPr>
          <w:color w:val="000000" w:themeColor="text1"/>
          <w:sz w:val="24"/>
          <w:szCs w:val="24"/>
          <w:lang w:val="en-US"/>
        </w:rPr>
        <w:t xml:space="preserve">wo corporate governance measures </w:t>
      </w:r>
      <w:r w:rsidR="00641058" w:rsidRPr="00EA4B66">
        <w:rPr>
          <w:color w:val="000000" w:themeColor="text1"/>
          <w:sz w:val="24"/>
          <w:szCs w:val="24"/>
          <w:lang w:val="en-US"/>
        </w:rPr>
        <w:t xml:space="preserve">are adopted </w:t>
      </w:r>
      <w:r w:rsidR="009C7478" w:rsidRPr="00EA4B66">
        <w:rPr>
          <w:color w:val="000000" w:themeColor="text1"/>
          <w:sz w:val="24"/>
          <w:szCs w:val="24"/>
          <w:lang w:val="en-US"/>
        </w:rPr>
        <w:t xml:space="preserve">in this paper. First, </w:t>
      </w:r>
      <w:r w:rsidR="00FC2EC1" w:rsidRPr="00EA4B66">
        <w:rPr>
          <w:color w:val="000000" w:themeColor="text1"/>
          <w:sz w:val="24"/>
          <w:szCs w:val="24"/>
          <w:lang w:val="en-US"/>
        </w:rPr>
        <w:t>the degree of ownership concentration by controlling stakeholders</w:t>
      </w:r>
      <w:r w:rsidR="00641058" w:rsidRPr="00EA4B66">
        <w:rPr>
          <w:color w:val="000000" w:themeColor="text1"/>
          <w:sz w:val="24"/>
          <w:szCs w:val="24"/>
          <w:lang w:val="en-US"/>
        </w:rPr>
        <w:t xml:space="preserve"> is measured</w:t>
      </w:r>
      <w:r w:rsidR="00FC2EC1" w:rsidRPr="00EA4B66">
        <w:rPr>
          <w:color w:val="000000" w:themeColor="text1"/>
          <w:sz w:val="24"/>
          <w:szCs w:val="24"/>
          <w:lang w:val="en-US"/>
        </w:rPr>
        <w:t xml:space="preserve">. The dummy variable </w:t>
      </w:r>
      <w:r w:rsidR="00FC2EC1" w:rsidRPr="00EA4B66">
        <w:rPr>
          <w:i/>
          <w:color w:val="000000" w:themeColor="text1"/>
          <w:sz w:val="24"/>
          <w:szCs w:val="24"/>
          <w:lang w:val="en-US"/>
        </w:rPr>
        <w:t>OWN</w:t>
      </w:r>
      <w:r w:rsidR="009C7478" w:rsidRPr="00EA4B66">
        <w:rPr>
          <w:color w:val="000000" w:themeColor="text1"/>
          <w:sz w:val="24"/>
          <w:szCs w:val="24"/>
          <w:lang w:val="en-US"/>
        </w:rPr>
        <w:t xml:space="preserve"> takes </w:t>
      </w:r>
      <w:r w:rsidR="00FC2EC1" w:rsidRPr="00EA4B66">
        <w:rPr>
          <w:color w:val="000000" w:themeColor="text1"/>
          <w:sz w:val="24"/>
          <w:szCs w:val="24"/>
          <w:lang w:val="en-US"/>
        </w:rPr>
        <w:t xml:space="preserve">a value of 1 if shareholders control at least 50% of the </w:t>
      </w:r>
      <w:r w:rsidR="00FC2EC1" w:rsidRPr="00EA4B66">
        <w:rPr>
          <w:color w:val="000000" w:themeColor="text1"/>
          <w:sz w:val="24"/>
          <w:szCs w:val="24"/>
          <w:lang w:val="en-US"/>
        </w:rPr>
        <w:lastRenderedPageBreak/>
        <w:t xml:space="preserve">voting rights, and 0 otherwise. </w:t>
      </w:r>
      <w:r w:rsidR="009C7478" w:rsidRPr="00EA4B66">
        <w:rPr>
          <w:color w:val="000000" w:themeColor="text1"/>
          <w:sz w:val="24"/>
          <w:szCs w:val="24"/>
          <w:lang w:val="en-US"/>
        </w:rPr>
        <w:t>Second, t</w:t>
      </w:r>
      <w:r w:rsidR="00FC2EC1" w:rsidRPr="00EA4B66">
        <w:rPr>
          <w:color w:val="000000" w:themeColor="text1"/>
          <w:sz w:val="24"/>
          <w:szCs w:val="24"/>
          <w:lang w:val="en-US"/>
        </w:rPr>
        <w:t xml:space="preserve">he dummy variable </w:t>
      </w:r>
      <w:r w:rsidR="00FC2EC1" w:rsidRPr="00EA4B66">
        <w:rPr>
          <w:i/>
          <w:color w:val="000000" w:themeColor="text1"/>
          <w:sz w:val="24"/>
          <w:szCs w:val="24"/>
          <w:lang w:val="en-US"/>
        </w:rPr>
        <w:t>FAM</w:t>
      </w:r>
      <w:r w:rsidR="00FC2EC1" w:rsidRPr="00EA4B66">
        <w:rPr>
          <w:color w:val="000000" w:themeColor="text1"/>
          <w:sz w:val="24"/>
          <w:szCs w:val="24"/>
          <w:lang w:val="en-US"/>
        </w:rPr>
        <w:t xml:space="preserve"> </w:t>
      </w:r>
      <w:r w:rsidR="009C7478" w:rsidRPr="00EA4B66">
        <w:rPr>
          <w:color w:val="000000" w:themeColor="text1"/>
          <w:sz w:val="24"/>
          <w:szCs w:val="24"/>
          <w:lang w:val="en-US"/>
        </w:rPr>
        <w:t>takes</w:t>
      </w:r>
      <w:r w:rsidR="00FC2EC1" w:rsidRPr="00EA4B66">
        <w:rPr>
          <w:color w:val="000000" w:themeColor="text1"/>
          <w:sz w:val="24"/>
          <w:szCs w:val="24"/>
          <w:lang w:val="en-US"/>
        </w:rPr>
        <w:t xml:space="preserve"> a value of 1 if at least 50% of the voting rights or outstanding shares are held by a family block holder, and 0 otherwise.</w:t>
      </w:r>
    </w:p>
    <w:p w14:paraId="6C05E6ED" w14:textId="77777777" w:rsidR="00E96E82" w:rsidRPr="00EA4B66" w:rsidRDefault="00E96E82" w:rsidP="00E96E82">
      <w:pPr>
        <w:spacing w:after="0" w:line="240" w:lineRule="auto"/>
        <w:jc w:val="both"/>
        <w:rPr>
          <w:color w:val="000000" w:themeColor="text1"/>
          <w:sz w:val="24"/>
          <w:szCs w:val="24"/>
          <w:lang w:val="en-US"/>
        </w:rPr>
      </w:pPr>
    </w:p>
    <w:p w14:paraId="51583AD3" w14:textId="1E047D6D" w:rsidR="00A60025" w:rsidRPr="00EA4B66" w:rsidRDefault="00A60025" w:rsidP="00E96E82">
      <w:pPr>
        <w:spacing w:after="0" w:line="240" w:lineRule="auto"/>
        <w:jc w:val="both"/>
        <w:rPr>
          <w:b/>
          <w:color w:val="000000" w:themeColor="text1"/>
          <w:sz w:val="24"/>
          <w:szCs w:val="24"/>
          <w:lang w:val="en-US"/>
        </w:rPr>
      </w:pPr>
      <w:r w:rsidRPr="00EA4B66">
        <w:rPr>
          <w:b/>
          <w:color w:val="000000" w:themeColor="text1"/>
          <w:sz w:val="24"/>
          <w:szCs w:val="24"/>
          <w:lang w:val="en-US"/>
        </w:rPr>
        <w:t>4. Research m</w:t>
      </w:r>
      <w:r w:rsidR="00CE6577" w:rsidRPr="00EA4B66">
        <w:rPr>
          <w:b/>
          <w:color w:val="000000" w:themeColor="text1"/>
          <w:sz w:val="24"/>
          <w:szCs w:val="24"/>
          <w:lang w:val="en-US"/>
        </w:rPr>
        <w:t>ethodology and sample selection</w:t>
      </w:r>
    </w:p>
    <w:p w14:paraId="6F74879E" w14:textId="0D8265A9" w:rsidR="00A60025" w:rsidRPr="00EA4B66" w:rsidRDefault="00916393" w:rsidP="00E96E82">
      <w:pPr>
        <w:spacing w:after="0" w:line="240" w:lineRule="auto"/>
        <w:jc w:val="both"/>
        <w:rPr>
          <w:color w:val="000000" w:themeColor="text1"/>
          <w:sz w:val="24"/>
          <w:lang w:val="en-US"/>
        </w:rPr>
      </w:pPr>
      <w:r w:rsidRPr="00EA4B66">
        <w:rPr>
          <w:color w:val="000000" w:themeColor="text1"/>
          <w:sz w:val="24"/>
          <w:lang w:val="en-US"/>
        </w:rPr>
        <w:t xml:space="preserve">The </w:t>
      </w:r>
      <w:r w:rsidR="00A60025" w:rsidRPr="00EA4B66">
        <w:rPr>
          <w:color w:val="000000" w:themeColor="text1"/>
          <w:sz w:val="24"/>
          <w:lang w:val="en-US"/>
        </w:rPr>
        <w:t xml:space="preserve">study sample includes all Italian companies listed on the Electronic Market of the Milan Stock Exchange. Our study period commences in 2009 in order to avoid the </w:t>
      </w:r>
      <w:r w:rsidR="00A34F58" w:rsidRPr="00EA4B66">
        <w:rPr>
          <w:color w:val="000000" w:themeColor="text1"/>
          <w:sz w:val="24"/>
          <w:lang w:val="en-US"/>
        </w:rPr>
        <w:t xml:space="preserve">direct </w:t>
      </w:r>
      <w:r w:rsidR="00A60025" w:rsidRPr="00EA4B66">
        <w:rPr>
          <w:color w:val="000000" w:themeColor="text1"/>
          <w:sz w:val="24"/>
          <w:lang w:val="en-US"/>
        </w:rPr>
        <w:t xml:space="preserve">effect of </w:t>
      </w:r>
      <w:r w:rsidR="00A34F58" w:rsidRPr="00EA4B66">
        <w:rPr>
          <w:color w:val="000000" w:themeColor="text1"/>
          <w:sz w:val="24"/>
          <w:lang w:val="en-US"/>
        </w:rPr>
        <w:t xml:space="preserve">the global </w:t>
      </w:r>
      <w:r w:rsidR="00A60025" w:rsidRPr="00EA4B66">
        <w:rPr>
          <w:color w:val="000000" w:themeColor="text1"/>
          <w:sz w:val="24"/>
          <w:lang w:val="en-US"/>
        </w:rPr>
        <w:t xml:space="preserve">financial crisis on firm market </w:t>
      </w:r>
      <w:r w:rsidR="00A001E9" w:rsidRPr="00EA4B66">
        <w:rPr>
          <w:color w:val="000000" w:themeColor="text1"/>
          <w:sz w:val="24"/>
          <w:lang w:val="en-US"/>
        </w:rPr>
        <w:t>values</w:t>
      </w:r>
      <w:r w:rsidR="00A60025" w:rsidRPr="00EA4B66">
        <w:rPr>
          <w:color w:val="000000" w:themeColor="text1"/>
          <w:sz w:val="24"/>
          <w:lang w:val="en-US"/>
        </w:rPr>
        <w:t>, and extends to the year 2013. Accounting, financial market and corporate governance data are collected from the AIDA and O</w:t>
      </w:r>
      <w:r w:rsidR="00A34F58" w:rsidRPr="00EA4B66">
        <w:rPr>
          <w:color w:val="000000" w:themeColor="text1"/>
          <w:sz w:val="24"/>
          <w:lang w:val="en-US"/>
        </w:rPr>
        <w:t>RCID</w:t>
      </w:r>
      <w:r w:rsidR="00A60025" w:rsidRPr="00EA4B66">
        <w:rPr>
          <w:color w:val="000000" w:themeColor="text1"/>
          <w:sz w:val="24"/>
          <w:lang w:val="en-US"/>
        </w:rPr>
        <w:t xml:space="preserve"> Database</w:t>
      </w:r>
      <w:r w:rsidR="00A34F58" w:rsidRPr="00EA4B66">
        <w:rPr>
          <w:color w:val="000000" w:themeColor="text1"/>
          <w:sz w:val="24"/>
          <w:lang w:val="en-US"/>
        </w:rPr>
        <w:t>s</w:t>
      </w:r>
      <w:r w:rsidR="00A60025" w:rsidRPr="00EA4B66">
        <w:rPr>
          <w:color w:val="000000" w:themeColor="text1"/>
          <w:sz w:val="24"/>
          <w:lang w:val="en-US"/>
        </w:rPr>
        <w:t xml:space="preserve">. </w:t>
      </w:r>
      <w:r w:rsidR="0020600E" w:rsidRPr="00EA4B66">
        <w:rPr>
          <w:color w:val="000000" w:themeColor="text1"/>
          <w:sz w:val="24"/>
          <w:lang w:val="en-US"/>
        </w:rPr>
        <w:t>The</w:t>
      </w:r>
      <w:r w:rsidR="00A34F58" w:rsidRPr="00EA4B66">
        <w:rPr>
          <w:color w:val="000000" w:themeColor="text1"/>
          <w:sz w:val="24"/>
          <w:lang w:val="en-US"/>
        </w:rPr>
        <w:t xml:space="preserve"> </w:t>
      </w:r>
      <w:r w:rsidR="0020600E" w:rsidRPr="00EA4B66">
        <w:rPr>
          <w:color w:val="000000" w:themeColor="text1"/>
          <w:sz w:val="24"/>
          <w:lang w:val="en-US"/>
        </w:rPr>
        <w:t xml:space="preserve">sample </w:t>
      </w:r>
      <w:r w:rsidR="00641058" w:rsidRPr="00EA4B66">
        <w:rPr>
          <w:color w:val="000000" w:themeColor="text1"/>
          <w:sz w:val="24"/>
          <w:lang w:val="en-US"/>
        </w:rPr>
        <w:t xml:space="preserve">of </w:t>
      </w:r>
      <w:r w:rsidR="0020600E" w:rsidRPr="00EA4B66">
        <w:rPr>
          <w:color w:val="000000" w:themeColor="text1"/>
          <w:sz w:val="24"/>
          <w:lang w:val="en-US"/>
        </w:rPr>
        <w:t xml:space="preserve">firms initially included </w:t>
      </w:r>
      <w:r w:rsidR="00A60025" w:rsidRPr="00EA4B66">
        <w:rPr>
          <w:color w:val="000000" w:themeColor="text1"/>
          <w:sz w:val="24"/>
          <w:lang w:val="en-US"/>
        </w:rPr>
        <w:t xml:space="preserve">232 companies, representing all </w:t>
      </w:r>
      <w:r w:rsidR="00A34F58" w:rsidRPr="00EA4B66">
        <w:rPr>
          <w:color w:val="000000" w:themeColor="text1"/>
          <w:sz w:val="24"/>
          <w:lang w:val="en-US"/>
        </w:rPr>
        <w:t xml:space="preserve">those </w:t>
      </w:r>
      <w:r w:rsidR="00A60025" w:rsidRPr="00EA4B66">
        <w:rPr>
          <w:color w:val="000000" w:themeColor="text1"/>
          <w:sz w:val="24"/>
          <w:lang w:val="en-US"/>
        </w:rPr>
        <w:t xml:space="preserve">Italian </w:t>
      </w:r>
      <w:r w:rsidR="000944A9" w:rsidRPr="00EA4B66">
        <w:rPr>
          <w:color w:val="000000" w:themeColor="text1"/>
          <w:sz w:val="24"/>
          <w:lang w:val="en-US"/>
        </w:rPr>
        <w:t xml:space="preserve">firms </w:t>
      </w:r>
      <w:r w:rsidR="00A60025" w:rsidRPr="00EA4B66">
        <w:rPr>
          <w:color w:val="000000" w:themeColor="text1"/>
          <w:sz w:val="24"/>
          <w:lang w:val="en-US"/>
        </w:rPr>
        <w:t xml:space="preserve">listed </w:t>
      </w:r>
      <w:r w:rsidR="00A34F58" w:rsidRPr="00EA4B66">
        <w:rPr>
          <w:color w:val="000000" w:themeColor="text1"/>
          <w:sz w:val="24"/>
          <w:lang w:val="en-US"/>
        </w:rPr>
        <w:t>in</w:t>
      </w:r>
      <w:r w:rsidR="00A60025" w:rsidRPr="00EA4B66">
        <w:rPr>
          <w:color w:val="000000" w:themeColor="text1"/>
          <w:sz w:val="24"/>
          <w:lang w:val="en-US"/>
        </w:rPr>
        <w:t xml:space="preserve"> 2009. From </w:t>
      </w:r>
      <w:r w:rsidR="00A34F58" w:rsidRPr="00EA4B66">
        <w:rPr>
          <w:color w:val="000000" w:themeColor="text1"/>
          <w:sz w:val="24"/>
          <w:lang w:val="en-US"/>
        </w:rPr>
        <w:t>this</w:t>
      </w:r>
      <w:r w:rsidR="00A60025" w:rsidRPr="00EA4B66">
        <w:rPr>
          <w:color w:val="000000" w:themeColor="text1"/>
          <w:sz w:val="24"/>
          <w:lang w:val="en-US"/>
        </w:rPr>
        <w:t xml:space="preserve"> sample, firms that were delisted due to mergers, acquisitions, or bankruptcy, and firms with missing data</w:t>
      </w:r>
      <w:r w:rsidR="00641058" w:rsidRPr="00EA4B66">
        <w:rPr>
          <w:color w:val="000000" w:themeColor="text1"/>
          <w:sz w:val="24"/>
          <w:lang w:val="en-US"/>
        </w:rPr>
        <w:t xml:space="preserve"> were removed</w:t>
      </w:r>
      <w:r w:rsidR="00A34F58" w:rsidRPr="00EA4B66">
        <w:rPr>
          <w:color w:val="000000" w:themeColor="text1"/>
          <w:sz w:val="24"/>
          <w:lang w:val="en-US"/>
        </w:rPr>
        <w:t>,</w:t>
      </w:r>
      <w:r w:rsidR="00A60025" w:rsidRPr="00EA4B66">
        <w:rPr>
          <w:color w:val="000000" w:themeColor="text1"/>
          <w:sz w:val="24"/>
          <w:lang w:val="en-US"/>
        </w:rPr>
        <w:t xml:space="preserve"> arriv</w:t>
      </w:r>
      <w:r w:rsidR="00A34F58" w:rsidRPr="00EA4B66">
        <w:rPr>
          <w:color w:val="000000" w:themeColor="text1"/>
          <w:sz w:val="24"/>
          <w:lang w:val="en-US"/>
        </w:rPr>
        <w:t>ing</w:t>
      </w:r>
      <w:r w:rsidR="00A60025" w:rsidRPr="00EA4B66">
        <w:rPr>
          <w:color w:val="000000" w:themeColor="text1"/>
          <w:sz w:val="24"/>
          <w:lang w:val="en-US"/>
        </w:rPr>
        <w:t xml:space="preserve"> at a final balanced panel of 140 Italian listed firms, giving a total of 700 firm-year observations, as shown in Table </w:t>
      </w:r>
      <w:r w:rsidR="007E47B7">
        <w:rPr>
          <w:color w:val="000000" w:themeColor="text1"/>
          <w:sz w:val="24"/>
          <w:lang w:val="en-US"/>
        </w:rPr>
        <w:t>I</w:t>
      </w:r>
      <w:r w:rsidR="00A60025" w:rsidRPr="00EA4B66">
        <w:rPr>
          <w:color w:val="000000" w:themeColor="text1"/>
          <w:sz w:val="24"/>
          <w:lang w:val="en-US"/>
        </w:rPr>
        <w:t xml:space="preserve">. </w:t>
      </w:r>
    </w:p>
    <w:p w14:paraId="6483BE12" w14:textId="77777777" w:rsidR="00A34F58" w:rsidRPr="00EA4B66" w:rsidRDefault="00A34F58" w:rsidP="000944A9">
      <w:pPr>
        <w:spacing w:after="0" w:line="240" w:lineRule="auto"/>
        <w:jc w:val="both"/>
        <w:rPr>
          <w:b/>
          <w:color w:val="000000" w:themeColor="text1"/>
          <w:sz w:val="24"/>
          <w:szCs w:val="24"/>
          <w:lang w:val="en-US"/>
        </w:rPr>
      </w:pPr>
    </w:p>
    <w:p w14:paraId="2D1F942E" w14:textId="70760EAC" w:rsidR="00A60025" w:rsidRPr="00EA4B66" w:rsidRDefault="00A60025" w:rsidP="000944A9">
      <w:pPr>
        <w:spacing w:after="0" w:line="240" w:lineRule="auto"/>
        <w:jc w:val="center"/>
        <w:rPr>
          <w:b/>
          <w:color w:val="000000" w:themeColor="text1"/>
          <w:sz w:val="24"/>
          <w:szCs w:val="24"/>
          <w:lang w:val="en-US"/>
        </w:rPr>
      </w:pPr>
      <w:r w:rsidRPr="00EA4B66">
        <w:rPr>
          <w:b/>
          <w:color w:val="000000" w:themeColor="text1"/>
          <w:sz w:val="24"/>
          <w:szCs w:val="24"/>
          <w:lang w:val="en-US"/>
        </w:rPr>
        <w:t xml:space="preserve">[Insert Table </w:t>
      </w:r>
      <w:r w:rsidR="007E47B7">
        <w:rPr>
          <w:b/>
          <w:color w:val="000000" w:themeColor="text1"/>
          <w:sz w:val="24"/>
          <w:szCs w:val="24"/>
          <w:lang w:val="en-US"/>
        </w:rPr>
        <w:t>I</w:t>
      </w:r>
      <w:r w:rsidRPr="00EA4B66">
        <w:rPr>
          <w:b/>
          <w:color w:val="000000" w:themeColor="text1"/>
          <w:sz w:val="24"/>
          <w:szCs w:val="24"/>
          <w:lang w:val="en-US"/>
        </w:rPr>
        <w:t xml:space="preserve"> here]</w:t>
      </w:r>
    </w:p>
    <w:p w14:paraId="2F8461CF" w14:textId="77777777" w:rsidR="00A60025" w:rsidRPr="00EA4B66" w:rsidRDefault="00A60025" w:rsidP="000976E6">
      <w:pPr>
        <w:spacing w:after="0" w:line="240" w:lineRule="auto"/>
        <w:ind w:firstLine="284"/>
        <w:jc w:val="both"/>
        <w:rPr>
          <w:color w:val="000000" w:themeColor="text1"/>
          <w:sz w:val="24"/>
          <w:szCs w:val="24"/>
          <w:lang w:val="en-US"/>
        </w:rPr>
      </w:pPr>
    </w:p>
    <w:p w14:paraId="3EF69EBB" w14:textId="63AC0E4F" w:rsidR="006E1692" w:rsidRPr="00EA4B66" w:rsidRDefault="00903C4B" w:rsidP="00903C4B">
      <w:pPr>
        <w:spacing w:after="0" w:line="240" w:lineRule="auto"/>
        <w:jc w:val="both"/>
        <w:rPr>
          <w:color w:val="000000" w:themeColor="text1"/>
          <w:sz w:val="24"/>
          <w:lang w:val="en-US"/>
        </w:rPr>
      </w:pPr>
      <w:r w:rsidRPr="00EA4B66">
        <w:rPr>
          <w:color w:val="000000" w:themeColor="text1"/>
          <w:sz w:val="24"/>
          <w:lang w:val="en-US"/>
        </w:rPr>
        <w:t xml:space="preserve">   </w:t>
      </w:r>
      <w:r w:rsidR="00880BB5" w:rsidRPr="00EA4B66">
        <w:rPr>
          <w:color w:val="000000" w:themeColor="text1"/>
          <w:sz w:val="24"/>
          <w:lang w:val="en-US"/>
        </w:rPr>
        <w:t xml:space="preserve">To assign the dummy value to the variable </w:t>
      </w:r>
      <w:r w:rsidR="00880BB5" w:rsidRPr="00EA4B66">
        <w:rPr>
          <w:i/>
          <w:color w:val="000000" w:themeColor="text1"/>
          <w:sz w:val="24"/>
          <w:lang w:val="en-US"/>
        </w:rPr>
        <w:t>IND</w:t>
      </w:r>
      <w:r w:rsidR="00880BB5" w:rsidRPr="00EA4B66">
        <w:rPr>
          <w:color w:val="000000" w:themeColor="text1"/>
          <w:sz w:val="24"/>
          <w:lang w:val="en-US"/>
        </w:rPr>
        <w:t xml:space="preserve">, </w:t>
      </w:r>
      <w:r w:rsidR="00BA620E" w:rsidRPr="00EA4B66">
        <w:rPr>
          <w:color w:val="000000" w:themeColor="text1"/>
          <w:sz w:val="24"/>
          <w:lang w:val="en-US"/>
        </w:rPr>
        <w:t xml:space="preserve">the sample firms </w:t>
      </w:r>
      <w:r w:rsidR="00641058" w:rsidRPr="00EA4B66">
        <w:rPr>
          <w:color w:val="000000" w:themeColor="text1"/>
          <w:sz w:val="24"/>
          <w:lang w:val="en-US"/>
        </w:rPr>
        <w:t xml:space="preserve">are categorized </w:t>
      </w:r>
      <w:r w:rsidR="001D7B98" w:rsidRPr="00EA4B66">
        <w:rPr>
          <w:color w:val="000000" w:themeColor="text1"/>
          <w:sz w:val="24"/>
          <w:lang w:val="en-US"/>
        </w:rPr>
        <w:t>according to the</w:t>
      </w:r>
      <w:r w:rsidR="00641058" w:rsidRPr="00EA4B66">
        <w:rPr>
          <w:color w:val="000000" w:themeColor="text1"/>
          <w:sz w:val="24"/>
          <w:lang w:val="en-US"/>
        </w:rPr>
        <w:t>ir respective</w:t>
      </w:r>
      <w:r w:rsidR="001D7B98" w:rsidRPr="00EA4B66">
        <w:rPr>
          <w:color w:val="000000" w:themeColor="text1"/>
          <w:sz w:val="24"/>
          <w:lang w:val="en-US"/>
        </w:rPr>
        <w:t xml:space="preserve"> NACE industry code</w:t>
      </w:r>
      <w:r w:rsidR="00641058" w:rsidRPr="00EA4B66">
        <w:rPr>
          <w:color w:val="000000" w:themeColor="text1"/>
          <w:sz w:val="24"/>
          <w:lang w:val="en-US"/>
        </w:rPr>
        <w:t>s</w:t>
      </w:r>
      <w:r w:rsidRPr="00EA4B66">
        <w:rPr>
          <w:color w:val="000000" w:themeColor="text1"/>
          <w:sz w:val="24"/>
          <w:lang w:val="en-US"/>
        </w:rPr>
        <w:t>, as show</w:t>
      </w:r>
      <w:r w:rsidR="008F623C">
        <w:rPr>
          <w:color w:val="000000" w:themeColor="text1"/>
          <w:sz w:val="24"/>
          <w:lang w:val="en-US"/>
        </w:rPr>
        <w:t>n</w:t>
      </w:r>
      <w:r w:rsidRPr="00EA4B66">
        <w:rPr>
          <w:color w:val="000000" w:themeColor="text1"/>
          <w:sz w:val="24"/>
          <w:lang w:val="en-US"/>
        </w:rPr>
        <w:t xml:space="preserve"> in Table </w:t>
      </w:r>
      <w:r w:rsidR="00CA0E3B">
        <w:rPr>
          <w:color w:val="000000" w:themeColor="text1"/>
          <w:sz w:val="24"/>
          <w:lang w:val="en-US"/>
        </w:rPr>
        <w:t>II</w:t>
      </w:r>
      <w:r w:rsidR="001D7B98" w:rsidRPr="00EA4B66">
        <w:rPr>
          <w:color w:val="000000" w:themeColor="text1"/>
          <w:sz w:val="24"/>
          <w:lang w:val="en-US"/>
        </w:rPr>
        <w:t>.</w:t>
      </w:r>
    </w:p>
    <w:p w14:paraId="6E31D0ED" w14:textId="77777777" w:rsidR="006E1692" w:rsidRPr="00EA4B66" w:rsidRDefault="006E1692" w:rsidP="00641058">
      <w:pPr>
        <w:spacing w:after="0" w:line="240" w:lineRule="auto"/>
        <w:ind w:firstLine="284"/>
        <w:jc w:val="both"/>
        <w:rPr>
          <w:color w:val="000000" w:themeColor="text1"/>
          <w:sz w:val="24"/>
          <w:lang w:val="en-US"/>
        </w:rPr>
      </w:pPr>
    </w:p>
    <w:p w14:paraId="58A7AAE2" w14:textId="1F776B65" w:rsidR="006E1692" w:rsidRPr="00EA4B66" w:rsidRDefault="006E1692" w:rsidP="006E1692">
      <w:pPr>
        <w:spacing w:after="0" w:line="240" w:lineRule="auto"/>
        <w:jc w:val="center"/>
        <w:rPr>
          <w:b/>
          <w:color w:val="000000" w:themeColor="text1"/>
          <w:sz w:val="24"/>
          <w:szCs w:val="24"/>
          <w:lang w:val="en-US"/>
        </w:rPr>
      </w:pPr>
      <w:r w:rsidRPr="00EA4B66">
        <w:rPr>
          <w:b/>
          <w:color w:val="000000" w:themeColor="text1"/>
          <w:sz w:val="24"/>
          <w:szCs w:val="24"/>
          <w:lang w:val="en-US"/>
        </w:rPr>
        <w:t xml:space="preserve">[Insert Table </w:t>
      </w:r>
      <w:r w:rsidR="00CA0E3B">
        <w:rPr>
          <w:b/>
          <w:color w:val="000000" w:themeColor="text1"/>
          <w:sz w:val="24"/>
          <w:szCs w:val="24"/>
          <w:lang w:val="en-US"/>
        </w:rPr>
        <w:t>II</w:t>
      </w:r>
      <w:r w:rsidRPr="00EA4B66">
        <w:rPr>
          <w:b/>
          <w:color w:val="000000" w:themeColor="text1"/>
          <w:sz w:val="24"/>
          <w:szCs w:val="24"/>
          <w:lang w:val="en-US"/>
        </w:rPr>
        <w:t xml:space="preserve"> here]</w:t>
      </w:r>
    </w:p>
    <w:p w14:paraId="7D87AA92" w14:textId="77777777" w:rsidR="006E1692" w:rsidRPr="00EA4B66" w:rsidRDefault="006E1692" w:rsidP="00641058">
      <w:pPr>
        <w:spacing w:after="0" w:line="240" w:lineRule="auto"/>
        <w:ind w:firstLine="284"/>
        <w:jc w:val="both"/>
        <w:rPr>
          <w:color w:val="000000" w:themeColor="text1"/>
          <w:sz w:val="24"/>
          <w:lang w:val="en-US"/>
        </w:rPr>
      </w:pPr>
    </w:p>
    <w:p w14:paraId="04A9056A" w14:textId="12DC96A5" w:rsidR="00A60025" w:rsidRPr="00EA4B66" w:rsidRDefault="00903C4B" w:rsidP="00903C4B">
      <w:pPr>
        <w:spacing w:after="0" w:line="240" w:lineRule="auto"/>
        <w:jc w:val="both"/>
        <w:rPr>
          <w:color w:val="000000" w:themeColor="text1"/>
          <w:sz w:val="24"/>
          <w:lang w:val="en-US"/>
        </w:rPr>
      </w:pPr>
      <w:r w:rsidRPr="00EA4B66">
        <w:rPr>
          <w:color w:val="000000" w:themeColor="text1"/>
          <w:sz w:val="24"/>
          <w:lang w:val="en-US"/>
        </w:rPr>
        <w:t xml:space="preserve">   </w:t>
      </w:r>
      <w:r w:rsidR="009B15DA" w:rsidRPr="00EA4B66">
        <w:rPr>
          <w:color w:val="000000" w:themeColor="text1"/>
          <w:sz w:val="24"/>
          <w:lang w:val="en-US"/>
        </w:rPr>
        <w:t xml:space="preserve">Following </w:t>
      </w:r>
      <w:r w:rsidR="00501226" w:rsidRPr="00EA4B66">
        <w:rPr>
          <w:color w:val="000000" w:themeColor="text1"/>
          <w:sz w:val="24"/>
          <w:lang w:val="en-US"/>
        </w:rPr>
        <w:t>Schnabl and Zenker</w:t>
      </w:r>
      <w:r w:rsidR="009B15DA" w:rsidRPr="00EA4B66">
        <w:rPr>
          <w:color w:val="000000" w:themeColor="text1"/>
          <w:sz w:val="24"/>
          <w:lang w:val="en-US"/>
        </w:rPr>
        <w:t xml:space="preserve"> (2013)</w:t>
      </w:r>
      <w:r w:rsidR="00D710E0" w:rsidRPr="00EA4B66">
        <w:rPr>
          <w:color w:val="000000" w:themeColor="text1"/>
          <w:sz w:val="24"/>
          <w:lang w:val="en-US"/>
        </w:rPr>
        <w:t xml:space="preserve">, sample firms </w:t>
      </w:r>
      <w:r w:rsidR="00641058" w:rsidRPr="00EA4B66">
        <w:rPr>
          <w:color w:val="000000" w:themeColor="text1"/>
          <w:sz w:val="24"/>
          <w:lang w:val="en-US"/>
        </w:rPr>
        <w:t>are</w:t>
      </w:r>
      <w:r w:rsidR="00D710E0" w:rsidRPr="00EA4B66">
        <w:rPr>
          <w:color w:val="000000" w:themeColor="text1"/>
          <w:sz w:val="24"/>
          <w:lang w:val="en-US"/>
        </w:rPr>
        <w:t xml:space="preserve"> categorized into KIBS </w:t>
      </w:r>
      <w:r w:rsidR="00641058" w:rsidRPr="00EA4B66">
        <w:rPr>
          <w:color w:val="000000" w:themeColor="text1"/>
          <w:sz w:val="24"/>
          <w:lang w:val="en-US"/>
        </w:rPr>
        <w:t xml:space="preserve">industry </w:t>
      </w:r>
      <w:r w:rsidR="00D710E0" w:rsidRPr="00EA4B66">
        <w:rPr>
          <w:color w:val="000000" w:themeColor="text1"/>
          <w:sz w:val="24"/>
          <w:lang w:val="en-US"/>
        </w:rPr>
        <w:t xml:space="preserve">firms </w:t>
      </w:r>
      <w:r w:rsidR="00D2757C" w:rsidRPr="00EA4B66">
        <w:rPr>
          <w:color w:val="000000" w:themeColor="text1"/>
          <w:sz w:val="24"/>
          <w:lang w:val="en-US"/>
        </w:rPr>
        <w:t xml:space="preserve">starting from their NACE code, </w:t>
      </w:r>
      <w:r w:rsidR="00D710E0" w:rsidRPr="00EA4B66">
        <w:rPr>
          <w:color w:val="000000" w:themeColor="text1"/>
          <w:sz w:val="24"/>
          <w:lang w:val="en-US"/>
        </w:rPr>
        <w:t xml:space="preserve">as shown in </w:t>
      </w:r>
      <w:r w:rsidR="00641058" w:rsidRPr="00EA4B66">
        <w:rPr>
          <w:color w:val="000000" w:themeColor="text1"/>
          <w:sz w:val="24"/>
          <w:lang w:val="en-US"/>
        </w:rPr>
        <w:t>T</w:t>
      </w:r>
      <w:r w:rsidR="00D710E0" w:rsidRPr="00EA4B66">
        <w:rPr>
          <w:color w:val="000000" w:themeColor="text1"/>
          <w:sz w:val="24"/>
          <w:lang w:val="en-US"/>
        </w:rPr>
        <w:t xml:space="preserve">able </w:t>
      </w:r>
      <w:r w:rsidR="00CA0E3B">
        <w:rPr>
          <w:color w:val="000000" w:themeColor="text1"/>
          <w:sz w:val="24"/>
          <w:lang w:val="en-US"/>
        </w:rPr>
        <w:t>III</w:t>
      </w:r>
      <w:r w:rsidR="00D710E0" w:rsidRPr="00EA4B66">
        <w:rPr>
          <w:color w:val="000000" w:themeColor="text1"/>
          <w:sz w:val="24"/>
          <w:lang w:val="en-US"/>
        </w:rPr>
        <w:t xml:space="preserve">. </w:t>
      </w:r>
      <w:r w:rsidR="00257EF5" w:rsidRPr="00EA4B66">
        <w:rPr>
          <w:color w:val="000000" w:themeColor="text1"/>
          <w:sz w:val="24"/>
          <w:lang w:val="en-US"/>
        </w:rPr>
        <w:t>According to this categorization criteria</w:t>
      </w:r>
      <w:r w:rsidR="000715B6" w:rsidRPr="00EA4B66">
        <w:rPr>
          <w:color w:val="000000" w:themeColor="text1"/>
          <w:sz w:val="24"/>
          <w:lang w:val="en-US"/>
        </w:rPr>
        <w:t xml:space="preserve">, </w:t>
      </w:r>
      <w:r w:rsidR="009E7671" w:rsidRPr="00EA4B66">
        <w:rPr>
          <w:color w:val="000000" w:themeColor="text1"/>
          <w:sz w:val="24"/>
          <w:lang w:val="en-US"/>
        </w:rPr>
        <w:t>T</w:t>
      </w:r>
      <w:r w:rsidR="000715B6" w:rsidRPr="00EA4B66">
        <w:rPr>
          <w:color w:val="000000" w:themeColor="text1"/>
          <w:sz w:val="24"/>
          <w:lang w:val="en-US"/>
        </w:rPr>
        <w:t xml:space="preserve">able </w:t>
      </w:r>
      <w:r w:rsidR="00855423">
        <w:rPr>
          <w:color w:val="000000" w:themeColor="text1"/>
          <w:sz w:val="24"/>
          <w:lang w:val="en-US"/>
        </w:rPr>
        <w:t>III</w:t>
      </w:r>
      <w:r w:rsidR="00855423" w:rsidRPr="00EA4B66">
        <w:rPr>
          <w:color w:val="000000" w:themeColor="text1"/>
          <w:sz w:val="24"/>
          <w:lang w:val="en-US"/>
        </w:rPr>
        <w:t xml:space="preserve"> </w:t>
      </w:r>
      <w:r w:rsidR="000715B6" w:rsidRPr="00EA4B66">
        <w:rPr>
          <w:color w:val="000000" w:themeColor="text1"/>
          <w:sz w:val="24"/>
          <w:lang w:val="en-US"/>
        </w:rPr>
        <w:t>also shows that</w:t>
      </w:r>
      <w:r w:rsidR="00257EF5" w:rsidRPr="00EA4B66">
        <w:rPr>
          <w:color w:val="000000" w:themeColor="text1"/>
          <w:sz w:val="24"/>
          <w:lang w:val="en-US"/>
        </w:rPr>
        <w:t xml:space="preserve"> 25 companies </w:t>
      </w:r>
      <w:r w:rsidR="00D710E0" w:rsidRPr="00EA4B66">
        <w:rPr>
          <w:color w:val="000000" w:themeColor="text1"/>
          <w:sz w:val="24"/>
          <w:lang w:val="en-US"/>
        </w:rPr>
        <w:t>are categorized as KIBS</w:t>
      </w:r>
      <w:r w:rsidR="00887900" w:rsidRPr="00EA4B66">
        <w:rPr>
          <w:color w:val="000000" w:themeColor="text1"/>
          <w:sz w:val="24"/>
          <w:lang w:val="en-US"/>
        </w:rPr>
        <w:t xml:space="preserve"> (17.86%)</w:t>
      </w:r>
      <w:r w:rsidR="00D710E0" w:rsidRPr="00EA4B66">
        <w:rPr>
          <w:color w:val="000000" w:themeColor="text1"/>
          <w:sz w:val="24"/>
          <w:lang w:val="en-US"/>
        </w:rPr>
        <w:t xml:space="preserve"> and 115 </w:t>
      </w:r>
      <w:r w:rsidR="00887900" w:rsidRPr="00EA4B66">
        <w:rPr>
          <w:color w:val="000000" w:themeColor="text1"/>
          <w:sz w:val="24"/>
          <w:lang w:val="en-US"/>
        </w:rPr>
        <w:t xml:space="preserve">(82.14%) </w:t>
      </w:r>
      <w:r w:rsidR="00D710E0" w:rsidRPr="00EA4B66">
        <w:rPr>
          <w:color w:val="000000" w:themeColor="text1"/>
          <w:sz w:val="24"/>
          <w:lang w:val="en-US"/>
        </w:rPr>
        <w:t>as</w:t>
      </w:r>
      <w:r w:rsidR="00192D7B" w:rsidRPr="00EA4B66">
        <w:rPr>
          <w:color w:val="000000" w:themeColor="text1"/>
          <w:sz w:val="24"/>
          <w:lang w:val="en-US"/>
        </w:rPr>
        <w:t xml:space="preserve"> TI, </w:t>
      </w:r>
      <w:r w:rsidR="0014289D">
        <w:rPr>
          <w:color w:val="000000" w:themeColor="text1"/>
          <w:sz w:val="24"/>
          <w:lang w:val="en-US"/>
        </w:rPr>
        <w:t>from</w:t>
      </w:r>
      <w:r w:rsidR="00192D7B" w:rsidRPr="00EA4B66">
        <w:rPr>
          <w:color w:val="000000" w:themeColor="text1"/>
          <w:sz w:val="24"/>
          <w:lang w:val="en-US"/>
        </w:rPr>
        <w:t xml:space="preserve"> a total of 140 listed compan</w:t>
      </w:r>
      <w:r w:rsidR="00F62A82" w:rsidRPr="00EA4B66">
        <w:rPr>
          <w:color w:val="000000" w:themeColor="text1"/>
          <w:sz w:val="24"/>
          <w:lang w:val="en-US"/>
        </w:rPr>
        <w:t>ies.</w:t>
      </w:r>
      <w:r w:rsidR="006F433B" w:rsidRPr="00EA4B66">
        <w:rPr>
          <w:color w:val="000000" w:themeColor="text1"/>
          <w:sz w:val="24"/>
          <w:lang w:val="en-US"/>
        </w:rPr>
        <w:t xml:space="preserve"> Thus, the control variable IND takes the value 1 if the company is a KIBS, the value 0 otherwise.</w:t>
      </w:r>
    </w:p>
    <w:p w14:paraId="6341645C" w14:textId="77777777" w:rsidR="00A34F58" w:rsidRPr="00EA4B66" w:rsidRDefault="00A34F58" w:rsidP="000537EA">
      <w:pPr>
        <w:spacing w:after="0" w:line="240" w:lineRule="auto"/>
        <w:jc w:val="both"/>
        <w:rPr>
          <w:b/>
          <w:color w:val="000000" w:themeColor="text1"/>
          <w:sz w:val="24"/>
          <w:szCs w:val="24"/>
          <w:lang w:val="en-US"/>
        </w:rPr>
      </w:pPr>
    </w:p>
    <w:p w14:paraId="5EB407BE" w14:textId="77AF88F1" w:rsidR="00A60025" w:rsidRPr="00EA4B66" w:rsidRDefault="00A60025" w:rsidP="000537EA">
      <w:pPr>
        <w:spacing w:after="0" w:line="240" w:lineRule="auto"/>
        <w:jc w:val="center"/>
        <w:rPr>
          <w:b/>
          <w:color w:val="000000" w:themeColor="text1"/>
          <w:sz w:val="24"/>
          <w:szCs w:val="24"/>
          <w:lang w:val="en-US"/>
        </w:rPr>
      </w:pPr>
      <w:r w:rsidRPr="00EA4B66">
        <w:rPr>
          <w:b/>
          <w:color w:val="000000" w:themeColor="text1"/>
          <w:sz w:val="24"/>
          <w:szCs w:val="24"/>
          <w:lang w:val="en-US"/>
        </w:rPr>
        <w:t xml:space="preserve">[Insert Table </w:t>
      </w:r>
      <w:r w:rsidR="00CA0E3B">
        <w:rPr>
          <w:b/>
          <w:color w:val="000000" w:themeColor="text1"/>
          <w:sz w:val="24"/>
          <w:szCs w:val="24"/>
          <w:lang w:val="en-US"/>
        </w:rPr>
        <w:t>III</w:t>
      </w:r>
      <w:r w:rsidRPr="00EA4B66">
        <w:rPr>
          <w:b/>
          <w:color w:val="000000" w:themeColor="text1"/>
          <w:sz w:val="24"/>
          <w:szCs w:val="24"/>
          <w:lang w:val="en-US"/>
        </w:rPr>
        <w:t xml:space="preserve"> here]</w:t>
      </w:r>
    </w:p>
    <w:p w14:paraId="3B99FA90" w14:textId="77777777" w:rsidR="00A34F58" w:rsidRPr="00EA4B66" w:rsidRDefault="00A34F58" w:rsidP="000976E6">
      <w:pPr>
        <w:spacing w:after="0" w:line="240" w:lineRule="auto"/>
        <w:ind w:firstLine="284"/>
        <w:jc w:val="both"/>
        <w:rPr>
          <w:color w:val="000000" w:themeColor="text1"/>
          <w:sz w:val="24"/>
          <w:szCs w:val="24"/>
          <w:lang w:val="en-US"/>
        </w:rPr>
      </w:pPr>
    </w:p>
    <w:p w14:paraId="57008407" w14:textId="68C61F98" w:rsidR="00E1772D" w:rsidRPr="00EA4B66" w:rsidRDefault="00903C4B" w:rsidP="00903C4B">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7444B1" w:rsidRPr="00EA4B66">
        <w:rPr>
          <w:color w:val="000000" w:themeColor="text1"/>
          <w:sz w:val="24"/>
          <w:szCs w:val="24"/>
          <w:lang w:val="en-US"/>
        </w:rPr>
        <w:t xml:space="preserve">A </w:t>
      </w:r>
      <w:r w:rsidR="00AB7864" w:rsidRPr="00EA4B66">
        <w:rPr>
          <w:color w:val="000000" w:themeColor="text1"/>
          <w:sz w:val="24"/>
          <w:szCs w:val="24"/>
          <w:lang w:val="en-US"/>
        </w:rPr>
        <w:t>standard OLS</w:t>
      </w:r>
      <w:r w:rsidR="00A60025" w:rsidRPr="00EA4B66">
        <w:rPr>
          <w:color w:val="000000" w:themeColor="text1"/>
          <w:sz w:val="24"/>
          <w:szCs w:val="24"/>
          <w:lang w:val="en-US"/>
        </w:rPr>
        <w:t xml:space="preserve"> regression model</w:t>
      </w:r>
      <w:r w:rsidR="00BE6C61" w:rsidRPr="00EA4B66">
        <w:rPr>
          <w:color w:val="000000" w:themeColor="text1"/>
          <w:sz w:val="24"/>
          <w:szCs w:val="24"/>
          <w:lang w:val="en-US"/>
        </w:rPr>
        <w:t>,</w:t>
      </w:r>
      <w:r w:rsidR="00A60025" w:rsidRPr="00EA4B66">
        <w:rPr>
          <w:color w:val="000000" w:themeColor="text1"/>
          <w:sz w:val="24"/>
          <w:szCs w:val="24"/>
          <w:lang w:val="en-US"/>
        </w:rPr>
        <w:t xml:space="preserve"> </w:t>
      </w:r>
      <w:r w:rsidR="00AB7864" w:rsidRPr="00EA4B66">
        <w:rPr>
          <w:color w:val="000000" w:themeColor="text1"/>
          <w:sz w:val="24"/>
          <w:szCs w:val="24"/>
          <w:lang w:val="en-US"/>
        </w:rPr>
        <w:t xml:space="preserve">as </w:t>
      </w:r>
      <w:r w:rsidR="00A60025" w:rsidRPr="00EA4B66">
        <w:rPr>
          <w:color w:val="000000" w:themeColor="text1"/>
          <w:sz w:val="24"/>
          <w:szCs w:val="24"/>
          <w:lang w:val="en-US"/>
        </w:rPr>
        <w:t>given in Equation 1</w:t>
      </w:r>
      <w:r w:rsidR="00BE6C61" w:rsidRPr="00EA4B66">
        <w:rPr>
          <w:color w:val="000000" w:themeColor="text1"/>
          <w:sz w:val="24"/>
          <w:szCs w:val="24"/>
          <w:lang w:val="en-US"/>
        </w:rPr>
        <w:t>,</w:t>
      </w:r>
      <w:r w:rsidR="007444B1" w:rsidRPr="00EA4B66">
        <w:rPr>
          <w:color w:val="000000" w:themeColor="text1"/>
          <w:sz w:val="24"/>
          <w:szCs w:val="24"/>
          <w:lang w:val="en-US"/>
        </w:rPr>
        <w:t xml:space="preserve"> is employed</w:t>
      </w:r>
      <w:r w:rsidR="00A60025" w:rsidRPr="00EA4B66">
        <w:rPr>
          <w:color w:val="000000" w:themeColor="text1"/>
          <w:sz w:val="24"/>
          <w:szCs w:val="24"/>
          <w:lang w:val="en-US"/>
        </w:rPr>
        <w:t xml:space="preserve">, where the dependent variable </w:t>
      </w:r>
      <w:r w:rsidR="00AB7864" w:rsidRPr="00EA4B66">
        <w:rPr>
          <w:color w:val="000000" w:themeColor="text1"/>
          <w:sz w:val="24"/>
          <w:szCs w:val="24"/>
          <w:lang w:val="en-US"/>
        </w:rPr>
        <w:t>(</w:t>
      </w:r>
      <w:r w:rsidR="00A60025" w:rsidRPr="00EA4B66">
        <w:rPr>
          <w:i/>
          <w:color w:val="000000" w:themeColor="text1"/>
          <w:sz w:val="24"/>
          <w:szCs w:val="24"/>
          <w:lang w:val="en-US"/>
        </w:rPr>
        <w:t>MTB</w:t>
      </w:r>
      <w:r w:rsidR="00AB7864" w:rsidRPr="00EA4B66">
        <w:rPr>
          <w:color w:val="000000" w:themeColor="text1"/>
          <w:sz w:val="24"/>
          <w:szCs w:val="24"/>
          <w:lang w:val="en-US"/>
        </w:rPr>
        <w:t>)</w:t>
      </w:r>
      <w:r w:rsidR="00A60025" w:rsidRPr="00EA4B66">
        <w:rPr>
          <w:color w:val="000000" w:themeColor="text1"/>
          <w:sz w:val="24"/>
          <w:szCs w:val="24"/>
          <w:lang w:val="en-US"/>
        </w:rPr>
        <w:t xml:space="preserve"> is </w:t>
      </w:r>
      <w:r w:rsidR="009E7671" w:rsidRPr="00EA4B66">
        <w:rPr>
          <w:color w:val="000000" w:themeColor="text1"/>
          <w:sz w:val="24"/>
          <w:szCs w:val="24"/>
          <w:lang w:val="en-US"/>
        </w:rPr>
        <w:t xml:space="preserve">a </w:t>
      </w:r>
      <w:r w:rsidR="00A60025" w:rsidRPr="00EA4B66">
        <w:rPr>
          <w:color w:val="000000" w:themeColor="text1"/>
          <w:sz w:val="24"/>
          <w:szCs w:val="24"/>
          <w:lang w:val="en-US"/>
        </w:rPr>
        <w:t>continu</w:t>
      </w:r>
      <w:r w:rsidR="00AB7864" w:rsidRPr="00EA4B66">
        <w:rPr>
          <w:color w:val="000000" w:themeColor="text1"/>
          <w:sz w:val="24"/>
          <w:szCs w:val="24"/>
          <w:lang w:val="en-US"/>
        </w:rPr>
        <w:t>ous</w:t>
      </w:r>
      <w:r w:rsidR="00A60025" w:rsidRPr="00EA4B66">
        <w:rPr>
          <w:color w:val="000000" w:themeColor="text1"/>
          <w:sz w:val="24"/>
          <w:szCs w:val="24"/>
          <w:lang w:val="en-US"/>
        </w:rPr>
        <w:t xml:space="preserve"> variable </w:t>
      </w:r>
      <w:r w:rsidR="00AB7864" w:rsidRPr="00EA4B66">
        <w:rPr>
          <w:color w:val="000000" w:themeColor="text1"/>
          <w:sz w:val="24"/>
          <w:szCs w:val="24"/>
          <w:lang w:val="en-US"/>
        </w:rPr>
        <w:t xml:space="preserve">measured as </w:t>
      </w:r>
      <w:r w:rsidR="00A60025" w:rsidRPr="00EA4B66">
        <w:rPr>
          <w:color w:val="000000" w:themeColor="text1"/>
          <w:sz w:val="24"/>
          <w:szCs w:val="24"/>
          <w:lang w:val="en-US"/>
        </w:rPr>
        <w:t xml:space="preserve">the mean of the beginning and the end value of market to book ratio for each year in order to smooth </w:t>
      </w:r>
      <w:r w:rsidR="00AB7864" w:rsidRPr="00EA4B66">
        <w:rPr>
          <w:color w:val="000000" w:themeColor="text1"/>
          <w:sz w:val="24"/>
          <w:szCs w:val="24"/>
          <w:lang w:val="en-US"/>
        </w:rPr>
        <w:t xml:space="preserve">some of the </w:t>
      </w:r>
      <w:r w:rsidR="00A60025" w:rsidRPr="00EA4B66">
        <w:rPr>
          <w:color w:val="000000" w:themeColor="text1"/>
          <w:sz w:val="24"/>
          <w:szCs w:val="24"/>
          <w:lang w:val="en-US"/>
        </w:rPr>
        <w:t>volatility in market value</w:t>
      </w:r>
      <w:r w:rsidR="00AB7864" w:rsidRPr="00EA4B66">
        <w:rPr>
          <w:color w:val="000000" w:themeColor="text1"/>
          <w:sz w:val="24"/>
          <w:szCs w:val="24"/>
          <w:lang w:val="en-US"/>
        </w:rPr>
        <w:t xml:space="preserve"> over the post-crisis period</w:t>
      </w:r>
      <w:r w:rsidR="00A60025" w:rsidRPr="00EA4B66">
        <w:rPr>
          <w:color w:val="000000" w:themeColor="text1"/>
          <w:sz w:val="24"/>
          <w:szCs w:val="24"/>
          <w:lang w:val="en-US"/>
        </w:rPr>
        <w:t>.</w:t>
      </w:r>
    </w:p>
    <w:p w14:paraId="01167B9C" w14:textId="68C778C4" w:rsidR="00E1772D" w:rsidRPr="00EA4B66" w:rsidRDefault="00E1772D" w:rsidP="008A3286">
      <w:pPr>
        <w:spacing w:after="0" w:line="240" w:lineRule="auto"/>
        <w:ind w:firstLine="284"/>
        <w:jc w:val="both"/>
        <w:rPr>
          <w:color w:val="000000" w:themeColor="text1"/>
          <w:sz w:val="24"/>
          <w:szCs w:val="24"/>
          <w:lang w:val="en-US"/>
        </w:rPr>
      </w:pPr>
    </w:p>
    <w:p w14:paraId="38A22D5D" w14:textId="6BBF34F4" w:rsidR="00E1772D" w:rsidRPr="00EA4B66" w:rsidRDefault="00E1772D" w:rsidP="00903C4B">
      <w:pPr>
        <w:spacing w:after="0" w:line="240" w:lineRule="auto"/>
        <w:ind w:left="284" w:right="567"/>
        <w:jc w:val="both"/>
        <w:rPr>
          <w:color w:val="000000" w:themeColor="text1"/>
          <w:sz w:val="24"/>
          <w:lang w:val="en-US"/>
        </w:rPr>
      </w:pPr>
      <m:oMath>
        <m:r>
          <w:rPr>
            <w:rFonts w:ascii="Cambria Math" w:hAnsi="Cambria Math"/>
            <w:color w:val="000000" w:themeColor="text1"/>
            <w:sz w:val="24"/>
            <w:lang w:val="en-US"/>
          </w:rPr>
          <m:t>MTB=</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α</m:t>
            </m:r>
          </m:e>
          <m:sub>
            <m:r>
              <w:rPr>
                <w:rFonts w:ascii="Cambria Math" w:hAnsi="Cambria Math"/>
                <w:color w:val="000000" w:themeColor="text1"/>
                <w:sz w:val="24"/>
                <w:lang w:val="en-US"/>
              </w:rPr>
              <m:t>i,t</m:t>
            </m:r>
          </m:sub>
        </m:sSub>
        <m:r>
          <w:rPr>
            <w:rFonts w:ascii="Cambria Math" w:hAnsi="Cambria Math"/>
            <w:color w:val="000000" w:themeColor="text1"/>
            <w:sz w:val="24"/>
            <w:lang w:val="en-US"/>
          </w:rPr>
          <m:t>+</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β</m:t>
            </m:r>
          </m:e>
          <m:sub>
            <m:r>
              <w:rPr>
                <w:rFonts w:ascii="Cambria Math" w:hAnsi="Cambria Math"/>
                <w:color w:val="000000" w:themeColor="text1"/>
                <w:sz w:val="24"/>
                <w:lang w:val="en-US"/>
              </w:rPr>
              <m:t>1</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TINT</m:t>
            </m:r>
          </m:e>
          <m:sub>
            <m:r>
              <w:rPr>
                <w:rFonts w:ascii="Cambria Math" w:hAnsi="Cambria Math"/>
                <w:color w:val="000000" w:themeColor="text1"/>
                <w:sz w:val="24"/>
                <w:lang w:val="en-US"/>
              </w:rPr>
              <m:t>i,t</m:t>
            </m:r>
          </m:sub>
        </m:sSub>
        <m:r>
          <w:rPr>
            <w:rFonts w:ascii="Cambria Math" w:hAnsi="Cambria Math"/>
            <w:color w:val="000000" w:themeColor="text1"/>
            <w:sz w:val="24"/>
            <w:lang w:val="en-US"/>
          </w:rPr>
          <m:t>+</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β</m:t>
            </m:r>
          </m:e>
          <m:sub>
            <m:r>
              <w:rPr>
                <w:rFonts w:ascii="Cambria Math" w:hAnsi="Cambria Math"/>
                <w:color w:val="000000" w:themeColor="text1"/>
                <w:sz w:val="24"/>
                <w:lang w:val="en-US"/>
              </w:rPr>
              <m:t>2</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SIZE</m:t>
            </m:r>
          </m:e>
          <m:sub>
            <m:r>
              <w:rPr>
                <w:rFonts w:ascii="Cambria Math" w:hAnsi="Cambria Math"/>
                <w:color w:val="000000" w:themeColor="text1"/>
                <w:sz w:val="24"/>
                <w:lang w:val="en-US"/>
              </w:rPr>
              <m:t>i,t</m:t>
            </m:r>
          </m:sub>
        </m:sSub>
        <m:r>
          <w:rPr>
            <w:rFonts w:ascii="Cambria Math" w:hAnsi="Cambria Math"/>
            <w:color w:val="000000" w:themeColor="text1"/>
            <w:sz w:val="24"/>
            <w:lang w:val="en-US"/>
          </w:rPr>
          <m:t>+</m:t>
        </m:r>
        <m:sSub>
          <m:sSubPr>
            <m:ctrlPr>
              <w:rPr>
                <w:rFonts w:ascii="Cambria Math" w:hAnsi="Cambria Math"/>
                <w:i/>
                <w:color w:val="000000" w:themeColor="text1"/>
                <w:sz w:val="24"/>
                <w:lang w:val="en-US"/>
              </w:rPr>
            </m:ctrlPr>
          </m:sSubPr>
          <m:e>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β</m:t>
                </m:r>
              </m:e>
              <m:sub>
                <m:r>
                  <w:rPr>
                    <w:rFonts w:ascii="Cambria Math" w:hAnsi="Cambria Math"/>
                    <w:color w:val="000000" w:themeColor="text1"/>
                    <w:sz w:val="24"/>
                    <w:lang w:val="en-US"/>
                  </w:rPr>
                  <m:t>3</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AGE</m:t>
                </m:r>
              </m:e>
              <m:sub>
                <m:r>
                  <w:rPr>
                    <w:rFonts w:ascii="Cambria Math" w:hAnsi="Cambria Math"/>
                    <w:color w:val="000000" w:themeColor="text1"/>
                    <w:sz w:val="24"/>
                    <w:lang w:val="en-US"/>
                  </w:rPr>
                  <m:t>i,t</m:t>
                </m:r>
              </m:sub>
            </m:sSub>
            <m:r>
              <w:rPr>
                <w:rFonts w:ascii="Cambria Math" w:hAnsi="Cambria Math"/>
                <w:color w:val="000000" w:themeColor="text1"/>
                <w:sz w:val="24"/>
                <w:lang w:val="en-US"/>
              </w:rPr>
              <m:t xml:space="preserve"> </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 β</m:t>
                </m:r>
              </m:e>
              <m:sub>
                <m:r>
                  <w:rPr>
                    <w:rFonts w:ascii="Cambria Math" w:hAnsi="Cambria Math"/>
                    <w:color w:val="000000" w:themeColor="text1"/>
                    <w:sz w:val="24"/>
                    <w:lang w:val="en-US"/>
                  </w:rPr>
                  <m:t>4</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ROE</m:t>
                </m:r>
              </m:e>
              <m:sub>
                <m:r>
                  <w:rPr>
                    <w:rFonts w:ascii="Cambria Math" w:hAnsi="Cambria Math"/>
                    <w:color w:val="000000" w:themeColor="text1"/>
                    <w:sz w:val="24"/>
                    <w:lang w:val="en-US"/>
                  </w:rPr>
                  <m:t>i,t</m:t>
                </m:r>
              </m:sub>
            </m:sSub>
            <m:r>
              <w:rPr>
                <w:rFonts w:ascii="Cambria Math" w:hAnsi="Cambria Math"/>
                <w:color w:val="000000" w:themeColor="text1"/>
                <w:sz w:val="24"/>
                <w:lang w:val="en-US"/>
              </w:rPr>
              <m:t>+</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 xml:space="preserve"> β</m:t>
                </m:r>
              </m:e>
              <m:sub>
                <m:r>
                  <w:rPr>
                    <w:rFonts w:ascii="Cambria Math" w:hAnsi="Cambria Math"/>
                    <w:color w:val="000000" w:themeColor="text1"/>
                    <w:sz w:val="24"/>
                    <w:lang w:val="en-US"/>
                  </w:rPr>
                  <m:t>5</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DE</m:t>
                </m:r>
              </m:e>
              <m:sub>
                <m:r>
                  <w:rPr>
                    <w:rFonts w:ascii="Cambria Math" w:hAnsi="Cambria Math"/>
                    <w:color w:val="000000" w:themeColor="text1"/>
                    <w:sz w:val="24"/>
                    <w:lang w:val="en-US"/>
                  </w:rPr>
                  <m:t>i,t</m:t>
                </m:r>
              </m:sub>
            </m:sSub>
            <m:r>
              <w:rPr>
                <w:rFonts w:ascii="Cambria Math" w:hAnsi="Cambria Math"/>
                <w:color w:val="000000" w:themeColor="text1"/>
                <w:sz w:val="24"/>
                <w:lang w:val="en-US"/>
              </w:rPr>
              <m:t>+</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β</m:t>
                </m:r>
              </m:e>
              <m:sub>
                <m:r>
                  <w:rPr>
                    <w:rFonts w:ascii="Cambria Math" w:hAnsi="Cambria Math"/>
                    <w:color w:val="000000" w:themeColor="text1"/>
                    <w:sz w:val="24"/>
                    <w:lang w:val="en-US"/>
                  </w:rPr>
                  <m:t>6</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IND</m:t>
                </m:r>
              </m:e>
              <m:sub>
                <m:r>
                  <w:rPr>
                    <w:rFonts w:ascii="Cambria Math" w:hAnsi="Cambria Math"/>
                    <w:color w:val="000000" w:themeColor="text1"/>
                    <w:sz w:val="24"/>
                    <w:lang w:val="en-US"/>
                  </w:rPr>
                  <m:t>i,t</m:t>
                </m:r>
              </m:sub>
            </m:sSub>
            <m:r>
              <w:rPr>
                <w:rFonts w:ascii="Cambria Math" w:hAnsi="Cambria Math"/>
                <w:color w:val="000000" w:themeColor="text1"/>
                <w:sz w:val="24"/>
                <w:lang w:val="en-US"/>
              </w:rPr>
              <m:t>+ β</m:t>
            </m:r>
          </m:e>
          <m:sub>
            <m:r>
              <w:rPr>
                <w:rFonts w:ascii="Cambria Math" w:hAnsi="Cambria Math"/>
                <w:color w:val="000000" w:themeColor="text1"/>
                <w:sz w:val="24"/>
                <w:lang w:val="en-US"/>
              </w:rPr>
              <m:t>7</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AUDIT</m:t>
            </m:r>
          </m:e>
          <m:sub>
            <m:r>
              <w:rPr>
                <w:rFonts w:ascii="Cambria Math" w:hAnsi="Cambria Math"/>
                <w:color w:val="000000" w:themeColor="text1"/>
                <w:sz w:val="24"/>
                <w:lang w:val="en-US"/>
              </w:rPr>
              <m:t>i,t</m:t>
            </m:r>
          </m:sub>
        </m:sSub>
        <m:r>
          <w:rPr>
            <w:rFonts w:ascii="Cambria Math" w:hAnsi="Cambria Math"/>
            <w:color w:val="000000" w:themeColor="text1"/>
            <w:sz w:val="24"/>
            <w:lang w:val="en-US"/>
          </w:rPr>
          <m:t xml:space="preserve">+ </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β</m:t>
            </m:r>
          </m:e>
          <m:sub>
            <m:r>
              <w:rPr>
                <w:rFonts w:ascii="Cambria Math" w:hAnsi="Cambria Math"/>
                <w:color w:val="000000" w:themeColor="text1"/>
                <w:sz w:val="24"/>
                <w:lang w:val="en-US"/>
              </w:rPr>
              <m:t>8</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OWN</m:t>
            </m:r>
          </m:e>
          <m:sub>
            <m:r>
              <w:rPr>
                <w:rFonts w:ascii="Cambria Math" w:hAnsi="Cambria Math"/>
                <w:color w:val="000000" w:themeColor="text1"/>
                <w:sz w:val="24"/>
                <w:lang w:val="en-US"/>
              </w:rPr>
              <m:t>i,t</m:t>
            </m:r>
          </m:sub>
        </m:sSub>
        <m:r>
          <w:rPr>
            <w:rFonts w:ascii="Cambria Math" w:hAnsi="Cambria Math"/>
            <w:color w:val="000000" w:themeColor="text1"/>
            <w:sz w:val="24"/>
            <w:lang w:val="en-US"/>
          </w:rPr>
          <m:t>+</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β</m:t>
            </m:r>
          </m:e>
          <m:sub>
            <m:r>
              <w:rPr>
                <w:rFonts w:ascii="Cambria Math" w:hAnsi="Cambria Math"/>
                <w:color w:val="000000" w:themeColor="text1"/>
                <w:sz w:val="24"/>
                <w:lang w:val="en-US"/>
              </w:rPr>
              <m:t>9</m:t>
            </m:r>
          </m:sub>
        </m:sSub>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FAM</m:t>
            </m:r>
          </m:e>
          <m:sub>
            <m:r>
              <w:rPr>
                <w:rFonts w:ascii="Cambria Math" w:hAnsi="Cambria Math"/>
                <w:color w:val="000000" w:themeColor="text1"/>
                <w:sz w:val="24"/>
                <w:lang w:val="en-US"/>
              </w:rPr>
              <m:t>i,t</m:t>
            </m:r>
          </m:sub>
        </m:sSub>
        <m:r>
          <w:rPr>
            <w:rFonts w:ascii="Cambria Math" w:hAnsi="Cambria Math"/>
            <w:color w:val="000000" w:themeColor="text1"/>
            <w:sz w:val="24"/>
            <w:lang w:val="en-US"/>
          </w:rPr>
          <m:t xml:space="preserve">+ </m:t>
        </m:r>
        <m:sSub>
          <m:sSubPr>
            <m:ctrlPr>
              <w:rPr>
                <w:rFonts w:ascii="Cambria Math" w:hAnsi="Cambria Math"/>
                <w:i/>
                <w:color w:val="000000" w:themeColor="text1"/>
                <w:sz w:val="24"/>
                <w:lang w:val="en-US"/>
              </w:rPr>
            </m:ctrlPr>
          </m:sSubPr>
          <m:e>
            <m:r>
              <w:rPr>
                <w:rFonts w:ascii="Cambria Math" w:hAnsi="Cambria Math"/>
                <w:color w:val="000000" w:themeColor="text1"/>
                <w:sz w:val="24"/>
                <w:lang w:val="en-US"/>
              </w:rPr>
              <m:t>ε</m:t>
            </m:r>
          </m:e>
          <m:sub>
            <m:r>
              <w:rPr>
                <w:rFonts w:ascii="Cambria Math" w:hAnsi="Cambria Math"/>
                <w:color w:val="000000" w:themeColor="text1"/>
                <w:sz w:val="24"/>
                <w:lang w:val="en-US"/>
              </w:rPr>
              <m:t>i,t</m:t>
            </m:r>
          </m:sub>
        </m:sSub>
      </m:oMath>
      <w:r w:rsidRPr="00EA4B66">
        <w:rPr>
          <w:color w:val="000000" w:themeColor="text1"/>
          <w:sz w:val="24"/>
          <w:lang w:val="en-US"/>
        </w:rPr>
        <w:tab/>
      </w:r>
      <w:r w:rsidRPr="00EA4B66">
        <w:rPr>
          <w:color w:val="000000" w:themeColor="text1"/>
          <w:sz w:val="24"/>
          <w:lang w:val="en-US"/>
        </w:rPr>
        <w:tab/>
      </w:r>
      <w:r w:rsidRPr="00EA4B66">
        <w:rPr>
          <w:color w:val="000000" w:themeColor="text1"/>
          <w:sz w:val="24"/>
          <w:lang w:val="en-US"/>
        </w:rPr>
        <w:tab/>
      </w:r>
      <w:r w:rsidRPr="00EA4B66">
        <w:rPr>
          <w:color w:val="000000" w:themeColor="text1"/>
          <w:sz w:val="24"/>
          <w:lang w:val="en-US"/>
        </w:rPr>
        <w:tab/>
      </w:r>
      <w:r w:rsidR="00903C4B" w:rsidRPr="00EA4B66">
        <w:rPr>
          <w:color w:val="000000" w:themeColor="text1"/>
          <w:sz w:val="24"/>
          <w:lang w:val="en-US"/>
        </w:rPr>
        <w:tab/>
      </w:r>
      <w:r w:rsidR="00903C4B" w:rsidRPr="00EA4B66">
        <w:rPr>
          <w:color w:val="000000" w:themeColor="text1"/>
          <w:sz w:val="24"/>
          <w:lang w:val="en-US"/>
        </w:rPr>
        <w:tab/>
      </w:r>
      <w:r w:rsidRPr="00EA4B66">
        <w:rPr>
          <w:color w:val="000000" w:themeColor="text1"/>
          <w:sz w:val="24"/>
          <w:lang w:val="en-US"/>
        </w:rPr>
        <w:t>(1)</w:t>
      </w:r>
    </w:p>
    <w:p w14:paraId="40B31EE1" w14:textId="77777777" w:rsidR="00E1772D" w:rsidRPr="00EA4B66" w:rsidRDefault="00E1772D" w:rsidP="00E1772D">
      <w:pPr>
        <w:spacing w:after="0" w:line="240" w:lineRule="auto"/>
        <w:ind w:right="567"/>
        <w:jc w:val="both"/>
        <w:rPr>
          <w:color w:val="000000" w:themeColor="text1"/>
          <w:sz w:val="24"/>
          <w:lang w:val="en-US"/>
        </w:rPr>
      </w:pPr>
    </w:p>
    <w:p w14:paraId="525E546F" w14:textId="6EBCB317" w:rsidR="00D43FAB" w:rsidRPr="00EA4B66" w:rsidRDefault="00E1772D" w:rsidP="009E7671">
      <w:pPr>
        <w:spacing w:after="0" w:line="240" w:lineRule="auto"/>
        <w:jc w:val="both"/>
        <w:rPr>
          <w:color w:val="000000" w:themeColor="text1"/>
          <w:sz w:val="24"/>
          <w:szCs w:val="24"/>
          <w:lang w:val="en-US"/>
        </w:rPr>
      </w:pPr>
      <w:r w:rsidRPr="00EA4B66">
        <w:rPr>
          <w:color w:val="000000" w:themeColor="text1"/>
          <w:sz w:val="24"/>
          <w:lang w:val="en-US"/>
        </w:rPr>
        <w:t xml:space="preserve">Where: </w:t>
      </w:r>
      <m:oMath>
        <m:r>
          <w:rPr>
            <w:rFonts w:ascii="Cambria Math" w:hAnsi="Cambria Math"/>
            <w:color w:val="000000" w:themeColor="text1"/>
            <w:sz w:val="24"/>
            <w:lang w:val="en-US"/>
          </w:rPr>
          <m:t>MTB</m:t>
        </m:r>
      </m:oMath>
      <w:r w:rsidRPr="00EA4B66">
        <w:rPr>
          <w:color w:val="000000" w:themeColor="text1"/>
          <w:sz w:val="24"/>
          <w:lang w:val="en-US"/>
        </w:rPr>
        <w:t xml:space="preserve"> = the mean </w:t>
      </w:r>
      <w:r w:rsidR="00B73921">
        <w:rPr>
          <w:color w:val="000000" w:themeColor="text1"/>
          <w:sz w:val="24"/>
          <w:lang w:val="en-US"/>
        </w:rPr>
        <w:t>MTB</w:t>
      </w:r>
      <w:r w:rsidRPr="00EA4B66">
        <w:rPr>
          <w:color w:val="000000" w:themeColor="text1"/>
          <w:sz w:val="24"/>
          <w:lang w:val="en-US"/>
        </w:rPr>
        <w:t xml:space="preserve"> ratio over the financial year, winsorised at the 1% level in order to remove outliers;</w:t>
      </w:r>
      <m:oMath>
        <m:r>
          <w:rPr>
            <w:rFonts w:ascii="Cambria Math" w:hAnsi="Cambria Math"/>
            <w:color w:val="000000" w:themeColor="text1"/>
            <w:sz w:val="24"/>
            <w:lang w:val="en-US"/>
          </w:rPr>
          <m:t xml:space="preserve"> TINT</m:t>
        </m:r>
      </m:oMath>
      <w:r w:rsidRPr="00EA4B66">
        <w:rPr>
          <w:color w:val="000000" w:themeColor="text1"/>
          <w:sz w:val="24"/>
          <w:lang w:val="en-US"/>
        </w:rPr>
        <w:t xml:space="preserve"> = total intangibles assets; </w:t>
      </w:r>
      <m:oMath>
        <m:r>
          <w:rPr>
            <w:rFonts w:ascii="Cambria Math" w:hAnsi="Cambria Math"/>
            <w:color w:val="000000" w:themeColor="text1"/>
            <w:sz w:val="24"/>
            <w:lang w:val="en-US"/>
          </w:rPr>
          <m:t>SIZE</m:t>
        </m:r>
      </m:oMath>
      <w:r w:rsidRPr="00EA4B66">
        <w:rPr>
          <w:color w:val="000000" w:themeColor="text1"/>
          <w:sz w:val="24"/>
          <w:lang w:val="en-US"/>
        </w:rPr>
        <w:t xml:space="preserve"> = natural logarithm of total assets; </w:t>
      </w:r>
      <m:oMath>
        <m:r>
          <w:rPr>
            <w:rFonts w:ascii="Cambria Math" w:hAnsi="Cambria Math"/>
            <w:color w:val="000000" w:themeColor="text1"/>
            <w:sz w:val="24"/>
            <w:lang w:val="en-US"/>
          </w:rPr>
          <m:t>AUDIT</m:t>
        </m:r>
      </m:oMath>
      <w:r w:rsidRPr="00EA4B66">
        <w:rPr>
          <w:color w:val="000000" w:themeColor="text1"/>
          <w:sz w:val="24"/>
          <w:lang w:val="en-US"/>
        </w:rPr>
        <w:t xml:space="preserve"> = auditor type dummy variable; </w:t>
      </w:r>
      <m:oMath>
        <m:r>
          <w:rPr>
            <w:rFonts w:ascii="Cambria Math" w:hAnsi="Cambria Math"/>
            <w:color w:val="000000" w:themeColor="text1"/>
            <w:sz w:val="24"/>
            <w:lang w:val="en-US"/>
          </w:rPr>
          <m:t>ROE</m:t>
        </m:r>
      </m:oMath>
      <w:r w:rsidRPr="00EA4B66">
        <w:rPr>
          <w:color w:val="000000" w:themeColor="text1"/>
          <w:sz w:val="24"/>
          <w:lang w:val="en-US"/>
        </w:rPr>
        <w:t xml:space="preserve"> = return on equity ratio; </w:t>
      </w:r>
      <m:oMath>
        <m:r>
          <w:rPr>
            <w:rFonts w:ascii="Cambria Math" w:hAnsi="Cambria Math"/>
            <w:color w:val="000000" w:themeColor="text1"/>
            <w:sz w:val="24"/>
            <w:lang w:val="en-US"/>
          </w:rPr>
          <m:t>OWN</m:t>
        </m:r>
      </m:oMath>
      <w:r w:rsidRPr="00EA4B66">
        <w:rPr>
          <w:color w:val="000000" w:themeColor="text1"/>
          <w:sz w:val="24"/>
          <w:lang w:val="en-US"/>
        </w:rPr>
        <w:t xml:space="preserve"> = ownership concentration dummy variable; </w:t>
      </w:r>
      <m:oMath>
        <m:r>
          <w:rPr>
            <w:rFonts w:ascii="Cambria Math" w:hAnsi="Cambria Math"/>
            <w:color w:val="000000" w:themeColor="text1"/>
            <w:sz w:val="24"/>
            <w:lang w:val="en-US"/>
          </w:rPr>
          <m:t>FAM</m:t>
        </m:r>
      </m:oMath>
      <w:r w:rsidRPr="00EA4B66">
        <w:rPr>
          <w:color w:val="000000" w:themeColor="text1"/>
          <w:sz w:val="24"/>
          <w:lang w:val="en-US"/>
        </w:rPr>
        <w:t xml:space="preserve"> = family ownership concentration dummy variable; </w:t>
      </w:r>
      <m:oMath>
        <m:r>
          <w:rPr>
            <w:rFonts w:ascii="Cambria Math" w:hAnsi="Cambria Math"/>
            <w:color w:val="000000" w:themeColor="text1"/>
            <w:sz w:val="24"/>
            <w:lang w:val="en-US"/>
          </w:rPr>
          <m:t>AGE</m:t>
        </m:r>
      </m:oMath>
      <w:r w:rsidRPr="00EA4B66">
        <w:rPr>
          <w:color w:val="000000" w:themeColor="text1"/>
          <w:sz w:val="24"/>
          <w:lang w:val="en-US"/>
        </w:rPr>
        <w:t xml:space="preserve"> = natural logarithm of firm age in years; </w:t>
      </w:r>
      <m:oMath>
        <m:r>
          <w:rPr>
            <w:rFonts w:ascii="Cambria Math" w:hAnsi="Cambria Math"/>
            <w:color w:val="000000" w:themeColor="text1"/>
            <w:sz w:val="24"/>
            <w:lang w:val="en-US"/>
          </w:rPr>
          <m:t>DE</m:t>
        </m:r>
      </m:oMath>
      <w:r w:rsidRPr="00EA4B66">
        <w:rPr>
          <w:color w:val="000000" w:themeColor="text1"/>
          <w:sz w:val="24"/>
          <w:lang w:val="en-US"/>
        </w:rPr>
        <w:t xml:space="preserve"> = debt-equity ratio; </w:t>
      </w:r>
      <m:oMath>
        <m:r>
          <w:rPr>
            <w:rFonts w:ascii="Cambria Math" w:hAnsi="Cambria Math"/>
            <w:color w:val="000000" w:themeColor="text1"/>
            <w:sz w:val="24"/>
            <w:lang w:val="en-US"/>
          </w:rPr>
          <m:t>IND</m:t>
        </m:r>
      </m:oMath>
      <w:r w:rsidRPr="00EA4B66">
        <w:rPr>
          <w:color w:val="000000" w:themeColor="text1"/>
          <w:sz w:val="24"/>
          <w:lang w:val="en-US"/>
        </w:rPr>
        <w:t xml:space="preserve"> = industry dummy; and </w:t>
      </w:r>
      <m:oMath>
        <m:r>
          <w:rPr>
            <w:rFonts w:ascii="Cambria Math" w:hAnsi="Cambria Math"/>
            <w:color w:val="000000" w:themeColor="text1"/>
            <w:sz w:val="24"/>
            <w:lang w:val="en-US"/>
          </w:rPr>
          <m:t>ε</m:t>
        </m:r>
      </m:oMath>
      <w:r w:rsidRPr="00EA4B66">
        <w:rPr>
          <w:color w:val="000000" w:themeColor="text1"/>
          <w:sz w:val="24"/>
          <w:lang w:val="en-US"/>
        </w:rPr>
        <w:t xml:space="preserve"> = model error term.</w:t>
      </w:r>
      <w:r w:rsidR="009E7671" w:rsidRPr="00EA4B66">
        <w:rPr>
          <w:color w:val="000000" w:themeColor="text1"/>
          <w:sz w:val="24"/>
          <w:lang w:val="en-US"/>
        </w:rPr>
        <w:t xml:space="preserve"> </w:t>
      </w:r>
      <w:r w:rsidR="009E7671" w:rsidRPr="00EA4B66">
        <w:rPr>
          <w:color w:val="000000" w:themeColor="text1"/>
          <w:sz w:val="24"/>
          <w:szCs w:val="24"/>
          <w:lang w:val="en-US"/>
        </w:rPr>
        <w:t xml:space="preserve"> </w:t>
      </w:r>
    </w:p>
    <w:p w14:paraId="3B5B0618" w14:textId="5D1576FE" w:rsidR="008A3286" w:rsidRPr="00EA4B66" w:rsidRDefault="003E6DC6" w:rsidP="009E7671">
      <w:pPr>
        <w:spacing w:after="0" w:line="240" w:lineRule="auto"/>
        <w:jc w:val="both"/>
        <w:rPr>
          <w:color w:val="000000" w:themeColor="text1"/>
          <w:sz w:val="24"/>
          <w:szCs w:val="24"/>
          <w:highlight w:val="yellow"/>
          <w:lang w:val="en-US"/>
        </w:rPr>
      </w:pPr>
      <w:r w:rsidRPr="00EA4B66">
        <w:rPr>
          <w:color w:val="000000" w:themeColor="text1"/>
          <w:sz w:val="24"/>
          <w:szCs w:val="24"/>
          <w:lang w:val="en-US"/>
        </w:rPr>
        <w:t xml:space="preserve">   </w:t>
      </w:r>
      <w:r w:rsidR="00AB7864" w:rsidRPr="00EA4B66">
        <w:rPr>
          <w:color w:val="000000" w:themeColor="text1"/>
          <w:sz w:val="24"/>
          <w:szCs w:val="24"/>
          <w:lang w:val="en-US"/>
        </w:rPr>
        <w:t>In a departure from the</w:t>
      </w:r>
      <w:r w:rsidR="00A60025" w:rsidRPr="00EA4B66">
        <w:rPr>
          <w:color w:val="000000" w:themeColor="text1"/>
          <w:sz w:val="24"/>
          <w:szCs w:val="24"/>
          <w:lang w:val="en-US"/>
        </w:rPr>
        <w:t xml:space="preserve"> recent literature (Maditinos, 2011; Morariu, 2014; Goebel, 2015), </w:t>
      </w:r>
      <w:r w:rsidR="00BE6C61" w:rsidRPr="00EA4B66">
        <w:rPr>
          <w:color w:val="000000" w:themeColor="text1"/>
          <w:sz w:val="24"/>
          <w:szCs w:val="24"/>
          <w:lang w:val="en-US"/>
        </w:rPr>
        <w:t>this paper</w:t>
      </w:r>
      <w:r w:rsidR="007444B1" w:rsidRPr="00EA4B66">
        <w:rPr>
          <w:color w:val="000000" w:themeColor="text1"/>
          <w:sz w:val="24"/>
          <w:szCs w:val="24"/>
          <w:lang w:val="en-US"/>
        </w:rPr>
        <w:t xml:space="preserve"> is focused</w:t>
      </w:r>
      <w:r w:rsidR="00A60025" w:rsidRPr="00EA4B66">
        <w:rPr>
          <w:color w:val="000000" w:themeColor="text1"/>
          <w:sz w:val="24"/>
          <w:szCs w:val="24"/>
          <w:lang w:val="en-US"/>
        </w:rPr>
        <w:t xml:space="preserve"> </w:t>
      </w:r>
      <w:r w:rsidR="00AB7864" w:rsidRPr="00EA4B66">
        <w:rPr>
          <w:color w:val="000000" w:themeColor="text1"/>
          <w:sz w:val="24"/>
          <w:szCs w:val="24"/>
          <w:lang w:val="en-US"/>
        </w:rPr>
        <w:t xml:space="preserve">on </w:t>
      </w:r>
      <w:r w:rsidR="00A60025" w:rsidRPr="00EA4B66">
        <w:rPr>
          <w:color w:val="000000" w:themeColor="text1"/>
          <w:sz w:val="24"/>
          <w:szCs w:val="24"/>
          <w:lang w:val="en-US"/>
        </w:rPr>
        <w:t xml:space="preserve">the </w:t>
      </w:r>
      <w:r w:rsidR="00753FC5">
        <w:rPr>
          <w:color w:val="000000" w:themeColor="text1"/>
          <w:sz w:val="24"/>
          <w:szCs w:val="24"/>
          <w:lang w:val="en-US"/>
        </w:rPr>
        <w:t>MTB</w:t>
      </w:r>
      <w:r w:rsidR="007444B1" w:rsidRPr="00EA4B66">
        <w:rPr>
          <w:color w:val="000000" w:themeColor="text1"/>
          <w:sz w:val="24"/>
          <w:szCs w:val="24"/>
          <w:lang w:val="en-US"/>
        </w:rPr>
        <w:t xml:space="preserve"> </w:t>
      </w:r>
      <w:r w:rsidR="0014289D">
        <w:rPr>
          <w:color w:val="000000" w:themeColor="text1"/>
          <w:sz w:val="24"/>
          <w:szCs w:val="24"/>
          <w:lang w:val="en-US"/>
        </w:rPr>
        <w:t xml:space="preserve">ratio </w:t>
      </w:r>
      <w:r w:rsidR="007444B1" w:rsidRPr="00EA4B66">
        <w:rPr>
          <w:color w:val="000000" w:themeColor="text1"/>
          <w:sz w:val="24"/>
          <w:szCs w:val="24"/>
          <w:lang w:val="en-US"/>
        </w:rPr>
        <w:t>for several reasons</w:t>
      </w:r>
      <w:r w:rsidR="002C7BC2" w:rsidRPr="00EA4B66">
        <w:rPr>
          <w:color w:val="000000" w:themeColor="text1"/>
          <w:sz w:val="24"/>
          <w:szCs w:val="24"/>
          <w:lang w:val="en-US"/>
        </w:rPr>
        <w:t>.</w:t>
      </w:r>
      <w:r w:rsidR="00A60025" w:rsidRPr="00EA4B66">
        <w:rPr>
          <w:color w:val="000000" w:themeColor="text1"/>
          <w:sz w:val="24"/>
          <w:szCs w:val="24"/>
          <w:lang w:val="en-US"/>
        </w:rPr>
        <w:t xml:space="preserve"> </w:t>
      </w:r>
      <w:r w:rsidR="008E2A8D" w:rsidRPr="00EA4B66">
        <w:rPr>
          <w:color w:val="000000" w:themeColor="text1"/>
          <w:sz w:val="24"/>
          <w:szCs w:val="24"/>
          <w:lang w:val="en-US"/>
        </w:rPr>
        <w:t>I</w:t>
      </w:r>
      <w:r w:rsidR="002C7BC2" w:rsidRPr="00EA4B66">
        <w:rPr>
          <w:color w:val="000000" w:themeColor="text1"/>
          <w:sz w:val="24"/>
          <w:szCs w:val="24"/>
          <w:lang w:val="en-US"/>
        </w:rPr>
        <w:t xml:space="preserve">t is expected </w:t>
      </w:r>
      <w:r w:rsidR="00F50B43" w:rsidRPr="00EA4B66">
        <w:rPr>
          <w:color w:val="000000" w:themeColor="text1"/>
          <w:sz w:val="24"/>
          <w:szCs w:val="24"/>
          <w:lang w:val="en-US"/>
        </w:rPr>
        <w:t>that</w:t>
      </w:r>
      <w:r w:rsidR="00A60025" w:rsidRPr="00EA4B66">
        <w:rPr>
          <w:color w:val="000000" w:themeColor="text1"/>
          <w:sz w:val="24"/>
          <w:szCs w:val="24"/>
          <w:lang w:val="en-US"/>
        </w:rPr>
        <w:t xml:space="preserve"> </w:t>
      </w:r>
      <w:r w:rsidR="00F50B43" w:rsidRPr="00EA4B66">
        <w:rPr>
          <w:color w:val="000000" w:themeColor="text1"/>
          <w:sz w:val="24"/>
          <w:szCs w:val="24"/>
          <w:lang w:val="en-US"/>
        </w:rPr>
        <w:t xml:space="preserve">firm </w:t>
      </w:r>
      <w:r w:rsidR="00A60025" w:rsidRPr="00EA4B66">
        <w:rPr>
          <w:color w:val="000000" w:themeColor="text1"/>
          <w:sz w:val="24"/>
          <w:szCs w:val="24"/>
          <w:lang w:val="en-US"/>
        </w:rPr>
        <w:t xml:space="preserve">market and book values </w:t>
      </w:r>
      <w:r w:rsidR="00F50B43" w:rsidRPr="00EA4B66">
        <w:rPr>
          <w:color w:val="000000" w:themeColor="text1"/>
          <w:sz w:val="24"/>
          <w:szCs w:val="24"/>
          <w:lang w:val="en-US"/>
        </w:rPr>
        <w:t xml:space="preserve">will </w:t>
      </w:r>
      <w:r w:rsidR="00A60025" w:rsidRPr="00EA4B66">
        <w:rPr>
          <w:color w:val="000000" w:themeColor="text1"/>
          <w:sz w:val="24"/>
          <w:szCs w:val="24"/>
          <w:lang w:val="en-US"/>
        </w:rPr>
        <w:t xml:space="preserve">never </w:t>
      </w:r>
      <w:r w:rsidR="00F50B43" w:rsidRPr="00EA4B66">
        <w:rPr>
          <w:color w:val="000000" w:themeColor="text1"/>
          <w:sz w:val="24"/>
          <w:szCs w:val="24"/>
          <w:lang w:val="en-US"/>
        </w:rPr>
        <w:t xml:space="preserve">be </w:t>
      </w:r>
      <w:r w:rsidR="00BE6C61" w:rsidRPr="00EA4B66">
        <w:rPr>
          <w:color w:val="000000" w:themeColor="text1"/>
          <w:sz w:val="24"/>
          <w:szCs w:val="24"/>
          <w:lang w:val="en-US"/>
        </w:rPr>
        <w:t>equal</w:t>
      </w:r>
      <w:r w:rsidR="00B9305B" w:rsidRPr="00EA4B66">
        <w:rPr>
          <w:color w:val="000000" w:themeColor="text1"/>
          <w:sz w:val="24"/>
          <w:szCs w:val="24"/>
          <w:lang w:val="en-US"/>
        </w:rPr>
        <w:t>.</w:t>
      </w:r>
      <w:r w:rsidR="007444B1" w:rsidRPr="00EA4B66">
        <w:rPr>
          <w:color w:val="000000" w:themeColor="text1"/>
          <w:sz w:val="24"/>
          <w:szCs w:val="24"/>
          <w:lang w:val="en-US"/>
        </w:rPr>
        <w:t xml:space="preserve"> </w:t>
      </w:r>
      <w:r w:rsidR="00B9305B" w:rsidRPr="00EA4B66">
        <w:rPr>
          <w:color w:val="000000" w:themeColor="text1"/>
          <w:sz w:val="24"/>
          <w:szCs w:val="24"/>
          <w:lang w:val="en-US"/>
        </w:rPr>
        <w:t>I</w:t>
      </w:r>
      <w:r w:rsidR="002C7BC2" w:rsidRPr="00EA4B66">
        <w:rPr>
          <w:color w:val="000000" w:themeColor="text1"/>
          <w:sz w:val="24"/>
          <w:szCs w:val="24"/>
          <w:lang w:val="en-US"/>
        </w:rPr>
        <w:t>n particular</w:t>
      </w:r>
      <w:r w:rsidR="00BE6C61" w:rsidRPr="00EA4B66">
        <w:rPr>
          <w:color w:val="000000" w:themeColor="text1"/>
          <w:sz w:val="24"/>
          <w:szCs w:val="24"/>
          <w:lang w:val="en-US"/>
        </w:rPr>
        <w:t>,</w:t>
      </w:r>
      <w:r w:rsidR="00B9305B" w:rsidRPr="00EA4B66">
        <w:rPr>
          <w:color w:val="000000" w:themeColor="text1"/>
          <w:sz w:val="24"/>
          <w:szCs w:val="24"/>
          <w:lang w:val="en-US"/>
        </w:rPr>
        <w:t xml:space="preserve"> </w:t>
      </w:r>
      <w:r w:rsidR="007444B1" w:rsidRPr="00EA4B66">
        <w:rPr>
          <w:color w:val="000000" w:themeColor="text1"/>
          <w:sz w:val="24"/>
          <w:szCs w:val="24"/>
          <w:lang w:val="en-US"/>
        </w:rPr>
        <w:t>t</w:t>
      </w:r>
      <w:r w:rsidR="00F50B43" w:rsidRPr="00EA4B66">
        <w:rPr>
          <w:color w:val="000000" w:themeColor="text1"/>
          <w:sz w:val="24"/>
          <w:szCs w:val="24"/>
          <w:lang w:val="en-US"/>
        </w:rPr>
        <w:t>he b</w:t>
      </w:r>
      <w:r w:rsidR="00A60025" w:rsidRPr="00EA4B66">
        <w:rPr>
          <w:color w:val="000000" w:themeColor="text1"/>
          <w:sz w:val="24"/>
          <w:szCs w:val="24"/>
          <w:lang w:val="en-US"/>
        </w:rPr>
        <w:t xml:space="preserve">ook values of publicly traded firms mainly reflect the value of </w:t>
      </w:r>
      <w:r w:rsidR="00F50B43" w:rsidRPr="00EA4B66">
        <w:rPr>
          <w:color w:val="000000" w:themeColor="text1"/>
          <w:sz w:val="24"/>
          <w:szCs w:val="24"/>
          <w:lang w:val="en-US"/>
        </w:rPr>
        <w:t xml:space="preserve">the </w:t>
      </w:r>
      <w:r w:rsidR="00A60025" w:rsidRPr="00EA4B66">
        <w:rPr>
          <w:color w:val="000000" w:themeColor="text1"/>
          <w:sz w:val="24"/>
          <w:szCs w:val="24"/>
          <w:lang w:val="en-US"/>
        </w:rPr>
        <w:t>tangible and capital assets of the company (</w:t>
      </w:r>
      <w:r w:rsidR="00012CC0" w:rsidRPr="00270900">
        <w:rPr>
          <w:rFonts w:cs="Calibri"/>
          <w:color w:val="000000" w:themeColor="text1"/>
          <w:sz w:val="24"/>
          <w:szCs w:val="24"/>
          <w:lang w:val="en-US"/>
        </w:rPr>
        <w:t>Crăciun</w:t>
      </w:r>
      <w:r w:rsidR="00012CC0" w:rsidRPr="00EA4B66">
        <w:rPr>
          <w:color w:val="000000" w:themeColor="text1"/>
          <w:sz w:val="24"/>
          <w:szCs w:val="24"/>
          <w:lang w:val="en-US"/>
        </w:rPr>
        <w:t xml:space="preserve"> </w:t>
      </w:r>
      <w:r w:rsidR="00A60025" w:rsidRPr="00EA4B66">
        <w:rPr>
          <w:color w:val="000000" w:themeColor="text1"/>
          <w:sz w:val="24"/>
          <w:szCs w:val="24"/>
          <w:lang w:val="en-US"/>
        </w:rPr>
        <w:t>and Scriosteanu, 2008)</w:t>
      </w:r>
      <w:r w:rsidR="008E2A8D" w:rsidRPr="00EA4B66">
        <w:rPr>
          <w:color w:val="000000" w:themeColor="text1"/>
          <w:sz w:val="24"/>
          <w:szCs w:val="24"/>
          <w:lang w:val="en-US"/>
        </w:rPr>
        <w:t xml:space="preserve">. </w:t>
      </w:r>
      <w:r w:rsidR="00BE6C61" w:rsidRPr="00EA4B66">
        <w:rPr>
          <w:color w:val="000000" w:themeColor="text1"/>
          <w:sz w:val="24"/>
          <w:szCs w:val="24"/>
          <w:lang w:val="en-US"/>
        </w:rPr>
        <w:t xml:space="preserve">Indeed, </w:t>
      </w:r>
      <w:r w:rsidR="002C7BC2" w:rsidRPr="00EA4B66">
        <w:rPr>
          <w:color w:val="000000" w:themeColor="text1"/>
          <w:sz w:val="24"/>
          <w:szCs w:val="24"/>
          <w:lang w:val="en-US"/>
        </w:rPr>
        <w:t xml:space="preserve">according to </w:t>
      </w:r>
      <w:r w:rsidR="002C7BC2" w:rsidRPr="00EA4B66">
        <w:rPr>
          <w:i/>
          <w:color w:val="000000" w:themeColor="text1"/>
          <w:sz w:val="24"/>
          <w:szCs w:val="24"/>
          <w:lang w:val="en-US"/>
        </w:rPr>
        <w:t>IAS 38</w:t>
      </w:r>
      <w:r w:rsidR="007A6DBB" w:rsidRPr="00EA4B66">
        <w:rPr>
          <w:i/>
          <w:color w:val="000000" w:themeColor="text1"/>
          <w:sz w:val="24"/>
          <w:szCs w:val="24"/>
          <w:lang w:val="en-US"/>
        </w:rPr>
        <w:t xml:space="preserve"> (Intangible Assets)</w:t>
      </w:r>
      <w:r w:rsidR="002C7BC2" w:rsidRPr="00EA4B66">
        <w:rPr>
          <w:color w:val="000000" w:themeColor="text1"/>
          <w:sz w:val="24"/>
          <w:szCs w:val="24"/>
          <w:lang w:val="en-US"/>
        </w:rPr>
        <w:t>,</w:t>
      </w:r>
      <w:r w:rsidR="008E2A8D" w:rsidRPr="00EA4B66">
        <w:rPr>
          <w:color w:val="000000" w:themeColor="text1"/>
          <w:sz w:val="24"/>
          <w:szCs w:val="24"/>
          <w:lang w:val="en-US"/>
        </w:rPr>
        <w:t xml:space="preserve"> unlike tangible assets</w:t>
      </w:r>
      <w:r w:rsidR="008A3286" w:rsidRPr="00EA4B66">
        <w:rPr>
          <w:color w:val="000000" w:themeColor="text1"/>
          <w:sz w:val="24"/>
          <w:szCs w:val="24"/>
          <w:lang w:val="en-US"/>
        </w:rPr>
        <w:t xml:space="preserve"> </w:t>
      </w:r>
      <w:r w:rsidR="004D40EF" w:rsidRPr="00EA4B66">
        <w:rPr>
          <w:color w:val="000000" w:themeColor="text1"/>
          <w:sz w:val="24"/>
          <w:szCs w:val="24"/>
          <w:lang w:val="en-US"/>
        </w:rPr>
        <w:t xml:space="preserve">most </w:t>
      </w:r>
      <w:r w:rsidR="00E02B50">
        <w:rPr>
          <w:color w:val="000000" w:themeColor="text1"/>
          <w:sz w:val="24"/>
          <w:szCs w:val="24"/>
          <w:lang w:val="en-US"/>
        </w:rPr>
        <w:t>IA</w:t>
      </w:r>
      <w:r w:rsidR="002C7BC2" w:rsidRPr="00EA4B66">
        <w:rPr>
          <w:color w:val="000000" w:themeColor="text1"/>
          <w:sz w:val="24"/>
          <w:szCs w:val="24"/>
          <w:lang w:val="en-US"/>
        </w:rPr>
        <w:t xml:space="preserve"> are difficult to identify </w:t>
      </w:r>
      <w:r w:rsidR="004D40EF" w:rsidRPr="00EA4B66">
        <w:rPr>
          <w:color w:val="000000" w:themeColor="text1"/>
          <w:sz w:val="24"/>
          <w:szCs w:val="24"/>
          <w:lang w:val="en-US"/>
        </w:rPr>
        <w:t>and are</w:t>
      </w:r>
      <w:r w:rsidR="002C7BC2" w:rsidRPr="00EA4B66">
        <w:rPr>
          <w:color w:val="000000" w:themeColor="text1"/>
          <w:sz w:val="24"/>
          <w:szCs w:val="24"/>
          <w:lang w:val="en-US"/>
        </w:rPr>
        <w:t xml:space="preserve"> </w:t>
      </w:r>
      <w:r w:rsidR="009E7671" w:rsidRPr="00EA4B66">
        <w:rPr>
          <w:color w:val="000000" w:themeColor="text1"/>
          <w:sz w:val="24"/>
          <w:szCs w:val="24"/>
          <w:lang w:val="en-US"/>
        </w:rPr>
        <w:t>recognized</w:t>
      </w:r>
      <w:r w:rsidR="00BE6C61" w:rsidRPr="00EA4B66">
        <w:rPr>
          <w:color w:val="000000" w:themeColor="text1"/>
          <w:sz w:val="24"/>
          <w:szCs w:val="24"/>
          <w:lang w:val="en-US"/>
        </w:rPr>
        <w:t xml:space="preserve"> </w:t>
      </w:r>
      <w:r w:rsidR="002C7BC2" w:rsidRPr="00EA4B66">
        <w:rPr>
          <w:color w:val="000000" w:themeColor="text1"/>
          <w:sz w:val="24"/>
          <w:szCs w:val="24"/>
          <w:lang w:val="en-US"/>
        </w:rPr>
        <w:t xml:space="preserve">on </w:t>
      </w:r>
      <w:r w:rsidR="00BE6C61" w:rsidRPr="00EA4B66">
        <w:rPr>
          <w:color w:val="000000" w:themeColor="text1"/>
          <w:sz w:val="24"/>
          <w:szCs w:val="24"/>
          <w:lang w:val="en-US"/>
        </w:rPr>
        <w:t xml:space="preserve">the </w:t>
      </w:r>
      <w:r w:rsidR="002C7BC2" w:rsidRPr="00EA4B66">
        <w:rPr>
          <w:color w:val="000000" w:themeColor="text1"/>
          <w:sz w:val="24"/>
          <w:szCs w:val="24"/>
          <w:lang w:val="en-US"/>
        </w:rPr>
        <w:t>statement of financial position only when they are purchased</w:t>
      </w:r>
      <w:r w:rsidR="004D40EF" w:rsidRPr="00EA4B66">
        <w:rPr>
          <w:color w:val="000000" w:themeColor="text1"/>
          <w:sz w:val="24"/>
          <w:szCs w:val="24"/>
          <w:lang w:val="en-US"/>
        </w:rPr>
        <w:t xml:space="preserve"> separately or as part of business combination</w:t>
      </w:r>
      <w:r w:rsidR="00AE125A" w:rsidRPr="00EA4B66">
        <w:rPr>
          <w:color w:val="000000" w:themeColor="text1"/>
          <w:sz w:val="24"/>
          <w:szCs w:val="24"/>
          <w:lang w:val="en-US"/>
        </w:rPr>
        <w:t>,</w:t>
      </w:r>
      <w:r w:rsidR="004D40EF" w:rsidRPr="00EA4B66">
        <w:rPr>
          <w:color w:val="000000" w:themeColor="text1"/>
          <w:sz w:val="24"/>
          <w:szCs w:val="24"/>
          <w:lang w:val="en-US"/>
        </w:rPr>
        <w:t xml:space="preserve"> but </w:t>
      </w:r>
      <w:r w:rsidR="00AE125A" w:rsidRPr="00EA4B66">
        <w:rPr>
          <w:color w:val="000000" w:themeColor="text1"/>
          <w:sz w:val="24"/>
          <w:szCs w:val="24"/>
          <w:lang w:val="en-US"/>
        </w:rPr>
        <w:t xml:space="preserve">are </w:t>
      </w:r>
      <w:r w:rsidR="004D40EF" w:rsidRPr="00EA4B66">
        <w:rPr>
          <w:color w:val="000000" w:themeColor="text1"/>
          <w:sz w:val="24"/>
          <w:szCs w:val="24"/>
          <w:lang w:val="en-US"/>
        </w:rPr>
        <w:t xml:space="preserve">not </w:t>
      </w:r>
      <w:r w:rsidR="009E7671" w:rsidRPr="00EA4B66">
        <w:rPr>
          <w:color w:val="000000" w:themeColor="text1"/>
          <w:sz w:val="24"/>
          <w:szCs w:val="24"/>
          <w:lang w:val="en-US"/>
        </w:rPr>
        <w:t>recognized</w:t>
      </w:r>
      <w:r w:rsidR="00AE125A" w:rsidRPr="00EA4B66">
        <w:rPr>
          <w:color w:val="000000" w:themeColor="text1"/>
          <w:sz w:val="24"/>
          <w:szCs w:val="24"/>
          <w:lang w:val="en-US"/>
        </w:rPr>
        <w:t xml:space="preserve"> </w:t>
      </w:r>
      <w:r w:rsidR="004D40EF" w:rsidRPr="00EA4B66">
        <w:rPr>
          <w:color w:val="000000" w:themeColor="text1"/>
          <w:sz w:val="24"/>
          <w:szCs w:val="24"/>
          <w:lang w:val="en-US"/>
        </w:rPr>
        <w:t xml:space="preserve">when they are </w:t>
      </w:r>
      <w:r w:rsidR="00AE125A" w:rsidRPr="00EA4B66">
        <w:rPr>
          <w:color w:val="000000" w:themeColor="text1"/>
          <w:sz w:val="24"/>
          <w:szCs w:val="24"/>
          <w:lang w:val="en-US"/>
        </w:rPr>
        <w:t>developed within the firm.</w:t>
      </w:r>
      <w:r w:rsidR="004D40EF" w:rsidRPr="00EA4B66">
        <w:rPr>
          <w:color w:val="000000" w:themeColor="text1"/>
          <w:sz w:val="24"/>
          <w:szCs w:val="24"/>
          <w:lang w:val="en-US"/>
        </w:rPr>
        <w:t xml:space="preserve"> </w:t>
      </w:r>
      <w:r w:rsidR="00AE125A" w:rsidRPr="00EA4B66">
        <w:rPr>
          <w:color w:val="000000" w:themeColor="text1"/>
          <w:sz w:val="24"/>
          <w:szCs w:val="24"/>
          <w:lang w:val="en-US"/>
        </w:rPr>
        <w:lastRenderedPageBreak/>
        <w:t>M</w:t>
      </w:r>
      <w:r w:rsidR="00ED519C" w:rsidRPr="00EA4B66">
        <w:rPr>
          <w:color w:val="000000" w:themeColor="text1"/>
          <w:sz w:val="24"/>
          <w:szCs w:val="24"/>
          <w:lang w:val="en-US"/>
        </w:rPr>
        <w:t>oreover,</w:t>
      </w:r>
      <w:r w:rsidR="004D40EF" w:rsidRPr="00EA4B66">
        <w:rPr>
          <w:color w:val="000000" w:themeColor="text1"/>
          <w:sz w:val="24"/>
          <w:szCs w:val="24"/>
          <w:lang w:val="en-US"/>
        </w:rPr>
        <w:t xml:space="preserve"> the future economic benefits arising from </w:t>
      </w:r>
      <w:r w:rsidR="00E02B50">
        <w:rPr>
          <w:color w:val="000000" w:themeColor="text1"/>
          <w:sz w:val="24"/>
          <w:szCs w:val="24"/>
          <w:lang w:val="en-US"/>
        </w:rPr>
        <w:t>IA</w:t>
      </w:r>
      <w:r w:rsidR="00AE125A" w:rsidRPr="00EA4B66">
        <w:rPr>
          <w:color w:val="000000" w:themeColor="text1"/>
          <w:sz w:val="24"/>
          <w:szCs w:val="24"/>
          <w:lang w:val="en-US"/>
        </w:rPr>
        <w:t xml:space="preserve"> </w:t>
      </w:r>
      <w:r w:rsidR="004D40EF" w:rsidRPr="00EA4B66">
        <w:rPr>
          <w:color w:val="000000" w:themeColor="text1"/>
          <w:sz w:val="24"/>
          <w:szCs w:val="24"/>
          <w:lang w:val="en-US"/>
        </w:rPr>
        <w:t xml:space="preserve">are uncertain (Schiemann </w:t>
      </w:r>
      <w:r w:rsidR="004D40EF" w:rsidRPr="00EA4B66">
        <w:rPr>
          <w:i/>
          <w:color w:val="000000" w:themeColor="text1"/>
          <w:sz w:val="24"/>
          <w:szCs w:val="24"/>
          <w:lang w:val="en-US"/>
        </w:rPr>
        <w:t>et al</w:t>
      </w:r>
      <w:r w:rsidR="004D40EF" w:rsidRPr="00EA4B66">
        <w:rPr>
          <w:color w:val="000000" w:themeColor="text1"/>
          <w:sz w:val="24"/>
          <w:szCs w:val="24"/>
          <w:lang w:val="en-US"/>
        </w:rPr>
        <w:t>., 2015)</w:t>
      </w:r>
      <w:r w:rsidR="00AE125A" w:rsidRPr="00EA4B66">
        <w:rPr>
          <w:color w:val="000000" w:themeColor="text1"/>
          <w:sz w:val="24"/>
          <w:szCs w:val="24"/>
          <w:lang w:val="en-US"/>
        </w:rPr>
        <w:t>,</w:t>
      </w:r>
      <w:r w:rsidR="008A3286" w:rsidRPr="00EA4B66">
        <w:rPr>
          <w:color w:val="000000" w:themeColor="text1"/>
          <w:sz w:val="24"/>
          <w:szCs w:val="24"/>
          <w:lang w:val="en-US"/>
        </w:rPr>
        <w:t xml:space="preserve"> </w:t>
      </w:r>
      <w:r w:rsidR="00AE125A" w:rsidRPr="00EA4B66">
        <w:rPr>
          <w:color w:val="000000" w:themeColor="text1"/>
          <w:sz w:val="24"/>
          <w:szCs w:val="24"/>
          <w:lang w:val="en-US"/>
        </w:rPr>
        <w:t>thereby violating</w:t>
      </w:r>
      <w:r w:rsidR="008A3286" w:rsidRPr="00EA4B66">
        <w:rPr>
          <w:color w:val="000000" w:themeColor="text1"/>
          <w:sz w:val="24"/>
          <w:szCs w:val="24"/>
          <w:lang w:val="en-US"/>
        </w:rPr>
        <w:t xml:space="preserve"> one of the requirements for </w:t>
      </w:r>
      <w:r w:rsidR="00AE125A" w:rsidRPr="00EA4B66">
        <w:rPr>
          <w:color w:val="000000" w:themeColor="text1"/>
          <w:sz w:val="24"/>
          <w:szCs w:val="24"/>
          <w:lang w:val="en-US"/>
        </w:rPr>
        <w:t xml:space="preserve">asset </w:t>
      </w:r>
      <w:r w:rsidR="008A3286" w:rsidRPr="00EA4B66">
        <w:rPr>
          <w:color w:val="000000" w:themeColor="text1"/>
          <w:sz w:val="24"/>
          <w:szCs w:val="24"/>
          <w:lang w:val="en-US"/>
        </w:rPr>
        <w:t>recognition in the financial statements</w:t>
      </w:r>
      <w:r w:rsidR="00AE125A" w:rsidRPr="00EA4B66">
        <w:rPr>
          <w:color w:val="000000" w:themeColor="text1"/>
          <w:sz w:val="24"/>
          <w:szCs w:val="24"/>
          <w:lang w:val="en-US"/>
        </w:rPr>
        <w:t>.</w:t>
      </w:r>
      <w:r w:rsidR="008A3286" w:rsidRPr="00EA4B66">
        <w:rPr>
          <w:color w:val="000000" w:themeColor="text1"/>
          <w:sz w:val="24"/>
          <w:szCs w:val="24"/>
          <w:lang w:val="en-US"/>
        </w:rPr>
        <w:t xml:space="preserve"> </w:t>
      </w:r>
    </w:p>
    <w:p w14:paraId="50321DEB" w14:textId="39E672CA" w:rsidR="008E0F10" w:rsidRPr="00EA4B66" w:rsidRDefault="004825D9" w:rsidP="009E7671">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4D40EF" w:rsidRPr="00EA4B66">
        <w:rPr>
          <w:color w:val="000000" w:themeColor="text1"/>
          <w:sz w:val="24"/>
          <w:szCs w:val="24"/>
          <w:lang w:val="en-US"/>
        </w:rPr>
        <w:t xml:space="preserve">Thus, accounting standards </w:t>
      </w:r>
      <w:r w:rsidR="00AE125A" w:rsidRPr="00EA4B66">
        <w:rPr>
          <w:color w:val="000000" w:themeColor="text1"/>
          <w:sz w:val="24"/>
          <w:szCs w:val="24"/>
          <w:lang w:val="en-US"/>
        </w:rPr>
        <w:t xml:space="preserve">give rise </w:t>
      </w:r>
      <w:r w:rsidR="004D40EF" w:rsidRPr="00EA4B66">
        <w:rPr>
          <w:color w:val="000000" w:themeColor="text1"/>
          <w:sz w:val="24"/>
          <w:szCs w:val="24"/>
          <w:lang w:val="en-US"/>
        </w:rPr>
        <w:t xml:space="preserve">to </w:t>
      </w:r>
      <w:r w:rsidR="002F05ED" w:rsidRPr="00EA4B66">
        <w:rPr>
          <w:color w:val="000000" w:themeColor="text1"/>
          <w:sz w:val="24"/>
          <w:szCs w:val="24"/>
          <w:lang w:val="en-US"/>
        </w:rPr>
        <w:t xml:space="preserve">inadequate </w:t>
      </w:r>
      <w:r w:rsidR="00523773">
        <w:rPr>
          <w:color w:val="000000" w:themeColor="text1"/>
          <w:sz w:val="24"/>
          <w:szCs w:val="24"/>
          <w:lang w:val="en-US"/>
        </w:rPr>
        <w:t>IC</w:t>
      </w:r>
      <w:r w:rsidR="002F05ED" w:rsidRPr="00EA4B66">
        <w:rPr>
          <w:color w:val="000000" w:themeColor="text1"/>
          <w:sz w:val="24"/>
          <w:szCs w:val="24"/>
          <w:lang w:val="en-US"/>
        </w:rPr>
        <w:t xml:space="preserve"> accounting and to an </w:t>
      </w:r>
      <w:r w:rsidR="004D40EF" w:rsidRPr="00EA4B66">
        <w:rPr>
          <w:color w:val="000000" w:themeColor="text1"/>
          <w:sz w:val="24"/>
          <w:szCs w:val="24"/>
          <w:lang w:val="en-US"/>
        </w:rPr>
        <w:t xml:space="preserve">“asymmetric recognition of </w:t>
      </w:r>
      <w:r w:rsidR="00AE125A" w:rsidRPr="00EA4B66">
        <w:rPr>
          <w:color w:val="000000" w:themeColor="text1"/>
          <w:sz w:val="24"/>
          <w:szCs w:val="24"/>
          <w:lang w:val="en-US"/>
        </w:rPr>
        <w:t>i</w:t>
      </w:r>
      <w:r w:rsidR="004D40EF" w:rsidRPr="00EA4B66">
        <w:rPr>
          <w:color w:val="000000" w:themeColor="text1"/>
          <w:sz w:val="24"/>
          <w:szCs w:val="24"/>
          <w:lang w:val="en-US"/>
        </w:rPr>
        <w:t xml:space="preserve">ntellectual capital in </w:t>
      </w:r>
      <w:r w:rsidR="00AE125A" w:rsidRPr="00EA4B66">
        <w:rPr>
          <w:color w:val="000000" w:themeColor="text1"/>
          <w:sz w:val="24"/>
          <w:szCs w:val="24"/>
          <w:lang w:val="en-US"/>
        </w:rPr>
        <w:t xml:space="preserve">the </w:t>
      </w:r>
      <w:r w:rsidR="004D40EF" w:rsidRPr="00EA4B66">
        <w:rPr>
          <w:color w:val="000000" w:themeColor="text1"/>
          <w:sz w:val="24"/>
          <w:szCs w:val="24"/>
          <w:lang w:val="en-US"/>
        </w:rPr>
        <w:t>financial statements”</w:t>
      </w:r>
      <w:r w:rsidR="004D40EF" w:rsidRPr="00EA4B66">
        <w:rPr>
          <w:color w:val="000000" w:themeColor="text1"/>
          <w:lang w:val="en-US"/>
        </w:rPr>
        <w:t xml:space="preserve"> </w:t>
      </w:r>
      <w:r w:rsidR="004D40EF" w:rsidRPr="00EA4B66">
        <w:rPr>
          <w:color w:val="000000" w:themeColor="text1"/>
          <w:sz w:val="24"/>
          <w:szCs w:val="24"/>
          <w:lang w:val="en-US"/>
        </w:rPr>
        <w:t xml:space="preserve">(Schiemann </w:t>
      </w:r>
      <w:r w:rsidR="004D40EF" w:rsidRPr="00EA4B66">
        <w:rPr>
          <w:i/>
          <w:color w:val="000000" w:themeColor="text1"/>
          <w:sz w:val="24"/>
          <w:szCs w:val="24"/>
          <w:lang w:val="en-US"/>
        </w:rPr>
        <w:t>et al.</w:t>
      </w:r>
      <w:r w:rsidR="004D40EF" w:rsidRPr="00EA4B66">
        <w:rPr>
          <w:color w:val="000000" w:themeColor="text1"/>
          <w:sz w:val="24"/>
          <w:szCs w:val="24"/>
          <w:lang w:val="en-US"/>
        </w:rPr>
        <w:t>, 2015, p.8)</w:t>
      </w:r>
      <w:r w:rsidR="002F05ED" w:rsidRPr="00EA4B66">
        <w:rPr>
          <w:color w:val="000000" w:themeColor="text1"/>
          <w:sz w:val="24"/>
          <w:szCs w:val="24"/>
          <w:lang w:val="en-US"/>
        </w:rPr>
        <w:t xml:space="preserve">. </w:t>
      </w:r>
      <w:r w:rsidR="008A3286" w:rsidRPr="00EA4B66">
        <w:rPr>
          <w:color w:val="000000" w:themeColor="text1"/>
          <w:sz w:val="24"/>
          <w:szCs w:val="24"/>
          <w:lang w:val="en-US"/>
        </w:rPr>
        <w:t>Hence</w:t>
      </w:r>
      <w:r w:rsidR="002F05ED" w:rsidRPr="00EA4B66">
        <w:rPr>
          <w:color w:val="000000" w:themeColor="text1"/>
          <w:sz w:val="24"/>
          <w:szCs w:val="24"/>
          <w:lang w:val="en-US"/>
        </w:rPr>
        <w:t xml:space="preserve">, </w:t>
      </w:r>
      <w:r w:rsidR="008A3286" w:rsidRPr="00EA4B66">
        <w:rPr>
          <w:color w:val="000000" w:themeColor="text1"/>
          <w:sz w:val="24"/>
          <w:szCs w:val="24"/>
          <w:lang w:val="en-US"/>
        </w:rPr>
        <w:t xml:space="preserve">a </w:t>
      </w:r>
      <w:r w:rsidR="00A60025" w:rsidRPr="00EA4B66">
        <w:rPr>
          <w:color w:val="000000" w:themeColor="text1"/>
          <w:sz w:val="24"/>
          <w:szCs w:val="24"/>
          <w:lang w:val="en-US"/>
        </w:rPr>
        <w:t xml:space="preserve">way to measure </w:t>
      </w:r>
      <w:r w:rsidR="00F50B43" w:rsidRPr="00EA4B66">
        <w:rPr>
          <w:color w:val="000000" w:themeColor="text1"/>
          <w:sz w:val="24"/>
          <w:szCs w:val="24"/>
          <w:lang w:val="en-US"/>
        </w:rPr>
        <w:t xml:space="preserve">the value of </w:t>
      </w:r>
      <w:r w:rsidR="002F05ED" w:rsidRPr="00EA4B66">
        <w:rPr>
          <w:color w:val="000000" w:themeColor="text1"/>
          <w:sz w:val="24"/>
          <w:szCs w:val="24"/>
          <w:lang w:val="en-US"/>
        </w:rPr>
        <w:t xml:space="preserve">IC </w:t>
      </w:r>
      <w:r w:rsidR="00F50B43" w:rsidRPr="00EA4B66">
        <w:rPr>
          <w:color w:val="000000" w:themeColor="text1"/>
          <w:sz w:val="24"/>
          <w:szCs w:val="24"/>
          <w:lang w:val="en-US"/>
        </w:rPr>
        <w:t xml:space="preserve">is to </w:t>
      </w:r>
      <w:r w:rsidR="00A60025" w:rsidRPr="00EA4B66">
        <w:rPr>
          <w:color w:val="000000" w:themeColor="text1"/>
          <w:sz w:val="24"/>
          <w:szCs w:val="24"/>
          <w:lang w:val="en-US"/>
        </w:rPr>
        <w:t xml:space="preserve">assume that </w:t>
      </w:r>
      <w:r w:rsidR="00F50B43" w:rsidRPr="00EA4B66">
        <w:rPr>
          <w:color w:val="000000" w:themeColor="text1"/>
          <w:sz w:val="24"/>
          <w:szCs w:val="24"/>
          <w:lang w:val="en-US"/>
        </w:rPr>
        <w:t xml:space="preserve">efficient </w:t>
      </w:r>
      <w:r w:rsidR="00A60025" w:rsidRPr="00EA4B66">
        <w:rPr>
          <w:color w:val="000000" w:themeColor="text1"/>
          <w:sz w:val="24"/>
          <w:szCs w:val="24"/>
          <w:lang w:val="en-US"/>
        </w:rPr>
        <w:t xml:space="preserve">financial markets </w:t>
      </w:r>
      <w:r w:rsidR="00F50B43" w:rsidRPr="00EA4B66">
        <w:rPr>
          <w:color w:val="000000" w:themeColor="text1"/>
          <w:sz w:val="24"/>
          <w:szCs w:val="24"/>
          <w:lang w:val="en-US"/>
        </w:rPr>
        <w:t xml:space="preserve">inherently </w:t>
      </w:r>
      <w:r w:rsidR="00A60025" w:rsidRPr="00EA4B66">
        <w:rPr>
          <w:color w:val="000000" w:themeColor="text1"/>
          <w:sz w:val="24"/>
          <w:szCs w:val="24"/>
          <w:lang w:val="en-US"/>
        </w:rPr>
        <w:t xml:space="preserve">perform </w:t>
      </w:r>
      <w:r w:rsidR="00F50B43" w:rsidRPr="00EA4B66">
        <w:rPr>
          <w:color w:val="000000" w:themeColor="text1"/>
          <w:sz w:val="24"/>
          <w:szCs w:val="24"/>
          <w:lang w:val="en-US"/>
        </w:rPr>
        <w:t xml:space="preserve">accurate </w:t>
      </w:r>
      <w:r w:rsidR="00A60025" w:rsidRPr="00EA4B66">
        <w:rPr>
          <w:color w:val="000000" w:themeColor="text1"/>
          <w:sz w:val="24"/>
          <w:szCs w:val="24"/>
          <w:lang w:val="en-US"/>
        </w:rPr>
        <w:t>valuation</w:t>
      </w:r>
      <w:r w:rsidR="00F50B43" w:rsidRPr="00EA4B66">
        <w:rPr>
          <w:color w:val="000000" w:themeColor="text1"/>
          <w:sz w:val="24"/>
          <w:szCs w:val="24"/>
          <w:lang w:val="en-US"/>
        </w:rPr>
        <w:t>s</w:t>
      </w:r>
      <w:r w:rsidR="00A60025" w:rsidRPr="00EA4B66">
        <w:rPr>
          <w:color w:val="000000" w:themeColor="text1"/>
          <w:sz w:val="24"/>
          <w:szCs w:val="24"/>
          <w:lang w:val="en-US"/>
        </w:rPr>
        <w:t xml:space="preserve">, and that any excess </w:t>
      </w:r>
      <w:r w:rsidR="00F50B43" w:rsidRPr="00EA4B66">
        <w:rPr>
          <w:color w:val="000000" w:themeColor="text1"/>
          <w:sz w:val="24"/>
          <w:szCs w:val="24"/>
          <w:lang w:val="en-US"/>
        </w:rPr>
        <w:t xml:space="preserve">of market </w:t>
      </w:r>
      <w:r w:rsidR="00A60025" w:rsidRPr="00EA4B66">
        <w:rPr>
          <w:color w:val="000000" w:themeColor="text1"/>
          <w:sz w:val="24"/>
          <w:szCs w:val="24"/>
          <w:lang w:val="en-US"/>
        </w:rPr>
        <w:t xml:space="preserve">over book value will </w:t>
      </w:r>
      <w:r w:rsidR="00F50B43" w:rsidRPr="00EA4B66">
        <w:rPr>
          <w:color w:val="000000" w:themeColor="text1"/>
          <w:sz w:val="24"/>
          <w:szCs w:val="24"/>
          <w:lang w:val="en-US"/>
        </w:rPr>
        <w:t xml:space="preserve">constitute a </w:t>
      </w:r>
      <w:r w:rsidR="00A60025" w:rsidRPr="00EA4B66">
        <w:rPr>
          <w:color w:val="000000" w:themeColor="text1"/>
          <w:sz w:val="24"/>
          <w:szCs w:val="24"/>
          <w:lang w:val="en-US"/>
        </w:rPr>
        <w:t xml:space="preserve">correct valuation of the firm’s </w:t>
      </w:r>
      <w:r w:rsidR="00E02B50">
        <w:rPr>
          <w:color w:val="000000" w:themeColor="text1"/>
          <w:sz w:val="24"/>
          <w:szCs w:val="24"/>
          <w:lang w:val="en-US"/>
        </w:rPr>
        <w:t>IA</w:t>
      </w:r>
      <w:r w:rsidR="00A60025" w:rsidRPr="00EA4B66">
        <w:rPr>
          <w:color w:val="000000" w:themeColor="text1"/>
          <w:sz w:val="24"/>
          <w:szCs w:val="24"/>
          <w:lang w:val="en-US"/>
        </w:rPr>
        <w:t xml:space="preserve"> (Lal Bhasin, 2012). </w:t>
      </w:r>
      <w:r w:rsidR="00AE125A" w:rsidRPr="00EA4B66">
        <w:rPr>
          <w:color w:val="000000" w:themeColor="text1"/>
          <w:sz w:val="24"/>
          <w:szCs w:val="24"/>
          <w:lang w:val="en-US"/>
        </w:rPr>
        <w:t>Thus</w:t>
      </w:r>
      <w:r w:rsidR="00A60025" w:rsidRPr="00EA4B66">
        <w:rPr>
          <w:color w:val="000000" w:themeColor="text1"/>
          <w:sz w:val="24"/>
          <w:szCs w:val="24"/>
          <w:lang w:val="en-US"/>
        </w:rPr>
        <w:t>, when there is a large difference between a firm’s market and book value</w:t>
      </w:r>
      <w:r w:rsidR="00AE125A" w:rsidRPr="00EA4B66">
        <w:rPr>
          <w:color w:val="000000" w:themeColor="text1"/>
          <w:sz w:val="24"/>
          <w:szCs w:val="24"/>
          <w:lang w:val="en-US"/>
        </w:rPr>
        <w:t>s</w:t>
      </w:r>
      <w:r w:rsidR="00A60025" w:rsidRPr="00EA4B66">
        <w:rPr>
          <w:color w:val="000000" w:themeColor="text1"/>
          <w:sz w:val="24"/>
          <w:szCs w:val="24"/>
          <w:lang w:val="en-US"/>
        </w:rPr>
        <w:t xml:space="preserve">, that difference </w:t>
      </w:r>
      <w:r w:rsidR="00AE125A" w:rsidRPr="00EA4B66">
        <w:rPr>
          <w:color w:val="000000" w:themeColor="text1"/>
          <w:sz w:val="24"/>
          <w:szCs w:val="24"/>
          <w:lang w:val="en-US"/>
        </w:rPr>
        <w:t xml:space="preserve">may </w:t>
      </w:r>
      <w:r w:rsidR="008A3286" w:rsidRPr="00EA4B66">
        <w:rPr>
          <w:color w:val="000000" w:themeColor="text1"/>
          <w:sz w:val="24"/>
          <w:szCs w:val="24"/>
          <w:lang w:val="en-US"/>
        </w:rPr>
        <w:t>be</w:t>
      </w:r>
      <w:r w:rsidR="00A60025" w:rsidRPr="00EA4B66">
        <w:rPr>
          <w:color w:val="000000" w:themeColor="text1"/>
          <w:sz w:val="24"/>
          <w:szCs w:val="24"/>
          <w:lang w:val="en-US"/>
        </w:rPr>
        <w:t xml:space="preserve"> attributed to IC (Edvinsson and Malone, 1997;</w:t>
      </w:r>
      <w:r w:rsidR="008E0F10" w:rsidRPr="00EA4B66">
        <w:rPr>
          <w:color w:val="000000" w:themeColor="text1"/>
          <w:lang w:val="en-US"/>
        </w:rPr>
        <w:t xml:space="preserve"> </w:t>
      </w:r>
      <w:r w:rsidR="008E0F10" w:rsidRPr="00EA4B66">
        <w:rPr>
          <w:color w:val="000000" w:themeColor="text1"/>
          <w:sz w:val="24"/>
          <w:szCs w:val="24"/>
          <w:lang w:val="en-US"/>
        </w:rPr>
        <w:t xml:space="preserve">Brennan, 2001; </w:t>
      </w:r>
      <w:r w:rsidR="007A3F24" w:rsidRPr="00EA4B66">
        <w:rPr>
          <w:rFonts w:cs="Calibri"/>
          <w:color w:val="000000" w:themeColor="text1"/>
          <w:sz w:val="24"/>
          <w:szCs w:val="24"/>
          <w:lang w:val="en-US"/>
        </w:rPr>
        <w:t xml:space="preserve">Ordóñez </w:t>
      </w:r>
      <w:r w:rsidR="008E0F10" w:rsidRPr="00EA4B66">
        <w:rPr>
          <w:color w:val="000000" w:themeColor="text1"/>
          <w:sz w:val="24"/>
          <w:szCs w:val="24"/>
          <w:lang w:val="en-US"/>
        </w:rPr>
        <w:t>de Pablos, 2003;</w:t>
      </w:r>
      <w:r w:rsidR="00A60025" w:rsidRPr="00EA4B66">
        <w:rPr>
          <w:color w:val="000000" w:themeColor="text1"/>
          <w:sz w:val="24"/>
          <w:szCs w:val="24"/>
          <w:lang w:val="en-US"/>
        </w:rPr>
        <w:t xml:space="preserve"> Kok, 2007; </w:t>
      </w:r>
      <w:r w:rsidR="008E0F10" w:rsidRPr="00EA4B66">
        <w:rPr>
          <w:color w:val="000000" w:themeColor="text1"/>
          <w:sz w:val="24"/>
          <w:szCs w:val="24"/>
          <w:lang w:val="en-US"/>
        </w:rPr>
        <w:t xml:space="preserve">Whiting and Miller, 2008; </w:t>
      </w:r>
      <w:r w:rsidR="00A60025" w:rsidRPr="00EA4B66">
        <w:rPr>
          <w:color w:val="000000" w:themeColor="text1"/>
          <w:sz w:val="24"/>
          <w:szCs w:val="24"/>
          <w:lang w:val="en-US"/>
        </w:rPr>
        <w:t>Lal Bhasin, 2012</w:t>
      </w:r>
      <w:r w:rsidR="008E0F10" w:rsidRPr="00EA4B66">
        <w:rPr>
          <w:color w:val="000000" w:themeColor="text1"/>
          <w:sz w:val="24"/>
          <w:szCs w:val="24"/>
          <w:lang w:val="en-US"/>
        </w:rPr>
        <w:t>;</w:t>
      </w:r>
      <w:r w:rsidR="008E0F10" w:rsidRPr="00EA4B66">
        <w:rPr>
          <w:color w:val="000000" w:themeColor="text1"/>
          <w:lang w:val="en-US"/>
        </w:rPr>
        <w:t xml:space="preserve"> </w:t>
      </w:r>
      <w:r w:rsidR="008E0F10" w:rsidRPr="00EA4B66">
        <w:rPr>
          <w:color w:val="000000" w:themeColor="text1"/>
          <w:sz w:val="24"/>
          <w:szCs w:val="24"/>
          <w:lang w:val="en-US"/>
        </w:rPr>
        <w:t xml:space="preserve">Kuo-An Tseng </w:t>
      </w:r>
      <w:r w:rsidR="008E0F10" w:rsidRPr="00EA4B66">
        <w:rPr>
          <w:i/>
          <w:color w:val="000000" w:themeColor="text1"/>
          <w:sz w:val="24"/>
          <w:szCs w:val="24"/>
          <w:lang w:val="en-US"/>
        </w:rPr>
        <w:t>et al</w:t>
      </w:r>
      <w:r w:rsidR="008E0F10" w:rsidRPr="00EA4B66">
        <w:rPr>
          <w:color w:val="000000" w:themeColor="text1"/>
          <w:sz w:val="24"/>
          <w:szCs w:val="24"/>
          <w:lang w:val="en-US"/>
        </w:rPr>
        <w:t>., 2015</w:t>
      </w:r>
      <w:r w:rsidR="00A60025" w:rsidRPr="00EA4B66">
        <w:rPr>
          <w:color w:val="000000" w:themeColor="text1"/>
          <w:sz w:val="24"/>
          <w:szCs w:val="24"/>
          <w:lang w:val="en-US"/>
        </w:rPr>
        <w:t xml:space="preserve">). </w:t>
      </w:r>
    </w:p>
    <w:p w14:paraId="3E5A9DA2" w14:textId="50F32913" w:rsidR="00DA4B65" w:rsidRPr="00EA4B66" w:rsidRDefault="00DA4B65" w:rsidP="00DA4B65">
      <w:pPr>
        <w:spacing w:after="0" w:line="240" w:lineRule="auto"/>
        <w:jc w:val="both"/>
        <w:rPr>
          <w:color w:val="000000" w:themeColor="text1"/>
          <w:sz w:val="24"/>
          <w:lang w:val="en-US"/>
        </w:rPr>
      </w:pPr>
      <w:r w:rsidRPr="00EA4B66">
        <w:rPr>
          <w:color w:val="000000" w:themeColor="text1"/>
          <w:sz w:val="24"/>
          <w:szCs w:val="24"/>
          <w:lang w:val="en-US"/>
        </w:rPr>
        <w:t xml:space="preserve">   </w:t>
      </w:r>
      <w:r w:rsidR="00A60025" w:rsidRPr="00EA4B66">
        <w:rPr>
          <w:color w:val="000000" w:themeColor="text1"/>
          <w:sz w:val="24"/>
          <w:szCs w:val="24"/>
          <w:lang w:val="en-US"/>
        </w:rPr>
        <w:t xml:space="preserve">However, some </w:t>
      </w:r>
      <w:r w:rsidR="00772CBA" w:rsidRPr="00EA4B66">
        <w:rPr>
          <w:color w:val="000000" w:themeColor="text1"/>
          <w:sz w:val="24"/>
          <w:szCs w:val="24"/>
          <w:lang w:val="en-US"/>
        </w:rPr>
        <w:t xml:space="preserve">shortcomings </w:t>
      </w:r>
      <w:r w:rsidR="00A60025" w:rsidRPr="00EA4B66">
        <w:rPr>
          <w:color w:val="000000" w:themeColor="text1"/>
          <w:sz w:val="24"/>
          <w:szCs w:val="24"/>
          <w:lang w:val="en-US"/>
        </w:rPr>
        <w:t>of th</w:t>
      </w:r>
      <w:r w:rsidR="00F50B43" w:rsidRPr="00EA4B66">
        <w:rPr>
          <w:color w:val="000000" w:themeColor="text1"/>
          <w:sz w:val="24"/>
          <w:szCs w:val="24"/>
          <w:lang w:val="en-US"/>
        </w:rPr>
        <w:t>e MTB</w:t>
      </w:r>
      <w:r w:rsidR="00A60025" w:rsidRPr="00EA4B66">
        <w:rPr>
          <w:color w:val="000000" w:themeColor="text1"/>
          <w:sz w:val="24"/>
          <w:szCs w:val="24"/>
          <w:lang w:val="en-US"/>
        </w:rPr>
        <w:t xml:space="preserve"> ratio as an estimator of IC value </w:t>
      </w:r>
      <w:r w:rsidR="00F50B43" w:rsidRPr="00EA4B66">
        <w:rPr>
          <w:color w:val="000000" w:themeColor="text1"/>
          <w:sz w:val="24"/>
          <w:szCs w:val="24"/>
          <w:lang w:val="en-US"/>
        </w:rPr>
        <w:t>may also be identified</w:t>
      </w:r>
      <w:r w:rsidR="00A60025" w:rsidRPr="00EA4B66">
        <w:rPr>
          <w:color w:val="000000" w:themeColor="text1"/>
          <w:sz w:val="24"/>
          <w:szCs w:val="24"/>
          <w:lang w:val="en-US"/>
        </w:rPr>
        <w:t xml:space="preserve">. Dumay (2012) and Goebel (2015) criticize the </w:t>
      </w:r>
      <w:r w:rsidR="00EB74E7" w:rsidRPr="00EA4B66">
        <w:rPr>
          <w:color w:val="000000" w:themeColor="text1"/>
          <w:sz w:val="24"/>
          <w:szCs w:val="24"/>
          <w:lang w:val="en-US"/>
        </w:rPr>
        <w:t>MTB</w:t>
      </w:r>
      <w:r w:rsidR="00A60025" w:rsidRPr="00EA4B66">
        <w:rPr>
          <w:color w:val="000000" w:themeColor="text1"/>
          <w:sz w:val="24"/>
          <w:szCs w:val="24"/>
          <w:lang w:val="en-US"/>
        </w:rPr>
        <w:t xml:space="preserve"> ratio as </w:t>
      </w:r>
      <w:r w:rsidR="00EB74E7" w:rsidRPr="00EA4B66">
        <w:rPr>
          <w:color w:val="000000" w:themeColor="text1"/>
          <w:sz w:val="24"/>
          <w:szCs w:val="24"/>
          <w:lang w:val="en-US"/>
        </w:rPr>
        <w:t xml:space="preserve">an </w:t>
      </w:r>
      <w:r w:rsidR="00A60025" w:rsidRPr="00EA4B66">
        <w:rPr>
          <w:color w:val="000000" w:themeColor="text1"/>
          <w:sz w:val="24"/>
          <w:szCs w:val="24"/>
          <w:lang w:val="en-US"/>
        </w:rPr>
        <w:t>indicator of IC value</w:t>
      </w:r>
      <w:r w:rsidR="00EB74E7" w:rsidRPr="00EA4B66">
        <w:rPr>
          <w:color w:val="000000" w:themeColor="text1"/>
          <w:sz w:val="24"/>
          <w:szCs w:val="24"/>
          <w:lang w:val="en-US"/>
        </w:rPr>
        <w:t xml:space="preserve"> due to</w:t>
      </w:r>
      <w:r w:rsidR="00A60025" w:rsidRPr="00EA4B66">
        <w:rPr>
          <w:color w:val="000000" w:themeColor="text1"/>
          <w:sz w:val="24"/>
          <w:szCs w:val="24"/>
          <w:lang w:val="en-US"/>
        </w:rPr>
        <w:t xml:space="preserve">: </w:t>
      </w:r>
      <w:r w:rsidR="00EB74E7" w:rsidRPr="00EA4B66">
        <w:rPr>
          <w:color w:val="000000" w:themeColor="text1"/>
          <w:sz w:val="24"/>
          <w:szCs w:val="24"/>
          <w:lang w:val="en-US"/>
        </w:rPr>
        <w:t xml:space="preserve">(i) </w:t>
      </w:r>
      <w:r w:rsidR="00772CBA" w:rsidRPr="00EA4B66">
        <w:rPr>
          <w:color w:val="000000" w:themeColor="text1"/>
          <w:sz w:val="24"/>
          <w:szCs w:val="24"/>
          <w:lang w:val="en-US"/>
        </w:rPr>
        <w:t xml:space="preserve">the application of </w:t>
      </w:r>
      <w:r w:rsidR="00A60025" w:rsidRPr="00EA4B66">
        <w:rPr>
          <w:color w:val="000000" w:themeColor="text1"/>
          <w:sz w:val="24"/>
          <w:szCs w:val="24"/>
          <w:lang w:val="en-US"/>
        </w:rPr>
        <w:t>historic cost accounting (</w:t>
      </w:r>
      <w:r w:rsidR="00EB74E7" w:rsidRPr="00EA4B66">
        <w:rPr>
          <w:color w:val="000000" w:themeColor="text1"/>
          <w:sz w:val="24"/>
          <w:szCs w:val="24"/>
          <w:lang w:val="en-US"/>
        </w:rPr>
        <w:t xml:space="preserve">which </w:t>
      </w:r>
      <w:r w:rsidR="00A60025" w:rsidRPr="00EA4B66">
        <w:rPr>
          <w:color w:val="000000" w:themeColor="text1"/>
          <w:sz w:val="24"/>
          <w:szCs w:val="24"/>
          <w:lang w:val="en-US"/>
        </w:rPr>
        <w:t>influenc</w:t>
      </w:r>
      <w:r w:rsidR="00EB74E7" w:rsidRPr="00EA4B66">
        <w:rPr>
          <w:color w:val="000000" w:themeColor="text1"/>
          <w:sz w:val="24"/>
          <w:szCs w:val="24"/>
          <w:lang w:val="en-US"/>
        </w:rPr>
        <w:t>es</w:t>
      </w:r>
      <w:r w:rsidR="00A60025" w:rsidRPr="00EA4B66">
        <w:rPr>
          <w:color w:val="000000" w:themeColor="text1"/>
          <w:sz w:val="24"/>
          <w:szCs w:val="24"/>
          <w:lang w:val="en-US"/>
        </w:rPr>
        <w:t xml:space="preserve"> book value)</w:t>
      </w:r>
      <w:r w:rsidR="00EB74E7" w:rsidRPr="00EA4B66">
        <w:rPr>
          <w:color w:val="000000" w:themeColor="text1"/>
          <w:sz w:val="24"/>
          <w:szCs w:val="24"/>
          <w:lang w:val="en-US"/>
        </w:rPr>
        <w:t>;</w:t>
      </w:r>
      <w:r w:rsidR="00A60025" w:rsidRPr="00EA4B66">
        <w:rPr>
          <w:color w:val="000000" w:themeColor="text1"/>
          <w:sz w:val="24"/>
          <w:szCs w:val="24"/>
          <w:lang w:val="en-US"/>
        </w:rPr>
        <w:t xml:space="preserve"> and </w:t>
      </w:r>
      <w:r w:rsidR="00EB74E7" w:rsidRPr="00EA4B66">
        <w:rPr>
          <w:color w:val="000000" w:themeColor="text1"/>
          <w:sz w:val="24"/>
          <w:szCs w:val="24"/>
          <w:lang w:val="en-US"/>
        </w:rPr>
        <w:t xml:space="preserve">(ii) </w:t>
      </w:r>
      <w:r w:rsidR="00A60025" w:rsidRPr="00EA4B66">
        <w:rPr>
          <w:color w:val="000000" w:themeColor="text1"/>
          <w:sz w:val="24"/>
          <w:szCs w:val="24"/>
          <w:lang w:val="en-US"/>
        </w:rPr>
        <w:t xml:space="preserve">market value fluctuations </w:t>
      </w:r>
      <w:r w:rsidR="00EB74E7" w:rsidRPr="00EA4B66">
        <w:rPr>
          <w:color w:val="000000" w:themeColor="text1"/>
          <w:sz w:val="24"/>
          <w:szCs w:val="24"/>
          <w:lang w:val="en-US"/>
        </w:rPr>
        <w:t>being potentially driven by</w:t>
      </w:r>
      <w:r w:rsidR="00A60025" w:rsidRPr="00EA4B66">
        <w:rPr>
          <w:color w:val="000000" w:themeColor="text1"/>
          <w:sz w:val="24"/>
          <w:szCs w:val="24"/>
          <w:lang w:val="en-US"/>
        </w:rPr>
        <w:t xml:space="preserve"> environment or economic factors </w:t>
      </w:r>
      <w:r w:rsidR="00EB74E7" w:rsidRPr="00EA4B66">
        <w:rPr>
          <w:color w:val="000000" w:themeColor="text1"/>
          <w:sz w:val="24"/>
          <w:szCs w:val="24"/>
          <w:lang w:val="en-US"/>
        </w:rPr>
        <w:t xml:space="preserve">other </w:t>
      </w:r>
      <w:r w:rsidR="00A60025" w:rsidRPr="00EA4B66">
        <w:rPr>
          <w:color w:val="000000" w:themeColor="text1"/>
          <w:sz w:val="24"/>
          <w:szCs w:val="24"/>
          <w:lang w:val="en-US"/>
        </w:rPr>
        <w:t>than IC value.</w:t>
      </w:r>
      <w:r w:rsidR="00772CBA" w:rsidRPr="00EA4B66">
        <w:rPr>
          <w:color w:val="000000" w:themeColor="text1"/>
          <w:sz w:val="24"/>
          <w:szCs w:val="24"/>
          <w:lang w:val="en-US"/>
        </w:rPr>
        <w:t xml:space="preserve"> </w:t>
      </w:r>
      <w:r w:rsidR="00D0167E" w:rsidRPr="00EA4B66">
        <w:rPr>
          <w:color w:val="000000" w:themeColor="text1"/>
          <w:sz w:val="24"/>
          <w:szCs w:val="24"/>
          <w:lang w:val="en-US"/>
        </w:rPr>
        <w:t>T</w:t>
      </w:r>
      <w:r w:rsidR="00772CBA" w:rsidRPr="00EA4B66">
        <w:rPr>
          <w:color w:val="000000" w:themeColor="text1"/>
          <w:sz w:val="24"/>
          <w:szCs w:val="24"/>
          <w:lang w:val="en-US"/>
        </w:rPr>
        <w:t>he</w:t>
      </w:r>
      <w:r w:rsidR="008E2A8D" w:rsidRPr="00EA4B66">
        <w:rPr>
          <w:color w:val="000000" w:themeColor="text1"/>
          <w:sz w:val="24"/>
          <w:szCs w:val="24"/>
          <w:lang w:val="en-US"/>
        </w:rPr>
        <w:t xml:space="preserve"> </w:t>
      </w:r>
      <w:r w:rsidR="00772CBA" w:rsidRPr="00EA4B66">
        <w:rPr>
          <w:color w:val="000000" w:themeColor="text1"/>
          <w:sz w:val="24"/>
          <w:szCs w:val="24"/>
          <w:lang w:val="en-US"/>
        </w:rPr>
        <w:t xml:space="preserve">study </w:t>
      </w:r>
      <w:r w:rsidR="008E2A8D" w:rsidRPr="00EA4B66">
        <w:rPr>
          <w:color w:val="000000" w:themeColor="text1"/>
          <w:sz w:val="24"/>
          <w:szCs w:val="24"/>
          <w:lang w:val="en-US"/>
        </w:rPr>
        <w:t xml:space="preserve">sample </w:t>
      </w:r>
      <w:r w:rsidR="00D0167E" w:rsidRPr="00EA4B66">
        <w:rPr>
          <w:color w:val="000000" w:themeColor="text1"/>
          <w:sz w:val="24"/>
          <w:szCs w:val="24"/>
          <w:lang w:val="en-US"/>
        </w:rPr>
        <w:t>in</w:t>
      </w:r>
      <w:r w:rsidR="00772CBA" w:rsidRPr="00EA4B66">
        <w:rPr>
          <w:color w:val="000000" w:themeColor="text1"/>
          <w:sz w:val="24"/>
          <w:szCs w:val="24"/>
          <w:lang w:val="en-US"/>
        </w:rPr>
        <w:t xml:space="preserve"> this paper consists </w:t>
      </w:r>
      <w:r w:rsidR="008E2A8D" w:rsidRPr="00EA4B66">
        <w:rPr>
          <w:color w:val="000000" w:themeColor="text1"/>
          <w:sz w:val="24"/>
          <w:szCs w:val="24"/>
          <w:lang w:val="en-US"/>
        </w:rPr>
        <w:t xml:space="preserve">of listed firms </w:t>
      </w:r>
      <w:r w:rsidR="00772CBA" w:rsidRPr="00EA4B66">
        <w:rPr>
          <w:color w:val="000000" w:themeColor="text1"/>
          <w:sz w:val="24"/>
          <w:szCs w:val="24"/>
          <w:lang w:val="en-US"/>
        </w:rPr>
        <w:t xml:space="preserve">which </w:t>
      </w:r>
      <w:r w:rsidR="008E2A8D" w:rsidRPr="00EA4B66">
        <w:rPr>
          <w:color w:val="000000" w:themeColor="text1"/>
          <w:sz w:val="24"/>
          <w:szCs w:val="24"/>
          <w:lang w:val="en-US"/>
        </w:rPr>
        <w:t>prepar</w:t>
      </w:r>
      <w:r w:rsidR="00772CBA" w:rsidRPr="00EA4B66">
        <w:rPr>
          <w:color w:val="000000" w:themeColor="text1"/>
          <w:sz w:val="24"/>
          <w:szCs w:val="24"/>
          <w:lang w:val="en-US"/>
        </w:rPr>
        <w:t>e</w:t>
      </w:r>
      <w:r w:rsidR="008E2A8D" w:rsidRPr="00EA4B66">
        <w:rPr>
          <w:color w:val="000000" w:themeColor="text1"/>
          <w:sz w:val="24"/>
          <w:szCs w:val="24"/>
          <w:lang w:val="en-US"/>
        </w:rPr>
        <w:t xml:space="preserve"> their financial statement</w:t>
      </w:r>
      <w:r w:rsidR="004825D9" w:rsidRPr="00EA4B66">
        <w:rPr>
          <w:color w:val="000000" w:themeColor="text1"/>
          <w:sz w:val="24"/>
          <w:szCs w:val="24"/>
          <w:lang w:val="en-US"/>
        </w:rPr>
        <w:t>s</w:t>
      </w:r>
      <w:r w:rsidR="008E2A8D" w:rsidRPr="00EA4B66">
        <w:rPr>
          <w:color w:val="000000" w:themeColor="text1"/>
          <w:sz w:val="24"/>
          <w:szCs w:val="24"/>
          <w:lang w:val="en-US"/>
        </w:rPr>
        <w:t xml:space="preserve"> following IAS/IFRS, so the problem of historic cost accounting is </w:t>
      </w:r>
      <w:r w:rsidR="00772CBA" w:rsidRPr="00EA4B66">
        <w:rPr>
          <w:color w:val="000000" w:themeColor="text1"/>
          <w:sz w:val="24"/>
          <w:szCs w:val="24"/>
          <w:lang w:val="en-US"/>
        </w:rPr>
        <w:t xml:space="preserve">at least partially </w:t>
      </w:r>
      <w:r w:rsidR="008E2A8D" w:rsidRPr="00EA4B66">
        <w:rPr>
          <w:color w:val="000000" w:themeColor="text1"/>
          <w:sz w:val="24"/>
          <w:szCs w:val="24"/>
          <w:lang w:val="en-US"/>
        </w:rPr>
        <w:t xml:space="preserve">avoided </w:t>
      </w:r>
      <w:r w:rsidR="00772CBA" w:rsidRPr="00EA4B66">
        <w:rPr>
          <w:color w:val="000000" w:themeColor="text1"/>
          <w:sz w:val="24"/>
          <w:szCs w:val="24"/>
          <w:lang w:val="en-US"/>
        </w:rPr>
        <w:t xml:space="preserve">as </w:t>
      </w:r>
      <w:r w:rsidR="008E2A8D" w:rsidRPr="00EA4B66">
        <w:rPr>
          <w:color w:val="000000" w:themeColor="text1"/>
          <w:sz w:val="24"/>
          <w:szCs w:val="24"/>
          <w:lang w:val="en-US"/>
        </w:rPr>
        <w:t xml:space="preserve">most of </w:t>
      </w:r>
      <w:r w:rsidR="00772CBA" w:rsidRPr="00EA4B66">
        <w:rPr>
          <w:color w:val="000000" w:themeColor="text1"/>
          <w:sz w:val="24"/>
          <w:szCs w:val="24"/>
          <w:lang w:val="en-US"/>
        </w:rPr>
        <w:t xml:space="preserve">the </w:t>
      </w:r>
      <w:r w:rsidR="008E2A8D" w:rsidRPr="00EA4B66">
        <w:rPr>
          <w:color w:val="000000" w:themeColor="text1"/>
          <w:sz w:val="24"/>
          <w:szCs w:val="24"/>
          <w:lang w:val="en-US"/>
        </w:rPr>
        <w:t xml:space="preserve">assets and liabilities are assessed at </w:t>
      </w:r>
      <w:r w:rsidR="00431049" w:rsidRPr="00EA4B66">
        <w:rPr>
          <w:color w:val="000000" w:themeColor="text1"/>
          <w:sz w:val="24"/>
          <w:szCs w:val="24"/>
          <w:lang w:val="en-US"/>
        </w:rPr>
        <w:t xml:space="preserve">their </w:t>
      </w:r>
      <w:r w:rsidR="008E2A8D" w:rsidRPr="00EA4B66">
        <w:rPr>
          <w:color w:val="000000" w:themeColor="text1"/>
          <w:sz w:val="24"/>
          <w:szCs w:val="24"/>
          <w:lang w:val="en-US"/>
        </w:rPr>
        <w:t>“fair” values. Furthermore</w:t>
      </w:r>
      <w:r w:rsidR="00A90D4C" w:rsidRPr="00EA4B66">
        <w:rPr>
          <w:color w:val="000000" w:themeColor="text1"/>
          <w:sz w:val="24"/>
          <w:szCs w:val="24"/>
          <w:lang w:val="en-US"/>
        </w:rPr>
        <w:t xml:space="preserve">, </w:t>
      </w:r>
      <w:r w:rsidR="00772CBA" w:rsidRPr="00EA4B66">
        <w:rPr>
          <w:color w:val="000000" w:themeColor="text1"/>
          <w:sz w:val="24"/>
          <w:szCs w:val="24"/>
          <w:lang w:val="en-US"/>
        </w:rPr>
        <w:t xml:space="preserve">the </w:t>
      </w:r>
      <w:r w:rsidR="00A329F9">
        <w:rPr>
          <w:color w:val="000000" w:themeColor="text1"/>
          <w:sz w:val="24"/>
          <w:szCs w:val="24"/>
          <w:lang w:val="en-US"/>
        </w:rPr>
        <w:t>MTB</w:t>
      </w:r>
      <w:r w:rsidR="008E0F10" w:rsidRPr="00EA4B66">
        <w:rPr>
          <w:color w:val="000000" w:themeColor="text1"/>
          <w:sz w:val="24"/>
          <w:szCs w:val="24"/>
          <w:lang w:val="en-US"/>
        </w:rPr>
        <w:t xml:space="preserve"> ratio </w:t>
      </w:r>
      <w:r w:rsidR="00772CBA" w:rsidRPr="00EA4B66">
        <w:rPr>
          <w:color w:val="000000" w:themeColor="text1"/>
          <w:sz w:val="24"/>
          <w:szCs w:val="24"/>
          <w:lang w:val="en-US"/>
        </w:rPr>
        <w:t xml:space="preserve">is measured in this paper as </w:t>
      </w:r>
      <w:r w:rsidR="008E0F10" w:rsidRPr="00EA4B66">
        <w:rPr>
          <w:color w:val="000000" w:themeColor="text1"/>
          <w:sz w:val="24"/>
          <w:szCs w:val="24"/>
          <w:lang w:val="en-US"/>
        </w:rPr>
        <w:t>the mean MTB between the beginning and the end of year value</w:t>
      </w:r>
      <w:r w:rsidR="008E2A8D" w:rsidRPr="00EA4B66">
        <w:rPr>
          <w:color w:val="000000" w:themeColor="text1"/>
          <w:sz w:val="24"/>
          <w:szCs w:val="24"/>
          <w:lang w:val="en-US"/>
        </w:rPr>
        <w:t xml:space="preserve">, in order to reduce the effect of market value fluctuations. Finally, </w:t>
      </w:r>
      <w:r w:rsidR="00990172" w:rsidRPr="00EA4B66">
        <w:rPr>
          <w:color w:val="000000" w:themeColor="text1"/>
          <w:sz w:val="24"/>
          <w:szCs w:val="24"/>
          <w:lang w:val="en-US"/>
        </w:rPr>
        <w:t>ease</w:t>
      </w:r>
      <w:r w:rsidR="00493605" w:rsidRPr="00EA4B66">
        <w:rPr>
          <w:color w:val="000000" w:themeColor="text1"/>
          <w:sz w:val="24"/>
          <w:szCs w:val="24"/>
          <w:lang w:val="en-US"/>
        </w:rPr>
        <w:t xml:space="preserve"> </w:t>
      </w:r>
      <w:r w:rsidR="00990172" w:rsidRPr="00EA4B66">
        <w:rPr>
          <w:color w:val="000000" w:themeColor="text1"/>
          <w:sz w:val="24"/>
          <w:szCs w:val="24"/>
          <w:lang w:val="en-US"/>
        </w:rPr>
        <w:t xml:space="preserve">of calculation and </w:t>
      </w:r>
      <w:r w:rsidR="00E1772D" w:rsidRPr="00EA4B66">
        <w:rPr>
          <w:color w:val="000000" w:themeColor="text1"/>
          <w:sz w:val="24"/>
          <w:szCs w:val="24"/>
          <w:lang w:val="en-US"/>
        </w:rPr>
        <w:t xml:space="preserve">the availability of </w:t>
      </w:r>
      <w:r w:rsidR="00990172" w:rsidRPr="00EA4B66">
        <w:rPr>
          <w:color w:val="000000" w:themeColor="text1"/>
          <w:sz w:val="24"/>
          <w:szCs w:val="24"/>
          <w:lang w:val="en-US"/>
        </w:rPr>
        <w:t xml:space="preserve">data </w:t>
      </w:r>
      <w:r w:rsidR="00E1772D" w:rsidRPr="00EA4B66">
        <w:rPr>
          <w:color w:val="000000" w:themeColor="text1"/>
          <w:sz w:val="24"/>
          <w:szCs w:val="24"/>
          <w:lang w:val="en-US"/>
        </w:rPr>
        <w:t>are also important considerations which render</w:t>
      </w:r>
      <w:r w:rsidR="00990172" w:rsidRPr="00EA4B66">
        <w:rPr>
          <w:color w:val="000000" w:themeColor="text1"/>
          <w:sz w:val="24"/>
          <w:szCs w:val="24"/>
          <w:lang w:val="en-US"/>
        </w:rPr>
        <w:t xml:space="preserve"> this</w:t>
      </w:r>
      <w:r w:rsidR="00493605" w:rsidRPr="00EA4B66">
        <w:rPr>
          <w:color w:val="000000" w:themeColor="text1"/>
          <w:sz w:val="24"/>
          <w:szCs w:val="24"/>
          <w:lang w:val="en-US"/>
        </w:rPr>
        <w:t xml:space="preserve"> </w:t>
      </w:r>
      <w:r w:rsidR="00E1772D" w:rsidRPr="00EA4B66">
        <w:rPr>
          <w:color w:val="000000" w:themeColor="text1"/>
          <w:sz w:val="24"/>
          <w:szCs w:val="24"/>
          <w:lang w:val="en-US"/>
        </w:rPr>
        <w:t xml:space="preserve">measure </w:t>
      </w:r>
      <w:r w:rsidR="00990172" w:rsidRPr="00EA4B66">
        <w:rPr>
          <w:color w:val="000000" w:themeColor="text1"/>
          <w:sz w:val="24"/>
          <w:szCs w:val="24"/>
          <w:lang w:val="en-US"/>
        </w:rPr>
        <w:t xml:space="preserve">one of the most </w:t>
      </w:r>
      <w:r w:rsidR="00E1772D" w:rsidRPr="00EA4B66">
        <w:rPr>
          <w:color w:val="000000" w:themeColor="text1"/>
          <w:sz w:val="24"/>
          <w:szCs w:val="24"/>
          <w:lang w:val="en-US"/>
        </w:rPr>
        <w:t xml:space="preserve">widely </w:t>
      </w:r>
      <w:r w:rsidR="00990172" w:rsidRPr="00EA4B66">
        <w:rPr>
          <w:color w:val="000000" w:themeColor="text1"/>
          <w:sz w:val="24"/>
          <w:szCs w:val="24"/>
          <w:lang w:val="en-US"/>
        </w:rPr>
        <w:t>used tools to evaluate IC</w:t>
      </w:r>
      <w:r w:rsidR="00493605" w:rsidRPr="00EA4B66">
        <w:rPr>
          <w:color w:val="000000" w:themeColor="text1"/>
          <w:sz w:val="24"/>
          <w:szCs w:val="24"/>
          <w:lang w:val="en-US"/>
        </w:rPr>
        <w:t xml:space="preserve"> </w:t>
      </w:r>
      <w:r w:rsidR="00990172" w:rsidRPr="00EA4B66">
        <w:rPr>
          <w:color w:val="000000" w:themeColor="text1"/>
          <w:sz w:val="24"/>
          <w:szCs w:val="24"/>
          <w:lang w:val="en-US"/>
        </w:rPr>
        <w:t xml:space="preserve">among </w:t>
      </w:r>
      <w:r w:rsidR="00E1772D" w:rsidRPr="00EA4B66">
        <w:rPr>
          <w:color w:val="000000" w:themeColor="text1"/>
          <w:sz w:val="24"/>
          <w:szCs w:val="24"/>
          <w:lang w:val="en-US"/>
        </w:rPr>
        <w:t xml:space="preserve">the alternatives </w:t>
      </w:r>
      <w:r w:rsidR="008E2A8D" w:rsidRPr="00EA4B66">
        <w:rPr>
          <w:color w:val="000000" w:themeColor="text1"/>
          <w:sz w:val="24"/>
          <w:szCs w:val="24"/>
          <w:lang w:val="en-US"/>
        </w:rPr>
        <w:t>(</w:t>
      </w:r>
      <w:r w:rsidR="00990172" w:rsidRPr="00EA4B66">
        <w:rPr>
          <w:color w:val="000000" w:themeColor="text1"/>
          <w:sz w:val="24"/>
          <w:szCs w:val="24"/>
          <w:lang w:val="en-US"/>
        </w:rPr>
        <w:t>Ghosh and Wu</w:t>
      </w:r>
      <w:r w:rsidR="008E2A8D" w:rsidRPr="00EA4B66">
        <w:rPr>
          <w:color w:val="000000" w:themeColor="text1"/>
          <w:sz w:val="24"/>
          <w:szCs w:val="24"/>
          <w:lang w:val="en-US"/>
        </w:rPr>
        <w:t xml:space="preserve">, </w:t>
      </w:r>
      <w:r w:rsidR="00990172" w:rsidRPr="00EA4B66">
        <w:rPr>
          <w:color w:val="000000" w:themeColor="text1"/>
          <w:sz w:val="24"/>
          <w:szCs w:val="24"/>
          <w:lang w:val="en-US"/>
        </w:rPr>
        <w:t>2007</w:t>
      </w:r>
      <w:r w:rsidR="008E2A8D" w:rsidRPr="00EA4B66">
        <w:rPr>
          <w:color w:val="000000" w:themeColor="text1"/>
          <w:sz w:val="24"/>
          <w:szCs w:val="24"/>
          <w:lang w:val="en-US"/>
        </w:rPr>
        <w:t>;</w:t>
      </w:r>
      <w:r w:rsidR="00E1772D" w:rsidRPr="00EA4B66">
        <w:rPr>
          <w:color w:val="000000" w:themeColor="text1"/>
          <w:sz w:val="24"/>
          <w:szCs w:val="24"/>
          <w:lang w:val="en-US"/>
        </w:rPr>
        <w:t xml:space="preserve"> </w:t>
      </w:r>
      <w:r w:rsidR="002104C0" w:rsidRPr="00EA4B66">
        <w:rPr>
          <w:color w:val="000000" w:themeColor="text1"/>
          <w:sz w:val="24"/>
          <w:szCs w:val="24"/>
          <w:lang w:val="en-US"/>
        </w:rPr>
        <w:t>Gody</w:t>
      </w:r>
      <w:r w:rsidR="00DD7424" w:rsidRPr="00EA4B66">
        <w:rPr>
          <w:color w:val="000000" w:themeColor="text1"/>
          <w:sz w:val="24"/>
          <w:szCs w:val="24"/>
          <w:lang w:val="en-US"/>
        </w:rPr>
        <w:t>n, 2013</w:t>
      </w:r>
      <w:r w:rsidR="008E2A8D" w:rsidRPr="00EA4B66">
        <w:rPr>
          <w:color w:val="000000" w:themeColor="text1"/>
          <w:sz w:val="24"/>
          <w:szCs w:val="24"/>
          <w:lang w:val="en-US"/>
        </w:rPr>
        <w:t>)</w:t>
      </w:r>
      <w:r w:rsidR="00E1772D" w:rsidRPr="00EA4B66">
        <w:rPr>
          <w:color w:val="000000" w:themeColor="text1"/>
          <w:sz w:val="24"/>
          <w:szCs w:val="24"/>
          <w:lang w:val="en-US"/>
        </w:rPr>
        <w:t>. T</w:t>
      </w:r>
      <w:r w:rsidR="00B2341E" w:rsidRPr="00EA4B66">
        <w:rPr>
          <w:color w:val="000000" w:themeColor="text1"/>
          <w:sz w:val="24"/>
          <w:szCs w:val="24"/>
          <w:lang w:val="en-US"/>
        </w:rPr>
        <w:t xml:space="preserve">he values of the MTB ratio are provided by </w:t>
      </w:r>
      <w:r w:rsidR="00E1772D" w:rsidRPr="00EA4B66">
        <w:rPr>
          <w:color w:val="000000" w:themeColor="text1"/>
          <w:sz w:val="24"/>
          <w:szCs w:val="24"/>
          <w:lang w:val="en-US"/>
        </w:rPr>
        <w:t xml:space="preserve">the </w:t>
      </w:r>
      <w:r w:rsidR="00B2341E" w:rsidRPr="00EA4B66">
        <w:rPr>
          <w:color w:val="000000" w:themeColor="text1"/>
          <w:sz w:val="24"/>
          <w:szCs w:val="24"/>
          <w:lang w:val="en-US"/>
        </w:rPr>
        <w:t>AIDA Database.</w:t>
      </w:r>
    </w:p>
    <w:p w14:paraId="73DE3DB6" w14:textId="1B7B956C" w:rsidR="00A60025" w:rsidRPr="00EA4B66" w:rsidRDefault="00DA4B65" w:rsidP="00DA4B65">
      <w:pPr>
        <w:spacing w:after="0" w:line="240" w:lineRule="auto"/>
        <w:jc w:val="both"/>
        <w:rPr>
          <w:color w:val="000000" w:themeColor="text1"/>
          <w:sz w:val="24"/>
          <w:lang w:val="en-US"/>
        </w:rPr>
      </w:pPr>
      <w:r w:rsidRPr="00EA4B66">
        <w:rPr>
          <w:color w:val="000000" w:themeColor="text1"/>
          <w:sz w:val="24"/>
          <w:lang w:val="en-US"/>
        </w:rPr>
        <w:t xml:space="preserve">   </w:t>
      </w:r>
      <w:r w:rsidR="00A60025" w:rsidRPr="00EA4B66">
        <w:rPr>
          <w:color w:val="000000" w:themeColor="text1"/>
          <w:sz w:val="24"/>
          <w:lang w:val="en-US"/>
        </w:rPr>
        <w:t xml:space="preserve">Table </w:t>
      </w:r>
      <w:r w:rsidR="003E693F">
        <w:rPr>
          <w:color w:val="000000" w:themeColor="text1"/>
          <w:sz w:val="24"/>
          <w:lang w:val="en-US"/>
        </w:rPr>
        <w:t>IV</w:t>
      </w:r>
      <w:r w:rsidR="00A60025" w:rsidRPr="00EA4B66">
        <w:rPr>
          <w:color w:val="000000" w:themeColor="text1"/>
          <w:sz w:val="24"/>
          <w:lang w:val="en-US"/>
        </w:rPr>
        <w:t xml:space="preserve"> </w:t>
      </w:r>
      <w:r w:rsidR="00E1772D" w:rsidRPr="00EA4B66">
        <w:rPr>
          <w:color w:val="000000" w:themeColor="text1"/>
          <w:sz w:val="24"/>
          <w:lang w:val="en-US"/>
        </w:rPr>
        <w:t xml:space="preserve">provides </w:t>
      </w:r>
      <w:r w:rsidR="00A60025" w:rsidRPr="00EA4B66">
        <w:rPr>
          <w:color w:val="000000" w:themeColor="text1"/>
          <w:sz w:val="24"/>
          <w:lang w:val="en-US"/>
        </w:rPr>
        <w:t xml:space="preserve">detailed definitions of the set of independent variables, along with a summary of coefficient signs expected from theory and </w:t>
      </w:r>
      <w:r w:rsidR="00680FCE" w:rsidRPr="00EA4B66">
        <w:rPr>
          <w:color w:val="000000" w:themeColor="text1"/>
          <w:sz w:val="24"/>
          <w:lang w:val="en-US"/>
        </w:rPr>
        <w:t>the</w:t>
      </w:r>
      <w:r w:rsidR="00A60025" w:rsidRPr="00EA4B66">
        <w:rPr>
          <w:color w:val="000000" w:themeColor="text1"/>
          <w:sz w:val="24"/>
          <w:lang w:val="en-US"/>
        </w:rPr>
        <w:t xml:space="preserve"> hypotheses</w:t>
      </w:r>
      <w:r w:rsidR="00680FCE" w:rsidRPr="00EA4B66">
        <w:rPr>
          <w:color w:val="000000" w:themeColor="text1"/>
          <w:sz w:val="24"/>
          <w:lang w:val="en-US"/>
        </w:rPr>
        <w:t xml:space="preserve"> to be tested</w:t>
      </w:r>
      <w:r w:rsidR="00A60025" w:rsidRPr="00EA4B66">
        <w:rPr>
          <w:color w:val="000000" w:themeColor="text1"/>
          <w:sz w:val="24"/>
          <w:lang w:val="en-US"/>
        </w:rPr>
        <w:t>.</w:t>
      </w:r>
    </w:p>
    <w:p w14:paraId="2FF273BE" w14:textId="77777777" w:rsidR="00680FCE" w:rsidRPr="00EA4B66" w:rsidRDefault="00680FCE" w:rsidP="00114621">
      <w:pPr>
        <w:spacing w:after="0" w:line="240" w:lineRule="auto"/>
        <w:jc w:val="both"/>
        <w:rPr>
          <w:rFonts w:asciiTheme="minorHAnsi" w:hAnsiTheme="minorHAnsi"/>
          <w:b/>
          <w:color w:val="000000" w:themeColor="text1"/>
          <w:sz w:val="24"/>
          <w:szCs w:val="24"/>
          <w:lang w:val="en-US"/>
        </w:rPr>
      </w:pPr>
    </w:p>
    <w:p w14:paraId="034F06FC" w14:textId="6F2009B4" w:rsidR="00A60025" w:rsidRPr="00EA4B66" w:rsidRDefault="00A60025" w:rsidP="00114621">
      <w:pPr>
        <w:spacing w:after="0" w:line="240" w:lineRule="auto"/>
        <w:jc w:val="center"/>
        <w:rPr>
          <w:rFonts w:asciiTheme="minorHAnsi" w:hAnsiTheme="minorHAnsi"/>
          <w:b/>
          <w:color w:val="000000" w:themeColor="text1"/>
          <w:sz w:val="24"/>
          <w:szCs w:val="24"/>
          <w:lang w:val="en-US"/>
        </w:rPr>
      </w:pPr>
      <w:r w:rsidRPr="00EA4B66">
        <w:rPr>
          <w:rFonts w:asciiTheme="minorHAnsi" w:hAnsiTheme="minorHAnsi"/>
          <w:b/>
          <w:color w:val="000000" w:themeColor="text1"/>
          <w:sz w:val="24"/>
          <w:szCs w:val="24"/>
          <w:lang w:val="en-US"/>
        </w:rPr>
        <w:t xml:space="preserve">[Insert Table </w:t>
      </w:r>
      <w:r w:rsidR="003E693F">
        <w:rPr>
          <w:rFonts w:asciiTheme="minorHAnsi" w:hAnsiTheme="minorHAnsi"/>
          <w:b/>
          <w:color w:val="000000" w:themeColor="text1"/>
          <w:sz w:val="24"/>
          <w:szCs w:val="24"/>
          <w:lang w:val="en-US"/>
        </w:rPr>
        <w:t>IV</w:t>
      </w:r>
      <w:r w:rsidRPr="00EA4B66">
        <w:rPr>
          <w:rFonts w:asciiTheme="minorHAnsi" w:hAnsiTheme="minorHAnsi"/>
          <w:b/>
          <w:color w:val="000000" w:themeColor="text1"/>
          <w:sz w:val="24"/>
          <w:szCs w:val="24"/>
          <w:lang w:val="en-US"/>
        </w:rPr>
        <w:t xml:space="preserve"> here]</w:t>
      </w:r>
    </w:p>
    <w:p w14:paraId="09CBA58D" w14:textId="77777777" w:rsidR="004F41FB" w:rsidRPr="00EA4B66" w:rsidRDefault="004F41FB" w:rsidP="000976E6">
      <w:pPr>
        <w:spacing w:after="0" w:line="240" w:lineRule="auto"/>
        <w:ind w:firstLine="284"/>
        <w:jc w:val="both"/>
        <w:rPr>
          <w:b/>
          <w:color w:val="000000" w:themeColor="text1"/>
          <w:sz w:val="24"/>
          <w:szCs w:val="24"/>
          <w:lang w:val="en-US"/>
        </w:rPr>
      </w:pPr>
    </w:p>
    <w:p w14:paraId="649AC7F2" w14:textId="77777777" w:rsidR="00A60025" w:rsidRPr="00EA4B66" w:rsidRDefault="00A60025" w:rsidP="00114621">
      <w:pPr>
        <w:spacing w:after="0" w:line="240" w:lineRule="auto"/>
        <w:jc w:val="both"/>
        <w:rPr>
          <w:b/>
          <w:color w:val="000000" w:themeColor="text1"/>
          <w:sz w:val="24"/>
          <w:szCs w:val="24"/>
          <w:lang w:val="en-US"/>
        </w:rPr>
      </w:pPr>
      <w:r w:rsidRPr="00EA4B66">
        <w:rPr>
          <w:b/>
          <w:color w:val="000000" w:themeColor="text1"/>
          <w:sz w:val="24"/>
          <w:szCs w:val="24"/>
          <w:lang w:val="en-US"/>
        </w:rPr>
        <w:t>5. Results</w:t>
      </w:r>
      <w:r w:rsidR="00650EB6" w:rsidRPr="00EA4B66">
        <w:rPr>
          <w:b/>
          <w:color w:val="000000" w:themeColor="text1"/>
          <w:sz w:val="24"/>
          <w:szCs w:val="24"/>
          <w:lang w:val="en-US"/>
        </w:rPr>
        <w:t xml:space="preserve"> and discussion</w:t>
      </w:r>
      <w:r w:rsidRPr="00EA4B66">
        <w:rPr>
          <w:b/>
          <w:color w:val="000000" w:themeColor="text1"/>
          <w:sz w:val="24"/>
          <w:szCs w:val="24"/>
          <w:lang w:val="en-US"/>
        </w:rPr>
        <w:t xml:space="preserve"> </w:t>
      </w:r>
    </w:p>
    <w:p w14:paraId="20F588D1" w14:textId="77777777" w:rsidR="00650EB6" w:rsidRPr="00EA4B66" w:rsidRDefault="00650EB6" w:rsidP="000976E6">
      <w:pPr>
        <w:spacing w:after="0" w:line="240" w:lineRule="auto"/>
        <w:ind w:firstLine="284"/>
        <w:jc w:val="both"/>
        <w:rPr>
          <w:b/>
          <w:color w:val="000000" w:themeColor="text1"/>
          <w:sz w:val="24"/>
          <w:szCs w:val="24"/>
          <w:lang w:val="en-US"/>
        </w:rPr>
      </w:pPr>
    </w:p>
    <w:p w14:paraId="068E726D" w14:textId="5CC565E3" w:rsidR="00A60025" w:rsidRPr="00EA4B66" w:rsidRDefault="00A60025" w:rsidP="004825D9">
      <w:pPr>
        <w:spacing w:after="0" w:line="240" w:lineRule="auto"/>
        <w:jc w:val="both"/>
        <w:rPr>
          <w:b/>
          <w:i/>
          <w:color w:val="000000" w:themeColor="text1"/>
          <w:sz w:val="24"/>
          <w:szCs w:val="24"/>
          <w:lang w:val="en-US"/>
        </w:rPr>
      </w:pPr>
      <w:r w:rsidRPr="00EA4B66">
        <w:rPr>
          <w:b/>
          <w:i/>
          <w:color w:val="000000" w:themeColor="text1"/>
          <w:sz w:val="24"/>
          <w:szCs w:val="24"/>
          <w:lang w:val="en-US"/>
        </w:rPr>
        <w:t>5.1 Descriptive statistic</w:t>
      </w:r>
      <w:r w:rsidR="00114621" w:rsidRPr="00EA4B66">
        <w:rPr>
          <w:b/>
          <w:i/>
          <w:color w:val="000000" w:themeColor="text1"/>
          <w:sz w:val="24"/>
          <w:szCs w:val="24"/>
          <w:lang w:val="en-US"/>
        </w:rPr>
        <w:t>s</w:t>
      </w:r>
    </w:p>
    <w:p w14:paraId="21C8716D" w14:textId="7C759C97" w:rsidR="00A60025" w:rsidRDefault="004825D9" w:rsidP="004825D9">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A60025" w:rsidRPr="00EA4B66">
        <w:rPr>
          <w:color w:val="000000" w:themeColor="text1"/>
          <w:sz w:val="24"/>
          <w:szCs w:val="24"/>
          <w:lang w:val="en-US"/>
        </w:rPr>
        <w:t xml:space="preserve">Tables </w:t>
      </w:r>
      <w:r w:rsidR="003E693F">
        <w:rPr>
          <w:color w:val="000000" w:themeColor="text1"/>
          <w:sz w:val="24"/>
          <w:szCs w:val="24"/>
          <w:lang w:val="en-US"/>
        </w:rPr>
        <w:t>V</w:t>
      </w:r>
      <w:r w:rsidR="00F60246" w:rsidRPr="00EA4B66">
        <w:rPr>
          <w:color w:val="000000" w:themeColor="text1"/>
          <w:sz w:val="24"/>
          <w:szCs w:val="24"/>
          <w:lang w:val="en-US"/>
        </w:rPr>
        <w:t xml:space="preserve"> </w:t>
      </w:r>
      <w:r w:rsidR="00A60025" w:rsidRPr="00EA4B66">
        <w:rPr>
          <w:color w:val="000000" w:themeColor="text1"/>
          <w:sz w:val="24"/>
          <w:szCs w:val="24"/>
          <w:lang w:val="en-US"/>
        </w:rPr>
        <w:t xml:space="preserve">and </w:t>
      </w:r>
      <w:r w:rsidR="003E693F">
        <w:rPr>
          <w:color w:val="000000" w:themeColor="text1"/>
          <w:sz w:val="24"/>
          <w:szCs w:val="24"/>
          <w:lang w:val="en-US"/>
        </w:rPr>
        <w:t>VI</w:t>
      </w:r>
      <w:r w:rsidR="00F60246" w:rsidRPr="00EA4B66">
        <w:rPr>
          <w:color w:val="000000" w:themeColor="text1"/>
          <w:sz w:val="24"/>
          <w:szCs w:val="24"/>
          <w:lang w:val="en-US"/>
        </w:rPr>
        <w:t xml:space="preserve"> </w:t>
      </w:r>
      <w:r w:rsidR="00A60025" w:rsidRPr="00EA4B66">
        <w:rPr>
          <w:color w:val="000000" w:themeColor="text1"/>
          <w:sz w:val="24"/>
          <w:szCs w:val="24"/>
          <w:lang w:val="en-US"/>
        </w:rPr>
        <w:t xml:space="preserve">report the descriptive statistics </w:t>
      </w:r>
      <w:r w:rsidR="00E003E2" w:rsidRPr="00EA4B66">
        <w:rPr>
          <w:color w:val="000000" w:themeColor="text1"/>
          <w:sz w:val="24"/>
          <w:szCs w:val="24"/>
          <w:lang w:val="en-US"/>
        </w:rPr>
        <w:t>for the</w:t>
      </w:r>
      <w:r w:rsidR="00A60025" w:rsidRPr="00EA4B66">
        <w:rPr>
          <w:color w:val="000000" w:themeColor="text1"/>
          <w:sz w:val="24"/>
          <w:szCs w:val="24"/>
          <w:lang w:val="en-US"/>
        </w:rPr>
        <w:t xml:space="preserve"> continuous and dummy </w:t>
      </w:r>
      <w:r w:rsidR="00E003E2" w:rsidRPr="00EA4B66">
        <w:rPr>
          <w:color w:val="000000" w:themeColor="text1"/>
          <w:sz w:val="24"/>
          <w:szCs w:val="24"/>
          <w:lang w:val="en-US"/>
        </w:rPr>
        <w:t xml:space="preserve">model </w:t>
      </w:r>
      <w:r w:rsidR="00A60025" w:rsidRPr="00EA4B66">
        <w:rPr>
          <w:color w:val="000000" w:themeColor="text1"/>
          <w:sz w:val="24"/>
          <w:szCs w:val="24"/>
          <w:lang w:val="en-US"/>
        </w:rPr>
        <w:t xml:space="preserve">variables, respectively, for </w:t>
      </w:r>
      <w:r w:rsidR="00E003E2" w:rsidRPr="00EA4B66">
        <w:rPr>
          <w:color w:val="000000" w:themeColor="text1"/>
          <w:sz w:val="24"/>
          <w:szCs w:val="24"/>
          <w:lang w:val="en-US"/>
        </w:rPr>
        <w:t>the sample period</w:t>
      </w:r>
      <w:r w:rsidR="00A60025" w:rsidRPr="00EA4B66">
        <w:rPr>
          <w:color w:val="000000" w:themeColor="text1"/>
          <w:sz w:val="24"/>
          <w:szCs w:val="24"/>
          <w:lang w:val="en-US"/>
        </w:rPr>
        <w:t xml:space="preserve"> 2009-2013. Each table shows the statistics for full sample, KIBS</w:t>
      </w:r>
      <w:r w:rsidR="00123BDC">
        <w:rPr>
          <w:color w:val="000000" w:themeColor="text1"/>
          <w:sz w:val="24"/>
          <w:szCs w:val="24"/>
          <w:lang w:val="en-US"/>
        </w:rPr>
        <w:t xml:space="preserve"> industry</w:t>
      </w:r>
      <w:r w:rsidR="00E003E2" w:rsidRPr="00EA4B66">
        <w:rPr>
          <w:color w:val="000000" w:themeColor="text1"/>
          <w:sz w:val="24"/>
          <w:szCs w:val="24"/>
          <w:lang w:val="en-US"/>
        </w:rPr>
        <w:t>,</w:t>
      </w:r>
      <w:r w:rsidR="00A60025" w:rsidRPr="00EA4B66">
        <w:rPr>
          <w:color w:val="000000" w:themeColor="text1"/>
          <w:sz w:val="24"/>
          <w:szCs w:val="24"/>
          <w:lang w:val="en-US"/>
        </w:rPr>
        <w:t xml:space="preserve"> and TI </w:t>
      </w:r>
      <w:r w:rsidR="00E003E2" w:rsidRPr="00EA4B66">
        <w:rPr>
          <w:color w:val="000000" w:themeColor="text1"/>
          <w:sz w:val="24"/>
          <w:szCs w:val="24"/>
          <w:lang w:val="en-US"/>
        </w:rPr>
        <w:t xml:space="preserve">firms </w:t>
      </w:r>
      <w:r w:rsidR="00A60025" w:rsidRPr="00EA4B66">
        <w:rPr>
          <w:color w:val="000000" w:themeColor="text1"/>
          <w:sz w:val="24"/>
          <w:szCs w:val="24"/>
          <w:lang w:val="en-US"/>
        </w:rPr>
        <w:t>in panel</w:t>
      </w:r>
      <w:r w:rsidR="00E003E2" w:rsidRPr="00EA4B66">
        <w:rPr>
          <w:color w:val="000000" w:themeColor="text1"/>
          <w:sz w:val="24"/>
          <w:szCs w:val="24"/>
          <w:lang w:val="en-US"/>
        </w:rPr>
        <w:t>s</w:t>
      </w:r>
      <w:r w:rsidR="00A60025" w:rsidRPr="00EA4B66">
        <w:rPr>
          <w:color w:val="000000" w:themeColor="text1"/>
          <w:sz w:val="24"/>
          <w:szCs w:val="24"/>
          <w:lang w:val="en-US"/>
        </w:rPr>
        <w:t xml:space="preserve"> A, B, and C, respectively. </w:t>
      </w:r>
    </w:p>
    <w:p w14:paraId="47053767" w14:textId="77777777" w:rsidR="00123BDC" w:rsidRPr="00EA4B66" w:rsidRDefault="00123BDC" w:rsidP="004825D9">
      <w:pPr>
        <w:spacing w:after="0" w:line="240" w:lineRule="auto"/>
        <w:jc w:val="both"/>
        <w:rPr>
          <w:color w:val="000000" w:themeColor="text1"/>
          <w:sz w:val="24"/>
          <w:szCs w:val="24"/>
          <w:lang w:val="en-US"/>
        </w:rPr>
      </w:pPr>
    </w:p>
    <w:p w14:paraId="194BD433" w14:textId="4E9B55FE" w:rsidR="00A60025" w:rsidRPr="00EA4B66" w:rsidRDefault="00A60025" w:rsidP="006D6F07">
      <w:pPr>
        <w:spacing w:after="0" w:line="240" w:lineRule="auto"/>
        <w:jc w:val="center"/>
        <w:rPr>
          <w:color w:val="000000" w:themeColor="text1"/>
          <w:sz w:val="24"/>
          <w:szCs w:val="24"/>
          <w:lang w:val="en-US"/>
        </w:rPr>
      </w:pPr>
      <w:r w:rsidRPr="00EA4B66">
        <w:rPr>
          <w:b/>
          <w:color w:val="000000" w:themeColor="text1"/>
          <w:sz w:val="24"/>
          <w:szCs w:val="24"/>
          <w:lang w:val="en-US"/>
        </w:rPr>
        <w:t xml:space="preserve">[Insert Tables </w:t>
      </w:r>
      <w:r w:rsidR="003E693F">
        <w:rPr>
          <w:b/>
          <w:color w:val="000000" w:themeColor="text1"/>
          <w:sz w:val="24"/>
          <w:szCs w:val="24"/>
          <w:lang w:val="en-US"/>
        </w:rPr>
        <w:t>V</w:t>
      </w:r>
      <w:r w:rsidRPr="00EA4B66">
        <w:rPr>
          <w:b/>
          <w:color w:val="000000" w:themeColor="text1"/>
          <w:sz w:val="24"/>
          <w:szCs w:val="24"/>
          <w:lang w:val="en-US"/>
        </w:rPr>
        <w:t xml:space="preserve"> and </w:t>
      </w:r>
      <w:r w:rsidR="003E693F">
        <w:rPr>
          <w:b/>
          <w:color w:val="000000" w:themeColor="text1"/>
          <w:sz w:val="24"/>
          <w:szCs w:val="24"/>
          <w:lang w:val="en-US"/>
        </w:rPr>
        <w:t>VI</w:t>
      </w:r>
      <w:r w:rsidRPr="00EA4B66">
        <w:rPr>
          <w:b/>
          <w:color w:val="000000" w:themeColor="text1"/>
          <w:sz w:val="24"/>
          <w:szCs w:val="24"/>
          <w:lang w:val="en-US"/>
        </w:rPr>
        <w:t xml:space="preserve"> here]</w:t>
      </w:r>
    </w:p>
    <w:p w14:paraId="0D186E84" w14:textId="77777777" w:rsidR="008F2061" w:rsidRPr="00EA4B66" w:rsidRDefault="008F2061" w:rsidP="000976E6">
      <w:pPr>
        <w:spacing w:after="0" w:line="240" w:lineRule="auto"/>
        <w:ind w:firstLine="284"/>
        <w:jc w:val="both"/>
        <w:rPr>
          <w:color w:val="000000" w:themeColor="text1"/>
          <w:sz w:val="24"/>
          <w:lang w:val="en-US"/>
        </w:rPr>
      </w:pPr>
    </w:p>
    <w:p w14:paraId="378A32ED" w14:textId="2D1F25FE" w:rsidR="00C71A54" w:rsidRPr="00EA4B66" w:rsidRDefault="004825D9" w:rsidP="00C71A54">
      <w:pPr>
        <w:spacing w:after="0" w:line="240" w:lineRule="auto"/>
        <w:jc w:val="both"/>
        <w:rPr>
          <w:color w:val="000000" w:themeColor="text1"/>
          <w:sz w:val="24"/>
          <w:lang w:val="en-US"/>
        </w:rPr>
      </w:pPr>
      <w:r w:rsidRPr="00EA4B66">
        <w:rPr>
          <w:color w:val="000000" w:themeColor="text1"/>
          <w:sz w:val="24"/>
          <w:lang w:val="en-US"/>
        </w:rPr>
        <w:t xml:space="preserve">   </w:t>
      </w:r>
      <w:r w:rsidR="00A60025" w:rsidRPr="00EA4B66">
        <w:rPr>
          <w:color w:val="000000" w:themeColor="text1"/>
          <w:sz w:val="24"/>
          <w:lang w:val="en-US"/>
        </w:rPr>
        <w:t xml:space="preserve">Table </w:t>
      </w:r>
      <w:r w:rsidR="00F55ED7">
        <w:rPr>
          <w:color w:val="000000" w:themeColor="text1"/>
          <w:sz w:val="24"/>
          <w:lang w:val="en-US"/>
        </w:rPr>
        <w:t>V</w:t>
      </w:r>
      <w:r w:rsidR="00A60025" w:rsidRPr="00EA4B66">
        <w:rPr>
          <w:color w:val="000000" w:themeColor="text1"/>
          <w:sz w:val="24"/>
          <w:lang w:val="en-US"/>
        </w:rPr>
        <w:t xml:space="preserve"> shows that the</w:t>
      </w:r>
      <w:r w:rsidR="00A60025" w:rsidRPr="00EA4B66">
        <w:rPr>
          <w:i/>
          <w:color w:val="000000" w:themeColor="text1"/>
          <w:sz w:val="24"/>
          <w:lang w:val="en-US"/>
        </w:rPr>
        <w:t xml:space="preserve"> MTB</w:t>
      </w:r>
      <w:r w:rsidR="00A60025" w:rsidRPr="00EA4B66">
        <w:rPr>
          <w:color w:val="000000" w:themeColor="text1"/>
          <w:sz w:val="24"/>
          <w:lang w:val="en-US"/>
        </w:rPr>
        <w:t xml:space="preserve"> ratio for the full sample </w:t>
      </w:r>
      <w:r w:rsidR="002727CA" w:rsidRPr="00EA4B66">
        <w:rPr>
          <w:color w:val="000000" w:themeColor="text1"/>
          <w:sz w:val="24"/>
          <w:lang w:val="en-US"/>
        </w:rPr>
        <w:t>of firms has a mean of</w:t>
      </w:r>
      <w:r w:rsidR="00A60025" w:rsidRPr="00EA4B66">
        <w:rPr>
          <w:color w:val="000000" w:themeColor="text1"/>
          <w:sz w:val="24"/>
          <w:lang w:val="en-US"/>
        </w:rPr>
        <w:t xml:space="preserve"> </w:t>
      </w:r>
      <w:r w:rsidR="00D64641" w:rsidRPr="00EA4B66">
        <w:rPr>
          <w:color w:val="000000" w:themeColor="text1"/>
          <w:sz w:val="24"/>
          <w:lang w:val="en-US"/>
        </w:rPr>
        <w:t>1.365</w:t>
      </w:r>
      <w:r w:rsidR="00A60025" w:rsidRPr="00EA4B66">
        <w:rPr>
          <w:color w:val="000000" w:themeColor="text1"/>
          <w:sz w:val="24"/>
          <w:lang w:val="en-US"/>
        </w:rPr>
        <w:t xml:space="preserve">, </w:t>
      </w:r>
      <w:r w:rsidR="002727CA" w:rsidRPr="00EA4B66">
        <w:rPr>
          <w:color w:val="000000" w:themeColor="text1"/>
          <w:sz w:val="24"/>
          <w:lang w:val="en-US"/>
        </w:rPr>
        <w:t>and so</w:t>
      </w:r>
      <w:r w:rsidR="00A60025" w:rsidRPr="00EA4B66">
        <w:rPr>
          <w:color w:val="000000" w:themeColor="text1"/>
          <w:sz w:val="24"/>
          <w:lang w:val="en-US"/>
        </w:rPr>
        <w:t xml:space="preserve"> market value exceeds book value</w:t>
      </w:r>
      <w:r w:rsidR="002727CA" w:rsidRPr="00EA4B66">
        <w:rPr>
          <w:color w:val="000000" w:themeColor="text1"/>
          <w:sz w:val="24"/>
          <w:lang w:val="en-US"/>
        </w:rPr>
        <w:t xml:space="preserve"> for the average firm as expect</w:t>
      </w:r>
      <w:r w:rsidR="00EA1610">
        <w:rPr>
          <w:color w:val="000000" w:themeColor="text1"/>
          <w:sz w:val="24"/>
          <w:lang w:val="en-US"/>
        </w:rPr>
        <w:t>ed</w:t>
      </w:r>
      <w:r w:rsidR="0041512A" w:rsidRPr="00EA4B66">
        <w:rPr>
          <w:color w:val="000000" w:themeColor="text1"/>
          <w:sz w:val="24"/>
          <w:lang w:val="en-US"/>
        </w:rPr>
        <w:t>, that is, firms on average create significant market value over their book value base</w:t>
      </w:r>
      <w:r w:rsidR="00A60025" w:rsidRPr="00EA4B66">
        <w:rPr>
          <w:color w:val="000000" w:themeColor="text1"/>
          <w:sz w:val="24"/>
          <w:lang w:val="en-US"/>
        </w:rPr>
        <w:t xml:space="preserve">. </w:t>
      </w:r>
      <w:r w:rsidR="002727CA" w:rsidRPr="00EA4B66">
        <w:rPr>
          <w:color w:val="000000" w:themeColor="text1"/>
          <w:sz w:val="24"/>
          <w:lang w:val="en-US"/>
        </w:rPr>
        <w:t xml:space="preserve">For the </w:t>
      </w:r>
      <w:r w:rsidR="00A60025" w:rsidRPr="00EA4B66">
        <w:rPr>
          <w:color w:val="000000" w:themeColor="text1"/>
          <w:sz w:val="24"/>
          <w:lang w:val="en-US"/>
        </w:rPr>
        <w:t>KIBS and TI industr</w:t>
      </w:r>
      <w:r w:rsidR="002727CA" w:rsidRPr="00EA4B66">
        <w:rPr>
          <w:color w:val="000000" w:themeColor="text1"/>
          <w:sz w:val="24"/>
          <w:lang w:val="en-US"/>
        </w:rPr>
        <w:t>y firm subsamples,</w:t>
      </w:r>
      <w:r w:rsidR="00A60025" w:rsidRPr="00EA4B66">
        <w:rPr>
          <w:color w:val="000000" w:themeColor="text1"/>
          <w:sz w:val="24"/>
          <w:lang w:val="en-US"/>
        </w:rPr>
        <w:t xml:space="preserve"> a</w:t>
      </w:r>
      <w:r w:rsidR="006D6F07" w:rsidRPr="00EA4B66">
        <w:rPr>
          <w:color w:val="000000" w:themeColor="text1"/>
          <w:sz w:val="24"/>
          <w:lang w:val="en-US"/>
        </w:rPr>
        <w:t>n</w:t>
      </w:r>
      <w:r w:rsidR="00A60025" w:rsidRPr="00EA4B66">
        <w:rPr>
          <w:color w:val="000000" w:themeColor="text1"/>
          <w:sz w:val="24"/>
          <w:lang w:val="en-US"/>
        </w:rPr>
        <w:t xml:space="preserve"> </w:t>
      </w:r>
      <w:r w:rsidR="00A60025" w:rsidRPr="00EA4B66">
        <w:rPr>
          <w:i/>
          <w:color w:val="000000" w:themeColor="text1"/>
          <w:sz w:val="24"/>
          <w:lang w:val="en-US"/>
        </w:rPr>
        <w:t>MTB</w:t>
      </w:r>
      <w:r w:rsidR="00A60025" w:rsidRPr="00EA4B66">
        <w:rPr>
          <w:color w:val="000000" w:themeColor="text1"/>
          <w:sz w:val="24"/>
          <w:lang w:val="en-US"/>
        </w:rPr>
        <w:t xml:space="preserve"> </w:t>
      </w:r>
      <w:r w:rsidR="002727CA" w:rsidRPr="00EA4B66">
        <w:rPr>
          <w:color w:val="000000" w:themeColor="text1"/>
          <w:sz w:val="24"/>
          <w:lang w:val="en-US"/>
        </w:rPr>
        <w:t xml:space="preserve">ratio </w:t>
      </w:r>
      <w:r w:rsidR="00892F6E" w:rsidRPr="00EA4B66">
        <w:rPr>
          <w:color w:val="000000" w:themeColor="text1"/>
          <w:sz w:val="24"/>
          <w:lang w:val="en-US"/>
        </w:rPr>
        <w:t xml:space="preserve">of </w:t>
      </w:r>
      <w:r w:rsidR="00D64641" w:rsidRPr="00EA4B66">
        <w:rPr>
          <w:color w:val="000000" w:themeColor="text1"/>
          <w:sz w:val="24"/>
          <w:lang w:val="en-US"/>
        </w:rPr>
        <w:t>1.7</w:t>
      </w:r>
      <w:r w:rsidR="0020643C" w:rsidRPr="00EA4B66">
        <w:rPr>
          <w:color w:val="000000" w:themeColor="text1"/>
          <w:sz w:val="24"/>
          <w:lang w:val="en-US"/>
        </w:rPr>
        <w:t>49</w:t>
      </w:r>
      <w:r w:rsidR="00D64641" w:rsidRPr="00EA4B66">
        <w:rPr>
          <w:color w:val="000000" w:themeColor="text1"/>
          <w:sz w:val="24"/>
          <w:lang w:val="en-US"/>
        </w:rPr>
        <w:t xml:space="preserve"> </w:t>
      </w:r>
      <w:r w:rsidR="00892F6E" w:rsidRPr="00EA4B66">
        <w:rPr>
          <w:color w:val="000000" w:themeColor="text1"/>
          <w:sz w:val="24"/>
          <w:lang w:val="en-US"/>
        </w:rPr>
        <w:t xml:space="preserve">and </w:t>
      </w:r>
      <w:r w:rsidR="00D64641" w:rsidRPr="00EA4B66">
        <w:rPr>
          <w:color w:val="000000" w:themeColor="text1"/>
          <w:sz w:val="24"/>
          <w:lang w:val="en-US"/>
        </w:rPr>
        <w:t>1.28</w:t>
      </w:r>
      <w:r w:rsidR="0020643C" w:rsidRPr="00EA4B66">
        <w:rPr>
          <w:color w:val="000000" w:themeColor="text1"/>
          <w:sz w:val="24"/>
          <w:lang w:val="en-US"/>
        </w:rPr>
        <w:t>1</w:t>
      </w:r>
      <w:r w:rsidR="00725FDA" w:rsidRPr="00725FDA">
        <w:rPr>
          <w:color w:val="000000" w:themeColor="text1"/>
          <w:sz w:val="24"/>
          <w:lang w:val="en-US"/>
        </w:rPr>
        <w:t xml:space="preserve"> </w:t>
      </w:r>
      <w:r w:rsidR="00725FDA">
        <w:rPr>
          <w:color w:val="000000" w:themeColor="text1"/>
          <w:sz w:val="24"/>
          <w:lang w:val="en-US"/>
        </w:rPr>
        <w:t xml:space="preserve">is </w:t>
      </w:r>
      <w:r w:rsidR="00A60025" w:rsidRPr="00EA4B66">
        <w:rPr>
          <w:color w:val="000000" w:themeColor="text1"/>
          <w:sz w:val="24"/>
          <w:lang w:val="en-US"/>
        </w:rPr>
        <w:t>respectively</w:t>
      </w:r>
      <w:r w:rsidR="00725FDA" w:rsidRPr="00725FDA">
        <w:rPr>
          <w:color w:val="000000" w:themeColor="text1"/>
          <w:sz w:val="24"/>
          <w:lang w:val="en-US"/>
        </w:rPr>
        <w:t xml:space="preserve"> </w:t>
      </w:r>
      <w:r w:rsidR="00725FDA" w:rsidRPr="00EA4B66">
        <w:rPr>
          <w:color w:val="000000" w:themeColor="text1"/>
          <w:sz w:val="24"/>
          <w:lang w:val="en-US"/>
        </w:rPr>
        <w:t>observe</w:t>
      </w:r>
      <w:r w:rsidR="00725FDA">
        <w:rPr>
          <w:color w:val="000000" w:themeColor="text1"/>
          <w:sz w:val="24"/>
          <w:lang w:val="en-US"/>
        </w:rPr>
        <w:t>d</w:t>
      </w:r>
      <w:r w:rsidR="00A60025" w:rsidRPr="00EA4B66">
        <w:rPr>
          <w:color w:val="000000" w:themeColor="text1"/>
          <w:sz w:val="24"/>
          <w:lang w:val="en-US"/>
        </w:rPr>
        <w:t xml:space="preserve">. </w:t>
      </w:r>
      <w:r w:rsidR="002727CA" w:rsidRPr="00EA4B66">
        <w:rPr>
          <w:color w:val="000000" w:themeColor="text1"/>
          <w:sz w:val="24"/>
          <w:lang w:val="en-US"/>
        </w:rPr>
        <w:t xml:space="preserve">Thus, the </w:t>
      </w:r>
      <w:r w:rsidR="00A60025" w:rsidRPr="00EA4B66">
        <w:rPr>
          <w:i/>
          <w:color w:val="000000" w:themeColor="text1"/>
          <w:sz w:val="24"/>
          <w:lang w:val="en-US"/>
        </w:rPr>
        <w:t>MTB</w:t>
      </w:r>
      <w:r w:rsidR="002727CA" w:rsidRPr="00EA4B66">
        <w:rPr>
          <w:color w:val="000000" w:themeColor="text1"/>
          <w:sz w:val="24"/>
          <w:lang w:val="en-US"/>
        </w:rPr>
        <w:t xml:space="preserve"> ratio is on </w:t>
      </w:r>
      <w:r w:rsidR="00A60025" w:rsidRPr="00EA4B66">
        <w:rPr>
          <w:color w:val="000000" w:themeColor="text1"/>
          <w:sz w:val="24"/>
          <w:lang w:val="en-US"/>
        </w:rPr>
        <w:t xml:space="preserve">average higher </w:t>
      </w:r>
      <w:r w:rsidR="002727CA" w:rsidRPr="00EA4B66">
        <w:rPr>
          <w:color w:val="000000" w:themeColor="text1"/>
          <w:sz w:val="24"/>
          <w:lang w:val="en-US"/>
        </w:rPr>
        <w:t xml:space="preserve">for </w:t>
      </w:r>
      <w:r w:rsidR="00D64641" w:rsidRPr="00EA4B66">
        <w:rPr>
          <w:color w:val="000000" w:themeColor="text1"/>
          <w:sz w:val="24"/>
          <w:lang w:val="en-US"/>
        </w:rPr>
        <w:t xml:space="preserve">KIBS </w:t>
      </w:r>
      <w:r w:rsidR="00123BDC">
        <w:rPr>
          <w:color w:val="000000" w:themeColor="text1"/>
          <w:sz w:val="24"/>
          <w:lang w:val="en-US"/>
        </w:rPr>
        <w:t xml:space="preserve">industry </w:t>
      </w:r>
      <w:r w:rsidR="002727CA" w:rsidRPr="00EA4B66">
        <w:rPr>
          <w:color w:val="000000" w:themeColor="text1"/>
          <w:sz w:val="24"/>
          <w:lang w:val="en-US"/>
        </w:rPr>
        <w:t xml:space="preserve">firms </w:t>
      </w:r>
      <w:r w:rsidR="00A60025" w:rsidRPr="00EA4B66">
        <w:rPr>
          <w:color w:val="000000" w:themeColor="text1"/>
          <w:sz w:val="24"/>
          <w:lang w:val="en-US"/>
        </w:rPr>
        <w:t xml:space="preserve">than </w:t>
      </w:r>
      <w:r w:rsidR="002727CA" w:rsidRPr="00EA4B66">
        <w:rPr>
          <w:color w:val="000000" w:themeColor="text1"/>
          <w:sz w:val="24"/>
          <w:lang w:val="en-US"/>
        </w:rPr>
        <w:t>for</w:t>
      </w:r>
      <w:r w:rsidR="00A60025" w:rsidRPr="00EA4B66">
        <w:rPr>
          <w:color w:val="000000" w:themeColor="text1"/>
          <w:sz w:val="24"/>
          <w:lang w:val="en-US"/>
        </w:rPr>
        <w:t xml:space="preserve"> </w:t>
      </w:r>
      <w:r w:rsidR="00D64641" w:rsidRPr="00EA4B66">
        <w:rPr>
          <w:color w:val="000000" w:themeColor="text1"/>
          <w:sz w:val="24"/>
          <w:lang w:val="en-US"/>
        </w:rPr>
        <w:t xml:space="preserve">TI </w:t>
      </w:r>
      <w:r w:rsidR="00A60025" w:rsidRPr="00EA4B66">
        <w:rPr>
          <w:color w:val="000000" w:themeColor="text1"/>
          <w:sz w:val="24"/>
          <w:lang w:val="en-US"/>
        </w:rPr>
        <w:t>industr</w:t>
      </w:r>
      <w:r w:rsidR="002727CA" w:rsidRPr="00EA4B66">
        <w:rPr>
          <w:color w:val="000000" w:themeColor="text1"/>
          <w:sz w:val="24"/>
          <w:lang w:val="en-US"/>
        </w:rPr>
        <w:t>y firms</w:t>
      </w:r>
      <w:r w:rsidR="001C1B27" w:rsidRPr="00EA4B66">
        <w:rPr>
          <w:color w:val="000000" w:themeColor="text1"/>
          <w:sz w:val="24"/>
          <w:lang w:val="en-US"/>
        </w:rPr>
        <w:t xml:space="preserve">. </w:t>
      </w:r>
      <w:r w:rsidR="009C6FC2" w:rsidRPr="00EA4B66">
        <w:rPr>
          <w:color w:val="000000" w:themeColor="text1"/>
          <w:sz w:val="24"/>
          <w:lang w:val="en-US"/>
        </w:rPr>
        <w:t>These</w:t>
      </w:r>
      <w:r w:rsidR="001C1B27" w:rsidRPr="00EA4B66">
        <w:rPr>
          <w:color w:val="000000" w:themeColor="text1"/>
          <w:sz w:val="24"/>
          <w:lang w:val="en-US"/>
        </w:rPr>
        <w:t xml:space="preserve"> findings suggest that </w:t>
      </w:r>
      <w:r w:rsidR="00EB42E4" w:rsidRPr="00EA4B66">
        <w:rPr>
          <w:color w:val="000000" w:themeColor="text1"/>
          <w:sz w:val="24"/>
          <w:lang w:val="en-US"/>
        </w:rPr>
        <w:t xml:space="preserve">in general </w:t>
      </w:r>
      <w:r w:rsidR="009C6FC2" w:rsidRPr="00EA4B66">
        <w:rPr>
          <w:color w:val="000000" w:themeColor="text1"/>
          <w:sz w:val="24"/>
          <w:lang w:val="en-US"/>
        </w:rPr>
        <w:t>s</w:t>
      </w:r>
      <w:r w:rsidR="001C1B27" w:rsidRPr="00EA4B66">
        <w:rPr>
          <w:color w:val="000000" w:themeColor="text1"/>
          <w:sz w:val="24"/>
          <w:lang w:val="en-US"/>
        </w:rPr>
        <w:t xml:space="preserve">ubstantial differences exist between </w:t>
      </w:r>
      <w:r w:rsidR="00D831D6" w:rsidRPr="00EA4B66">
        <w:rPr>
          <w:color w:val="000000" w:themeColor="text1"/>
          <w:sz w:val="24"/>
          <w:lang w:val="en-US"/>
        </w:rPr>
        <w:t xml:space="preserve">company </w:t>
      </w:r>
      <w:r w:rsidR="001C1B27" w:rsidRPr="00EA4B66">
        <w:rPr>
          <w:color w:val="000000" w:themeColor="text1"/>
          <w:sz w:val="24"/>
          <w:lang w:val="en-US"/>
        </w:rPr>
        <w:t>market and book values (Brennan and Connell, 2000).</w:t>
      </w:r>
      <w:r w:rsidR="00D831D6" w:rsidRPr="00EA4B66">
        <w:rPr>
          <w:color w:val="000000" w:themeColor="text1"/>
          <w:sz w:val="24"/>
          <w:lang w:val="en-US"/>
        </w:rPr>
        <w:t xml:space="preserve"> </w:t>
      </w:r>
      <w:r w:rsidR="00D66777" w:rsidRPr="00EA4B66">
        <w:rPr>
          <w:color w:val="000000" w:themeColor="text1"/>
          <w:sz w:val="24"/>
          <w:lang w:val="en-US"/>
        </w:rPr>
        <w:t xml:space="preserve">Lipunga (2014) highlights </w:t>
      </w:r>
      <w:r w:rsidR="00DA4B65" w:rsidRPr="00EA4B66">
        <w:rPr>
          <w:color w:val="000000" w:themeColor="text1"/>
          <w:sz w:val="24"/>
          <w:lang w:val="en-US"/>
        </w:rPr>
        <w:t xml:space="preserve">that </w:t>
      </w:r>
      <w:r w:rsidR="00D831D6" w:rsidRPr="00EA4B66">
        <w:rPr>
          <w:color w:val="000000" w:themeColor="text1"/>
          <w:sz w:val="24"/>
          <w:lang w:val="en-US"/>
        </w:rPr>
        <w:t>such</w:t>
      </w:r>
      <w:r w:rsidR="001C1B27" w:rsidRPr="00EA4B66">
        <w:rPr>
          <w:color w:val="000000" w:themeColor="text1"/>
          <w:sz w:val="24"/>
          <w:lang w:val="en-US"/>
        </w:rPr>
        <w:t xml:space="preserve"> differences </w:t>
      </w:r>
      <w:r w:rsidR="00D831D6" w:rsidRPr="00EA4B66">
        <w:rPr>
          <w:color w:val="000000" w:themeColor="text1"/>
          <w:sz w:val="24"/>
          <w:lang w:val="en-US"/>
        </w:rPr>
        <w:t xml:space="preserve">may </w:t>
      </w:r>
      <w:r w:rsidR="001C1B27" w:rsidRPr="00EA4B66">
        <w:rPr>
          <w:color w:val="000000" w:themeColor="text1"/>
          <w:sz w:val="24"/>
          <w:lang w:val="en-US"/>
        </w:rPr>
        <w:t xml:space="preserve">be explained by </w:t>
      </w:r>
      <w:r w:rsidR="00E17354">
        <w:rPr>
          <w:color w:val="000000" w:themeColor="text1"/>
          <w:sz w:val="24"/>
          <w:lang w:val="en-US"/>
        </w:rPr>
        <w:t>IC</w:t>
      </w:r>
      <w:r w:rsidR="001C1B27" w:rsidRPr="00EA4B66">
        <w:rPr>
          <w:color w:val="000000" w:themeColor="text1"/>
          <w:sz w:val="24"/>
          <w:lang w:val="en-US"/>
        </w:rPr>
        <w:t xml:space="preserve"> a</w:t>
      </w:r>
      <w:r w:rsidR="00792292" w:rsidRPr="00EA4B66">
        <w:rPr>
          <w:color w:val="000000" w:themeColor="text1"/>
          <w:sz w:val="24"/>
          <w:lang w:val="en-US"/>
        </w:rPr>
        <w:t>ssets not recogniz</w:t>
      </w:r>
      <w:r w:rsidR="00443377" w:rsidRPr="00EA4B66">
        <w:rPr>
          <w:color w:val="000000" w:themeColor="text1"/>
          <w:sz w:val="24"/>
          <w:lang w:val="en-US"/>
        </w:rPr>
        <w:t>ed in company</w:t>
      </w:r>
      <w:r w:rsidR="001C1B27" w:rsidRPr="00EA4B66">
        <w:rPr>
          <w:color w:val="000000" w:themeColor="text1"/>
          <w:sz w:val="24"/>
          <w:lang w:val="en-US"/>
        </w:rPr>
        <w:t xml:space="preserve"> balance</w:t>
      </w:r>
      <w:r w:rsidR="00443377" w:rsidRPr="00EA4B66">
        <w:rPr>
          <w:color w:val="000000" w:themeColor="text1"/>
          <w:sz w:val="24"/>
          <w:lang w:val="en-US"/>
        </w:rPr>
        <w:t xml:space="preserve"> </w:t>
      </w:r>
      <w:r w:rsidR="001C1B27" w:rsidRPr="00EA4B66">
        <w:rPr>
          <w:color w:val="000000" w:themeColor="text1"/>
          <w:sz w:val="24"/>
          <w:lang w:val="en-US"/>
        </w:rPr>
        <w:t>sheets</w:t>
      </w:r>
      <w:r w:rsidR="00443377" w:rsidRPr="00EA4B66">
        <w:rPr>
          <w:color w:val="000000" w:themeColor="text1"/>
          <w:sz w:val="24"/>
          <w:lang w:val="en-US"/>
        </w:rPr>
        <w:t xml:space="preserve"> </w:t>
      </w:r>
      <w:r w:rsidR="001C1B27" w:rsidRPr="00EA4B66">
        <w:rPr>
          <w:color w:val="000000" w:themeColor="text1"/>
          <w:sz w:val="24"/>
          <w:lang w:val="en-US"/>
        </w:rPr>
        <w:t xml:space="preserve">(Brennan and Connell, 2000). Gan and Saleh (2008) </w:t>
      </w:r>
      <w:r w:rsidR="00D831D6" w:rsidRPr="00EA4B66">
        <w:rPr>
          <w:color w:val="000000" w:themeColor="text1"/>
          <w:sz w:val="24"/>
          <w:lang w:val="en-US"/>
        </w:rPr>
        <w:t>argue</w:t>
      </w:r>
      <w:r w:rsidR="001C1B27" w:rsidRPr="00EA4B66">
        <w:rPr>
          <w:color w:val="000000" w:themeColor="text1"/>
          <w:sz w:val="24"/>
          <w:lang w:val="en-US"/>
        </w:rPr>
        <w:t xml:space="preserve"> that while some of these differences are</w:t>
      </w:r>
      <w:r w:rsidR="00443377" w:rsidRPr="00EA4B66">
        <w:rPr>
          <w:color w:val="000000" w:themeColor="text1"/>
          <w:sz w:val="24"/>
          <w:lang w:val="en-US"/>
        </w:rPr>
        <w:t xml:space="preserve"> </w:t>
      </w:r>
      <w:r w:rsidR="001C1B27" w:rsidRPr="00EA4B66">
        <w:rPr>
          <w:color w:val="000000" w:themeColor="text1"/>
          <w:sz w:val="24"/>
          <w:lang w:val="en-US"/>
        </w:rPr>
        <w:t>attributable to the current value of physical and financial assets exceeding their historical cost, a large proportion</w:t>
      </w:r>
      <w:r w:rsidR="00443377" w:rsidRPr="00EA4B66">
        <w:rPr>
          <w:color w:val="000000" w:themeColor="text1"/>
          <w:sz w:val="24"/>
          <w:lang w:val="en-US"/>
        </w:rPr>
        <w:t xml:space="preserve"> </w:t>
      </w:r>
      <w:r w:rsidR="001C1B27" w:rsidRPr="00EA4B66">
        <w:rPr>
          <w:color w:val="000000" w:themeColor="text1"/>
          <w:sz w:val="24"/>
          <w:lang w:val="en-US"/>
        </w:rPr>
        <w:t xml:space="preserve">is due to the rise in the importance of </w:t>
      </w:r>
      <w:r w:rsidR="00E02B50">
        <w:rPr>
          <w:color w:val="000000" w:themeColor="text1"/>
          <w:sz w:val="24"/>
          <w:lang w:val="en-US"/>
        </w:rPr>
        <w:t>IA</w:t>
      </w:r>
      <w:r w:rsidR="001C1B27" w:rsidRPr="00EA4B66">
        <w:rPr>
          <w:color w:val="000000" w:themeColor="text1"/>
          <w:sz w:val="24"/>
          <w:lang w:val="en-US"/>
        </w:rPr>
        <w:t xml:space="preserve">. According to Abeysekera (2007) </w:t>
      </w:r>
      <w:r w:rsidR="00E17354">
        <w:rPr>
          <w:color w:val="000000" w:themeColor="text1"/>
          <w:sz w:val="24"/>
          <w:lang w:val="en-US"/>
        </w:rPr>
        <w:t>IC</w:t>
      </w:r>
      <w:r w:rsidR="001C1B27" w:rsidRPr="00EA4B66">
        <w:rPr>
          <w:color w:val="000000" w:themeColor="text1"/>
          <w:sz w:val="24"/>
          <w:lang w:val="en-US"/>
        </w:rPr>
        <w:t xml:space="preserve"> held</w:t>
      </w:r>
      <w:r w:rsidR="00443377" w:rsidRPr="00EA4B66">
        <w:rPr>
          <w:color w:val="000000" w:themeColor="text1"/>
          <w:sz w:val="24"/>
          <w:lang w:val="en-US"/>
        </w:rPr>
        <w:t xml:space="preserve"> </w:t>
      </w:r>
      <w:r w:rsidR="001C1B27" w:rsidRPr="00EA4B66">
        <w:rPr>
          <w:color w:val="000000" w:themeColor="text1"/>
          <w:sz w:val="24"/>
          <w:lang w:val="en-US"/>
        </w:rPr>
        <w:t xml:space="preserve">by a firm </w:t>
      </w:r>
      <w:r w:rsidR="00443377" w:rsidRPr="00EA4B66">
        <w:rPr>
          <w:color w:val="000000" w:themeColor="text1"/>
          <w:sz w:val="24"/>
          <w:lang w:val="en-US"/>
        </w:rPr>
        <w:t xml:space="preserve">can be thought of as a form of </w:t>
      </w:r>
      <w:r w:rsidR="00D831D6" w:rsidRPr="00EA4B66">
        <w:rPr>
          <w:color w:val="000000" w:themeColor="text1"/>
          <w:sz w:val="24"/>
          <w:lang w:val="en-US"/>
        </w:rPr>
        <w:t>‘</w:t>
      </w:r>
      <w:r w:rsidR="00443377" w:rsidRPr="00EA4B66">
        <w:rPr>
          <w:color w:val="000000" w:themeColor="text1"/>
          <w:sz w:val="24"/>
          <w:lang w:val="en-US"/>
        </w:rPr>
        <w:t>unaccounted capital</w:t>
      </w:r>
      <w:r w:rsidR="00D831D6" w:rsidRPr="00EA4B66">
        <w:rPr>
          <w:color w:val="000000" w:themeColor="text1"/>
          <w:sz w:val="24"/>
          <w:lang w:val="en-US"/>
        </w:rPr>
        <w:t>’</w:t>
      </w:r>
      <w:r w:rsidR="001C1B27" w:rsidRPr="00EA4B66">
        <w:rPr>
          <w:color w:val="000000" w:themeColor="text1"/>
          <w:sz w:val="24"/>
          <w:lang w:val="en-US"/>
        </w:rPr>
        <w:t xml:space="preserve"> in accordance with the </w:t>
      </w:r>
      <w:r w:rsidR="001C1B27" w:rsidRPr="00EA4B66">
        <w:rPr>
          <w:color w:val="000000" w:themeColor="text1"/>
          <w:sz w:val="24"/>
          <w:lang w:val="en-US"/>
        </w:rPr>
        <w:lastRenderedPageBreak/>
        <w:t>traditional accounting</w:t>
      </w:r>
      <w:r w:rsidR="00443377" w:rsidRPr="00EA4B66">
        <w:rPr>
          <w:color w:val="000000" w:themeColor="text1"/>
          <w:sz w:val="24"/>
          <w:lang w:val="en-US"/>
        </w:rPr>
        <w:t xml:space="preserve"> </w:t>
      </w:r>
      <w:r w:rsidR="001C1B27" w:rsidRPr="00EA4B66">
        <w:rPr>
          <w:color w:val="000000" w:themeColor="text1"/>
          <w:sz w:val="24"/>
          <w:lang w:val="en-US"/>
        </w:rPr>
        <w:t>system terminology</w:t>
      </w:r>
      <w:r w:rsidR="00D831D6" w:rsidRPr="00EA4B66">
        <w:rPr>
          <w:color w:val="000000" w:themeColor="text1"/>
          <w:sz w:val="24"/>
          <w:lang w:val="en-US"/>
        </w:rPr>
        <w:t>,</w:t>
      </w:r>
      <w:r w:rsidR="001C1B27" w:rsidRPr="00EA4B66">
        <w:rPr>
          <w:color w:val="000000" w:themeColor="text1"/>
          <w:sz w:val="24"/>
          <w:lang w:val="en-US"/>
        </w:rPr>
        <w:t xml:space="preserve"> and </w:t>
      </w:r>
      <w:r w:rsidR="00D831D6" w:rsidRPr="00EA4B66">
        <w:rPr>
          <w:color w:val="000000" w:themeColor="text1"/>
          <w:sz w:val="24"/>
          <w:lang w:val="en-US"/>
        </w:rPr>
        <w:t xml:space="preserve">may </w:t>
      </w:r>
      <w:r w:rsidR="001C1B27" w:rsidRPr="00EA4B66">
        <w:rPr>
          <w:color w:val="000000" w:themeColor="text1"/>
          <w:sz w:val="24"/>
          <w:lang w:val="en-US"/>
        </w:rPr>
        <w:t>be described as the knowledge-based equity that supports the knowledge-based</w:t>
      </w:r>
      <w:r w:rsidR="00443377" w:rsidRPr="00EA4B66">
        <w:rPr>
          <w:color w:val="000000" w:themeColor="text1"/>
          <w:sz w:val="24"/>
          <w:lang w:val="en-US"/>
        </w:rPr>
        <w:t xml:space="preserve"> </w:t>
      </w:r>
      <w:r w:rsidR="001C1B27" w:rsidRPr="00EA4B66">
        <w:rPr>
          <w:color w:val="000000" w:themeColor="text1"/>
          <w:sz w:val="24"/>
          <w:lang w:val="en-US"/>
        </w:rPr>
        <w:t>assets of a firm.</w:t>
      </w:r>
    </w:p>
    <w:p w14:paraId="288EF0AF" w14:textId="4B95CE02" w:rsidR="007609B0" w:rsidRPr="00EA4B66" w:rsidRDefault="00C71A54" w:rsidP="007609B0">
      <w:pPr>
        <w:spacing w:after="0" w:line="240" w:lineRule="auto"/>
        <w:jc w:val="both"/>
        <w:rPr>
          <w:color w:val="000000" w:themeColor="text1"/>
          <w:sz w:val="24"/>
          <w:lang w:val="en-US"/>
        </w:rPr>
      </w:pPr>
      <w:r w:rsidRPr="00EA4B66">
        <w:rPr>
          <w:color w:val="000000" w:themeColor="text1"/>
          <w:sz w:val="24"/>
          <w:lang w:val="en-US"/>
        </w:rPr>
        <w:t xml:space="preserve">   </w:t>
      </w:r>
      <w:r w:rsidR="006D6F07" w:rsidRPr="00EA4B66">
        <w:rPr>
          <w:color w:val="000000" w:themeColor="text1"/>
          <w:sz w:val="24"/>
          <w:lang w:val="en-US"/>
        </w:rPr>
        <w:t>Panel A</w:t>
      </w:r>
      <w:r w:rsidR="00D831D6" w:rsidRPr="00EA4B66">
        <w:rPr>
          <w:color w:val="000000" w:themeColor="text1"/>
          <w:sz w:val="24"/>
          <w:lang w:val="en-US"/>
        </w:rPr>
        <w:t xml:space="preserve"> shows that</w:t>
      </w:r>
      <w:r w:rsidR="006D6F07" w:rsidRPr="00EA4B66">
        <w:rPr>
          <w:color w:val="000000" w:themeColor="text1"/>
          <w:sz w:val="24"/>
          <w:lang w:val="en-US"/>
        </w:rPr>
        <w:t xml:space="preserve"> s</w:t>
      </w:r>
      <w:r w:rsidR="00A60025" w:rsidRPr="00EA4B66">
        <w:rPr>
          <w:color w:val="000000" w:themeColor="text1"/>
          <w:sz w:val="24"/>
          <w:lang w:val="en-US"/>
        </w:rPr>
        <w:t xml:space="preserve">ample firms have </w:t>
      </w:r>
      <w:r w:rsidR="00107159" w:rsidRPr="00EA4B66">
        <w:rPr>
          <w:color w:val="000000" w:themeColor="text1"/>
          <w:sz w:val="24"/>
          <w:lang w:val="en-US"/>
        </w:rPr>
        <w:t>an intangible asset</w:t>
      </w:r>
      <w:r w:rsidR="0041512A" w:rsidRPr="00EA4B66">
        <w:rPr>
          <w:color w:val="000000" w:themeColor="text1"/>
          <w:sz w:val="24"/>
          <w:lang w:val="en-US"/>
        </w:rPr>
        <w:t xml:space="preserve"> to total assets</w:t>
      </w:r>
      <w:r w:rsidR="00A60025" w:rsidRPr="00EA4B66">
        <w:rPr>
          <w:color w:val="000000" w:themeColor="text1"/>
          <w:sz w:val="24"/>
          <w:lang w:val="en-US"/>
        </w:rPr>
        <w:t xml:space="preserve"> (</w:t>
      </w:r>
      <w:r w:rsidR="00A60025" w:rsidRPr="00EA4B66">
        <w:rPr>
          <w:i/>
          <w:color w:val="000000" w:themeColor="text1"/>
          <w:sz w:val="24"/>
          <w:lang w:val="en-US"/>
        </w:rPr>
        <w:t>TINT</w:t>
      </w:r>
      <w:r w:rsidR="00A60025" w:rsidRPr="00EA4B66">
        <w:rPr>
          <w:color w:val="000000" w:themeColor="text1"/>
          <w:sz w:val="24"/>
          <w:lang w:val="en-US"/>
        </w:rPr>
        <w:t>) rat</w:t>
      </w:r>
      <w:r w:rsidR="0041512A" w:rsidRPr="00EA4B66">
        <w:rPr>
          <w:color w:val="000000" w:themeColor="text1"/>
          <w:sz w:val="24"/>
          <w:lang w:val="en-US"/>
        </w:rPr>
        <w:t>io</w:t>
      </w:r>
      <w:r w:rsidR="00A60025" w:rsidRPr="00EA4B66">
        <w:rPr>
          <w:color w:val="000000" w:themeColor="text1"/>
          <w:sz w:val="24"/>
          <w:lang w:val="en-US"/>
        </w:rPr>
        <w:t xml:space="preserve"> of 0.068, while KIBS </w:t>
      </w:r>
      <w:r w:rsidR="00123BDC" w:rsidRPr="00EA4B66">
        <w:rPr>
          <w:color w:val="000000" w:themeColor="text1"/>
          <w:sz w:val="24"/>
          <w:lang w:val="en-US"/>
        </w:rPr>
        <w:t xml:space="preserve">industries </w:t>
      </w:r>
      <w:r w:rsidR="00A60025" w:rsidRPr="00EA4B66">
        <w:rPr>
          <w:color w:val="000000" w:themeColor="text1"/>
          <w:sz w:val="24"/>
          <w:lang w:val="en-US"/>
        </w:rPr>
        <w:t xml:space="preserve">and TI </w:t>
      </w:r>
      <w:r w:rsidR="00C8562B" w:rsidRPr="00EA4B66">
        <w:rPr>
          <w:color w:val="000000" w:themeColor="text1"/>
          <w:sz w:val="24"/>
          <w:lang w:val="en-US"/>
        </w:rPr>
        <w:t xml:space="preserve">(Panels B and C, respectively) </w:t>
      </w:r>
      <w:r w:rsidR="00A60025" w:rsidRPr="00EA4B66">
        <w:rPr>
          <w:color w:val="000000" w:themeColor="text1"/>
          <w:sz w:val="24"/>
          <w:lang w:val="en-US"/>
        </w:rPr>
        <w:t>show</w:t>
      </w:r>
      <w:r w:rsidR="0041512A" w:rsidRPr="00EA4B66">
        <w:rPr>
          <w:color w:val="000000" w:themeColor="text1"/>
          <w:sz w:val="24"/>
          <w:lang w:val="en-US"/>
        </w:rPr>
        <w:t xml:space="preserve"> </w:t>
      </w:r>
      <w:r w:rsidR="00A60025" w:rsidRPr="00EA4B66">
        <w:rPr>
          <w:i/>
          <w:color w:val="000000" w:themeColor="text1"/>
          <w:sz w:val="24"/>
          <w:lang w:val="en-US"/>
        </w:rPr>
        <w:t>TINT</w:t>
      </w:r>
      <w:r w:rsidR="00A60025" w:rsidRPr="00EA4B66">
        <w:rPr>
          <w:color w:val="000000" w:themeColor="text1"/>
          <w:sz w:val="24"/>
          <w:lang w:val="en-US"/>
        </w:rPr>
        <w:t xml:space="preserve"> rat</w:t>
      </w:r>
      <w:r w:rsidR="0041512A" w:rsidRPr="00EA4B66">
        <w:rPr>
          <w:color w:val="000000" w:themeColor="text1"/>
          <w:sz w:val="24"/>
          <w:lang w:val="en-US"/>
        </w:rPr>
        <w:t>ios</w:t>
      </w:r>
      <w:r w:rsidR="00A60025" w:rsidRPr="00EA4B66">
        <w:rPr>
          <w:color w:val="000000" w:themeColor="text1"/>
          <w:sz w:val="24"/>
          <w:lang w:val="en-US"/>
        </w:rPr>
        <w:t xml:space="preserve"> of </w:t>
      </w:r>
      <w:r w:rsidR="0020643C" w:rsidRPr="00EA4B66">
        <w:rPr>
          <w:color w:val="000000" w:themeColor="text1"/>
          <w:sz w:val="24"/>
          <w:lang w:val="en-US"/>
        </w:rPr>
        <w:t>0.046</w:t>
      </w:r>
      <w:r w:rsidR="00A60025" w:rsidRPr="00EA4B66">
        <w:rPr>
          <w:color w:val="000000" w:themeColor="text1"/>
          <w:sz w:val="24"/>
          <w:lang w:val="en-US"/>
        </w:rPr>
        <w:t xml:space="preserve"> and </w:t>
      </w:r>
      <w:r w:rsidR="0020643C" w:rsidRPr="00EA4B66">
        <w:rPr>
          <w:color w:val="000000" w:themeColor="text1"/>
          <w:sz w:val="24"/>
          <w:lang w:val="en-US"/>
        </w:rPr>
        <w:t>0.073</w:t>
      </w:r>
      <w:r w:rsidR="00A60025" w:rsidRPr="00EA4B66">
        <w:rPr>
          <w:color w:val="000000" w:themeColor="text1"/>
          <w:sz w:val="24"/>
          <w:lang w:val="en-US"/>
        </w:rPr>
        <w:t xml:space="preserve">, respectively. These findings provide evidence that </w:t>
      </w:r>
      <w:r w:rsidR="0041512A" w:rsidRPr="00EA4B66">
        <w:rPr>
          <w:color w:val="000000" w:themeColor="text1"/>
          <w:sz w:val="24"/>
          <w:lang w:val="en-US"/>
        </w:rPr>
        <w:t xml:space="preserve">while </w:t>
      </w:r>
      <w:r w:rsidR="00A60025" w:rsidRPr="00EA4B66">
        <w:rPr>
          <w:color w:val="000000" w:themeColor="text1"/>
          <w:sz w:val="24"/>
          <w:lang w:val="en-US"/>
        </w:rPr>
        <w:t>both KIBS</w:t>
      </w:r>
      <w:r w:rsidR="0041512A" w:rsidRPr="00EA4B66">
        <w:rPr>
          <w:color w:val="000000" w:themeColor="text1"/>
          <w:sz w:val="24"/>
          <w:lang w:val="en-US"/>
        </w:rPr>
        <w:t xml:space="preserve"> industry</w:t>
      </w:r>
      <w:r w:rsidR="00A60025" w:rsidRPr="00EA4B66">
        <w:rPr>
          <w:color w:val="000000" w:themeColor="text1"/>
          <w:sz w:val="24"/>
          <w:lang w:val="en-US"/>
        </w:rPr>
        <w:t xml:space="preserve"> </w:t>
      </w:r>
      <w:r w:rsidR="0041512A" w:rsidRPr="00EA4B66">
        <w:rPr>
          <w:color w:val="000000" w:themeColor="text1"/>
          <w:sz w:val="24"/>
          <w:lang w:val="en-US"/>
        </w:rPr>
        <w:t xml:space="preserve">firms </w:t>
      </w:r>
      <w:r w:rsidR="00A60025" w:rsidRPr="00EA4B66">
        <w:rPr>
          <w:color w:val="000000" w:themeColor="text1"/>
          <w:sz w:val="24"/>
          <w:lang w:val="en-US"/>
        </w:rPr>
        <w:t xml:space="preserve">and TI </w:t>
      </w:r>
      <w:r w:rsidR="0041512A" w:rsidRPr="00EA4B66">
        <w:rPr>
          <w:color w:val="000000" w:themeColor="text1"/>
          <w:sz w:val="24"/>
          <w:lang w:val="en-US"/>
        </w:rPr>
        <w:t>firms</w:t>
      </w:r>
      <w:r w:rsidR="00A60025" w:rsidRPr="00EA4B66">
        <w:rPr>
          <w:color w:val="000000" w:themeColor="text1"/>
          <w:sz w:val="24"/>
          <w:lang w:val="en-US"/>
        </w:rPr>
        <w:t xml:space="preserve"> invest in </w:t>
      </w:r>
      <w:r w:rsidR="00E02B50">
        <w:rPr>
          <w:color w:val="000000" w:themeColor="text1"/>
          <w:sz w:val="24"/>
          <w:lang w:val="en-US"/>
        </w:rPr>
        <w:t>IA</w:t>
      </w:r>
      <w:r w:rsidR="00FF4C09" w:rsidRPr="00EA4B66">
        <w:rPr>
          <w:color w:val="000000" w:themeColor="text1"/>
          <w:sz w:val="24"/>
          <w:lang w:val="en-US"/>
        </w:rPr>
        <w:t xml:space="preserve"> (6.8%)</w:t>
      </w:r>
      <w:r w:rsidR="00A60025" w:rsidRPr="00EA4B66">
        <w:rPr>
          <w:color w:val="000000" w:themeColor="text1"/>
          <w:sz w:val="24"/>
          <w:lang w:val="en-US"/>
        </w:rPr>
        <w:t xml:space="preserve">, </w:t>
      </w:r>
      <w:r w:rsidR="0041512A" w:rsidRPr="00EA4B66">
        <w:rPr>
          <w:color w:val="000000" w:themeColor="text1"/>
          <w:sz w:val="24"/>
          <w:lang w:val="en-US"/>
        </w:rPr>
        <w:t>the former</w:t>
      </w:r>
      <w:r w:rsidR="00A60025" w:rsidRPr="00EA4B66">
        <w:rPr>
          <w:color w:val="000000" w:themeColor="text1"/>
          <w:sz w:val="24"/>
          <w:lang w:val="en-US"/>
        </w:rPr>
        <w:t xml:space="preserve"> </w:t>
      </w:r>
      <w:r w:rsidR="00E54744" w:rsidRPr="00EA4B66">
        <w:rPr>
          <w:color w:val="000000" w:themeColor="text1"/>
          <w:sz w:val="24"/>
          <w:lang w:val="en-US"/>
        </w:rPr>
        <w:t>have</w:t>
      </w:r>
      <w:r w:rsidR="00EA675D" w:rsidRPr="00EA4B66">
        <w:rPr>
          <w:color w:val="000000" w:themeColor="text1"/>
          <w:sz w:val="24"/>
          <w:lang w:val="en-US"/>
        </w:rPr>
        <w:t xml:space="preserve"> </w:t>
      </w:r>
      <w:r w:rsidR="000C1B77" w:rsidRPr="00EA4B66">
        <w:rPr>
          <w:color w:val="000000" w:themeColor="text1"/>
          <w:sz w:val="24"/>
          <w:lang w:val="en-US"/>
        </w:rPr>
        <w:t>recognized</w:t>
      </w:r>
      <w:r w:rsidR="00E54744" w:rsidRPr="00EA4B66">
        <w:rPr>
          <w:color w:val="000000" w:themeColor="text1"/>
          <w:sz w:val="24"/>
          <w:lang w:val="en-US"/>
        </w:rPr>
        <w:t xml:space="preserve"> </w:t>
      </w:r>
      <w:r w:rsidR="006A53E6">
        <w:rPr>
          <w:color w:val="000000" w:themeColor="text1"/>
          <w:sz w:val="24"/>
          <w:lang w:val="en-US"/>
        </w:rPr>
        <w:t>IA</w:t>
      </w:r>
      <w:r w:rsidR="00D831D6" w:rsidRPr="00EA4B66">
        <w:rPr>
          <w:color w:val="000000" w:themeColor="text1"/>
          <w:sz w:val="24"/>
          <w:lang w:val="en-US"/>
        </w:rPr>
        <w:t xml:space="preserve"> ratios</w:t>
      </w:r>
      <w:r w:rsidR="00E54744" w:rsidRPr="00EA4B66">
        <w:rPr>
          <w:color w:val="000000" w:themeColor="text1"/>
          <w:sz w:val="24"/>
          <w:lang w:val="en-US"/>
        </w:rPr>
        <w:t xml:space="preserve"> </w:t>
      </w:r>
      <w:r w:rsidR="0020643C" w:rsidRPr="00EA4B66">
        <w:rPr>
          <w:color w:val="000000" w:themeColor="text1"/>
          <w:sz w:val="24"/>
          <w:lang w:val="en-US"/>
        </w:rPr>
        <w:t xml:space="preserve">(4.6%) </w:t>
      </w:r>
      <w:r w:rsidR="00D831D6" w:rsidRPr="00EA4B66">
        <w:rPr>
          <w:color w:val="000000" w:themeColor="text1"/>
          <w:sz w:val="24"/>
          <w:lang w:val="en-US"/>
        </w:rPr>
        <w:t xml:space="preserve">which are </w:t>
      </w:r>
      <w:r w:rsidR="00E54744" w:rsidRPr="00EA4B66">
        <w:rPr>
          <w:color w:val="000000" w:themeColor="text1"/>
          <w:sz w:val="24"/>
          <w:lang w:val="en-US"/>
        </w:rPr>
        <w:t>lower</w:t>
      </w:r>
      <w:r w:rsidR="00EA675D" w:rsidRPr="00EA4B66">
        <w:rPr>
          <w:color w:val="000000" w:themeColor="text1"/>
          <w:sz w:val="24"/>
          <w:lang w:val="en-US"/>
        </w:rPr>
        <w:t xml:space="preserve"> than </w:t>
      </w:r>
      <w:r w:rsidR="00D831D6" w:rsidRPr="00EA4B66">
        <w:rPr>
          <w:color w:val="000000" w:themeColor="text1"/>
          <w:sz w:val="24"/>
          <w:lang w:val="en-US"/>
        </w:rPr>
        <w:t xml:space="preserve">those of </w:t>
      </w:r>
      <w:r w:rsidR="00E54744" w:rsidRPr="00EA4B66">
        <w:rPr>
          <w:color w:val="000000" w:themeColor="text1"/>
          <w:sz w:val="24"/>
          <w:lang w:val="en-US"/>
        </w:rPr>
        <w:t xml:space="preserve">the </w:t>
      </w:r>
      <w:r w:rsidR="00EA675D" w:rsidRPr="00EA4B66">
        <w:rPr>
          <w:color w:val="000000" w:themeColor="text1"/>
          <w:sz w:val="24"/>
          <w:lang w:val="en-US"/>
        </w:rPr>
        <w:t>TI companies</w:t>
      </w:r>
      <w:r w:rsidR="0020643C" w:rsidRPr="00EA4B66">
        <w:rPr>
          <w:color w:val="000000" w:themeColor="text1"/>
          <w:sz w:val="24"/>
          <w:lang w:val="en-US"/>
        </w:rPr>
        <w:t xml:space="preserve"> (7.3%)</w:t>
      </w:r>
      <w:r w:rsidR="00E54744" w:rsidRPr="00EA4B66">
        <w:rPr>
          <w:color w:val="000000" w:themeColor="text1"/>
          <w:sz w:val="24"/>
          <w:lang w:val="en-US"/>
        </w:rPr>
        <w:t xml:space="preserve">. </w:t>
      </w:r>
      <w:r w:rsidR="00EC5DC6" w:rsidRPr="00EA4B66">
        <w:rPr>
          <w:color w:val="000000" w:themeColor="text1"/>
          <w:sz w:val="24"/>
          <w:lang w:val="en-US"/>
        </w:rPr>
        <w:t xml:space="preserve">This finding may be explained by the </w:t>
      </w:r>
      <w:r w:rsidR="00D831D6" w:rsidRPr="00EA4B66">
        <w:rPr>
          <w:color w:val="000000" w:themeColor="text1"/>
          <w:sz w:val="24"/>
          <w:lang w:val="en-US"/>
        </w:rPr>
        <w:t>greater tendency of</w:t>
      </w:r>
      <w:r w:rsidR="00EC5DC6" w:rsidRPr="00EA4B66">
        <w:rPr>
          <w:color w:val="000000" w:themeColor="text1"/>
          <w:sz w:val="24"/>
          <w:lang w:val="en-US"/>
        </w:rPr>
        <w:t xml:space="preserve"> KIBS companies to invest in </w:t>
      </w:r>
      <w:r w:rsidR="00D831D6" w:rsidRPr="00EA4B66">
        <w:rPr>
          <w:color w:val="000000" w:themeColor="text1"/>
          <w:sz w:val="24"/>
          <w:lang w:val="en-US"/>
        </w:rPr>
        <w:t>as yet</w:t>
      </w:r>
      <w:r w:rsidR="00EC5DC6" w:rsidRPr="00EA4B66">
        <w:rPr>
          <w:color w:val="000000" w:themeColor="text1"/>
          <w:sz w:val="24"/>
          <w:lang w:val="en-US"/>
        </w:rPr>
        <w:t xml:space="preserve"> </w:t>
      </w:r>
      <w:r w:rsidR="00D831D6" w:rsidRPr="00EA4B66">
        <w:rPr>
          <w:color w:val="000000" w:themeColor="text1"/>
          <w:sz w:val="24"/>
          <w:lang w:val="en-US"/>
        </w:rPr>
        <w:t>un</w:t>
      </w:r>
      <w:r w:rsidR="00EC5DC6" w:rsidRPr="00EA4B66">
        <w:rPr>
          <w:color w:val="000000" w:themeColor="text1"/>
          <w:sz w:val="24"/>
          <w:lang w:val="en-US"/>
        </w:rPr>
        <w:t xml:space="preserve">recognized </w:t>
      </w:r>
      <w:r w:rsidR="00E02B50">
        <w:rPr>
          <w:color w:val="000000" w:themeColor="text1"/>
          <w:sz w:val="24"/>
          <w:lang w:val="en-US"/>
        </w:rPr>
        <w:t>IA</w:t>
      </w:r>
      <w:r w:rsidR="00EC5DC6" w:rsidRPr="00EA4B66">
        <w:rPr>
          <w:color w:val="000000" w:themeColor="text1"/>
          <w:sz w:val="24"/>
          <w:lang w:val="en-US"/>
        </w:rPr>
        <w:t xml:space="preserve"> than </w:t>
      </w:r>
      <w:r w:rsidR="00D831D6" w:rsidRPr="00EA4B66">
        <w:rPr>
          <w:color w:val="000000" w:themeColor="text1"/>
          <w:sz w:val="24"/>
          <w:lang w:val="en-US"/>
        </w:rPr>
        <w:t xml:space="preserve">is the case for </w:t>
      </w:r>
      <w:r w:rsidR="00EC5DC6" w:rsidRPr="00EA4B66">
        <w:rPr>
          <w:color w:val="000000" w:themeColor="text1"/>
          <w:sz w:val="24"/>
          <w:lang w:val="en-US"/>
        </w:rPr>
        <w:t>TI companies. This finding also suggest</w:t>
      </w:r>
      <w:r w:rsidR="00D831D6" w:rsidRPr="00EA4B66">
        <w:rPr>
          <w:color w:val="000000" w:themeColor="text1"/>
          <w:sz w:val="24"/>
          <w:lang w:val="en-US"/>
        </w:rPr>
        <w:t>s</w:t>
      </w:r>
      <w:r w:rsidR="00EC5DC6" w:rsidRPr="00EA4B66">
        <w:rPr>
          <w:color w:val="000000" w:themeColor="text1"/>
          <w:sz w:val="24"/>
          <w:lang w:val="en-US"/>
        </w:rPr>
        <w:t xml:space="preserve"> that financial investors </w:t>
      </w:r>
      <w:r w:rsidR="00D831D6" w:rsidRPr="00EA4B66">
        <w:rPr>
          <w:color w:val="000000" w:themeColor="text1"/>
          <w:sz w:val="24"/>
          <w:lang w:val="en-US"/>
        </w:rPr>
        <w:t>price</w:t>
      </w:r>
      <w:r w:rsidR="00EC5DC6" w:rsidRPr="00EA4B66">
        <w:rPr>
          <w:color w:val="000000" w:themeColor="text1"/>
          <w:sz w:val="24"/>
          <w:lang w:val="en-US"/>
        </w:rPr>
        <w:t xml:space="preserve"> </w:t>
      </w:r>
      <w:r w:rsidR="00952ABA">
        <w:rPr>
          <w:color w:val="000000" w:themeColor="text1"/>
          <w:sz w:val="24"/>
          <w:lang w:val="en-US"/>
        </w:rPr>
        <w:t>IC</w:t>
      </w:r>
      <w:r w:rsidR="00EC5DC6" w:rsidRPr="00EA4B66">
        <w:rPr>
          <w:color w:val="000000" w:themeColor="text1"/>
          <w:sz w:val="24"/>
          <w:lang w:val="en-US"/>
        </w:rPr>
        <w:t xml:space="preserve"> in a holistic manner through other non-financial information. This may explain why KIBS </w:t>
      </w:r>
      <w:r w:rsidR="008B1426" w:rsidRPr="00EA4B66">
        <w:rPr>
          <w:color w:val="000000" w:themeColor="text1"/>
          <w:sz w:val="24"/>
          <w:lang w:val="en-US"/>
        </w:rPr>
        <w:t xml:space="preserve">industry </w:t>
      </w:r>
      <w:r w:rsidR="00EC5DC6" w:rsidRPr="00EA4B66">
        <w:rPr>
          <w:color w:val="000000" w:themeColor="text1"/>
          <w:sz w:val="24"/>
          <w:lang w:val="en-US"/>
        </w:rPr>
        <w:t xml:space="preserve">companies have a higher MTB ratio compared to TI companies. </w:t>
      </w:r>
      <w:r w:rsidR="00A60025" w:rsidRPr="00EA4B66">
        <w:rPr>
          <w:color w:val="000000" w:themeColor="text1"/>
          <w:sz w:val="24"/>
          <w:lang w:val="en-US"/>
        </w:rPr>
        <w:t>Sample firm</w:t>
      </w:r>
      <w:r w:rsidRPr="00EA4B66">
        <w:rPr>
          <w:color w:val="000000" w:themeColor="text1"/>
          <w:sz w:val="24"/>
          <w:lang w:val="en-US"/>
        </w:rPr>
        <w:t xml:space="preserve"> size</w:t>
      </w:r>
      <w:r w:rsidR="00F42BB8" w:rsidRPr="00EA4B66">
        <w:rPr>
          <w:color w:val="000000" w:themeColor="text1"/>
          <w:sz w:val="24"/>
          <w:lang w:val="en-US"/>
        </w:rPr>
        <w:t xml:space="preserve"> </w:t>
      </w:r>
      <w:r w:rsidR="00A60025" w:rsidRPr="00EA4B66">
        <w:rPr>
          <w:color w:val="000000" w:themeColor="text1"/>
          <w:sz w:val="24"/>
          <w:lang w:val="en-US"/>
        </w:rPr>
        <w:t xml:space="preserve">is, </w:t>
      </w:r>
      <w:r w:rsidR="0041512A" w:rsidRPr="00EA4B66">
        <w:rPr>
          <w:color w:val="000000" w:themeColor="text1"/>
          <w:sz w:val="24"/>
          <w:lang w:val="en-US"/>
        </w:rPr>
        <w:t xml:space="preserve">on </w:t>
      </w:r>
      <w:r w:rsidR="00A60025" w:rsidRPr="00EA4B66">
        <w:rPr>
          <w:color w:val="000000" w:themeColor="text1"/>
          <w:sz w:val="24"/>
          <w:lang w:val="en-US"/>
        </w:rPr>
        <w:t xml:space="preserve">average, 12.843, while KIBS </w:t>
      </w:r>
      <w:r w:rsidR="0041512A" w:rsidRPr="00EA4B66">
        <w:rPr>
          <w:color w:val="000000" w:themeColor="text1"/>
          <w:sz w:val="24"/>
          <w:lang w:val="en-US"/>
        </w:rPr>
        <w:t xml:space="preserve">industry firms </w:t>
      </w:r>
      <w:r w:rsidR="00A60025" w:rsidRPr="00EA4B66">
        <w:rPr>
          <w:color w:val="000000" w:themeColor="text1"/>
          <w:sz w:val="24"/>
          <w:lang w:val="en-US"/>
        </w:rPr>
        <w:t>and TI</w:t>
      </w:r>
      <w:r w:rsidR="0041512A" w:rsidRPr="00EA4B66">
        <w:rPr>
          <w:color w:val="000000" w:themeColor="text1"/>
          <w:sz w:val="24"/>
          <w:lang w:val="en-US"/>
        </w:rPr>
        <w:t xml:space="preserve"> firms</w:t>
      </w:r>
      <w:r w:rsidR="00A60025" w:rsidRPr="00EA4B66">
        <w:rPr>
          <w:color w:val="000000" w:themeColor="text1"/>
          <w:sz w:val="24"/>
          <w:lang w:val="en-US"/>
        </w:rPr>
        <w:t xml:space="preserve"> </w:t>
      </w:r>
      <w:r w:rsidR="0041512A" w:rsidRPr="00EA4B66">
        <w:rPr>
          <w:color w:val="000000" w:themeColor="text1"/>
          <w:sz w:val="24"/>
          <w:lang w:val="en-US"/>
        </w:rPr>
        <w:t>have similar</w:t>
      </w:r>
      <w:r w:rsidR="00A60025" w:rsidRPr="00EA4B66">
        <w:rPr>
          <w:color w:val="000000" w:themeColor="text1"/>
          <w:sz w:val="24"/>
          <w:lang w:val="en-US"/>
        </w:rPr>
        <w:t xml:space="preserve"> </w:t>
      </w:r>
      <w:r w:rsidR="0041512A" w:rsidRPr="00EA4B66">
        <w:rPr>
          <w:color w:val="000000" w:themeColor="text1"/>
          <w:sz w:val="24"/>
          <w:lang w:val="en-US"/>
        </w:rPr>
        <w:t xml:space="preserve">mean </w:t>
      </w:r>
      <w:r w:rsidR="00A60025" w:rsidRPr="00EA4B66">
        <w:rPr>
          <w:color w:val="000000" w:themeColor="text1"/>
          <w:sz w:val="24"/>
          <w:lang w:val="en-US"/>
        </w:rPr>
        <w:t>size</w:t>
      </w:r>
      <w:r w:rsidR="0041512A" w:rsidRPr="00EA4B66">
        <w:rPr>
          <w:color w:val="000000" w:themeColor="text1"/>
          <w:sz w:val="24"/>
          <w:lang w:val="en-US"/>
        </w:rPr>
        <w:t>s</w:t>
      </w:r>
      <w:r w:rsidR="00A60025" w:rsidRPr="00EA4B66">
        <w:rPr>
          <w:color w:val="000000" w:themeColor="text1"/>
          <w:sz w:val="24"/>
          <w:lang w:val="en-US"/>
        </w:rPr>
        <w:t xml:space="preserve"> of 12.</w:t>
      </w:r>
      <w:r w:rsidR="003A47A0" w:rsidRPr="00EA4B66">
        <w:rPr>
          <w:color w:val="000000" w:themeColor="text1"/>
          <w:sz w:val="24"/>
          <w:lang w:val="en-US"/>
        </w:rPr>
        <w:t>83</w:t>
      </w:r>
      <w:r w:rsidR="00EC5DC6" w:rsidRPr="00EA4B66">
        <w:rPr>
          <w:color w:val="000000" w:themeColor="text1"/>
          <w:sz w:val="24"/>
          <w:lang w:val="en-US"/>
        </w:rPr>
        <w:t>4</w:t>
      </w:r>
      <w:r w:rsidR="003A47A0" w:rsidRPr="00EA4B66">
        <w:rPr>
          <w:color w:val="000000" w:themeColor="text1"/>
          <w:sz w:val="24"/>
          <w:lang w:val="en-US"/>
        </w:rPr>
        <w:t xml:space="preserve"> </w:t>
      </w:r>
      <w:r w:rsidR="00A60025" w:rsidRPr="00EA4B66">
        <w:rPr>
          <w:color w:val="000000" w:themeColor="text1"/>
          <w:sz w:val="24"/>
          <w:lang w:val="en-US"/>
        </w:rPr>
        <w:t>and 12.</w:t>
      </w:r>
      <w:r w:rsidR="003A47A0" w:rsidRPr="00EA4B66">
        <w:rPr>
          <w:color w:val="000000" w:themeColor="text1"/>
          <w:sz w:val="24"/>
          <w:lang w:val="en-US"/>
        </w:rPr>
        <w:t>8</w:t>
      </w:r>
      <w:r w:rsidR="00EC5DC6" w:rsidRPr="00EA4B66">
        <w:rPr>
          <w:color w:val="000000" w:themeColor="text1"/>
          <w:sz w:val="24"/>
          <w:lang w:val="en-US"/>
        </w:rPr>
        <w:t>46</w:t>
      </w:r>
      <w:r w:rsidR="00A60025" w:rsidRPr="00EA4B66">
        <w:rPr>
          <w:color w:val="000000" w:themeColor="text1"/>
          <w:sz w:val="24"/>
          <w:lang w:val="en-US"/>
        </w:rPr>
        <w:t xml:space="preserve">, respectively. </w:t>
      </w:r>
      <w:r w:rsidR="0041512A" w:rsidRPr="00EA4B66">
        <w:rPr>
          <w:color w:val="000000" w:themeColor="text1"/>
          <w:sz w:val="24"/>
          <w:lang w:val="en-US"/>
        </w:rPr>
        <w:t>The overall sample</w:t>
      </w:r>
      <w:r w:rsidR="00A60025" w:rsidRPr="00EA4B66">
        <w:rPr>
          <w:color w:val="000000" w:themeColor="text1"/>
          <w:sz w:val="24"/>
          <w:lang w:val="en-US"/>
        </w:rPr>
        <w:t xml:space="preserve"> mean </w:t>
      </w:r>
      <w:r w:rsidR="00A60025" w:rsidRPr="00EA4B66">
        <w:rPr>
          <w:i/>
          <w:color w:val="000000" w:themeColor="text1"/>
          <w:sz w:val="24"/>
          <w:lang w:val="en-US"/>
        </w:rPr>
        <w:t>AGE</w:t>
      </w:r>
      <w:r w:rsidR="00A60025" w:rsidRPr="00EA4B66">
        <w:rPr>
          <w:color w:val="000000" w:themeColor="text1"/>
          <w:sz w:val="24"/>
          <w:lang w:val="en-US"/>
        </w:rPr>
        <w:t xml:space="preserve"> of </w:t>
      </w:r>
      <w:r w:rsidR="0041512A" w:rsidRPr="00EA4B66">
        <w:rPr>
          <w:color w:val="000000" w:themeColor="text1"/>
          <w:sz w:val="24"/>
          <w:lang w:val="en-US"/>
        </w:rPr>
        <w:t xml:space="preserve">companies is </w:t>
      </w:r>
      <w:r w:rsidR="00A60025" w:rsidRPr="00EA4B66">
        <w:rPr>
          <w:color w:val="000000" w:themeColor="text1"/>
          <w:sz w:val="24"/>
          <w:lang w:val="en-US"/>
        </w:rPr>
        <w:t>3.366 (28</w:t>
      </w:r>
      <w:r w:rsidR="0041512A" w:rsidRPr="00EA4B66">
        <w:rPr>
          <w:color w:val="000000" w:themeColor="text1"/>
          <w:sz w:val="24"/>
          <w:lang w:val="en-US"/>
        </w:rPr>
        <w:t>.</w:t>
      </w:r>
      <w:r w:rsidR="00A60025" w:rsidRPr="00EA4B66">
        <w:rPr>
          <w:color w:val="000000" w:themeColor="text1"/>
          <w:sz w:val="24"/>
          <w:lang w:val="en-US"/>
        </w:rPr>
        <w:t>96 years</w:t>
      </w:r>
      <w:r w:rsidR="0041512A" w:rsidRPr="00EA4B66">
        <w:rPr>
          <w:color w:val="000000" w:themeColor="text1"/>
          <w:sz w:val="24"/>
          <w:lang w:val="en-US"/>
        </w:rPr>
        <w:t>)</w:t>
      </w:r>
      <w:r w:rsidR="00A60025" w:rsidRPr="00EA4B66">
        <w:rPr>
          <w:color w:val="000000" w:themeColor="text1"/>
          <w:sz w:val="24"/>
          <w:lang w:val="en-US"/>
        </w:rPr>
        <w:t xml:space="preserve">, while </w:t>
      </w:r>
      <w:r w:rsidR="0041512A" w:rsidRPr="00EA4B66">
        <w:rPr>
          <w:color w:val="000000" w:themeColor="text1"/>
          <w:sz w:val="24"/>
          <w:lang w:val="en-US"/>
        </w:rPr>
        <w:t xml:space="preserve">the age of </w:t>
      </w:r>
      <w:r w:rsidR="00A60025" w:rsidRPr="00EA4B66">
        <w:rPr>
          <w:color w:val="000000" w:themeColor="text1"/>
          <w:sz w:val="24"/>
          <w:lang w:val="en-US"/>
        </w:rPr>
        <w:t xml:space="preserve">KIBS </w:t>
      </w:r>
      <w:r w:rsidR="0041512A" w:rsidRPr="00EA4B66">
        <w:rPr>
          <w:color w:val="000000" w:themeColor="text1"/>
          <w:sz w:val="24"/>
          <w:lang w:val="en-US"/>
        </w:rPr>
        <w:t xml:space="preserve">industry firms </w:t>
      </w:r>
      <w:r w:rsidR="00A60025" w:rsidRPr="00EA4B66">
        <w:rPr>
          <w:color w:val="000000" w:themeColor="text1"/>
          <w:sz w:val="24"/>
          <w:lang w:val="en-US"/>
        </w:rPr>
        <w:t xml:space="preserve">and TI </w:t>
      </w:r>
      <w:r w:rsidR="0041512A" w:rsidRPr="00EA4B66">
        <w:rPr>
          <w:color w:val="000000" w:themeColor="text1"/>
          <w:sz w:val="24"/>
          <w:lang w:val="en-US"/>
        </w:rPr>
        <w:t>firms is</w:t>
      </w:r>
      <w:r w:rsidR="00A60025" w:rsidRPr="00EA4B66">
        <w:rPr>
          <w:color w:val="000000" w:themeColor="text1"/>
          <w:sz w:val="24"/>
          <w:lang w:val="en-US"/>
        </w:rPr>
        <w:t xml:space="preserve"> </w:t>
      </w:r>
      <w:r w:rsidR="003A47A0" w:rsidRPr="00EA4B66">
        <w:rPr>
          <w:color w:val="000000" w:themeColor="text1"/>
          <w:sz w:val="24"/>
          <w:lang w:val="en-US"/>
        </w:rPr>
        <w:t>3.0</w:t>
      </w:r>
      <w:r w:rsidR="00EC5DC6" w:rsidRPr="00EA4B66">
        <w:rPr>
          <w:color w:val="000000" w:themeColor="text1"/>
          <w:sz w:val="24"/>
          <w:lang w:val="en-US"/>
        </w:rPr>
        <w:t>47</w:t>
      </w:r>
      <w:r w:rsidR="00A60025" w:rsidRPr="00EA4B66">
        <w:rPr>
          <w:color w:val="000000" w:themeColor="text1"/>
          <w:sz w:val="24"/>
          <w:lang w:val="en-US"/>
        </w:rPr>
        <w:t xml:space="preserve"> (</w:t>
      </w:r>
      <w:r w:rsidR="00F20A1E" w:rsidRPr="00EA4B66">
        <w:rPr>
          <w:color w:val="000000" w:themeColor="text1"/>
          <w:sz w:val="24"/>
          <w:lang w:val="en-US"/>
        </w:rPr>
        <w:t>21.</w:t>
      </w:r>
      <w:r w:rsidR="00EC5DC6" w:rsidRPr="00EA4B66">
        <w:rPr>
          <w:color w:val="000000" w:themeColor="text1"/>
          <w:sz w:val="24"/>
          <w:lang w:val="en-US"/>
        </w:rPr>
        <w:t>05</w:t>
      </w:r>
      <w:r w:rsidR="00A60025" w:rsidRPr="00EA4B66">
        <w:rPr>
          <w:color w:val="000000" w:themeColor="text1"/>
          <w:sz w:val="24"/>
          <w:lang w:val="en-US"/>
        </w:rPr>
        <w:t xml:space="preserve"> years) and </w:t>
      </w:r>
      <w:r w:rsidR="003A47A0" w:rsidRPr="00EA4B66">
        <w:rPr>
          <w:color w:val="000000" w:themeColor="text1"/>
          <w:sz w:val="24"/>
          <w:lang w:val="en-US"/>
        </w:rPr>
        <w:t>3.4</w:t>
      </w:r>
      <w:r w:rsidR="00EC5DC6" w:rsidRPr="00EA4B66">
        <w:rPr>
          <w:color w:val="000000" w:themeColor="text1"/>
          <w:sz w:val="24"/>
          <w:lang w:val="en-US"/>
        </w:rPr>
        <w:t>36</w:t>
      </w:r>
      <w:r w:rsidR="00A60025" w:rsidRPr="00EA4B66">
        <w:rPr>
          <w:color w:val="000000" w:themeColor="text1"/>
          <w:sz w:val="24"/>
          <w:lang w:val="en-US"/>
        </w:rPr>
        <w:t xml:space="preserve"> (</w:t>
      </w:r>
      <w:r w:rsidR="00EC5DC6" w:rsidRPr="00EA4B66">
        <w:rPr>
          <w:color w:val="000000" w:themeColor="text1"/>
          <w:sz w:val="24"/>
          <w:lang w:val="en-US"/>
        </w:rPr>
        <w:t>31.062</w:t>
      </w:r>
      <w:r w:rsidR="00A60025" w:rsidRPr="00EA4B66">
        <w:rPr>
          <w:color w:val="000000" w:themeColor="text1"/>
          <w:sz w:val="24"/>
          <w:lang w:val="en-US"/>
        </w:rPr>
        <w:t xml:space="preserve"> years), respectively. </w:t>
      </w:r>
      <w:r w:rsidR="006D6F07" w:rsidRPr="00EA4B66">
        <w:rPr>
          <w:color w:val="000000" w:themeColor="text1"/>
          <w:sz w:val="24"/>
          <w:lang w:val="en-US"/>
        </w:rPr>
        <w:t>Overall, Panel A shows that s</w:t>
      </w:r>
      <w:r w:rsidR="00A60025" w:rsidRPr="00EA4B66">
        <w:rPr>
          <w:color w:val="000000" w:themeColor="text1"/>
          <w:sz w:val="24"/>
          <w:lang w:val="en-US"/>
        </w:rPr>
        <w:t>ample firm</w:t>
      </w:r>
      <w:r w:rsidR="0041512A" w:rsidRPr="00EA4B66">
        <w:rPr>
          <w:color w:val="000000" w:themeColor="text1"/>
          <w:sz w:val="24"/>
          <w:lang w:val="en-US"/>
        </w:rPr>
        <w:t xml:space="preserve">s have a mean </w:t>
      </w:r>
      <w:r w:rsidR="00A60025" w:rsidRPr="00EA4B66">
        <w:rPr>
          <w:color w:val="000000" w:themeColor="text1"/>
          <w:sz w:val="24"/>
          <w:lang w:val="en-US"/>
        </w:rPr>
        <w:t xml:space="preserve">ROE of 25.7%, </w:t>
      </w:r>
      <w:r w:rsidR="006B0BBD" w:rsidRPr="00EA4B66">
        <w:rPr>
          <w:color w:val="000000" w:themeColor="text1"/>
          <w:sz w:val="24"/>
          <w:lang w:val="en-US"/>
        </w:rPr>
        <w:t xml:space="preserve">while </w:t>
      </w:r>
      <w:r w:rsidR="007A1255" w:rsidRPr="00EA4B66">
        <w:rPr>
          <w:color w:val="000000" w:themeColor="text1"/>
          <w:sz w:val="24"/>
          <w:lang w:val="en-US"/>
        </w:rPr>
        <w:t>KIBS</w:t>
      </w:r>
      <w:r w:rsidR="006D6F07" w:rsidRPr="00EA4B66">
        <w:rPr>
          <w:color w:val="000000" w:themeColor="text1"/>
          <w:sz w:val="24"/>
          <w:lang w:val="en-US"/>
        </w:rPr>
        <w:t xml:space="preserve"> industry firms</w:t>
      </w:r>
      <w:r w:rsidR="007A1255" w:rsidRPr="00EA4B66">
        <w:rPr>
          <w:color w:val="000000" w:themeColor="text1"/>
          <w:sz w:val="24"/>
          <w:lang w:val="en-US"/>
        </w:rPr>
        <w:t xml:space="preserve"> </w:t>
      </w:r>
      <w:r w:rsidR="006D6F07" w:rsidRPr="00EA4B66">
        <w:rPr>
          <w:color w:val="000000" w:themeColor="text1"/>
          <w:sz w:val="24"/>
          <w:lang w:val="en-US"/>
        </w:rPr>
        <w:t>(P</w:t>
      </w:r>
      <w:r w:rsidR="007A1255" w:rsidRPr="00EA4B66">
        <w:rPr>
          <w:color w:val="000000" w:themeColor="text1"/>
          <w:sz w:val="24"/>
          <w:lang w:val="en-US"/>
        </w:rPr>
        <w:t xml:space="preserve">anel B) </w:t>
      </w:r>
      <w:r w:rsidR="006D6F07" w:rsidRPr="00EA4B66">
        <w:rPr>
          <w:color w:val="000000" w:themeColor="text1"/>
          <w:sz w:val="24"/>
          <w:lang w:val="en-US"/>
        </w:rPr>
        <w:t>and traditional industry</w:t>
      </w:r>
      <w:r w:rsidR="006B0BBD" w:rsidRPr="00EA4B66">
        <w:rPr>
          <w:color w:val="000000" w:themeColor="text1"/>
          <w:sz w:val="24"/>
          <w:lang w:val="en-US"/>
        </w:rPr>
        <w:t xml:space="preserve"> </w:t>
      </w:r>
      <w:r w:rsidR="007A1255" w:rsidRPr="00EA4B66">
        <w:rPr>
          <w:color w:val="000000" w:themeColor="text1"/>
          <w:sz w:val="24"/>
          <w:lang w:val="en-US"/>
        </w:rPr>
        <w:t xml:space="preserve">firms </w:t>
      </w:r>
      <w:r w:rsidR="006D6F07" w:rsidRPr="00EA4B66">
        <w:rPr>
          <w:color w:val="000000" w:themeColor="text1"/>
          <w:sz w:val="24"/>
          <w:lang w:val="en-US"/>
        </w:rPr>
        <w:t>(P</w:t>
      </w:r>
      <w:r w:rsidR="006B0BBD" w:rsidRPr="00EA4B66">
        <w:rPr>
          <w:color w:val="000000" w:themeColor="text1"/>
          <w:sz w:val="24"/>
          <w:lang w:val="en-US"/>
        </w:rPr>
        <w:t xml:space="preserve">anel C) </w:t>
      </w:r>
      <w:r w:rsidR="007A1255" w:rsidRPr="00EA4B66">
        <w:rPr>
          <w:color w:val="000000" w:themeColor="text1"/>
          <w:sz w:val="24"/>
          <w:lang w:val="en-US"/>
        </w:rPr>
        <w:t xml:space="preserve">have a mean ROE of </w:t>
      </w:r>
      <w:r w:rsidR="004804B7" w:rsidRPr="00EA4B66">
        <w:rPr>
          <w:color w:val="000000" w:themeColor="text1"/>
          <w:sz w:val="24"/>
          <w:lang w:val="en-US"/>
        </w:rPr>
        <w:t>–95</w:t>
      </w:r>
      <w:r w:rsidR="00CE2FD1" w:rsidRPr="00EA4B66">
        <w:rPr>
          <w:color w:val="000000" w:themeColor="text1"/>
          <w:sz w:val="24"/>
          <w:lang w:val="en-US"/>
        </w:rPr>
        <w:t>.</w:t>
      </w:r>
      <w:r w:rsidR="004804B7" w:rsidRPr="00EA4B66">
        <w:rPr>
          <w:color w:val="000000" w:themeColor="text1"/>
          <w:sz w:val="24"/>
          <w:lang w:val="en-US"/>
        </w:rPr>
        <w:t>5</w:t>
      </w:r>
      <w:r w:rsidR="007A1255" w:rsidRPr="00EA4B66">
        <w:rPr>
          <w:color w:val="000000" w:themeColor="text1"/>
          <w:sz w:val="24"/>
          <w:lang w:val="en-US"/>
        </w:rPr>
        <w:t>%</w:t>
      </w:r>
      <w:r w:rsidR="006D6F07" w:rsidRPr="00EA4B66">
        <w:rPr>
          <w:color w:val="000000" w:themeColor="text1"/>
          <w:sz w:val="24"/>
          <w:lang w:val="en-US"/>
        </w:rPr>
        <w:t xml:space="preserve"> and </w:t>
      </w:r>
      <w:r w:rsidR="004804B7" w:rsidRPr="00EA4B66">
        <w:rPr>
          <w:color w:val="000000" w:themeColor="text1"/>
          <w:sz w:val="24"/>
          <w:lang w:val="en-US"/>
        </w:rPr>
        <w:t>52.</w:t>
      </w:r>
      <w:r w:rsidR="008B1426" w:rsidRPr="00EA4B66">
        <w:rPr>
          <w:color w:val="000000" w:themeColor="text1"/>
          <w:sz w:val="24"/>
          <w:lang w:val="en-US"/>
        </w:rPr>
        <w:t>0</w:t>
      </w:r>
      <w:r w:rsidR="006D6F07" w:rsidRPr="00EA4B66">
        <w:rPr>
          <w:color w:val="000000" w:themeColor="text1"/>
          <w:sz w:val="24"/>
          <w:lang w:val="en-US"/>
        </w:rPr>
        <w:t>%, respectively, showing that, o</w:t>
      </w:r>
      <w:r w:rsidR="00587508" w:rsidRPr="00EA4B66">
        <w:rPr>
          <w:color w:val="000000" w:themeColor="text1"/>
          <w:sz w:val="24"/>
          <w:lang w:val="en-US"/>
        </w:rPr>
        <w:t xml:space="preserve">n average, KIBS </w:t>
      </w:r>
      <w:r w:rsidR="006D6F07" w:rsidRPr="00EA4B66">
        <w:rPr>
          <w:color w:val="000000" w:themeColor="text1"/>
          <w:sz w:val="24"/>
          <w:lang w:val="en-US"/>
        </w:rPr>
        <w:t xml:space="preserve">industry </w:t>
      </w:r>
      <w:r w:rsidR="00587508" w:rsidRPr="00EA4B66">
        <w:rPr>
          <w:color w:val="000000" w:themeColor="text1"/>
          <w:sz w:val="24"/>
          <w:lang w:val="en-US"/>
        </w:rPr>
        <w:t xml:space="preserve">firms are less profitable </w:t>
      </w:r>
      <w:r w:rsidR="006D6F07" w:rsidRPr="00EA4B66">
        <w:rPr>
          <w:color w:val="000000" w:themeColor="text1"/>
          <w:sz w:val="24"/>
          <w:lang w:val="en-US"/>
        </w:rPr>
        <w:t>than traditional industry firms</w:t>
      </w:r>
      <w:r w:rsidR="00587508" w:rsidRPr="00EA4B66">
        <w:rPr>
          <w:color w:val="000000" w:themeColor="text1"/>
          <w:sz w:val="24"/>
          <w:lang w:val="en-US"/>
        </w:rPr>
        <w:t xml:space="preserve">. </w:t>
      </w:r>
      <w:r w:rsidR="00CE2FD1" w:rsidRPr="00EA4B66">
        <w:rPr>
          <w:color w:val="000000" w:themeColor="text1"/>
          <w:sz w:val="24"/>
          <w:lang w:val="en-US"/>
        </w:rPr>
        <w:t xml:space="preserve">It is noted here that </w:t>
      </w:r>
      <w:r w:rsidR="00FC3495" w:rsidRPr="00EA4B66">
        <w:rPr>
          <w:color w:val="000000" w:themeColor="text1"/>
          <w:sz w:val="24"/>
          <w:lang w:val="en-US"/>
        </w:rPr>
        <w:t xml:space="preserve">many of the sample firms reported negative earnings </w:t>
      </w:r>
      <w:r w:rsidR="00CE2FD1" w:rsidRPr="00EA4B66">
        <w:rPr>
          <w:color w:val="000000" w:themeColor="text1"/>
          <w:sz w:val="24"/>
          <w:lang w:val="en-US"/>
        </w:rPr>
        <w:t>for some of the sample years</w:t>
      </w:r>
      <w:r w:rsidR="00FC3495" w:rsidRPr="00EA4B66">
        <w:rPr>
          <w:color w:val="000000" w:themeColor="text1"/>
          <w:sz w:val="24"/>
          <w:lang w:val="en-US"/>
        </w:rPr>
        <w:t xml:space="preserve">, </w:t>
      </w:r>
      <w:r w:rsidR="00E072E1" w:rsidRPr="00EA4B66">
        <w:rPr>
          <w:color w:val="000000" w:themeColor="text1"/>
          <w:sz w:val="24"/>
          <w:lang w:val="en-US"/>
        </w:rPr>
        <w:t>leading to</w:t>
      </w:r>
      <w:r w:rsidR="00FC3495" w:rsidRPr="00EA4B66">
        <w:rPr>
          <w:color w:val="000000" w:themeColor="text1"/>
          <w:sz w:val="24"/>
          <w:lang w:val="en-US"/>
        </w:rPr>
        <w:t xml:space="preserve"> negative profitability</w:t>
      </w:r>
      <w:r w:rsidR="00CE2FD1" w:rsidRPr="00EA4B66">
        <w:rPr>
          <w:color w:val="000000" w:themeColor="text1"/>
          <w:sz w:val="24"/>
          <w:lang w:val="en-US"/>
        </w:rPr>
        <w:t xml:space="preserve"> ratios</w:t>
      </w:r>
      <w:r w:rsidR="00FC3495" w:rsidRPr="00EA4B66">
        <w:rPr>
          <w:color w:val="000000" w:themeColor="text1"/>
          <w:sz w:val="24"/>
          <w:lang w:val="en-US"/>
        </w:rPr>
        <w:t>.</w:t>
      </w:r>
      <w:r w:rsidR="00CE2FD1" w:rsidRPr="00EA4B66">
        <w:rPr>
          <w:color w:val="000000" w:themeColor="text1"/>
          <w:sz w:val="24"/>
          <w:lang w:val="en-US"/>
        </w:rPr>
        <w:t xml:space="preserve"> Further, the scale of the ratios is greater than might be anticipated due to relatively low sample period equity values.</w:t>
      </w:r>
      <w:r w:rsidR="00FC3495" w:rsidRPr="00EA4B66">
        <w:rPr>
          <w:color w:val="000000" w:themeColor="text1"/>
          <w:sz w:val="24"/>
          <w:lang w:val="en-US"/>
        </w:rPr>
        <w:t xml:space="preserve"> </w:t>
      </w:r>
      <w:r w:rsidR="0041512A" w:rsidRPr="00EA4B66">
        <w:rPr>
          <w:color w:val="000000" w:themeColor="text1"/>
          <w:sz w:val="24"/>
          <w:lang w:val="en-US"/>
        </w:rPr>
        <w:t>For the overall sample</w:t>
      </w:r>
      <w:r w:rsidR="0098659A" w:rsidRPr="00EA4B66">
        <w:rPr>
          <w:color w:val="000000" w:themeColor="text1"/>
          <w:sz w:val="24"/>
          <w:lang w:val="en-US"/>
        </w:rPr>
        <w:t xml:space="preserve"> </w:t>
      </w:r>
      <w:r w:rsidR="006D6F07" w:rsidRPr="00EA4B66">
        <w:rPr>
          <w:color w:val="000000" w:themeColor="text1"/>
          <w:sz w:val="24"/>
          <w:lang w:val="en-US"/>
        </w:rPr>
        <w:t>across</w:t>
      </w:r>
      <w:r w:rsidR="0098659A" w:rsidRPr="00EA4B66">
        <w:rPr>
          <w:color w:val="000000" w:themeColor="text1"/>
          <w:sz w:val="24"/>
          <w:lang w:val="en-US"/>
        </w:rPr>
        <w:t xml:space="preserve"> the five years of the analysis</w:t>
      </w:r>
      <w:r w:rsidR="0041512A" w:rsidRPr="00EA4B66">
        <w:rPr>
          <w:color w:val="000000" w:themeColor="text1"/>
          <w:sz w:val="24"/>
          <w:lang w:val="en-US"/>
        </w:rPr>
        <w:t>, firms have a mean</w:t>
      </w:r>
      <w:r w:rsidR="00A60025" w:rsidRPr="00EA4B66">
        <w:rPr>
          <w:color w:val="000000" w:themeColor="text1"/>
          <w:sz w:val="24"/>
          <w:lang w:val="en-US"/>
        </w:rPr>
        <w:t xml:space="preserve"> debt/equity ratio of 97%, while KIBS </w:t>
      </w:r>
      <w:r w:rsidR="0041512A" w:rsidRPr="00EA4B66">
        <w:rPr>
          <w:color w:val="000000" w:themeColor="text1"/>
          <w:sz w:val="24"/>
          <w:lang w:val="en-US"/>
        </w:rPr>
        <w:t xml:space="preserve">industry firms </w:t>
      </w:r>
      <w:r w:rsidR="00A60025" w:rsidRPr="00EA4B66">
        <w:rPr>
          <w:color w:val="000000" w:themeColor="text1"/>
          <w:sz w:val="24"/>
          <w:lang w:val="en-US"/>
        </w:rPr>
        <w:t xml:space="preserve">and TI </w:t>
      </w:r>
      <w:r w:rsidR="0041512A" w:rsidRPr="00EA4B66">
        <w:rPr>
          <w:color w:val="000000" w:themeColor="text1"/>
          <w:sz w:val="24"/>
          <w:lang w:val="en-US"/>
        </w:rPr>
        <w:t xml:space="preserve">firms </w:t>
      </w:r>
      <w:r w:rsidR="007819A3" w:rsidRPr="00EA4B66">
        <w:rPr>
          <w:color w:val="000000" w:themeColor="text1"/>
          <w:sz w:val="24"/>
          <w:lang w:val="en-US"/>
        </w:rPr>
        <w:t>(</w:t>
      </w:r>
      <w:r w:rsidR="00C212E5" w:rsidRPr="00EA4B66">
        <w:rPr>
          <w:color w:val="000000" w:themeColor="text1"/>
          <w:sz w:val="24"/>
          <w:lang w:val="en-US"/>
        </w:rPr>
        <w:t>P</w:t>
      </w:r>
      <w:r w:rsidR="007819A3" w:rsidRPr="00EA4B66">
        <w:rPr>
          <w:color w:val="000000" w:themeColor="text1"/>
          <w:sz w:val="24"/>
          <w:lang w:val="en-US"/>
        </w:rPr>
        <w:t xml:space="preserve">anels B and C) </w:t>
      </w:r>
      <w:r w:rsidR="0041512A" w:rsidRPr="00EA4B66">
        <w:rPr>
          <w:color w:val="000000" w:themeColor="text1"/>
          <w:sz w:val="24"/>
          <w:lang w:val="en-US"/>
        </w:rPr>
        <w:t xml:space="preserve">have mean ratios </w:t>
      </w:r>
      <w:r w:rsidR="00A60025" w:rsidRPr="00EA4B66">
        <w:rPr>
          <w:color w:val="000000" w:themeColor="text1"/>
          <w:sz w:val="24"/>
          <w:lang w:val="en-US"/>
        </w:rPr>
        <w:t xml:space="preserve">of </w:t>
      </w:r>
      <w:r w:rsidR="00237BBB" w:rsidRPr="00EA4B66">
        <w:rPr>
          <w:color w:val="000000" w:themeColor="text1"/>
          <w:sz w:val="24"/>
          <w:lang w:val="en-US"/>
        </w:rPr>
        <w:t>69</w:t>
      </w:r>
      <w:r w:rsidR="008A4365" w:rsidRPr="00EA4B66">
        <w:rPr>
          <w:color w:val="000000" w:themeColor="text1"/>
          <w:sz w:val="24"/>
          <w:lang w:val="en-US"/>
        </w:rPr>
        <w:t>.4</w:t>
      </w:r>
      <w:r w:rsidR="0041512A" w:rsidRPr="00EA4B66">
        <w:rPr>
          <w:color w:val="000000" w:themeColor="text1"/>
          <w:sz w:val="24"/>
          <w:lang w:val="en-US"/>
        </w:rPr>
        <w:t>%</w:t>
      </w:r>
      <w:r w:rsidR="00A60025" w:rsidRPr="00EA4B66">
        <w:rPr>
          <w:color w:val="000000" w:themeColor="text1"/>
          <w:sz w:val="24"/>
          <w:lang w:val="en-US"/>
        </w:rPr>
        <w:t xml:space="preserve"> and </w:t>
      </w:r>
      <w:r w:rsidR="00237BBB" w:rsidRPr="00EA4B66">
        <w:rPr>
          <w:color w:val="000000" w:themeColor="text1"/>
          <w:sz w:val="24"/>
          <w:lang w:val="en-US"/>
        </w:rPr>
        <w:t>103</w:t>
      </w:r>
      <w:r w:rsidR="0041512A" w:rsidRPr="00EA4B66">
        <w:rPr>
          <w:color w:val="000000" w:themeColor="text1"/>
          <w:sz w:val="24"/>
          <w:lang w:val="en-US"/>
        </w:rPr>
        <w:t>%</w:t>
      </w:r>
      <w:r w:rsidR="00A60025" w:rsidRPr="00EA4B66">
        <w:rPr>
          <w:color w:val="000000" w:themeColor="text1"/>
          <w:sz w:val="24"/>
          <w:lang w:val="en-US"/>
        </w:rPr>
        <w:t xml:space="preserve">, respectively. </w:t>
      </w:r>
      <w:r w:rsidR="003F154C" w:rsidRPr="00EA4B66">
        <w:rPr>
          <w:color w:val="000000" w:themeColor="text1"/>
          <w:sz w:val="24"/>
          <w:lang w:val="en-US"/>
        </w:rPr>
        <w:t xml:space="preserve">Table </w:t>
      </w:r>
      <w:r w:rsidR="00855423">
        <w:rPr>
          <w:color w:val="000000" w:themeColor="text1"/>
          <w:sz w:val="24"/>
          <w:lang w:val="en-US"/>
        </w:rPr>
        <w:t>VI</w:t>
      </w:r>
      <w:r w:rsidR="003F154C" w:rsidRPr="00EA4B66">
        <w:rPr>
          <w:color w:val="000000" w:themeColor="text1"/>
          <w:sz w:val="24"/>
          <w:lang w:val="en-US"/>
        </w:rPr>
        <w:t xml:space="preserve"> shows that, on average, s</w:t>
      </w:r>
      <w:r w:rsidR="00A60025" w:rsidRPr="00EA4B66">
        <w:rPr>
          <w:color w:val="000000" w:themeColor="text1"/>
          <w:sz w:val="24"/>
          <w:lang w:val="en-US"/>
        </w:rPr>
        <w:t xml:space="preserve">ample firms </w:t>
      </w:r>
      <w:r w:rsidR="00C212E5" w:rsidRPr="00EA4B66">
        <w:rPr>
          <w:color w:val="000000" w:themeColor="text1"/>
          <w:sz w:val="24"/>
          <w:lang w:val="en-US"/>
        </w:rPr>
        <w:t>have fairly high</w:t>
      </w:r>
      <w:r w:rsidR="00A60025" w:rsidRPr="00EA4B66">
        <w:rPr>
          <w:color w:val="000000" w:themeColor="text1"/>
          <w:sz w:val="24"/>
          <w:lang w:val="en-US"/>
        </w:rPr>
        <w:t xml:space="preserve"> ownership concentration</w:t>
      </w:r>
      <w:r w:rsidR="003F154C" w:rsidRPr="00EA4B66">
        <w:rPr>
          <w:color w:val="000000" w:themeColor="text1"/>
          <w:sz w:val="24"/>
          <w:lang w:val="en-US"/>
        </w:rPr>
        <w:t>, with</w:t>
      </w:r>
      <w:r w:rsidR="00A60025" w:rsidRPr="00EA4B66">
        <w:rPr>
          <w:color w:val="000000" w:themeColor="text1"/>
          <w:sz w:val="24"/>
          <w:lang w:val="en-US"/>
        </w:rPr>
        <w:t xml:space="preserve"> </w:t>
      </w:r>
      <w:r w:rsidR="00D705E8" w:rsidRPr="00EA4B66">
        <w:rPr>
          <w:color w:val="000000" w:themeColor="text1"/>
          <w:sz w:val="24"/>
          <w:lang w:val="en-US"/>
        </w:rPr>
        <w:t>57.1</w:t>
      </w:r>
      <w:r w:rsidR="00A60025" w:rsidRPr="00EA4B66">
        <w:rPr>
          <w:color w:val="000000" w:themeColor="text1"/>
          <w:sz w:val="24"/>
          <w:lang w:val="en-US"/>
        </w:rPr>
        <w:t>%</w:t>
      </w:r>
      <w:r w:rsidR="003F154C" w:rsidRPr="00EA4B66">
        <w:rPr>
          <w:color w:val="000000" w:themeColor="text1"/>
          <w:sz w:val="24"/>
          <w:lang w:val="en-US"/>
        </w:rPr>
        <w:t xml:space="preserve"> having a concentration of over 50%</w:t>
      </w:r>
      <w:r w:rsidR="00A60025" w:rsidRPr="00EA4B66">
        <w:rPr>
          <w:color w:val="000000" w:themeColor="text1"/>
          <w:sz w:val="24"/>
          <w:lang w:val="en-US"/>
        </w:rPr>
        <w:t xml:space="preserve">, while KIBS </w:t>
      </w:r>
      <w:r w:rsidR="003F154C" w:rsidRPr="00EA4B66">
        <w:rPr>
          <w:color w:val="000000" w:themeColor="text1"/>
          <w:sz w:val="24"/>
          <w:lang w:val="en-US"/>
        </w:rPr>
        <w:t xml:space="preserve">industry firms </w:t>
      </w:r>
      <w:r w:rsidR="00A60025" w:rsidRPr="00EA4B66">
        <w:rPr>
          <w:color w:val="000000" w:themeColor="text1"/>
          <w:sz w:val="24"/>
          <w:lang w:val="en-US"/>
        </w:rPr>
        <w:t xml:space="preserve">and TI </w:t>
      </w:r>
      <w:r w:rsidR="003F154C" w:rsidRPr="00EA4B66">
        <w:rPr>
          <w:color w:val="000000" w:themeColor="text1"/>
          <w:sz w:val="24"/>
          <w:lang w:val="en-US"/>
        </w:rPr>
        <w:t>firms have concentrations of</w:t>
      </w:r>
      <w:r w:rsidR="00A60025" w:rsidRPr="00EA4B66">
        <w:rPr>
          <w:color w:val="000000" w:themeColor="text1"/>
          <w:sz w:val="24"/>
          <w:lang w:val="en-US"/>
        </w:rPr>
        <w:t xml:space="preserve"> </w:t>
      </w:r>
      <w:r w:rsidR="00304E9B" w:rsidRPr="00EA4B66">
        <w:rPr>
          <w:color w:val="000000" w:themeColor="text1"/>
          <w:sz w:val="24"/>
          <w:lang w:val="en-US"/>
        </w:rPr>
        <w:t>40</w:t>
      </w:r>
      <w:r w:rsidR="008B1426" w:rsidRPr="00EA4B66">
        <w:rPr>
          <w:color w:val="000000" w:themeColor="text1"/>
          <w:sz w:val="24"/>
          <w:lang w:val="en-US"/>
        </w:rPr>
        <w:t>.0</w:t>
      </w:r>
      <w:r w:rsidR="00A60025" w:rsidRPr="00EA4B66">
        <w:rPr>
          <w:color w:val="000000" w:themeColor="text1"/>
          <w:sz w:val="24"/>
          <w:lang w:val="en-US"/>
        </w:rPr>
        <w:t xml:space="preserve">% and </w:t>
      </w:r>
      <w:r w:rsidR="00304E9B" w:rsidRPr="00EA4B66">
        <w:rPr>
          <w:color w:val="000000" w:themeColor="text1"/>
          <w:sz w:val="24"/>
          <w:lang w:val="en-US"/>
        </w:rPr>
        <w:t>60.9</w:t>
      </w:r>
      <w:r w:rsidR="00A60025" w:rsidRPr="00EA4B66">
        <w:rPr>
          <w:color w:val="000000" w:themeColor="text1"/>
          <w:sz w:val="24"/>
          <w:lang w:val="en-US"/>
        </w:rPr>
        <w:t xml:space="preserve">%, respectively. These findings </w:t>
      </w:r>
      <w:r w:rsidR="003F154C" w:rsidRPr="00EA4B66">
        <w:rPr>
          <w:color w:val="000000" w:themeColor="text1"/>
          <w:sz w:val="24"/>
          <w:lang w:val="en-US"/>
        </w:rPr>
        <w:t xml:space="preserve">show </w:t>
      </w:r>
      <w:r w:rsidR="00A60025" w:rsidRPr="00EA4B66">
        <w:rPr>
          <w:color w:val="000000" w:themeColor="text1"/>
          <w:sz w:val="24"/>
          <w:lang w:val="en-US"/>
        </w:rPr>
        <w:t>tha</w:t>
      </w:r>
      <w:r w:rsidR="003F154C" w:rsidRPr="00EA4B66">
        <w:rPr>
          <w:color w:val="000000" w:themeColor="text1"/>
          <w:sz w:val="24"/>
          <w:lang w:val="en-US"/>
        </w:rPr>
        <w:t>t</w:t>
      </w:r>
      <w:r w:rsidR="00A60025" w:rsidRPr="00EA4B66">
        <w:rPr>
          <w:color w:val="000000" w:themeColor="text1"/>
          <w:sz w:val="24"/>
          <w:lang w:val="en-US"/>
        </w:rPr>
        <w:t xml:space="preserve"> TI </w:t>
      </w:r>
      <w:r w:rsidR="003F154C" w:rsidRPr="00EA4B66">
        <w:rPr>
          <w:color w:val="000000" w:themeColor="text1"/>
          <w:sz w:val="24"/>
          <w:lang w:val="en-US"/>
        </w:rPr>
        <w:t xml:space="preserve">firms </w:t>
      </w:r>
      <w:r w:rsidR="00A60025" w:rsidRPr="00EA4B66">
        <w:rPr>
          <w:color w:val="000000" w:themeColor="text1"/>
          <w:sz w:val="24"/>
          <w:lang w:val="en-US"/>
        </w:rPr>
        <w:t xml:space="preserve">are more likely to </w:t>
      </w:r>
      <w:r w:rsidR="003F154C" w:rsidRPr="00EA4B66">
        <w:rPr>
          <w:color w:val="000000" w:themeColor="text1"/>
          <w:sz w:val="24"/>
          <w:lang w:val="en-US"/>
        </w:rPr>
        <w:t xml:space="preserve">exhibit </w:t>
      </w:r>
      <w:r w:rsidR="00A60025" w:rsidRPr="00EA4B66">
        <w:rPr>
          <w:color w:val="000000" w:themeColor="text1"/>
          <w:sz w:val="24"/>
          <w:lang w:val="en-US"/>
        </w:rPr>
        <w:t>high ownership concentration tha</w:t>
      </w:r>
      <w:r w:rsidR="003F154C" w:rsidRPr="00EA4B66">
        <w:rPr>
          <w:color w:val="000000" w:themeColor="text1"/>
          <w:sz w:val="24"/>
          <w:lang w:val="en-US"/>
        </w:rPr>
        <w:t>n</w:t>
      </w:r>
      <w:r w:rsidR="00A60025" w:rsidRPr="00EA4B66">
        <w:rPr>
          <w:color w:val="000000" w:themeColor="text1"/>
          <w:sz w:val="24"/>
          <w:lang w:val="en-US"/>
        </w:rPr>
        <w:t xml:space="preserve"> KIBS industr</w:t>
      </w:r>
      <w:r w:rsidR="003F154C" w:rsidRPr="00EA4B66">
        <w:rPr>
          <w:color w:val="000000" w:themeColor="text1"/>
          <w:sz w:val="24"/>
          <w:lang w:val="en-US"/>
        </w:rPr>
        <w:t>y firms</w:t>
      </w:r>
      <w:r w:rsidR="00A60025" w:rsidRPr="00EA4B66">
        <w:rPr>
          <w:color w:val="000000" w:themeColor="text1"/>
          <w:sz w:val="24"/>
          <w:lang w:val="en-US"/>
        </w:rPr>
        <w:t>. T</w:t>
      </w:r>
      <w:r w:rsidR="003F154C" w:rsidRPr="00EA4B66">
        <w:rPr>
          <w:color w:val="000000" w:themeColor="text1"/>
          <w:sz w:val="24"/>
          <w:lang w:val="en-US"/>
        </w:rPr>
        <w:t>he overall s</w:t>
      </w:r>
      <w:r w:rsidR="00A60025" w:rsidRPr="00EA4B66">
        <w:rPr>
          <w:color w:val="000000" w:themeColor="text1"/>
          <w:sz w:val="24"/>
          <w:lang w:val="en-US"/>
        </w:rPr>
        <w:t xml:space="preserve">ample shows </w:t>
      </w:r>
      <w:r w:rsidR="003F154C" w:rsidRPr="00EA4B66">
        <w:rPr>
          <w:color w:val="000000" w:themeColor="text1"/>
          <w:sz w:val="24"/>
          <w:lang w:val="en-US"/>
        </w:rPr>
        <w:t>that</w:t>
      </w:r>
      <w:r w:rsidR="00A60025" w:rsidRPr="00EA4B66">
        <w:rPr>
          <w:color w:val="000000" w:themeColor="text1"/>
          <w:sz w:val="24"/>
          <w:lang w:val="en-US"/>
        </w:rPr>
        <w:t xml:space="preserve"> </w:t>
      </w:r>
      <w:r w:rsidR="003F154C" w:rsidRPr="00EA4B66">
        <w:rPr>
          <w:color w:val="000000" w:themeColor="text1"/>
          <w:sz w:val="24"/>
          <w:lang w:val="en-US"/>
        </w:rPr>
        <w:t>on average</w:t>
      </w:r>
      <w:r w:rsidR="00A60025" w:rsidRPr="00EA4B66">
        <w:rPr>
          <w:color w:val="000000" w:themeColor="text1"/>
          <w:sz w:val="24"/>
          <w:lang w:val="en-US"/>
        </w:rPr>
        <w:t xml:space="preserve"> 22.9%</w:t>
      </w:r>
      <w:r w:rsidR="003F154C" w:rsidRPr="00EA4B66">
        <w:rPr>
          <w:color w:val="000000" w:themeColor="text1"/>
          <w:sz w:val="24"/>
          <w:lang w:val="en-US"/>
        </w:rPr>
        <w:t xml:space="preserve"> </w:t>
      </w:r>
      <w:r w:rsidR="00123BDC">
        <w:rPr>
          <w:color w:val="000000" w:themeColor="text1"/>
          <w:sz w:val="24"/>
          <w:lang w:val="en-US"/>
        </w:rPr>
        <w:t xml:space="preserve">of </w:t>
      </w:r>
      <w:r w:rsidR="003F154C" w:rsidRPr="00EA4B66">
        <w:rPr>
          <w:color w:val="000000" w:themeColor="text1"/>
          <w:sz w:val="24"/>
          <w:lang w:val="en-US"/>
        </w:rPr>
        <w:t>firms enjoy</w:t>
      </w:r>
      <w:r w:rsidR="00A60025" w:rsidRPr="00EA4B66">
        <w:rPr>
          <w:color w:val="000000" w:themeColor="text1"/>
          <w:sz w:val="24"/>
          <w:lang w:val="en-US"/>
        </w:rPr>
        <w:t xml:space="preserve"> </w:t>
      </w:r>
      <w:r w:rsidR="003F154C" w:rsidRPr="00EA4B66">
        <w:rPr>
          <w:color w:val="000000" w:themeColor="text1"/>
          <w:sz w:val="24"/>
          <w:lang w:val="en-US"/>
        </w:rPr>
        <w:t xml:space="preserve">greater than 50% family ownership, </w:t>
      </w:r>
      <w:r w:rsidR="00A60025" w:rsidRPr="00EA4B66">
        <w:rPr>
          <w:color w:val="000000" w:themeColor="text1"/>
          <w:sz w:val="24"/>
          <w:lang w:val="en-US"/>
        </w:rPr>
        <w:t xml:space="preserve">while </w:t>
      </w:r>
      <w:r w:rsidR="009C269B" w:rsidRPr="00EA4B66">
        <w:rPr>
          <w:color w:val="000000" w:themeColor="text1"/>
          <w:sz w:val="24"/>
          <w:lang w:val="en-US"/>
        </w:rPr>
        <w:t>16</w:t>
      </w:r>
      <w:r w:rsidR="008B1426" w:rsidRPr="00EA4B66">
        <w:rPr>
          <w:color w:val="000000" w:themeColor="text1"/>
          <w:sz w:val="24"/>
          <w:lang w:val="en-US"/>
        </w:rPr>
        <w:t>.0</w:t>
      </w:r>
      <w:r w:rsidR="003F154C" w:rsidRPr="00EA4B66">
        <w:rPr>
          <w:color w:val="000000" w:themeColor="text1"/>
          <w:sz w:val="24"/>
          <w:lang w:val="en-US"/>
        </w:rPr>
        <w:t xml:space="preserve">% and </w:t>
      </w:r>
      <w:r w:rsidR="009C269B" w:rsidRPr="00EA4B66">
        <w:rPr>
          <w:color w:val="000000" w:themeColor="text1"/>
          <w:sz w:val="24"/>
          <w:lang w:val="en-US"/>
        </w:rPr>
        <w:t>24.3</w:t>
      </w:r>
      <w:r w:rsidR="003F154C" w:rsidRPr="00EA4B66">
        <w:rPr>
          <w:color w:val="000000" w:themeColor="text1"/>
          <w:sz w:val="24"/>
          <w:lang w:val="en-US"/>
        </w:rPr>
        <w:t xml:space="preserve">%, of </w:t>
      </w:r>
      <w:r w:rsidR="00A60025" w:rsidRPr="00EA4B66">
        <w:rPr>
          <w:color w:val="000000" w:themeColor="text1"/>
          <w:sz w:val="24"/>
          <w:lang w:val="en-US"/>
        </w:rPr>
        <w:t xml:space="preserve">KIBS </w:t>
      </w:r>
      <w:r w:rsidR="003F154C" w:rsidRPr="00EA4B66">
        <w:rPr>
          <w:color w:val="000000" w:themeColor="text1"/>
          <w:sz w:val="24"/>
          <w:lang w:val="en-US"/>
        </w:rPr>
        <w:t xml:space="preserve">industry firms </w:t>
      </w:r>
      <w:r w:rsidR="00A60025" w:rsidRPr="00EA4B66">
        <w:rPr>
          <w:color w:val="000000" w:themeColor="text1"/>
          <w:sz w:val="24"/>
          <w:lang w:val="en-US"/>
        </w:rPr>
        <w:t xml:space="preserve">and TI </w:t>
      </w:r>
      <w:r w:rsidR="003F154C" w:rsidRPr="00EA4B66">
        <w:rPr>
          <w:color w:val="000000" w:themeColor="text1"/>
          <w:sz w:val="24"/>
          <w:lang w:val="en-US"/>
        </w:rPr>
        <w:t>firms</w:t>
      </w:r>
      <w:r w:rsidR="00123BDC">
        <w:rPr>
          <w:color w:val="000000" w:themeColor="text1"/>
          <w:sz w:val="24"/>
          <w:lang w:val="en-US"/>
        </w:rPr>
        <w:t>,</w:t>
      </w:r>
      <w:r w:rsidR="003F154C" w:rsidRPr="00EA4B66">
        <w:rPr>
          <w:color w:val="000000" w:themeColor="text1"/>
          <w:sz w:val="24"/>
          <w:lang w:val="en-US"/>
        </w:rPr>
        <w:t xml:space="preserve"> </w:t>
      </w:r>
      <w:r w:rsidR="00123BDC" w:rsidRPr="00EA4B66">
        <w:rPr>
          <w:color w:val="000000" w:themeColor="text1"/>
          <w:sz w:val="24"/>
          <w:lang w:val="en-US"/>
        </w:rPr>
        <w:t>respectively,</w:t>
      </w:r>
      <w:r w:rsidR="00123BDC">
        <w:rPr>
          <w:color w:val="000000" w:themeColor="text1"/>
          <w:sz w:val="24"/>
          <w:lang w:val="en-US"/>
        </w:rPr>
        <w:t xml:space="preserve"> </w:t>
      </w:r>
      <w:r w:rsidR="003F154C" w:rsidRPr="00EA4B66">
        <w:rPr>
          <w:color w:val="000000" w:themeColor="text1"/>
          <w:sz w:val="24"/>
          <w:lang w:val="en-US"/>
        </w:rPr>
        <w:t>enjoy</w:t>
      </w:r>
      <w:r w:rsidR="00A60025" w:rsidRPr="00EA4B66">
        <w:rPr>
          <w:color w:val="000000" w:themeColor="text1"/>
          <w:sz w:val="24"/>
          <w:lang w:val="en-US"/>
        </w:rPr>
        <w:t xml:space="preserve"> </w:t>
      </w:r>
      <w:r w:rsidR="003F154C" w:rsidRPr="00EA4B66">
        <w:rPr>
          <w:color w:val="000000" w:themeColor="text1"/>
          <w:sz w:val="24"/>
          <w:lang w:val="en-US"/>
        </w:rPr>
        <w:t>such ownership</w:t>
      </w:r>
      <w:r w:rsidR="00A60025" w:rsidRPr="00EA4B66">
        <w:rPr>
          <w:color w:val="000000" w:themeColor="text1"/>
          <w:sz w:val="24"/>
          <w:lang w:val="en-US"/>
        </w:rPr>
        <w:t xml:space="preserve">. </w:t>
      </w:r>
      <w:r w:rsidR="003F154C" w:rsidRPr="00EA4B66">
        <w:rPr>
          <w:color w:val="000000" w:themeColor="text1"/>
          <w:sz w:val="24"/>
          <w:lang w:val="en-US"/>
        </w:rPr>
        <w:t>Thus</w:t>
      </w:r>
      <w:r w:rsidR="00972525" w:rsidRPr="00EA4B66">
        <w:rPr>
          <w:color w:val="000000" w:themeColor="text1"/>
          <w:sz w:val="24"/>
          <w:lang w:val="en-US"/>
        </w:rPr>
        <w:t>,</w:t>
      </w:r>
      <w:r w:rsidR="00A60025" w:rsidRPr="00EA4B66">
        <w:rPr>
          <w:color w:val="000000" w:themeColor="text1"/>
          <w:sz w:val="24"/>
          <w:lang w:val="en-US"/>
        </w:rPr>
        <w:t xml:space="preserve"> TI </w:t>
      </w:r>
      <w:r w:rsidR="003F154C" w:rsidRPr="00EA4B66">
        <w:rPr>
          <w:color w:val="000000" w:themeColor="text1"/>
          <w:sz w:val="24"/>
          <w:lang w:val="en-US"/>
        </w:rPr>
        <w:t>firms</w:t>
      </w:r>
      <w:r w:rsidR="00A60025" w:rsidRPr="00EA4B66">
        <w:rPr>
          <w:color w:val="000000" w:themeColor="text1"/>
          <w:sz w:val="24"/>
          <w:lang w:val="en-US"/>
        </w:rPr>
        <w:t xml:space="preserve"> have </w:t>
      </w:r>
      <w:r w:rsidR="003F154C" w:rsidRPr="00EA4B66">
        <w:rPr>
          <w:color w:val="000000" w:themeColor="text1"/>
          <w:sz w:val="24"/>
          <w:lang w:val="en-US"/>
        </w:rPr>
        <w:t xml:space="preserve">a </w:t>
      </w:r>
      <w:r w:rsidR="00A60025" w:rsidRPr="00EA4B66">
        <w:rPr>
          <w:color w:val="000000" w:themeColor="text1"/>
          <w:sz w:val="24"/>
          <w:lang w:val="en-US"/>
        </w:rPr>
        <w:t>high</w:t>
      </w:r>
      <w:r w:rsidR="003F154C" w:rsidRPr="00EA4B66">
        <w:rPr>
          <w:color w:val="000000" w:themeColor="text1"/>
          <w:sz w:val="24"/>
          <w:lang w:val="en-US"/>
        </w:rPr>
        <w:t>er</w:t>
      </w:r>
      <w:r w:rsidR="00A60025" w:rsidRPr="00EA4B66">
        <w:rPr>
          <w:color w:val="000000" w:themeColor="text1"/>
          <w:sz w:val="24"/>
          <w:lang w:val="en-US"/>
        </w:rPr>
        <w:t xml:space="preserve"> </w:t>
      </w:r>
      <w:r w:rsidR="003F154C" w:rsidRPr="00EA4B66">
        <w:rPr>
          <w:color w:val="000000" w:themeColor="text1"/>
          <w:sz w:val="24"/>
          <w:lang w:val="en-US"/>
        </w:rPr>
        <w:t xml:space="preserve">degree of </w:t>
      </w:r>
      <w:r w:rsidR="00A60025" w:rsidRPr="00EA4B66">
        <w:rPr>
          <w:color w:val="000000" w:themeColor="text1"/>
          <w:sz w:val="24"/>
          <w:lang w:val="en-US"/>
        </w:rPr>
        <w:t xml:space="preserve">family ownership than KIBS </w:t>
      </w:r>
      <w:r w:rsidR="003F154C" w:rsidRPr="00EA4B66">
        <w:rPr>
          <w:color w:val="000000" w:themeColor="text1"/>
          <w:sz w:val="24"/>
          <w:lang w:val="en-US"/>
        </w:rPr>
        <w:t>industry firms</w:t>
      </w:r>
      <w:r w:rsidR="00A60025" w:rsidRPr="00EA4B66">
        <w:rPr>
          <w:color w:val="000000" w:themeColor="text1"/>
          <w:sz w:val="24"/>
          <w:lang w:val="en-US"/>
        </w:rPr>
        <w:t xml:space="preserve">. </w:t>
      </w:r>
      <w:r w:rsidR="003F154C" w:rsidRPr="00EA4B66">
        <w:rPr>
          <w:color w:val="000000" w:themeColor="text1"/>
          <w:sz w:val="24"/>
          <w:lang w:val="en-US"/>
        </w:rPr>
        <w:t xml:space="preserve">Finally, </w:t>
      </w:r>
      <w:r w:rsidR="00A60025" w:rsidRPr="00EA4B66">
        <w:rPr>
          <w:color w:val="000000" w:themeColor="text1"/>
          <w:sz w:val="24"/>
          <w:lang w:val="en-US"/>
        </w:rPr>
        <w:t>88.4% of sample firm</w:t>
      </w:r>
      <w:r w:rsidR="003F154C" w:rsidRPr="00EA4B66">
        <w:rPr>
          <w:color w:val="000000" w:themeColor="text1"/>
          <w:sz w:val="24"/>
          <w:lang w:val="en-US"/>
        </w:rPr>
        <w:t>s</w:t>
      </w:r>
      <w:r w:rsidR="00A60025" w:rsidRPr="00EA4B66">
        <w:rPr>
          <w:color w:val="000000" w:themeColor="text1"/>
          <w:sz w:val="24"/>
          <w:lang w:val="en-US"/>
        </w:rPr>
        <w:t xml:space="preserve"> engage a Big 4 auditor </w:t>
      </w:r>
      <w:r w:rsidR="003F154C" w:rsidRPr="00EA4B66">
        <w:rPr>
          <w:color w:val="000000" w:themeColor="text1"/>
          <w:sz w:val="24"/>
          <w:lang w:val="en-US"/>
        </w:rPr>
        <w:t>for their</w:t>
      </w:r>
      <w:r w:rsidR="00A60025" w:rsidRPr="00EA4B66">
        <w:rPr>
          <w:color w:val="000000" w:themeColor="text1"/>
          <w:sz w:val="24"/>
          <w:lang w:val="en-US"/>
        </w:rPr>
        <w:t xml:space="preserve"> financial auditing, </w:t>
      </w:r>
      <w:r w:rsidR="003F154C" w:rsidRPr="00EA4B66">
        <w:rPr>
          <w:color w:val="000000" w:themeColor="text1"/>
          <w:sz w:val="24"/>
          <w:lang w:val="en-US"/>
        </w:rPr>
        <w:t>with</w:t>
      </w:r>
      <w:r w:rsidR="00A60025" w:rsidRPr="00EA4B66">
        <w:rPr>
          <w:color w:val="000000" w:themeColor="text1"/>
          <w:sz w:val="24"/>
          <w:lang w:val="en-US"/>
        </w:rPr>
        <w:t xml:space="preserve"> </w:t>
      </w:r>
      <w:r w:rsidR="00972525" w:rsidRPr="00EA4B66">
        <w:rPr>
          <w:color w:val="000000" w:themeColor="text1"/>
          <w:sz w:val="24"/>
          <w:lang w:val="en-US"/>
        </w:rPr>
        <w:t>86.4</w:t>
      </w:r>
      <w:r w:rsidR="00A60025" w:rsidRPr="00EA4B66">
        <w:rPr>
          <w:color w:val="000000" w:themeColor="text1"/>
          <w:sz w:val="24"/>
          <w:lang w:val="en-US"/>
        </w:rPr>
        <w:t xml:space="preserve">% and </w:t>
      </w:r>
      <w:r w:rsidR="00972525" w:rsidRPr="00EA4B66">
        <w:rPr>
          <w:color w:val="000000" w:themeColor="text1"/>
          <w:sz w:val="24"/>
          <w:lang w:val="en-US"/>
        </w:rPr>
        <w:t>88.9</w:t>
      </w:r>
      <w:r w:rsidR="00A60025" w:rsidRPr="00EA4B66">
        <w:rPr>
          <w:color w:val="000000" w:themeColor="text1"/>
          <w:sz w:val="24"/>
          <w:lang w:val="en-US"/>
        </w:rPr>
        <w:t xml:space="preserve">% of KIBS </w:t>
      </w:r>
      <w:r w:rsidR="003F154C" w:rsidRPr="00EA4B66">
        <w:rPr>
          <w:color w:val="000000" w:themeColor="text1"/>
          <w:sz w:val="24"/>
          <w:lang w:val="en-US"/>
        </w:rPr>
        <w:t xml:space="preserve">industry firms </w:t>
      </w:r>
      <w:r w:rsidR="00A60025" w:rsidRPr="00EA4B66">
        <w:rPr>
          <w:color w:val="000000" w:themeColor="text1"/>
          <w:sz w:val="24"/>
          <w:lang w:val="en-US"/>
        </w:rPr>
        <w:t xml:space="preserve">and TI </w:t>
      </w:r>
      <w:r w:rsidR="003F154C" w:rsidRPr="00EA4B66">
        <w:rPr>
          <w:color w:val="000000" w:themeColor="text1"/>
          <w:sz w:val="24"/>
          <w:lang w:val="en-US"/>
        </w:rPr>
        <w:t>firms</w:t>
      </w:r>
      <w:r w:rsidR="00A60025" w:rsidRPr="00EA4B66">
        <w:rPr>
          <w:color w:val="000000" w:themeColor="text1"/>
          <w:sz w:val="24"/>
          <w:lang w:val="en-US"/>
        </w:rPr>
        <w:t>, respectively</w:t>
      </w:r>
      <w:r w:rsidR="003F154C" w:rsidRPr="00EA4B66">
        <w:rPr>
          <w:color w:val="000000" w:themeColor="text1"/>
          <w:sz w:val="24"/>
          <w:lang w:val="en-US"/>
        </w:rPr>
        <w:t>, using such an auditor</w:t>
      </w:r>
      <w:r w:rsidR="00A60025" w:rsidRPr="00EA4B66">
        <w:rPr>
          <w:color w:val="000000" w:themeColor="text1"/>
          <w:sz w:val="24"/>
          <w:lang w:val="en-US"/>
        </w:rPr>
        <w:t xml:space="preserve">. </w:t>
      </w:r>
      <w:r w:rsidR="007609B0" w:rsidRPr="00EA4B66">
        <w:rPr>
          <w:color w:val="000000" w:themeColor="text1"/>
          <w:sz w:val="24"/>
          <w:lang w:val="en-US"/>
        </w:rPr>
        <w:t xml:space="preserve"> </w:t>
      </w:r>
    </w:p>
    <w:p w14:paraId="2BE5330B" w14:textId="3251E4CA" w:rsidR="00C71A54" w:rsidRPr="00EA4B66" w:rsidRDefault="00C71A54" w:rsidP="007609B0">
      <w:pPr>
        <w:spacing w:after="0" w:line="240" w:lineRule="auto"/>
        <w:jc w:val="both"/>
        <w:rPr>
          <w:b/>
          <w:color w:val="000000" w:themeColor="text1"/>
          <w:sz w:val="24"/>
          <w:szCs w:val="24"/>
          <w:lang w:val="en-US"/>
        </w:rPr>
      </w:pPr>
    </w:p>
    <w:p w14:paraId="06F3E080" w14:textId="07D906C4" w:rsidR="00A60025" w:rsidRPr="00EA4B66" w:rsidRDefault="00A60025" w:rsidP="00C71A54">
      <w:pPr>
        <w:spacing w:after="0" w:line="240" w:lineRule="auto"/>
        <w:jc w:val="both"/>
        <w:rPr>
          <w:b/>
          <w:i/>
          <w:color w:val="000000" w:themeColor="text1"/>
          <w:sz w:val="24"/>
          <w:szCs w:val="24"/>
          <w:lang w:val="en-US"/>
        </w:rPr>
      </w:pPr>
      <w:r w:rsidRPr="00EA4B66">
        <w:rPr>
          <w:b/>
          <w:i/>
          <w:color w:val="000000" w:themeColor="text1"/>
          <w:sz w:val="24"/>
          <w:szCs w:val="24"/>
          <w:lang w:val="en-US"/>
        </w:rPr>
        <w:t>5.2 Correlation analysis</w:t>
      </w:r>
    </w:p>
    <w:p w14:paraId="258D57DD" w14:textId="28124F72" w:rsidR="00A60025" w:rsidRPr="00EA4B66" w:rsidRDefault="00C71A54" w:rsidP="00C71A54">
      <w:pPr>
        <w:spacing w:after="0" w:line="240" w:lineRule="auto"/>
        <w:jc w:val="both"/>
        <w:rPr>
          <w:color w:val="000000" w:themeColor="text1"/>
          <w:sz w:val="24"/>
          <w:lang w:val="en-US"/>
        </w:rPr>
      </w:pPr>
      <w:r w:rsidRPr="00EA4B66">
        <w:rPr>
          <w:color w:val="000000" w:themeColor="text1"/>
          <w:sz w:val="24"/>
          <w:lang w:val="en-US"/>
        </w:rPr>
        <w:t xml:space="preserve">   </w:t>
      </w:r>
      <w:r w:rsidR="00380463" w:rsidRPr="00EA4B66">
        <w:rPr>
          <w:color w:val="000000" w:themeColor="text1"/>
          <w:sz w:val="24"/>
          <w:lang w:val="en-US"/>
        </w:rPr>
        <w:t xml:space="preserve">Table </w:t>
      </w:r>
      <w:r w:rsidR="00F55ED7">
        <w:rPr>
          <w:color w:val="000000" w:themeColor="text1"/>
          <w:sz w:val="24"/>
          <w:lang w:val="en-US"/>
        </w:rPr>
        <w:t>VII</w:t>
      </w:r>
      <w:r w:rsidR="00380463" w:rsidRPr="00EA4B66">
        <w:rPr>
          <w:color w:val="000000" w:themeColor="text1"/>
          <w:sz w:val="24"/>
          <w:lang w:val="en-US"/>
        </w:rPr>
        <w:t xml:space="preserve"> presents</w:t>
      </w:r>
      <w:r w:rsidR="009F14C1" w:rsidRPr="00EA4B66">
        <w:rPr>
          <w:color w:val="000000" w:themeColor="text1"/>
          <w:sz w:val="24"/>
          <w:lang w:val="en-US"/>
        </w:rPr>
        <w:t xml:space="preserve"> a Pearson correlation matrix. </w:t>
      </w:r>
      <w:r w:rsidR="00A60025" w:rsidRPr="00EA4B66">
        <w:rPr>
          <w:color w:val="000000" w:themeColor="text1"/>
          <w:sz w:val="24"/>
          <w:lang w:val="en-US"/>
        </w:rPr>
        <w:t>The</w:t>
      </w:r>
      <w:r w:rsidR="009F14C1" w:rsidRPr="00EA4B66">
        <w:rPr>
          <w:color w:val="000000" w:themeColor="text1"/>
          <w:sz w:val="24"/>
          <w:lang w:val="en-US"/>
        </w:rPr>
        <w:t>re is</w:t>
      </w:r>
      <w:r w:rsidR="00A60025" w:rsidRPr="00EA4B66">
        <w:rPr>
          <w:color w:val="000000" w:themeColor="text1"/>
          <w:sz w:val="24"/>
          <w:lang w:val="en-US"/>
        </w:rPr>
        <w:t xml:space="preserve"> </w:t>
      </w:r>
      <w:r w:rsidR="009F14C1" w:rsidRPr="00EA4B66">
        <w:rPr>
          <w:color w:val="000000" w:themeColor="text1"/>
          <w:sz w:val="24"/>
          <w:lang w:val="en-US"/>
        </w:rPr>
        <w:t>a strong positive correlation between the dependent variable (</w:t>
      </w:r>
      <w:r w:rsidR="009F14C1" w:rsidRPr="00EA4B66">
        <w:rPr>
          <w:i/>
          <w:color w:val="000000" w:themeColor="text1"/>
          <w:sz w:val="24"/>
          <w:lang w:val="en-US"/>
        </w:rPr>
        <w:t>MTB</w:t>
      </w:r>
      <w:r w:rsidR="009F14C1" w:rsidRPr="00EA4B66">
        <w:rPr>
          <w:color w:val="000000" w:themeColor="text1"/>
          <w:sz w:val="24"/>
          <w:lang w:val="en-US"/>
        </w:rPr>
        <w:t xml:space="preserve">) and </w:t>
      </w:r>
      <w:r w:rsidR="009F14C1" w:rsidRPr="00EA4B66">
        <w:rPr>
          <w:i/>
          <w:color w:val="000000" w:themeColor="text1"/>
          <w:sz w:val="24"/>
          <w:lang w:val="en-US"/>
        </w:rPr>
        <w:t>ROE</w:t>
      </w:r>
      <w:r w:rsidR="009F14C1" w:rsidRPr="00EA4B66">
        <w:rPr>
          <w:color w:val="000000" w:themeColor="text1"/>
          <w:sz w:val="24"/>
          <w:lang w:val="en-US"/>
        </w:rPr>
        <w:t xml:space="preserve"> (0.</w:t>
      </w:r>
      <w:r w:rsidR="00AD1706" w:rsidRPr="00EA4B66">
        <w:rPr>
          <w:color w:val="000000" w:themeColor="text1"/>
          <w:sz w:val="24"/>
          <w:lang w:val="en-US"/>
        </w:rPr>
        <w:t>165</w:t>
      </w:r>
      <w:r w:rsidR="009F14C1" w:rsidRPr="00EA4B66">
        <w:rPr>
          <w:color w:val="000000" w:themeColor="text1"/>
          <w:sz w:val="24"/>
          <w:lang w:val="en-US"/>
        </w:rPr>
        <w:t xml:space="preserve">, p=0.000) and </w:t>
      </w:r>
      <w:r w:rsidR="009F14C1" w:rsidRPr="00EA4B66">
        <w:rPr>
          <w:i/>
          <w:color w:val="000000" w:themeColor="text1"/>
          <w:sz w:val="24"/>
          <w:lang w:val="en-US"/>
        </w:rPr>
        <w:t>DE</w:t>
      </w:r>
      <w:r w:rsidR="009F14C1" w:rsidRPr="00EA4B66">
        <w:rPr>
          <w:color w:val="000000" w:themeColor="text1"/>
          <w:sz w:val="24"/>
          <w:lang w:val="en-US"/>
        </w:rPr>
        <w:t xml:space="preserve"> (0.</w:t>
      </w:r>
      <w:r w:rsidR="00A528D1" w:rsidRPr="00EA4B66">
        <w:rPr>
          <w:color w:val="000000" w:themeColor="text1"/>
          <w:sz w:val="24"/>
          <w:lang w:val="en-US"/>
        </w:rPr>
        <w:t>213</w:t>
      </w:r>
      <w:r w:rsidR="009F14C1" w:rsidRPr="00EA4B66">
        <w:rPr>
          <w:color w:val="000000" w:themeColor="text1"/>
          <w:sz w:val="24"/>
          <w:lang w:val="en-US"/>
        </w:rPr>
        <w:t xml:space="preserve">, p=0.000), </w:t>
      </w:r>
      <w:r w:rsidR="001571BE" w:rsidRPr="00EA4B66">
        <w:rPr>
          <w:color w:val="000000" w:themeColor="text1"/>
          <w:sz w:val="24"/>
          <w:lang w:val="en-US"/>
        </w:rPr>
        <w:t xml:space="preserve">a moderate correlation between </w:t>
      </w:r>
      <w:r w:rsidR="001571BE" w:rsidRPr="00EA4B66">
        <w:rPr>
          <w:i/>
          <w:color w:val="000000" w:themeColor="text1"/>
          <w:sz w:val="24"/>
          <w:lang w:val="en-US"/>
        </w:rPr>
        <w:t>MTB</w:t>
      </w:r>
      <w:r w:rsidR="001571BE" w:rsidRPr="00EA4B66">
        <w:rPr>
          <w:color w:val="000000" w:themeColor="text1"/>
          <w:sz w:val="24"/>
          <w:lang w:val="en-US"/>
        </w:rPr>
        <w:t xml:space="preserve"> and </w:t>
      </w:r>
      <w:r w:rsidR="001571BE" w:rsidRPr="00EA4B66">
        <w:rPr>
          <w:i/>
          <w:color w:val="000000" w:themeColor="text1"/>
          <w:sz w:val="24"/>
          <w:lang w:val="en-US"/>
        </w:rPr>
        <w:t>IND</w:t>
      </w:r>
      <w:r w:rsidR="001571BE" w:rsidRPr="00EA4B66">
        <w:rPr>
          <w:color w:val="000000" w:themeColor="text1"/>
          <w:sz w:val="24"/>
          <w:lang w:val="en-US"/>
        </w:rPr>
        <w:t xml:space="preserve"> (0.110, p=0.002), </w:t>
      </w:r>
      <w:r w:rsidR="009F14C1" w:rsidRPr="00EA4B66">
        <w:rPr>
          <w:color w:val="000000" w:themeColor="text1"/>
          <w:sz w:val="24"/>
          <w:lang w:val="en-US"/>
        </w:rPr>
        <w:t xml:space="preserve">and </w:t>
      </w:r>
      <w:r w:rsidR="00A60025" w:rsidRPr="00EA4B66">
        <w:rPr>
          <w:color w:val="000000" w:themeColor="text1"/>
          <w:sz w:val="24"/>
          <w:lang w:val="en-US"/>
        </w:rPr>
        <w:t xml:space="preserve">a </w:t>
      </w:r>
      <w:r w:rsidR="009F14C1" w:rsidRPr="00EA4B66">
        <w:rPr>
          <w:color w:val="000000" w:themeColor="text1"/>
          <w:sz w:val="24"/>
          <w:lang w:val="en-US"/>
        </w:rPr>
        <w:t xml:space="preserve">weaker </w:t>
      </w:r>
      <w:r w:rsidR="00A60025" w:rsidRPr="00EA4B66">
        <w:rPr>
          <w:color w:val="000000" w:themeColor="text1"/>
          <w:sz w:val="24"/>
          <w:lang w:val="en-US"/>
        </w:rPr>
        <w:t xml:space="preserve">positive correlation </w:t>
      </w:r>
      <w:r w:rsidR="009F14C1" w:rsidRPr="00EA4B66">
        <w:rPr>
          <w:color w:val="000000" w:themeColor="text1"/>
          <w:sz w:val="24"/>
          <w:lang w:val="en-US"/>
        </w:rPr>
        <w:t>with</w:t>
      </w:r>
      <w:r w:rsidR="00A60025" w:rsidRPr="00EA4B66">
        <w:rPr>
          <w:color w:val="000000" w:themeColor="text1"/>
          <w:sz w:val="24"/>
          <w:lang w:val="en-US"/>
        </w:rPr>
        <w:t xml:space="preserve"> </w:t>
      </w:r>
      <w:r w:rsidR="00A60025" w:rsidRPr="00EA4B66">
        <w:rPr>
          <w:i/>
          <w:color w:val="000000" w:themeColor="text1"/>
          <w:sz w:val="24"/>
          <w:lang w:val="en-US"/>
        </w:rPr>
        <w:t>TINT</w:t>
      </w:r>
      <w:r w:rsidR="00A60025" w:rsidRPr="00EA4B66">
        <w:rPr>
          <w:color w:val="000000" w:themeColor="text1"/>
          <w:sz w:val="24"/>
          <w:lang w:val="en-US"/>
        </w:rPr>
        <w:t xml:space="preserve"> (0.</w:t>
      </w:r>
      <w:r w:rsidR="00E61686" w:rsidRPr="00EA4B66">
        <w:rPr>
          <w:color w:val="000000" w:themeColor="text1"/>
          <w:sz w:val="24"/>
          <w:lang w:val="en-US"/>
        </w:rPr>
        <w:t>084</w:t>
      </w:r>
      <w:r w:rsidR="00A60025" w:rsidRPr="00EA4B66">
        <w:rPr>
          <w:color w:val="000000" w:themeColor="text1"/>
          <w:sz w:val="24"/>
          <w:lang w:val="en-US"/>
        </w:rPr>
        <w:t>, p=0.</w:t>
      </w:r>
      <w:r w:rsidR="00E61686" w:rsidRPr="00EA4B66">
        <w:rPr>
          <w:color w:val="000000" w:themeColor="text1"/>
          <w:sz w:val="24"/>
          <w:lang w:val="en-US"/>
        </w:rPr>
        <w:t>026</w:t>
      </w:r>
      <w:r w:rsidR="00A60025" w:rsidRPr="00EA4B66">
        <w:rPr>
          <w:color w:val="000000" w:themeColor="text1"/>
          <w:sz w:val="24"/>
          <w:lang w:val="en-US"/>
        </w:rPr>
        <w:t xml:space="preserve">) and </w:t>
      </w:r>
      <w:r w:rsidR="00A60025" w:rsidRPr="00EA4B66">
        <w:rPr>
          <w:i/>
          <w:color w:val="000000" w:themeColor="text1"/>
          <w:sz w:val="24"/>
          <w:lang w:val="en-US"/>
        </w:rPr>
        <w:t>FAM</w:t>
      </w:r>
      <w:r w:rsidR="00A60025" w:rsidRPr="00EA4B66">
        <w:rPr>
          <w:color w:val="000000" w:themeColor="text1"/>
          <w:sz w:val="24"/>
          <w:lang w:val="en-US"/>
        </w:rPr>
        <w:t xml:space="preserve"> (0.</w:t>
      </w:r>
      <w:r w:rsidR="00C41080" w:rsidRPr="00EA4B66">
        <w:rPr>
          <w:color w:val="000000" w:themeColor="text1"/>
          <w:sz w:val="24"/>
          <w:lang w:val="en-US"/>
        </w:rPr>
        <w:t>089</w:t>
      </w:r>
      <w:r w:rsidR="00A60025" w:rsidRPr="00EA4B66">
        <w:rPr>
          <w:color w:val="000000" w:themeColor="text1"/>
          <w:sz w:val="24"/>
          <w:lang w:val="en-US"/>
        </w:rPr>
        <w:t>, p=0.</w:t>
      </w:r>
      <w:r w:rsidR="00C41080" w:rsidRPr="00EA4B66">
        <w:rPr>
          <w:color w:val="000000" w:themeColor="text1"/>
          <w:sz w:val="24"/>
          <w:lang w:val="en-US"/>
        </w:rPr>
        <w:t>018</w:t>
      </w:r>
      <w:r w:rsidR="00A60025" w:rsidRPr="00EA4B66">
        <w:rPr>
          <w:color w:val="000000" w:themeColor="text1"/>
          <w:sz w:val="24"/>
          <w:lang w:val="en-US"/>
        </w:rPr>
        <w:t xml:space="preserve">). A </w:t>
      </w:r>
      <w:r w:rsidR="009F14C1" w:rsidRPr="00EA4B66">
        <w:rPr>
          <w:color w:val="000000" w:themeColor="text1"/>
          <w:sz w:val="24"/>
          <w:lang w:val="en-US"/>
        </w:rPr>
        <w:t xml:space="preserve">strong </w:t>
      </w:r>
      <w:r w:rsidR="00D12F28" w:rsidRPr="00EA4B66">
        <w:rPr>
          <w:color w:val="000000" w:themeColor="text1"/>
          <w:sz w:val="24"/>
          <w:lang w:val="en-US"/>
        </w:rPr>
        <w:t xml:space="preserve">negative </w:t>
      </w:r>
      <w:r w:rsidR="009F14C1" w:rsidRPr="00EA4B66">
        <w:rPr>
          <w:color w:val="000000" w:themeColor="text1"/>
          <w:sz w:val="24"/>
          <w:lang w:val="en-US"/>
        </w:rPr>
        <w:t xml:space="preserve">correlation exists between </w:t>
      </w:r>
      <w:r w:rsidR="009F14C1" w:rsidRPr="00EA4B66">
        <w:rPr>
          <w:i/>
          <w:color w:val="000000" w:themeColor="text1"/>
          <w:sz w:val="24"/>
          <w:lang w:val="en-US"/>
        </w:rPr>
        <w:t>MTB</w:t>
      </w:r>
      <w:r w:rsidR="009F14C1" w:rsidRPr="00EA4B66">
        <w:rPr>
          <w:color w:val="000000" w:themeColor="text1"/>
          <w:sz w:val="24"/>
          <w:lang w:val="en-US"/>
        </w:rPr>
        <w:t xml:space="preserve"> and </w:t>
      </w:r>
      <w:r w:rsidR="009F14C1" w:rsidRPr="00EA4B66">
        <w:rPr>
          <w:i/>
          <w:color w:val="000000" w:themeColor="text1"/>
          <w:sz w:val="24"/>
          <w:lang w:val="en-US"/>
        </w:rPr>
        <w:t>AGE</w:t>
      </w:r>
      <w:r w:rsidR="009F14C1" w:rsidRPr="00EA4B66">
        <w:rPr>
          <w:color w:val="000000" w:themeColor="text1"/>
          <w:sz w:val="24"/>
          <w:lang w:val="en-US"/>
        </w:rPr>
        <w:t xml:space="preserve"> (-0.</w:t>
      </w:r>
      <w:r w:rsidR="00C41080" w:rsidRPr="00EA4B66">
        <w:rPr>
          <w:color w:val="000000" w:themeColor="text1"/>
          <w:sz w:val="24"/>
          <w:lang w:val="en-US"/>
        </w:rPr>
        <w:t>171</w:t>
      </w:r>
      <w:r w:rsidR="009F14C1" w:rsidRPr="00EA4B66">
        <w:rPr>
          <w:color w:val="000000" w:themeColor="text1"/>
          <w:sz w:val="24"/>
          <w:lang w:val="en-US"/>
        </w:rPr>
        <w:t xml:space="preserve">, p=0.000), and a </w:t>
      </w:r>
      <w:r w:rsidR="00A60025" w:rsidRPr="00EA4B66">
        <w:rPr>
          <w:color w:val="000000" w:themeColor="text1"/>
          <w:sz w:val="24"/>
          <w:lang w:val="en-US"/>
        </w:rPr>
        <w:t>weak</w:t>
      </w:r>
      <w:r w:rsidR="009F14C1" w:rsidRPr="00EA4B66">
        <w:rPr>
          <w:color w:val="000000" w:themeColor="text1"/>
          <w:sz w:val="24"/>
          <w:lang w:val="en-US"/>
        </w:rPr>
        <w:t>er</w:t>
      </w:r>
      <w:r w:rsidR="00A60025" w:rsidRPr="00EA4B66">
        <w:rPr>
          <w:color w:val="000000" w:themeColor="text1"/>
          <w:sz w:val="24"/>
          <w:lang w:val="en-US"/>
        </w:rPr>
        <w:t xml:space="preserve"> negative correlation </w:t>
      </w:r>
      <w:r w:rsidR="009F14C1" w:rsidRPr="00EA4B66">
        <w:rPr>
          <w:color w:val="000000" w:themeColor="text1"/>
          <w:sz w:val="24"/>
          <w:lang w:val="en-US"/>
        </w:rPr>
        <w:t>exists</w:t>
      </w:r>
      <w:r w:rsidR="00A60025" w:rsidRPr="00EA4B66">
        <w:rPr>
          <w:color w:val="000000" w:themeColor="text1"/>
          <w:sz w:val="24"/>
          <w:lang w:val="en-US"/>
        </w:rPr>
        <w:t xml:space="preserve"> </w:t>
      </w:r>
      <w:r w:rsidR="009F14C1" w:rsidRPr="00EA4B66">
        <w:rPr>
          <w:color w:val="000000" w:themeColor="text1"/>
          <w:sz w:val="24"/>
          <w:lang w:val="en-US"/>
        </w:rPr>
        <w:t>with</w:t>
      </w:r>
      <w:r w:rsidR="00A60025" w:rsidRPr="00EA4B66">
        <w:rPr>
          <w:color w:val="000000" w:themeColor="text1"/>
          <w:sz w:val="24"/>
          <w:lang w:val="en-US"/>
        </w:rPr>
        <w:t xml:space="preserve"> </w:t>
      </w:r>
      <w:r w:rsidR="00A60025" w:rsidRPr="00EA4B66">
        <w:rPr>
          <w:i/>
          <w:color w:val="000000" w:themeColor="text1"/>
          <w:sz w:val="24"/>
          <w:lang w:val="en-US"/>
        </w:rPr>
        <w:t>SIZE</w:t>
      </w:r>
      <w:r w:rsidR="00A60025" w:rsidRPr="00EA4B66">
        <w:rPr>
          <w:color w:val="000000" w:themeColor="text1"/>
          <w:sz w:val="24"/>
          <w:lang w:val="en-US"/>
        </w:rPr>
        <w:t xml:space="preserve"> (-0.</w:t>
      </w:r>
      <w:r w:rsidR="00C41080" w:rsidRPr="00EA4B66">
        <w:rPr>
          <w:color w:val="000000" w:themeColor="text1"/>
          <w:sz w:val="24"/>
          <w:lang w:val="en-US"/>
        </w:rPr>
        <w:t>093</w:t>
      </w:r>
      <w:r w:rsidR="00A60025" w:rsidRPr="00EA4B66">
        <w:rPr>
          <w:color w:val="000000" w:themeColor="text1"/>
          <w:sz w:val="24"/>
          <w:lang w:val="en-US"/>
        </w:rPr>
        <w:t>, p= 0.</w:t>
      </w:r>
      <w:r w:rsidR="00C41080" w:rsidRPr="00EA4B66">
        <w:rPr>
          <w:color w:val="000000" w:themeColor="text1"/>
          <w:sz w:val="24"/>
          <w:lang w:val="en-US"/>
        </w:rPr>
        <w:t>014</w:t>
      </w:r>
      <w:r w:rsidR="00A60025" w:rsidRPr="00EA4B66">
        <w:rPr>
          <w:color w:val="000000" w:themeColor="text1"/>
          <w:sz w:val="24"/>
          <w:lang w:val="en-US"/>
        </w:rPr>
        <w:t>)</w:t>
      </w:r>
      <w:r w:rsidR="009F14C1" w:rsidRPr="00EA4B66">
        <w:rPr>
          <w:color w:val="000000" w:themeColor="text1"/>
          <w:sz w:val="24"/>
          <w:lang w:val="en-US"/>
        </w:rPr>
        <w:t>.</w:t>
      </w:r>
      <w:r w:rsidR="00CF645B" w:rsidRPr="00EA4B66">
        <w:rPr>
          <w:color w:val="000000" w:themeColor="text1"/>
          <w:sz w:val="24"/>
          <w:lang w:val="en-US"/>
        </w:rPr>
        <w:t xml:space="preserve"> </w:t>
      </w:r>
      <w:r w:rsidR="004F4EAF" w:rsidRPr="00EA4B66">
        <w:rPr>
          <w:color w:val="000000" w:themeColor="text1"/>
          <w:sz w:val="24"/>
          <w:lang w:val="en-US"/>
        </w:rPr>
        <w:t xml:space="preserve">The strong negative correlation between </w:t>
      </w:r>
      <w:r w:rsidR="004F4EAF" w:rsidRPr="00EA4B66">
        <w:rPr>
          <w:i/>
          <w:color w:val="000000" w:themeColor="text1"/>
          <w:sz w:val="24"/>
          <w:lang w:val="en-US"/>
        </w:rPr>
        <w:t>MTB</w:t>
      </w:r>
      <w:r w:rsidR="004F4EAF" w:rsidRPr="00EA4B66">
        <w:rPr>
          <w:color w:val="000000" w:themeColor="text1"/>
          <w:sz w:val="24"/>
          <w:lang w:val="en-US"/>
        </w:rPr>
        <w:t xml:space="preserve"> and </w:t>
      </w:r>
      <w:r w:rsidR="004F4EAF" w:rsidRPr="00EA4B66">
        <w:rPr>
          <w:i/>
          <w:color w:val="000000" w:themeColor="text1"/>
          <w:sz w:val="24"/>
          <w:lang w:val="en-US"/>
        </w:rPr>
        <w:t>AGE</w:t>
      </w:r>
      <w:r w:rsidR="004F4EAF" w:rsidRPr="00EA4B66">
        <w:rPr>
          <w:color w:val="000000" w:themeColor="text1"/>
          <w:sz w:val="24"/>
          <w:lang w:val="en-US"/>
        </w:rPr>
        <w:t xml:space="preserve"> may be explained </w:t>
      </w:r>
      <w:r w:rsidRPr="00EA4B66">
        <w:rPr>
          <w:color w:val="000000" w:themeColor="text1"/>
          <w:sz w:val="24"/>
          <w:lang w:val="en-US"/>
        </w:rPr>
        <w:t xml:space="preserve">in that as firms age, they incur </w:t>
      </w:r>
      <w:r w:rsidR="00B07464" w:rsidRPr="00EA4B66">
        <w:rPr>
          <w:color w:val="000000" w:themeColor="text1"/>
          <w:sz w:val="24"/>
          <w:lang w:val="en-US"/>
        </w:rPr>
        <w:t>structural and process-related rigidities that are difficult to discard (Loderer</w:t>
      </w:r>
      <w:r w:rsidR="00DA6F6D" w:rsidRPr="00EA4B66">
        <w:rPr>
          <w:color w:val="000000" w:themeColor="text1"/>
          <w:sz w:val="24"/>
          <w:lang w:val="en-US"/>
        </w:rPr>
        <w:t xml:space="preserve"> and Waelch</w:t>
      </w:r>
      <w:r w:rsidR="00F951BD" w:rsidRPr="00EA4B66">
        <w:rPr>
          <w:color w:val="000000" w:themeColor="text1"/>
          <w:sz w:val="24"/>
          <w:lang w:val="en-US"/>
        </w:rPr>
        <w:t>li</w:t>
      </w:r>
      <w:r w:rsidR="00B07464" w:rsidRPr="00EA4B66">
        <w:rPr>
          <w:color w:val="000000" w:themeColor="text1"/>
          <w:sz w:val="24"/>
          <w:lang w:val="en-US"/>
        </w:rPr>
        <w:t>, 20</w:t>
      </w:r>
      <w:r w:rsidR="00343868" w:rsidRPr="00EA4B66">
        <w:rPr>
          <w:color w:val="000000" w:themeColor="text1"/>
          <w:sz w:val="24"/>
          <w:lang w:val="en-US"/>
        </w:rPr>
        <w:t>10</w:t>
      </w:r>
      <w:r w:rsidR="00B07464" w:rsidRPr="00EA4B66">
        <w:rPr>
          <w:color w:val="000000" w:themeColor="text1"/>
          <w:sz w:val="24"/>
          <w:lang w:val="en-US"/>
        </w:rPr>
        <w:t>; Leonard-Barton, 1992)</w:t>
      </w:r>
      <w:r w:rsidR="00792977" w:rsidRPr="00EA4B66">
        <w:rPr>
          <w:color w:val="000000" w:themeColor="text1"/>
          <w:sz w:val="24"/>
          <w:lang w:val="en-US"/>
        </w:rPr>
        <w:t>.</w:t>
      </w:r>
      <w:r w:rsidR="00B07464" w:rsidRPr="00EA4B66">
        <w:rPr>
          <w:color w:val="000000" w:themeColor="text1"/>
          <w:sz w:val="24"/>
          <w:lang w:val="en-US"/>
        </w:rPr>
        <w:t xml:space="preserve"> </w:t>
      </w:r>
      <w:r w:rsidR="009F14C1" w:rsidRPr="00EA4B66">
        <w:rPr>
          <w:color w:val="000000" w:themeColor="text1"/>
          <w:sz w:val="24"/>
          <w:lang w:val="en-US"/>
        </w:rPr>
        <w:t xml:space="preserve">The </w:t>
      </w:r>
      <w:r w:rsidR="00A60025" w:rsidRPr="00712CE9">
        <w:rPr>
          <w:color w:val="000000" w:themeColor="text1"/>
          <w:sz w:val="24"/>
          <w:lang w:val="en-US"/>
        </w:rPr>
        <w:t>Pearson (Spearman) correlation</w:t>
      </w:r>
      <w:r w:rsidR="00A60025" w:rsidRPr="00EA4B66">
        <w:rPr>
          <w:color w:val="000000" w:themeColor="text1"/>
          <w:sz w:val="24"/>
          <w:lang w:val="en-US"/>
        </w:rPr>
        <w:t xml:space="preserve"> shows a positive correlation between </w:t>
      </w:r>
      <w:r w:rsidR="00A60025" w:rsidRPr="00EA4B66">
        <w:rPr>
          <w:i/>
          <w:color w:val="000000" w:themeColor="text1"/>
          <w:sz w:val="24"/>
          <w:lang w:val="en-US"/>
        </w:rPr>
        <w:t>AUDIT</w:t>
      </w:r>
      <w:r w:rsidR="00A60025" w:rsidRPr="00EA4B66">
        <w:rPr>
          <w:color w:val="000000" w:themeColor="text1"/>
          <w:sz w:val="24"/>
          <w:lang w:val="en-US"/>
        </w:rPr>
        <w:t xml:space="preserve"> and </w:t>
      </w:r>
      <w:r w:rsidR="00A60025" w:rsidRPr="00EA4B66">
        <w:rPr>
          <w:i/>
          <w:color w:val="000000" w:themeColor="text1"/>
          <w:sz w:val="24"/>
          <w:lang w:val="en-US"/>
        </w:rPr>
        <w:t>SIZE</w:t>
      </w:r>
      <w:r w:rsidR="00A60025" w:rsidRPr="00EA4B66">
        <w:rPr>
          <w:color w:val="000000" w:themeColor="text1"/>
          <w:sz w:val="24"/>
          <w:lang w:val="en-US"/>
        </w:rPr>
        <w:t xml:space="preserve"> of 0.282 (0.286), significant at </w:t>
      </w:r>
      <w:r w:rsidR="00123BDC">
        <w:rPr>
          <w:color w:val="000000" w:themeColor="text1"/>
          <w:sz w:val="24"/>
          <w:lang w:val="en-US"/>
        </w:rPr>
        <w:t xml:space="preserve">the </w:t>
      </w:r>
      <w:r w:rsidR="00A60025" w:rsidRPr="00EA4B66">
        <w:rPr>
          <w:color w:val="000000" w:themeColor="text1"/>
          <w:sz w:val="24"/>
          <w:lang w:val="en-US"/>
        </w:rPr>
        <w:t>1% level. The</w:t>
      </w:r>
      <w:r w:rsidR="00CF645B" w:rsidRPr="00EA4B66">
        <w:rPr>
          <w:color w:val="000000" w:themeColor="text1"/>
          <w:sz w:val="24"/>
          <w:lang w:val="en-US"/>
        </w:rPr>
        <w:t>re is a positive correlation</w:t>
      </w:r>
      <w:r w:rsidR="00A60025" w:rsidRPr="00EA4B66">
        <w:rPr>
          <w:color w:val="000000" w:themeColor="text1"/>
          <w:sz w:val="24"/>
          <w:lang w:val="en-US"/>
        </w:rPr>
        <w:t xml:space="preserve"> between </w:t>
      </w:r>
      <w:r w:rsidR="00A60025" w:rsidRPr="00EA4B66">
        <w:rPr>
          <w:i/>
          <w:color w:val="000000" w:themeColor="text1"/>
          <w:sz w:val="24"/>
          <w:lang w:val="en-US"/>
        </w:rPr>
        <w:t xml:space="preserve">ROE </w:t>
      </w:r>
      <w:r w:rsidR="00A60025" w:rsidRPr="00EA4B66">
        <w:rPr>
          <w:color w:val="000000" w:themeColor="text1"/>
          <w:sz w:val="24"/>
          <w:lang w:val="en-US"/>
        </w:rPr>
        <w:t xml:space="preserve">and </w:t>
      </w:r>
      <w:r w:rsidR="00A60025" w:rsidRPr="00EA4B66">
        <w:rPr>
          <w:i/>
          <w:color w:val="000000" w:themeColor="text1"/>
          <w:sz w:val="24"/>
          <w:lang w:val="en-US"/>
        </w:rPr>
        <w:t>SIZE</w:t>
      </w:r>
      <w:r w:rsidR="00CF645B" w:rsidRPr="00EA4B66">
        <w:rPr>
          <w:i/>
          <w:color w:val="000000" w:themeColor="text1"/>
          <w:sz w:val="24"/>
          <w:lang w:val="en-US"/>
        </w:rPr>
        <w:t xml:space="preserve"> </w:t>
      </w:r>
      <w:r w:rsidR="00CF645B" w:rsidRPr="00EA4B66">
        <w:rPr>
          <w:color w:val="000000" w:themeColor="text1"/>
          <w:sz w:val="24"/>
          <w:lang w:val="en-US"/>
        </w:rPr>
        <w:t>of 0.160 (0.225, p=0.000)</w:t>
      </w:r>
      <w:r w:rsidR="00A60025" w:rsidRPr="00EA4B66">
        <w:rPr>
          <w:color w:val="000000" w:themeColor="text1"/>
          <w:sz w:val="24"/>
          <w:lang w:val="en-US"/>
        </w:rPr>
        <w:t xml:space="preserve">, significant at </w:t>
      </w:r>
      <w:r w:rsidR="00123BDC">
        <w:rPr>
          <w:color w:val="000000" w:themeColor="text1"/>
          <w:sz w:val="24"/>
          <w:lang w:val="en-US"/>
        </w:rPr>
        <w:t xml:space="preserve">the </w:t>
      </w:r>
      <w:r w:rsidR="00A60025" w:rsidRPr="00EA4B66">
        <w:rPr>
          <w:color w:val="000000" w:themeColor="text1"/>
          <w:sz w:val="24"/>
          <w:lang w:val="en-US"/>
        </w:rPr>
        <w:t xml:space="preserve">1% level. </w:t>
      </w:r>
      <w:r w:rsidR="00CF645B" w:rsidRPr="00EA4B66">
        <w:rPr>
          <w:color w:val="000000" w:themeColor="text1"/>
          <w:sz w:val="24"/>
          <w:lang w:val="en-US"/>
        </w:rPr>
        <w:t>This</w:t>
      </w:r>
      <w:r w:rsidR="00A60025" w:rsidRPr="00EA4B66">
        <w:rPr>
          <w:color w:val="000000" w:themeColor="text1"/>
          <w:sz w:val="24"/>
          <w:lang w:val="en-US"/>
        </w:rPr>
        <w:t xml:space="preserve"> suggest</w:t>
      </w:r>
      <w:r w:rsidR="00CF645B" w:rsidRPr="00EA4B66">
        <w:rPr>
          <w:color w:val="000000" w:themeColor="text1"/>
          <w:sz w:val="24"/>
          <w:lang w:val="en-US"/>
        </w:rPr>
        <w:t>s</w:t>
      </w:r>
      <w:r w:rsidR="00A60025" w:rsidRPr="00EA4B66">
        <w:rPr>
          <w:color w:val="000000" w:themeColor="text1"/>
          <w:sz w:val="24"/>
          <w:lang w:val="en-US"/>
        </w:rPr>
        <w:t xml:space="preserve"> that larger firms are </w:t>
      </w:r>
      <w:r w:rsidR="00CF645B" w:rsidRPr="00EA4B66">
        <w:rPr>
          <w:color w:val="000000" w:themeColor="text1"/>
          <w:sz w:val="24"/>
          <w:lang w:val="en-US"/>
        </w:rPr>
        <w:t xml:space="preserve">in general </w:t>
      </w:r>
      <w:r w:rsidR="00A60025" w:rsidRPr="00EA4B66">
        <w:rPr>
          <w:color w:val="000000" w:themeColor="text1"/>
          <w:sz w:val="24"/>
          <w:lang w:val="en-US"/>
        </w:rPr>
        <w:t>more profitab</w:t>
      </w:r>
      <w:r w:rsidR="00CF645B" w:rsidRPr="00EA4B66">
        <w:rPr>
          <w:color w:val="000000" w:themeColor="text1"/>
          <w:sz w:val="24"/>
          <w:lang w:val="en-US"/>
        </w:rPr>
        <w:t>le</w:t>
      </w:r>
      <w:r w:rsidR="00A60025" w:rsidRPr="00EA4B66">
        <w:rPr>
          <w:color w:val="000000" w:themeColor="text1"/>
          <w:sz w:val="24"/>
          <w:lang w:val="en-US"/>
        </w:rPr>
        <w:t xml:space="preserve"> than </w:t>
      </w:r>
      <w:r w:rsidR="00CF645B" w:rsidRPr="0052243D">
        <w:rPr>
          <w:color w:val="000000" w:themeColor="text1"/>
          <w:sz w:val="24"/>
          <w:lang w:val="en-US"/>
        </w:rPr>
        <w:t>smaller firms</w:t>
      </w:r>
      <w:r w:rsidR="00A60025" w:rsidRPr="0052243D">
        <w:rPr>
          <w:color w:val="000000" w:themeColor="text1"/>
          <w:sz w:val="24"/>
          <w:lang w:val="en-US"/>
        </w:rPr>
        <w:t>. The</w:t>
      </w:r>
      <w:r w:rsidR="00CF645B" w:rsidRPr="0052243D">
        <w:rPr>
          <w:color w:val="000000" w:themeColor="text1"/>
          <w:sz w:val="24"/>
          <w:lang w:val="en-US"/>
        </w:rPr>
        <w:t>re</w:t>
      </w:r>
      <w:r w:rsidR="00A60025" w:rsidRPr="0052243D">
        <w:rPr>
          <w:color w:val="000000" w:themeColor="text1"/>
          <w:sz w:val="24"/>
          <w:lang w:val="en-US"/>
        </w:rPr>
        <w:t xml:space="preserve"> </w:t>
      </w:r>
      <w:r w:rsidR="00CF645B" w:rsidRPr="0052243D">
        <w:rPr>
          <w:color w:val="000000" w:themeColor="text1"/>
          <w:sz w:val="24"/>
          <w:lang w:val="en-US"/>
        </w:rPr>
        <w:t xml:space="preserve">is a positive </w:t>
      </w:r>
      <w:r w:rsidR="00A60025" w:rsidRPr="0052243D">
        <w:rPr>
          <w:color w:val="000000" w:themeColor="text1"/>
          <w:sz w:val="24"/>
          <w:lang w:val="en-US"/>
        </w:rPr>
        <w:t xml:space="preserve">correlation </w:t>
      </w:r>
      <w:r w:rsidR="00CF645B" w:rsidRPr="0052243D">
        <w:rPr>
          <w:color w:val="000000" w:themeColor="text1"/>
          <w:sz w:val="24"/>
          <w:lang w:val="en-US"/>
        </w:rPr>
        <w:t xml:space="preserve">between </w:t>
      </w:r>
      <w:r w:rsidR="00CF645B" w:rsidRPr="0052243D">
        <w:rPr>
          <w:i/>
          <w:color w:val="000000" w:themeColor="text1"/>
          <w:sz w:val="24"/>
          <w:lang w:val="en-US"/>
        </w:rPr>
        <w:t xml:space="preserve">AGE </w:t>
      </w:r>
      <w:r w:rsidR="00CF645B" w:rsidRPr="0052243D">
        <w:rPr>
          <w:color w:val="000000" w:themeColor="text1"/>
          <w:sz w:val="24"/>
          <w:lang w:val="en-US"/>
        </w:rPr>
        <w:t xml:space="preserve">and </w:t>
      </w:r>
      <w:r w:rsidR="00CF645B" w:rsidRPr="0052243D">
        <w:rPr>
          <w:i/>
          <w:color w:val="000000" w:themeColor="text1"/>
          <w:sz w:val="24"/>
          <w:lang w:val="en-US"/>
        </w:rPr>
        <w:t>SIZE</w:t>
      </w:r>
      <w:r w:rsidR="00CF645B" w:rsidRPr="0052243D" w:rsidDel="00CF645B">
        <w:rPr>
          <w:i/>
          <w:color w:val="000000" w:themeColor="text1"/>
          <w:sz w:val="24"/>
          <w:lang w:val="en-US"/>
        </w:rPr>
        <w:t xml:space="preserve"> </w:t>
      </w:r>
      <w:r w:rsidR="00CF645B" w:rsidRPr="0052243D">
        <w:rPr>
          <w:color w:val="000000" w:themeColor="text1"/>
          <w:sz w:val="24"/>
          <w:lang w:val="en-US"/>
        </w:rPr>
        <w:t>of 0.</w:t>
      </w:r>
      <w:r w:rsidR="00052B68" w:rsidRPr="0052243D">
        <w:rPr>
          <w:color w:val="000000" w:themeColor="text1"/>
          <w:sz w:val="24"/>
          <w:lang w:val="en-US"/>
        </w:rPr>
        <w:t xml:space="preserve">105 </w:t>
      </w:r>
      <w:r w:rsidR="00CF645B" w:rsidRPr="0052243D">
        <w:rPr>
          <w:color w:val="000000" w:themeColor="text1"/>
          <w:sz w:val="24"/>
          <w:lang w:val="en-US"/>
        </w:rPr>
        <w:t xml:space="preserve">(0.090), </w:t>
      </w:r>
      <w:r w:rsidR="00A60025" w:rsidRPr="0052243D">
        <w:rPr>
          <w:color w:val="000000" w:themeColor="text1"/>
          <w:sz w:val="24"/>
          <w:lang w:val="en-US"/>
        </w:rPr>
        <w:t xml:space="preserve">significant at </w:t>
      </w:r>
      <w:r w:rsidR="00123BDC" w:rsidRPr="0052243D">
        <w:rPr>
          <w:color w:val="000000" w:themeColor="text1"/>
          <w:sz w:val="24"/>
          <w:lang w:val="en-US"/>
        </w:rPr>
        <w:t xml:space="preserve">the </w:t>
      </w:r>
      <w:r w:rsidR="00A60025" w:rsidRPr="0052243D">
        <w:rPr>
          <w:color w:val="000000" w:themeColor="text1"/>
          <w:sz w:val="24"/>
          <w:lang w:val="en-US"/>
        </w:rPr>
        <w:t xml:space="preserve">1% (5%) level. </w:t>
      </w:r>
      <w:r w:rsidR="00CF645B" w:rsidRPr="0052243D">
        <w:rPr>
          <w:color w:val="000000" w:themeColor="text1"/>
          <w:sz w:val="24"/>
          <w:lang w:val="en-US"/>
        </w:rPr>
        <w:t>Thus, on</w:t>
      </w:r>
      <w:r w:rsidR="00A60025" w:rsidRPr="0052243D">
        <w:rPr>
          <w:color w:val="000000" w:themeColor="text1"/>
          <w:sz w:val="24"/>
          <w:lang w:val="en-US"/>
        </w:rPr>
        <w:t xml:space="preserve"> average, larger firms </w:t>
      </w:r>
      <w:r w:rsidR="00CF645B" w:rsidRPr="0052243D">
        <w:rPr>
          <w:color w:val="000000" w:themeColor="text1"/>
          <w:sz w:val="24"/>
          <w:lang w:val="en-US"/>
        </w:rPr>
        <w:t>have a longer length of establishment</w:t>
      </w:r>
      <w:r w:rsidR="00A60025" w:rsidRPr="0052243D">
        <w:rPr>
          <w:color w:val="000000" w:themeColor="text1"/>
          <w:sz w:val="24"/>
          <w:lang w:val="en-US"/>
        </w:rPr>
        <w:t xml:space="preserve"> than younger firms. The Pearson (Spearman) correlation between </w:t>
      </w:r>
      <w:r w:rsidR="00A60025" w:rsidRPr="0052243D">
        <w:rPr>
          <w:i/>
          <w:color w:val="000000" w:themeColor="text1"/>
          <w:sz w:val="24"/>
          <w:lang w:val="en-US"/>
        </w:rPr>
        <w:t xml:space="preserve">IND </w:t>
      </w:r>
      <w:r w:rsidR="00A60025" w:rsidRPr="0052243D">
        <w:rPr>
          <w:color w:val="000000" w:themeColor="text1"/>
          <w:sz w:val="24"/>
          <w:lang w:val="en-US"/>
        </w:rPr>
        <w:t xml:space="preserve">and </w:t>
      </w:r>
      <w:r w:rsidR="00A60025" w:rsidRPr="0052243D">
        <w:rPr>
          <w:i/>
          <w:color w:val="000000" w:themeColor="text1"/>
          <w:sz w:val="24"/>
          <w:lang w:val="en-US"/>
        </w:rPr>
        <w:t>TINT</w:t>
      </w:r>
      <w:r w:rsidR="00A60025" w:rsidRPr="0052243D">
        <w:rPr>
          <w:color w:val="000000" w:themeColor="text1"/>
          <w:sz w:val="24"/>
          <w:lang w:val="en-US"/>
        </w:rPr>
        <w:t xml:space="preserve"> of </w:t>
      </w:r>
      <w:r w:rsidR="00CF3954" w:rsidRPr="0052243D">
        <w:rPr>
          <w:color w:val="000000" w:themeColor="text1"/>
          <w:sz w:val="24"/>
          <w:lang w:val="en-US"/>
        </w:rPr>
        <w:t>-0.085</w:t>
      </w:r>
      <w:r w:rsidR="00A60025" w:rsidRPr="0052243D">
        <w:rPr>
          <w:color w:val="000000" w:themeColor="text1"/>
          <w:sz w:val="24"/>
          <w:lang w:val="en-US"/>
        </w:rPr>
        <w:t xml:space="preserve"> (</w:t>
      </w:r>
      <w:r w:rsidR="00FF38BF" w:rsidRPr="0052243D">
        <w:rPr>
          <w:color w:val="000000" w:themeColor="text1"/>
          <w:sz w:val="24"/>
          <w:lang w:val="en-US"/>
        </w:rPr>
        <w:t>-0.153</w:t>
      </w:r>
      <w:r w:rsidR="00A60025" w:rsidRPr="0052243D">
        <w:rPr>
          <w:color w:val="000000" w:themeColor="text1"/>
          <w:sz w:val="24"/>
          <w:lang w:val="en-US"/>
        </w:rPr>
        <w:t xml:space="preserve">) </w:t>
      </w:r>
      <w:r w:rsidR="00CF645B" w:rsidRPr="0052243D">
        <w:rPr>
          <w:color w:val="000000" w:themeColor="text1"/>
          <w:sz w:val="24"/>
          <w:lang w:val="en-US"/>
        </w:rPr>
        <w:t xml:space="preserve">is </w:t>
      </w:r>
      <w:r w:rsidR="00A60025" w:rsidRPr="0052243D">
        <w:rPr>
          <w:color w:val="000000" w:themeColor="text1"/>
          <w:sz w:val="24"/>
          <w:lang w:val="en-US"/>
        </w:rPr>
        <w:t xml:space="preserve">significant at </w:t>
      </w:r>
      <w:r w:rsidR="00123BDC" w:rsidRPr="0052243D">
        <w:rPr>
          <w:color w:val="000000" w:themeColor="text1"/>
          <w:sz w:val="24"/>
          <w:lang w:val="en-US"/>
        </w:rPr>
        <w:t xml:space="preserve">the </w:t>
      </w:r>
      <w:r w:rsidR="00A60025" w:rsidRPr="0052243D">
        <w:rPr>
          <w:color w:val="000000" w:themeColor="text1"/>
          <w:sz w:val="24"/>
          <w:lang w:val="en-US"/>
        </w:rPr>
        <w:t>5% (1%) level</w:t>
      </w:r>
      <w:r w:rsidR="00FC2287" w:rsidRPr="0052243D">
        <w:rPr>
          <w:color w:val="000000" w:themeColor="text1"/>
          <w:sz w:val="24"/>
          <w:lang w:val="en-US"/>
        </w:rPr>
        <w:t>, suggesting that</w:t>
      </w:r>
      <w:r w:rsidR="00A60025" w:rsidRPr="0052243D">
        <w:rPr>
          <w:color w:val="000000" w:themeColor="text1"/>
          <w:sz w:val="24"/>
          <w:lang w:val="en-US"/>
        </w:rPr>
        <w:t xml:space="preserve"> KIBS industr</w:t>
      </w:r>
      <w:r w:rsidR="00FC2287" w:rsidRPr="0052243D">
        <w:rPr>
          <w:color w:val="000000" w:themeColor="text1"/>
          <w:sz w:val="24"/>
          <w:lang w:val="en-US"/>
        </w:rPr>
        <w:t>y firms</w:t>
      </w:r>
      <w:r w:rsidR="00A60025" w:rsidRPr="0052243D">
        <w:rPr>
          <w:color w:val="000000" w:themeColor="text1"/>
          <w:sz w:val="24"/>
          <w:lang w:val="en-US"/>
        </w:rPr>
        <w:t xml:space="preserve"> are </w:t>
      </w:r>
      <w:r w:rsidR="006351A4" w:rsidRPr="0052243D">
        <w:rPr>
          <w:color w:val="000000" w:themeColor="text1"/>
          <w:sz w:val="24"/>
          <w:lang w:val="en-US"/>
        </w:rPr>
        <w:t xml:space="preserve">less </w:t>
      </w:r>
      <w:r w:rsidR="00FC2287" w:rsidRPr="0052243D">
        <w:rPr>
          <w:color w:val="000000" w:themeColor="text1"/>
          <w:sz w:val="24"/>
          <w:lang w:val="en-US"/>
        </w:rPr>
        <w:t>heavily</w:t>
      </w:r>
      <w:r w:rsidR="00A60025" w:rsidRPr="0052243D">
        <w:rPr>
          <w:color w:val="000000" w:themeColor="text1"/>
          <w:sz w:val="24"/>
          <w:lang w:val="en-US"/>
        </w:rPr>
        <w:t xml:space="preserve"> invest</w:t>
      </w:r>
      <w:r w:rsidR="00FC2287" w:rsidRPr="0052243D">
        <w:rPr>
          <w:color w:val="000000" w:themeColor="text1"/>
          <w:sz w:val="24"/>
          <w:lang w:val="en-US"/>
        </w:rPr>
        <w:t>ed</w:t>
      </w:r>
      <w:r w:rsidR="00A60025" w:rsidRPr="0052243D">
        <w:rPr>
          <w:color w:val="000000" w:themeColor="text1"/>
          <w:sz w:val="24"/>
          <w:lang w:val="en-US"/>
        </w:rPr>
        <w:t xml:space="preserve"> in </w:t>
      </w:r>
      <w:r w:rsidR="00E02B50" w:rsidRPr="0052243D">
        <w:rPr>
          <w:color w:val="000000" w:themeColor="text1"/>
          <w:sz w:val="24"/>
          <w:lang w:val="en-US"/>
        </w:rPr>
        <w:t>IA</w:t>
      </w:r>
      <w:r w:rsidR="00A60025" w:rsidRPr="0052243D">
        <w:rPr>
          <w:color w:val="000000" w:themeColor="text1"/>
          <w:sz w:val="24"/>
          <w:lang w:val="en-US"/>
        </w:rPr>
        <w:t xml:space="preserve"> than</w:t>
      </w:r>
      <w:r w:rsidR="00FC2287" w:rsidRPr="0052243D">
        <w:rPr>
          <w:color w:val="000000" w:themeColor="text1"/>
          <w:sz w:val="24"/>
          <w:lang w:val="en-US"/>
        </w:rPr>
        <w:t xml:space="preserve"> are</w:t>
      </w:r>
      <w:r w:rsidR="00A60025" w:rsidRPr="0052243D">
        <w:rPr>
          <w:color w:val="000000" w:themeColor="text1"/>
          <w:sz w:val="24"/>
          <w:lang w:val="en-US"/>
        </w:rPr>
        <w:t xml:space="preserve"> TI </w:t>
      </w:r>
      <w:r w:rsidR="00FC2287" w:rsidRPr="0052243D">
        <w:rPr>
          <w:color w:val="000000" w:themeColor="text1"/>
          <w:sz w:val="24"/>
          <w:lang w:val="en-US"/>
        </w:rPr>
        <w:t>firms</w:t>
      </w:r>
      <w:r w:rsidR="00A60025" w:rsidRPr="0052243D">
        <w:rPr>
          <w:color w:val="000000" w:themeColor="text1"/>
          <w:sz w:val="24"/>
          <w:lang w:val="en-US"/>
        </w:rPr>
        <w:t>.</w:t>
      </w:r>
      <w:r w:rsidR="00952ABA" w:rsidRPr="0052243D">
        <w:rPr>
          <w:color w:val="000000" w:themeColor="text1"/>
          <w:sz w:val="24"/>
          <w:lang w:val="en-US"/>
        </w:rPr>
        <w:t xml:space="preserve"> Finally, t</w:t>
      </w:r>
      <w:r w:rsidR="00A60025" w:rsidRPr="0052243D">
        <w:rPr>
          <w:color w:val="000000" w:themeColor="text1"/>
          <w:sz w:val="24"/>
          <w:lang w:val="en-US"/>
        </w:rPr>
        <w:t>o test for potential</w:t>
      </w:r>
      <w:r w:rsidR="00A60025" w:rsidRPr="00EA4B66">
        <w:rPr>
          <w:color w:val="000000" w:themeColor="text1"/>
          <w:sz w:val="24"/>
          <w:lang w:val="en-US"/>
        </w:rPr>
        <w:t xml:space="preserve"> multicollinearity </w:t>
      </w:r>
      <w:r w:rsidR="00FC2287" w:rsidRPr="00EA4B66">
        <w:rPr>
          <w:color w:val="000000" w:themeColor="text1"/>
          <w:sz w:val="24"/>
          <w:lang w:val="en-US"/>
        </w:rPr>
        <w:t xml:space="preserve">issues, </w:t>
      </w:r>
      <w:r w:rsidR="00952ABA">
        <w:rPr>
          <w:color w:val="000000" w:themeColor="text1"/>
          <w:sz w:val="24"/>
          <w:lang w:val="en-US"/>
        </w:rPr>
        <w:t xml:space="preserve">a </w:t>
      </w:r>
      <w:r w:rsidR="00FC2287" w:rsidRPr="00EA4B66">
        <w:rPr>
          <w:color w:val="000000" w:themeColor="text1"/>
          <w:sz w:val="24"/>
          <w:lang w:val="en-US"/>
        </w:rPr>
        <w:t>V</w:t>
      </w:r>
      <w:r w:rsidR="00A60025" w:rsidRPr="00EA4B66">
        <w:rPr>
          <w:color w:val="000000" w:themeColor="text1"/>
          <w:sz w:val="24"/>
          <w:lang w:val="en-US"/>
        </w:rPr>
        <w:t xml:space="preserve">ariance </w:t>
      </w:r>
      <w:r w:rsidR="00FC2287" w:rsidRPr="00EA4B66">
        <w:rPr>
          <w:color w:val="000000" w:themeColor="text1"/>
          <w:sz w:val="24"/>
          <w:lang w:val="en-US"/>
        </w:rPr>
        <w:t>I</w:t>
      </w:r>
      <w:r w:rsidR="00A60025" w:rsidRPr="00EA4B66">
        <w:rPr>
          <w:color w:val="000000" w:themeColor="text1"/>
          <w:sz w:val="24"/>
          <w:lang w:val="en-US"/>
        </w:rPr>
        <w:t xml:space="preserve">nflation </w:t>
      </w:r>
      <w:r w:rsidR="00FC2287" w:rsidRPr="00EA4B66">
        <w:rPr>
          <w:color w:val="000000" w:themeColor="text1"/>
          <w:sz w:val="24"/>
          <w:lang w:val="en-US"/>
        </w:rPr>
        <w:t>F</w:t>
      </w:r>
      <w:r w:rsidR="00A60025" w:rsidRPr="00EA4B66">
        <w:rPr>
          <w:color w:val="000000" w:themeColor="text1"/>
          <w:sz w:val="24"/>
          <w:lang w:val="en-US"/>
        </w:rPr>
        <w:t>actors</w:t>
      </w:r>
      <w:r w:rsidR="00952ABA">
        <w:rPr>
          <w:color w:val="000000" w:themeColor="text1"/>
          <w:sz w:val="24"/>
          <w:lang w:val="en-US"/>
        </w:rPr>
        <w:t>, though not reported, was computed</w:t>
      </w:r>
      <w:r w:rsidR="00A60025" w:rsidRPr="00EA4B66">
        <w:rPr>
          <w:color w:val="000000" w:themeColor="text1"/>
          <w:sz w:val="24"/>
          <w:lang w:val="en-US"/>
        </w:rPr>
        <w:t xml:space="preserve"> </w:t>
      </w:r>
      <w:r w:rsidR="00FC2287" w:rsidRPr="00EA4B66">
        <w:rPr>
          <w:color w:val="000000" w:themeColor="text1"/>
          <w:sz w:val="24"/>
          <w:lang w:val="en-US"/>
        </w:rPr>
        <w:t>for all of the variables,</w:t>
      </w:r>
      <w:r w:rsidR="00A60025" w:rsidRPr="00EA4B66">
        <w:rPr>
          <w:color w:val="000000" w:themeColor="text1"/>
          <w:sz w:val="24"/>
          <w:lang w:val="en-US"/>
        </w:rPr>
        <w:t xml:space="preserve"> </w:t>
      </w:r>
      <w:r w:rsidR="00952ABA">
        <w:rPr>
          <w:color w:val="000000" w:themeColor="text1"/>
          <w:sz w:val="24"/>
          <w:lang w:val="en-US"/>
        </w:rPr>
        <w:t>however</w:t>
      </w:r>
      <w:r w:rsidR="00A60025" w:rsidRPr="00EA4B66">
        <w:rPr>
          <w:color w:val="000000" w:themeColor="text1"/>
          <w:sz w:val="24"/>
          <w:lang w:val="en-US"/>
        </w:rPr>
        <w:t xml:space="preserve"> find</w:t>
      </w:r>
      <w:r w:rsidR="00952ABA">
        <w:rPr>
          <w:color w:val="000000" w:themeColor="text1"/>
          <w:sz w:val="24"/>
          <w:lang w:val="en-US"/>
        </w:rPr>
        <w:t>ing</w:t>
      </w:r>
      <w:r w:rsidR="00A60025" w:rsidRPr="00EA4B66">
        <w:rPr>
          <w:color w:val="000000" w:themeColor="text1"/>
          <w:sz w:val="24"/>
          <w:lang w:val="en-US"/>
        </w:rPr>
        <w:t xml:space="preserve"> that the statistics are </w:t>
      </w:r>
      <w:r w:rsidR="00FC2287" w:rsidRPr="00EA4B66">
        <w:rPr>
          <w:color w:val="000000" w:themeColor="text1"/>
          <w:sz w:val="24"/>
          <w:lang w:val="en-US"/>
        </w:rPr>
        <w:t>well</w:t>
      </w:r>
      <w:r w:rsidR="00A60025" w:rsidRPr="00EA4B66">
        <w:rPr>
          <w:color w:val="000000" w:themeColor="text1"/>
          <w:sz w:val="24"/>
          <w:lang w:val="en-US"/>
        </w:rPr>
        <w:t xml:space="preserve"> below the threshold of 2 </w:t>
      </w:r>
      <w:r w:rsidR="00FC2287" w:rsidRPr="00EA4B66">
        <w:rPr>
          <w:color w:val="000000" w:themeColor="text1"/>
          <w:sz w:val="24"/>
          <w:lang w:val="en-US"/>
        </w:rPr>
        <w:t>in each case.</w:t>
      </w:r>
      <w:r w:rsidR="00A60025" w:rsidRPr="00EA4B66">
        <w:rPr>
          <w:color w:val="000000" w:themeColor="text1"/>
          <w:sz w:val="24"/>
          <w:lang w:val="en-US"/>
        </w:rPr>
        <w:t xml:space="preserve"> </w:t>
      </w:r>
    </w:p>
    <w:p w14:paraId="3A7077C7" w14:textId="77777777" w:rsidR="00A60025" w:rsidRPr="00EA4B66" w:rsidRDefault="00A60025" w:rsidP="000976E6">
      <w:pPr>
        <w:spacing w:after="0" w:line="240" w:lineRule="auto"/>
        <w:ind w:firstLine="284"/>
        <w:jc w:val="both"/>
        <w:rPr>
          <w:color w:val="000000" w:themeColor="text1"/>
          <w:sz w:val="24"/>
          <w:lang w:val="en-US"/>
        </w:rPr>
      </w:pPr>
    </w:p>
    <w:p w14:paraId="07AFD381" w14:textId="6E68A8DB" w:rsidR="00A60025" w:rsidRPr="00EA4B66" w:rsidRDefault="00A60025" w:rsidP="00D12F28">
      <w:pPr>
        <w:spacing w:after="0" w:line="240" w:lineRule="auto"/>
        <w:jc w:val="center"/>
        <w:rPr>
          <w:b/>
          <w:color w:val="000000" w:themeColor="text1"/>
          <w:sz w:val="24"/>
          <w:szCs w:val="24"/>
          <w:lang w:val="en-US"/>
        </w:rPr>
      </w:pPr>
      <w:r w:rsidRPr="00EA4B66">
        <w:rPr>
          <w:b/>
          <w:color w:val="000000" w:themeColor="text1"/>
          <w:sz w:val="24"/>
          <w:szCs w:val="24"/>
          <w:lang w:val="en-US"/>
        </w:rPr>
        <w:t xml:space="preserve">[Insert Table </w:t>
      </w:r>
      <w:r w:rsidR="00F55ED7">
        <w:rPr>
          <w:b/>
          <w:color w:val="000000" w:themeColor="text1"/>
          <w:sz w:val="24"/>
          <w:szCs w:val="24"/>
          <w:lang w:val="en-US"/>
        </w:rPr>
        <w:t>VII</w:t>
      </w:r>
      <w:r w:rsidR="00EA6CBC" w:rsidRPr="00EA4B66">
        <w:rPr>
          <w:b/>
          <w:color w:val="000000" w:themeColor="text1"/>
          <w:sz w:val="24"/>
          <w:szCs w:val="24"/>
          <w:lang w:val="en-US"/>
        </w:rPr>
        <w:t xml:space="preserve"> </w:t>
      </w:r>
      <w:r w:rsidRPr="00EA4B66">
        <w:rPr>
          <w:b/>
          <w:color w:val="000000" w:themeColor="text1"/>
          <w:sz w:val="24"/>
          <w:szCs w:val="24"/>
          <w:lang w:val="en-US"/>
        </w:rPr>
        <w:t>here]</w:t>
      </w:r>
    </w:p>
    <w:p w14:paraId="7F51B6E7" w14:textId="77777777" w:rsidR="00FC2287" w:rsidRPr="00EA4B66" w:rsidRDefault="00FC2287" w:rsidP="00D12F28">
      <w:pPr>
        <w:spacing w:after="0" w:line="240" w:lineRule="auto"/>
        <w:jc w:val="center"/>
        <w:rPr>
          <w:b/>
          <w:color w:val="000000" w:themeColor="text1"/>
          <w:sz w:val="24"/>
          <w:szCs w:val="24"/>
          <w:lang w:val="en-US"/>
        </w:rPr>
      </w:pPr>
    </w:p>
    <w:p w14:paraId="7CE2C136" w14:textId="77777777" w:rsidR="00A60025" w:rsidRPr="00EA4B66" w:rsidRDefault="00A60025" w:rsidP="00C71A54">
      <w:pPr>
        <w:spacing w:after="0" w:line="240" w:lineRule="auto"/>
        <w:jc w:val="both"/>
        <w:rPr>
          <w:b/>
          <w:i/>
          <w:color w:val="000000" w:themeColor="text1"/>
          <w:sz w:val="24"/>
          <w:szCs w:val="24"/>
          <w:lang w:val="en-US"/>
        </w:rPr>
      </w:pPr>
      <w:r w:rsidRPr="00EA4B66">
        <w:rPr>
          <w:b/>
          <w:i/>
          <w:color w:val="000000" w:themeColor="text1"/>
          <w:sz w:val="24"/>
          <w:szCs w:val="24"/>
          <w:lang w:val="en-US"/>
        </w:rPr>
        <w:t>5.3 Regression analysis</w:t>
      </w:r>
    </w:p>
    <w:p w14:paraId="099524BA" w14:textId="32B29DB3" w:rsidR="00A60025" w:rsidRPr="00EA4B66" w:rsidRDefault="00C71A54" w:rsidP="00C71A54">
      <w:pPr>
        <w:spacing w:after="0" w:line="240" w:lineRule="auto"/>
        <w:jc w:val="both"/>
        <w:rPr>
          <w:color w:val="000000" w:themeColor="text1"/>
          <w:sz w:val="24"/>
          <w:lang w:val="en-US"/>
        </w:rPr>
      </w:pPr>
      <w:r w:rsidRPr="00EA4B66">
        <w:rPr>
          <w:color w:val="000000" w:themeColor="text1"/>
          <w:sz w:val="24"/>
          <w:lang w:val="en-US"/>
        </w:rPr>
        <w:t xml:space="preserve">   </w:t>
      </w:r>
      <w:r w:rsidR="00A60025" w:rsidRPr="00EA4B66">
        <w:rPr>
          <w:color w:val="000000" w:themeColor="text1"/>
          <w:sz w:val="24"/>
          <w:lang w:val="en-US"/>
        </w:rPr>
        <w:t xml:space="preserve">Table </w:t>
      </w:r>
      <w:r w:rsidR="00F55ED7">
        <w:rPr>
          <w:color w:val="000000" w:themeColor="text1"/>
          <w:sz w:val="24"/>
          <w:lang w:val="en-US"/>
        </w:rPr>
        <w:t>VIII</w:t>
      </w:r>
      <w:r w:rsidR="00A60025" w:rsidRPr="00EA4B66">
        <w:rPr>
          <w:color w:val="000000" w:themeColor="text1"/>
          <w:sz w:val="24"/>
          <w:lang w:val="en-US"/>
        </w:rPr>
        <w:t xml:space="preserve"> presents </w:t>
      </w:r>
      <w:r w:rsidR="00F1341D" w:rsidRPr="00EA4B66">
        <w:rPr>
          <w:color w:val="000000" w:themeColor="text1"/>
          <w:sz w:val="24"/>
          <w:lang w:val="en-US"/>
        </w:rPr>
        <w:t xml:space="preserve">the </w:t>
      </w:r>
      <w:r w:rsidR="00A60025" w:rsidRPr="00EA4B66">
        <w:rPr>
          <w:color w:val="000000" w:themeColor="text1"/>
          <w:sz w:val="24"/>
          <w:lang w:val="en-US"/>
        </w:rPr>
        <w:t>results of a pool</w:t>
      </w:r>
      <w:r w:rsidR="00D12F28" w:rsidRPr="00EA4B66">
        <w:rPr>
          <w:color w:val="000000" w:themeColor="text1"/>
          <w:sz w:val="24"/>
          <w:lang w:val="en-US"/>
        </w:rPr>
        <w:t xml:space="preserve">ed linear regression model </w:t>
      </w:r>
      <w:r w:rsidR="00F1341D" w:rsidRPr="00EA4B66">
        <w:rPr>
          <w:color w:val="000000" w:themeColor="text1"/>
          <w:sz w:val="24"/>
          <w:lang w:val="en-US"/>
        </w:rPr>
        <w:t>to examine</w:t>
      </w:r>
      <w:r w:rsidR="00A60025" w:rsidRPr="00EA4B66">
        <w:rPr>
          <w:color w:val="000000" w:themeColor="text1"/>
          <w:sz w:val="24"/>
          <w:lang w:val="en-US"/>
        </w:rPr>
        <w:t xml:space="preserve"> the relationship between the </w:t>
      </w:r>
      <w:r w:rsidR="00C204BE">
        <w:rPr>
          <w:color w:val="000000" w:themeColor="text1"/>
          <w:sz w:val="24"/>
          <w:lang w:val="en-US"/>
        </w:rPr>
        <w:t>MTB</w:t>
      </w:r>
      <w:r w:rsidR="00A60025" w:rsidRPr="00EA4B66">
        <w:rPr>
          <w:color w:val="000000" w:themeColor="text1"/>
          <w:sz w:val="24"/>
          <w:lang w:val="en-US"/>
        </w:rPr>
        <w:t xml:space="preserve"> ratio and </w:t>
      </w:r>
      <w:r w:rsidR="00F1341D" w:rsidRPr="00EA4B66">
        <w:rPr>
          <w:color w:val="000000" w:themeColor="text1"/>
          <w:sz w:val="24"/>
          <w:lang w:val="en-US"/>
        </w:rPr>
        <w:t xml:space="preserve">those </w:t>
      </w:r>
      <w:r w:rsidR="00A60025" w:rsidRPr="00EA4B66">
        <w:rPr>
          <w:color w:val="000000" w:themeColor="text1"/>
          <w:sz w:val="24"/>
          <w:lang w:val="en-US"/>
        </w:rPr>
        <w:t xml:space="preserve">explanatory variables </w:t>
      </w:r>
      <w:r w:rsidR="00F1341D" w:rsidRPr="00EA4B66">
        <w:rPr>
          <w:color w:val="000000" w:themeColor="text1"/>
          <w:sz w:val="24"/>
          <w:lang w:val="en-US"/>
        </w:rPr>
        <w:t xml:space="preserve">that should exert an impact upon </w:t>
      </w:r>
      <w:r w:rsidR="00123BDC">
        <w:rPr>
          <w:color w:val="000000" w:themeColor="text1"/>
          <w:sz w:val="24"/>
          <w:lang w:val="en-US"/>
        </w:rPr>
        <w:t xml:space="preserve">it. </w:t>
      </w:r>
      <w:r w:rsidR="006F2EEA" w:rsidRPr="00EA4B66">
        <w:rPr>
          <w:color w:val="000000" w:themeColor="text1"/>
          <w:sz w:val="24"/>
          <w:szCs w:val="24"/>
          <w:lang w:val="en-US"/>
        </w:rPr>
        <w:t xml:space="preserve">The model has an R-squared statistic of </w:t>
      </w:r>
      <w:r w:rsidR="004D160D" w:rsidRPr="00EA4B66">
        <w:rPr>
          <w:color w:val="000000" w:themeColor="text1"/>
          <w:sz w:val="24"/>
          <w:szCs w:val="24"/>
          <w:lang w:val="en-US"/>
        </w:rPr>
        <w:t>15.54</w:t>
      </w:r>
      <w:r w:rsidR="006F2EEA" w:rsidRPr="00EA4B66">
        <w:rPr>
          <w:color w:val="000000" w:themeColor="text1"/>
          <w:sz w:val="24"/>
          <w:szCs w:val="24"/>
          <w:lang w:val="en-US"/>
        </w:rPr>
        <w:t xml:space="preserve">% and an Adjusted R-squared statistic of </w:t>
      </w:r>
      <w:r w:rsidR="004D160D" w:rsidRPr="00EA4B66">
        <w:rPr>
          <w:color w:val="000000" w:themeColor="text1"/>
          <w:sz w:val="24"/>
          <w:szCs w:val="24"/>
          <w:lang w:val="en-US"/>
        </w:rPr>
        <w:t>13.94</w:t>
      </w:r>
      <w:r w:rsidR="006F2EEA" w:rsidRPr="00EA4B66">
        <w:rPr>
          <w:color w:val="000000" w:themeColor="text1"/>
          <w:sz w:val="24"/>
          <w:szCs w:val="24"/>
          <w:lang w:val="en-US"/>
        </w:rPr>
        <w:t>%, respectively (Prob&gt;chi-square = 0.000</w:t>
      </w:r>
      <w:r w:rsidR="004D160D" w:rsidRPr="00EA4B66">
        <w:rPr>
          <w:color w:val="000000" w:themeColor="text1"/>
          <w:sz w:val="24"/>
          <w:szCs w:val="24"/>
          <w:lang w:val="en-US"/>
        </w:rPr>
        <w:t>; F(13, 686) = 9.71</w:t>
      </w:r>
      <w:r w:rsidR="006F2EEA" w:rsidRPr="00EA4B66">
        <w:rPr>
          <w:color w:val="000000" w:themeColor="text1"/>
          <w:sz w:val="24"/>
          <w:szCs w:val="24"/>
          <w:lang w:val="en-US"/>
        </w:rPr>
        <w:t>).</w:t>
      </w:r>
      <w:r w:rsidR="00184C93" w:rsidRPr="00EA4B66">
        <w:rPr>
          <w:color w:val="000000" w:themeColor="text1"/>
          <w:sz w:val="24"/>
          <w:szCs w:val="24"/>
          <w:lang w:val="en-US"/>
        </w:rPr>
        <w:t xml:space="preserve"> The model controls for yea</w:t>
      </w:r>
      <w:r w:rsidR="00AF3613" w:rsidRPr="00EA4B66">
        <w:rPr>
          <w:color w:val="000000" w:themeColor="text1"/>
          <w:sz w:val="24"/>
          <w:szCs w:val="24"/>
          <w:lang w:val="en-US"/>
        </w:rPr>
        <w:t>rs.</w:t>
      </w:r>
    </w:p>
    <w:p w14:paraId="39AEB7C1" w14:textId="77777777" w:rsidR="00F1341D" w:rsidRPr="00EA4B66" w:rsidRDefault="00F1341D" w:rsidP="00D12F28">
      <w:pPr>
        <w:spacing w:after="0" w:line="240" w:lineRule="auto"/>
        <w:jc w:val="both"/>
        <w:rPr>
          <w:color w:val="000000" w:themeColor="text1"/>
          <w:sz w:val="24"/>
          <w:lang w:val="en-US"/>
        </w:rPr>
      </w:pPr>
    </w:p>
    <w:p w14:paraId="7ECC4C30" w14:textId="387811FF" w:rsidR="00F1341D" w:rsidRPr="00EA4B66" w:rsidRDefault="00A60025" w:rsidP="00D12F28">
      <w:pPr>
        <w:spacing w:after="0" w:line="240" w:lineRule="auto"/>
        <w:jc w:val="center"/>
        <w:rPr>
          <w:b/>
          <w:color w:val="000000" w:themeColor="text1"/>
          <w:sz w:val="24"/>
          <w:lang w:val="en-US"/>
        </w:rPr>
      </w:pPr>
      <w:r w:rsidRPr="00EA4B66">
        <w:rPr>
          <w:b/>
          <w:color w:val="000000" w:themeColor="text1"/>
          <w:sz w:val="24"/>
          <w:lang w:val="en-US"/>
        </w:rPr>
        <w:t xml:space="preserve">[Insert Table </w:t>
      </w:r>
      <w:r w:rsidR="00F55ED7">
        <w:rPr>
          <w:b/>
          <w:color w:val="000000" w:themeColor="text1"/>
          <w:sz w:val="24"/>
          <w:lang w:val="en-US"/>
        </w:rPr>
        <w:t>VIII</w:t>
      </w:r>
      <w:r w:rsidRPr="00EA4B66">
        <w:rPr>
          <w:b/>
          <w:color w:val="000000" w:themeColor="text1"/>
          <w:sz w:val="24"/>
          <w:lang w:val="en-US"/>
        </w:rPr>
        <w:t xml:space="preserve"> here]</w:t>
      </w:r>
    </w:p>
    <w:p w14:paraId="7E93CEE9" w14:textId="198A9ADC" w:rsidR="00A60025" w:rsidRPr="00EA4B66" w:rsidRDefault="00A60025" w:rsidP="000976E6">
      <w:pPr>
        <w:spacing w:after="0" w:line="240" w:lineRule="auto"/>
        <w:ind w:firstLine="284"/>
        <w:jc w:val="both"/>
        <w:rPr>
          <w:color w:val="000000" w:themeColor="text1"/>
          <w:sz w:val="24"/>
          <w:szCs w:val="24"/>
          <w:lang w:val="en-US"/>
        </w:rPr>
      </w:pPr>
      <w:r w:rsidRPr="00EA4B66">
        <w:rPr>
          <w:color w:val="000000" w:themeColor="text1"/>
          <w:sz w:val="24"/>
          <w:szCs w:val="24"/>
          <w:lang w:val="en-US"/>
        </w:rPr>
        <w:t xml:space="preserve">   </w:t>
      </w:r>
    </w:p>
    <w:p w14:paraId="0775BC0E" w14:textId="099E0DCD" w:rsidR="009E2B1E" w:rsidRPr="00EA4B66" w:rsidRDefault="004A0C1D" w:rsidP="00123295">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A60025" w:rsidRPr="00EA4B66">
        <w:rPr>
          <w:color w:val="000000" w:themeColor="text1"/>
          <w:sz w:val="24"/>
          <w:szCs w:val="24"/>
          <w:lang w:val="en-US"/>
        </w:rPr>
        <w:t xml:space="preserve">The coefficient </w:t>
      </w:r>
      <w:r w:rsidR="00963572">
        <w:rPr>
          <w:color w:val="000000" w:themeColor="text1"/>
          <w:sz w:val="24"/>
          <w:szCs w:val="24"/>
          <w:lang w:val="en-US"/>
        </w:rPr>
        <w:t xml:space="preserve">of </w:t>
      </w:r>
      <w:r w:rsidR="00A60025" w:rsidRPr="00EA4B66">
        <w:rPr>
          <w:i/>
          <w:color w:val="000000" w:themeColor="text1"/>
          <w:sz w:val="24"/>
          <w:szCs w:val="24"/>
          <w:lang w:val="en-US"/>
        </w:rPr>
        <w:t>TINT</w:t>
      </w:r>
      <w:r w:rsidR="00A60025" w:rsidRPr="00EA4B66">
        <w:rPr>
          <w:color w:val="000000" w:themeColor="text1"/>
          <w:sz w:val="24"/>
          <w:szCs w:val="24"/>
          <w:lang w:val="en-US"/>
        </w:rPr>
        <w:t xml:space="preserve"> is</w:t>
      </w:r>
      <w:r w:rsidR="00440E22" w:rsidRPr="00EA4B66">
        <w:rPr>
          <w:color w:val="000000" w:themeColor="text1"/>
          <w:sz w:val="24"/>
          <w:szCs w:val="24"/>
          <w:lang w:val="en-US"/>
        </w:rPr>
        <w:t>, as expected,</w:t>
      </w:r>
      <w:r w:rsidR="00A60025" w:rsidRPr="00EA4B66">
        <w:rPr>
          <w:color w:val="000000" w:themeColor="text1"/>
          <w:sz w:val="24"/>
          <w:szCs w:val="24"/>
          <w:lang w:val="en-US"/>
        </w:rPr>
        <w:t xml:space="preserve"> positive and </w:t>
      </w:r>
      <w:r w:rsidR="00440E22" w:rsidRPr="00EA4B66">
        <w:rPr>
          <w:color w:val="000000" w:themeColor="text1"/>
          <w:sz w:val="24"/>
          <w:szCs w:val="24"/>
          <w:lang w:val="en-US"/>
        </w:rPr>
        <w:t xml:space="preserve">significant </w:t>
      </w:r>
      <w:r w:rsidR="00A60025" w:rsidRPr="00EA4B66">
        <w:rPr>
          <w:color w:val="000000" w:themeColor="text1"/>
          <w:sz w:val="24"/>
          <w:szCs w:val="24"/>
          <w:lang w:val="en-US"/>
        </w:rPr>
        <w:t>at</w:t>
      </w:r>
      <w:r w:rsidR="001E4A58" w:rsidRPr="00EA4B66">
        <w:rPr>
          <w:color w:val="000000" w:themeColor="text1"/>
          <w:sz w:val="24"/>
          <w:szCs w:val="24"/>
          <w:lang w:val="en-US"/>
        </w:rPr>
        <w:t xml:space="preserve"> the</w:t>
      </w:r>
      <w:r w:rsidR="00A60025" w:rsidRPr="00EA4B66">
        <w:rPr>
          <w:color w:val="000000" w:themeColor="text1"/>
          <w:sz w:val="24"/>
          <w:szCs w:val="24"/>
          <w:lang w:val="en-US"/>
        </w:rPr>
        <w:t xml:space="preserve"> 1% level. This finding is </w:t>
      </w:r>
      <w:r w:rsidR="00407B30" w:rsidRPr="00EA4B66">
        <w:rPr>
          <w:color w:val="000000" w:themeColor="text1"/>
          <w:sz w:val="24"/>
          <w:szCs w:val="24"/>
          <w:lang w:val="en-US"/>
        </w:rPr>
        <w:t xml:space="preserve">consistent with </w:t>
      </w:r>
      <w:r w:rsidR="007A4630" w:rsidRPr="00EA4B66">
        <w:rPr>
          <w:color w:val="000000" w:themeColor="text1"/>
          <w:sz w:val="24"/>
          <w:szCs w:val="24"/>
          <w:lang w:val="en-US"/>
        </w:rPr>
        <w:t xml:space="preserve">Villalonga (2004), and </w:t>
      </w:r>
      <w:r w:rsidRPr="00EA4B66">
        <w:rPr>
          <w:color w:val="000000" w:themeColor="text1"/>
          <w:sz w:val="24"/>
          <w:szCs w:val="24"/>
          <w:lang w:val="en-US"/>
        </w:rPr>
        <w:t>in</w:t>
      </w:r>
      <w:r w:rsidR="00A60025" w:rsidRPr="00EA4B66">
        <w:rPr>
          <w:color w:val="000000" w:themeColor="text1"/>
          <w:sz w:val="24"/>
          <w:szCs w:val="24"/>
          <w:lang w:val="en-US"/>
        </w:rPr>
        <w:t>consistent with Goebel (2015) who find</w:t>
      </w:r>
      <w:r w:rsidR="001E4A58" w:rsidRPr="00EA4B66">
        <w:rPr>
          <w:color w:val="000000" w:themeColor="text1"/>
          <w:sz w:val="24"/>
          <w:szCs w:val="24"/>
          <w:lang w:val="en-US"/>
        </w:rPr>
        <w:t>s</w:t>
      </w:r>
      <w:r w:rsidR="00A60025" w:rsidRPr="00EA4B66">
        <w:rPr>
          <w:color w:val="000000" w:themeColor="text1"/>
          <w:sz w:val="24"/>
          <w:szCs w:val="24"/>
          <w:lang w:val="en-US"/>
        </w:rPr>
        <w:t xml:space="preserve"> </w:t>
      </w:r>
      <w:r w:rsidR="001E4A58" w:rsidRPr="00EA4B66">
        <w:rPr>
          <w:color w:val="000000" w:themeColor="text1"/>
          <w:sz w:val="24"/>
          <w:szCs w:val="24"/>
          <w:lang w:val="en-US"/>
        </w:rPr>
        <w:t>no such</w:t>
      </w:r>
      <w:r w:rsidR="00A60025" w:rsidRPr="00EA4B66">
        <w:rPr>
          <w:color w:val="000000" w:themeColor="text1"/>
          <w:sz w:val="24"/>
          <w:szCs w:val="24"/>
          <w:lang w:val="en-US"/>
        </w:rPr>
        <w:t xml:space="preserve"> association between this variable and IC.</w:t>
      </w:r>
      <w:r w:rsidR="0008304F" w:rsidRPr="00EA4B66">
        <w:rPr>
          <w:color w:val="000000" w:themeColor="text1"/>
          <w:sz w:val="24"/>
          <w:szCs w:val="24"/>
          <w:lang w:val="en-US"/>
        </w:rPr>
        <w:t xml:space="preserve"> So,</w:t>
      </w:r>
      <w:r w:rsidR="00A60025" w:rsidRPr="00EA4B66">
        <w:rPr>
          <w:color w:val="000000" w:themeColor="text1"/>
          <w:sz w:val="24"/>
          <w:szCs w:val="24"/>
          <w:lang w:val="en-US"/>
        </w:rPr>
        <w:t xml:space="preserve"> </w:t>
      </w:r>
      <w:r w:rsidR="00123295" w:rsidRPr="00EA4B66">
        <w:rPr>
          <w:color w:val="000000" w:themeColor="text1"/>
          <w:sz w:val="24"/>
          <w:szCs w:val="24"/>
          <w:lang w:val="en-US"/>
        </w:rPr>
        <w:t xml:space="preserve">consistent with </w:t>
      </w:r>
      <w:r w:rsidR="00970080" w:rsidRPr="00EA4B66">
        <w:rPr>
          <w:color w:val="000000" w:themeColor="text1"/>
          <w:sz w:val="24"/>
          <w:szCs w:val="24"/>
          <w:lang w:val="en-US"/>
        </w:rPr>
        <w:t>Stewart (1997),</w:t>
      </w:r>
      <w:r w:rsidR="00BA5AB8" w:rsidRPr="00EA4B66">
        <w:rPr>
          <w:color w:val="000000" w:themeColor="text1"/>
          <w:sz w:val="24"/>
          <w:szCs w:val="24"/>
          <w:lang w:val="en-US"/>
        </w:rPr>
        <w:t xml:space="preserve"> Brennan (2001) and </w:t>
      </w:r>
      <w:r w:rsidR="007A4E46" w:rsidRPr="00EA4B66">
        <w:rPr>
          <w:color w:val="000000" w:themeColor="text1"/>
          <w:sz w:val="24"/>
          <w:szCs w:val="24"/>
          <w:lang w:val="en-US"/>
        </w:rPr>
        <w:t xml:space="preserve">Ordóñez </w:t>
      </w:r>
      <w:r w:rsidR="00BA5AB8" w:rsidRPr="00EA4B66">
        <w:rPr>
          <w:color w:val="000000" w:themeColor="text1"/>
          <w:sz w:val="24"/>
          <w:szCs w:val="24"/>
          <w:lang w:val="en-US"/>
        </w:rPr>
        <w:t>de Pablos (2003)</w:t>
      </w:r>
      <w:r w:rsidRPr="00EA4B66">
        <w:rPr>
          <w:color w:val="000000" w:themeColor="text1"/>
          <w:sz w:val="24"/>
          <w:szCs w:val="24"/>
          <w:lang w:val="en-US"/>
        </w:rPr>
        <w:t>,</w:t>
      </w:r>
      <w:r w:rsidR="0008304F" w:rsidRPr="00EA4B66">
        <w:rPr>
          <w:color w:val="000000" w:themeColor="text1"/>
          <w:sz w:val="24"/>
          <w:szCs w:val="24"/>
          <w:lang w:val="en-US"/>
        </w:rPr>
        <w:t xml:space="preserve"> this positive relationship underlines that</w:t>
      </w:r>
      <w:r w:rsidR="00970080" w:rsidRPr="00EA4B66">
        <w:rPr>
          <w:color w:val="000000" w:themeColor="text1"/>
          <w:sz w:val="24"/>
          <w:szCs w:val="24"/>
          <w:lang w:val="en-US"/>
        </w:rPr>
        <w:t xml:space="preserve"> the </w:t>
      </w:r>
      <w:r w:rsidR="00CA081D">
        <w:rPr>
          <w:color w:val="000000" w:themeColor="text1"/>
          <w:sz w:val="24"/>
          <w:szCs w:val="24"/>
          <w:lang w:val="en-US"/>
        </w:rPr>
        <w:t>MTB</w:t>
      </w:r>
      <w:r w:rsidR="00970080" w:rsidRPr="00EA4B66">
        <w:rPr>
          <w:color w:val="000000" w:themeColor="text1"/>
          <w:sz w:val="24"/>
          <w:szCs w:val="24"/>
          <w:lang w:val="en-US"/>
        </w:rPr>
        <w:t xml:space="preserve"> ratio </w:t>
      </w:r>
      <w:r w:rsidR="0012013A" w:rsidRPr="00EA4B66">
        <w:rPr>
          <w:color w:val="000000" w:themeColor="text1"/>
          <w:sz w:val="24"/>
          <w:szCs w:val="24"/>
          <w:lang w:val="en-US"/>
        </w:rPr>
        <w:t>represent</w:t>
      </w:r>
      <w:r w:rsidR="00123295" w:rsidRPr="00EA4B66">
        <w:rPr>
          <w:color w:val="000000" w:themeColor="text1"/>
          <w:sz w:val="24"/>
          <w:szCs w:val="24"/>
          <w:lang w:val="en-US"/>
        </w:rPr>
        <w:t>s</w:t>
      </w:r>
      <w:r w:rsidR="0008304F" w:rsidRPr="00EA4B66">
        <w:rPr>
          <w:color w:val="000000" w:themeColor="text1"/>
          <w:sz w:val="24"/>
          <w:szCs w:val="24"/>
          <w:lang w:val="en-US"/>
        </w:rPr>
        <w:t xml:space="preserve"> an</w:t>
      </w:r>
      <w:r w:rsidR="00970080" w:rsidRPr="00EA4B66">
        <w:rPr>
          <w:color w:val="000000" w:themeColor="text1"/>
          <w:sz w:val="24"/>
          <w:szCs w:val="24"/>
          <w:lang w:val="en-US"/>
        </w:rPr>
        <w:t xml:space="preserve"> approximate measure of </w:t>
      </w:r>
      <w:r w:rsidR="00CA081D">
        <w:rPr>
          <w:color w:val="000000" w:themeColor="text1"/>
          <w:sz w:val="24"/>
          <w:szCs w:val="24"/>
          <w:lang w:val="en-US"/>
        </w:rPr>
        <w:t>IC</w:t>
      </w:r>
      <w:r w:rsidR="00970080" w:rsidRPr="00EA4B66">
        <w:rPr>
          <w:color w:val="000000" w:themeColor="text1"/>
          <w:sz w:val="24"/>
          <w:szCs w:val="24"/>
          <w:lang w:val="en-US"/>
        </w:rPr>
        <w:t xml:space="preserve">. </w:t>
      </w:r>
      <w:r w:rsidR="00123295" w:rsidRPr="00EA4B66">
        <w:rPr>
          <w:color w:val="000000" w:themeColor="text1"/>
          <w:sz w:val="24"/>
          <w:szCs w:val="24"/>
          <w:lang w:val="en-US"/>
        </w:rPr>
        <w:t>More specifically</w:t>
      </w:r>
      <w:r w:rsidR="005175C1" w:rsidRPr="00EA4B66">
        <w:rPr>
          <w:color w:val="000000" w:themeColor="text1"/>
          <w:sz w:val="24"/>
          <w:szCs w:val="24"/>
          <w:lang w:val="en-US"/>
        </w:rPr>
        <w:t xml:space="preserve">, </w:t>
      </w:r>
      <w:r w:rsidR="005175C1" w:rsidRPr="00EA4B66">
        <w:rPr>
          <w:rFonts w:asciiTheme="minorHAnsi" w:eastAsia="Times New Roman" w:hAnsiTheme="minorHAnsi"/>
          <w:color w:val="000000" w:themeColor="text1"/>
          <w:sz w:val="24"/>
          <w:szCs w:val="24"/>
          <w:lang w:val="en-US" w:eastAsia="it-IT"/>
        </w:rPr>
        <w:t>v</w:t>
      </w:r>
      <w:r w:rsidR="005175C1" w:rsidRPr="00EA4B66">
        <w:rPr>
          <w:color w:val="000000" w:themeColor="text1"/>
          <w:sz w:val="24"/>
          <w:szCs w:val="24"/>
          <w:lang w:val="en-US"/>
        </w:rPr>
        <w:t xml:space="preserve">alue </w:t>
      </w:r>
      <w:r w:rsidR="00123295" w:rsidRPr="00EA4B66">
        <w:rPr>
          <w:color w:val="000000" w:themeColor="text1"/>
          <w:sz w:val="24"/>
          <w:szCs w:val="24"/>
          <w:lang w:val="en-US"/>
        </w:rPr>
        <w:t xml:space="preserve">may </w:t>
      </w:r>
      <w:r w:rsidR="005175C1" w:rsidRPr="00EA4B66">
        <w:rPr>
          <w:color w:val="000000" w:themeColor="text1"/>
          <w:sz w:val="24"/>
          <w:szCs w:val="24"/>
          <w:lang w:val="en-US"/>
        </w:rPr>
        <w:t xml:space="preserve">be generated by intangibles </w:t>
      </w:r>
      <w:r w:rsidR="00123295" w:rsidRPr="00EA4B66">
        <w:rPr>
          <w:color w:val="000000" w:themeColor="text1"/>
          <w:sz w:val="24"/>
          <w:szCs w:val="24"/>
          <w:lang w:val="en-US"/>
        </w:rPr>
        <w:t xml:space="preserve">that are </w:t>
      </w:r>
      <w:r w:rsidR="005175C1" w:rsidRPr="00EA4B66">
        <w:rPr>
          <w:color w:val="000000" w:themeColor="text1"/>
          <w:sz w:val="24"/>
          <w:szCs w:val="24"/>
          <w:lang w:val="en-US"/>
        </w:rPr>
        <w:t xml:space="preserve">not always reflected in </w:t>
      </w:r>
      <w:r w:rsidR="00123295" w:rsidRPr="00EA4B66">
        <w:rPr>
          <w:color w:val="000000" w:themeColor="text1"/>
          <w:sz w:val="24"/>
          <w:szCs w:val="24"/>
          <w:lang w:val="en-US"/>
        </w:rPr>
        <w:t xml:space="preserve">the </w:t>
      </w:r>
      <w:r w:rsidR="005175C1" w:rsidRPr="00EA4B66">
        <w:rPr>
          <w:color w:val="000000" w:themeColor="text1"/>
          <w:sz w:val="24"/>
          <w:szCs w:val="24"/>
          <w:lang w:val="en-US"/>
        </w:rPr>
        <w:t>financial statements</w:t>
      </w:r>
      <w:r w:rsidR="00123295" w:rsidRPr="00EA4B66">
        <w:rPr>
          <w:color w:val="000000" w:themeColor="text1"/>
          <w:sz w:val="24"/>
          <w:szCs w:val="24"/>
          <w:lang w:val="en-US"/>
        </w:rPr>
        <w:t>,</w:t>
      </w:r>
      <w:r w:rsidR="005175C1" w:rsidRPr="00EA4B66">
        <w:rPr>
          <w:color w:val="000000" w:themeColor="text1"/>
          <w:sz w:val="24"/>
          <w:szCs w:val="24"/>
          <w:lang w:val="en-US"/>
        </w:rPr>
        <w:t xml:space="preserve"> and forward-looking companies </w:t>
      </w:r>
      <w:r w:rsidR="00123295" w:rsidRPr="00EA4B66">
        <w:rPr>
          <w:color w:val="000000" w:themeColor="text1"/>
          <w:sz w:val="24"/>
          <w:szCs w:val="24"/>
          <w:lang w:val="en-US"/>
        </w:rPr>
        <w:t>realize</w:t>
      </w:r>
      <w:r w:rsidR="005175C1" w:rsidRPr="00EA4B66">
        <w:rPr>
          <w:color w:val="000000" w:themeColor="text1"/>
          <w:sz w:val="24"/>
          <w:szCs w:val="24"/>
          <w:lang w:val="en-US"/>
        </w:rPr>
        <w:t xml:space="preserve"> that </w:t>
      </w:r>
      <w:r w:rsidR="00123295" w:rsidRPr="00EA4B66">
        <w:rPr>
          <w:color w:val="000000" w:themeColor="text1"/>
          <w:sz w:val="24"/>
          <w:szCs w:val="24"/>
          <w:lang w:val="en-US"/>
        </w:rPr>
        <w:t xml:space="preserve">such assets </w:t>
      </w:r>
      <w:r w:rsidR="005175C1" w:rsidRPr="00EA4B66">
        <w:rPr>
          <w:color w:val="000000" w:themeColor="text1"/>
          <w:sz w:val="24"/>
          <w:szCs w:val="24"/>
          <w:lang w:val="en-US"/>
        </w:rPr>
        <w:t xml:space="preserve">are an integral </w:t>
      </w:r>
      <w:r w:rsidR="00123295" w:rsidRPr="00EA4B66">
        <w:rPr>
          <w:color w:val="000000" w:themeColor="text1"/>
          <w:sz w:val="24"/>
          <w:szCs w:val="24"/>
          <w:lang w:val="en-US"/>
        </w:rPr>
        <w:t xml:space="preserve">component of </w:t>
      </w:r>
      <w:r w:rsidR="005175C1" w:rsidRPr="00EA4B66">
        <w:rPr>
          <w:color w:val="000000" w:themeColor="text1"/>
          <w:sz w:val="24"/>
          <w:szCs w:val="24"/>
          <w:lang w:val="en-US"/>
        </w:rPr>
        <w:t>the performance of their business.</w:t>
      </w:r>
      <w:r w:rsidR="00123295" w:rsidRPr="00EA4B66">
        <w:rPr>
          <w:color w:val="000000" w:themeColor="text1"/>
          <w:sz w:val="24"/>
          <w:szCs w:val="24"/>
          <w:lang w:val="en-US"/>
        </w:rPr>
        <w:t xml:space="preserve"> </w:t>
      </w:r>
      <w:r w:rsidR="00A60025" w:rsidRPr="00EA4B66">
        <w:rPr>
          <w:color w:val="000000" w:themeColor="text1"/>
          <w:sz w:val="24"/>
          <w:szCs w:val="24"/>
          <w:lang w:val="en-US"/>
        </w:rPr>
        <w:t xml:space="preserve">Thus, increasing investment in </w:t>
      </w:r>
      <w:r w:rsidR="001F338E" w:rsidRPr="00EA4B66">
        <w:rPr>
          <w:color w:val="000000" w:themeColor="text1"/>
          <w:sz w:val="24"/>
          <w:szCs w:val="24"/>
          <w:lang w:val="en-US"/>
        </w:rPr>
        <w:t xml:space="preserve">(recognized) </w:t>
      </w:r>
      <w:r w:rsidR="00E02B50">
        <w:rPr>
          <w:color w:val="000000" w:themeColor="text1"/>
          <w:sz w:val="24"/>
          <w:szCs w:val="24"/>
          <w:lang w:val="en-US"/>
        </w:rPr>
        <w:t>IA</w:t>
      </w:r>
      <w:r w:rsidR="00A60025" w:rsidRPr="00EA4B66">
        <w:rPr>
          <w:color w:val="000000" w:themeColor="text1"/>
          <w:sz w:val="24"/>
          <w:szCs w:val="24"/>
          <w:lang w:val="en-US"/>
        </w:rPr>
        <w:t xml:space="preserve"> tends to increase the market to book ratio</w:t>
      </w:r>
      <w:r w:rsidR="001E4A58" w:rsidRPr="00EA4B66">
        <w:rPr>
          <w:color w:val="000000" w:themeColor="text1"/>
          <w:sz w:val="24"/>
          <w:szCs w:val="24"/>
          <w:lang w:val="en-US"/>
        </w:rPr>
        <w:t xml:space="preserve"> in firms</w:t>
      </w:r>
      <w:r w:rsidR="002F3A48" w:rsidRPr="00EA4B66">
        <w:rPr>
          <w:color w:val="000000" w:themeColor="text1"/>
          <w:sz w:val="24"/>
          <w:szCs w:val="24"/>
          <w:lang w:val="en-US"/>
        </w:rPr>
        <w:t xml:space="preserve">, probably </w:t>
      </w:r>
      <w:r w:rsidR="002F3A48" w:rsidRPr="00EA4B66">
        <w:rPr>
          <w:color w:val="000000" w:themeColor="text1"/>
          <w:sz w:val="24"/>
          <w:szCs w:val="24"/>
          <w:lang w:val="en-GB"/>
        </w:rPr>
        <w:t xml:space="preserve">because </w:t>
      </w:r>
      <w:r w:rsidRPr="00EA4B66">
        <w:rPr>
          <w:color w:val="000000" w:themeColor="text1"/>
          <w:sz w:val="24"/>
          <w:szCs w:val="24"/>
          <w:lang w:val="en-GB"/>
        </w:rPr>
        <w:t xml:space="preserve">the </w:t>
      </w:r>
      <w:r w:rsidR="002F3A48" w:rsidRPr="00EA4B66">
        <w:rPr>
          <w:color w:val="000000" w:themeColor="text1"/>
          <w:sz w:val="24"/>
          <w:szCs w:val="24"/>
          <w:lang w:val="en-GB"/>
        </w:rPr>
        <w:t>financial market</w:t>
      </w:r>
      <w:r w:rsidRPr="00EA4B66">
        <w:rPr>
          <w:color w:val="000000" w:themeColor="text1"/>
          <w:sz w:val="24"/>
          <w:szCs w:val="24"/>
          <w:lang w:val="en-GB"/>
        </w:rPr>
        <w:t>,</w:t>
      </w:r>
      <w:r w:rsidR="002F3A48" w:rsidRPr="00EA4B66">
        <w:rPr>
          <w:color w:val="000000" w:themeColor="text1"/>
          <w:sz w:val="24"/>
          <w:szCs w:val="24"/>
          <w:lang w:val="en-GB"/>
        </w:rPr>
        <w:t xml:space="preserve"> through these investments</w:t>
      </w:r>
      <w:r w:rsidRPr="00EA4B66">
        <w:rPr>
          <w:color w:val="000000" w:themeColor="text1"/>
          <w:sz w:val="24"/>
          <w:szCs w:val="24"/>
          <w:lang w:val="en-GB"/>
        </w:rPr>
        <w:t>,</w:t>
      </w:r>
      <w:r w:rsidR="002F3A48" w:rsidRPr="00EA4B66">
        <w:rPr>
          <w:color w:val="000000" w:themeColor="text1"/>
          <w:sz w:val="24"/>
          <w:szCs w:val="24"/>
          <w:lang w:val="en-GB"/>
        </w:rPr>
        <w:t xml:space="preserve"> “read</w:t>
      </w:r>
      <w:r w:rsidRPr="00EA4B66">
        <w:rPr>
          <w:color w:val="000000" w:themeColor="text1"/>
          <w:sz w:val="24"/>
          <w:szCs w:val="24"/>
          <w:lang w:val="en-GB"/>
        </w:rPr>
        <w:t>s</w:t>
      </w:r>
      <w:r w:rsidR="002F3A48" w:rsidRPr="00EA4B66">
        <w:rPr>
          <w:color w:val="000000" w:themeColor="text1"/>
          <w:sz w:val="24"/>
          <w:szCs w:val="24"/>
          <w:lang w:val="en-GB"/>
        </w:rPr>
        <w:t xml:space="preserve">” </w:t>
      </w:r>
      <w:r w:rsidRPr="00EA4B66">
        <w:rPr>
          <w:color w:val="000000" w:themeColor="text1"/>
          <w:sz w:val="24"/>
          <w:szCs w:val="24"/>
          <w:lang w:val="en-GB"/>
        </w:rPr>
        <w:t xml:space="preserve">the signal of </w:t>
      </w:r>
      <w:r w:rsidR="00E107EA" w:rsidRPr="00EA4B66">
        <w:rPr>
          <w:color w:val="000000" w:themeColor="text1"/>
          <w:sz w:val="24"/>
          <w:szCs w:val="24"/>
          <w:lang w:val="en-GB"/>
        </w:rPr>
        <w:t xml:space="preserve">a higher </w:t>
      </w:r>
      <w:r w:rsidR="00794F8F" w:rsidRPr="00EA4B66">
        <w:rPr>
          <w:color w:val="000000" w:themeColor="text1"/>
          <w:sz w:val="24"/>
          <w:szCs w:val="24"/>
          <w:lang w:val="en-GB"/>
        </w:rPr>
        <w:t xml:space="preserve">future </w:t>
      </w:r>
      <w:r w:rsidR="00E107EA" w:rsidRPr="00EA4B66">
        <w:rPr>
          <w:color w:val="000000" w:themeColor="text1"/>
          <w:sz w:val="24"/>
          <w:szCs w:val="24"/>
          <w:lang w:val="en-GB"/>
        </w:rPr>
        <w:t xml:space="preserve">firm value. </w:t>
      </w:r>
      <w:r w:rsidR="00D763EC" w:rsidRPr="00EA4B66">
        <w:rPr>
          <w:color w:val="000000" w:themeColor="text1"/>
          <w:sz w:val="24"/>
          <w:szCs w:val="24"/>
          <w:lang w:val="en-US"/>
        </w:rPr>
        <w:t xml:space="preserve">Accordingly, </w:t>
      </w:r>
      <w:r w:rsidR="00DD3EF1" w:rsidRPr="00EA4B66">
        <w:rPr>
          <w:color w:val="000000" w:themeColor="text1"/>
          <w:sz w:val="24"/>
          <w:szCs w:val="24"/>
          <w:lang w:val="en-US"/>
        </w:rPr>
        <w:t xml:space="preserve">hypothesis H1 is </w:t>
      </w:r>
      <w:r w:rsidR="00D763EC" w:rsidRPr="00EA4B66">
        <w:rPr>
          <w:color w:val="000000" w:themeColor="text1"/>
          <w:sz w:val="24"/>
          <w:szCs w:val="24"/>
          <w:lang w:val="en-US"/>
        </w:rPr>
        <w:t>accepted.</w:t>
      </w:r>
      <w:r w:rsidR="00DD3EF1" w:rsidRPr="00EA4B66">
        <w:rPr>
          <w:color w:val="000000" w:themeColor="text1"/>
          <w:sz w:val="24"/>
          <w:szCs w:val="24"/>
          <w:lang w:val="en-US"/>
        </w:rPr>
        <w:t xml:space="preserve"> </w:t>
      </w:r>
    </w:p>
    <w:p w14:paraId="3430E4C1" w14:textId="059F74C8" w:rsidR="00827E4C" w:rsidRPr="00EA4B66" w:rsidRDefault="0095298D" w:rsidP="0095298D">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A60025" w:rsidRPr="00EA4B66">
        <w:rPr>
          <w:color w:val="000000" w:themeColor="text1"/>
          <w:sz w:val="24"/>
          <w:szCs w:val="24"/>
          <w:lang w:val="en-US"/>
        </w:rPr>
        <w:t xml:space="preserve">The coefficient </w:t>
      </w:r>
      <w:r w:rsidR="00963572">
        <w:rPr>
          <w:color w:val="000000" w:themeColor="text1"/>
          <w:sz w:val="24"/>
          <w:szCs w:val="24"/>
          <w:lang w:val="en-US"/>
        </w:rPr>
        <w:t xml:space="preserve">of </w:t>
      </w:r>
      <w:r w:rsidR="00A60025" w:rsidRPr="00EA4B66">
        <w:rPr>
          <w:i/>
          <w:color w:val="000000" w:themeColor="text1"/>
          <w:sz w:val="24"/>
          <w:szCs w:val="24"/>
          <w:lang w:val="en-US"/>
        </w:rPr>
        <w:t>SIZE</w:t>
      </w:r>
      <w:r w:rsidR="00A60025" w:rsidRPr="00EA4B66">
        <w:rPr>
          <w:color w:val="000000" w:themeColor="text1"/>
          <w:sz w:val="24"/>
          <w:szCs w:val="24"/>
          <w:lang w:val="en-US"/>
        </w:rPr>
        <w:t xml:space="preserve"> is negative</w:t>
      </w:r>
      <w:r w:rsidR="00B10F64" w:rsidRPr="00EA4B66">
        <w:rPr>
          <w:color w:val="000000" w:themeColor="text1"/>
          <w:sz w:val="24"/>
          <w:szCs w:val="24"/>
          <w:lang w:val="en-US"/>
        </w:rPr>
        <w:t xml:space="preserve"> and </w:t>
      </w:r>
      <w:r w:rsidR="00A60025" w:rsidRPr="00EA4B66">
        <w:rPr>
          <w:color w:val="000000" w:themeColor="text1"/>
          <w:sz w:val="24"/>
          <w:szCs w:val="24"/>
          <w:lang w:val="en-US"/>
        </w:rPr>
        <w:t xml:space="preserve">significant at </w:t>
      </w:r>
      <w:r w:rsidR="004A0C1D" w:rsidRPr="00EA4B66">
        <w:rPr>
          <w:color w:val="000000" w:themeColor="text1"/>
          <w:sz w:val="24"/>
          <w:szCs w:val="24"/>
          <w:lang w:val="en-US"/>
        </w:rPr>
        <w:t xml:space="preserve">the </w:t>
      </w:r>
      <w:r w:rsidR="00A60025" w:rsidRPr="00EA4B66">
        <w:rPr>
          <w:color w:val="000000" w:themeColor="text1"/>
          <w:sz w:val="24"/>
          <w:szCs w:val="24"/>
          <w:lang w:val="en-US"/>
        </w:rPr>
        <w:t>1% level. Thus, it would appear that</w:t>
      </w:r>
      <w:r w:rsidR="001E4A58" w:rsidRPr="00EA4B66">
        <w:rPr>
          <w:color w:val="000000" w:themeColor="text1"/>
          <w:sz w:val="24"/>
          <w:szCs w:val="24"/>
          <w:lang w:val="en-US"/>
        </w:rPr>
        <w:t xml:space="preserve"> the </w:t>
      </w:r>
      <w:r w:rsidR="00CA081D">
        <w:rPr>
          <w:color w:val="000000" w:themeColor="text1"/>
          <w:sz w:val="24"/>
          <w:szCs w:val="24"/>
          <w:lang w:val="en-US"/>
        </w:rPr>
        <w:t>MTB</w:t>
      </w:r>
      <w:r w:rsidR="001E4A58" w:rsidRPr="00EA4B66">
        <w:rPr>
          <w:color w:val="000000" w:themeColor="text1"/>
          <w:sz w:val="24"/>
          <w:szCs w:val="24"/>
          <w:lang w:val="en-US"/>
        </w:rPr>
        <w:t xml:space="preserve"> ratio falls as </w:t>
      </w:r>
      <w:r w:rsidR="00A60025" w:rsidRPr="00EA4B66">
        <w:rPr>
          <w:color w:val="000000" w:themeColor="text1"/>
          <w:sz w:val="24"/>
          <w:szCs w:val="24"/>
          <w:lang w:val="en-US"/>
        </w:rPr>
        <w:t xml:space="preserve">firm size </w:t>
      </w:r>
      <w:r w:rsidR="001E4A58" w:rsidRPr="00EA4B66">
        <w:rPr>
          <w:color w:val="000000" w:themeColor="text1"/>
          <w:sz w:val="24"/>
          <w:szCs w:val="24"/>
          <w:lang w:val="en-US"/>
        </w:rPr>
        <w:t>increases,</w:t>
      </w:r>
      <w:r w:rsidR="006217C9" w:rsidRPr="00EA4B66">
        <w:rPr>
          <w:color w:val="000000" w:themeColor="text1"/>
          <w:sz w:val="24"/>
          <w:szCs w:val="24"/>
          <w:lang w:val="en-US"/>
        </w:rPr>
        <w:t xml:space="preserve"> evidencing that bigger firms due to their </w:t>
      </w:r>
      <w:r w:rsidR="004A0C1D" w:rsidRPr="00EA4B66">
        <w:rPr>
          <w:color w:val="000000" w:themeColor="text1"/>
          <w:sz w:val="24"/>
          <w:szCs w:val="24"/>
          <w:lang w:val="en-US"/>
        </w:rPr>
        <w:t xml:space="preserve">lower </w:t>
      </w:r>
      <w:r w:rsidR="006217C9" w:rsidRPr="00EA4B66">
        <w:rPr>
          <w:color w:val="000000" w:themeColor="text1"/>
          <w:sz w:val="24"/>
          <w:szCs w:val="24"/>
          <w:lang w:val="en-US"/>
        </w:rPr>
        <w:t xml:space="preserve">flexibility and greater complexity face more difficulties in the development of </w:t>
      </w:r>
      <w:r w:rsidR="00CA081D">
        <w:rPr>
          <w:color w:val="000000" w:themeColor="text1"/>
          <w:sz w:val="24"/>
          <w:szCs w:val="24"/>
          <w:lang w:val="en-US"/>
        </w:rPr>
        <w:t>IC</w:t>
      </w:r>
      <w:r w:rsidR="006217C9" w:rsidRPr="00EA4B66">
        <w:rPr>
          <w:color w:val="000000" w:themeColor="text1"/>
          <w:sz w:val="24"/>
          <w:szCs w:val="24"/>
          <w:lang w:val="en-US"/>
        </w:rPr>
        <w:t xml:space="preserve"> (Goebel, 2015).</w:t>
      </w:r>
      <w:r w:rsidR="001E4A58" w:rsidRPr="00EA4B66">
        <w:rPr>
          <w:color w:val="000000" w:themeColor="text1"/>
          <w:sz w:val="24"/>
          <w:szCs w:val="24"/>
          <w:lang w:val="en-US"/>
        </w:rPr>
        <w:t xml:space="preserve"> </w:t>
      </w:r>
      <w:r w:rsidR="00BC5684" w:rsidRPr="00EA4B66">
        <w:rPr>
          <w:color w:val="000000" w:themeColor="text1"/>
          <w:sz w:val="24"/>
          <w:szCs w:val="24"/>
          <w:lang w:val="en-US"/>
        </w:rPr>
        <w:t>From an empirical point of view, t</w:t>
      </w:r>
      <w:r w:rsidR="006217C9" w:rsidRPr="00EA4B66">
        <w:rPr>
          <w:color w:val="000000" w:themeColor="text1"/>
          <w:sz w:val="24"/>
          <w:szCs w:val="24"/>
          <w:lang w:val="en-US"/>
        </w:rPr>
        <w:t xml:space="preserve">his </w:t>
      </w:r>
      <w:r w:rsidR="001E4A58" w:rsidRPr="00EA4B66">
        <w:rPr>
          <w:color w:val="000000" w:themeColor="text1"/>
          <w:sz w:val="24"/>
          <w:szCs w:val="24"/>
          <w:lang w:val="en-US"/>
        </w:rPr>
        <w:t>result</w:t>
      </w:r>
      <w:r w:rsidR="00BC5684" w:rsidRPr="00EA4B66">
        <w:rPr>
          <w:color w:val="000000" w:themeColor="text1"/>
          <w:sz w:val="24"/>
          <w:szCs w:val="24"/>
          <w:lang w:val="en-US"/>
        </w:rPr>
        <w:t xml:space="preserve"> is</w:t>
      </w:r>
      <w:r w:rsidR="001E4A58" w:rsidRPr="00EA4B66">
        <w:rPr>
          <w:color w:val="000000" w:themeColor="text1"/>
          <w:sz w:val="24"/>
          <w:szCs w:val="24"/>
          <w:lang w:val="en-US"/>
        </w:rPr>
        <w:t xml:space="preserve"> </w:t>
      </w:r>
      <w:r w:rsidR="00A60025" w:rsidRPr="00EA4B66">
        <w:rPr>
          <w:color w:val="000000" w:themeColor="text1"/>
          <w:sz w:val="24"/>
          <w:szCs w:val="24"/>
          <w:lang w:val="en-US"/>
        </w:rPr>
        <w:t xml:space="preserve">consistent </w:t>
      </w:r>
      <w:r w:rsidR="00E77056" w:rsidRPr="00EA4B66">
        <w:rPr>
          <w:color w:val="000000" w:themeColor="text1"/>
          <w:sz w:val="24"/>
          <w:szCs w:val="24"/>
          <w:lang w:val="en-US"/>
        </w:rPr>
        <w:t xml:space="preserve">with </w:t>
      </w:r>
      <w:r w:rsidR="00A60025" w:rsidRPr="00EA4B66">
        <w:rPr>
          <w:color w:val="000000" w:themeColor="text1"/>
          <w:sz w:val="24"/>
          <w:szCs w:val="24"/>
          <w:lang w:val="en-US"/>
        </w:rPr>
        <w:t>Goebel (2015)</w:t>
      </w:r>
      <w:r w:rsidR="007D03EA" w:rsidRPr="00EA4B66">
        <w:rPr>
          <w:color w:val="000000" w:themeColor="text1"/>
          <w:sz w:val="24"/>
          <w:szCs w:val="24"/>
          <w:lang w:val="en-US"/>
        </w:rPr>
        <w:t xml:space="preserve">, </w:t>
      </w:r>
      <w:r w:rsidR="00E77056" w:rsidRPr="00EA4B66">
        <w:rPr>
          <w:color w:val="000000" w:themeColor="text1"/>
          <w:sz w:val="24"/>
          <w:szCs w:val="24"/>
          <w:lang w:val="en-US"/>
        </w:rPr>
        <w:t xml:space="preserve">and not consistent with Fama and French (2001). </w:t>
      </w:r>
      <w:r w:rsidR="001D5080" w:rsidRPr="00EA4B66">
        <w:rPr>
          <w:color w:val="000000" w:themeColor="text1"/>
          <w:sz w:val="24"/>
          <w:szCs w:val="24"/>
          <w:lang w:val="en-US"/>
        </w:rPr>
        <w:t>Accordingly</w:t>
      </w:r>
      <w:r w:rsidR="00E77056" w:rsidRPr="00EA4B66">
        <w:rPr>
          <w:color w:val="000000" w:themeColor="text1"/>
          <w:sz w:val="24"/>
          <w:szCs w:val="24"/>
          <w:lang w:val="en-US"/>
        </w:rPr>
        <w:t xml:space="preserve">, </w:t>
      </w:r>
      <w:r w:rsidR="007D03EA" w:rsidRPr="00EA4B66">
        <w:rPr>
          <w:color w:val="000000" w:themeColor="text1"/>
          <w:sz w:val="24"/>
          <w:szCs w:val="24"/>
          <w:lang w:val="en-US"/>
        </w:rPr>
        <w:t>hypothesis H2</w:t>
      </w:r>
      <w:r w:rsidR="00E77056" w:rsidRPr="00EA4B66">
        <w:rPr>
          <w:color w:val="000000" w:themeColor="text1"/>
          <w:sz w:val="24"/>
          <w:szCs w:val="24"/>
          <w:lang w:val="en-US"/>
        </w:rPr>
        <w:t xml:space="preserve"> is </w:t>
      </w:r>
      <w:r w:rsidR="001D5080" w:rsidRPr="00EA4B66">
        <w:rPr>
          <w:color w:val="000000" w:themeColor="text1"/>
          <w:sz w:val="24"/>
          <w:szCs w:val="24"/>
          <w:lang w:val="en-US"/>
        </w:rPr>
        <w:t>rejected</w:t>
      </w:r>
      <w:r w:rsidR="00E77056" w:rsidRPr="00EA4B66">
        <w:rPr>
          <w:color w:val="000000" w:themeColor="text1"/>
          <w:sz w:val="24"/>
          <w:szCs w:val="24"/>
          <w:lang w:val="en-US"/>
        </w:rPr>
        <w:t>.</w:t>
      </w:r>
    </w:p>
    <w:p w14:paraId="52C48772" w14:textId="7F40CAE4" w:rsidR="00827E4C" w:rsidRPr="00EA4B66" w:rsidRDefault="0095298D" w:rsidP="0095298D">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827E4C" w:rsidRPr="00EA4B66">
        <w:rPr>
          <w:color w:val="000000" w:themeColor="text1"/>
          <w:sz w:val="24"/>
          <w:szCs w:val="24"/>
          <w:lang w:val="en-US"/>
        </w:rPr>
        <w:t xml:space="preserve">The coefficient </w:t>
      </w:r>
      <w:r w:rsidR="00963572">
        <w:rPr>
          <w:color w:val="000000" w:themeColor="text1"/>
          <w:sz w:val="24"/>
          <w:szCs w:val="24"/>
          <w:lang w:val="en-US"/>
        </w:rPr>
        <w:t xml:space="preserve">of </w:t>
      </w:r>
      <w:r w:rsidR="00827E4C" w:rsidRPr="00EA4B66">
        <w:rPr>
          <w:i/>
          <w:color w:val="000000" w:themeColor="text1"/>
          <w:sz w:val="24"/>
          <w:szCs w:val="24"/>
          <w:lang w:val="en-US"/>
        </w:rPr>
        <w:t>AGE</w:t>
      </w:r>
      <w:r w:rsidR="00827E4C" w:rsidRPr="00EA4B66">
        <w:rPr>
          <w:color w:val="000000" w:themeColor="text1"/>
          <w:sz w:val="24"/>
          <w:szCs w:val="24"/>
          <w:lang w:val="en-US"/>
        </w:rPr>
        <w:t xml:space="preserve"> is negative and significant</w:t>
      </w:r>
      <w:r w:rsidR="00440E22" w:rsidRPr="00EA4B66">
        <w:rPr>
          <w:color w:val="000000" w:themeColor="text1"/>
          <w:sz w:val="24"/>
          <w:szCs w:val="24"/>
          <w:lang w:val="en-US"/>
        </w:rPr>
        <w:t>, as expected,</w:t>
      </w:r>
      <w:r w:rsidR="00827E4C" w:rsidRPr="00EA4B66">
        <w:rPr>
          <w:color w:val="000000" w:themeColor="text1"/>
          <w:sz w:val="24"/>
          <w:szCs w:val="24"/>
          <w:lang w:val="en-US"/>
        </w:rPr>
        <w:t xml:space="preserve"> at the 1% level</w:t>
      </w:r>
      <w:r w:rsidR="00BB0D4A" w:rsidRPr="00EA4B66">
        <w:rPr>
          <w:color w:val="000000" w:themeColor="text1"/>
          <w:sz w:val="24"/>
          <w:szCs w:val="24"/>
          <w:lang w:val="en-US"/>
        </w:rPr>
        <w:t>.</w:t>
      </w:r>
      <w:r w:rsidR="006217C9" w:rsidRPr="00EA4B66">
        <w:rPr>
          <w:color w:val="000000" w:themeColor="text1"/>
          <w:sz w:val="24"/>
          <w:szCs w:val="24"/>
          <w:lang w:val="en-US"/>
        </w:rPr>
        <w:t xml:space="preserve"> So, as Loderer </w:t>
      </w:r>
      <w:r w:rsidR="006217C9" w:rsidRPr="00EA4B66">
        <w:rPr>
          <w:i/>
          <w:color w:val="000000" w:themeColor="text1"/>
          <w:sz w:val="24"/>
          <w:szCs w:val="24"/>
          <w:lang w:val="en-US"/>
        </w:rPr>
        <w:t>et al</w:t>
      </w:r>
      <w:r w:rsidR="006217C9" w:rsidRPr="00EA4B66">
        <w:rPr>
          <w:color w:val="000000" w:themeColor="text1"/>
          <w:sz w:val="24"/>
          <w:szCs w:val="24"/>
          <w:lang w:val="en-US"/>
        </w:rPr>
        <w:t xml:space="preserve">. (2016) argued, younger firms invest </w:t>
      </w:r>
      <w:r w:rsidR="00B152CF" w:rsidRPr="00EA4B66">
        <w:rPr>
          <w:color w:val="000000" w:themeColor="text1"/>
          <w:sz w:val="24"/>
          <w:szCs w:val="24"/>
          <w:lang w:val="en-US"/>
        </w:rPr>
        <w:t>more</w:t>
      </w:r>
      <w:r w:rsidR="006217C9" w:rsidRPr="00EA4B66">
        <w:rPr>
          <w:color w:val="000000" w:themeColor="text1"/>
          <w:sz w:val="24"/>
          <w:szCs w:val="24"/>
          <w:lang w:val="en-US"/>
        </w:rPr>
        <w:t xml:space="preserve"> in R&amp;D </w:t>
      </w:r>
      <w:r w:rsidR="00B152CF" w:rsidRPr="00EA4B66">
        <w:rPr>
          <w:color w:val="000000" w:themeColor="text1"/>
          <w:sz w:val="24"/>
          <w:szCs w:val="24"/>
          <w:lang w:val="en-US"/>
        </w:rPr>
        <w:t xml:space="preserve">and in radical innovation while older firms concentrate their efforts </w:t>
      </w:r>
      <w:r w:rsidR="00A34A66" w:rsidRPr="00EA4B66">
        <w:rPr>
          <w:color w:val="000000" w:themeColor="text1"/>
          <w:sz w:val="24"/>
          <w:szCs w:val="24"/>
          <w:lang w:val="en-US"/>
        </w:rPr>
        <w:t>more on</w:t>
      </w:r>
      <w:r w:rsidR="00B152CF" w:rsidRPr="00EA4B66">
        <w:rPr>
          <w:color w:val="000000" w:themeColor="text1"/>
          <w:sz w:val="24"/>
          <w:szCs w:val="24"/>
          <w:lang w:val="en-US"/>
        </w:rPr>
        <w:t xml:space="preserve"> incremental innovation and in </w:t>
      </w:r>
      <w:r w:rsidR="00A34A66" w:rsidRPr="00EA4B66">
        <w:rPr>
          <w:color w:val="000000" w:themeColor="text1"/>
          <w:sz w:val="24"/>
          <w:szCs w:val="24"/>
          <w:lang w:val="en-US"/>
        </w:rPr>
        <w:t>the</w:t>
      </w:r>
      <w:r w:rsidR="00B152CF" w:rsidRPr="00EA4B66">
        <w:rPr>
          <w:color w:val="000000" w:themeColor="text1"/>
          <w:sz w:val="24"/>
          <w:szCs w:val="24"/>
          <w:lang w:val="en-US"/>
        </w:rPr>
        <w:t xml:space="preserve"> better management of assets in place</w:t>
      </w:r>
      <w:r w:rsidR="00445106" w:rsidRPr="00EA4B66">
        <w:rPr>
          <w:color w:val="000000" w:themeColor="text1"/>
          <w:sz w:val="24"/>
          <w:szCs w:val="24"/>
          <w:lang w:val="en-US"/>
        </w:rPr>
        <w:t>.</w:t>
      </w:r>
      <w:r w:rsidR="00B152CF" w:rsidRPr="00EA4B66">
        <w:rPr>
          <w:color w:val="000000" w:themeColor="text1"/>
          <w:sz w:val="24"/>
          <w:szCs w:val="24"/>
          <w:lang w:val="en-US"/>
        </w:rPr>
        <w:t xml:space="preserve"> </w:t>
      </w:r>
      <w:r w:rsidR="00445106" w:rsidRPr="00EA4B66">
        <w:rPr>
          <w:color w:val="000000" w:themeColor="text1"/>
          <w:sz w:val="24"/>
          <w:szCs w:val="24"/>
          <w:lang w:val="en-US"/>
        </w:rPr>
        <w:t>I</w:t>
      </w:r>
      <w:r w:rsidR="00B152CF" w:rsidRPr="00EA4B66">
        <w:rPr>
          <w:color w:val="000000" w:themeColor="text1"/>
          <w:sz w:val="24"/>
          <w:szCs w:val="24"/>
          <w:lang w:val="en-US"/>
        </w:rPr>
        <w:t>n this way, MTB tends to decrease over time as a result of the recognition in the balance sheet of th</w:t>
      </w:r>
      <w:r w:rsidR="00A34A66" w:rsidRPr="00EA4B66">
        <w:rPr>
          <w:color w:val="000000" w:themeColor="text1"/>
          <w:sz w:val="24"/>
          <w:szCs w:val="24"/>
          <w:lang w:val="en-US"/>
        </w:rPr>
        <w:t>ose</w:t>
      </w:r>
      <w:r w:rsidR="00B152CF" w:rsidRPr="00EA4B66">
        <w:rPr>
          <w:color w:val="000000" w:themeColor="text1"/>
          <w:sz w:val="24"/>
          <w:szCs w:val="24"/>
          <w:lang w:val="en-US"/>
        </w:rPr>
        <w:t xml:space="preserve"> assets which are </w:t>
      </w:r>
      <w:r w:rsidR="00A34A66" w:rsidRPr="00EA4B66">
        <w:rPr>
          <w:color w:val="000000" w:themeColor="text1"/>
          <w:sz w:val="24"/>
          <w:szCs w:val="24"/>
          <w:lang w:val="en-US"/>
        </w:rPr>
        <w:t xml:space="preserve">initially </w:t>
      </w:r>
      <w:r w:rsidR="00B152CF" w:rsidRPr="00EA4B66">
        <w:rPr>
          <w:color w:val="000000" w:themeColor="text1"/>
          <w:sz w:val="24"/>
          <w:szCs w:val="24"/>
          <w:lang w:val="en-US"/>
        </w:rPr>
        <w:t xml:space="preserve">only ideas </w:t>
      </w:r>
      <w:r w:rsidR="00A34A66" w:rsidRPr="00EA4B66">
        <w:rPr>
          <w:color w:val="000000" w:themeColor="text1"/>
          <w:sz w:val="24"/>
          <w:szCs w:val="24"/>
          <w:lang w:val="en-US"/>
        </w:rPr>
        <w:t>in</w:t>
      </w:r>
      <w:r w:rsidR="00B152CF" w:rsidRPr="00EA4B66">
        <w:rPr>
          <w:color w:val="000000" w:themeColor="text1"/>
          <w:sz w:val="24"/>
          <w:szCs w:val="24"/>
          <w:lang w:val="en-US"/>
        </w:rPr>
        <w:t xml:space="preserve"> production.</w:t>
      </w:r>
      <w:r w:rsidR="00BC5684" w:rsidRPr="00EA4B66">
        <w:rPr>
          <w:color w:val="000000" w:themeColor="text1"/>
          <w:sz w:val="24"/>
          <w:szCs w:val="24"/>
          <w:lang w:val="en-US"/>
        </w:rPr>
        <w:t xml:space="preserve"> Hence, this result shed</w:t>
      </w:r>
      <w:r w:rsidR="00A34A66" w:rsidRPr="00EA4B66">
        <w:rPr>
          <w:color w:val="000000" w:themeColor="text1"/>
          <w:sz w:val="24"/>
          <w:szCs w:val="24"/>
          <w:lang w:val="en-US"/>
        </w:rPr>
        <w:t>s</w:t>
      </w:r>
      <w:r w:rsidR="00BC5684" w:rsidRPr="00EA4B66">
        <w:rPr>
          <w:color w:val="000000" w:themeColor="text1"/>
          <w:sz w:val="24"/>
          <w:szCs w:val="24"/>
          <w:lang w:val="en-US"/>
        </w:rPr>
        <w:t xml:space="preserve"> light on</w:t>
      </w:r>
      <w:r w:rsidR="00874365" w:rsidRPr="00EA4B66">
        <w:rPr>
          <w:color w:val="000000" w:themeColor="text1"/>
          <w:sz w:val="24"/>
          <w:szCs w:val="24"/>
          <w:lang w:val="en-US"/>
        </w:rPr>
        <w:t xml:space="preserve"> </w:t>
      </w:r>
      <w:r w:rsidR="00BC5684" w:rsidRPr="00EA4B66">
        <w:rPr>
          <w:color w:val="000000" w:themeColor="text1"/>
          <w:sz w:val="24"/>
          <w:szCs w:val="24"/>
          <w:lang w:val="en-US"/>
        </w:rPr>
        <w:t>the prevalence of IC investment in younger and more innovative firms compared to that in older companies</w:t>
      </w:r>
      <w:r w:rsidR="00D1012B" w:rsidRPr="00EA4B66">
        <w:rPr>
          <w:color w:val="000000" w:themeColor="text1"/>
          <w:sz w:val="24"/>
          <w:szCs w:val="24"/>
          <w:lang w:val="en-US"/>
        </w:rPr>
        <w:t>.</w:t>
      </w:r>
      <w:r w:rsidR="00A34A66" w:rsidRPr="00EA4B66">
        <w:rPr>
          <w:color w:val="000000" w:themeColor="text1"/>
          <w:sz w:val="24"/>
          <w:szCs w:val="24"/>
          <w:lang w:val="en-US"/>
        </w:rPr>
        <w:t xml:space="preserve"> </w:t>
      </w:r>
      <w:r w:rsidR="00792977" w:rsidRPr="00EA4B66">
        <w:rPr>
          <w:color w:val="000000" w:themeColor="text1"/>
          <w:sz w:val="24"/>
          <w:szCs w:val="24"/>
          <w:lang w:val="en-US"/>
        </w:rPr>
        <w:t xml:space="preserve">A different explanation of the negative relation between </w:t>
      </w:r>
      <w:r w:rsidR="00792977" w:rsidRPr="00EA4B66">
        <w:rPr>
          <w:i/>
          <w:color w:val="000000" w:themeColor="text1"/>
          <w:sz w:val="24"/>
          <w:szCs w:val="24"/>
          <w:lang w:val="en-US"/>
        </w:rPr>
        <w:t>MTB</w:t>
      </w:r>
      <w:r w:rsidR="00792977" w:rsidRPr="00EA4B66">
        <w:rPr>
          <w:color w:val="000000" w:themeColor="text1"/>
          <w:sz w:val="24"/>
          <w:szCs w:val="24"/>
          <w:lang w:val="en-US"/>
        </w:rPr>
        <w:t xml:space="preserve"> and </w:t>
      </w:r>
      <w:r w:rsidR="00792977" w:rsidRPr="00EA4B66">
        <w:rPr>
          <w:i/>
          <w:color w:val="000000" w:themeColor="text1"/>
          <w:sz w:val="24"/>
          <w:szCs w:val="24"/>
          <w:lang w:val="en-US"/>
        </w:rPr>
        <w:t>AGE</w:t>
      </w:r>
      <w:r w:rsidR="00792977" w:rsidRPr="00EA4B66">
        <w:rPr>
          <w:color w:val="000000" w:themeColor="text1"/>
          <w:sz w:val="24"/>
          <w:szCs w:val="24"/>
          <w:lang w:val="en-US"/>
        </w:rPr>
        <w:t xml:space="preserve"> may be explained </w:t>
      </w:r>
      <w:r w:rsidR="00EB2FE9">
        <w:rPr>
          <w:color w:val="000000" w:themeColor="text1"/>
          <w:sz w:val="24"/>
          <w:szCs w:val="24"/>
          <w:lang w:val="en-US"/>
        </w:rPr>
        <w:t>in</w:t>
      </w:r>
      <w:r w:rsidR="00792977" w:rsidRPr="00EA4B66">
        <w:rPr>
          <w:color w:val="000000" w:themeColor="text1"/>
          <w:sz w:val="24"/>
          <w:szCs w:val="24"/>
          <w:lang w:val="en-US"/>
        </w:rPr>
        <w:t xml:space="preserve"> that </w:t>
      </w:r>
      <w:r w:rsidRPr="00EA4B66">
        <w:rPr>
          <w:color w:val="000000" w:themeColor="text1"/>
          <w:sz w:val="24"/>
          <w:szCs w:val="24"/>
          <w:lang w:val="en-US"/>
        </w:rPr>
        <w:t xml:space="preserve">increasing firm age </w:t>
      </w:r>
      <w:r w:rsidR="00792977" w:rsidRPr="00EA4B66">
        <w:rPr>
          <w:color w:val="000000" w:themeColor="text1"/>
          <w:sz w:val="24"/>
          <w:szCs w:val="24"/>
          <w:lang w:val="en-US"/>
        </w:rPr>
        <w:t xml:space="preserve">may make knowledge, abilities, and skills obsolete and induce organizational decay, </w:t>
      </w:r>
      <w:r w:rsidRPr="00EA4B66">
        <w:rPr>
          <w:color w:val="000000" w:themeColor="text1"/>
          <w:sz w:val="24"/>
          <w:szCs w:val="24"/>
          <w:lang w:val="en-US"/>
        </w:rPr>
        <w:t>due to</w:t>
      </w:r>
      <w:r w:rsidR="00792977" w:rsidRPr="00EA4B66">
        <w:rPr>
          <w:color w:val="000000" w:themeColor="text1"/>
          <w:sz w:val="24"/>
          <w:szCs w:val="24"/>
          <w:lang w:val="en-US"/>
        </w:rPr>
        <w:t xml:space="preserve"> structural and process-related rigidities (</w:t>
      </w:r>
      <w:r w:rsidR="00792977" w:rsidRPr="00EA4B66">
        <w:rPr>
          <w:color w:val="000000" w:themeColor="text1"/>
          <w:sz w:val="24"/>
          <w:lang w:val="en-US"/>
        </w:rPr>
        <w:t>Loderer and Waelchli, 2010;</w:t>
      </w:r>
      <w:r w:rsidR="00792977" w:rsidRPr="00EA4B66">
        <w:rPr>
          <w:color w:val="000000" w:themeColor="text1"/>
          <w:sz w:val="24"/>
          <w:szCs w:val="24"/>
          <w:lang w:val="en-US"/>
        </w:rPr>
        <w:t xml:space="preserve"> Leonard-Barton, 1992). </w:t>
      </w:r>
      <w:r w:rsidR="00A34A66" w:rsidRPr="00EA4B66">
        <w:rPr>
          <w:color w:val="000000" w:themeColor="text1"/>
          <w:sz w:val="24"/>
          <w:szCs w:val="24"/>
          <w:lang w:val="en-US"/>
        </w:rPr>
        <w:t>T</w:t>
      </w:r>
      <w:r w:rsidR="00827E4C" w:rsidRPr="00EA4B66">
        <w:rPr>
          <w:color w:val="000000" w:themeColor="text1"/>
          <w:sz w:val="24"/>
          <w:szCs w:val="24"/>
          <w:lang w:val="en-US"/>
        </w:rPr>
        <w:t xml:space="preserve">his finding is inconsistent with Youndt </w:t>
      </w:r>
      <w:r w:rsidR="00827E4C" w:rsidRPr="00EA4B66">
        <w:rPr>
          <w:i/>
          <w:color w:val="000000" w:themeColor="text1"/>
          <w:sz w:val="24"/>
          <w:szCs w:val="24"/>
          <w:lang w:val="en-US"/>
        </w:rPr>
        <w:t>et al</w:t>
      </w:r>
      <w:r w:rsidR="00827E4C" w:rsidRPr="00EA4B66">
        <w:rPr>
          <w:color w:val="000000" w:themeColor="text1"/>
          <w:sz w:val="24"/>
          <w:szCs w:val="24"/>
          <w:lang w:val="en-US"/>
        </w:rPr>
        <w:t>. (2004) and Goebel (2015)</w:t>
      </w:r>
      <w:r w:rsidR="00BB0D4A" w:rsidRPr="00EA4B66">
        <w:rPr>
          <w:color w:val="000000" w:themeColor="text1"/>
          <w:sz w:val="24"/>
          <w:szCs w:val="24"/>
          <w:lang w:val="en-US"/>
        </w:rPr>
        <w:t>,</w:t>
      </w:r>
      <w:r w:rsidR="00827E4C" w:rsidRPr="00EA4B66">
        <w:rPr>
          <w:color w:val="000000" w:themeColor="text1"/>
          <w:sz w:val="24"/>
          <w:szCs w:val="24"/>
          <w:lang w:val="en-US"/>
        </w:rPr>
        <w:t xml:space="preserve"> neither of whom find a significant association between firm age and the </w:t>
      </w:r>
      <w:r w:rsidR="00CA081D">
        <w:rPr>
          <w:color w:val="000000" w:themeColor="text1"/>
          <w:sz w:val="24"/>
          <w:szCs w:val="24"/>
          <w:lang w:val="en-US"/>
        </w:rPr>
        <w:t>MTB</w:t>
      </w:r>
      <w:r w:rsidR="00827E4C" w:rsidRPr="00EA4B66">
        <w:rPr>
          <w:color w:val="000000" w:themeColor="text1"/>
          <w:sz w:val="24"/>
          <w:szCs w:val="24"/>
          <w:lang w:val="en-US"/>
        </w:rPr>
        <w:t xml:space="preserve"> ratio</w:t>
      </w:r>
      <w:r w:rsidR="00A34A66" w:rsidRPr="00EA4B66">
        <w:rPr>
          <w:color w:val="000000" w:themeColor="text1"/>
          <w:sz w:val="24"/>
          <w:szCs w:val="24"/>
          <w:lang w:val="en-US"/>
        </w:rPr>
        <w:t xml:space="preserve">, </w:t>
      </w:r>
      <w:r w:rsidR="00D1012B" w:rsidRPr="00EA4B66">
        <w:rPr>
          <w:color w:val="000000" w:themeColor="text1"/>
          <w:sz w:val="24"/>
          <w:szCs w:val="24"/>
          <w:lang w:val="en-US"/>
        </w:rPr>
        <w:t>and consistent with</w:t>
      </w:r>
      <w:r w:rsidR="004A43C4" w:rsidRPr="00EA4B66">
        <w:rPr>
          <w:color w:val="000000" w:themeColor="text1"/>
          <w:sz w:val="24"/>
          <w:szCs w:val="24"/>
          <w:lang w:val="en-US"/>
        </w:rPr>
        <w:t xml:space="preserve"> </w:t>
      </w:r>
      <w:r w:rsidR="00AB7E17" w:rsidRPr="00EA4B66">
        <w:rPr>
          <w:color w:val="000000" w:themeColor="text1"/>
          <w:sz w:val="24"/>
          <w:szCs w:val="24"/>
          <w:lang w:val="en-US"/>
        </w:rPr>
        <w:t>Pastor and Veronesi (2003)</w:t>
      </w:r>
      <w:r w:rsidR="00B923D1" w:rsidRPr="00EA4B66">
        <w:rPr>
          <w:color w:val="000000" w:themeColor="text1"/>
          <w:sz w:val="24"/>
          <w:szCs w:val="24"/>
          <w:lang w:val="en-US"/>
        </w:rPr>
        <w:t xml:space="preserve"> and Loderer </w:t>
      </w:r>
      <w:r w:rsidR="00B923D1" w:rsidRPr="00EA4B66">
        <w:rPr>
          <w:i/>
          <w:color w:val="000000" w:themeColor="text1"/>
          <w:sz w:val="24"/>
          <w:szCs w:val="24"/>
          <w:lang w:val="en-US"/>
        </w:rPr>
        <w:t>et al</w:t>
      </w:r>
      <w:r w:rsidR="00B923D1" w:rsidRPr="00EA4B66">
        <w:rPr>
          <w:color w:val="000000" w:themeColor="text1"/>
          <w:sz w:val="24"/>
          <w:szCs w:val="24"/>
          <w:lang w:val="en-US"/>
        </w:rPr>
        <w:t>. (2016)</w:t>
      </w:r>
      <w:r w:rsidR="00AB7E17" w:rsidRPr="00EA4B66">
        <w:rPr>
          <w:color w:val="000000" w:themeColor="text1"/>
          <w:sz w:val="24"/>
          <w:szCs w:val="24"/>
          <w:lang w:val="en-US"/>
        </w:rPr>
        <w:t xml:space="preserve">. </w:t>
      </w:r>
      <w:r w:rsidR="001D5080" w:rsidRPr="00EA4B66">
        <w:rPr>
          <w:color w:val="000000" w:themeColor="text1"/>
          <w:sz w:val="24"/>
          <w:szCs w:val="24"/>
          <w:lang w:val="en-US"/>
        </w:rPr>
        <w:t>Accordingly</w:t>
      </w:r>
      <w:r w:rsidR="00827E4C" w:rsidRPr="00EA4B66">
        <w:rPr>
          <w:color w:val="000000" w:themeColor="text1"/>
          <w:sz w:val="24"/>
          <w:szCs w:val="24"/>
          <w:lang w:val="en-US"/>
        </w:rPr>
        <w:t xml:space="preserve">, hypothesis H3 is </w:t>
      </w:r>
      <w:r w:rsidR="001D5080" w:rsidRPr="00EA4B66">
        <w:rPr>
          <w:color w:val="000000" w:themeColor="text1"/>
          <w:sz w:val="24"/>
          <w:szCs w:val="24"/>
          <w:lang w:val="en-US"/>
        </w:rPr>
        <w:t>accepted.</w:t>
      </w:r>
    </w:p>
    <w:p w14:paraId="588CF741" w14:textId="7E93CCA9" w:rsidR="00144F71" w:rsidRPr="00EA4B66" w:rsidRDefault="0095298D" w:rsidP="0095298D">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144F71" w:rsidRPr="00EA4B66">
        <w:rPr>
          <w:color w:val="000000" w:themeColor="text1"/>
          <w:sz w:val="24"/>
          <w:szCs w:val="24"/>
          <w:lang w:val="en-US"/>
        </w:rPr>
        <w:t xml:space="preserve">The coefficient of </w:t>
      </w:r>
      <w:r w:rsidR="00A34A66" w:rsidRPr="00EA4B66">
        <w:rPr>
          <w:i/>
          <w:color w:val="000000" w:themeColor="text1"/>
          <w:sz w:val="24"/>
          <w:szCs w:val="24"/>
          <w:lang w:val="en-US"/>
        </w:rPr>
        <w:t>ROE</w:t>
      </w:r>
      <w:r w:rsidR="00A34A66" w:rsidRPr="00EA4B66">
        <w:rPr>
          <w:color w:val="000000" w:themeColor="text1"/>
          <w:sz w:val="24"/>
          <w:szCs w:val="24"/>
          <w:lang w:val="en-US"/>
        </w:rPr>
        <w:t xml:space="preserve"> </w:t>
      </w:r>
      <w:r w:rsidR="00144F71" w:rsidRPr="00EA4B66">
        <w:rPr>
          <w:color w:val="000000" w:themeColor="text1"/>
          <w:sz w:val="24"/>
          <w:szCs w:val="24"/>
          <w:lang w:val="en-US"/>
        </w:rPr>
        <w:t xml:space="preserve">is positive, consistent with expectations, and is significant at </w:t>
      </w:r>
      <w:r w:rsidR="00A34A66" w:rsidRPr="00EA4B66">
        <w:rPr>
          <w:color w:val="000000" w:themeColor="text1"/>
          <w:sz w:val="24"/>
          <w:szCs w:val="24"/>
          <w:lang w:val="en-US"/>
        </w:rPr>
        <w:t xml:space="preserve">the </w:t>
      </w:r>
      <w:r w:rsidR="00144F71" w:rsidRPr="00EA4B66">
        <w:rPr>
          <w:color w:val="000000" w:themeColor="text1"/>
          <w:sz w:val="24"/>
          <w:szCs w:val="24"/>
          <w:lang w:val="en-US"/>
        </w:rPr>
        <w:t xml:space="preserve">1% level. Thus, it would appear that increasing firm profitability leads to an increase in firm </w:t>
      </w:r>
      <w:r w:rsidR="008469D1">
        <w:rPr>
          <w:color w:val="000000" w:themeColor="text1"/>
          <w:sz w:val="24"/>
          <w:szCs w:val="24"/>
          <w:lang w:val="en-US"/>
        </w:rPr>
        <w:t>MTB</w:t>
      </w:r>
      <w:r w:rsidR="00144F71" w:rsidRPr="00EA4B66">
        <w:rPr>
          <w:color w:val="000000" w:themeColor="text1"/>
          <w:sz w:val="24"/>
          <w:szCs w:val="24"/>
          <w:lang w:val="en-US"/>
        </w:rPr>
        <w:t xml:space="preserve"> ratios. This result is consistent with Reed </w:t>
      </w:r>
      <w:r w:rsidR="00144F71" w:rsidRPr="00EA4B66">
        <w:rPr>
          <w:i/>
          <w:color w:val="000000" w:themeColor="text1"/>
          <w:sz w:val="24"/>
          <w:szCs w:val="24"/>
          <w:lang w:val="en-US"/>
        </w:rPr>
        <w:t>et al</w:t>
      </w:r>
      <w:r w:rsidR="00144F71" w:rsidRPr="00EA4B66">
        <w:rPr>
          <w:color w:val="000000" w:themeColor="text1"/>
          <w:sz w:val="24"/>
          <w:szCs w:val="24"/>
          <w:lang w:val="en-US"/>
        </w:rPr>
        <w:t xml:space="preserve">. (2006), Youndt </w:t>
      </w:r>
      <w:r w:rsidR="00144F71" w:rsidRPr="00EA4B66">
        <w:rPr>
          <w:i/>
          <w:color w:val="000000" w:themeColor="text1"/>
          <w:sz w:val="24"/>
          <w:szCs w:val="24"/>
          <w:lang w:val="en-US"/>
        </w:rPr>
        <w:t>et al</w:t>
      </w:r>
      <w:r w:rsidR="00144F71" w:rsidRPr="00EA4B66">
        <w:rPr>
          <w:color w:val="000000" w:themeColor="text1"/>
          <w:sz w:val="24"/>
          <w:szCs w:val="24"/>
          <w:lang w:val="en-US"/>
        </w:rPr>
        <w:t>. (2004)</w:t>
      </w:r>
      <w:r w:rsidR="00D763EC" w:rsidRPr="00EA4B66">
        <w:rPr>
          <w:color w:val="000000" w:themeColor="text1"/>
          <w:sz w:val="24"/>
          <w:szCs w:val="24"/>
          <w:lang w:val="en-US"/>
        </w:rPr>
        <w:t>.</w:t>
      </w:r>
      <w:r w:rsidR="00144F71" w:rsidRPr="00EA4B66">
        <w:rPr>
          <w:color w:val="000000" w:themeColor="text1"/>
          <w:sz w:val="24"/>
          <w:szCs w:val="24"/>
          <w:lang w:val="en-US"/>
        </w:rPr>
        <w:t xml:space="preserve"> </w:t>
      </w:r>
      <w:r w:rsidR="00D763EC" w:rsidRPr="00EA4B66">
        <w:rPr>
          <w:color w:val="000000" w:themeColor="text1"/>
          <w:sz w:val="24"/>
          <w:szCs w:val="24"/>
          <w:lang w:val="en-US"/>
        </w:rPr>
        <w:t>Accordingly,</w:t>
      </w:r>
      <w:r w:rsidR="00144F71" w:rsidRPr="00EA4B66">
        <w:rPr>
          <w:color w:val="000000" w:themeColor="text1"/>
          <w:sz w:val="24"/>
          <w:szCs w:val="24"/>
          <w:lang w:val="en-US"/>
        </w:rPr>
        <w:t xml:space="preserve"> hypothesis H4 is </w:t>
      </w:r>
      <w:r w:rsidR="00D763EC" w:rsidRPr="00EA4B66">
        <w:rPr>
          <w:color w:val="000000" w:themeColor="text1"/>
          <w:sz w:val="24"/>
          <w:szCs w:val="24"/>
          <w:lang w:val="en-US"/>
        </w:rPr>
        <w:t>accepted</w:t>
      </w:r>
      <w:r w:rsidR="00144F71" w:rsidRPr="00EA4B66">
        <w:rPr>
          <w:color w:val="000000" w:themeColor="text1"/>
          <w:sz w:val="24"/>
          <w:szCs w:val="24"/>
          <w:lang w:val="en-US"/>
        </w:rPr>
        <w:t xml:space="preserve">. </w:t>
      </w:r>
    </w:p>
    <w:p w14:paraId="32F66676" w14:textId="4848A98F" w:rsidR="00D02563" w:rsidRPr="00EA4B66" w:rsidRDefault="0095298D" w:rsidP="0095298D">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8A116E" w:rsidRPr="00EA4B66">
        <w:rPr>
          <w:color w:val="000000" w:themeColor="text1"/>
          <w:sz w:val="24"/>
          <w:szCs w:val="24"/>
          <w:lang w:val="en-US"/>
        </w:rPr>
        <w:t xml:space="preserve">The sign of </w:t>
      </w:r>
      <w:r w:rsidR="008A116E" w:rsidRPr="00EA4B66">
        <w:rPr>
          <w:i/>
          <w:color w:val="000000" w:themeColor="text1"/>
          <w:sz w:val="24"/>
          <w:szCs w:val="24"/>
          <w:lang w:val="en-US"/>
        </w:rPr>
        <w:t>DE</w:t>
      </w:r>
      <w:r w:rsidR="00963572">
        <w:rPr>
          <w:color w:val="000000" w:themeColor="text1"/>
          <w:sz w:val="24"/>
          <w:szCs w:val="24"/>
          <w:lang w:val="en-US"/>
        </w:rPr>
        <w:t xml:space="preserve"> </w:t>
      </w:r>
      <w:r w:rsidR="008A116E" w:rsidRPr="00EA4B66">
        <w:rPr>
          <w:color w:val="000000" w:themeColor="text1"/>
          <w:sz w:val="24"/>
          <w:szCs w:val="24"/>
          <w:lang w:val="en-US"/>
        </w:rPr>
        <w:t xml:space="preserve">is positive, consistent with expectations, and </w:t>
      </w:r>
      <w:r w:rsidR="00A34A66" w:rsidRPr="00EA4B66">
        <w:rPr>
          <w:color w:val="000000" w:themeColor="text1"/>
          <w:sz w:val="24"/>
          <w:szCs w:val="24"/>
          <w:lang w:val="en-US"/>
        </w:rPr>
        <w:t xml:space="preserve">is </w:t>
      </w:r>
      <w:r w:rsidR="008A116E" w:rsidRPr="00EA4B66">
        <w:rPr>
          <w:color w:val="000000" w:themeColor="text1"/>
          <w:sz w:val="24"/>
          <w:szCs w:val="24"/>
          <w:lang w:val="en-US"/>
        </w:rPr>
        <w:t>significant at the 1% level, consistent with Goebel (2015)</w:t>
      </w:r>
      <w:r w:rsidR="00B10A49" w:rsidRPr="00EA4B66">
        <w:rPr>
          <w:color w:val="000000" w:themeColor="text1"/>
          <w:sz w:val="24"/>
          <w:szCs w:val="24"/>
          <w:lang w:val="en-US"/>
        </w:rPr>
        <w:t xml:space="preserve"> </w:t>
      </w:r>
      <w:r w:rsidR="008A116E" w:rsidRPr="00EA4B66">
        <w:rPr>
          <w:color w:val="000000" w:themeColor="text1"/>
          <w:sz w:val="24"/>
          <w:szCs w:val="24"/>
          <w:lang w:val="en-US"/>
        </w:rPr>
        <w:t xml:space="preserve">and Keenan and Aggestam (2001). Thus, lenders may encourage more active monitoring of IC investment and management of IC value in firms. </w:t>
      </w:r>
      <w:r w:rsidR="00EA3846" w:rsidRPr="00EA4B66">
        <w:rPr>
          <w:color w:val="000000" w:themeColor="text1"/>
          <w:sz w:val="24"/>
          <w:szCs w:val="24"/>
          <w:lang w:val="en-US"/>
        </w:rPr>
        <w:t xml:space="preserve">Accordingly, </w:t>
      </w:r>
      <w:r w:rsidR="00B802F4" w:rsidRPr="00EA4B66">
        <w:rPr>
          <w:color w:val="000000" w:themeColor="text1"/>
          <w:sz w:val="24"/>
          <w:szCs w:val="24"/>
          <w:lang w:val="en-US"/>
        </w:rPr>
        <w:t xml:space="preserve">hypothesis H5 is </w:t>
      </w:r>
      <w:r w:rsidR="00EA3846" w:rsidRPr="00EA4B66">
        <w:rPr>
          <w:color w:val="000000" w:themeColor="text1"/>
          <w:sz w:val="24"/>
          <w:szCs w:val="24"/>
          <w:lang w:val="en-US"/>
        </w:rPr>
        <w:t>accepted</w:t>
      </w:r>
      <w:r w:rsidR="00B802F4" w:rsidRPr="00EA4B66">
        <w:rPr>
          <w:color w:val="000000" w:themeColor="text1"/>
          <w:sz w:val="24"/>
          <w:szCs w:val="24"/>
          <w:lang w:val="en-US"/>
        </w:rPr>
        <w:t>.</w:t>
      </w:r>
    </w:p>
    <w:p w14:paraId="00175EC3" w14:textId="269DAA2B" w:rsidR="000C2279" w:rsidRPr="00EA4B66" w:rsidRDefault="0095298D" w:rsidP="0095298D">
      <w:pPr>
        <w:spacing w:after="0" w:line="240" w:lineRule="auto"/>
        <w:jc w:val="both"/>
        <w:rPr>
          <w:strike/>
          <w:color w:val="000000" w:themeColor="text1"/>
          <w:sz w:val="24"/>
          <w:szCs w:val="24"/>
          <w:lang w:val="en-US"/>
        </w:rPr>
      </w:pPr>
      <w:r w:rsidRPr="00EA4B66">
        <w:rPr>
          <w:color w:val="000000" w:themeColor="text1"/>
          <w:sz w:val="24"/>
          <w:szCs w:val="24"/>
          <w:lang w:val="en-US"/>
        </w:rPr>
        <w:t xml:space="preserve">   </w:t>
      </w:r>
      <w:r w:rsidR="00A34A66" w:rsidRPr="00EA4B66">
        <w:rPr>
          <w:color w:val="000000" w:themeColor="text1"/>
          <w:sz w:val="24"/>
          <w:szCs w:val="24"/>
          <w:lang w:val="en-US"/>
        </w:rPr>
        <w:t xml:space="preserve">With regard to </w:t>
      </w:r>
      <w:r w:rsidR="00477F8E" w:rsidRPr="00EA4B66">
        <w:rPr>
          <w:color w:val="000000" w:themeColor="text1"/>
          <w:sz w:val="24"/>
          <w:szCs w:val="24"/>
          <w:lang w:val="en-US"/>
        </w:rPr>
        <w:t xml:space="preserve">the control variables, </w:t>
      </w:r>
      <w:r w:rsidR="00A34A66" w:rsidRPr="00EA4B66">
        <w:rPr>
          <w:color w:val="000000" w:themeColor="text1"/>
          <w:sz w:val="24"/>
          <w:szCs w:val="24"/>
          <w:lang w:val="en-US"/>
        </w:rPr>
        <w:t xml:space="preserve">and </w:t>
      </w:r>
      <w:r w:rsidR="00477F8E" w:rsidRPr="00EA4B66">
        <w:rPr>
          <w:color w:val="000000" w:themeColor="text1"/>
          <w:sz w:val="24"/>
          <w:szCs w:val="24"/>
          <w:lang w:val="en-US"/>
        </w:rPr>
        <w:t xml:space="preserve">according to expectations, </w:t>
      </w:r>
      <w:r w:rsidR="00A34A66" w:rsidRPr="00EA4B66">
        <w:rPr>
          <w:i/>
          <w:color w:val="000000" w:themeColor="text1"/>
          <w:sz w:val="24"/>
          <w:szCs w:val="24"/>
          <w:lang w:val="en-US"/>
        </w:rPr>
        <w:t>IND</w:t>
      </w:r>
      <w:r w:rsidR="00A34A66" w:rsidRPr="00EA4B66">
        <w:rPr>
          <w:color w:val="000000" w:themeColor="text1"/>
          <w:sz w:val="24"/>
          <w:szCs w:val="24"/>
          <w:lang w:val="en-US"/>
        </w:rPr>
        <w:t xml:space="preserve"> </w:t>
      </w:r>
      <w:r w:rsidR="00477F8E" w:rsidRPr="00EA4B66">
        <w:rPr>
          <w:color w:val="000000" w:themeColor="text1"/>
          <w:sz w:val="24"/>
          <w:szCs w:val="24"/>
          <w:lang w:val="en-US"/>
        </w:rPr>
        <w:t xml:space="preserve">is positively associated with the dependent variable </w:t>
      </w:r>
      <w:r w:rsidR="00477F8E" w:rsidRPr="00EA4B66">
        <w:rPr>
          <w:i/>
          <w:color w:val="000000" w:themeColor="text1"/>
          <w:sz w:val="24"/>
          <w:szCs w:val="24"/>
          <w:lang w:val="en-US"/>
        </w:rPr>
        <w:t>MTB</w:t>
      </w:r>
      <w:r w:rsidR="00BD7AB6" w:rsidRPr="00EA4B66">
        <w:rPr>
          <w:color w:val="000000" w:themeColor="text1"/>
          <w:sz w:val="24"/>
          <w:szCs w:val="24"/>
          <w:lang w:val="en-US"/>
        </w:rPr>
        <w:t xml:space="preserve">, </w:t>
      </w:r>
      <w:r w:rsidR="00A34A66" w:rsidRPr="00EA4B66">
        <w:rPr>
          <w:color w:val="000000" w:themeColor="text1"/>
          <w:sz w:val="24"/>
          <w:szCs w:val="24"/>
          <w:lang w:val="en-US"/>
        </w:rPr>
        <w:t xml:space="preserve">and is </w:t>
      </w:r>
      <w:r w:rsidR="00BD7AB6" w:rsidRPr="00EA4B66">
        <w:rPr>
          <w:color w:val="000000" w:themeColor="text1"/>
          <w:sz w:val="24"/>
          <w:szCs w:val="24"/>
          <w:lang w:val="en-US"/>
        </w:rPr>
        <w:t xml:space="preserve">significant at </w:t>
      </w:r>
      <w:r w:rsidR="00A34A66" w:rsidRPr="00EA4B66">
        <w:rPr>
          <w:color w:val="000000" w:themeColor="text1"/>
          <w:sz w:val="24"/>
          <w:szCs w:val="24"/>
          <w:lang w:val="en-US"/>
        </w:rPr>
        <w:t xml:space="preserve">the </w:t>
      </w:r>
      <w:r w:rsidR="00BD7AB6" w:rsidRPr="00EA4B66">
        <w:rPr>
          <w:color w:val="000000" w:themeColor="text1"/>
          <w:sz w:val="24"/>
          <w:szCs w:val="24"/>
          <w:lang w:val="en-US"/>
        </w:rPr>
        <w:t>1% level. T</w:t>
      </w:r>
      <w:r w:rsidR="00923E6C" w:rsidRPr="00EA4B66">
        <w:rPr>
          <w:color w:val="000000" w:themeColor="text1"/>
          <w:sz w:val="24"/>
          <w:szCs w:val="24"/>
          <w:lang w:val="en-US"/>
        </w:rPr>
        <w:t>he finding is</w:t>
      </w:r>
      <w:r w:rsidR="008A116E" w:rsidRPr="00EA4B66">
        <w:rPr>
          <w:color w:val="000000" w:themeColor="text1"/>
          <w:sz w:val="24"/>
          <w:szCs w:val="24"/>
          <w:lang w:val="en-US"/>
        </w:rPr>
        <w:t xml:space="preserve"> </w:t>
      </w:r>
      <w:r w:rsidR="00BC3551" w:rsidRPr="00EA4B66">
        <w:rPr>
          <w:color w:val="000000" w:themeColor="text1"/>
          <w:sz w:val="24"/>
          <w:szCs w:val="24"/>
          <w:lang w:val="en-US"/>
        </w:rPr>
        <w:t xml:space="preserve">in part </w:t>
      </w:r>
      <w:r w:rsidR="008A116E" w:rsidRPr="00EA4B66">
        <w:rPr>
          <w:color w:val="000000" w:themeColor="text1"/>
          <w:sz w:val="24"/>
          <w:szCs w:val="24"/>
          <w:lang w:val="en-US"/>
        </w:rPr>
        <w:t xml:space="preserve">consistent </w:t>
      </w:r>
      <w:r w:rsidR="008A116E" w:rsidRPr="00EA4B66">
        <w:rPr>
          <w:color w:val="000000" w:themeColor="text1"/>
          <w:sz w:val="24"/>
          <w:szCs w:val="24"/>
          <w:lang w:val="en-US"/>
        </w:rPr>
        <w:lastRenderedPageBreak/>
        <w:t xml:space="preserve">with </w:t>
      </w:r>
      <w:r w:rsidR="006B5476" w:rsidRPr="00EA4B66">
        <w:rPr>
          <w:color w:val="000000" w:themeColor="text1"/>
          <w:sz w:val="24"/>
          <w:szCs w:val="24"/>
          <w:lang w:val="en-US"/>
        </w:rPr>
        <w:t>Goebel (2015)</w:t>
      </w:r>
      <w:r w:rsidR="00E977C9" w:rsidRPr="00EA4B66">
        <w:rPr>
          <w:color w:val="000000" w:themeColor="text1"/>
          <w:sz w:val="24"/>
          <w:szCs w:val="24"/>
          <w:lang w:val="en-US"/>
        </w:rPr>
        <w:t xml:space="preserve"> who</w:t>
      </w:r>
      <w:r w:rsidR="0000208F" w:rsidRPr="00EA4B66">
        <w:rPr>
          <w:color w:val="000000" w:themeColor="text1"/>
          <w:sz w:val="24"/>
          <w:szCs w:val="24"/>
          <w:lang w:val="en-US"/>
        </w:rPr>
        <w:t xml:space="preserve">, grouping sample firms in three industry sectors </w:t>
      </w:r>
      <w:r w:rsidR="001C61A8" w:rsidRPr="00EA4B66">
        <w:rPr>
          <w:color w:val="000000" w:themeColor="text1"/>
          <w:sz w:val="24"/>
          <w:szCs w:val="24"/>
          <w:lang w:val="en-US"/>
        </w:rPr>
        <w:t>(</w:t>
      </w:r>
      <w:r w:rsidR="0000208F" w:rsidRPr="00EA4B66">
        <w:rPr>
          <w:color w:val="000000" w:themeColor="text1"/>
          <w:sz w:val="24"/>
          <w:szCs w:val="24"/>
          <w:lang w:val="en-US"/>
        </w:rPr>
        <w:t>consumer, pharmaceutical and technology, and industrial</w:t>
      </w:r>
      <w:r w:rsidR="001C61A8" w:rsidRPr="00EA4B66">
        <w:rPr>
          <w:color w:val="000000" w:themeColor="text1"/>
          <w:sz w:val="24"/>
          <w:szCs w:val="24"/>
          <w:lang w:val="en-US"/>
        </w:rPr>
        <w:t>)</w:t>
      </w:r>
      <w:r w:rsidR="00E977C9" w:rsidRPr="00EA4B66">
        <w:rPr>
          <w:color w:val="000000" w:themeColor="text1"/>
          <w:sz w:val="24"/>
          <w:szCs w:val="24"/>
          <w:lang w:val="en-US"/>
        </w:rPr>
        <w:t xml:space="preserve"> </w:t>
      </w:r>
      <w:r w:rsidR="00F92A8B" w:rsidRPr="00EA4B66">
        <w:rPr>
          <w:color w:val="000000" w:themeColor="text1"/>
          <w:sz w:val="24"/>
          <w:szCs w:val="24"/>
          <w:lang w:val="en-US"/>
        </w:rPr>
        <w:t>find</w:t>
      </w:r>
      <w:r w:rsidR="001C61A8" w:rsidRPr="00EA4B66">
        <w:rPr>
          <w:color w:val="000000" w:themeColor="text1"/>
          <w:sz w:val="24"/>
          <w:szCs w:val="24"/>
          <w:lang w:val="en-US"/>
        </w:rPr>
        <w:t>s</w:t>
      </w:r>
      <w:r w:rsidR="00E977C9" w:rsidRPr="00EA4B66">
        <w:rPr>
          <w:color w:val="000000" w:themeColor="text1"/>
          <w:sz w:val="24"/>
          <w:szCs w:val="24"/>
          <w:lang w:val="en-US"/>
        </w:rPr>
        <w:t xml:space="preserve"> a significant and positive relationship </w:t>
      </w:r>
      <w:r w:rsidR="00EE7380" w:rsidRPr="00EA4B66">
        <w:rPr>
          <w:color w:val="000000" w:themeColor="text1"/>
          <w:sz w:val="24"/>
          <w:szCs w:val="24"/>
          <w:lang w:val="en-US"/>
        </w:rPr>
        <w:t xml:space="preserve">only </w:t>
      </w:r>
      <w:r w:rsidR="001C61A8" w:rsidRPr="00EA4B66">
        <w:rPr>
          <w:color w:val="000000" w:themeColor="text1"/>
          <w:sz w:val="24"/>
          <w:szCs w:val="24"/>
          <w:lang w:val="en-US"/>
        </w:rPr>
        <w:t xml:space="preserve">for </w:t>
      </w:r>
      <w:r w:rsidR="00E977C9" w:rsidRPr="00EA4B66">
        <w:rPr>
          <w:color w:val="000000" w:themeColor="text1"/>
          <w:sz w:val="24"/>
          <w:szCs w:val="24"/>
          <w:lang w:val="en-US"/>
        </w:rPr>
        <w:t>pharmaceutical and technology firms</w:t>
      </w:r>
      <w:r w:rsidR="006B5476" w:rsidRPr="00EA4B66">
        <w:rPr>
          <w:color w:val="000000" w:themeColor="text1"/>
          <w:sz w:val="24"/>
          <w:szCs w:val="24"/>
          <w:lang w:val="en-US"/>
        </w:rPr>
        <w:t>.</w:t>
      </w:r>
      <w:r w:rsidR="008A116E" w:rsidRPr="00EA4B66">
        <w:rPr>
          <w:color w:val="000000" w:themeColor="text1"/>
          <w:sz w:val="24"/>
          <w:szCs w:val="24"/>
          <w:lang w:val="en-US"/>
        </w:rPr>
        <w:t xml:space="preserve"> One interpretation here is that knowledge development effort is significantly bound </w:t>
      </w:r>
      <w:r w:rsidR="00A34A66" w:rsidRPr="00EA4B66">
        <w:rPr>
          <w:color w:val="000000" w:themeColor="text1"/>
          <w:sz w:val="24"/>
          <w:szCs w:val="24"/>
          <w:lang w:val="en-US"/>
        </w:rPr>
        <w:t xml:space="preserve">to </w:t>
      </w:r>
      <w:r w:rsidR="008A116E" w:rsidRPr="00EA4B66">
        <w:rPr>
          <w:color w:val="000000" w:themeColor="text1"/>
          <w:sz w:val="24"/>
          <w:szCs w:val="24"/>
          <w:lang w:val="en-US"/>
        </w:rPr>
        <w:t>industry sector membership.</w:t>
      </w:r>
      <w:r w:rsidR="00436B65" w:rsidRPr="00EA4B66">
        <w:rPr>
          <w:color w:val="000000" w:themeColor="text1"/>
          <w:sz w:val="24"/>
          <w:szCs w:val="24"/>
          <w:lang w:val="en-US"/>
        </w:rPr>
        <w:t xml:space="preserve"> </w:t>
      </w:r>
      <w:r w:rsidR="001F7168" w:rsidRPr="00EA4B66">
        <w:rPr>
          <w:color w:val="000000" w:themeColor="text1"/>
          <w:sz w:val="24"/>
          <w:szCs w:val="24"/>
          <w:lang w:val="en-US"/>
        </w:rPr>
        <w:t>KIBS</w:t>
      </w:r>
      <w:r w:rsidR="00BB0D4A" w:rsidRPr="00EA4B66">
        <w:rPr>
          <w:color w:val="000000" w:themeColor="text1"/>
          <w:sz w:val="24"/>
          <w:szCs w:val="24"/>
          <w:lang w:val="en-US"/>
        </w:rPr>
        <w:t xml:space="preserve"> industry firm</w:t>
      </w:r>
      <w:r w:rsidR="001F7168" w:rsidRPr="00EA4B66">
        <w:rPr>
          <w:color w:val="000000" w:themeColor="text1"/>
          <w:sz w:val="24"/>
          <w:szCs w:val="24"/>
          <w:lang w:val="en-US"/>
        </w:rPr>
        <w:t xml:space="preserve"> value is probably held to a great</w:t>
      </w:r>
      <w:r w:rsidR="00BB0D4A" w:rsidRPr="00EA4B66">
        <w:rPr>
          <w:color w:val="000000" w:themeColor="text1"/>
          <w:sz w:val="24"/>
          <w:szCs w:val="24"/>
          <w:lang w:val="en-US"/>
        </w:rPr>
        <w:t>er extent i</w:t>
      </w:r>
      <w:r w:rsidR="001F7168" w:rsidRPr="00EA4B66">
        <w:rPr>
          <w:color w:val="000000" w:themeColor="text1"/>
          <w:sz w:val="24"/>
          <w:szCs w:val="24"/>
          <w:lang w:val="en-US"/>
        </w:rPr>
        <w:t xml:space="preserve">n </w:t>
      </w:r>
      <w:r w:rsidR="00A34A66" w:rsidRPr="00EA4B66">
        <w:rPr>
          <w:color w:val="000000" w:themeColor="text1"/>
          <w:sz w:val="24"/>
          <w:szCs w:val="24"/>
          <w:lang w:val="en-US"/>
        </w:rPr>
        <w:t>as yet</w:t>
      </w:r>
      <w:r w:rsidR="008D7997" w:rsidRPr="00EA4B66">
        <w:rPr>
          <w:color w:val="000000" w:themeColor="text1"/>
          <w:sz w:val="24"/>
          <w:szCs w:val="24"/>
          <w:lang w:val="en-US"/>
        </w:rPr>
        <w:t xml:space="preserve"> </w:t>
      </w:r>
      <w:r w:rsidR="00A34A66" w:rsidRPr="00EA4B66">
        <w:rPr>
          <w:color w:val="000000" w:themeColor="text1"/>
          <w:sz w:val="24"/>
          <w:szCs w:val="24"/>
          <w:lang w:val="en-US"/>
        </w:rPr>
        <w:t>un</w:t>
      </w:r>
      <w:r w:rsidR="00866D84" w:rsidRPr="00EA4B66">
        <w:rPr>
          <w:color w:val="000000" w:themeColor="text1"/>
          <w:sz w:val="24"/>
          <w:szCs w:val="24"/>
          <w:lang w:val="en-US"/>
        </w:rPr>
        <w:t>recognized</w:t>
      </w:r>
      <w:r w:rsidR="00BB0D4A" w:rsidRPr="00EA4B66">
        <w:rPr>
          <w:color w:val="000000" w:themeColor="text1"/>
          <w:sz w:val="24"/>
          <w:szCs w:val="24"/>
          <w:lang w:val="en-US"/>
        </w:rPr>
        <w:t xml:space="preserve"> accounting</w:t>
      </w:r>
      <w:r w:rsidR="001F7168" w:rsidRPr="00EA4B66">
        <w:rPr>
          <w:color w:val="000000" w:themeColor="text1"/>
          <w:sz w:val="24"/>
          <w:szCs w:val="24"/>
          <w:lang w:val="en-US"/>
        </w:rPr>
        <w:t xml:space="preserve"> assets </w:t>
      </w:r>
      <w:r w:rsidR="00BB0D4A" w:rsidRPr="00EA4B66">
        <w:rPr>
          <w:color w:val="000000" w:themeColor="text1"/>
          <w:sz w:val="24"/>
          <w:szCs w:val="24"/>
          <w:lang w:val="en-US"/>
        </w:rPr>
        <w:t>such as protected knowledge</w:t>
      </w:r>
      <w:r w:rsidR="001F7168" w:rsidRPr="00EA4B66">
        <w:rPr>
          <w:color w:val="000000" w:themeColor="text1"/>
          <w:sz w:val="24"/>
          <w:szCs w:val="24"/>
          <w:lang w:val="en-US"/>
        </w:rPr>
        <w:t xml:space="preserve">, which </w:t>
      </w:r>
      <w:r w:rsidR="00A34A66" w:rsidRPr="00EA4B66">
        <w:rPr>
          <w:color w:val="000000" w:themeColor="text1"/>
          <w:sz w:val="24"/>
          <w:szCs w:val="24"/>
          <w:lang w:val="en-US"/>
        </w:rPr>
        <w:t xml:space="preserve">has the effect of </w:t>
      </w:r>
      <w:r w:rsidR="008D7997" w:rsidRPr="00EA4B66">
        <w:rPr>
          <w:color w:val="000000" w:themeColor="text1"/>
          <w:sz w:val="24"/>
          <w:szCs w:val="24"/>
          <w:lang w:val="en-US"/>
        </w:rPr>
        <w:t>decreas</w:t>
      </w:r>
      <w:r w:rsidR="00A34A66" w:rsidRPr="00EA4B66">
        <w:rPr>
          <w:color w:val="000000" w:themeColor="text1"/>
          <w:sz w:val="24"/>
          <w:szCs w:val="24"/>
          <w:lang w:val="en-US"/>
        </w:rPr>
        <w:t>ing</w:t>
      </w:r>
      <w:r w:rsidR="008D7997" w:rsidRPr="00EA4B66">
        <w:rPr>
          <w:color w:val="000000" w:themeColor="text1"/>
          <w:sz w:val="24"/>
          <w:szCs w:val="24"/>
          <w:lang w:val="en-US"/>
        </w:rPr>
        <w:t xml:space="preserve"> </w:t>
      </w:r>
      <w:r w:rsidR="00BB0D4A" w:rsidRPr="00EA4B66">
        <w:rPr>
          <w:color w:val="000000" w:themeColor="text1"/>
          <w:sz w:val="24"/>
          <w:szCs w:val="24"/>
          <w:lang w:val="en-US"/>
        </w:rPr>
        <w:t xml:space="preserve">book value and </w:t>
      </w:r>
      <w:r w:rsidR="008D7997" w:rsidRPr="00EA4B66">
        <w:rPr>
          <w:color w:val="000000" w:themeColor="text1"/>
          <w:sz w:val="24"/>
          <w:szCs w:val="24"/>
          <w:lang w:val="en-US"/>
        </w:rPr>
        <w:t>increas</w:t>
      </w:r>
      <w:r w:rsidR="00A34A66" w:rsidRPr="00EA4B66">
        <w:rPr>
          <w:color w:val="000000" w:themeColor="text1"/>
          <w:sz w:val="24"/>
          <w:szCs w:val="24"/>
          <w:lang w:val="en-US"/>
        </w:rPr>
        <w:t>ing</w:t>
      </w:r>
      <w:r w:rsidR="008D7997" w:rsidRPr="00EA4B66">
        <w:rPr>
          <w:color w:val="000000" w:themeColor="text1"/>
          <w:sz w:val="24"/>
          <w:szCs w:val="24"/>
          <w:lang w:val="en-US"/>
        </w:rPr>
        <w:t xml:space="preserve"> </w:t>
      </w:r>
      <w:r w:rsidR="00BB0D4A" w:rsidRPr="00EA4B66">
        <w:rPr>
          <w:color w:val="000000" w:themeColor="text1"/>
          <w:sz w:val="24"/>
          <w:szCs w:val="24"/>
          <w:lang w:val="en-US"/>
        </w:rPr>
        <w:t>MT</w:t>
      </w:r>
      <w:r w:rsidR="001F7168" w:rsidRPr="00EA4B66">
        <w:rPr>
          <w:color w:val="000000" w:themeColor="text1"/>
          <w:sz w:val="24"/>
          <w:szCs w:val="24"/>
          <w:lang w:val="en-US"/>
        </w:rPr>
        <w:t>B ratios.</w:t>
      </w:r>
      <w:r w:rsidR="00E45750" w:rsidRPr="00EA4B66">
        <w:rPr>
          <w:color w:val="000000" w:themeColor="text1"/>
          <w:sz w:val="24"/>
          <w:szCs w:val="24"/>
          <w:lang w:val="en-US"/>
        </w:rPr>
        <w:t xml:space="preserve"> Moreover, t</w:t>
      </w:r>
      <w:r w:rsidR="00BB0D4A" w:rsidRPr="00EA4B66">
        <w:rPr>
          <w:color w:val="000000" w:themeColor="text1"/>
          <w:sz w:val="24"/>
          <w:szCs w:val="24"/>
          <w:lang w:val="en-US"/>
        </w:rPr>
        <w:t>his result confirms</w:t>
      </w:r>
      <w:r w:rsidR="00E45750" w:rsidRPr="00EA4B66">
        <w:rPr>
          <w:color w:val="000000" w:themeColor="text1"/>
          <w:sz w:val="24"/>
          <w:szCs w:val="24"/>
          <w:lang w:val="en-US"/>
        </w:rPr>
        <w:t xml:space="preserve"> that IC value exists in the majority of </w:t>
      </w:r>
      <w:r w:rsidR="00613D12" w:rsidRPr="00EA4B66">
        <w:rPr>
          <w:color w:val="000000" w:themeColor="text1"/>
          <w:sz w:val="24"/>
          <w:szCs w:val="24"/>
          <w:lang w:val="en-US"/>
        </w:rPr>
        <w:t>Italian</w:t>
      </w:r>
      <w:r w:rsidR="00E45750" w:rsidRPr="00EA4B66">
        <w:rPr>
          <w:color w:val="000000" w:themeColor="text1"/>
          <w:sz w:val="24"/>
          <w:szCs w:val="24"/>
          <w:lang w:val="en-US"/>
        </w:rPr>
        <w:t xml:space="preserve"> companies</w:t>
      </w:r>
      <w:r w:rsidR="002E6753" w:rsidRPr="00EA4B66">
        <w:rPr>
          <w:color w:val="000000" w:themeColor="text1"/>
          <w:sz w:val="24"/>
          <w:szCs w:val="24"/>
          <w:lang w:val="en-US"/>
        </w:rPr>
        <w:t xml:space="preserve">, both in KIBS </w:t>
      </w:r>
      <w:r w:rsidR="00BB0D4A" w:rsidRPr="00EA4B66">
        <w:rPr>
          <w:color w:val="000000" w:themeColor="text1"/>
          <w:sz w:val="24"/>
          <w:szCs w:val="24"/>
          <w:lang w:val="en-US"/>
        </w:rPr>
        <w:t>industry firms and TI firms</w:t>
      </w:r>
      <w:r w:rsidR="002E6753" w:rsidRPr="00EA4B66">
        <w:rPr>
          <w:color w:val="000000" w:themeColor="text1"/>
          <w:sz w:val="24"/>
          <w:szCs w:val="24"/>
          <w:lang w:val="en-US"/>
        </w:rPr>
        <w:t xml:space="preserve">. </w:t>
      </w:r>
      <w:r w:rsidRPr="00EA4B66">
        <w:rPr>
          <w:color w:val="000000" w:themeColor="text1"/>
          <w:sz w:val="24"/>
          <w:szCs w:val="24"/>
          <w:lang w:val="en-US"/>
        </w:rPr>
        <w:t>Panels B and C show</w:t>
      </w:r>
      <w:r w:rsidR="00BB0D4A" w:rsidRPr="00EA4B66">
        <w:rPr>
          <w:color w:val="000000" w:themeColor="text1"/>
          <w:sz w:val="24"/>
          <w:szCs w:val="24"/>
          <w:lang w:val="en-US"/>
        </w:rPr>
        <w:t xml:space="preserve"> that KIBS industry firms</w:t>
      </w:r>
      <w:r w:rsidR="002E6753" w:rsidRPr="00EA4B66">
        <w:rPr>
          <w:color w:val="000000" w:themeColor="text1"/>
          <w:sz w:val="24"/>
          <w:szCs w:val="24"/>
          <w:lang w:val="en-US"/>
        </w:rPr>
        <w:t xml:space="preserve"> </w:t>
      </w:r>
      <w:r w:rsidR="00BB0D4A" w:rsidRPr="00EA4B66">
        <w:rPr>
          <w:color w:val="000000" w:themeColor="text1"/>
          <w:sz w:val="24"/>
          <w:szCs w:val="24"/>
          <w:lang w:val="en-US"/>
        </w:rPr>
        <w:t>have</w:t>
      </w:r>
      <w:r w:rsidR="002E6753" w:rsidRPr="00EA4B66">
        <w:rPr>
          <w:color w:val="000000" w:themeColor="text1"/>
          <w:sz w:val="24"/>
          <w:szCs w:val="24"/>
          <w:lang w:val="en-US"/>
        </w:rPr>
        <w:t xml:space="preserve"> a </w:t>
      </w:r>
      <w:r w:rsidR="00792292" w:rsidRPr="00EA4B66">
        <w:rPr>
          <w:color w:val="000000" w:themeColor="text1"/>
          <w:sz w:val="24"/>
          <w:szCs w:val="24"/>
          <w:lang w:val="en-US"/>
        </w:rPr>
        <w:t xml:space="preserve">higher </w:t>
      </w:r>
      <w:r w:rsidR="002E6753" w:rsidRPr="00EA4B66">
        <w:rPr>
          <w:color w:val="000000" w:themeColor="text1"/>
          <w:sz w:val="24"/>
          <w:szCs w:val="24"/>
          <w:lang w:val="en-US"/>
        </w:rPr>
        <w:t>MTB ratio (mean = 1.</w:t>
      </w:r>
      <w:r w:rsidR="0039459D" w:rsidRPr="00EA4B66">
        <w:rPr>
          <w:color w:val="000000" w:themeColor="text1"/>
          <w:sz w:val="24"/>
          <w:szCs w:val="24"/>
          <w:lang w:val="en-US"/>
        </w:rPr>
        <w:t>749</w:t>
      </w:r>
      <w:r w:rsidR="002E6753" w:rsidRPr="00EA4B66">
        <w:rPr>
          <w:color w:val="000000" w:themeColor="text1"/>
          <w:sz w:val="24"/>
          <w:szCs w:val="24"/>
          <w:lang w:val="en-US"/>
        </w:rPr>
        <w:t xml:space="preserve">) than </w:t>
      </w:r>
      <w:r w:rsidR="00BB0D4A" w:rsidRPr="00EA4B66">
        <w:rPr>
          <w:color w:val="000000" w:themeColor="text1"/>
          <w:sz w:val="24"/>
          <w:szCs w:val="24"/>
          <w:lang w:val="en-US"/>
        </w:rPr>
        <w:t>TI firms</w:t>
      </w:r>
      <w:r w:rsidR="002E6753" w:rsidRPr="00EA4B66">
        <w:rPr>
          <w:color w:val="000000" w:themeColor="text1"/>
          <w:sz w:val="24"/>
          <w:szCs w:val="24"/>
          <w:lang w:val="en-US"/>
        </w:rPr>
        <w:t xml:space="preserve"> (mean = 1.</w:t>
      </w:r>
      <w:r w:rsidR="0039459D" w:rsidRPr="00EA4B66">
        <w:rPr>
          <w:color w:val="000000" w:themeColor="text1"/>
          <w:sz w:val="24"/>
          <w:szCs w:val="24"/>
          <w:lang w:val="en-US"/>
        </w:rPr>
        <w:t>281</w:t>
      </w:r>
      <w:r w:rsidR="002E6753" w:rsidRPr="00EA4B66">
        <w:rPr>
          <w:color w:val="000000" w:themeColor="text1"/>
          <w:sz w:val="24"/>
          <w:szCs w:val="24"/>
          <w:lang w:val="en-US"/>
        </w:rPr>
        <w:t xml:space="preserve">). </w:t>
      </w:r>
    </w:p>
    <w:p w14:paraId="28DAEAED" w14:textId="37D8334D" w:rsidR="000C2279" w:rsidRPr="00EA4B66" w:rsidRDefault="0095298D" w:rsidP="0095298D">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A60025" w:rsidRPr="00EA4B66">
        <w:rPr>
          <w:color w:val="000000" w:themeColor="text1"/>
          <w:sz w:val="24"/>
          <w:szCs w:val="24"/>
          <w:lang w:val="en-US"/>
        </w:rPr>
        <w:t xml:space="preserve">The coefficient of the </w:t>
      </w:r>
      <w:r w:rsidR="00A60025" w:rsidRPr="00EA4B66">
        <w:rPr>
          <w:i/>
          <w:color w:val="000000" w:themeColor="text1"/>
          <w:sz w:val="24"/>
          <w:szCs w:val="24"/>
          <w:lang w:val="en-US"/>
        </w:rPr>
        <w:t>AUDIT</w:t>
      </w:r>
      <w:r w:rsidR="00A60025" w:rsidRPr="00EA4B66">
        <w:rPr>
          <w:color w:val="000000" w:themeColor="text1"/>
          <w:sz w:val="24"/>
          <w:szCs w:val="24"/>
          <w:lang w:val="en-US"/>
        </w:rPr>
        <w:t xml:space="preserve"> </w:t>
      </w:r>
      <w:r w:rsidR="00104A78" w:rsidRPr="00EA4B66">
        <w:rPr>
          <w:color w:val="000000" w:themeColor="text1"/>
          <w:sz w:val="24"/>
          <w:szCs w:val="24"/>
          <w:lang w:val="en-US"/>
        </w:rPr>
        <w:t xml:space="preserve">variable </w:t>
      </w:r>
      <w:r w:rsidR="00A60025" w:rsidRPr="00EA4B66">
        <w:rPr>
          <w:color w:val="000000" w:themeColor="text1"/>
          <w:sz w:val="24"/>
          <w:szCs w:val="24"/>
          <w:lang w:val="en-US"/>
        </w:rPr>
        <w:t>is positive</w:t>
      </w:r>
      <w:r w:rsidR="002A6CE4" w:rsidRPr="00EA4B66">
        <w:rPr>
          <w:color w:val="000000" w:themeColor="text1"/>
          <w:sz w:val="24"/>
          <w:szCs w:val="24"/>
          <w:lang w:val="en-US"/>
        </w:rPr>
        <w:t xml:space="preserve"> </w:t>
      </w:r>
      <w:r w:rsidR="00B10F64" w:rsidRPr="00EA4B66">
        <w:rPr>
          <w:color w:val="000000" w:themeColor="text1"/>
          <w:sz w:val="24"/>
          <w:szCs w:val="24"/>
          <w:lang w:val="en-US"/>
        </w:rPr>
        <w:t xml:space="preserve">and significant at </w:t>
      </w:r>
      <w:r w:rsidR="00A34A66" w:rsidRPr="00EA4B66">
        <w:rPr>
          <w:color w:val="000000" w:themeColor="text1"/>
          <w:sz w:val="24"/>
          <w:szCs w:val="24"/>
          <w:lang w:val="en-US"/>
        </w:rPr>
        <w:t xml:space="preserve">the </w:t>
      </w:r>
      <w:r w:rsidR="00B10F64" w:rsidRPr="00EA4B66">
        <w:rPr>
          <w:color w:val="000000" w:themeColor="text1"/>
          <w:sz w:val="24"/>
          <w:szCs w:val="24"/>
          <w:lang w:val="en-US"/>
        </w:rPr>
        <w:t>5% level</w:t>
      </w:r>
      <w:r w:rsidR="00A60025" w:rsidRPr="00EA4B66">
        <w:rPr>
          <w:color w:val="000000" w:themeColor="text1"/>
          <w:sz w:val="24"/>
          <w:szCs w:val="24"/>
          <w:lang w:val="en-US"/>
        </w:rPr>
        <w:t>, consistent with expectation</w:t>
      </w:r>
      <w:r w:rsidR="00B10F64" w:rsidRPr="00EA4B66">
        <w:rPr>
          <w:color w:val="000000" w:themeColor="text1"/>
          <w:sz w:val="24"/>
          <w:szCs w:val="24"/>
          <w:lang w:val="en-US"/>
        </w:rPr>
        <w:t>s</w:t>
      </w:r>
      <w:r w:rsidR="00A60025" w:rsidRPr="00EA4B66">
        <w:rPr>
          <w:color w:val="000000" w:themeColor="text1"/>
          <w:sz w:val="24"/>
          <w:szCs w:val="24"/>
          <w:lang w:val="en-US"/>
        </w:rPr>
        <w:t xml:space="preserve"> and </w:t>
      </w:r>
      <w:r w:rsidR="00B10F64" w:rsidRPr="00EA4B66">
        <w:rPr>
          <w:color w:val="000000" w:themeColor="text1"/>
          <w:sz w:val="24"/>
          <w:szCs w:val="24"/>
          <w:lang w:val="en-US"/>
        </w:rPr>
        <w:t xml:space="preserve">the </w:t>
      </w:r>
      <w:r w:rsidR="00A60025" w:rsidRPr="00EA4B66">
        <w:rPr>
          <w:color w:val="000000" w:themeColor="text1"/>
          <w:sz w:val="24"/>
          <w:szCs w:val="24"/>
          <w:lang w:val="en-US"/>
        </w:rPr>
        <w:t>prior literature (W</w:t>
      </w:r>
      <w:r w:rsidR="004F41FB" w:rsidRPr="00EA4B66">
        <w:rPr>
          <w:color w:val="000000" w:themeColor="text1"/>
          <w:sz w:val="24"/>
          <w:szCs w:val="24"/>
          <w:lang w:val="en-US"/>
        </w:rPr>
        <w:t>a</w:t>
      </w:r>
      <w:r w:rsidR="00A60025" w:rsidRPr="00EA4B66">
        <w:rPr>
          <w:color w:val="000000" w:themeColor="text1"/>
          <w:sz w:val="24"/>
          <w:szCs w:val="24"/>
          <w:lang w:val="en-US"/>
        </w:rPr>
        <w:t xml:space="preserve">llace </w:t>
      </w:r>
      <w:r w:rsidR="00A60025" w:rsidRPr="00EA4B66">
        <w:rPr>
          <w:i/>
          <w:color w:val="000000" w:themeColor="text1"/>
          <w:sz w:val="24"/>
          <w:szCs w:val="24"/>
          <w:lang w:val="en-US"/>
        </w:rPr>
        <w:t>et al</w:t>
      </w:r>
      <w:r w:rsidR="00A60025" w:rsidRPr="00EA4B66">
        <w:rPr>
          <w:color w:val="000000" w:themeColor="text1"/>
          <w:sz w:val="24"/>
          <w:szCs w:val="24"/>
          <w:lang w:val="en-US"/>
        </w:rPr>
        <w:t xml:space="preserve">., 1994; Oliveira </w:t>
      </w:r>
      <w:r w:rsidR="00A60025" w:rsidRPr="00EA4B66">
        <w:rPr>
          <w:i/>
          <w:color w:val="000000" w:themeColor="text1"/>
          <w:sz w:val="24"/>
          <w:szCs w:val="24"/>
          <w:lang w:val="en-US"/>
        </w:rPr>
        <w:t>et al</w:t>
      </w:r>
      <w:r w:rsidR="00A60025" w:rsidRPr="00EA4B66">
        <w:rPr>
          <w:color w:val="000000" w:themeColor="text1"/>
          <w:sz w:val="24"/>
          <w:szCs w:val="24"/>
          <w:lang w:val="en-US"/>
        </w:rPr>
        <w:t>., 2006).</w:t>
      </w:r>
      <w:r w:rsidR="00104A78" w:rsidRPr="00EA4B66">
        <w:rPr>
          <w:color w:val="000000" w:themeColor="text1"/>
          <w:sz w:val="24"/>
          <w:szCs w:val="24"/>
          <w:lang w:val="en-US"/>
        </w:rPr>
        <w:t xml:space="preserve"> As</w:t>
      </w:r>
      <w:r w:rsidR="00690D8F" w:rsidRPr="00EA4B66">
        <w:rPr>
          <w:color w:val="000000" w:themeColor="text1"/>
          <w:sz w:val="24"/>
          <w:szCs w:val="24"/>
          <w:lang w:val="en-US"/>
        </w:rPr>
        <w:t xml:space="preserve"> existing </w:t>
      </w:r>
      <w:r w:rsidR="00384277" w:rsidRPr="00EA4B66">
        <w:rPr>
          <w:color w:val="000000" w:themeColor="text1"/>
          <w:sz w:val="24"/>
          <w:szCs w:val="24"/>
          <w:lang w:val="en-US"/>
        </w:rPr>
        <w:t>accounting standards</w:t>
      </w:r>
      <w:r w:rsidR="00104A78" w:rsidRPr="00EA4B66">
        <w:rPr>
          <w:color w:val="000000" w:themeColor="text1"/>
          <w:sz w:val="24"/>
          <w:szCs w:val="24"/>
          <w:lang w:val="en-US"/>
        </w:rPr>
        <w:t xml:space="preserve"> allow</w:t>
      </w:r>
      <w:r w:rsidR="00690D8F" w:rsidRPr="00EA4B66">
        <w:rPr>
          <w:color w:val="000000" w:themeColor="text1"/>
          <w:sz w:val="24"/>
          <w:szCs w:val="24"/>
          <w:lang w:val="en-US"/>
        </w:rPr>
        <w:t xml:space="preserve"> IC investments to be</w:t>
      </w:r>
      <w:r w:rsidR="00384277" w:rsidRPr="00EA4B66">
        <w:rPr>
          <w:color w:val="000000" w:themeColor="text1"/>
          <w:sz w:val="24"/>
          <w:szCs w:val="24"/>
          <w:lang w:val="en-US"/>
        </w:rPr>
        <w:t xml:space="preserve"> </w:t>
      </w:r>
      <w:r w:rsidR="00690D8F" w:rsidRPr="00EA4B66">
        <w:rPr>
          <w:color w:val="000000" w:themeColor="text1"/>
          <w:sz w:val="24"/>
          <w:szCs w:val="24"/>
          <w:lang w:val="en-US"/>
        </w:rPr>
        <w:t xml:space="preserve">expensed immediately, financial reports fail to adequately </w:t>
      </w:r>
      <w:r w:rsidR="00A34A66" w:rsidRPr="00EA4B66">
        <w:rPr>
          <w:color w:val="000000" w:themeColor="text1"/>
          <w:sz w:val="24"/>
          <w:szCs w:val="24"/>
          <w:lang w:val="en-US"/>
        </w:rPr>
        <w:t xml:space="preserve">reflect </w:t>
      </w:r>
      <w:r w:rsidR="00690D8F" w:rsidRPr="00EA4B66">
        <w:rPr>
          <w:color w:val="000000" w:themeColor="text1"/>
          <w:sz w:val="24"/>
          <w:szCs w:val="24"/>
          <w:lang w:val="en-US"/>
        </w:rPr>
        <w:t xml:space="preserve">such value-creating assets (Lev </w:t>
      </w:r>
      <w:r w:rsidR="0042157D" w:rsidRPr="00EA4B66">
        <w:rPr>
          <w:color w:val="000000" w:themeColor="text1"/>
          <w:sz w:val="24"/>
          <w:szCs w:val="24"/>
          <w:lang w:val="en-US"/>
        </w:rPr>
        <w:t>and</w:t>
      </w:r>
      <w:r w:rsidR="00690D8F" w:rsidRPr="00EA4B66">
        <w:rPr>
          <w:color w:val="000000" w:themeColor="text1"/>
          <w:sz w:val="24"/>
          <w:szCs w:val="24"/>
          <w:lang w:val="en-US"/>
        </w:rPr>
        <w:t xml:space="preserve"> Zarowin,</w:t>
      </w:r>
      <w:r w:rsidR="00BC0890" w:rsidRPr="00EA4B66">
        <w:rPr>
          <w:color w:val="000000" w:themeColor="text1"/>
          <w:sz w:val="24"/>
          <w:szCs w:val="24"/>
          <w:lang w:val="en-US"/>
        </w:rPr>
        <w:t xml:space="preserve"> </w:t>
      </w:r>
      <w:r w:rsidR="00690D8F" w:rsidRPr="00EA4B66">
        <w:rPr>
          <w:color w:val="000000" w:themeColor="text1"/>
          <w:sz w:val="24"/>
          <w:szCs w:val="24"/>
          <w:lang w:val="en-US"/>
        </w:rPr>
        <w:t xml:space="preserve">1999). </w:t>
      </w:r>
      <w:r w:rsidR="00BC0890" w:rsidRPr="00EA4B66">
        <w:rPr>
          <w:color w:val="000000" w:themeColor="text1"/>
          <w:sz w:val="24"/>
          <w:szCs w:val="24"/>
          <w:lang w:val="en-US"/>
        </w:rPr>
        <w:t>As a consequence, t</w:t>
      </w:r>
      <w:r w:rsidR="00690D8F" w:rsidRPr="00EA4B66">
        <w:rPr>
          <w:color w:val="000000" w:themeColor="text1"/>
          <w:sz w:val="24"/>
          <w:szCs w:val="24"/>
          <w:lang w:val="en-US"/>
        </w:rPr>
        <w:t>his gives</w:t>
      </w:r>
      <w:r w:rsidR="00384277" w:rsidRPr="00EA4B66">
        <w:rPr>
          <w:color w:val="000000" w:themeColor="text1"/>
          <w:sz w:val="24"/>
          <w:szCs w:val="24"/>
          <w:lang w:val="en-US"/>
        </w:rPr>
        <w:t xml:space="preserve"> </w:t>
      </w:r>
      <w:r w:rsidR="00690D8F" w:rsidRPr="00EA4B66">
        <w:rPr>
          <w:color w:val="000000" w:themeColor="text1"/>
          <w:sz w:val="24"/>
          <w:szCs w:val="24"/>
          <w:lang w:val="en-US"/>
        </w:rPr>
        <w:t xml:space="preserve">rise to increasing information asymmetry between firms and </w:t>
      </w:r>
      <w:r w:rsidR="00104A78" w:rsidRPr="00EA4B66">
        <w:rPr>
          <w:color w:val="000000" w:themeColor="text1"/>
          <w:sz w:val="24"/>
          <w:szCs w:val="24"/>
          <w:lang w:val="en-US"/>
        </w:rPr>
        <w:t xml:space="preserve">the </w:t>
      </w:r>
      <w:r w:rsidR="00690D8F" w:rsidRPr="00EA4B66">
        <w:rPr>
          <w:color w:val="000000" w:themeColor="text1"/>
          <w:sz w:val="24"/>
          <w:szCs w:val="24"/>
          <w:lang w:val="en-US"/>
        </w:rPr>
        <w:t>us</w:t>
      </w:r>
      <w:r w:rsidR="00104A78" w:rsidRPr="00EA4B66">
        <w:rPr>
          <w:color w:val="000000" w:themeColor="text1"/>
          <w:sz w:val="24"/>
          <w:szCs w:val="24"/>
          <w:lang w:val="en-US"/>
        </w:rPr>
        <w:t xml:space="preserve">ers of </w:t>
      </w:r>
      <w:r w:rsidR="00A34A66" w:rsidRPr="00EA4B66">
        <w:rPr>
          <w:color w:val="000000" w:themeColor="text1"/>
          <w:sz w:val="24"/>
          <w:szCs w:val="24"/>
          <w:lang w:val="en-US"/>
        </w:rPr>
        <w:t xml:space="preserve">their </w:t>
      </w:r>
      <w:r w:rsidR="00104A78" w:rsidRPr="00EA4B66">
        <w:rPr>
          <w:color w:val="000000" w:themeColor="text1"/>
          <w:sz w:val="24"/>
          <w:szCs w:val="24"/>
          <w:lang w:val="en-US"/>
        </w:rPr>
        <w:t>financial reports (Barth</w:t>
      </w:r>
      <w:r w:rsidR="00690D8F" w:rsidRPr="00EA4B66">
        <w:rPr>
          <w:color w:val="000000" w:themeColor="text1"/>
          <w:sz w:val="24"/>
          <w:szCs w:val="24"/>
          <w:lang w:val="en-US"/>
        </w:rPr>
        <w:t xml:space="preserve"> </w:t>
      </w:r>
      <w:r w:rsidR="00384277" w:rsidRPr="00EA4B66">
        <w:rPr>
          <w:i/>
          <w:color w:val="000000" w:themeColor="text1"/>
          <w:sz w:val="24"/>
          <w:szCs w:val="24"/>
          <w:lang w:val="en-US"/>
        </w:rPr>
        <w:t>et al.</w:t>
      </w:r>
      <w:r w:rsidR="00104A78" w:rsidRPr="00EA4B66">
        <w:rPr>
          <w:color w:val="000000" w:themeColor="text1"/>
          <w:sz w:val="24"/>
          <w:szCs w:val="24"/>
          <w:lang w:val="en-US"/>
        </w:rPr>
        <w:t>,</w:t>
      </w:r>
      <w:r w:rsidR="00690D8F" w:rsidRPr="00EA4B66">
        <w:rPr>
          <w:color w:val="000000" w:themeColor="text1"/>
          <w:sz w:val="24"/>
          <w:szCs w:val="24"/>
          <w:lang w:val="en-US"/>
        </w:rPr>
        <w:t xml:space="preserve"> 2001).</w:t>
      </w:r>
      <w:r w:rsidR="00384277" w:rsidRPr="00EA4B66">
        <w:rPr>
          <w:color w:val="000000" w:themeColor="text1"/>
          <w:sz w:val="24"/>
          <w:szCs w:val="24"/>
          <w:lang w:val="en-US"/>
        </w:rPr>
        <w:t xml:space="preserve"> </w:t>
      </w:r>
      <w:r w:rsidR="00104A78" w:rsidRPr="00EA4B66">
        <w:rPr>
          <w:color w:val="000000" w:themeColor="text1"/>
          <w:sz w:val="24"/>
          <w:szCs w:val="24"/>
          <w:lang w:val="en-US"/>
        </w:rPr>
        <w:t>Thus</w:t>
      </w:r>
      <w:r w:rsidR="00690D8F" w:rsidRPr="00EA4B66">
        <w:rPr>
          <w:color w:val="000000" w:themeColor="text1"/>
          <w:sz w:val="24"/>
          <w:szCs w:val="24"/>
          <w:lang w:val="en-US"/>
        </w:rPr>
        <w:t xml:space="preserve">, </w:t>
      </w:r>
      <w:r w:rsidR="00104A78" w:rsidRPr="00EA4B66">
        <w:rPr>
          <w:color w:val="000000" w:themeColor="text1"/>
          <w:sz w:val="24"/>
          <w:szCs w:val="24"/>
          <w:lang w:val="en-US"/>
        </w:rPr>
        <w:t xml:space="preserve">engaging a </w:t>
      </w:r>
      <w:r w:rsidR="00384277" w:rsidRPr="00EA4B66">
        <w:rPr>
          <w:color w:val="000000" w:themeColor="text1"/>
          <w:sz w:val="24"/>
          <w:szCs w:val="24"/>
          <w:lang w:val="en-US"/>
        </w:rPr>
        <w:t xml:space="preserve">high quality </w:t>
      </w:r>
      <w:r w:rsidR="00104A78" w:rsidRPr="00EA4B66">
        <w:rPr>
          <w:color w:val="000000" w:themeColor="text1"/>
          <w:sz w:val="24"/>
          <w:szCs w:val="24"/>
          <w:lang w:val="en-US"/>
        </w:rPr>
        <w:t xml:space="preserve">(Big-4) </w:t>
      </w:r>
      <w:r w:rsidR="00384277" w:rsidRPr="00EA4B66">
        <w:rPr>
          <w:color w:val="000000" w:themeColor="text1"/>
          <w:sz w:val="24"/>
          <w:szCs w:val="24"/>
          <w:lang w:val="en-US"/>
        </w:rPr>
        <w:t xml:space="preserve">auditor may </w:t>
      </w:r>
      <w:r w:rsidR="00104A78" w:rsidRPr="00EA4B66">
        <w:rPr>
          <w:color w:val="000000" w:themeColor="text1"/>
          <w:sz w:val="24"/>
          <w:szCs w:val="24"/>
          <w:lang w:val="en-US"/>
        </w:rPr>
        <w:t xml:space="preserve">give rise to </w:t>
      </w:r>
      <w:r w:rsidR="00384277" w:rsidRPr="00EA4B66">
        <w:rPr>
          <w:color w:val="000000" w:themeColor="text1"/>
          <w:sz w:val="24"/>
          <w:szCs w:val="24"/>
          <w:lang w:val="en-US"/>
        </w:rPr>
        <w:t xml:space="preserve">better </w:t>
      </w:r>
      <w:r w:rsidR="00104A78" w:rsidRPr="00EA4B66">
        <w:rPr>
          <w:color w:val="000000" w:themeColor="text1"/>
          <w:sz w:val="24"/>
          <w:szCs w:val="24"/>
          <w:lang w:val="en-US"/>
        </w:rPr>
        <w:t xml:space="preserve">firm </w:t>
      </w:r>
      <w:r w:rsidR="00384277" w:rsidRPr="00EA4B66">
        <w:rPr>
          <w:color w:val="000000" w:themeColor="text1"/>
          <w:sz w:val="24"/>
          <w:szCs w:val="24"/>
          <w:lang w:val="en-US"/>
        </w:rPr>
        <w:t xml:space="preserve">disclosure of </w:t>
      </w:r>
      <w:r w:rsidR="00690D8F" w:rsidRPr="00EA4B66">
        <w:rPr>
          <w:color w:val="000000" w:themeColor="text1"/>
          <w:sz w:val="24"/>
          <w:szCs w:val="24"/>
          <w:lang w:val="en-US"/>
        </w:rPr>
        <w:t>IC information</w:t>
      </w:r>
      <w:r w:rsidR="00EB46C6" w:rsidRPr="00EA4B66">
        <w:rPr>
          <w:color w:val="000000" w:themeColor="text1"/>
          <w:sz w:val="24"/>
          <w:szCs w:val="24"/>
          <w:lang w:val="en-US"/>
        </w:rPr>
        <w:t xml:space="preserve"> (Li </w:t>
      </w:r>
      <w:r w:rsidR="00EB46C6" w:rsidRPr="00EA4B66">
        <w:rPr>
          <w:i/>
          <w:color w:val="000000" w:themeColor="text1"/>
          <w:sz w:val="24"/>
          <w:szCs w:val="24"/>
          <w:lang w:val="en-US"/>
        </w:rPr>
        <w:t>et al.</w:t>
      </w:r>
      <w:r w:rsidR="00EB46C6" w:rsidRPr="00EA4B66">
        <w:rPr>
          <w:color w:val="000000" w:themeColor="text1"/>
          <w:sz w:val="24"/>
          <w:szCs w:val="24"/>
          <w:lang w:val="en-US"/>
        </w:rPr>
        <w:t xml:space="preserve">, </w:t>
      </w:r>
      <w:r w:rsidR="00521986" w:rsidRPr="00EA4B66">
        <w:rPr>
          <w:color w:val="000000" w:themeColor="text1"/>
          <w:sz w:val="24"/>
          <w:szCs w:val="24"/>
          <w:lang w:val="en-US"/>
        </w:rPr>
        <w:t>2012</w:t>
      </w:r>
      <w:r w:rsidR="00EB46C6" w:rsidRPr="00EA4B66">
        <w:rPr>
          <w:color w:val="000000" w:themeColor="text1"/>
          <w:sz w:val="24"/>
          <w:szCs w:val="24"/>
          <w:lang w:val="en-US"/>
        </w:rPr>
        <w:t>)</w:t>
      </w:r>
      <w:r w:rsidR="00104A78" w:rsidRPr="00EA4B66">
        <w:rPr>
          <w:color w:val="000000" w:themeColor="text1"/>
          <w:sz w:val="24"/>
          <w:szCs w:val="24"/>
          <w:lang w:val="en-US"/>
        </w:rPr>
        <w:t xml:space="preserve"> which in turn</w:t>
      </w:r>
      <w:r w:rsidR="00690D8F" w:rsidRPr="00EA4B66">
        <w:rPr>
          <w:color w:val="000000" w:themeColor="text1"/>
          <w:sz w:val="24"/>
          <w:szCs w:val="24"/>
          <w:lang w:val="en-US"/>
        </w:rPr>
        <w:t xml:space="preserve"> </w:t>
      </w:r>
      <w:r w:rsidR="009838D5" w:rsidRPr="00EA4B66">
        <w:rPr>
          <w:color w:val="000000" w:themeColor="text1"/>
          <w:sz w:val="24"/>
          <w:szCs w:val="24"/>
          <w:lang w:val="en-US"/>
        </w:rPr>
        <w:t>influence</w:t>
      </w:r>
      <w:r w:rsidR="00104A78" w:rsidRPr="00EA4B66">
        <w:rPr>
          <w:color w:val="000000" w:themeColor="text1"/>
          <w:sz w:val="24"/>
          <w:szCs w:val="24"/>
          <w:lang w:val="en-US"/>
        </w:rPr>
        <w:t>s firm</w:t>
      </w:r>
      <w:r w:rsidR="009838D5" w:rsidRPr="00EA4B66">
        <w:rPr>
          <w:color w:val="000000" w:themeColor="text1"/>
          <w:sz w:val="24"/>
          <w:szCs w:val="24"/>
          <w:lang w:val="en-US"/>
        </w:rPr>
        <w:t xml:space="preserve"> value</w:t>
      </w:r>
      <w:r w:rsidR="00104A78" w:rsidRPr="00EA4B66">
        <w:rPr>
          <w:color w:val="000000" w:themeColor="text1"/>
          <w:sz w:val="24"/>
          <w:szCs w:val="24"/>
          <w:lang w:val="en-US"/>
        </w:rPr>
        <w:t>, reduces investor</w:t>
      </w:r>
      <w:r w:rsidR="00690D8F" w:rsidRPr="00EA4B66">
        <w:rPr>
          <w:color w:val="000000" w:themeColor="text1"/>
          <w:sz w:val="24"/>
          <w:szCs w:val="24"/>
          <w:lang w:val="en-US"/>
        </w:rPr>
        <w:t xml:space="preserve"> uncertainty about future prospects</w:t>
      </w:r>
      <w:r w:rsidR="00BC0890" w:rsidRPr="00EA4B66">
        <w:rPr>
          <w:color w:val="000000" w:themeColor="text1"/>
          <w:sz w:val="24"/>
          <w:szCs w:val="24"/>
          <w:lang w:val="en-US"/>
        </w:rPr>
        <w:t>,</w:t>
      </w:r>
      <w:r w:rsidR="00690D8F" w:rsidRPr="00EA4B66">
        <w:rPr>
          <w:color w:val="000000" w:themeColor="text1"/>
          <w:sz w:val="24"/>
          <w:szCs w:val="24"/>
          <w:lang w:val="en-US"/>
        </w:rPr>
        <w:t xml:space="preserve"> and facilitates</w:t>
      </w:r>
      <w:r w:rsidR="00384277" w:rsidRPr="00EA4B66">
        <w:rPr>
          <w:color w:val="000000" w:themeColor="text1"/>
          <w:sz w:val="24"/>
          <w:szCs w:val="24"/>
          <w:lang w:val="en-US"/>
        </w:rPr>
        <w:t xml:space="preserve"> </w:t>
      </w:r>
      <w:r w:rsidR="00690D8F" w:rsidRPr="00EA4B66">
        <w:rPr>
          <w:color w:val="000000" w:themeColor="text1"/>
          <w:sz w:val="24"/>
          <w:szCs w:val="24"/>
          <w:lang w:val="en-US"/>
        </w:rPr>
        <w:t>a more precise valuation of the company</w:t>
      </w:r>
      <w:r w:rsidR="00BC0890" w:rsidRPr="00EA4B66">
        <w:rPr>
          <w:color w:val="000000" w:themeColor="text1"/>
          <w:sz w:val="24"/>
          <w:szCs w:val="24"/>
          <w:lang w:val="en-US"/>
        </w:rPr>
        <w:t>.</w:t>
      </w:r>
      <w:r w:rsidR="00A60025" w:rsidRPr="00EA4B66">
        <w:rPr>
          <w:color w:val="000000" w:themeColor="text1"/>
          <w:sz w:val="24"/>
          <w:szCs w:val="24"/>
          <w:lang w:val="en-US"/>
        </w:rPr>
        <w:t xml:space="preserve">  </w:t>
      </w:r>
    </w:p>
    <w:p w14:paraId="4804F01E" w14:textId="086C490D" w:rsidR="000C2279" w:rsidRPr="00EA4B66" w:rsidRDefault="00595A35" w:rsidP="00595A35">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A60025" w:rsidRPr="00EA4B66">
        <w:rPr>
          <w:color w:val="000000" w:themeColor="text1"/>
          <w:sz w:val="24"/>
          <w:szCs w:val="24"/>
          <w:lang w:val="en-US"/>
        </w:rPr>
        <w:t xml:space="preserve">The sign of </w:t>
      </w:r>
      <w:r w:rsidR="00A60025" w:rsidRPr="00EA4B66">
        <w:rPr>
          <w:i/>
          <w:color w:val="000000" w:themeColor="text1"/>
          <w:sz w:val="24"/>
          <w:szCs w:val="24"/>
          <w:lang w:val="en-US"/>
        </w:rPr>
        <w:t>OWN</w:t>
      </w:r>
      <w:r w:rsidR="00A60025" w:rsidRPr="00EA4B66">
        <w:rPr>
          <w:color w:val="000000" w:themeColor="text1"/>
          <w:sz w:val="24"/>
          <w:szCs w:val="24"/>
          <w:lang w:val="en-US"/>
        </w:rPr>
        <w:t xml:space="preserve"> is </w:t>
      </w:r>
      <w:r w:rsidR="00CB4182" w:rsidRPr="00EA4B66">
        <w:rPr>
          <w:color w:val="000000" w:themeColor="text1"/>
          <w:sz w:val="24"/>
          <w:szCs w:val="24"/>
          <w:lang w:val="en-US"/>
        </w:rPr>
        <w:t>negative</w:t>
      </w:r>
      <w:r w:rsidR="00A60025" w:rsidRPr="00EA4B66">
        <w:rPr>
          <w:color w:val="000000" w:themeColor="text1"/>
          <w:sz w:val="24"/>
          <w:szCs w:val="24"/>
          <w:lang w:val="en-US"/>
        </w:rPr>
        <w:t xml:space="preserve">, </w:t>
      </w:r>
      <w:r w:rsidR="00A34A66" w:rsidRPr="00EA4B66">
        <w:rPr>
          <w:color w:val="000000" w:themeColor="text1"/>
          <w:sz w:val="24"/>
          <w:szCs w:val="24"/>
          <w:lang w:val="en-US"/>
        </w:rPr>
        <w:t>which is</w:t>
      </w:r>
      <w:r w:rsidR="00CB4182" w:rsidRPr="00EA4B66">
        <w:rPr>
          <w:color w:val="000000" w:themeColor="text1"/>
          <w:sz w:val="24"/>
          <w:szCs w:val="24"/>
          <w:lang w:val="en-US"/>
        </w:rPr>
        <w:t xml:space="preserve"> </w:t>
      </w:r>
      <w:r w:rsidR="00A34A66" w:rsidRPr="00EA4B66">
        <w:rPr>
          <w:color w:val="000000" w:themeColor="text1"/>
          <w:sz w:val="24"/>
          <w:szCs w:val="24"/>
          <w:lang w:val="en-US"/>
        </w:rPr>
        <w:t>in</w:t>
      </w:r>
      <w:r w:rsidR="00A60025" w:rsidRPr="00EA4B66">
        <w:rPr>
          <w:color w:val="000000" w:themeColor="text1"/>
          <w:sz w:val="24"/>
          <w:szCs w:val="24"/>
          <w:lang w:val="en-US"/>
        </w:rPr>
        <w:t>consistent with expectation</w:t>
      </w:r>
      <w:r w:rsidR="007D03EA" w:rsidRPr="00EA4B66">
        <w:rPr>
          <w:color w:val="000000" w:themeColor="text1"/>
          <w:sz w:val="24"/>
          <w:szCs w:val="24"/>
          <w:lang w:val="en-US"/>
        </w:rPr>
        <w:t>s</w:t>
      </w:r>
      <w:r w:rsidR="00A60025" w:rsidRPr="00EA4B66">
        <w:rPr>
          <w:color w:val="000000" w:themeColor="text1"/>
          <w:sz w:val="24"/>
          <w:szCs w:val="24"/>
          <w:lang w:val="en-US"/>
        </w:rPr>
        <w:t>, though</w:t>
      </w:r>
      <w:r w:rsidR="00A34A66" w:rsidRPr="00EA4B66">
        <w:rPr>
          <w:color w:val="000000" w:themeColor="text1"/>
          <w:sz w:val="24"/>
          <w:szCs w:val="24"/>
          <w:lang w:val="en-US"/>
        </w:rPr>
        <w:t xml:space="preserve"> the coefficient</w:t>
      </w:r>
      <w:r w:rsidR="00A60025" w:rsidRPr="00EA4B66">
        <w:rPr>
          <w:color w:val="000000" w:themeColor="text1"/>
          <w:sz w:val="24"/>
          <w:szCs w:val="24"/>
          <w:lang w:val="en-US"/>
        </w:rPr>
        <w:t xml:space="preserve"> is </w:t>
      </w:r>
      <w:r w:rsidR="007D03EA" w:rsidRPr="00EA4B66">
        <w:rPr>
          <w:color w:val="000000" w:themeColor="text1"/>
          <w:sz w:val="24"/>
          <w:szCs w:val="24"/>
          <w:lang w:val="en-US"/>
        </w:rPr>
        <w:t>in</w:t>
      </w:r>
      <w:r w:rsidR="00A60025" w:rsidRPr="00EA4B66">
        <w:rPr>
          <w:color w:val="000000" w:themeColor="text1"/>
          <w:sz w:val="24"/>
          <w:szCs w:val="24"/>
          <w:lang w:val="en-US"/>
        </w:rPr>
        <w:t xml:space="preserve">significant. </w:t>
      </w:r>
      <w:r w:rsidR="00F752E5" w:rsidRPr="00EA4B66">
        <w:rPr>
          <w:color w:val="000000" w:themeColor="text1"/>
          <w:sz w:val="24"/>
          <w:szCs w:val="24"/>
          <w:lang w:val="en-US"/>
        </w:rPr>
        <w:t xml:space="preserve">The finding is consistent with </w:t>
      </w:r>
      <w:r w:rsidR="00A60025" w:rsidRPr="00EA4B66">
        <w:rPr>
          <w:color w:val="000000" w:themeColor="text1"/>
          <w:sz w:val="24"/>
          <w:szCs w:val="24"/>
          <w:lang w:val="en-US"/>
        </w:rPr>
        <w:t>Goebel (2015)</w:t>
      </w:r>
      <w:r w:rsidR="00B95DF7" w:rsidRPr="00EA4B66">
        <w:rPr>
          <w:color w:val="000000" w:themeColor="text1"/>
          <w:sz w:val="24"/>
          <w:szCs w:val="24"/>
          <w:lang w:val="en-US"/>
        </w:rPr>
        <w:t xml:space="preserve">, and </w:t>
      </w:r>
      <w:r w:rsidR="00A34A66" w:rsidRPr="00EA4B66">
        <w:rPr>
          <w:color w:val="000000" w:themeColor="text1"/>
          <w:sz w:val="24"/>
          <w:szCs w:val="24"/>
          <w:lang w:val="en-US"/>
        </w:rPr>
        <w:t>in</w:t>
      </w:r>
      <w:r w:rsidR="00B95DF7" w:rsidRPr="00EA4B66">
        <w:rPr>
          <w:color w:val="000000" w:themeColor="text1"/>
          <w:sz w:val="24"/>
          <w:szCs w:val="24"/>
          <w:lang w:val="en-US"/>
        </w:rPr>
        <w:t xml:space="preserve">consistent with Saleh </w:t>
      </w:r>
      <w:r w:rsidR="00B95DF7" w:rsidRPr="00EA4B66">
        <w:rPr>
          <w:i/>
          <w:color w:val="000000" w:themeColor="text1"/>
          <w:sz w:val="24"/>
          <w:szCs w:val="24"/>
          <w:lang w:val="en-US"/>
        </w:rPr>
        <w:t>et al.</w:t>
      </w:r>
      <w:r w:rsidR="00B95DF7" w:rsidRPr="00EA4B66">
        <w:rPr>
          <w:color w:val="000000" w:themeColor="text1"/>
          <w:sz w:val="24"/>
          <w:szCs w:val="24"/>
          <w:lang w:val="en-US"/>
        </w:rPr>
        <w:t xml:space="preserve"> (2009), who find a significant negative relationship between ownership concentration and IC value.</w:t>
      </w:r>
      <w:r w:rsidR="00F752E5" w:rsidRPr="00EA4B66">
        <w:rPr>
          <w:color w:val="000000" w:themeColor="text1"/>
          <w:sz w:val="24"/>
          <w:szCs w:val="24"/>
          <w:lang w:val="en-US"/>
        </w:rPr>
        <w:t xml:space="preserve"> </w:t>
      </w:r>
      <w:r w:rsidR="00A60025" w:rsidRPr="00EA4B66">
        <w:rPr>
          <w:color w:val="000000" w:themeColor="text1"/>
          <w:sz w:val="24"/>
          <w:szCs w:val="24"/>
          <w:lang w:val="en-US"/>
        </w:rPr>
        <w:t xml:space="preserve"> </w:t>
      </w:r>
      <w:r w:rsidR="00A34A66" w:rsidRPr="00EA4B66">
        <w:rPr>
          <w:color w:val="000000" w:themeColor="text1"/>
          <w:sz w:val="24"/>
          <w:szCs w:val="24"/>
          <w:lang w:val="en-US"/>
        </w:rPr>
        <w:t>I</w:t>
      </w:r>
      <w:r w:rsidR="00086AD1" w:rsidRPr="00EA4B66">
        <w:rPr>
          <w:color w:val="000000" w:themeColor="text1"/>
          <w:sz w:val="24"/>
          <w:szCs w:val="24"/>
          <w:lang w:val="en-US"/>
        </w:rPr>
        <w:t xml:space="preserve">t would appear </w:t>
      </w:r>
      <w:r w:rsidR="00104A78" w:rsidRPr="00EA4B66">
        <w:rPr>
          <w:color w:val="000000" w:themeColor="text1"/>
          <w:sz w:val="24"/>
          <w:szCs w:val="24"/>
          <w:lang w:val="en-US"/>
        </w:rPr>
        <w:t xml:space="preserve">that </w:t>
      </w:r>
      <w:r w:rsidR="00086AD1" w:rsidRPr="00EA4B66">
        <w:rPr>
          <w:color w:val="000000" w:themeColor="text1"/>
          <w:sz w:val="24"/>
          <w:szCs w:val="24"/>
          <w:lang w:val="en-US"/>
        </w:rPr>
        <w:t xml:space="preserve">the </w:t>
      </w:r>
      <w:r w:rsidR="00A41EFB" w:rsidRPr="00EA4B66">
        <w:rPr>
          <w:color w:val="000000" w:themeColor="text1"/>
          <w:sz w:val="24"/>
          <w:szCs w:val="24"/>
          <w:lang w:val="en-US"/>
        </w:rPr>
        <w:t xml:space="preserve">high </w:t>
      </w:r>
      <w:r w:rsidR="00086AD1" w:rsidRPr="00EA4B66">
        <w:rPr>
          <w:color w:val="000000" w:themeColor="text1"/>
          <w:sz w:val="24"/>
          <w:szCs w:val="24"/>
          <w:lang w:val="en-US"/>
        </w:rPr>
        <w:t xml:space="preserve">degree </w:t>
      </w:r>
      <w:r w:rsidR="00A41EFB" w:rsidRPr="00EA4B66">
        <w:rPr>
          <w:color w:val="000000" w:themeColor="text1"/>
          <w:sz w:val="24"/>
          <w:szCs w:val="24"/>
          <w:lang w:val="en-US"/>
        </w:rPr>
        <w:t xml:space="preserve">of </w:t>
      </w:r>
      <w:r w:rsidR="00A60025" w:rsidRPr="00EA4B66">
        <w:rPr>
          <w:color w:val="000000" w:themeColor="text1"/>
          <w:sz w:val="24"/>
          <w:szCs w:val="24"/>
          <w:lang w:val="en-US"/>
        </w:rPr>
        <w:t>ownership concentration</w:t>
      </w:r>
      <w:r w:rsidR="00A41EFB" w:rsidRPr="00EA4B66">
        <w:rPr>
          <w:color w:val="000000" w:themeColor="text1"/>
          <w:sz w:val="24"/>
          <w:szCs w:val="24"/>
          <w:lang w:val="en-US"/>
        </w:rPr>
        <w:t xml:space="preserve"> </w:t>
      </w:r>
      <w:r w:rsidR="00086AD1" w:rsidRPr="00EA4B66">
        <w:rPr>
          <w:color w:val="000000" w:themeColor="text1"/>
          <w:sz w:val="24"/>
          <w:szCs w:val="24"/>
          <w:lang w:val="en-US"/>
        </w:rPr>
        <w:t>observed across most of the</w:t>
      </w:r>
      <w:r w:rsidR="00A41EFB" w:rsidRPr="00EA4B66">
        <w:rPr>
          <w:color w:val="000000" w:themeColor="text1"/>
          <w:sz w:val="24"/>
          <w:szCs w:val="24"/>
          <w:lang w:val="en-US"/>
        </w:rPr>
        <w:t xml:space="preserve"> sample</w:t>
      </w:r>
      <w:r w:rsidR="00A60025" w:rsidRPr="00EA4B66">
        <w:rPr>
          <w:color w:val="000000" w:themeColor="text1"/>
          <w:sz w:val="24"/>
          <w:szCs w:val="24"/>
          <w:lang w:val="en-US"/>
        </w:rPr>
        <w:t xml:space="preserve"> </w:t>
      </w:r>
      <w:r w:rsidR="00086AD1" w:rsidRPr="00EA4B66">
        <w:rPr>
          <w:color w:val="000000" w:themeColor="text1"/>
          <w:sz w:val="24"/>
          <w:szCs w:val="24"/>
          <w:lang w:val="en-US"/>
        </w:rPr>
        <w:t xml:space="preserve">firms </w:t>
      </w:r>
      <w:r w:rsidR="00A60025" w:rsidRPr="00EA4B66">
        <w:rPr>
          <w:color w:val="000000" w:themeColor="text1"/>
          <w:sz w:val="24"/>
          <w:szCs w:val="24"/>
          <w:lang w:val="en-US"/>
        </w:rPr>
        <w:t>(</w:t>
      </w:r>
      <w:r w:rsidR="00086AD1" w:rsidRPr="00EA4B66">
        <w:rPr>
          <w:color w:val="000000" w:themeColor="text1"/>
          <w:sz w:val="24"/>
          <w:szCs w:val="24"/>
          <w:lang w:val="en-US"/>
        </w:rPr>
        <w:t xml:space="preserve">see </w:t>
      </w:r>
      <w:r w:rsidR="00A60025" w:rsidRPr="00EA4B66">
        <w:rPr>
          <w:color w:val="000000" w:themeColor="text1"/>
          <w:sz w:val="24"/>
          <w:szCs w:val="24"/>
          <w:lang w:val="en-US"/>
        </w:rPr>
        <w:t xml:space="preserve">Table </w:t>
      </w:r>
      <w:r w:rsidR="00855423">
        <w:rPr>
          <w:color w:val="000000" w:themeColor="text1"/>
          <w:sz w:val="24"/>
          <w:szCs w:val="24"/>
          <w:lang w:val="en-US"/>
        </w:rPr>
        <w:t>VI</w:t>
      </w:r>
      <w:r w:rsidR="00A60025" w:rsidRPr="00EA4B66">
        <w:rPr>
          <w:color w:val="000000" w:themeColor="text1"/>
          <w:sz w:val="24"/>
          <w:szCs w:val="24"/>
          <w:lang w:val="en-US"/>
        </w:rPr>
        <w:t>)</w:t>
      </w:r>
      <w:r w:rsidR="00104A78" w:rsidRPr="00EA4B66">
        <w:rPr>
          <w:color w:val="000000" w:themeColor="text1"/>
          <w:sz w:val="24"/>
          <w:szCs w:val="24"/>
          <w:lang w:val="en-US"/>
        </w:rPr>
        <w:t>, leads</w:t>
      </w:r>
      <w:r w:rsidR="00086AD1" w:rsidRPr="00EA4B66">
        <w:rPr>
          <w:color w:val="000000" w:themeColor="text1"/>
          <w:sz w:val="24"/>
          <w:szCs w:val="24"/>
          <w:lang w:val="en-US"/>
        </w:rPr>
        <w:t xml:space="preserve"> to less modelled variation with the </w:t>
      </w:r>
      <w:r w:rsidR="00DA4242">
        <w:rPr>
          <w:color w:val="000000" w:themeColor="text1"/>
          <w:sz w:val="24"/>
          <w:szCs w:val="24"/>
          <w:lang w:val="en-US"/>
        </w:rPr>
        <w:t>dependent</w:t>
      </w:r>
      <w:r w:rsidR="00A60025" w:rsidRPr="00EA4B66">
        <w:rPr>
          <w:color w:val="000000" w:themeColor="text1"/>
          <w:sz w:val="24"/>
          <w:szCs w:val="24"/>
          <w:lang w:val="en-US"/>
        </w:rPr>
        <w:t xml:space="preserve">. </w:t>
      </w:r>
    </w:p>
    <w:p w14:paraId="007C8B10" w14:textId="1FC48CAE" w:rsidR="000B4A46" w:rsidRPr="00850C81" w:rsidRDefault="00595A35" w:rsidP="00595A35">
      <w:pPr>
        <w:spacing w:after="0" w:line="240" w:lineRule="auto"/>
        <w:jc w:val="both"/>
        <w:rPr>
          <w:color w:val="000000" w:themeColor="text1"/>
          <w:sz w:val="24"/>
          <w:szCs w:val="24"/>
          <w:shd w:val="clear" w:color="auto" w:fill="FFFF00"/>
          <w:lang w:val="en-US"/>
        </w:rPr>
      </w:pPr>
      <w:r w:rsidRPr="00EA4B66">
        <w:rPr>
          <w:color w:val="000000" w:themeColor="text1"/>
          <w:sz w:val="24"/>
          <w:szCs w:val="24"/>
          <w:lang w:val="en-US"/>
        </w:rPr>
        <w:t xml:space="preserve">   </w:t>
      </w:r>
      <w:r w:rsidR="00413DE3" w:rsidRPr="00EA4B66">
        <w:rPr>
          <w:color w:val="000000" w:themeColor="text1"/>
          <w:sz w:val="24"/>
          <w:szCs w:val="24"/>
          <w:lang w:val="en-US"/>
        </w:rPr>
        <w:t>T</w:t>
      </w:r>
      <w:r w:rsidR="00A60025" w:rsidRPr="00EA4B66">
        <w:rPr>
          <w:color w:val="000000" w:themeColor="text1"/>
          <w:sz w:val="24"/>
          <w:szCs w:val="24"/>
          <w:lang w:val="en-US"/>
        </w:rPr>
        <w:t xml:space="preserve">he effect of </w:t>
      </w:r>
      <w:r w:rsidR="00A60025" w:rsidRPr="00EA4B66">
        <w:rPr>
          <w:i/>
          <w:color w:val="000000" w:themeColor="text1"/>
          <w:sz w:val="24"/>
          <w:szCs w:val="24"/>
          <w:lang w:val="en-US"/>
        </w:rPr>
        <w:t>FAM</w:t>
      </w:r>
      <w:r w:rsidR="00A60025" w:rsidRPr="00EA4B66">
        <w:rPr>
          <w:color w:val="000000" w:themeColor="text1"/>
          <w:sz w:val="24"/>
          <w:szCs w:val="24"/>
          <w:lang w:val="en-US"/>
        </w:rPr>
        <w:t xml:space="preserve"> is positive, consistent with expectation</w:t>
      </w:r>
      <w:r w:rsidR="00413DE3" w:rsidRPr="00EA4B66">
        <w:rPr>
          <w:color w:val="000000" w:themeColor="text1"/>
          <w:sz w:val="24"/>
          <w:szCs w:val="24"/>
          <w:lang w:val="en-US"/>
        </w:rPr>
        <w:t>s</w:t>
      </w:r>
      <w:r w:rsidR="00A60025" w:rsidRPr="00EA4B66">
        <w:rPr>
          <w:color w:val="000000" w:themeColor="text1"/>
          <w:sz w:val="24"/>
          <w:szCs w:val="24"/>
          <w:lang w:val="en-US"/>
        </w:rPr>
        <w:t xml:space="preserve">, </w:t>
      </w:r>
      <w:r w:rsidR="007A10A6" w:rsidRPr="00EA4B66">
        <w:rPr>
          <w:color w:val="000000" w:themeColor="text1"/>
          <w:sz w:val="24"/>
          <w:szCs w:val="24"/>
          <w:lang w:val="en-US"/>
        </w:rPr>
        <w:t xml:space="preserve">and </w:t>
      </w:r>
      <w:r w:rsidR="00A60025" w:rsidRPr="00EA4B66">
        <w:rPr>
          <w:color w:val="000000" w:themeColor="text1"/>
          <w:sz w:val="24"/>
          <w:szCs w:val="24"/>
          <w:lang w:val="en-US"/>
        </w:rPr>
        <w:t xml:space="preserve">significant at </w:t>
      </w:r>
      <w:r w:rsidR="00413DE3" w:rsidRPr="00EA4B66">
        <w:rPr>
          <w:color w:val="000000" w:themeColor="text1"/>
          <w:sz w:val="24"/>
          <w:szCs w:val="24"/>
          <w:lang w:val="en-US"/>
        </w:rPr>
        <w:t xml:space="preserve">the </w:t>
      </w:r>
      <w:r w:rsidR="00847652" w:rsidRPr="00EA4B66">
        <w:rPr>
          <w:color w:val="000000" w:themeColor="text1"/>
          <w:sz w:val="24"/>
          <w:szCs w:val="24"/>
          <w:lang w:val="en-US"/>
        </w:rPr>
        <w:t>5</w:t>
      </w:r>
      <w:r w:rsidR="00A60025" w:rsidRPr="00EA4B66">
        <w:rPr>
          <w:color w:val="000000" w:themeColor="text1"/>
          <w:sz w:val="24"/>
          <w:szCs w:val="24"/>
          <w:lang w:val="en-US"/>
        </w:rPr>
        <w:t>% level</w:t>
      </w:r>
      <w:r w:rsidR="00413DE3" w:rsidRPr="00EA4B66">
        <w:rPr>
          <w:color w:val="000000" w:themeColor="text1"/>
          <w:sz w:val="24"/>
          <w:szCs w:val="24"/>
          <w:lang w:val="en-US"/>
        </w:rPr>
        <w:t>, providing</w:t>
      </w:r>
      <w:r w:rsidR="00A60025" w:rsidRPr="00EA4B66">
        <w:rPr>
          <w:color w:val="000000" w:themeColor="text1"/>
          <w:sz w:val="24"/>
          <w:szCs w:val="24"/>
          <w:lang w:val="en-US"/>
        </w:rPr>
        <w:t xml:space="preserve"> support </w:t>
      </w:r>
      <w:r w:rsidR="00413DE3" w:rsidRPr="00EA4B66">
        <w:rPr>
          <w:color w:val="000000" w:themeColor="text1"/>
          <w:sz w:val="24"/>
          <w:szCs w:val="24"/>
          <w:lang w:val="en-US"/>
        </w:rPr>
        <w:t>for</w:t>
      </w:r>
      <w:r w:rsidR="00A60025" w:rsidRPr="00EA4B66">
        <w:rPr>
          <w:color w:val="000000" w:themeColor="text1"/>
          <w:sz w:val="24"/>
          <w:szCs w:val="24"/>
          <w:lang w:val="en-US"/>
        </w:rPr>
        <w:t xml:space="preserve"> </w:t>
      </w:r>
      <w:r w:rsidR="00475035" w:rsidRPr="00EA4B66">
        <w:rPr>
          <w:color w:val="000000" w:themeColor="text1"/>
          <w:sz w:val="24"/>
          <w:szCs w:val="24"/>
          <w:lang w:val="en-US"/>
        </w:rPr>
        <w:t>the influence of this “control” variable</w:t>
      </w:r>
      <w:r w:rsidR="00A60025" w:rsidRPr="00EA4B66">
        <w:rPr>
          <w:color w:val="000000" w:themeColor="text1"/>
          <w:sz w:val="24"/>
          <w:szCs w:val="24"/>
          <w:lang w:val="en-US"/>
        </w:rPr>
        <w:t xml:space="preserve">. </w:t>
      </w:r>
      <w:r w:rsidRPr="00EA4B66">
        <w:rPr>
          <w:color w:val="000000" w:themeColor="text1"/>
          <w:sz w:val="24"/>
          <w:szCs w:val="24"/>
          <w:lang w:val="en-US"/>
        </w:rPr>
        <w:t>This</w:t>
      </w:r>
      <w:r w:rsidR="00847652" w:rsidRPr="00EA4B66">
        <w:rPr>
          <w:color w:val="000000" w:themeColor="text1"/>
          <w:sz w:val="24"/>
          <w:szCs w:val="24"/>
          <w:lang w:val="en-US"/>
        </w:rPr>
        <w:t xml:space="preserve"> finding </w:t>
      </w:r>
      <w:r w:rsidR="00C05820" w:rsidRPr="00EA4B66">
        <w:rPr>
          <w:color w:val="000000" w:themeColor="text1"/>
          <w:sz w:val="24"/>
          <w:szCs w:val="24"/>
          <w:lang w:val="en-US"/>
        </w:rPr>
        <w:t xml:space="preserve">is </w:t>
      </w:r>
      <w:r w:rsidR="00104A78" w:rsidRPr="00EA4B66">
        <w:rPr>
          <w:color w:val="000000" w:themeColor="text1"/>
          <w:sz w:val="24"/>
          <w:szCs w:val="24"/>
          <w:lang w:val="en-US"/>
        </w:rPr>
        <w:t>in</w:t>
      </w:r>
      <w:r w:rsidR="00C05820" w:rsidRPr="00EA4B66">
        <w:rPr>
          <w:color w:val="000000" w:themeColor="text1"/>
          <w:sz w:val="24"/>
          <w:szCs w:val="24"/>
          <w:lang w:val="en-US"/>
        </w:rPr>
        <w:t xml:space="preserve">consistent with Saleh </w:t>
      </w:r>
      <w:r w:rsidR="00C05820" w:rsidRPr="00EA4B66">
        <w:rPr>
          <w:i/>
          <w:color w:val="000000" w:themeColor="text1"/>
          <w:sz w:val="24"/>
          <w:szCs w:val="24"/>
          <w:lang w:val="en-US"/>
        </w:rPr>
        <w:t>et al.</w:t>
      </w:r>
      <w:r w:rsidR="00C05820" w:rsidRPr="00EA4B66">
        <w:rPr>
          <w:color w:val="000000" w:themeColor="text1"/>
          <w:sz w:val="24"/>
          <w:szCs w:val="24"/>
          <w:lang w:val="en-US"/>
        </w:rPr>
        <w:t xml:space="preserve"> (2009) </w:t>
      </w:r>
      <w:r w:rsidR="00104A78" w:rsidRPr="00EA4B66">
        <w:rPr>
          <w:color w:val="000000" w:themeColor="text1"/>
          <w:sz w:val="24"/>
          <w:szCs w:val="24"/>
          <w:lang w:val="en-US"/>
        </w:rPr>
        <w:t>who analyze</w:t>
      </w:r>
      <w:r w:rsidR="00C05820" w:rsidRPr="00EA4B66">
        <w:rPr>
          <w:color w:val="000000" w:themeColor="text1"/>
          <w:sz w:val="24"/>
          <w:szCs w:val="24"/>
          <w:lang w:val="en-US"/>
        </w:rPr>
        <w:t xml:space="preserve"> listed Malaysian companies</w:t>
      </w:r>
      <w:r w:rsidR="00146E9A" w:rsidRPr="00EA4B66">
        <w:rPr>
          <w:color w:val="000000" w:themeColor="text1"/>
          <w:sz w:val="24"/>
          <w:szCs w:val="24"/>
          <w:lang w:val="en-US"/>
        </w:rPr>
        <w:t xml:space="preserve"> and</w:t>
      </w:r>
      <w:r w:rsidR="00C05820" w:rsidRPr="00EA4B66">
        <w:rPr>
          <w:color w:val="000000" w:themeColor="text1"/>
          <w:sz w:val="24"/>
          <w:szCs w:val="24"/>
          <w:lang w:val="en-US"/>
        </w:rPr>
        <w:t xml:space="preserve"> find a negative and significant </w:t>
      </w:r>
      <w:r w:rsidR="00C05820" w:rsidRPr="00200C0A">
        <w:rPr>
          <w:color w:val="000000" w:themeColor="text1"/>
          <w:sz w:val="24"/>
          <w:szCs w:val="24"/>
          <w:lang w:val="en-US"/>
        </w:rPr>
        <w:t xml:space="preserve">relationship between family </w:t>
      </w:r>
      <w:r w:rsidR="00146E9A" w:rsidRPr="00200C0A">
        <w:rPr>
          <w:color w:val="000000" w:themeColor="text1"/>
          <w:sz w:val="24"/>
          <w:szCs w:val="24"/>
          <w:lang w:val="en-US"/>
        </w:rPr>
        <w:t>ownership and VAIC</w:t>
      </w:r>
      <w:r w:rsidR="00C05820" w:rsidRPr="00200C0A">
        <w:rPr>
          <w:color w:val="000000" w:themeColor="text1"/>
          <w:sz w:val="24"/>
          <w:szCs w:val="24"/>
          <w:lang w:val="en-US"/>
        </w:rPr>
        <w:t xml:space="preserve">. </w:t>
      </w:r>
      <w:r w:rsidRPr="00200C0A">
        <w:rPr>
          <w:color w:val="000000" w:themeColor="text1"/>
          <w:sz w:val="24"/>
          <w:szCs w:val="24"/>
          <w:lang w:val="en-US"/>
        </w:rPr>
        <w:t>The</w:t>
      </w:r>
      <w:r w:rsidR="00EE1218" w:rsidRPr="00200C0A">
        <w:rPr>
          <w:color w:val="000000" w:themeColor="text1"/>
          <w:sz w:val="24"/>
          <w:szCs w:val="24"/>
          <w:lang w:val="en-US"/>
        </w:rPr>
        <w:t xml:space="preserve"> finding provide</w:t>
      </w:r>
      <w:r w:rsidR="00146E9A" w:rsidRPr="00200C0A">
        <w:rPr>
          <w:color w:val="000000" w:themeColor="text1"/>
          <w:sz w:val="24"/>
          <w:szCs w:val="24"/>
          <w:lang w:val="en-US"/>
        </w:rPr>
        <w:t>s</w:t>
      </w:r>
      <w:r w:rsidR="00EE1218" w:rsidRPr="00200C0A">
        <w:rPr>
          <w:color w:val="000000" w:themeColor="text1"/>
          <w:sz w:val="24"/>
          <w:szCs w:val="24"/>
          <w:lang w:val="en-US"/>
        </w:rPr>
        <w:t xml:space="preserve"> evidence for </w:t>
      </w:r>
      <w:r w:rsidR="00146E9A" w:rsidRPr="00200C0A">
        <w:rPr>
          <w:color w:val="000000" w:themeColor="text1"/>
          <w:sz w:val="24"/>
          <w:szCs w:val="24"/>
          <w:lang w:val="en-US"/>
        </w:rPr>
        <w:t xml:space="preserve">an </w:t>
      </w:r>
      <w:r w:rsidR="00EE1218" w:rsidRPr="00200C0A">
        <w:rPr>
          <w:color w:val="000000" w:themeColor="text1"/>
          <w:sz w:val="24"/>
          <w:szCs w:val="24"/>
          <w:lang w:val="en-US"/>
        </w:rPr>
        <w:t xml:space="preserve">alignment effect in these </w:t>
      </w:r>
      <w:r w:rsidR="000B4A46" w:rsidRPr="00200C0A">
        <w:rPr>
          <w:color w:val="000000" w:themeColor="text1"/>
          <w:sz w:val="24"/>
          <w:szCs w:val="24"/>
          <w:lang w:val="en-US"/>
        </w:rPr>
        <w:t xml:space="preserve">concentrated </w:t>
      </w:r>
      <w:r w:rsidR="00EE1218" w:rsidRPr="00200C0A">
        <w:rPr>
          <w:color w:val="000000" w:themeColor="text1"/>
          <w:sz w:val="24"/>
          <w:szCs w:val="24"/>
          <w:lang w:val="en-US"/>
        </w:rPr>
        <w:t xml:space="preserve">firms (Saleh </w:t>
      </w:r>
      <w:r w:rsidR="00EE1218" w:rsidRPr="00200C0A">
        <w:rPr>
          <w:i/>
          <w:color w:val="000000" w:themeColor="text1"/>
          <w:sz w:val="24"/>
          <w:szCs w:val="24"/>
          <w:lang w:val="en-US"/>
        </w:rPr>
        <w:t>et al</w:t>
      </w:r>
      <w:r w:rsidR="00EE1218" w:rsidRPr="00200C0A">
        <w:rPr>
          <w:color w:val="000000" w:themeColor="text1"/>
          <w:sz w:val="24"/>
          <w:szCs w:val="24"/>
          <w:lang w:val="en-US"/>
        </w:rPr>
        <w:t>., 200</w:t>
      </w:r>
      <w:r w:rsidR="00C73C95" w:rsidRPr="00200C0A">
        <w:rPr>
          <w:color w:val="000000" w:themeColor="text1"/>
          <w:sz w:val="24"/>
          <w:szCs w:val="24"/>
          <w:lang w:val="en-US"/>
        </w:rPr>
        <w:t>9</w:t>
      </w:r>
      <w:r w:rsidR="00EE1218" w:rsidRPr="00200C0A">
        <w:rPr>
          <w:color w:val="000000" w:themeColor="text1"/>
          <w:sz w:val="24"/>
          <w:szCs w:val="24"/>
          <w:lang w:val="en-US"/>
        </w:rPr>
        <w:t>)</w:t>
      </w:r>
      <w:r w:rsidR="00F83274" w:rsidRPr="00200C0A">
        <w:rPr>
          <w:color w:val="000000" w:themeColor="text1"/>
          <w:sz w:val="24"/>
          <w:szCs w:val="24"/>
          <w:lang w:val="en-US"/>
        </w:rPr>
        <w:t>, showing an influence of managerial decision</w:t>
      </w:r>
      <w:r w:rsidR="00146E9A" w:rsidRPr="00200C0A">
        <w:rPr>
          <w:color w:val="000000" w:themeColor="text1"/>
          <w:sz w:val="24"/>
          <w:szCs w:val="24"/>
          <w:lang w:val="en-US"/>
        </w:rPr>
        <w:t>s</w:t>
      </w:r>
      <w:r w:rsidR="00F83274" w:rsidRPr="00200C0A">
        <w:rPr>
          <w:color w:val="000000" w:themeColor="text1"/>
          <w:sz w:val="24"/>
          <w:szCs w:val="24"/>
          <w:lang w:val="en-US"/>
        </w:rPr>
        <w:t xml:space="preserve"> on </w:t>
      </w:r>
      <w:r w:rsidR="00146E9A" w:rsidRPr="00200C0A">
        <w:rPr>
          <w:color w:val="000000" w:themeColor="text1"/>
          <w:sz w:val="24"/>
          <w:szCs w:val="24"/>
          <w:lang w:val="en-US"/>
        </w:rPr>
        <w:t xml:space="preserve">the </w:t>
      </w:r>
      <w:r w:rsidR="0043379B" w:rsidRPr="00200C0A">
        <w:rPr>
          <w:color w:val="000000" w:themeColor="text1"/>
          <w:sz w:val="24"/>
          <w:szCs w:val="24"/>
          <w:lang w:val="en-US"/>
        </w:rPr>
        <w:t>IC</w:t>
      </w:r>
      <w:r w:rsidR="00146E9A" w:rsidRPr="00200C0A">
        <w:rPr>
          <w:color w:val="000000" w:themeColor="text1"/>
          <w:sz w:val="24"/>
          <w:szCs w:val="24"/>
          <w:lang w:val="en-US"/>
        </w:rPr>
        <w:t xml:space="preserve"> investment</w:t>
      </w:r>
      <w:r w:rsidR="00F83274" w:rsidRPr="00200C0A">
        <w:rPr>
          <w:color w:val="000000" w:themeColor="text1"/>
          <w:sz w:val="24"/>
          <w:szCs w:val="24"/>
          <w:lang w:val="en-US"/>
        </w:rPr>
        <w:t xml:space="preserve"> in these firms. </w:t>
      </w:r>
      <w:r w:rsidR="00A60025" w:rsidRPr="00200C0A">
        <w:rPr>
          <w:color w:val="000000" w:themeColor="text1"/>
          <w:sz w:val="24"/>
          <w:szCs w:val="24"/>
          <w:lang w:val="en-US"/>
        </w:rPr>
        <w:t xml:space="preserve">The </w:t>
      </w:r>
      <w:r w:rsidR="00413DE3" w:rsidRPr="00200C0A">
        <w:rPr>
          <w:color w:val="000000" w:themeColor="text1"/>
          <w:sz w:val="24"/>
          <w:szCs w:val="24"/>
          <w:lang w:val="en-US"/>
        </w:rPr>
        <w:t>weak relation</w:t>
      </w:r>
      <w:r w:rsidR="00A60025" w:rsidRPr="00200C0A">
        <w:rPr>
          <w:color w:val="000000" w:themeColor="text1"/>
          <w:sz w:val="24"/>
          <w:szCs w:val="24"/>
          <w:lang w:val="en-US"/>
        </w:rPr>
        <w:t xml:space="preserve"> may </w:t>
      </w:r>
      <w:r w:rsidR="00413DE3" w:rsidRPr="00200C0A">
        <w:rPr>
          <w:color w:val="000000" w:themeColor="text1"/>
          <w:sz w:val="24"/>
          <w:szCs w:val="24"/>
          <w:lang w:val="en-US"/>
        </w:rPr>
        <w:t xml:space="preserve">result from </w:t>
      </w:r>
      <w:r w:rsidR="00A60025" w:rsidRPr="00200C0A">
        <w:rPr>
          <w:color w:val="000000" w:themeColor="text1"/>
          <w:sz w:val="24"/>
          <w:szCs w:val="24"/>
          <w:lang w:val="en-US"/>
        </w:rPr>
        <w:t>only 22.9% of sample firms hav</w:t>
      </w:r>
      <w:r w:rsidR="00413DE3" w:rsidRPr="00200C0A">
        <w:rPr>
          <w:color w:val="000000" w:themeColor="text1"/>
          <w:sz w:val="24"/>
          <w:szCs w:val="24"/>
          <w:lang w:val="en-US"/>
        </w:rPr>
        <w:t>ing</w:t>
      </w:r>
      <w:r w:rsidR="00A60025" w:rsidRPr="00200C0A">
        <w:rPr>
          <w:color w:val="000000" w:themeColor="text1"/>
          <w:sz w:val="24"/>
          <w:szCs w:val="24"/>
          <w:lang w:val="en-US"/>
        </w:rPr>
        <w:t xml:space="preserve"> family ownership </w:t>
      </w:r>
      <w:r w:rsidR="00413DE3" w:rsidRPr="00200C0A">
        <w:rPr>
          <w:color w:val="000000" w:themeColor="text1"/>
          <w:sz w:val="24"/>
          <w:szCs w:val="24"/>
          <w:lang w:val="en-US"/>
        </w:rPr>
        <w:t>exceeding</w:t>
      </w:r>
      <w:r w:rsidR="00A60025" w:rsidRPr="00200C0A">
        <w:rPr>
          <w:color w:val="000000" w:themeColor="text1"/>
          <w:sz w:val="24"/>
          <w:szCs w:val="24"/>
          <w:lang w:val="en-US"/>
        </w:rPr>
        <w:t xml:space="preserve"> 50%.</w:t>
      </w:r>
      <w:r w:rsidR="008F161F">
        <w:rPr>
          <w:color w:val="000000" w:themeColor="text1"/>
          <w:sz w:val="24"/>
          <w:szCs w:val="24"/>
          <w:lang w:val="en-US"/>
        </w:rPr>
        <w:t xml:space="preserve"> Thus</w:t>
      </w:r>
      <w:r w:rsidR="00413DE3" w:rsidRPr="00200C0A">
        <w:rPr>
          <w:color w:val="000000" w:themeColor="text1"/>
          <w:sz w:val="24"/>
          <w:szCs w:val="24"/>
          <w:lang w:val="en-US"/>
        </w:rPr>
        <w:t xml:space="preserve">, </w:t>
      </w:r>
      <w:r w:rsidR="00A60025" w:rsidRPr="00200C0A">
        <w:rPr>
          <w:color w:val="000000" w:themeColor="text1"/>
          <w:sz w:val="24"/>
          <w:szCs w:val="24"/>
          <w:lang w:val="en-US"/>
        </w:rPr>
        <w:t xml:space="preserve">family controlled companies </w:t>
      </w:r>
      <w:r w:rsidR="00413DE3" w:rsidRPr="00200C0A">
        <w:rPr>
          <w:color w:val="000000" w:themeColor="text1"/>
          <w:sz w:val="24"/>
          <w:szCs w:val="24"/>
          <w:lang w:val="en-US"/>
        </w:rPr>
        <w:t xml:space="preserve">appear to </w:t>
      </w:r>
      <w:r w:rsidR="00A60025" w:rsidRPr="00200C0A">
        <w:rPr>
          <w:color w:val="000000" w:themeColor="text1"/>
          <w:sz w:val="24"/>
          <w:szCs w:val="24"/>
          <w:lang w:val="en-US"/>
        </w:rPr>
        <w:t>perform better than non-family controlled companies</w:t>
      </w:r>
      <w:r w:rsidR="00413DE3" w:rsidRPr="00200C0A">
        <w:rPr>
          <w:color w:val="000000" w:themeColor="text1"/>
          <w:sz w:val="24"/>
          <w:szCs w:val="24"/>
          <w:lang w:val="en-US"/>
        </w:rPr>
        <w:t xml:space="preserve"> by creating more value.</w:t>
      </w:r>
      <w:r w:rsidR="00413DE3" w:rsidRPr="00EA4B66">
        <w:rPr>
          <w:color w:val="000000" w:themeColor="text1"/>
          <w:sz w:val="24"/>
          <w:szCs w:val="24"/>
          <w:lang w:val="en-US"/>
        </w:rPr>
        <w:t xml:space="preserve"> </w:t>
      </w:r>
    </w:p>
    <w:p w14:paraId="5EFEBB59" w14:textId="777B791D" w:rsidR="000D19E0" w:rsidRPr="00EA4B66" w:rsidRDefault="000D19E0" w:rsidP="00146E9A">
      <w:pPr>
        <w:spacing w:after="0" w:line="240" w:lineRule="auto"/>
        <w:jc w:val="both"/>
        <w:rPr>
          <w:color w:val="000000" w:themeColor="text1"/>
          <w:sz w:val="24"/>
          <w:szCs w:val="24"/>
          <w:lang w:val="en-US"/>
        </w:rPr>
      </w:pPr>
    </w:p>
    <w:p w14:paraId="35224EEB" w14:textId="7C405F9E" w:rsidR="0028384A" w:rsidRPr="00EA4B66" w:rsidRDefault="0028384A" w:rsidP="0028384A">
      <w:pPr>
        <w:spacing w:after="0" w:line="240" w:lineRule="auto"/>
        <w:jc w:val="both"/>
        <w:rPr>
          <w:b/>
          <w:color w:val="000000" w:themeColor="text1"/>
          <w:sz w:val="24"/>
          <w:szCs w:val="24"/>
          <w:lang w:val="en-US"/>
        </w:rPr>
      </w:pPr>
      <w:r w:rsidRPr="00EA4B66">
        <w:rPr>
          <w:b/>
          <w:color w:val="000000" w:themeColor="text1"/>
          <w:sz w:val="24"/>
          <w:szCs w:val="24"/>
          <w:lang w:val="en-US"/>
        </w:rPr>
        <w:t>6. Robustness test</w:t>
      </w:r>
      <w:r w:rsidR="00CA11F1" w:rsidRPr="00EA4B66">
        <w:rPr>
          <w:b/>
          <w:color w:val="000000" w:themeColor="text1"/>
          <w:sz w:val="24"/>
          <w:szCs w:val="24"/>
          <w:lang w:val="en-US"/>
        </w:rPr>
        <w:t>s</w:t>
      </w:r>
    </w:p>
    <w:p w14:paraId="281138BB" w14:textId="6E84265C" w:rsidR="00FB3099" w:rsidRPr="00EA4B66" w:rsidRDefault="00731360" w:rsidP="00FB3099">
      <w:pPr>
        <w:spacing w:after="0" w:line="240" w:lineRule="auto"/>
        <w:jc w:val="both"/>
        <w:rPr>
          <w:color w:val="000000" w:themeColor="text1"/>
          <w:sz w:val="24"/>
          <w:szCs w:val="24"/>
          <w:lang w:val="en-US"/>
        </w:rPr>
      </w:pPr>
      <w:r w:rsidRPr="00EA4B66">
        <w:rPr>
          <w:color w:val="000000" w:themeColor="text1"/>
          <w:sz w:val="24"/>
          <w:szCs w:val="24"/>
          <w:lang w:val="en-US"/>
        </w:rPr>
        <w:t xml:space="preserve">   To ensure the robustness of the findings</w:t>
      </w:r>
      <w:r w:rsidR="00E3423F" w:rsidRPr="00EA4B66">
        <w:rPr>
          <w:color w:val="000000" w:themeColor="text1"/>
          <w:sz w:val="24"/>
          <w:szCs w:val="24"/>
          <w:lang w:val="en-US"/>
        </w:rPr>
        <w:t xml:space="preserve"> in the main model</w:t>
      </w:r>
      <w:r w:rsidRPr="00EA4B66">
        <w:rPr>
          <w:color w:val="000000" w:themeColor="text1"/>
          <w:sz w:val="24"/>
          <w:szCs w:val="24"/>
          <w:lang w:val="en-US"/>
        </w:rPr>
        <w:t xml:space="preserve">, the investigation was repeated using </w:t>
      </w:r>
      <w:r w:rsidR="00331E74" w:rsidRPr="00EA4B66">
        <w:rPr>
          <w:color w:val="000000" w:themeColor="text1"/>
          <w:sz w:val="24"/>
          <w:szCs w:val="24"/>
          <w:lang w:val="en-US"/>
        </w:rPr>
        <w:t xml:space="preserve">a </w:t>
      </w:r>
      <w:r w:rsidRPr="00EA4B66">
        <w:rPr>
          <w:color w:val="000000" w:themeColor="text1"/>
          <w:sz w:val="24"/>
          <w:szCs w:val="24"/>
          <w:lang w:val="en-US"/>
        </w:rPr>
        <w:t xml:space="preserve">different </w:t>
      </w:r>
      <w:r w:rsidR="00431ED8" w:rsidRPr="00EA4B66">
        <w:rPr>
          <w:color w:val="000000" w:themeColor="text1"/>
          <w:sz w:val="24"/>
          <w:szCs w:val="24"/>
          <w:lang w:val="en-US"/>
        </w:rPr>
        <w:t xml:space="preserve">dependent </w:t>
      </w:r>
      <w:r w:rsidR="00A24267" w:rsidRPr="00EA4B66">
        <w:rPr>
          <w:color w:val="000000" w:themeColor="text1"/>
          <w:sz w:val="24"/>
          <w:szCs w:val="24"/>
          <w:lang w:val="en-US"/>
        </w:rPr>
        <w:t xml:space="preserve">variable </w:t>
      </w:r>
      <w:r w:rsidR="00331E74" w:rsidRPr="00EA4B66">
        <w:rPr>
          <w:color w:val="000000" w:themeColor="text1"/>
          <w:sz w:val="24"/>
          <w:szCs w:val="24"/>
          <w:lang w:val="en-US"/>
        </w:rPr>
        <w:t xml:space="preserve">and a different ratio </w:t>
      </w:r>
      <w:r w:rsidR="00AA207B" w:rsidRPr="00EA4B66">
        <w:rPr>
          <w:color w:val="000000" w:themeColor="text1"/>
          <w:sz w:val="24"/>
          <w:szCs w:val="24"/>
          <w:lang w:val="en-US"/>
        </w:rPr>
        <w:t xml:space="preserve">to </w:t>
      </w:r>
      <w:r w:rsidR="00331E74" w:rsidRPr="00EA4B66">
        <w:rPr>
          <w:color w:val="000000" w:themeColor="text1"/>
          <w:sz w:val="24"/>
          <w:szCs w:val="24"/>
          <w:lang w:val="en-US"/>
        </w:rPr>
        <w:t>measur</w:t>
      </w:r>
      <w:r w:rsidR="00AA207B" w:rsidRPr="00EA4B66">
        <w:rPr>
          <w:color w:val="000000" w:themeColor="text1"/>
          <w:sz w:val="24"/>
          <w:szCs w:val="24"/>
          <w:lang w:val="en-US"/>
        </w:rPr>
        <w:t>e</w:t>
      </w:r>
      <w:r w:rsidR="00331E74" w:rsidRPr="00EA4B66">
        <w:rPr>
          <w:color w:val="000000" w:themeColor="text1"/>
          <w:sz w:val="24"/>
          <w:szCs w:val="24"/>
          <w:lang w:val="en-US"/>
        </w:rPr>
        <w:t xml:space="preserve"> firm profitability. </w:t>
      </w:r>
      <w:r w:rsidRPr="00EA4B66">
        <w:rPr>
          <w:color w:val="000000" w:themeColor="text1"/>
          <w:sz w:val="24"/>
          <w:szCs w:val="24"/>
          <w:lang w:val="en-US"/>
        </w:rPr>
        <w:t>The findings obtained</w:t>
      </w:r>
      <w:r w:rsidR="00DD4969" w:rsidRPr="00EA4B66">
        <w:rPr>
          <w:color w:val="000000" w:themeColor="text1"/>
          <w:sz w:val="24"/>
          <w:szCs w:val="24"/>
          <w:lang w:val="en-US"/>
        </w:rPr>
        <w:t xml:space="preserve">, </w:t>
      </w:r>
      <w:r w:rsidR="00AA207B" w:rsidRPr="00EA4B66">
        <w:rPr>
          <w:color w:val="000000" w:themeColor="text1"/>
          <w:sz w:val="24"/>
          <w:szCs w:val="24"/>
          <w:lang w:val="en-US"/>
        </w:rPr>
        <w:t xml:space="preserve">as </w:t>
      </w:r>
      <w:r w:rsidR="00DD4969" w:rsidRPr="00EA4B66">
        <w:rPr>
          <w:color w:val="000000" w:themeColor="text1"/>
          <w:sz w:val="24"/>
          <w:szCs w:val="24"/>
          <w:lang w:val="en-US"/>
        </w:rPr>
        <w:t xml:space="preserve">shown in Table </w:t>
      </w:r>
      <w:r w:rsidR="00855423">
        <w:rPr>
          <w:color w:val="000000" w:themeColor="text1"/>
          <w:sz w:val="24"/>
          <w:szCs w:val="24"/>
          <w:lang w:val="en-US"/>
        </w:rPr>
        <w:t>IX</w:t>
      </w:r>
      <w:r w:rsidR="00DD4969" w:rsidRPr="00EA4B66">
        <w:rPr>
          <w:color w:val="000000" w:themeColor="text1"/>
          <w:sz w:val="24"/>
          <w:szCs w:val="24"/>
          <w:lang w:val="en-US"/>
        </w:rPr>
        <w:t>,</w:t>
      </w:r>
      <w:r w:rsidRPr="00EA4B66">
        <w:rPr>
          <w:color w:val="000000" w:themeColor="text1"/>
          <w:sz w:val="24"/>
          <w:szCs w:val="24"/>
          <w:lang w:val="en-US"/>
        </w:rPr>
        <w:t xml:space="preserve"> </w:t>
      </w:r>
      <w:r w:rsidR="00AA207B" w:rsidRPr="00EA4B66">
        <w:rPr>
          <w:color w:val="000000" w:themeColor="text1"/>
          <w:sz w:val="24"/>
          <w:szCs w:val="24"/>
          <w:lang w:val="en-US"/>
        </w:rPr>
        <w:t xml:space="preserve">are </w:t>
      </w:r>
      <w:r w:rsidRPr="00EA4B66">
        <w:rPr>
          <w:color w:val="000000" w:themeColor="text1"/>
          <w:sz w:val="24"/>
          <w:szCs w:val="24"/>
          <w:lang w:val="en-US"/>
        </w:rPr>
        <w:t>qualitatively similar to those shown</w:t>
      </w:r>
      <w:r w:rsidR="00DD4969" w:rsidRPr="00EA4B66">
        <w:rPr>
          <w:color w:val="000000" w:themeColor="text1"/>
          <w:sz w:val="24"/>
          <w:szCs w:val="24"/>
          <w:lang w:val="en-US"/>
        </w:rPr>
        <w:t xml:space="preserve"> </w:t>
      </w:r>
      <w:r w:rsidR="00AA207B" w:rsidRPr="00EA4B66">
        <w:rPr>
          <w:color w:val="000000" w:themeColor="text1"/>
          <w:sz w:val="24"/>
          <w:szCs w:val="24"/>
          <w:lang w:val="en-US"/>
        </w:rPr>
        <w:t>for</w:t>
      </w:r>
      <w:r w:rsidR="00DD4969" w:rsidRPr="00EA4B66">
        <w:rPr>
          <w:color w:val="000000" w:themeColor="text1"/>
          <w:sz w:val="24"/>
          <w:szCs w:val="24"/>
          <w:lang w:val="en-US"/>
        </w:rPr>
        <w:t xml:space="preserve"> Model 1</w:t>
      </w:r>
      <w:r w:rsidR="00AA207B" w:rsidRPr="00EA4B66">
        <w:rPr>
          <w:color w:val="000000" w:themeColor="text1"/>
          <w:sz w:val="24"/>
          <w:szCs w:val="24"/>
          <w:lang w:val="en-US"/>
        </w:rPr>
        <w:t xml:space="preserve"> in Table </w:t>
      </w:r>
      <w:r w:rsidR="00855423">
        <w:rPr>
          <w:color w:val="000000" w:themeColor="text1"/>
          <w:sz w:val="24"/>
          <w:szCs w:val="24"/>
          <w:lang w:val="en-US"/>
        </w:rPr>
        <w:t>VIII</w:t>
      </w:r>
      <w:r w:rsidRPr="00EA4B66">
        <w:rPr>
          <w:color w:val="000000" w:themeColor="text1"/>
          <w:sz w:val="24"/>
          <w:szCs w:val="24"/>
          <w:lang w:val="en-US"/>
        </w:rPr>
        <w:t>.</w:t>
      </w:r>
      <w:r w:rsidR="00DD4969" w:rsidRPr="00EA4B66">
        <w:rPr>
          <w:color w:val="000000" w:themeColor="text1"/>
          <w:sz w:val="24"/>
          <w:szCs w:val="24"/>
          <w:lang w:val="en-US"/>
        </w:rPr>
        <w:t xml:space="preserve"> </w:t>
      </w:r>
      <w:r w:rsidR="00112DC8" w:rsidRPr="00EA4B66">
        <w:rPr>
          <w:color w:val="000000" w:themeColor="text1"/>
          <w:sz w:val="24"/>
          <w:szCs w:val="24"/>
          <w:lang w:val="en-US"/>
        </w:rPr>
        <w:t xml:space="preserve">Only the differences </w:t>
      </w:r>
      <w:r w:rsidR="00AA207B" w:rsidRPr="00EA4B66">
        <w:rPr>
          <w:color w:val="000000" w:themeColor="text1"/>
          <w:sz w:val="24"/>
          <w:szCs w:val="24"/>
          <w:lang w:val="en-US"/>
        </w:rPr>
        <w:t xml:space="preserve">in relation to </w:t>
      </w:r>
      <w:r w:rsidR="00112DC8" w:rsidRPr="00EA4B66">
        <w:rPr>
          <w:color w:val="000000" w:themeColor="text1"/>
          <w:sz w:val="24"/>
          <w:szCs w:val="24"/>
          <w:lang w:val="en-US"/>
        </w:rPr>
        <w:t xml:space="preserve">the main model </w:t>
      </w:r>
      <w:r w:rsidR="00BC77A0" w:rsidRPr="00EA4B66">
        <w:rPr>
          <w:color w:val="000000" w:themeColor="text1"/>
          <w:sz w:val="24"/>
          <w:szCs w:val="24"/>
          <w:lang w:val="en-US"/>
        </w:rPr>
        <w:t xml:space="preserve">(Model 1) </w:t>
      </w:r>
      <w:r w:rsidR="00112DC8" w:rsidRPr="00EA4B66">
        <w:rPr>
          <w:color w:val="000000" w:themeColor="text1"/>
          <w:sz w:val="24"/>
          <w:szCs w:val="24"/>
          <w:lang w:val="en-US"/>
        </w:rPr>
        <w:t>are highlighted</w:t>
      </w:r>
      <w:r w:rsidR="00B90DBA" w:rsidRPr="00EA4B66">
        <w:rPr>
          <w:color w:val="000000" w:themeColor="text1"/>
          <w:sz w:val="24"/>
          <w:szCs w:val="24"/>
          <w:lang w:val="en-US"/>
        </w:rPr>
        <w:t xml:space="preserve"> </w:t>
      </w:r>
      <w:r w:rsidR="00AA207B" w:rsidRPr="00EA4B66">
        <w:rPr>
          <w:color w:val="000000" w:themeColor="text1"/>
          <w:sz w:val="24"/>
          <w:szCs w:val="24"/>
          <w:lang w:val="en-US"/>
        </w:rPr>
        <w:t>here</w:t>
      </w:r>
      <w:r w:rsidR="00112DC8" w:rsidRPr="00EA4B66">
        <w:rPr>
          <w:color w:val="000000" w:themeColor="text1"/>
          <w:sz w:val="24"/>
          <w:szCs w:val="24"/>
          <w:lang w:val="en-US"/>
        </w:rPr>
        <w:t xml:space="preserve">. </w:t>
      </w:r>
      <w:r w:rsidR="00AA207B" w:rsidRPr="00EA4B66">
        <w:rPr>
          <w:color w:val="000000" w:themeColor="text1"/>
          <w:sz w:val="24"/>
          <w:szCs w:val="24"/>
          <w:lang w:val="en-US"/>
        </w:rPr>
        <w:t>M</w:t>
      </w:r>
      <w:r w:rsidR="0016294E" w:rsidRPr="00EA4B66">
        <w:rPr>
          <w:color w:val="000000" w:themeColor="text1"/>
          <w:sz w:val="24"/>
          <w:szCs w:val="24"/>
          <w:lang w:val="en-US"/>
        </w:rPr>
        <w:t xml:space="preserve">odel </w:t>
      </w:r>
      <w:r w:rsidR="00673783" w:rsidRPr="00EA4B66">
        <w:rPr>
          <w:color w:val="000000" w:themeColor="text1"/>
          <w:sz w:val="24"/>
          <w:szCs w:val="24"/>
          <w:lang w:val="en-US"/>
        </w:rPr>
        <w:t xml:space="preserve">2 </w:t>
      </w:r>
      <w:r w:rsidR="0016294E" w:rsidRPr="00EA4B66">
        <w:rPr>
          <w:color w:val="000000" w:themeColor="text1"/>
          <w:sz w:val="24"/>
          <w:szCs w:val="24"/>
          <w:lang w:val="en-US"/>
        </w:rPr>
        <w:t xml:space="preserve">is similar to </w:t>
      </w:r>
      <w:r w:rsidR="00AA207B" w:rsidRPr="00EA4B66">
        <w:rPr>
          <w:color w:val="000000" w:themeColor="text1"/>
          <w:sz w:val="24"/>
          <w:szCs w:val="24"/>
          <w:lang w:val="en-US"/>
        </w:rPr>
        <w:t>M</w:t>
      </w:r>
      <w:r w:rsidR="0016294E" w:rsidRPr="00EA4B66">
        <w:rPr>
          <w:color w:val="000000" w:themeColor="text1"/>
          <w:sz w:val="24"/>
          <w:szCs w:val="24"/>
          <w:lang w:val="en-US"/>
        </w:rPr>
        <w:t xml:space="preserve">odel 1, </w:t>
      </w:r>
      <w:r w:rsidR="00AA207B" w:rsidRPr="00EA4B66">
        <w:rPr>
          <w:color w:val="000000" w:themeColor="text1"/>
          <w:sz w:val="24"/>
          <w:szCs w:val="24"/>
          <w:lang w:val="en-US"/>
        </w:rPr>
        <w:t xml:space="preserve">though </w:t>
      </w:r>
      <w:r w:rsidR="0016294E" w:rsidRPr="00EA4B66">
        <w:rPr>
          <w:color w:val="000000" w:themeColor="text1"/>
          <w:sz w:val="24"/>
          <w:szCs w:val="24"/>
          <w:lang w:val="en-US"/>
        </w:rPr>
        <w:t xml:space="preserve">the </w:t>
      </w:r>
      <w:r w:rsidR="0016294E" w:rsidRPr="00EA4B66">
        <w:rPr>
          <w:i/>
          <w:color w:val="000000" w:themeColor="text1"/>
          <w:sz w:val="24"/>
          <w:szCs w:val="24"/>
          <w:lang w:val="en-US"/>
        </w:rPr>
        <w:t>ROA</w:t>
      </w:r>
      <w:r w:rsidR="0016294E" w:rsidRPr="00EA4B66">
        <w:rPr>
          <w:color w:val="000000" w:themeColor="text1"/>
          <w:sz w:val="24"/>
          <w:szCs w:val="24"/>
          <w:lang w:val="en-US"/>
        </w:rPr>
        <w:t xml:space="preserve"> ratio </w:t>
      </w:r>
      <w:r w:rsidR="00D620F1" w:rsidRPr="00EA4B66">
        <w:rPr>
          <w:color w:val="000000" w:themeColor="text1"/>
          <w:sz w:val="24"/>
          <w:szCs w:val="24"/>
          <w:lang w:val="en-US"/>
        </w:rPr>
        <w:t>(</w:t>
      </w:r>
      <w:r w:rsidR="00FB3099" w:rsidRPr="00EA4B66">
        <w:rPr>
          <w:color w:val="000000" w:themeColor="text1"/>
          <w:sz w:val="24"/>
          <w:szCs w:val="24"/>
          <w:lang w:val="en-US"/>
        </w:rPr>
        <w:t>as provided</w:t>
      </w:r>
      <w:r w:rsidR="00D620F1" w:rsidRPr="00EA4B66">
        <w:rPr>
          <w:color w:val="000000" w:themeColor="text1"/>
          <w:sz w:val="24"/>
          <w:szCs w:val="24"/>
          <w:lang w:val="en-US"/>
        </w:rPr>
        <w:t xml:space="preserve"> by </w:t>
      </w:r>
      <w:r w:rsidR="00FB3099" w:rsidRPr="00EA4B66">
        <w:rPr>
          <w:color w:val="000000" w:themeColor="text1"/>
          <w:sz w:val="24"/>
          <w:szCs w:val="24"/>
          <w:lang w:val="en-US"/>
        </w:rPr>
        <w:t xml:space="preserve">the </w:t>
      </w:r>
      <w:r w:rsidR="00D620F1" w:rsidRPr="00EA4B66">
        <w:rPr>
          <w:color w:val="000000" w:themeColor="text1"/>
          <w:sz w:val="24"/>
          <w:szCs w:val="24"/>
          <w:lang w:val="en-US"/>
        </w:rPr>
        <w:t xml:space="preserve">AIDA Database) </w:t>
      </w:r>
      <w:r w:rsidR="0016294E" w:rsidRPr="00EA4B66">
        <w:rPr>
          <w:color w:val="000000" w:themeColor="text1"/>
          <w:sz w:val="24"/>
          <w:szCs w:val="24"/>
          <w:lang w:val="en-US"/>
        </w:rPr>
        <w:t>take</w:t>
      </w:r>
      <w:r w:rsidR="00AA207B" w:rsidRPr="00EA4B66">
        <w:rPr>
          <w:color w:val="000000" w:themeColor="text1"/>
          <w:sz w:val="24"/>
          <w:szCs w:val="24"/>
          <w:lang w:val="en-US"/>
        </w:rPr>
        <w:t>s</w:t>
      </w:r>
      <w:r w:rsidR="0016294E" w:rsidRPr="00EA4B66">
        <w:rPr>
          <w:color w:val="000000" w:themeColor="text1"/>
          <w:sz w:val="24"/>
          <w:szCs w:val="24"/>
          <w:lang w:val="en-US"/>
        </w:rPr>
        <w:t xml:space="preserve"> </w:t>
      </w:r>
      <w:r w:rsidR="00AA207B" w:rsidRPr="00EA4B66">
        <w:rPr>
          <w:color w:val="000000" w:themeColor="text1"/>
          <w:sz w:val="24"/>
          <w:szCs w:val="24"/>
          <w:lang w:val="en-US"/>
        </w:rPr>
        <w:t xml:space="preserve">the </w:t>
      </w:r>
      <w:r w:rsidR="0016294E" w:rsidRPr="00EA4B66">
        <w:rPr>
          <w:color w:val="000000" w:themeColor="text1"/>
          <w:sz w:val="24"/>
          <w:szCs w:val="24"/>
          <w:lang w:val="en-US"/>
        </w:rPr>
        <w:t xml:space="preserve">place of </w:t>
      </w:r>
      <w:r w:rsidR="0016294E" w:rsidRPr="00EA4B66">
        <w:rPr>
          <w:i/>
          <w:color w:val="000000" w:themeColor="text1"/>
          <w:sz w:val="24"/>
          <w:szCs w:val="24"/>
          <w:lang w:val="en-US"/>
        </w:rPr>
        <w:t>ROE</w:t>
      </w:r>
      <w:r w:rsidR="0016294E" w:rsidRPr="00EA4B66">
        <w:rPr>
          <w:color w:val="000000" w:themeColor="text1"/>
          <w:sz w:val="24"/>
          <w:szCs w:val="24"/>
          <w:lang w:val="en-US"/>
        </w:rPr>
        <w:t xml:space="preserve"> as </w:t>
      </w:r>
      <w:r w:rsidR="009C3999" w:rsidRPr="00EA4B66">
        <w:rPr>
          <w:color w:val="000000" w:themeColor="text1"/>
          <w:sz w:val="24"/>
          <w:szCs w:val="24"/>
          <w:lang w:val="en-US"/>
        </w:rPr>
        <w:t xml:space="preserve">the </w:t>
      </w:r>
      <w:r w:rsidR="0005047D" w:rsidRPr="00EA4B66">
        <w:rPr>
          <w:color w:val="000000" w:themeColor="text1"/>
          <w:sz w:val="24"/>
          <w:szCs w:val="24"/>
          <w:lang w:val="en-US"/>
        </w:rPr>
        <w:t>profitability</w:t>
      </w:r>
      <w:r w:rsidR="009C3999" w:rsidRPr="00EA4B66">
        <w:rPr>
          <w:color w:val="000000" w:themeColor="text1"/>
          <w:sz w:val="24"/>
          <w:szCs w:val="24"/>
          <w:lang w:val="en-US"/>
        </w:rPr>
        <w:t xml:space="preserve"> independent variable</w:t>
      </w:r>
      <w:r w:rsidR="0016294E" w:rsidRPr="00EA4B66">
        <w:rPr>
          <w:color w:val="000000" w:themeColor="text1"/>
          <w:sz w:val="24"/>
          <w:szCs w:val="24"/>
          <w:lang w:val="en-US"/>
        </w:rPr>
        <w:t xml:space="preserve">. </w:t>
      </w:r>
      <w:r w:rsidR="00C006F8" w:rsidRPr="00EA4B66">
        <w:rPr>
          <w:color w:val="000000" w:themeColor="text1"/>
          <w:sz w:val="24"/>
          <w:szCs w:val="24"/>
          <w:lang w:val="en-US"/>
        </w:rPr>
        <w:t xml:space="preserve">Model </w:t>
      </w:r>
      <w:r w:rsidR="00990DA8" w:rsidRPr="00EA4B66">
        <w:rPr>
          <w:color w:val="000000" w:themeColor="text1"/>
          <w:sz w:val="24"/>
          <w:szCs w:val="24"/>
          <w:lang w:val="en-US"/>
        </w:rPr>
        <w:t xml:space="preserve">2 </w:t>
      </w:r>
      <w:r w:rsidR="00AA207B" w:rsidRPr="00EA4B66">
        <w:rPr>
          <w:color w:val="000000" w:themeColor="text1"/>
          <w:sz w:val="24"/>
          <w:szCs w:val="24"/>
          <w:lang w:val="en-US"/>
        </w:rPr>
        <w:t xml:space="preserve">has </w:t>
      </w:r>
      <w:r w:rsidR="00C006F8" w:rsidRPr="00EA4B66">
        <w:rPr>
          <w:color w:val="000000" w:themeColor="text1"/>
          <w:sz w:val="24"/>
          <w:szCs w:val="24"/>
          <w:lang w:val="en-US"/>
        </w:rPr>
        <w:t xml:space="preserve">an </w:t>
      </w:r>
      <w:r w:rsidR="00AA207B" w:rsidRPr="00EA4B66">
        <w:rPr>
          <w:color w:val="000000" w:themeColor="text1"/>
          <w:sz w:val="24"/>
          <w:szCs w:val="24"/>
          <w:lang w:val="en-US"/>
        </w:rPr>
        <w:t>adjusted</w:t>
      </w:r>
      <w:r w:rsidR="00C006F8" w:rsidRPr="00EA4B66">
        <w:rPr>
          <w:color w:val="000000" w:themeColor="text1"/>
          <w:sz w:val="24"/>
          <w:szCs w:val="24"/>
          <w:lang w:val="en-US"/>
        </w:rPr>
        <w:t xml:space="preserve"> R-square of 10.61% </w:t>
      </w:r>
      <w:r w:rsidR="00AA207B" w:rsidRPr="00EA4B66">
        <w:rPr>
          <w:color w:val="000000" w:themeColor="text1"/>
          <w:sz w:val="24"/>
          <w:szCs w:val="24"/>
          <w:lang w:val="en-US"/>
        </w:rPr>
        <w:t xml:space="preserve">which is lower </w:t>
      </w:r>
      <w:r w:rsidR="00C006F8" w:rsidRPr="00EA4B66">
        <w:rPr>
          <w:color w:val="000000" w:themeColor="text1"/>
          <w:sz w:val="24"/>
          <w:szCs w:val="24"/>
          <w:lang w:val="en-US"/>
        </w:rPr>
        <w:t xml:space="preserve">than </w:t>
      </w:r>
      <w:r w:rsidR="00AA207B" w:rsidRPr="00EA4B66">
        <w:rPr>
          <w:color w:val="000000" w:themeColor="text1"/>
          <w:sz w:val="24"/>
          <w:szCs w:val="24"/>
          <w:lang w:val="en-US"/>
        </w:rPr>
        <w:t xml:space="preserve">the </w:t>
      </w:r>
      <w:r w:rsidR="00C006F8" w:rsidRPr="00EA4B66">
        <w:rPr>
          <w:color w:val="000000" w:themeColor="text1"/>
          <w:sz w:val="24"/>
          <w:szCs w:val="24"/>
          <w:lang w:val="en-US"/>
        </w:rPr>
        <w:t xml:space="preserve">13.94% </w:t>
      </w:r>
      <w:r w:rsidR="00AA207B" w:rsidRPr="00EA4B66">
        <w:rPr>
          <w:color w:val="000000" w:themeColor="text1"/>
          <w:sz w:val="24"/>
          <w:szCs w:val="24"/>
          <w:lang w:val="en-US"/>
        </w:rPr>
        <w:t>observed for M</w:t>
      </w:r>
      <w:r w:rsidR="00C006F8" w:rsidRPr="00EA4B66">
        <w:rPr>
          <w:color w:val="000000" w:themeColor="text1"/>
          <w:sz w:val="24"/>
          <w:szCs w:val="24"/>
          <w:lang w:val="en-US"/>
        </w:rPr>
        <w:t>odel 1</w:t>
      </w:r>
      <w:r w:rsidR="001A473A" w:rsidRPr="00EA4B66">
        <w:rPr>
          <w:color w:val="000000" w:themeColor="text1"/>
          <w:sz w:val="24"/>
          <w:szCs w:val="24"/>
          <w:lang w:val="en-US"/>
        </w:rPr>
        <w:t>. The coefficient sign</w:t>
      </w:r>
      <w:r w:rsidR="00AA207B" w:rsidRPr="00EA4B66">
        <w:rPr>
          <w:color w:val="000000" w:themeColor="text1"/>
          <w:sz w:val="24"/>
          <w:szCs w:val="24"/>
          <w:lang w:val="en-US"/>
        </w:rPr>
        <w:t>s</w:t>
      </w:r>
      <w:r w:rsidR="001A473A" w:rsidRPr="00EA4B66">
        <w:rPr>
          <w:color w:val="000000" w:themeColor="text1"/>
          <w:sz w:val="24"/>
          <w:szCs w:val="24"/>
          <w:lang w:val="en-US"/>
        </w:rPr>
        <w:t xml:space="preserve"> of the independent variable</w:t>
      </w:r>
      <w:r w:rsidR="00B54C19" w:rsidRPr="00EA4B66">
        <w:rPr>
          <w:color w:val="000000" w:themeColor="text1"/>
          <w:sz w:val="24"/>
          <w:szCs w:val="24"/>
          <w:lang w:val="en-US"/>
        </w:rPr>
        <w:t>s</w:t>
      </w:r>
      <w:r w:rsidR="001A473A" w:rsidRPr="00EA4B66">
        <w:rPr>
          <w:color w:val="000000" w:themeColor="text1"/>
          <w:sz w:val="24"/>
          <w:szCs w:val="24"/>
          <w:lang w:val="en-US"/>
        </w:rPr>
        <w:t xml:space="preserve"> </w:t>
      </w:r>
      <w:r w:rsidR="0024257D" w:rsidRPr="00EA4B66">
        <w:rPr>
          <w:color w:val="000000" w:themeColor="text1"/>
          <w:sz w:val="24"/>
          <w:szCs w:val="24"/>
          <w:lang w:val="en-US"/>
        </w:rPr>
        <w:t xml:space="preserve">are similar to those in </w:t>
      </w:r>
      <w:r w:rsidR="00AA207B" w:rsidRPr="00EA4B66">
        <w:rPr>
          <w:color w:val="000000" w:themeColor="text1"/>
          <w:sz w:val="24"/>
          <w:szCs w:val="24"/>
          <w:lang w:val="en-US"/>
        </w:rPr>
        <w:t>M</w:t>
      </w:r>
      <w:r w:rsidR="0024257D" w:rsidRPr="00EA4B66">
        <w:rPr>
          <w:color w:val="000000" w:themeColor="text1"/>
          <w:sz w:val="24"/>
          <w:szCs w:val="24"/>
          <w:lang w:val="en-US"/>
        </w:rPr>
        <w:t>odel 1, except for</w:t>
      </w:r>
      <w:r w:rsidR="009C3999" w:rsidRPr="00EA4B66">
        <w:rPr>
          <w:color w:val="000000" w:themeColor="text1"/>
          <w:sz w:val="24"/>
          <w:szCs w:val="24"/>
          <w:lang w:val="en-US"/>
        </w:rPr>
        <w:t xml:space="preserve"> the profitability measure </w:t>
      </w:r>
      <w:r w:rsidR="009C3999" w:rsidRPr="00EA4B66">
        <w:rPr>
          <w:i/>
          <w:color w:val="000000" w:themeColor="text1"/>
          <w:sz w:val="24"/>
          <w:szCs w:val="24"/>
          <w:lang w:val="en-US"/>
        </w:rPr>
        <w:t>ROA</w:t>
      </w:r>
      <w:r w:rsidR="009C3999" w:rsidRPr="00EA4B66">
        <w:rPr>
          <w:color w:val="000000" w:themeColor="text1"/>
          <w:sz w:val="24"/>
          <w:szCs w:val="24"/>
          <w:lang w:val="en-US"/>
        </w:rPr>
        <w:t xml:space="preserve"> itself,</w:t>
      </w:r>
      <w:r w:rsidR="0024257D" w:rsidRPr="00EA4B66">
        <w:rPr>
          <w:color w:val="000000" w:themeColor="text1"/>
          <w:sz w:val="24"/>
          <w:szCs w:val="24"/>
          <w:lang w:val="en-US"/>
        </w:rPr>
        <w:t xml:space="preserve"> </w:t>
      </w:r>
      <w:r w:rsidR="00FB3099" w:rsidRPr="00EA4B66">
        <w:rPr>
          <w:color w:val="000000" w:themeColor="text1"/>
          <w:sz w:val="24"/>
          <w:szCs w:val="24"/>
          <w:lang w:val="en-US"/>
        </w:rPr>
        <w:t xml:space="preserve">which is </w:t>
      </w:r>
      <w:r w:rsidR="0024257D" w:rsidRPr="00EA4B66">
        <w:rPr>
          <w:color w:val="000000" w:themeColor="text1"/>
          <w:sz w:val="24"/>
          <w:szCs w:val="24"/>
          <w:lang w:val="en-US"/>
        </w:rPr>
        <w:t xml:space="preserve">positive though </w:t>
      </w:r>
      <w:r w:rsidR="00FB3099" w:rsidRPr="00EA4B66">
        <w:rPr>
          <w:color w:val="000000" w:themeColor="text1"/>
          <w:sz w:val="24"/>
          <w:szCs w:val="24"/>
          <w:lang w:val="en-US"/>
        </w:rPr>
        <w:t>in</w:t>
      </w:r>
      <w:r w:rsidR="0024257D" w:rsidRPr="00EA4B66">
        <w:rPr>
          <w:color w:val="000000" w:themeColor="text1"/>
          <w:sz w:val="24"/>
          <w:szCs w:val="24"/>
          <w:lang w:val="en-US"/>
        </w:rPr>
        <w:t xml:space="preserve">significant, and </w:t>
      </w:r>
      <w:r w:rsidR="0024257D" w:rsidRPr="00EA4B66">
        <w:rPr>
          <w:i/>
          <w:color w:val="000000" w:themeColor="text1"/>
          <w:sz w:val="24"/>
          <w:szCs w:val="24"/>
          <w:lang w:val="en-US"/>
        </w:rPr>
        <w:t>FAM</w:t>
      </w:r>
      <w:r w:rsidR="0024257D" w:rsidRPr="00EA4B66">
        <w:rPr>
          <w:color w:val="000000" w:themeColor="text1"/>
          <w:sz w:val="24"/>
          <w:szCs w:val="24"/>
          <w:lang w:val="en-US"/>
        </w:rPr>
        <w:t xml:space="preserve"> </w:t>
      </w:r>
      <w:r w:rsidR="00C708D8" w:rsidRPr="00EA4B66">
        <w:rPr>
          <w:color w:val="000000" w:themeColor="text1"/>
          <w:sz w:val="24"/>
          <w:szCs w:val="24"/>
          <w:lang w:val="en-US"/>
        </w:rPr>
        <w:t xml:space="preserve">which is </w:t>
      </w:r>
      <w:r w:rsidR="0024257D" w:rsidRPr="00EA4B66">
        <w:rPr>
          <w:color w:val="000000" w:themeColor="text1"/>
          <w:sz w:val="24"/>
          <w:szCs w:val="24"/>
          <w:lang w:val="en-US"/>
        </w:rPr>
        <w:t>positive</w:t>
      </w:r>
      <w:r w:rsidR="00FB3099" w:rsidRPr="00EA4B66">
        <w:rPr>
          <w:color w:val="000000" w:themeColor="text1"/>
          <w:sz w:val="24"/>
          <w:szCs w:val="24"/>
          <w:lang w:val="en-US"/>
        </w:rPr>
        <w:t xml:space="preserve"> and</w:t>
      </w:r>
      <w:r w:rsidR="0024257D" w:rsidRPr="00EA4B66">
        <w:rPr>
          <w:color w:val="000000" w:themeColor="text1"/>
          <w:sz w:val="24"/>
          <w:szCs w:val="24"/>
          <w:lang w:val="en-US"/>
        </w:rPr>
        <w:t xml:space="preserve"> significant at </w:t>
      </w:r>
      <w:r w:rsidR="00FB3099" w:rsidRPr="00EA4B66">
        <w:rPr>
          <w:color w:val="000000" w:themeColor="text1"/>
          <w:sz w:val="24"/>
          <w:szCs w:val="24"/>
          <w:lang w:val="en-US"/>
        </w:rPr>
        <w:t xml:space="preserve">the </w:t>
      </w:r>
      <w:r w:rsidR="0024257D" w:rsidRPr="00EA4B66">
        <w:rPr>
          <w:color w:val="000000" w:themeColor="text1"/>
          <w:sz w:val="24"/>
          <w:szCs w:val="24"/>
          <w:lang w:val="en-US"/>
        </w:rPr>
        <w:t xml:space="preserve">10% level. </w:t>
      </w:r>
      <w:r w:rsidR="005E012F" w:rsidRPr="00EA4B66">
        <w:rPr>
          <w:color w:val="000000" w:themeColor="text1"/>
          <w:sz w:val="24"/>
          <w:szCs w:val="24"/>
          <w:lang w:val="en-US"/>
        </w:rPr>
        <w:t xml:space="preserve">These findings </w:t>
      </w:r>
      <w:r w:rsidR="00FB3099" w:rsidRPr="00EA4B66">
        <w:rPr>
          <w:color w:val="000000" w:themeColor="text1"/>
          <w:sz w:val="24"/>
          <w:szCs w:val="24"/>
          <w:lang w:val="en-US"/>
        </w:rPr>
        <w:t xml:space="preserve">would appear to </w:t>
      </w:r>
      <w:r w:rsidR="005E012F" w:rsidRPr="00EA4B66">
        <w:rPr>
          <w:color w:val="000000" w:themeColor="text1"/>
          <w:sz w:val="24"/>
          <w:szCs w:val="24"/>
          <w:lang w:val="en-US"/>
        </w:rPr>
        <w:t xml:space="preserve">suggest that </w:t>
      </w:r>
      <w:r w:rsidR="005E012F" w:rsidRPr="00EA4B66">
        <w:rPr>
          <w:i/>
          <w:color w:val="000000" w:themeColor="text1"/>
          <w:sz w:val="24"/>
          <w:szCs w:val="24"/>
          <w:lang w:val="en-US"/>
        </w:rPr>
        <w:t>ROA</w:t>
      </w:r>
      <w:r w:rsidR="005E012F" w:rsidRPr="00EA4B66">
        <w:rPr>
          <w:color w:val="000000" w:themeColor="text1"/>
          <w:sz w:val="24"/>
          <w:szCs w:val="24"/>
          <w:lang w:val="en-US"/>
        </w:rPr>
        <w:t xml:space="preserve"> is not a good predictor of </w:t>
      </w:r>
      <w:r w:rsidR="00FB3099" w:rsidRPr="00EA4B66">
        <w:rPr>
          <w:color w:val="000000" w:themeColor="text1"/>
          <w:sz w:val="24"/>
          <w:szCs w:val="24"/>
          <w:lang w:val="en-US"/>
        </w:rPr>
        <w:t xml:space="preserve">firm </w:t>
      </w:r>
      <w:r w:rsidR="00F55ED7">
        <w:rPr>
          <w:color w:val="000000" w:themeColor="text1"/>
          <w:sz w:val="24"/>
          <w:szCs w:val="24"/>
          <w:lang w:val="en-US"/>
        </w:rPr>
        <w:t>MTB</w:t>
      </w:r>
      <w:r w:rsidR="005E012F" w:rsidRPr="00EA4B66">
        <w:rPr>
          <w:color w:val="000000" w:themeColor="text1"/>
          <w:sz w:val="24"/>
          <w:szCs w:val="24"/>
          <w:lang w:val="en-US"/>
        </w:rPr>
        <w:t xml:space="preserve"> value.</w:t>
      </w:r>
      <w:r w:rsidR="00B6551F" w:rsidRPr="00EA4B66">
        <w:rPr>
          <w:color w:val="000000" w:themeColor="text1"/>
          <w:sz w:val="24"/>
          <w:szCs w:val="24"/>
          <w:lang w:val="en-US"/>
        </w:rPr>
        <w:t xml:space="preserve"> </w:t>
      </w:r>
    </w:p>
    <w:p w14:paraId="0BBD9010" w14:textId="77777777" w:rsidR="00FB3099" w:rsidRPr="00EA4B66" w:rsidRDefault="00FB3099" w:rsidP="00FB3099">
      <w:pPr>
        <w:spacing w:after="0" w:line="240" w:lineRule="auto"/>
        <w:jc w:val="both"/>
        <w:rPr>
          <w:color w:val="000000" w:themeColor="text1"/>
          <w:sz w:val="24"/>
          <w:szCs w:val="24"/>
          <w:lang w:val="en-US"/>
        </w:rPr>
      </w:pPr>
    </w:p>
    <w:p w14:paraId="37BA2FFB" w14:textId="5EC09CA5" w:rsidR="00FB3099" w:rsidRPr="00EA4B66" w:rsidRDefault="00FB3099" w:rsidP="00FB3099">
      <w:pPr>
        <w:spacing w:after="0" w:line="240" w:lineRule="auto"/>
        <w:jc w:val="center"/>
        <w:rPr>
          <w:b/>
          <w:color w:val="000000" w:themeColor="text1"/>
          <w:sz w:val="24"/>
          <w:lang w:val="en-US"/>
        </w:rPr>
      </w:pPr>
      <w:r w:rsidRPr="00EA4B66">
        <w:rPr>
          <w:b/>
          <w:color w:val="000000" w:themeColor="text1"/>
          <w:sz w:val="24"/>
          <w:lang w:val="en-US"/>
        </w:rPr>
        <w:t xml:space="preserve">[Insert Table </w:t>
      </w:r>
      <w:r w:rsidR="00855423">
        <w:rPr>
          <w:b/>
          <w:color w:val="000000" w:themeColor="text1"/>
          <w:sz w:val="24"/>
          <w:lang w:val="en-US"/>
        </w:rPr>
        <w:t>IX</w:t>
      </w:r>
      <w:r w:rsidRPr="00EA4B66">
        <w:rPr>
          <w:b/>
          <w:color w:val="000000" w:themeColor="text1"/>
          <w:sz w:val="24"/>
          <w:lang w:val="en-US"/>
        </w:rPr>
        <w:t xml:space="preserve"> here]</w:t>
      </w:r>
    </w:p>
    <w:p w14:paraId="28E8C5A1" w14:textId="77777777" w:rsidR="00D4470F" w:rsidRPr="00EA4B66" w:rsidRDefault="00D4470F" w:rsidP="00FB3099">
      <w:pPr>
        <w:spacing w:after="0" w:line="240" w:lineRule="auto"/>
        <w:jc w:val="center"/>
        <w:rPr>
          <w:b/>
          <w:color w:val="000000" w:themeColor="text1"/>
          <w:sz w:val="24"/>
          <w:lang w:val="en-US"/>
        </w:rPr>
      </w:pPr>
    </w:p>
    <w:p w14:paraId="790810BA" w14:textId="1C42C851" w:rsidR="0028384A" w:rsidRPr="00EA4B66" w:rsidRDefault="00595A35" w:rsidP="0028384A">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B6551F" w:rsidRPr="00EA4B66">
        <w:rPr>
          <w:color w:val="000000" w:themeColor="text1"/>
          <w:sz w:val="24"/>
          <w:szCs w:val="24"/>
          <w:lang w:val="en-US"/>
        </w:rPr>
        <w:t xml:space="preserve">In </w:t>
      </w:r>
      <w:r w:rsidR="00FB3099" w:rsidRPr="00EA4B66">
        <w:rPr>
          <w:color w:val="000000" w:themeColor="text1"/>
          <w:sz w:val="24"/>
          <w:szCs w:val="24"/>
          <w:lang w:val="en-US"/>
        </w:rPr>
        <w:t>M</w:t>
      </w:r>
      <w:r w:rsidR="00B6551F" w:rsidRPr="00EA4B66">
        <w:rPr>
          <w:color w:val="000000" w:themeColor="text1"/>
          <w:sz w:val="24"/>
          <w:szCs w:val="24"/>
          <w:lang w:val="en-US"/>
        </w:rPr>
        <w:t xml:space="preserve">odels </w:t>
      </w:r>
      <w:r w:rsidR="00990DA8" w:rsidRPr="00EA4B66">
        <w:rPr>
          <w:color w:val="000000" w:themeColor="text1"/>
          <w:sz w:val="24"/>
          <w:szCs w:val="24"/>
          <w:lang w:val="en-US"/>
        </w:rPr>
        <w:t xml:space="preserve">3 </w:t>
      </w:r>
      <w:r w:rsidR="00B6551F" w:rsidRPr="00EA4B66">
        <w:rPr>
          <w:color w:val="000000" w:themeColor="text1"/>
          <w:sz w:val="24"/>
          <w:szCs w:val="24"/>
          <w:lang w:val="en-US"/>
        </w:rPr>
        <w:t xml:space="preserve">and </w:t>
      </w:r>
      <w:r w:rsidR="00990DA8" w:rsidRPr="00EA4B66">
        <w:rPr>
          <w:color w:val="000000" w:themeColor="text1"/>
          <w:sz w:val="24"/>
          <w:szCs w:val="24"/>
          <w:lang w:val="en-US"/>
        </w:rPr>
        <w:t>4</w:t>
      </w:r>
      <w:r w:rsidR="00FB3099" w:rsidRPr="00EA4B66">
        <w:rPr>
          <w:color w:val="000000" w:themeColor="text1"/>
          <w:sz w:val="24"/>
          <w:szCs w:val="24"/>
          <w:lang w:val="en-US"/>
        </w:rPr>
        <w:t>,</w:t>
      </w:r>
      <w:r w:rsidR="00B6551F" w:rsidRPr="00EA4B66">
        <w:rPr>
          <w:color w:val="000000" w:themeColor="text1"/>
          <w:sz w:val="24"/>
          <w:szCs w:val="24"/>
          <w:lang w:val="en-US"/>
        </w:rPr>
        <w:t xml:space="preserve"> the dependent variable is the </w:t>
      </w:r>
      <w:r w:rsidR="0043379B">
        <w:rPr>
          <w:color w:val="000000" w:themeColor="text1"/>
          <w:sz w:val="24"/>
          <w:szCs w:val="24"/>
          <w:lang w:val="en-US"/>
        </w:rPr>
        <w:t>MTB</w:t>
      </w:r>
      <w:r w:rsidR="00B6551F" w:rsidRPr="00EA4B66">
        <w:rPr>
          <w:color w:val="000000" w:themeColor="text1"/>
          <w:sz w:val="24"/>
          <w:szCs w:val="24"/>
          <w:lang w:val="en-US"/>
        </w:rPr>
        <w:t xml:space="preserve"> </w:t>
      </w:r>
      <w:r w:rsidR="00C708D8" w:rsidRPr="00EA4B66">
        <w:rPr>
          <w:color w:val="000000" w:themeColor="text1"/>
          <w:sz w:val="24"/>
          <w:szCs w:val="24"/>
          <w:lang w:val="en-US"/>
        </w:rPr>
        <w:t xml:space="preserve">ratio </w:t>
      </w:r>
      <w:r w:rsidR="00FB3099" w:rsidRPr="00EA4B66">
        <w:rPr>
          <w:color w:val="000000" w:themeColor="text1"/>
          <w:sz w:val="24"/>
          <w:szCs w:val="24"/>
          <w:lang w:val="en-US"/>
        </w:rPr>
        <w:t xml:space="preserve">lagged </w:t>
      </w:r>
      <w:r w:rsidR="00B6551F" w:rsidRPr="00EA4B66">
        <w:rPr>
          <w:color w:val="000000" w:themeColor="text1"/>
          <w:sz w:val="24"/>
          <w:szCs w:val="24"/>
          <w:lang w:val="en-US"/>
        </w:rPr>
        <w:t>one-year lag (</w:t>
      </w:r>
      <w:r w:rsidR="00FB3099" w:rsidRPr="00EA4B66">
        <w:rPr>
          <w:color w:val="000000" w:themeColor="text1"/>
          <w:sz w:val="24"/>
          <w:szCs w:val="24"/>
          <w:lang w:val="en-US"/>
        </w:rPr>
        <w:t>as</w:t>
      </w:r>
      <w:r w:rsidR="00B6551F" w:rsidRPr="00EA4B66">
        <w:rPr>
          <w:color w:val="000000" w:themeColor="text1"/>
          <w:sz w:val="24"/>
          <w:szCs w:val="24"/>
          <w:lang w:val="en-US"/>
        </w:rPr>
        <w:t xml:space="preserve"> provided by </w:t>
      </w:r>
      <w:r w:rsidR="00FB3099" w:rsidRPr="00EA4B66">
        <w:rPr>
          <w:color w:val="000000" w:themeColor="text1"/>
          <w:sz w:val="24"/>
          <w:szCs w:val="24"/>
          <w:lang w:val="en-US"/>
        </w:rPr>
        <w:t xml:space="preserve">the </w:t>
      </w:r>
      <w:r w:rsidR="00B6551F" w:rsidRPr="00EA4B66">
        <w:rPr>
          <w:color w:val="000000" w:themeColor="text1"/>
          <w:sz w:val="24"/>
          <w:szCs w:val="24"/>
          <w:lang w:val="en-US"/>
        </w:rPr>
        <w:t>AIDA Database)</w:t>
      </w:r>
      <w:r w:rsidR="000F1C61" w:rsidRPr="00EA4B66">
        <w:rPr>
          <w:color w:val="000000" w:themeColor="text1"/>
          <w:sz w:val="24"/>
          <w:szCs w:val="24"/>
          <w:lang w:val="en-US"/>
        </w:rPr>
        <w:t>, and computed as the mean of the beginning and the end value</w:t>
      </w:r>
      <w:r w:rsidR="00070D31" w:rsidRPr="00EA4B66">
        <w:rPr>
          <w:color w:val="000000" w:themeColor="text1"/>
          <w:sz w:val="24"/>
          <w:szCs w:val="24"/>
          <w:lang w:val="en-US"/>
        </w:rPr>
        <w:t xml:space="preserve">. Model </w:t>
      </w:r>
      <w:r w:rsidR="00E57F71" w:rsidRPr="00EA4B66">
        <w:rPr>
          <w:color w:val="000000" w:themeColor="text1"/>
          <w:sz w:val="24"/>
          <w:szCs w:val="24"/>
          <w:lang w:val="en-US"/>
        </w:rPr>
        <w:t>3</w:t>
      </w:r>
      <w:r w:rsidR="00070D31" w:rsidRPr="00EA4B66">
        <w:rPr>
          <w:color w:val="000000" w:themeColor="text1"/>
          <w:sz w:val="24"/>
          <w:szCs w:val="24"/>
          <w:lang w:val="en-US"/>
        </w:rPr>
        <w:t xml:space="preserve">, </w:t>
      </w:r>
      <w:r w:rsidR="00FB3099" w:rsidRPr="00EA4B66">
        <w:rPr>
          <w:color w:val="000000" w:themeColor="text1"/>
          <w:sz w:val="24"/>
          <w:szCs w:val="24"/>
          <w:lang w:val="en-US"/>
        </w:rPr>
        <w:t xml:space="preserve">which includes </w:t>
      </w:r>
      <w:r w:rsidR="00070D31" w:rsidRPr="00EA4B66">
        <w:rPr>
          <w:i/>
          <w:color w:val="000000" w:themeColor="text1"/>
          <w:sz w:val="24"/>
          <w:szCs w:val="24"/>
          <w:lang w:val="en-US"/>
        </w:rPr>
        <w:t>ROE</w:t>
      </w:r>
      <w:r w:rsidR="00070D31" w:rsidRPr="00EA4B66">
        <w:rPr>
          <w:color w:val="000000" w:themeColor="text1"/>
          <w:sz w:val="24"/>
          <w:szCs w:val="24"/>
          <w:lang w:val="en-US"/>
        </w:rPr>
        <w:t xml:space="preserve"> as </w:t>
      </w:r>
      <w:r w:rsidR="00FB3099" w:rsidRPr="00EA4B66">
        <w:rPr>
          <w:color w:val="000000" w:themeColor="text1"/>
          <w:sz w:val="24"/>
          <w:szCs w:val="24"/>
          <w:lang w:val="en-US"/>
        </w:rPr>
        <w:t xml:space="preserve">an </w:t>
      </w:r>
      <w:r w:rsidR="00070D31" w:rsidRPr="00EA4B66">
        <w:rPr>
          <w:color w:val="000000" w:themeColor="text1"/>
          <w:sz w:val="24"/>
          <w:szCs w:val="24"/>
          <w:lang w:val="en-US"/>
        </w:rPr>
        <w:t>indicator of business efficiency</w:t>
      </w:r>
      <w:r w:rsidR="00C708D8" w:rsidRPr="00EA4B66">
        <w:rPr>
          <w:color w:val="000000" w:themeColor="text1"/>
          <w:sz w:val="24"/>
          <w:szCs w:val="24"/>
          <w:lang w:val="en-US"/>
        </w:rPr>
        <w:t>,</w:t>
      </w:r>
      <w:r w:rsidR="00FB3099" w:rsidRPr="00EA4B66">
        <w:rPr>
          <w:color w:val="000000" w:themeColor="text1"/>
          <w:sz w:val="24"/>
          <w:szCs w:val="24"/>
          <w:lang w:val="en-US"/>
        </w:rPr>
        <w:t xml:space="preserve"> has an adjusted R-square of 7.92%</w:t>
      </w:r>
      <w:r w:rsidR="00070D31" w:rsidRPr="00EA4B66">
        <w:rPr>
          <w:color w:val="000000" w:themeColor="text1"/>
          <w:sz w:val="24"/>
          <w:szCs w:val="24"/>
          <w:lang w:val="en-US"/>
        </w:rPr>
        <w:t xml:space="preserve">. The </w:t>
      </w:r>
      <w:r w:rsidR="0099760C" w:rsidRPr="00EA4B66">
        <w:rPr>
          <w:color w:val="000000" w:themeColor="text1"/>
          <w:sz w:val="24"/>
          <w:szCs w:val="24"/>
          <w:lang w:val="en-US"/>
        </w:rPr>
        <w:t xml:space="preserve">coefficient </w:t>
      </w:r>
      <w:r w:rsidR="00070D31" w:rsidRPr="00EA4B66">
        <w:rPr>
          <w:color w:val="000000" w:themeColor="text1"/>
          <w:sz w:val="24"/>
          <w:szCs w:val="24"/>
          <w:lang w:val="en-US"/>
        </w:rPr>
        <w:t>sign</w:t>
      </w:r>
      <w:r w:rsidR="00FB3099" w:rsidRPr="00EA4B66">
        <w:rPr>
          <w:color w:val="000000" w:themeColor="text1"/>
          <w:sz w:val="24"/>
          <w:szCs w:val="24"/>
          <w:lang w:val="en-US"/>
        </w:rPr>
        <w:t>s</w:t>
      </w:r>
      <w:r w:rsidR="00070D31" w:rsidRPr="00EA4B66">
        <w:rPr>
          <w:color w:val="000000" w:themeColor="text1"/>
          <w:sz w:val="24"/>
          <w:szCs w:val="24"/>
          <w:lang w:val="en-US"/>
        </w:rPr>
        <w:t xml:space="preserve"> of the </w:t>
      </w:r>
      <w:r w:rsidR="0099760C" w:rsidRPr="00EA4B66">
        <w:rPr>
          <w:color w:val="000000" w:themeColor="text1"/>
          <w:sz w:val="24"/>
          <w:szCs w:val="24"/>
          <w:lang w:val="en-US"/>
        </w:rPr>
        <w:t xml:space="preserve">independent variables and their significance are comparable to </w:t>
      </w:r>
      <w:r w:rsidR="00FB3099" w:rsidRPr="00EA4B66">
        <w:rPr>
          <w:color w:val="000000" w:themeColor="text1"/>
          <w:sz w:val="24"/>
          <w:szCs w:val="24"/>
          <w:lang w:val="en-US"/>
        </w:rPr>
        <w:t>that of M</w:t>
      </w:r>
      <w:r w:rsidR="0099760C" w:rsidRPr="00EA4B66">
        <w:rPr>
          <w:color w:val="000000" w:themeColor="text1"/>
          <w:sz w:val="24"/>
          <w:szCs w:val="24"/>
          <w:lang w:val="en-US"/>
        </w:rPr>
        <w:t xml:space="preserve">odel </w:t>
      </w:r>
      <w:r w:rsidR="0099760C" w:rsidRPr="00EA4B66">
        <w:rPr>
          <w:color w:val="000000" w:themeColor="text1"/>
          <w:sz w:val="24"/>
          <w:szCs w:val="24"/>
          <w:lang w:val="en-US"/>
        </w:rPr>
        <w:lastRenderedPageBreak/>
        <w:t xml:space="preserve">1, except for </w:t>
      </w:r>
      <w:r w:rsidR="0099760C" w:rsidRPr="00EA4B66">
        <w:rPr>
          <w:i/>
          <w:color w:val="000000" w:themeColor="text1"/>
          <w:sz w:val="24"/>
          <w:szCs w:val="24"/>
          <w:lang w:val="en-US"/>
        </w:rPr>
        <w:t>AUDIT</w:t>
      </w:r>
      <w:r w:rsidR="0099760C" w:rsidRPr="00EA4B66">
        <w:rPr>
          <w:color w:val="000000" w:themeColor="text1"/>
          <w:sz w:val="24"/>
          <w:szCs w:val="24"/>
          <w:lang w:val="en-US"/>
        </w:rPr>
        <w:t xml:space="preserve"> </w:t>
      </w:r>
      <w:r w:rsidR="00C708D8" w:rsidRPr="00EA4B66">
        <w:rPr>
          <w:color w:val="000000" w:themeColor="text1"/>
          <w:sz w:val="24"/>
          <w:szCs w:val="24"/>
          <w:lang w:val="en-US"/>
        </w:rPr>
        <w:t xml:space="preserve">which is </w:t>
      </w:r>
      <w:r w:rsidR="0099760C" w:rsidRPr="00EA4B66">
        <w:rPr>
          <w:color w:val="000000" w:themeColor="text1"/>
          <w:sz w:val="24"/>
          <w:szCs w:val="24"/>
          <w:lang w:val="en-US"/>
        </w:rPr>
        <w:t xml:space="preserve">positive, though </w:t>
      </w:r>
      <w:r w:rsidR="00FB3099" w:rsidRPr="00EA4B66">
        <w:rPr>
          <w:color w:val="000000" w:themeColor="text1"/>
          <w:sz w:val="24"/>
          <w:szCs w:val="24"/>
          <w:lang w:val="en-US"/>
        </w:rPr>
        <w:t>in</w:t>
      </w:r>
      <w:r w:rsidR="0099760C" w:rsidRPr="00EA4B66">
        <w:rPr>
          <w:color w:val="000000" w:themeColor="text1"/>
          <w:sz w:val="24"/>
          <w:szCs w:val="24"/>
          <w:lang w:val="en-US"/>
        </w:rPr>
        <w:t xml:space="preserve">significant, and </w:t>
      </w:r>
      <w:r w:rsidR="0099760C" w:rsidRPr="00EA4B66">
        <w:rPr>
          <w:i/>
          <w:color w:val="000000" w:themeColor="text1"/>
          <w:sz w:val="24"/>
          <w:szCs w:val="24"/>
          <w:lang w:val="en-US"/>
        </w:rPr>
        <w:t>FAM</w:t>
      </w:r>
      <w:r w:rsidR="0099760C" w:rsidRPr="00EA4B66">
        <w:rPr>
          <w:color w:val="000000" w:themeColor="text1"/>
          <w:sz w:val="24"/>
          <w:szCs w:val="24"/>
          <w:lang w:val="en-US"/>
        </w:rPr>
        <w:t xml:space="preserve"> </w:t>
      </w:r>
      <w:r w:rsidR="00C708D8" w:rsidRPr="00EA4B66">
        <w:rPr>
          <w:color w:val="000000" w:themeColor="text1"/>
          <w:sz w:val="24"/>
          <w:szCs w:val="24"/>
          <w:lang w:val="en-US"/>
        </w:rPr>
        <w:t xml:space="preserve">which is </w:t>
      </w:r>
      <w:r w:rsidR="0099760C" w:rsidRPr="00EA4B66">
        <w:rPr>
          <w:color w:val="000000" w:themeColor="text1"/>
          <w:sz w:val="24"/>
          <w:szCs w:val="24"/>
          <w:lang w:val="en-US"/>
        </w:rPr>
        <w:t xml:space="preserve">positive and significant at </w:t>
      </w:r>
      <w:r w:rsidR="00FB3099" w:rsidRPr="00EA4B66">
        <w:rPr>
          <w:color w:val="000000" w:themeColor="text1"/>
          <w:sz w:val="24"/>
          <w:szCs w:val="24"/>
          <w:lang w:val="en-US"/>
        </w:rPr>
        <w:t xml:space="preserve">the </w:t>
      </w:r>
      <w:r w:rsidR="0099760C" w:rsidRPr="00EA4B66">
        <w:rPr>
          <w:color w:val="000000" w:themeColor="text1"/>
          <w:sz w:val="24"/>
          <w:szCs w:val="24"/>
          <w:lang w:val="en-US"/>
        </w:rPr>
        <w:t xml:space="preserve">1% level. These findings suggest that </w:t>
      </w:r>
      <w:r w:rsidR="00975A7E" w:rsidRPr="00EA4B66">
        <w:rPr>
          <w:color w:val="000000" w:themeColor="text1"/>
          <w:sz w:val="24"/>
          <w:szCs w:val="24"/>
          <w:lang w:val="en-US"/>
        </w:rPr>
        <w:t>investments</w:t>
      </w:r>
      <w:r w:rsidR="0099760C" w:rsidRPr="00EA4B66">
        <w:rPr>
          <w:color w:val="000000" w:themeColor="text1"/>
          <w:sz w:val="24"/>
          <w:szCs w:val="24"/>
          <w:lang w:val="en-US"/>
        </w:rPr>
        <w:t xml:space="preserve"> in </w:t>
      </w:r>
      <w:r w:rsidR="00E02B50">
        <w:rPr>
          <w:color w:val="000000" w:themeColor="text1"/>
          <w:sz w:val="24"/>
          <w:szCs w:val="24"/>
          <w:lang w:val="en-US"/>
        </w:rPr>
        <w:t>IA</w:t>
      </w:r>
      <w:r w:rsidR="0099760C" w:rsidRPr="00EA4B66">
        <w:rPr>
          <w:color w:val="000000" w:themeColor="text1"/>
          <w:sz w:val="24"/>
          <w:szCs w:val="24"/>
          <w:lang w:val="en-US"/>
        </w:rPr>
        <w:t xml:space="preserve">, </w:t>
      </w:r>
      <w:r w:rsidR="00FB3099" w:rsidRPr="00EA4B66">
        <w:rPr>
          <w:color w:val="000000" w:themeColor="text1"/>
          <w:sz w:val="24"/>
          <w:szCs w:val="24"/>
          <w:lang w:val="en-US"/>
        </w:rPr>
        <w:t xml:space="preserve">the </w:t>
      </w:r>
      <w:r w:rsidR="0099760C" w:rsidRPr="00EA4B66">
        <w:rPr>
          <w:color w:val="000000" w:themeColor="text1"/>
          <w:sz w:val="24"/>
          <w:szCs w:val="24"/>
          <w:lang w:val="en-US"/>
        </w:rPr>
        <w:t xml:space="preserve">ROE ratio, KIBS status, leverage, and family ownership </w:t>
      </w:r>
      <w:r w:rsidR="00FB3099" w:rsidRPr="00EA4B66">
        <w:rPr>
          <w:color w:val="000000" w:themeColor="text1"/>
          <w:sz w:val="24"/>
          <w:szCs w:val="24"/>
          <w:lang w:val="en-US"/>
        </w:rPr>
        <w:t xml:space="preserve">impact upon </w:t>
      </w:r>
      <w:r w:rsidR="0099760C" w:rsidRPr="00EA4B66">
        <w:rPr>
          <w:color w:val="000000" w:themeColor="text1"/>
          <w:sz w:val="24"/>
          <w:szCs w:val="24"/>
          <w:lang w:val="en-US"/>
        </w:rPr>
        <w:t xml:space="preserve">the </w:t>
      </w:r>
      <w:r w:rsidR="004A3D71">
        <w:rPr>
          <w:color w:val="000000" w:themeColor="text1"/>
          <w:sz w:val="24"/>
          <w:szCs w:val="24"/>
          <w:lang w:val="en-US"/>
        </w:rPr>
        <w:t>MTB</w:t>
      </w:r>
      <w:r w:rsidR="0099760C" w:rsidRPr="00EA4B66">
        <w:rPr>
          <w:color w:val="000000" w:themeColor="text1"/>
          <w:sz w:val="24"/>
          <w:szCs w:val="24"/>
          <w:lang w:val="en-US"/>
        </w:rPr>
        <w:t xml:space="preserve"> </w:t>
      </w:r>
      <w:r w:rsidR="00FB3099" w:rsidRPr="00EA4B66">
        <w:rPr>
          <w:color w:val="000000" w:themeColor="text1"/>
          <w:sz w:val="24"/>
          <w:szCs w:val="24"/>
          <w:lang w:val="en-US"/>
        </w:rPr>
        <w:t xml:space="preserve">lagged </w:t>
      </w:r>
      <w:r w:rsidR="0099760C" w:rsidRPr="00EA4B66">
        <w:rPr>
          <w:color w:val="000000" w:themeColor="text1"/>
          <w:sz w:val="24"/>
          <w:szCs w:val="24"/>
          <w:lang w:val="en-US"/>
        </w:rPr>
        <w:t xml:space="preserve">one-year. </w:t>
      </w:r>
      <w:r w:rsidR="00933AFB" w:rsidRPr="00EA4B66">
        <w:rPr>
          <w:color w:val="000000" w:themeColor="text1"/>
          <w:sz w:val="24"/>
          <w:szCs w:val="24"/>
          <w:lang w:val="en-US"/>
        </w:rPr>
        <w:t>M</w:t>
      </w:r>
      <w:r w:rsidR="00901A85" w:rsidRPr="00EA4B66">
        <w:rPr>
          <w:color w:val="000000" w:themeColor="text1"/>
          <w:sz w:val="24"/>
          <w:szCs w:val="24"/>
          <w:lang w:val="en-US"/>
        </w:rPr>
        <w:t xml:space="preserve">odel </w:t>
      </w:r>
      <w:r w:rsidR="00E57F71" w:rsidRPr="00EA4B66">
        <w:rPr>
          <w:color w:val="000000" w:themeColor="text1"/>
          <w:sz w:val="24"/>
          <w:szCs w:val="24"/>
          <w:lang w:val="en-US"/>
        </w:rPr>
        <w:t>4</w:t>
      </w:r>
      <w:r w:rsidR="00901A85" w:rsidRPr="00EA4B66">
        <w:rPr>
          <w:color w:val="000000" w:themeColor="text1"/>
          <w:sz w:val="24"/>
          <w:szCs w:val="24"/>
          <w:lang w:val="en-US"/>
        </w:rPr>
        <w:t xml:space="preserve">, </w:t>
      </w:r>
      <w:r w:rsidR="00FB3099" w:rsidRPr="00EA4B66">
        <w:rPr>
          <w:color w:val="000000" w:themeColor="text1"/>
          <w:sz w:val="24"/>
          <w:szCs w:val="24"/>
          <w:lang w:val="en-US"/>
        </w:rPr>
        <w:t xml:space="preserve">which </w:t>
      </w:r>
      <w:r w:rsidR="00933AFB" w:rsidRPr="00EA4B66">
        <w:rPr>
          <w:color w:val="000000" w:themeColor="text1"/>
          <w:sz w:val="24"/>
          <w:szCs w:val="24"/>
          <w:lang w:val="en-US"/>
        </w:rPr>
        <w:t xml:space="preserve">uses </w:t>
      </w:r>
      <w:r w:rsidR="00933AFB" w:rsidRPr="00EA4B66">
        <w:rPr>
          <w:i/>
          <w:color w:val="000000" w:themeColor="text1"/>
          <w:sz w:val="24"/>
          <w:szCs w:val="24"/>
          <w:lang w:val="en-US"/>
        </w:rPr>
        <w:t>ROA</w:t>
      </w:r>
      <w:r w:rsidR="00933AFB" w:rsidRPr="00EA4B66">
        <w:rPr>
          <w:color w:val="000000" w:themeColor="text1"/>
          <w:sz w:val="24"/>
          <w:szCs w:val="24"/>
          <w:lang w:val="en-US"/>
        </w:rPr>
        <w:t xml:space="preserve"> as </w:t>
      </w:r>
      <w:r w:rsidR="00FB3099" w:rsidRPr="00EA4B66">
        <w:rPr>
          <w:color w:val="000000" w:themeColor="text1"/>
          <w:sz w:val="24"/>
          <w:szCs w:val="24"/>
          <w:lang w:val="en-US"/>
        </w:rPr>
        <w:t xml:space="preserve">an </w:t>
      </w:r>
      <w:r w:rsidR="00933AFB" w:rsidRPr="00EA4B66">
        <w:rPr>
          <w:color w:val="000000" w:themeColor="text1"/>
          <w:sz w:val="24"/>
          <w:szCs w:val="24"/>
          <w:lang w:val="en-US"/>
        </w:rPr>
        <w:t xml:space="preserve">indicator of business </w:t>
      </w:r>
      <w:r w:rsidR="00F8233F" w:rsidRPr="00EA4B66">
        <w:rPr>
          <w:color w:val="000000" w:themeColor="text1"/>
          <w:sz w:val="24"/>
          <w:szCs w:val="24"/>
          <w:lang w:val="en-US"/>
        </w:rPr>
        <w:t>profitability</w:t>
      </w:r>
      <w:r w:rsidR="00FB3099" w:rsidRPr="00EA4B66">
        <w:rPr>
          <w:color w:val="000000" w:themeColor="text1"/>
          <w:sz w:val="24"/>
          <w:szCs w:val="24"/>
          <w:lang w:val="en-US"/>
        </w:rPr>
        <w:t>, has an adjusted R-square of 9.96%</w:t>
      </w:r>
      <w:r w:rsidR="00933AFB" w:rsidRPr="00EA4B66">
        <w:rPr>
          <w:color w:val="000000" w:themeColor="text1"/>
          <w:sz w:val="24"/>
          <w:szCs w:val="24"/>
          <w:lang w:val="en-US"/>
        </w:rPr>
        <w:t>.</w:t>
      </w:r>
      <w:r w:rsidR="006D0710" w:rsidRPr="00EA4B66">
        <w:rPr>
          <w:color w:val="000000" w:themeColor="text1"/>
          <w:sz w:val="24"/>
          <w:szCs w:val="24"/>
          <w:lang w:val="en-US"/>
        </w:rPr>
        <w:t xml:space="preserve"> The coefficient sign</w:t>
      </w:r>
      <w:r w:rsidR="00FB3099" w:rsidRPr="00EA4B66">
        <w:rPr>
          <w:color w:val="000000" w:themeColor="text1"/>
          <w:sz w:val="24"/>
          <w:szCs w:val="24"/>
          <w:lang w:val="en-US"/>
        </w:rPr>
        <w:t>s</w:t>
      </w:r>
      <w:r w:rsidR="006D0710" w:rsidRPr="00EA4B66">
        <w:rPr>
          <w:color w:val="000000" w:themeColor="text1"/>
          <w:sz w:val="24"/>
          <w:szCs w:val="24"/>
          <w:lang w:val="en-US"/>
        </w:rPr>
        <w:t xml:space="preserve"> of the independent variables and their significance are comparable to </w:t>
      </w:r>
      <w:r w:rsidR="00FB3099" w:rsidRPr="00EA4B66">
        <w:rPr>
          <w:color w:val="000000" w:themeColor="text1"/>
          <w:sz w:val="24"/>
          <w:szCs w:val="24"/>
          <w:lang w:val="en-US"/>
        </w:rPr>
        <w:t>that of M</w:t>
      </w:r>
      <w:r w:rsidR="006D0710" w:rsidRPr="00EA4B66">
        <w:rPr>
          <w:color w:val="000000" w:themeColor="text1"/>
          <w:sz w:val="24"/>
          <w:szCs w:val="24"/>
          <w:lang w:val="en-US"/>
        </w:rPr>
        <w:t>odel 1</w:t>
      </w:r>
      <w:r w:rsidR="005F6349" w:rsidRPr="00EA4B66">
        <w:rPr>
          <w:color w:val="000000" w:themeColor="text1"/>
          <w:sz w:val="24"/>
          <w:szCs w:val="24"/>
          <w:lang w:val="en-US"/>
        </w:rPr>
        <w:t xml:space="preserve">, except for </w:t>
      </w:r>
      <w:r w:rsidR="005F6349" w:rsidRPr="00EA4B66">
        <w:rPr>
          <w:i/>
          <w:color w:val="000000" w:themeColor="text1"/>
          <w:sz w:val="24"/>
          <w:szCs w:val="24"/>
          <w:lang w:val="en-US"/>
        </w:rPr>
        <w:t>ROA</w:t>
      </w:r>
      <w:r w:rsidR="005F6349" w:rsidRPr="00EA4B66">
        <w:rPr>
          <w:color w:val="000000" w:themeColor="text1"/>
          <w:sz w:val="24"/>
          <w:szCs w:val="24"/>
          <w:lang w:val="en-US"/>
        </w:rPr>
        <w:t xml:space="preserve"> </w:t>
      </w:r>
      <w:r w:rsidR="00C708D8" w:rsidRPr="00EA4B66">
        <w:rPr>
          <w:color w:val="000000" w:themeColor="text1"/>
          <w:sz w:val="24"/>
          <w:szCs w:val="24"/>
          <w:lang w:val="en-US"/>
        </w:rPr>
        <w:t xml:space="preserve">which is </w:t>
      </w:r>
      <w:r w:rsidR="005F6349" w:rsidRPr="00EA4B66">
        <w:rPr>
          <w:color w:val="000000" w:themeColor="text1"/>
          <w:sz w:val="24"/>
          <w:szCs w:val="24"/>
          <w:lang w:val="en-US"/>
        </w:rPr>
        <w:t xml:space="preserve">positive, though insignificant, </w:t>
      </w:r>
      <w:r w:rsidR="005F6349" w:rsidRPr="00EA4B66">
        <w:rPr>
          <w:i/>
          <w:color w:val="000000" w:themeColor="text1"/>
          <w:sz w:val="24"/>
          <w:szCs w:val="24"/>
          <w:lang w:val="en-US"/>
        </w:rPr>
        <w:t>AUDIT</w:t>
      </w:r>
      <w:r w:rsidR="005F6349" w:rsidRPr="00EA4B66">
        <w:rPr>
          <w:color w:val="000000" w:themeColor="text1"/>
          <w:sz w:val="24"/>
          <w:szCs w:val="24"/>
          <w:lang w:val="en-US"/>
        </w:rPr>
        <w:t xml:space="preserve"> </w:t>
      </w:r>
      <w:r w:rsidR="00C708D8" w:rsidRPr="00EA4B66">
        <w:rPr>
          <w:color w:val="000000" w:themeColor="text1"/>
          <w:sz w:val="24"/>
          <w:szCs w:val="24"/>
          <w:lang w:val="en-US"/>
        </w:rPr>
        <w:t xml:space="preserve">which is </w:t>
      </w:r>
      <w:r w:rsidR="005F6349" w:rsidRPr="00EA4B66">
        <w:rPr>
          <w:color w:val="000000" w:themeColor="text1"/>
          <w:sz w:val="24"/>
          <w:szCs w:val="24"/>
          <w:lang w:val="en-US"/>
        </w:rPr>
        <w:t xml:space="preserve">positive and significant at </w:t>
      </w:r>
      <w:r w:rsidR="00FB3099" w:rsidRPr="00EA4B66">
        <w:rPr>
          <w:color w:val="000000" w:themeColor="text1"/>
          <w:sz w:val="24"/>
          <w:szCs w:val="24"/>
          <w:lang w:val="en-US"/>
        </w:rPr>
        <w:t xml:space="preserve">the </w:t>
      </w:r>
      <w:r w:rsidR="005F6349" w:rsidRPr="00EA4B66">
        <w:rPr>
          <w:color w:val="000000" w:themeColor="text1"/>
          <w:sz w:val="24"/>
          <w:szCs w:val="24"/>
          <w:lang w:val="en-US"/>
        </w:rPr>
        <w:t>1% level,</w:t>
      </w:r>
      <w:r w:rsidR="00FB3099" w:rsidRPr="00EA4B66">
        <w:rPr>
          <w:color w:val="000000" w:themeColor="text1"/>
          <w:sz w:val="24"/>
          <w:szCs w:val="24"/>
          <w:lang w:val="en-US"/>
        </w:rPr>
        <w:t xml:space="preserve"> and</w:t>
      </w:r>
      <w:r w:rsidR="005F6349" w:rsidRPr="00EA4B66">
        <w:rPr>
          <w:color w:val="000000" w:themeColor="text1"/>
          <w:sz w:val="24"/>
          <w:szCs w:val="24"/>
          <w:lang w:val="en-US"/>
        </w:rPr>
        <w:t xml:space="preserve"> </w:t>
      </w:r>
      <w:r w:rsidR="005F6349" w:rsidRPr="00EA4B66">
        <w:rPr>
          <w:i/>
          <w:color w:val="000000" w:themeColor="text1"/>
          <w:sz w:val="24"/>
          <w:szCs w:val="24"/>
          <w:lang w:val="en-US"/>
        </w:rPr>
        <w:t>OWN</w:t>
      </w:r>
      <w:r w:rsidR="005F6349" w:rsidRPr="00EA4B66">
        <w:rPr>
          <w:color w:val="000000" w:themeColor="text1"/>
          <w:sz w:val="24"/>
          <w:szCs w:val="24"/>
          <w:lang w:val="en-US"/>
        </w:rPr>
        <w:t xml:space="preserve"> and </w:t>
      </w:r>
      <w:r w:rsidR="005F6349" w:rsidRPr="00EA4B66">
        <w:rPr>
          <w:i/>
          <w:color w:val="000000" w:themeColor="text1"/>
          <w:sz w:val="24"/>
          <w:szCs w:val="24"/>
          <w:lang w:val="en-US"/>
        </w:rPr>
        <w:t>FAM</w:t>
      </w:r>
      <w:r w:rsidR="005F6349" w:rsidRPr="00EA4B66">
        <w:rPr>
          <w:color w:val="000000" w:themeColor="text1"/>
          <w:sz w:val="24"/>
          <w:szCs w:val="24"/>
          <w:lang w:val="en-US"/>
        </w:rPr>
        <w:t xml:space="preserve">, both </w:t>
      </w:r>
      <w:r w:rsidR="00FB3099" w:rsidRPr="00EA4B66">
        <w:rPr>
          <w:color w:val="000000" w:themeColor="text1"/>
          <w:sz w:val="24"/>
          <w:szCs w:val="24"/>
          <w:lang w:val="en-US"/>
        </w:rPr>
        <w:t xml:space="preserve">of which are </w:t>
      </w:r>
      <w:r w:rsidR="005F6349" w:rsidRPr="00EA4B66">
        <w:rPr>
          <w:color w:val="000000" w:themeColor="text1"/>
          <w:sz w:val="24"/>
          <w:szCs w:val="24"/>
          <w:lang w:val="en-US"/>
        </w:rPr>
        <w:t xml:space="preserve">positive though </w:t>
      </w:r>
      <w:r w:rsidR="00FB3099" w:rsidRPr="00EA4B66">
        <w:rPr>
          <w:color w:val="000000" w:themeColor="text1"/>
          <w:sz w:val="24"/>
          <w:szCs w:val="24"/>
          <w:lang w:val="en-US"/>
        </w:rPr>
        <w:t>in</w:t>
      </w:r>
      <w:r w:rsidR="005F6349" w:rsidRPr="00EA4B66">
        <w:rPr>
          <w:color w:val="000000" w:themeColor="text1"/>
          <w:sz w:val="24"/>
          <w:szCs w:val="24"/>
          <w:lang w:val="en-US"/>
        </w:rPr>
        <w:t xml:space="preserve">significant. These findings suggest that investments in </w:t>
      </w:r>
      <w:r w:rsidR="00E02B50">
        <w:rPr>
          <w:color w:val="000000" w:themeColor="text1"/>
          <w:sz w:val="24"/>
          <w:szCs w:val="24"/>
          <w:lang w:val="en-US"/>
        </w:rPr>
        <w:t>IA</w:t>
      </w:r>
      <w:r w:rsidR="005F6349" w:rsidRPr="00EA4B66">
        <w:rPr>
          <w:color w:val="000000" w:themeColor="text1"/>
          <w:sz w:val="24"/>
          <w:szCs w:val="24"/>
          <w:lang w:val="en-US"/>
        </w:rPr>
        <w:t xml:space="preserve">, KIBS status, and the auditing system </w:t>
      </w:r>
      <w:r w:rsidR="00FB3099" w:rsidRPr="00EA4B66">
        <w:rPr>
          <w:color w:val="000000" w:themeColor="text1"/>
          <w:sz w:val="24"/>
          <w:szCs w:val="24"/>
          <w:lang w:val="en-US"/>
        </w:rPr>
        <w:t xml:space="preserve">impact upon the </w:t>
      </w:r>
      <w:r w:rsidR="004A3D71">
        <w:rPr>
          <w:color w:val="000000" w:themeColor="text1"/>
          <w:sz w:val="24"/>
          <w:szCs w:val="24"/>
          <w:lang w:val="en-US"/>
        </w:rPr>
        <w:t>MTB</w:t>
      </w:r>
      <w:r w:rsidR="00FB3099" w:rsidRPr="00EA4B66">
        <w:rPr>
          <w:color w:val="000000" w:themeColor="text1"/>
          <w:sz w:val="24"/>
          <w:szCs w:val="24"/>
          <w:lang w:val="en-US"/>
        </w:rPr>
        <w:t xml:space="preserve"> ratio lagged one-year.</w:t>
      </w:r>
    </w:p>
    <w:p w14:paraId="50839986" w14:textId="53FA946B" w:rsidR="00D72BBC" w:rsidRPr="00EA4B66" w:rsidRDefault="00595A35" w:rsidP="0028384A">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D4470F" w:rsidRPr="00EA4B66">
        <w:rPr>
          <w:color w:val="000000" w:themeColor="text1"/>
          <w:sz w:val="24"/>
          <w:szCs w:val="24"/>
          <w:lang w:val="en-US"/>
        </w:rPr>
        <w:t xml:space="preserve">Model 5 is very similar to Model 1, using the same dependent variable, but the control variable </w:t>
      </w:r>
      <w:r w:rsidR="00D4470F" w:rsidRPr="00EA4B66">
        <w:rPr>
          <w:i/>
          <w:color w:val="000000" w:themeColor="text1"/>
          <w:sz w:val="24"/>
          <w:szCs w:val="24"/>
          <w:lang w:val="en-US"/>
        </w:rPr>
        <w:t>IND</w:t>
      </w:r>
      <w:r w:rsidR="00D4470F" w:rsidRPr="00EA4B66">
        <w:rPr>
          <w:color w:val="000000" w:themeColor="text1"/>
          <w:sz w:val="24"/>
          <w:szCs w:val="24"/>
          <w:lang w:val="en-US"/>
        </w:rPr>
        <w:t xml:space="preserve"> is removed in order to avoid its effect on the dependent variable. Model 5 has an adjusted R-square of 12.74%. The coefficient signs of the independent variables and their significance are comparable to those of Model 1, except for </w:t>
      </w:r>
      <w:r w:rsidR="00D4470F" w:rsidRPr="00EA4B66">
        <w:rPr>
          <w:i/>
          <w:color w:val="000000" w:themeColor="text1"/>
          <w:sz w:val="24"/>
          <w:szCs w:val="24"/>
          <w:lang w:val="en-US"/>
        </w:rPr>
        <w:t>FAM</w:t>
      </w:r>
      <w:r w:rsidR="00D4470F" w:rsidRPr="00EA4B66">
        <w:rPr>
          <w:color w:val="000000" w:themeColor="text1"/>
          <w:sz w:val="24"/>
          <w:szCs w:val="24"/>
          <w:lang w:val="en-US"/>
        </w:rPr>
        <w:t xml:space="preserve"> which is positive and significant at the 1% level. Model 5 suggests that the MTB ratio is not strongly influenced by the industry sector to which a firm belongs</w:t>
      </w:r>
      <w:r w:rsidR="00465886" w:rsidRPr="00EA4B66">
        <w:rPr>
          <w:color w:val="000000" w:themeColor="text1"/>
          <w:sz w:val="24"/>
          <w:szCs w:val="24"/>
          <w:lang w:val="en-US"/>
        </w:rPr>
        <w:t xml:space="preserve">. This finding is consistent with </w:t>
      </w:r>
      <w:r w:rsidRPr="00EA4B66">
        <w:rPr>
          <w:color w:val="000000" w:themeColor="text1"/>
          <w:sz w:val="24"/>
          <w:szCs w:val="24"/>
          <w:lang w:val="en-US"/>
        </w:rPr>
        <w:t>the study of Leonard-Barton</w:t>
      </w:r>
      <w:r w:rsidR="00465886" w:rsidRPr="00EA4B66">
        <w:rPr>
          <w:color w:val="000000" w:themeColor="text1"/>
          <w:sz w:val="24"/>
          <w:szCs w:val="24"/>
          <w:lang w:val="en-US"/>
        </w:rPr>
        <w:t xml:space="preserve"> (1992)</w:t>
      </w:r>
      <w:r w:rsidRPr="00EA4B66">
        <w:rPr>
          <w:color w:val="000000" w:themeColor="text1"/>
          <w:sz w:val="24"/>
          <w:szCs w:val="24"/>
          <w:lang w:val="en-US"/>
        </w:rPr>
        <w:t>,</w:t>
      </w:r>
      <w:r w:rsidR="00465886" w:rsidRPr="00EA4B66">
        <w:rPr>
          <w:color w:val="000000" w:themeColor="text1"/>
          <w:sz w:val="24"/>
          <w:szCs w:val="24"/>
          <w:lang w:val="en-US"/>
        </w:rPr>
        <w:t xml:space="preserve"> suggesting that </w:t>
      </w:r>
      <w:r w:rsidR="00BC5A72" w:rsidRPr="00EA4B66">
        <w:rPr>
          <w:color w:val="000000" w:themeColor="text1"/>
          <w:sz w:val="24"/>
          <w:szCs w:val="24"/>
          <w:lang w:val="en-US"/>
        </w:rPr>
        <w:t xml:space="preserve">for </w:t>
      </w:r>
      <w:r w:rsidR="00591EB9" w:rsidRPr="00EA4B66">
        <w:rPr>
          <w:color w:val="000000" w:themeColor="text1"/>
          <w:sz w:val="24"/>
          <w:szCs w:val="24"/>
          <w:lang w:val="en-US"/>
        </w:rPr>
        <w:t xml:space="preserve">any </w:t>
      </w:r>
      <w:r w:rsidR="00465886" w:rsidRPr="00EA4B66">
        <w:rPr>
          <w:color w:val="000000" w:themeColor="text1"/>
          <w:sz w:val="24"/>
          <w:szCs w:val="24"/>
          <w:lang w:val="en-US"/>
        </w:rPr>
        <w:t xml:space="preserve">organization </w:t>
      </w:r>
      <w:r w:rsidR="004F2534" w:rsidRPr="00EA4B66">
        <w:rPr>
          <w:color w:val="000000" w:themeColor="text1"/>
          <w:sz w:val="24"/>
          <w:szCs w:val="24"/>
          <w:lang w:val="en-US"/>
        </w:rPr>
        <w:t>(</w:t>
      </w:r>
      <w:r w:rsidRPr="00EA4B66">
        <w:rPr>
          <w:color w:val="000000" w:themeColor="text1"/>
          <w:sz w:val="24"/>
          <w:szCs w:val="24"/>
          <w:lang w:val="en-US"/>
        </w:rPr>
        <w:t xml:space="preserve">whether </w:t>
      </w:r>
      <w:r w:rsidR="004F2534" w:rsidRPr="00EA4B66">
        <w:rPr>
          <w:color w:val="000000" w:themeColor="text1"/>
          <w:sz w:val="24"/>
          <w:szCs w:val="24"/>
          <w:lang w:val="en-US"/>
        </w:rPr>
        <w:t xml:space="preserve">KIBS or TI) </w:t>
      </w:r>
      <w:r w:rsidR="00591EB9" w:rsidRPr="00EA4B66">
        <w:rPr>
          <w:color w:val="000000" w:themeColor="text1"/>
          <w:sz w:val="24"/>
          <w:szCs w:val="24"/>
          <w:lang w:val="en-US"/>
        </w:rPr>
        <w:t>to be competitive</w:t>
      </w:r>
      <w:r w:rsidR="0078380F" w:rsidRPr="00EA4B66">
        <w:rPr>
          <w:color w:val="000000" w:themeColor="text1"/>
          <w:sz w:val="24"/>
          <w:szCs w:val="24"/>
          <w:lang w:val="en-US"/>
        </w:rPr>
        <w:t>,</w:t>
      </w:r>
      <w:r w:rsidR="00465886" w:rsidRPr="00EA4B66">
        <w:rPr>
          <w:color w:val="000000" w:themeColor="text1"/>
          <w:sz w:val="24"/>
          <w:szCs w:val="24"/>
          <w:lang w:val="en-US"/>
        </w:rPr>
        <w:t xml:space="preserve"> </w:t>
      </w:r>
      <w:r w:rsidR="00BC5A72" w:rsidRPr="00EA4B66">
        <w:rPr>
          <w:color w:val="000000" w:themeColor="text1"/>
          <w:sz w:val="24"/>
          <w:szCs w:val="24"/>
          <w:lang w:val="en-US"/>
        </w:rPr>
        <w:t xml:space="preserve">it </w:t>
      </w:r>
      <w:r w:rsidR="00465886" w:rsidRPr="00EA4B66">
        <w:rPr>
          <w:color w:val="000000" w:themeColor="text1"/>
          <w:sz w:val="24"/>
          <w:szCs w:val="24"/>
          <w:lang w:val="en-US"/>
        </w:rPr>
        <w:t>needs to build core competencies that are difficult and challenging to attain</w:t>
      </w:r>
      <w:r w:rsidR="00E87C3A" w:rsidRPr="00EA4B66">
        <w:rPr>
          <w:color w:val="000000" w:themeColor="text1"/>
          <w:sz w:val="24"/>
          <w:szCs w:val="24"/>
          <w:lang w:val="en-US"/>
        </w:rPr>
        <w:t xml:space="preserve"> in order </w:t>
      </w:r>
      <w:r w:rsidR="00465886" w:rsidRPr="00EA4B66">
        <w:rPr>
          <w:color w:val="000000" w:themeColor="text1"/>
          <w:sz w:val="24"/>
          <w:szCs w:val="24"/>
          <w:lang w:val="en-US"/>
        </w:rPr>
        <w:t>to respond to future industry changes.</w:t>
      </w:r>
      <w:r w:rsidR="00720BA7" w:rsidRPr="00EA4B66">
        <w:rPr>
          <w:color w:val="000000" w:themeColor="text1"/>
          <w:sz w:val="24"/>
          <w:szCs w:val="24"/>
          <w:lang w:val="en-US"/>
        </w:rPr>
        <w:t xml:space="preserve"> </w:t>
      </w:r>
      <w:r w:rsidR="00E87C3A" w:rsidRPr="00EA4B66">
        <w:rPr>
          <w:color w:val="000000" w:themeColor="text1"/>
          <w:sz w:val="24"/>
          <w:szCs w:val="24"/>
          <w:lang w:val="en-US"/>
        </w:rPr>
        <w:t xml:space="preserve">As a consequence, </w:t>
      </w:r>
      <w:r w:rsidR="00720BA7" w:rsidRPr="00EA4B66">
        <w:rPr>
          <w:color w:val="000000" w:themeColor="text1"/>
          <w:sz w:val="24"/>
          <w:szCs w:val="24"/>
          <w:lang w:val="en-US"/>
        </w:rPr>
        <w:t>investor and financial markets may price these competenc</w:t>
      </w:r>
      <w:r w:rsidRPr="00EA4B66">
        <w:rPr>
          <w:color w:val="000000" w:themeColor="text1"/>
          <w:sz w:val="24"/>
          <w:szCs w:val="24"/>
          <w:lang w:val="en-US"/>
        </w:rPr>
        <w:t>i</w:t>
      </w:r>
      <w:r w:rsidR="00720BA7" w:rsidRPr="00EA4B66">
        <w:rPr>
          <w:color w:val="000000" w:themeColor="text1"/>
          <w:sz w:val="24"/>
          <w:szCs w:val="24"/>
          <w:lang w:val="en-US"/>
        </w:rPr>
        <w:t xml:space="preserve">es through some non-accounting information </w:t>
      </w:r>
      <w:r w:rsidRPr="00EA4B66">
        <w:rPr>
          <w:color w:val="000000" w:themeColor="text1"/>
          <w:sz w:val="24"/>
          <w:szCs w:val="24"/>
          <w:lang w:val="en-US"/>
        </w:rPr>
        <w:t>concerning</w:t>
      </w:r>
      <w:r w:rsidR="00720BA7" w:rsidRPr="00EA4B66">
        <w:rPr>
          <w:color w:val="000000" w:themeColor="text1"/>
          <w:sz w:val="24"/>
          <w:szCs w:val="24"/>
          <w:lang w:val="en-US"/>
        </w:rPr>
        <w:t xml:space="preserve"> the </w:t>
      </w:r>
      <w:r w:rsidRPr="00EA4B66">
        <w:rPr>
          <w:color w:val="000000" w:themeColor="text1"/>
          <w:sz w:val="24"/>
          <w:szCs w:val="24"/>
          <w:lang w:val="en-US"/>
        </w:rPr>
        <w:t>dynamics of new product development</w:t>
      </w:r>
      <w:r w:rsidR="00D4470F" w:rsidRPr="00EA4B66">
        <w:rPr>
          <w:color w:val="000000" w:themeColor="text1"/>
          <w:sz w:val="24"/>
          <w:szCs w:val="24"/>
          <w:lang w:val="en-US"/>
        </w:rPr>
        <w:t xml:space="preserve">. </w:t>
      </w:r>
    </w:p>
    <w:p w14:paraId="6694E452" w14:textId="77777777" w:rsidR="0028384A" w:rsidRPr="00EA4B66" w:rsidRDefault="0028384A" w:rsidP="00146E9A">
      <w:pPr>
        <w:spacing w:after="0" w:line="240" w:lineRule="auto"/>
        <w:jc w:val="both"/>
        <w:rPr>
          <w:color w:val="000000" w:themeColor="text1"/>
          <w:sz w:val="24"/>
          <w:szCs w:val="24"/>
          <w:lang w:val="en-US"/>
        </w:rPr>
      </w:pPr>
    </w:p>
    <w:p w14:paraId="6D662683" w14:textId="06DD760D" w:rsidR="00A60025" w:rsidRPr="00EA4B66" w:rsidRDefault="00A92DE7" w:rsidP="00146E9A">
      <w:pPr>
        <w:spacing w:after="0" w:line="240" w:lineRule="auto"/>
        <w:jc w:val="both"/>
        <w:rPr>
          <w:b/>
          <w:color w:val="000000" w:themeColor="text1"/>
          <w:sz w:val="24"/>
          <w:szCs w:val="24"/>
          <w:lang w:val="en-US"/>
        </w:rPr>
      </w:pPr>
      <w:r w:rsidRPr="00EA4B66">
        <w:rPr>
          <w:b/>
          <w:color w:val="000000" w:themeColor="text1"/>
          <w:sz w:val="24"/>
          <w:szCs w:val="24"/>
          <w:lang w:val="en-US"/>
        </w:rPr>
        <w:t>7</w:t>
      </w:r>
      <w:r w:rsidR="00A60025" w:rsidRPr="00EA4B66">
        <w:rPr>
          <w:b/>
          <w:color w:val="000000" w:themeColor="text1"/>
          <w:sz w:val="24"/>
          <w:szCs w:val="24"/>
          <w:lang w:val="en-US"/>
        </w:rPr>
        <w:t>. Conclusion</w:t>
      </w:r>
    </w:p>
    <w:p w14:paraId="60060772" w14:textId="752EA71B" w:rsidR="007649FB" w:rsidRPr="00EA4B66" w:rsidRDefault="007649FB" w:rsidP="007649FB">
      <w:pPr>
        <w:spacing w:after="0" w:line="240" w:lineRule="auto"/>
        <w:jc w:val="both"/>
        <w:rPr>
          <w:color w:val="000000" w:themeColor="text1"/>
          <w:sz w:val="24"/>
          <w:szCs w:val="24"/>
          <w:lang w:val="en-US"/>
        </w:rPr>
      </w:pPr>
      <w:r w:rsidRPr="00EA4B66">
        <w:rPr>
          <w:color w:val="000000" w:themeColor="text1"/>
          <w:sz w:val="24"/>
          <w:szCs w:val="24"/>
          <w:lang w:val="en-US"/>
        </w:rPr>
        <w:t xml:space="preserve">This paper contributes to the IC literature </w:t>
      </w:r>
      <w:r w:rsidR="00FB3099" w:rsidRPr="00EA4B66">
        <w:rPr>
          <w:color w:val="000000" w:themeColor="text1"/>
          <w:sz w:val="24"/>
          <w:szCs w:val="24"/>
          <w:lang w:val="en-US"/>
        </w:rPr>
        <w:t xml:space="preserve">as it is </w:t>
      </w:r>
      <w:r w:rsidRPr="00EA4B66">
        <w:rPr>
          <w:color w:val="000000" w:themeColor="text1"/>
          <w:sz w:val="24"/>
          <w:szCs w:val="24"/>
          <w:lang w:val="en-US"/>
        </w:rPr>
        <w:t>the first study which appl</w:t>
      </w:r>
      <w:r w:rsidR="00CA11F1" w:rsidRPr="00EA4B66">
        <w:rPr>
          <w:color w:val="000000" w:themeColor="text1"/>
          <w:sz w:val="24"/>
          <w:szCs w:val="24"/>
          <w:lang w:val="en-US"/>
        </w:rPr>
        <w:t>ie</w:t>
      </w:r>
      <w:r w:rsidR="00FB3099" w:rsidRPr="00EA4B66">
        <w:rPr>
          <w:color w:val="000000" w:themeColor="text1"/>
          <w:sz w:val="24"/>
          <w:szCs w:val="24"/>
          <w:lang w:val="en-US"/>
        </w:rPr>
        <w:t>s</w:t>
      </w:r>
      <w:r w:rsidRPr="00EA4B66">
        <w:rPr>
          <w:color w:val="000000" w:themeColor="text1"/>
          <w:sz w:val="24"/>
          <w:szCs w:val="24"/>
          <w:lang w:val="en-US"/>
        </w:rPr>
        <w:t xml:space="preserve"> the Market Capitalization approach</w:t>
      </w:r>
      <w:r w:rsidR="00FB3099" w:rsidRPr="00EA4B66">
        <w:rPr>
          <w:color w:val="000000" w:themeColor="text1"/>
          <w:sz w:val="24"/>
          <w:szCs w:val="24"/>
          <w:lang w:val="en-US"/>
        </w:rPr>
        <w:t xml:space="preserve"> to</w:t>
      </w:r>
      <w:r w:rsidRPr="00EA4B66">
        <w:rPr>
          <w:color w:val="000000" w:themeColor="text1"/>
          <w:sz w:val="24"/>
          <w:szCs w:val="24"/>
          <w:lang w:val="en-US"/>
        </w:rPr>
        <w:t xml:space="preserve"> </w:t>
      </w:r>
      <w:r w:rsidR="00C708D8" w:rsidRPr="00EA4B66">
        <w:rPr>
          <w:color w:val="000000" w:themeColor="text1"/>
          <w:sz w:val="24"/>
          <w:szCs w:val="24"/>
          <w:lang w:val="en-US"/>
        </w:rPr>
        <w:t>analyze</w:t>
      </w:r>
      <w:r w:rsidRPr="00EA4B66">
        <w:rPr>
          <w:color w:val="000000" w:themeColor="text1"/>
          <w:sz w:val="24"/>
          <w:szCs w:val="24"/>
          <w:lang w:val="en-US"/>
        </w:rPr>
        <w:t xml:space="preserve"> IC value, measured in terms of the </w:t>
      </w:r>
      <w:r w:rsidR="00E02B50">
        <w:rPr>
          <w:color w:val="000000" w:themeColor="text1"/>
          <w:sz w:val="24"/>
          <w:szCs w:val="24"/>
          <w:lang w:val="en-US"/>
        </w:rPr>
        <w:t>MTB</w:t>
      </w:r>
      <w:r w:rsidRPr="00EA4B66">
        <w:rPr>
          <w:color w:val="000000" w:themeColor="text1"/>
          <w:sz w:val="24"/>
          <w:szCs w:val="24"/>
          <w:lang w:val="en-US"/>
        </w:rPr>
        <w:t xml:space="preserve"> ratio, and its </w:t>
      </w:r>
      <w:r w:rsidR="00CA11F1" w:rsidRPr="00EA4B66">
        <w:rPr>
          <w:color w:val="000000" w:themeColor="text1"/>
          <w:sz w:val="24"/>
          <w:szCs w:val="24"/>
          <w:lang w:val="en-US"/>
        </w:rPr>
        <w:t xml:space="preserve">potential </w:t>
      </w:r>
      <w:r w:rsidRPr="00EA4B66">
        <w:rPr>
          <w:color w:val="000000" w:themeColor="text1"/>
          <w:sz w:val="24"/>
          <w:szCs w:val="24"/>
          <w:lang w:val="en-US"/>
        </w:rPr>
        <w:t xml:space="preserve">determinants </w:t>
      </w:r>
      <w:r w:rsidR="00CA11F1" w:rsidRPr="00EA4B66">
        <w:rPr>
          <w:color w:val="000000" w:themeColor="text1"/>
          <w:sz w:val="24"/>
          <w:szCs w:val="24"/>
          <w:lang w:val="en-US"/>
        </w:rPr>
        <w:t>with</w:t>
      </w:r>
      <w:r w:rsidRPr="00EA4B66">
        <w:rPr>
          <w:color w:val="000000" w:themeColor="text1"/>
          <w:sz w:val="24"/>
          <w:szCs w:val="24"/>
          <w:lang w:val="en-US"/>
        </w:rPr>
        <w:t xml:space="preserve">in the Italian </w:t>
      </w:r>
      <w:r w:rsidR="00CA11F1" w:rsidRPr="00EA4B66">
        <w:rPr>
          <w:color w:val="000000" w:themeColor="text1"/>
          <w:sz w:val="24"/>
          <w:szCs w:val="24"/>
          <w:lang w:val="en-US"/>
        </w:rPr>
        <w:t xml:space="preserve">listed firm </w:t>
      </w:r>
      <w:r w:rsidRPr="00EA4B66">
        <w:rPr>
          <w:color w:val="000000" w:themeColor="text1"/>
          <w:sz w:val="24"/>
          <w:szCs w:val="24"/>
          <w:lang w:val="en-US"/>
        </w:rPr>
        <w:t>context</w:t>
      </w:r>
      <w:r w:rsidR="00CA11F1" w:rsidRPr="00EA4B66">
        <w:rPr>
          <w:color w:val="000000" w:themeColor="text1"/>
          <w:sz w:val="24"/>
          <w:szCs w:val="24"/>
          <w:lang w:val="en-US"/>
        </w:rPr>
        <w:t>, as</w:t>
      </w:r>
      <w:r w:rsidRPr="00EA4B66">
        <w:rPr>
          <w:color w:val="000000" w:themeColor="text1"/>
          <w:sz w:val="24"/>
          <w:szCs w:val="24"/>
          <w:lang w:val="en-US"/>
        </w:rPr>
        <w:t xml:space="preserve"> </w:t>
      </w:r>
      <w:r w:rsidR="00CA11F1" w:rsidRPr="00EA4B66">
        <w:rPr>
          <w:color w:val="000000" w:themeColor="text1"/>
          <w:sz w:val="24"/>
          <w:szCs w:val="24"/>
          <w:lang w:val="en-US"/>
        </w:rPr>
        <w:t xml:space="preserve">governed </w:t>
      </w:r>
      <w:r w:rsidRPr="00EA4B66">
        <w:rPr>
          <w:color w:val="000000" w:themeColor="text1"/>
          <w:sz w:val="24"/>
          <w:szCs w:val="24"/>
          <w:lang w:val="en-US"/>
        </w:rPr>
        <w:t xml:space="preserve">by </w:t>
      </w:r>
      <w:r w:rsidR="00E02B50">
        <w:rPr>
          <w:color w:val="000000" w:themeColor="text1"/>
          <w:sz w:val="24"/>
          <w:szCs w:val="24"/>
          <w:lang w:val="en-US"/>
        </w:rPr>
        <w:t>IFRS</w:t>
      </w:r>
      <w:r w:rsidR="00CA11F1" w:rsidRPr="00EA4B66">
        <w:rPr>
          <w:color w:val="000000" w:themeColor="text1"/>
          <w:sz w:val="24"/>
          <w:szCs w:val="24"/>
          <w:lang w:val="en-US"/>
        </w:rPr>
        <w:t>.</w:t>
      </w:r>
      <w:r w:rsidRPr="00EA4B66">
        <w:rPr>
          <w:color w:val="000000" w:themeColor="text1"/>
          <w:sz w:val="24"/>
          <w:szCs w:val="24"/>
          <w:lang w:val="en-US"/>
        </w:rPr>
        <w:t xml:space="preserve"> </w:t>
      </w:r>
      <w:r w:rsidR="00CA11F1" w:rsidRPr="00EA4B66">
        <w:rPr>
          <w:color w:val="000000" w:themeColor="text1"/>
          <w:sz w:val="24"/>
          <w:szCs w:val="24"/>
          <w:lang w:val="en-US"/>
        </w:rPr>
        <w:t xml:space="preserve">The empirical </w:t>
      </w:r>
      <w:r w:rsidR="00CD7A77" w:rsidRPr="00EA4B66">
        <w:rPr>
          <w:color w:val="000000" w:themeColor="text1"/>
          <w:sz w:val="24"/>
          <w:szCs w:val="24"/>
          <w:lang w:val="en-US"/>
        </w:rPr>
        <w:t>results</w:t>
      </w:r>
      <w:r w:rsidR="00CA11F1" w:rsidRPr="00EA4B66">
        <w:rPr>
          <w:color w:val="000000" w:themeColor="text1"/>
          <w:sz w:val="24"/>
          <w:szCs w:val="24"/>
          <w:lang w:val="en-US"/>
        </w:rPr>
        <w:t xml:space="preserve"> of this study </w:t>
      </w:r>
      <w:r w:rsidRPr="00EA4B66">
        <w:rPr>
          <w:color w:val="000000" w:themeColor="text1"/>
          <w:sz w:val="24"/>
          <w:szCs w:val="24"/>
          <w:lang w:val="en-US"/>
        </w:rPr>
        <w:t xml:space="preserve">show that the value of </w:t>
      </w:r>
      <w:r w:rsidR="00A03292">
        <w:rPr>
          <w:color w:val="000000" w:themeColor="text1"/>
          <w:sz w:val="24"/>
          <w:szCs w:val="24"/>
          <w:lang w:val="en-US"/>
        </w:rPr>
        <w:t>TINT</w:t>
      </w:r>
      <w:r w:rsidRPr="00EA4B66">
        <w:rPr>
          <w:color w:val="000000" w:themeColor="text1"/>
          <w:sz w:val="24"/>
          <w:szCs w:val="24"/>
          <w:lang w:val="en-US"/>
        </w:rPr>
        <w:t xml:space="preserve"> disclosed </w:t>
      </w:r>
      <w:r w:rsidR="00CD7A77" w:rsidRPr="00EA4B66">
        <w:rPr>
          <w:color w:val="000000" w:themeColor="text1"/>
          <w:sz w:val="24"/>
          <w:szCs w:val="24"/>
          <w:lang w:val="en-US"/>
        </w:rPr>
        <w:t>in</w:t>
      </w:r>
      <w:r w:rsidRPr="00EA4B66">
        <w:rPr>
          <w:color w:val="000000" w:themeColor="text1"/>
          <w:sz w:val="24"/>
          <w:szCs w:val="24"/>
          <w:lang w:val="en-US"/>
        </w:rPr>
        <w:t xml:space="preserve"> the financial statements, </w:t>
      </w:r>
      <w:r w:rsidR="00ED519C" w:rsidRPr="00EA4B66">
        <w:rPr>
          <w:color w:val="000000" w:themeColor="text1"/>
          <w:sz w:val="24"/>
          <w:szCs w:val="24"/>
          <w:lang w:val="en-US"/>
        </w:rPr>
        <w:t>firm</w:t>
      </w:r>
      <w:r w:rsidRPr="00EA4B66">
        <w:rPr>
          <w:color w:val="000000" w:themeColor="text1"/>
          <w:sz w:val="24"/>
          <w:szCs w:val="24"/>
          <w:lang w:val="en-US"/>
        </w:rPr>
        <w:t xml:space="preserve"> profitability, firm leverage, industry</w:t>
      </w:r>
      <w:r w:rsidR="00CA11F1" w:rsidRPr="00EA4B66">
        <w:rPr>
          <w:color w:val="000000" w:themeColor="text1"/>
          <w:sz w:val="24"/>
          <w:szCs w:val="24"/>
          <w:lang w:val="en-US"/>
        </w:rPr>
        <w:t xml:space="preserve"> membership</w:t>
      </w:r>
      <w:r w:rsidRPr="00EA4B66">
        <w:rPr>
          <w:color w:val="000000" w:themeColor="text1"/>
          <w:sz w:val="24"/>
          <w:szCs w:val="24"/>
          <w:lang w:val="en-US"/>
        </w:rPr>
        <w:t>, Big four audit</w:t>
      </w:r>
      <w:r w:rsidR="00CA11F1" w:rsidRPr="00EA4B66">
        <w:rPr>
          <w:color w:val="000000" w:themeColor="text1"/>
          <w:sz w:val="24"/>
          <w:szCs w:val="24"/>
          <w:lang w:val="en-US"/>
        </w:rPr>
        <w:t>or engagement,</w:t>
      </w:r>
      <w:r w:rsidRPr="00EA4B66">
        <w:rPr>
          <w:color w:val="000000" w:themeColor="text1"/>
          <w:sz w:val="24"/>
          <w:szCs w:val="24"/>
          <w:lang w:val="en-US"/>
        </w:rPr>
        <w:t xml:space="preserve"> and family ownership positively </w:t>
      </w:r>
      <w:r w:rsidR="00CA11F1" w:rsidRPr="00EA4B66">
        <w:rPr>
          <w:color w:val="000000" w:themeColor="text1"/>
          <w:sz w:val="24"/>
          <w:szCs w:val="24"/>
          <w:lang w:val="en-US"/>
        </w:rPr>
        <w:t xml:space="preserve">affect </w:t>
      </w:r>
      <w:r w:rsidRPr="00EA4B66">
        <w:rPr>
          <w:color w:val="000000" w:themeColor="text1"/>
          <w:sz w:val="24"/>
          <w:szCs w:val="24"/>
          <w:lang w:val="en-US"/>
        </w:rPr>
        <w:t xml:space="preserve">IC </w:t>
      </w:r>
      <w:r w:rsidR="00CA11F1" w:rsidRPr="00EA4B66">
        <w:rPr>
          <w:color w:val="000000" w:themeColor="text1"/>
          <w:sz w:val="24"/>
          <w:szCs w:val="24"/>
          <w:lang w:val="en-US"/>
        </w:rPr>
        <w:t>v</w:t>
      </w:r>
      <w:r w:rsidRPr="00EA4B66">
        <w:rPr>
          <w:color w:val="000000" w:themeColor="text1"/>
          <w:sz w:val="24"/>
          <w:szCs w:val="24"/>
          <w:lang w:val="en-US"/>
        </w:rPr>
        <w:t>alue</w:t>
      </w:r>
      <w:r w:rsidR="00CA11F1" w:rsidRPr="00EA4B66">
        <w:rPr>
          <w:color w:val="000000" w:themeColor="text1"/>
          <w:sz w:val="24"/>
          <w:szCs w:val="24"/>
          <w:lang w:val="en-US"/>
        </w:rPr>
        <w:t>,</w:t>
      </w:r>
      <w:r w:rsidRPr="00EA4B66">
        <w:rPr>
          <w:color w:val="000000" w:themeColor="text1"/>
          <w:sz w:val="24"/>
          <w:szCs w:val="24"/>
          <w:lang w:val="en-US"/>
        </w:rPr>
        <w:t xml:space="preserve"> while firm size and age negatively affect IC value. </w:t>
      </w:r>
      <w:r w:rsidR="00741A0D" w:rsidRPr="00EA4B66">
        <w:rPr>
          <w:color w:val="000000" w:themeColor="text1"/>
          <w:sz w:val="24"/>
          <w:szCs w:val="24"/>
          <w:lang w:val="en-US"/>
        </w:rPr>
        <w:t xml:space="preserve">The results are </w:t>
      </w:r>
      <w:r w:rsidR="00CA11F1" w:rsidRPr="00EA4B66">
        <w:rPr>
          <w:color w:val="000000" w:themeColor="text1"/>
          <w:sz w:val="24"/>
          <w:szCs w:val="24"/>
          <w:lang w:val="en-US"/>
        </w:rPr>
        <w:t xml:space="preserve">further </w:t>
      </w:r>
      <w:r w:rsidR="00741A0D" w:rsidRPr="00EA4B66">
        <w:rPr>
          <w:color w:val="000000" w:themeColor="text1"/>
          <w:sz w:val="24"/>
          <w:szCs w:val="24"/>
          <w:lang w:val="en-US"/>
        </w:rPr>
        <w:t>confirmed by the robustness test</w:t>
      </w:r>
      <w:r w:rsidR="00CA11F1" w:rsidRPr="00EA4B66">
        <w:rPr>
          <w:color w:val="000000" w:themeColor="text1"/>
          <w:sz w:val="24"/>
          <w:szCs w:val="24"/>
          <w:lang w:val="en-US"/>
        </w:rPr>
        <w:t>s conducted whereby</w:t>
      </w:r>
      <w:r w:rsidR="00741A0D" w:rsidRPr="00EA4B66">
        <w:rPr>
          <w:color w:val="000000" w:themeColor="text1"/>
          <w:sz w:val="24"/>
          <w:szCs w:val="24"/>
          <w:lang w:val="en-US"/>
        </w:rPr>
        <w:t xml:space="preserve"> MTB </w:t>
      </w:r>
      <w:r w:rsidR="00CA11F1" w:rsidRPr="00EA4B66">
        <w:rPr>
          <w:color w:val="000000" w:themeColor="text1"/>
          <w:sz w:val="24"/>
          <w:szCs w:val="24"/>
          <w:lang w:val="en-US"/>
        </w:rPr>
        <w:t xml:space="preserve">lagged </w:t>
      </w:r>
      <w:r w:rsidR="00741A0D" w:rsidRPr="00EA4B66">
        <w:rPr>
          <w:color w:val="000000" w:themeColor="text1"/>
          <w:sz w:val="24"/>
          <w:szCs w:val="24"/>
          <w:lang w:val="en-US"/>
        </w:rPr>
        <w:t xml:space="preserve">one-year is used as </w:t>
      </w:r>
      <w:r w:rsidR="00CA11F1" w:rsidRPr="00EA4B66">
        <w:rPr>
          <w:color w:val="000000" w:themeColor="text1"/>
          <w:sz w:val="24"/>
          <w:szCs w:val="24"/>
          <w:lang w:val="en-US"/>
        </w:rPr>
        <w:t xml:space="preserve">the </w:t>
      </w:r>
      <w:r w:rsidR="00741A0D" w:rsidRPr="00EA4B66">
        <w:rPr>
          <w:color w:val="000000" w:themeColor="text1"/>
          <w:sz w:val="24"/>
          <w:szCs w:val="24"/>
          <w:lang w:val="en-US"/>
        </w:rPr>
        <w:t>dependent variable.</w:t>
      </w:r>
      <w:r w:rsidR="00E06494" w:rsidRPr="00EA4B66">
        <w:rPr>
          <w:color w:val="000000" w:themeColor="text1"/>
          <w:sz w:val="24"/>
          <w:szCs w:val="24"/>
          <w:lang w:val="en-US"/>
        </w:rPr>
        <w:t xml:space="preserve"> The findings provide evidence that ROA is not a good predictor of </w:t>
      </w:r>
      <w:r w:rsidR="00CA11F1" w:rsidRPr="00EA4B66">
        <w:rPr>
          <w:color w:val="000000" w:themeColor="text1"/>
          <w:sz w:val="24"/>
          <w:szCs w:val="24"/>
          <w:lang w:val="en-US"/>
        </w:rPr>
        <w:t xml:space="preserve">the </w:t>
      </w:r>
      <w:r w:rsidR="00E06494" w:rsidRPr="00EA4B66">
        <w:rPr>
          <w:color w:val="000000" w:themeColor="text1"/>
          <w:sz w:val="24"/>
          <w:szCs w:val="24"/>
          <w:lang w:val="en-US"/>
        </w:rPr>
        <w:t xml:space="preserve">MTB ratio, probably </w:t>
      </w:r>
      <w:r w:rsidR="00CA11F1" w:rsidRPr="00EA4B66">
        <w:rPr>
          <w:color w:val="000000" w:themeColor="text1"/>
          <w:sz w:val="24"/>
          <w:szCs w:val="24"/>
          <w:lang w:val="en-US"/>
        </w:rPr>
        <w:t xml:space="preserve">as </w:t>
      </w:r>
      <w:r w:rsidR="00E06494" w:rsidRPr="00EA4B66">
        <w:rPr>
          <w:color w:val="000000" w:themeColor="text1"/>
          <w:sz w:val="24"/>
          <w:szCs w:val="24"/>
          <w:lang w:val="en-US"/>
        </w:rPr>
        <w:t xml:space="preserve">investors are </w:t>
      </w:r>
      <w:r w:rsidR="00CA11F1" w:rsidRPr="00EA4B66">
        <w:rPr>
          <w:color w:val="000000" w:themeColor="text1"/>
          <w:sz w:val="24"/>
          <w:szCs w:val="24"/>
          <w:lang w:val="en-US"/>
        </w:rPr>
        <w:t xml:space="preserve">more </w:t>
      </w:r>
      <w:r w:rsidR="00E06494" w:rsidRPr="00EA4B66">
        <w:rPr>
          <w:color w:val="000000" w:themeColor="text1"/>
          <w:sz w:val="24"/>
          <w:szCs w:val="24"/>
          <w:lang w:val="en-US"/>
        </w:rPr>
        <w:t>interested in overall firm performance</w:t>
      </w:r>
      <w:r w:rsidR="002B38E2" w:rsidRPr="00EA4B66">
        <w:rPr>
          <w:color w:val="000000" w:themeColor="text1"/>
          <w:sz w:val="24"/>
          <w:szCs w:val="24"/>
          <w:lang w:val="en-US"/>
        </w:rPr>
        <w:t xml:space="preserve"> (</w:t>
      </w:r>
      <w:r w:rsidR="00C708D8" w:rsidRPr="00EA4B66">
        <w:rPr>
          <w:color w:val="000000" w:themeColor="text1"/>
          <w:sz w:val="24"/>
          <w:szCs w:val="24"/>
          <w:lang w:val="en-US"/>
        </w:rPr>
        <w:t>as captured by</w:t>
      </w:r>
      <w:r w:rsidR="002B38E2" w:rsidRPr="00EA4B66">
        <w:rPr>
          <w:color w:val="000000" w:themeColor="text1"/>
          <w:sz w:val="24"/>
          <w:szCs w:val="24"/>
          <w:lang w:val="en-US"/>
        </w:rPr>
        <w:t xml:space="preserve"> the ROE ratio)</w:t>
      </w:r>
      <w:r w:rsidR="00E06494" w:rsidRPr="00EA4B66">
        <w:rPr>
          <w:color w:val="000000" w:themeColor="text1"/>
          <w:sz w:val="24"/>
          <w:szCs w:val="24"/>
          <w:lang w:val="en-US"/>
        </w:rPr>
        <w:t xml:space="preserve">. </w:t>
      </w:r>
      <w:r w:rsidRPr="00EA4B66">
        <w:rPr>
          <w:color w:val="000000" w:themeColor="text1"/>
          <w:sz w:val="24"/>
          <w:szCs w:val="24"/>
          <w:lang w:val="en-US"/>
        </w:rPr>
        <w:t xml:space="preserve">Moreover, </w:t>
      </w:r>
      <w:r w:rsidR="00CA11F1" w:rsidRPr="00EA4B66">
        <w:rPr>
          <w:color w:val="000000" w:themeColor="text1"/>
          <w:sz w:val="24"/>
          <w:szCs w:val="24"/>
          <w:lang w:val="en-US"/>
        </w:rPr>
        <w:t xml:space="preserve">the </w:t>
      </w:r>
      <w:r w:rsidRPr="00EA4B66">
        <w:rPr>
          <w:color w:val="000000" w:themeColor="text1"/>
          <w:sz w:val="24"/>
          <w:szCs w:val="24"/>
          <w:lang w:val="en-US"/>
        </w:rPr>
        <w:t xml:space="preserve">results show that ownership concentration is an insignificant driver of IC value. </w:t>
      </w:r>
    </w:p>
    <w:p w14:paraId="62589497" w14:textId="649AC24D" w:rsidR="007649FB" w:rsidRPr="00EA4B66" w:rsidRDefault="00CA11F1" w:rsidP="007649FB">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7649FB" w:rsidRPr="00EA4B66">
        <w:rPr>
          <w:color w:val="000000" w:themeColor="text1"/>
          <w:sz w:val="24"/>
          <w:szCs w:val="24"/>
          <w:lang w:val="en-US"/>
        </w:rPr>
        <w:t>The results evidenc</w:t>
      </w:r>
      <w:r w:rsidR="00DC474C" w:rsidRPr="00EA4B66">
        <w:rPr>
          <w:color w:val="000000" w:themeColor="text1"/>
          <w:sz w:val="24"/>
          <w:szCs w:val="24"/>
          <w:lang w:val="en-US"/>
        </w:rPr>
        <w:t>e</w:t>
      </w:r>
      <w:r w:rsidR="007649FB" w:rsidRPr="00EA4B66">
        <w:rPr>
          <w:color w:val="000000" w:themeColor="text1"/>
          <w:sz w:val="24"/>
          <w:szCs w:val="24"/>
          <w:lang w:val="en-US"/>
        </w:rPr>
        <w:t xml:space="preserve"> the holistic effects created by interactions between IC components which typically generate an overall value greater than the aggregate value of the individual estimates (Van der Meer-Kooistra and Zijlstra, 2001). Indeed, the IC measurement approach employed in this paper highlights how the excess of market capitalization over book value, generated by information sets far wider than the accounting system, measures the ‘covered’ portion of IC not currently represented in reported assets or expenses, at least to the extent that can be incorporated in market expectations. So, the study provides a critical approach to the extant research on the effect of IAS/IFRS adoption on the disclosure of intellectual capital. The</w:t>
      </w:r>
      <w:r w:rsidRPr="00EA4B66">
        <w:rPr>
          <w:color w:val="000000" w:themeColor="text1"/>
          <w:sz w:val="24"/>
          <w:szCs w:val="24"/>
          <w:lang w:val="en-US"/>
        </w:rPr>
        <w:t>re are</w:t>
      </w:r>
      <w:r w:rsidR="007649FB" w:rsidRPr="00EA4B66">
        <w:rPr>
          <w:color w:val="000000" w:themeColor="text1"/>
          <w:sz w:val="24"/>
          <w:szCs w:val="24"/>
          <w:lang w:val="en-US"/>
        </w:rPr>
        <w:t xml:space="preserve"> limitations of </w:t>
      </w:r>
      <w:r w:rsidRPr="00EA4B66">
        <w:rPr>
          <w:color w:val="000000" w:themeColor="text1"/>
          <w:sz w:val="24"/>
          <w:szCs w:val="24"/>
          <w:lang w:val="en-US"/>
        </w:rPr>
        <w:t xml:space="preserve">the </w:t>
      </w:r>
      <w:r w:rsidR="007649FB" w:rsidRPr="00EA4B66">
        <w:rPr>
          <w:color w:val="000000" w:themeColor="text1"/>
          <w:sz w:val="24"/>
          <w:szCs w:val="24"/>
          <w:lang w:val="en-US"/>
        </w:rPr>
        <w:t xml:space="preserve">accounting perspective and of financial information </w:t>
      </w:r>
      <w:r w:rsidRPr="00EA4B66">
        <w:rPr>
          <w:color w:val="000000" w:themeColor="text1"/>
          <w:sz w:val="24"/>
          <w:szCs w:val="24"/>
          <w:lang w:val="en-US"/>
        </w:rPr>
        <w:t xml:space="preserve">when </w:t>
      </w:r>
      <w:r w:rsidR="007649FB" w:rsidRPr="00EA4B66">
        <w:rPr>
          <w:color w:val="000000" w:themeColor="text1"/>
          <w:sz w:val="24"/>
          <w:szCs w:val="24"/>
          <w:lang w:val="en-US"/>
        </w:rPr>
        <w:t xml:space="preserve">measuring IC value, especially </w:t>
      </w:r>
      <w:r w:rsidRPr="00EA4B66">
        <w:rPr>
          <w:color w:val="000000" w:themeColor="text1"/>
          <w:sz w:val="24"/>
          <w:szCs w:val="24"/>
          <w:lang w:val="en-US"/>
        </w:rPr>
        <w:t>with regard to</w:t>
      </w:r>
      <w:r w:rsidR="007649FB" w:rsidRPr="00EA4B66">
        <w:rPr>
          <w:color w:val="000000" w:themeColor="text1"/>
          <w:sz w:val="24"/>
          <w:szCs w:val="24"/>
          <w:lang w:val="en-US"/>
        </w:rPr>
        <w:t xml:space="preserve"> the distorti</w:t>
      </w:r>
      <w:r w:rsidRPr="00EA4B66">
        <w:rPr>
          <w:color w:val="000000" w:themeColor="text1"/>
          <w:sz w:val="24"/>
          <w:szCs w:val="24"/>
          <w:lang w:val="en-US"/>
        </w:rPr>
        <w:t>ng</w:t>
      </w:r>
      <w:r w:rsidR="007649FB" w:rsidRPr="00EA4B66">
        <w:rPr>
          <w:color w:val="000000" w:themeColor="text1"/>
          <w:sz w:val="24"/>
          <w:szCs w:val="24"/>
          <w:lang w:val="en-US"/>
        </w:rPr>
        <w:t xml:space="preserve"> effect of historical costs on the difference between market and book value, </w:t>
      </w:r>
      <w:r w:rsidR="000C5C17" w:rsidRPr="00EA4B66">
        <w:rPr>
          <w:color w:val="000000" w:themeColor="text1"/>
          <w:sz w:val="24"/>
          <w:szCs w:val="24"/>
          <w:lang w:val="en-US"/>
        </w:rPr>
        <w:t xml:space="preserve">though </w:t>
      </w:r>
      <w:r w:rsidR="007649FB" w:rsidRPr="00EA4B66">
        <w:rPr>
          <w:color w:val="000000" w:themeColor="text1"/>
          <w:sz w:val="24"/>
          <w:szCs w:val="24"/>
          <w:lang w:val="en-US"/>
        </w:rPr>
        <w:t>Italian listed companies</w:t>
      </w:r>
      <w:r w:rsidR="000C5C17" w:rsidRPr="00EA4B66">
        <w:rPr>
          <w:color w:val="000000" w:themeColor="text1"/>
          <w:sz w:val="24"/>
          <w:szCs w:val="24"/>
          <w:lang w:val="en-US"/>
        </w:rPr>
        <w:t xml:space="preserve"> have</w:t>
      </w:r>
      <w:r w:rsidR="007649FB" w:rsidRPr="00EA4B66">
        <w:rPr>
          <w:color w:val="000000" w:themeColor="text1"/>
          <w:sz w:val="24"/>
          <w:szCs w:val="24"/>
          <w:lang w:val="en-US"/>
        </w:rPr>
        <w:t xml:space="preserve"> prepare</w:t>
      </w:r>
      <w:r w:rsidR="000C5C17" w:rsidRPr="00EA4B66">
        <w:rPr>
          <w:color w:val="000000" w:themeColor="text1"/>
          <w:sz w:val="24"/>
          <w:szCs w:val="24"/>
          <w:lang w:val="en-US"/>
        </w:rPr>
        <w:t>d</w:t>
      </w:r>
      <w:r w:rsidR="007649FB" w:rsidRPr="00EA4B66">
        <w:rPr>
          <w:color w:val="000000" w:themeColor="text1"/>
          <w:sz w:val="24"/>
          <w:szCs w:val="24"/>
          <w:lang w:val="en-US"/>
        </w:rPr>
        <w:t xml:space="preserve"> both consolidated and separate financial statements according to IAS/IFRS since 2005. </w:t>
      </w:r>
      <w:r w:rsidR="000C5C17" w:rsidRPr="00EA4B66">
        <w:rPr>
          <w:color w:val="000000" w:themeColor="text1"/>
          <w:sz w:val="24"/>
          <w:szCs w:val="24"/>
          <w:lang w:val="en-US"/>
        </w:rPr>
        <w:t>A</w:t>
      </w:r>
      <w:r w:rsidR="007649FB" w:rsidRPr="00EA4B66">
        <w:rPr>
          <w:color w:val="000000" w:themeColor="text1"/>
          <w:sz w:val="24"/>
          <w:szCs w:val="24"/>
          <w:lang w:val="en-US"/>
        </w:rPr>
        <w:t xml:space="preserve">s a consequence, assets and liabilities are assessed mostly at “fair” values, </w:t>
      </w:r>
      <w:r w:rsidR="000C5C17" w:rsidRPr="00EA4B66">
        <w:rPr>
          <w:color w:val="000000" w:themeColor="text1"/>
          <w:sz w:val="24"/>
          <w:szCs w:val="24"/>
          <w:lang w:val="en-US"/>
        </w:rPr>
        <w:t xml:space="preserve">which are </w:t>
      </w:r>
      <w:r w:rsidR="007649FB" w:rsidRPr="00EA4B66">
        <w:rPr>
          <w:color w:val="000000" w:themeColor="text1"/>
          <w:sz w:val="24"/>
          <w:szCs w:val="24"/>
          <w:lang w:val="en-US"/>
        </w:rPr>
        <w:t xml:space="preserve">not closely related to the historical cost convention. Thus, the </w:t>
      </w:r>
      <w:r w:rsidR="000C5C17" w:rsidRPr="00EA4B66">
        <w:rPr>
          <w:color w:val="000000" w:themeColor="text1"/>
          <w:sz w:val="24"/>
          <w:szCs w:val="24"/>
          <w:lang w:val="en-US"/>
        </w:rPr>
        <w:t xml:space="preserve">remaining </w:t>
      </w:r>
      <w:r w:rsidR="007649FB" w:rsidRPr="00EA4B66">
        <w:rPr>
          <w:color w:val="000000" w:themeColor="text1"/>
          <w:sz w:val="24"/>
          <w:szCs w:val="24"/>
          <w:lang w:val="en-US"/>
        </w:rPr>
        <w:t xml:space="preserve">positive difference between market and book value should reflect </w:t>
      </w:r>
      <w:r w:rsidR="000C5C17" w:rsidRPr="00EA4B66">
        <w:rPr>
          <w:color w:val="000000" w:themeColor="text1"/>
          <w:sz w:val="24"/>
          <w:szCs w:val="24"/>
          <w:lang w:val="en-US"/>
        </w:rPr>
        <w:t xml:space="preserve">well </w:t>
      </w:r>
      <w:r w:rsidR="007649FB" w:rsidRPr="00EA4B66">
        <w:rPr>
          <w:color w:val="000000" w:themeColor="text1"/>
          <w:sz w:val="24"/>
          <w:szCs w:val="24"/>
          <w:lang w:val="en-US"/>
        </w:rPr>
        <w:t xml:space="preserve">the price of intangible resources that are </w:t>
      </w:r>
      <w:r w:rsidR="000C5C17" w:rsidRPr="00EA4B66">
        <w:rPr>
          <w:color w:val="000000" w:themeColor="text1"/>
          <w:sz w:val="24"/>
          <w:szCs w:val="24"/>
          <w:lang w:val="en-US"/>
        </w:rPr>
        <w:t>as yet</w:t>
      </w:r>
      <w:r w:rsidR="007649FB" w:rsidRPr="00EA4B66">
        <w:rPr>
          <w:color w:val="000000" w:themeColor="text1"/>
          <w:sz w:val="24"/>
          <w:szCs w:val="24"/>
          <w:lang w:val="en-US"/>
        </w:rPr>
        <w:t xml:space="preserve"> </w:t>
      </w:r>
      <w:r w:rsidR="000C5C17" w:rsidRPr="00EA4B66">
        <w:rPr>
          <w:color w:val="000000" w:themeColor="text1"/>
          <w:sz w:val="24"/>
          <w:szCs w:val="24"/>
          <w:lang w:val="en-US"/>
        </w:rPr>
        <w:t>un</w:t>
      </w:r>
      <w:r w:rsidR="007649FB" w:rsidRPr="00EA4B66">
        <w:rPr>
          <w:color w:val="000000" w:themeColor="text1"/>
          <w:sz w:val="24"/>
          <w:szCs w:val="24"/>
          <w:lang w:val="en-US"/>
        </w:rPr>
        <w:t>recogniz</w:t>
      </w:r>
      <w:r w:rsidR="00993550" w:rsidRPr="00EA4B66">
        <w:rPr>
          <w:color w:val="000000" w:themeColor="text1"/>
          <w:sz w:val="24"/>
          <w:szCs w:val="24"/>
          <w:lang w:val="en-US"/>
        </w:rPr>
        <w:t>ed in the financial statements but that the financial markets</w:t>
      </w:r>
      <w:r w:rsidR="000C5C17" w:rsidRPr="00EA4B66">
        <w:rPr>
          <w:color w:val="000000" w:themeColor="text1"/>
          <w:sz w:val="24"/>
          <w:szCs w:val="24"/>
          <w:lang w:val="en-US"/>
        </w:rPr>
        <w:t>,</w:t>
      </w:r>
      <w:r w:rsidR="007649FB" w:rsidRPr="00EA4B66">
        <w:rPr>
          <w:color w:val="000000" w:themeColor="text1"/>
          <w:sz w:val="24"/>
          <w:szCs w:val="24"/>
          <w:lang w:val="en-US"/>
        </w:rPr>
        <w:t xml:space="preserve"> </w:t>
      </w:r>
      <w:r w:rsidR="000C5C17" w:rsidRPr="00EA4B66">
        <w:rPr>
          <w:color w:val="000000" w:themeColor="text1"/>
          <w:sz w:val="24"/>
          <w:szCs w:val="24"/>
          <w:lang w:val="en-US"/>
        </w:rPr>
        <w:t xml:space="preserve">by </w:t>
      </w:r>
      <w:r w:rsidR="007649FB" w:rsidRPr="00EA4B66">
        <w:rPr>
          <w:color w:val="000000" w:themeColor="text1"/>
          <w:sz w:val="24"/>
          <w:szCs w:val="24"/>
          <w:lang w:val="en-US"/>
        </w:rPr>
        <w:t>using other sources of information, manage to appraise in assessing a company’s intellectual capital.</w:t>
      </w:r>
      <w:r w:rsidR="00601271" w:rsidRPr="00EA4B66">
        <w:rPr>
          <w:color w:val="000000" w:themeColor="text1"/>
          <w:sz w:val="24"/>
          <w:szCs w:val="24"/>
          <w:lang w:val="en-US"/>
        </w:rPr>
        <w:t xml:space="preserve"> In </w:t>
      </w:r>
      <w:r w:rsidR="000C5C17" w:rsidRPr="00EA4B66">
        <w:rPr>
          <w:color w:val="000000" w:themeColor="text1"/>
          <w:sz w:val="24"/>
          <w:szCs w:val="24"/>
          <w:lang w:val="en-US"/>
        </w:rPr>
        <w:t>summary</w:t>
      </w:r>
      <w:r w:rsidR="00601271" w:rsidRPr="00EA4B66">
        <w:rPr>
          <w:color w:val="000000" w:themeColor="text1"/>
          <w:sz w:val="24"/>
          <w:szCs w:val="24"/>
          <w:lang w:val="en-US"/>
        </w:rPr>
        <w:t xml:space="preserve">, the findings </w:t>
      </w:r>
      <w:r w:rsidR="000C5C17" w:rsidRPr="00EA4B66">
        <w:rPr>
          <w:color w:val="000000" w:themeColor="text1"/>
          <w:sz w:val="24"/>
          <w:szCs w:val="24"/>
          <w:lang w:val="en-US"/>
        </w:rPr>
        <w:t xml:space="preserve">of this paper </w:t>
      </w:r>
      <w:r w:rsidR="00601271" w:rsidRPr="00EA4B66">
        <w:rPr>
          <w:color w:val="000000" w:themeColor="text1"/>
          <w:sz w:val="24"/>
          <w:szCs w:val="24"/>
          <w:lang w:val="en-US"/>
        </w:rPr>
        <w:t xml:space="preserve">suggest that </w:t>
      </w:r>
      <w:r w:rsidR="000C5C17" w:rsidRPr="00EA4B66">
        <w:rPr>
          <w:color w:val="000000" w:themeColor="text1"/>
          <w:sz w:val="24"/>
          <w:szCs w:val="24"/>
          <w:lang w:val="en-US"/>
        </w:rPr>
        <w:t xml:space="preserve">the </w:t>
      </w:r>
      <w:r w:rsidR="00601271" w:rsidRPr="00EA4B66">
        <w:rPr>
          <w:color w:val="000000" w:themeColor="text1"/>
          <w:sz w:val="24"/>
          <w:szCs w:val="24"/>
          <w:lang w:val="en-US"/>
        </w:rPr>
        <w:t xml:space="preserve">MTB ratio is a good </w:t>
      </w:r>
      <w:r w:rsidR="00075890" w:rsidRPr="00EA4B66">
        <w:rPr>
          <w:color w:val="000000" w:themeColor="text1"/>
          <w:sz w:val="24"/>
          <w:szCs w:val="24"/>
          <w:lang w:val="en-US"/>
        </w:rPr>
        <w:t xml:space="preserve">predictor of </w:t>
      </w:r>
      <w:r w:rsidR="00A30A0E">
        <w:rPr>
          <w:color w:val="000000" w:themeColor="text1"/>
          <w:sz w:val="24"/>
          <w:szCs w:val="24"/>
          <w:lang w:val="en-US"/>
        </w:rPr>
        <w:t>IC</w:t>
      </w:r>
      <w:r w:rsidR="00075890" w:rsidRPr="00EA4B66">
        <w:rPr>
          <w:color w:val="000000" w:themeColor="text1"/>
          <w:sz w:val="24"/>
          <w:szCs w:val="24"/>
          <w:lang w:val="en-US"/>
        </w:rPr>
        <w:t xml:space="preserve">, despite the </w:t>
      </w:r>
      <w:r w:rsidR="00075890" w:rsidRPr="00EA4B66">
        <w:rPr>
          <w:color w:val="000000" w:themeColor="text1"/>
          <w:sz w:val="24"/>
          <w:szCs w:val="24"/>
          <w:lang w:val="en-US"/>
        </w:rPr>
        <w:lastRenderedPageBreak/>
        <w:t>limit</w:t>
      </w:r>
      <w:r w:rsidR="000C5C17" w:rsidRPr="00EA4B66">
        <w:rPr>
          <w:color w:val="000000" w:themeColor="text1"/>
          <w:sz w:val="24"/>
          <w:szCs w:val="24"/>
          <w:lang w:val="en-US"/>
        </w:rPr>
        <w:t>ations</w:t>
      </w:r>
      <w:r w:rsidR="00075890" w:rsidRPr="00EA4B66">
        <w:rPr>
          <w:color w:val="000000" w:themeColor="text1"/>
          <w:sz w:val="24"/>
          <w:szCs w:val="24"/>
          <w:lang w:val="en-US"/>
        </w:rPr>
        <w:t xml:space="preserve"> of this ratio highlighted </w:t>
      </w:r>
      <w:r w:rsidR="000C5C17" w:rsidRPr="00EA4B66">
        <w:rPr>
          <w:color w:val="000000" w:themeColor="text1"/>
          <w:sz w:val="24"/>
          <w:szCs w:val="24"/>
          <w:lang w:val="en-US"/>
        </w:rPr>
        <w:t>in</w:t>
      </w:r>
      <w:r w:rsidR="00075890" w:rsidRPr="00EA4B66">
        <w:rPr>
          <w:color w:val="000000" w:themeColor="text1"/>
          <w:sz w:val="24"/>
          <w:szCs w:val="24"/>
          <w:lang w:val="en-US"/>
        </w:rPr>
        <w:t xml:space="preserve"> the literature. Moreover, </w:t>
      </w:r>
      <w:r w:rsidR="000C5C17" w:rsidRPr="00EA4B66">
        <w:rPr>
          <w:color w:val="000000" w:themeColor="text1"/>
          <w:sz w:val="24"/>
          <w:szCs w:val="24"/>
          <w:lang w:val="en-US"/>
        </w:rPr>
        <w:t xml:space="preserve">use of </w:t>
      </w:r>
      <w:r w:rsidR="00075890" w:rsidRPr="00EA4B66">
        <w:rPr>
          <w:color w:val="000000" w:themeColor="text1"/>
          <w:sz w:val="24"/>
          <w:szCs w:val="24"/>
          <w:lang w:val="en-US"/>
        </w:rPr>
        <w:t xml:space="preserve">the MTB </w:t>
      </w:r>
      <w:r w:rsidR="000C5C17" w:rsidRPr="00EA4B66">
        <w:rPr>
          <w:color w:val="000000" w:themeColor="text1"/>
          <w:sz w:val="24"/>
          <w:szCs w:val="24"/>
          <w:lang w:val="en-US"/>
        </w:rPr>
        <w:t xml:space="preserve">ratio </w:t>
      </w:r>
      <w:r w:rsidR="00075890" w:rsidRPr="00EA4B66">
        <w:rPr>
          <w:color w:val="000000" w:themeColor="text1"/>
          <w:sz w:val="24"/>
          <w:szCs w:val="24"/>
          <w:lang w:val="en-US"/>
        </w:rPr>
        <w:t xml:space="preserve">is </w:t>
      </w:r>
      <w:r w:rsidR="000C5C17" w:rsidRPr="00EA4B66">
        <w:rPr>
          <w:color w:val="000000" w:themeColor="text1"/>
          <w:sz w:val="24"/>
          <w:szCs w:val="24"/>
          <w:lang w:val="en-US"/>
        </w:rPr>
        <w:t xml:space="preserve">pervasive given its </w:t>
      </w:r>
      <w:r w:rsidR="00601271" w:rsidRPr="00EA4B66">
        <w:rPr>
          <w:color w:val="000000" w:themeColor="text1"/>
          <w:sz w:val="24"/>
          <w:szCs w:val="24"/>
          <w:lang w:val="en-US"/>
        </w:rPr>
        <w:t xml:space="preserve">ease of calculation </w:t>
      </w:r>
      <w:r w:rsidR="00075890" w:rsidRPr="00EA4B66">
        <w:rPr>
          <w:color w:val="000000" w:themeColor="text1"/>
          <w:sz w:val="24"/>
          <w:szCs w:val="24"/>
          <w:lang w:val="en-US"/>
        </w:rPr>
        <w:t xml:space="preserve">for investors. </w:t>
      </w:r>
    </w:p>
    <w:p w14:paraId="7B4943DC" w14:textId="7195F4E8" w:rsidR="007649FB" w:rsidRPr="00EA4B66" w:rsidRDefault="000C5C17" w:rsidP="007649FB">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7649FB" w:rsidRPr="00EA4B66">
        <w:rPr>
          <w:color w:val="000000" w:themeColor="text1"/>
          <w:sz w:val="24"/>
          <w:szCs w:val="24"/>
          <w:lang w:val="en-US"/>
        </w:rPr>
        <w:t xml:space="preserve">This study is subject to a number of limitations. First, the sample is restricted to 140 Italian listed companies due to difficulties in obtaining a larger firm financial dataset. Second, the MTB ratio measure employed as </w:t>
      </w:r>
      <w:r w:rsidRPr="00EA4B66">
        <w:rPr>
          <w:color w:val="000000" w:themeColor="text1"/>
          <w:sz w:val="24"/>
          <w:szCs w:val="24"/>
          <w:lang w:val="en-US"/>
        </w:rPr>
        <w:t xml:space="preserve">the </w:t>
      </w:r>
      <w:r w:rsidR="007649FB" w:rsidRPr="00EA4B66">
        <w:rPr>
          <w:color w:val="000000" w:themeColor="text1"/>
          <w:sz w:val="24"/>
          <w:szCs w:val="24"/>
          <w:lang w:val="en-US"/>
        </w:rPr>
        <w:t xml:space="preserve">dependent variable may suffer limitations as a result of historical cost accounting and </w:t>
      </w:r>
      <w:r w:rsidRPr="00EA4B66">
        <w:rPr>
          <w:color w:val="000000" w:themeColor="text1"/>
          <w:sz w:val="24"/>
          <w:szCs w:val="24"/>
          <w:lang w:val="en-US"/>
        </w:rPr>
        <w:t xml:space="preserve">equity </w:t>
      </w:r>
      <w:r w:rsidR="007649FB" w:rsidRPr="00EA4B66">
        <w:rPr>
          <w:color w:val="000000" w:themeColor="text1"/>
          <w:sz w:val="24"/>
          <w:szCs w:val="24"/>
          <w:lang w:val="en-US"/>
        </w:rPr>
        <w:t xml:space="preserve">market value fluctuations. Third, as some of </w:t>
      </w:r>
      <w:r w:rsidRPr="00EA4B66">
        <w:rPr>
          <w:color w:val="000000" w:themeColor="text1"/>
          <w:sz w:val="24"/>
          <w:szCs w:val="24"/>
          <w:lang w:val="en-US"/>
        </w:rPr>
        <w:t xml:space="preserve">the </w:t>
      </w:r>
      <w:r w:rsidR="007649FB" w:rsidRPr="00EA4B66">
        <w:rPr>
          <w:color w:val="000000" w:themeColor="text1"/>
          <w:sz w:val="24"/>
          <w:szCs w:val="24"/>
          <w:lang w:val="en-US"/>
        </w:rPr>
        <w:t>model variables are time-invariant, a pooled OLS regression with control for years is employed. Ideally it would be useful to measure continuous governance variables instead of simple dummy measures.</w:t>
      </w:r>
    </w:p>
    <w:p w14:paraId="44D895DC" w14:textId="04069F0B" w:rsidR="00E10C5D" w:rsidRPr="00EA4B66" w:rsidRDefault="000C5C17">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CD7A77" w:rsidRPr="00EA4B66">
        <w:rPr>
          <w:color w:val="000000" w:themeColor="text1"/>
          <w:sz w:val="24"/>
          <w:szCs w:val="24"/>
          <w:lang w:val="en-US"/>
        </w:rPr>
        <w:t>This</w:t>
      </w:r>
      <w:r w:rsidR="007649FB" w:rsidRPr="00EA4B66">
        <w:rPr>
          <w:color w:val="000000" w:themeColor="text1"/>
          <w:sz w:val="24"/>
          <w:szCs w:val="24"/>
          <w:lang w:val="en-US"/>
        </w:rPr>
        <w:t xml:space="preserve"> study has implications for academic researchers, practitioners and </w:t>
      </w:r>
      <w:r w:rsidR="00F105A9" w:rsidRPr="00EA4B66">
        <w:rPr>
          <w:color w:val="000000" w:themeColor="text1"/>
          <w:sz w:val="24"/>
          <w:szCs w:val="24"/>
          <w:lang w:val="en-US"/>
        </w:rPr>
        <w:t>managers</w:t>
      </w:r>
      <w:r w:rsidR="007649FB" w:rsidRPr="00EA4B66">
        <w:rPr>
          <w:color w:val="000000" w:themeColor="text1"/>
          <w:sz w:val="24"/>
          <w:szCs w:val="24"/>
          <w:lang w:val="en-US"/>
        </w:rPr>
        <w:t>.</w:t>
      </w:r>
      <w:r w:rsidR="00F105A9" w:rsidRPr="00EA4B66">
        <w:rPr>
          <w:color w:val="000000" w:themeColor="text1"/>
          <w:sz w:val="24"/>
          <w:szCs w:val="24"/>
          <w:lang w:val="en-US"/>
        </w:rPr>
        <w:t xml:space="preserve"> </w:t>
      </w:r>
      <w:r w:rsidRPr="00EA4B66">
        <w:rPr>
          <w:color w:val="000000" w:themeColor="text1"/>
          <w:sz w:val="24"/>
          <w:szCs w:val="24"/>
          <w:lang w:val="en-US"/>
        </w:rPr>
        <w:t xml:space="preserve">The approach employed </w:t>
      </w:r>
      <w:r w:rsidR="00F105A9" w:rsidRPr="00EA4B66">
        <w:rPr>
          <w:color w:val="000000" w:themeColor="text1"/>
          <w:sz w:val="24"/>
          <w:szCs w:val="24"/>
          <w:lang w:val="en-US"/>
        </w:rPr>
        <w:t xml:space="preserve">may allow </w:t>
      </w:r>
      <w:r w:rsidR="002C5474" w:rsidRPr="00EA4B66">
        <w:rPr>
          <w:color w:val="000000" w:themeColor="text1"/>
          <w:sz w:val="24"/>
          <w:szCs w:val="24"/>
          <w:lang w:val="en-US"/>
        </w:rPr>
        <w:t xml:space="preserve">academic researchers to investigate the impact on market </w:t>
      </w:r>
      <w:r w:rsidRPr="00EA4B66">
        <w:rPr>
          <w:color w:val="000000" w:themeColor="text1"/>
          <w:sz w:val="24"/>
          <w:szCs w:val="24"/>
          <w:lang w:val="en-US"/>
        </w:rPr>
        <w:t xml:space="preserve">value </w:t>
      </w:r>
      <w:r w:rsidR="002C5474" w:rsidRPr="00EA4B66">
        <w:rPr>
          <w:color w:val="000000" w:themeColor="text1"/>
          <w:sz w:val="24"/>
          <w:szCs w:val="24"/>
          <w:lang w:val="en-US"/>
        </w:rPr>
        <w:t>of other non-accounting sources of information. For practitioners</w:t>
      </w:r>
      <w:r w:rsidR="00F105A9" w:rsidRPr="00EA4B66">
        <w:rPr>
          <w:color w:val="000000" w:themeColor="text1"/>
          <w:sz w:val="24"/>
          <w:szCs w:val="24"/>
          <w:lang w:val="en-US"/>
        </w:rPr>
        <w:t>,</w:t>
      </w:r>
      <w:r w:rsidR="002C5474" w:rsidRPr="00EA4B66">
        <w:rPr>
          <w:color w:val="000000" w:themeColor="text1"/>
          <w:sz w:val="24"/>
          <w:szCs w:val="24"/>
          <w:lang w:val="en-US"/>
        </w:rPr>
        <w:t xml:space="preserve"> t</w:t>
      </w:r>
      <w:r w:rsidR="007649FB" w:rsidRPr="00EA4B66">
        <w:rPr>
          <w:color w:val="000000" w:themeColor="text1"/>
          <w:sz w:val="24"/>
          <w:szCs w:val="24"/>
          <w:lang w:val="en-US"/>
        </w:rPr>
        <w:t xml:space="preserve">he positive relationship between </w:t>
      </w:r>
      <w:r w:rsidRPr="00EA4B66">
        <w:rPr>
          <w:color w:val="000000" w:themeColor="text1"/>
          <w:sz w:val="24"/>
          <w:szCs w:val="24"/>
          <w:lang w:val="en-US"/>
        </w:rPr>
        <w:t xml:space="preserve">the </w:t>
      </w:r>
      <w:r w:rsidR="007649FB" w:rsidRPr="00EA4B66">
        <w:rPr>
          <w:color w:val="000000" w:themeColor="text1"/>
          <w:sz w:val="24"/>
          <w:szCs w:val="24"/>
          <w:lang w:val="en-US"/>
        </w:rPr>
        <w:t>MTB ratio and total intangible asset</w:t>
      </w:r>
      <w:r w:rsidR="001E6EC8">
        <w:rPr>
          <w:color w:val="000000" w:themeColor="text1"/>
          <w:sz w:val="24"/>
          <w:szCs w:val="24"/>
          <w:lang w:val="en-US"/>
        </w:rPr>
        <w:t>s</w:t>
      </w:r>
      <w:r w:rsidR="007649FB" w:rsidRPr="00EA4B66">
        <w:rPr>
          <w:color w:val="000000" w:themeColor="text1"/>
          <w:sz w:val="24"/>
          <w:szCs w:val="24"/>
          <w:lang w:val="en-US"/>
        </w:rPr>
        <w:t xml:space="preserve"> value suggests that listed firms, when reviewing their strategies, should invest more in </w:t>
      </w:r>
      <w:r w:rsidR="00A03292">
        <w:rPr>
          <w:color w:val="000000" w:themeColor="text1"/>
          <w:sz w:val="24"/>
          <w:szCs w:val="24"/>
          <w:lang w:val="en-US"/>
        </w:rPr>
        <w:t>IA</w:t>
      </w:r>
      <w:r w:rsidR="007649FB" w:rsidRPr="00EA4B66">
        <w:rPr>
          <w:color w:val="000000" w:themeColor="text1"/>
          <w:sz w:val="24"/>
          <w:szCs w:val="24"/>
          <w:lang w:val="en-US"/>
        </w:rPr>
        <w:t xml:space="preserve"> in order to grow their market value more rapidly. </w:t>
      </w:r>
      <w:r w:rsidR="00C215C6" w:rsidRPr="00EA4B66">
        <w:rPr>
          <w:color w:val="000000" w:themeColor="text1"/>
          <w:sz w:val="24"/>
          <w:szCs w:val="24"/>
          <w:lang w:val="en-US"/>
        </w:rPr>
        <w:t xml:space="preserve">Traditionally, the only </w:t>
      </w:r>
      <w:r w:rsidR="00A03292">
        <w:rPr>
          <w:color w:val="000000" w:themeColor="text1"/>
          <w:sz w:val="24"/>
          <w:szCs w:val="24"/>
          <w:lang w:val="en-US"/>
        </w:rPr>
        <w:t>IA</w:t>
      </w:r>
      <w:r w:rsidR="00C215C6" w:rsidRPr="00EA4B66">
        <w:rPr>
          <w:color w:val="000000" w:themeColor="text1"/>
          <w:sz w:val="24"/>
          <w:szCs w:val="24"/>
          <w:lang w:val="en-US"/>
        </w:rPr>
        <w:t xml:space="preserve"> </w:t>
      </w:r>
      <w:r w:rsidR="00363D05" w:rsidRPr="00EA4B66">
        <w:rPr>
          <w:color w:val="000000" w:themeColor="text1"/>
          <w:sz w:val="24"/>
          <w:szCs w:val="24"/>
          <w:lang w:val="en-US"/>
        </w:rPr>
        <w:t>recognized</w:t>
      </w:r>
      <w:r w:rsidR="00C215C6" w:rsidRPr="00EA4B66">
        <w:rPr>
          <w:color w:val="000000" w:themeColor="text1"/>
          <w:sz w:val="24"/>
          <w:szCs w:val="24"/>
          <w:lang w:val="en-US"/>
        </w:rPr>
        <w:t xml:space="preserve"> in </w:t>
      </w:r>
      <w:r w:rsidRPr="00EA4B66">
        <w:rPr>
          <w:color w:val="000000" w:themeColor="text1"/>
          <w:sz w:val="24"/>
          <w:szCs w:val="24"/>
          <w:lang w:val="en-US"/>
        </w:rPr>
        <w:t xml:space="preserve">the </w:t>
      </w:r>
      <w:r w:rsidR="00C215C6" w:rsidRPr="00EA4B66">
        <w:rPr>
          <w:color w:val="000000" w:themeColor="text1"/>
          <w:sz w:val="24"/>
          <w:szCs w:val="24"/>
          <w:lang w:val="en-US"/>
        </w:rPr>
        <w:t xml:space="preserve">financial statements were intellectual property, such as patents and trademarks, and acquired items such as goodwill. Although it is still not possible to assign monetary values to most internally generated </w:t>
      </w:r>
      <w:r w:rsidR="00A03292">
        <w:rPr>
          <w:color w:val="000000" w:themeColor="text1"/>
          <w:sz w:val="24"/>
          <w:szCs w:val="24"/>
          <w:lang w:val="en-US"/>
        </w:rPr>
        <w:t>IA</w:t>
      </w:r>
      <w:r w:rsidR="00C215C6" w:rsidRPr="00EA4B66">
        <w:rPr>
          <w:color w:val="000000" w:themeColor="text1"/>
          <w:sz w:val="24"/>
          <w:szCs w:val="24"/>
          <w:lang w:val="en-US"/>
        </w:rPr>
        <w:t>, they nevertheless need to be considered if the process of value creation is to be properly understood</w:t>
      </w:r>
      <w:r w:rsidR="00D63DEC" w:rsidRPr="00EA4B66">
        <w:rPr>
          <w:color w:val="000000" w:themeColor="text1"/>
          <w:sz w:val="24"/>
          <w:szCs w:val="24"/>
          <w:lang w:val="en-US"/>
        </w:rPr>
        <w:t xml:space="preserve">, suggesting </w:t>
      </w:r>
      <w:r w:rsidR="005F66B8" w:rsidRPr="00EA4B66">
        <w:rPr>
          <w:color w:val="000000" w:themeColor="text1"/>
          <w:sz w:val="24"/>
          <w:szCs w:val="24"/>
          <w:lang w:val="en-US"/>
        </w:rPr>
        <w:t xml:space="preserve">that </w:t>
      </w:r>
      <w:r w:rsidR="007E33A9" w:rsidRPr="00EA4B66">
        <w:rPr>
          <w:color w:val="000000" w:themeColor="text1"/>
          <w:sz w:val="24"/>
          <w:szCs w:val="24"/>
          <w:lang w:val="en-US"/>
        </w:rPr>
        <w:t xml:space="preserve">additional information </w:t>
      </w:r>
      <w:r w:rsidR="008F2E72" w:rsidRPr="00EA4B66">
        <w:rPr>
          <w:color w:val="000000" w:themeColor="text1"/>
          <w:sz w:val="24"/>
          <w:szCs w:val="24"/>
          <w:lang w:val="en-US"/>
        </w:rPr>
        <w:t xml:space="preserve">on non-recognized intangible </w:t>
      </w:r>
      <w:r w:rsidRPr="00EA4B66">
        <w:rPr>
          <w:color w:val="000000" w:themeColor="text1"/>
          <w:sz w:val="24"/>
          <w:szCs w:val="24"/>
          <w:lang w:val="en-US"/>
        </w:rPr>
        <w:t xml:space="preserve">(e.g. internally generated) </w:t>
      </w:r>
      <w:r w:rsidR="000052E7" w:rsidRPr="00EA4B66">
        <w:rPr>
          <w:color w:val="000000" w:themeColor="text1"/>
          <w:sz w:val="24"/>
          <w:szCs w:val="24"/>
          <w:lang w:val="en-US"/>
        </w:rPr>
        <w:t>assets</w:t>
      </w:r>
      <w:r w:rsidR="008F2E72" w:rsidRPr="00EA4B66">
        <w:rPr>
          <w:color w:val="000000" w:themeColor="text1"/>
          <w:sz w:val="24"/>
          <w:szCs w:val="24"/>
          <w:lang w:val="en-US"/>
        </w:rPr>
        <w:t xml:space="preserve"> </w:t>
      </w:r>
      <w:r w:rsidR="007E33A9" w:rsidRPr="00EA4B66">
        <w:rPr>
          <w:color w:val="000000" w:themeColor="text1"/>
          <w:sz w:val="24"/>
          <w:szCs w:val="24"/>
          <w:lang w:val="en-US"/>
        </w:rPr>
        <w:t>helps investors to assess a company’s potential for future earnings</w:t>
      </w:r>
      <w:r w:rsidRPr="00EA4B66">
        <w:rPr>
          <w:color w:val="000000" w:themeColor="text1"/>
          <w:sz w:val="24"/>
          <w:szCs w:val="24"/>
          <w:lang w:val="en-US"/>
        </w:rPr>
        <w:t xml:space="preserve"> growth</w:t>
      </w:r>
      <w:r w:rsidR="007E33A9" w:rsidRPr="00EA4B66">
        <w:rPr>
          <w:color w:val="000000" w:themeColor="text1"/>
          <w:sz w:val="24"/>
          <w:szCs w:val="24"/>
          <w:lang w:val="en-US"/>
        </w:rPr>
        <w:t xml:space="preserve">, </w:t>
      </w:r>
      <w:r w:rsidR="00EB7244">
        <w:rPr>
          <w:color w:val="000000" w:themeColor="text1"/>
          <w:sz w:val="24"/>
          <w:szCs w:val="24"/>
          <w:lang w:val="en-US"/>
        </w:rPr>
        <w:t>thereby</w:t>
      </w:r>
      <w:r w:rsidR="007E33A9" w:rsidRPr="00EA4B66">
        <w:rPr>
          <w:color w:val="000000" w:themeColor="text1"/>
          <w:sz w:val="24"/>
          <w:szCs w:val="24"/>
          <w:lang w:val="en-US"/>
        </w:rPr>
        <w:t xml:space="preserve"> helping to </w:t>
      </w:r>
      <w:r w:rsidRPr="00EA4B66">
        <w:rPr>
          <w:color w:val="000000" w:themeColor="text1"/>
          <w:sz w:val="24"/>
          <w:szCs w:val="24"/>
          <w:lang w:val="en-US"/>
        </w:rPr>
        <w:t xml:space="preserve">reduce </w:t>
      </w:r>
      <w:r w:rsidR="007E33A9" w:rsidRPr="00EA4B66">
        <w:rPr>
          <w:color w:val="000000" w:themeColor="text1"/>
          <w:sz w:val="24"/>
          <w:szCs w:val="24"/>
          <w:lang w:val="en-US"/>
        </w:rPr>
        <w:t xml:space="preserve">share price </w:t>
      </w:r>
      <w:r w:rsidRPr="00EA4B66">
        <w:rPr>
          <w:color w:val="000000" w:themeColor="text1"/>
          <w:sz w:val="24"/>
          <w:szCs w:val="24"/>
          <w:lang w:val="en-US"/>
        </w:rPr>
        <w:t>volatility through time</w:t>
      </w:r>
      <w:r w:rsidR="007E33A9" w:rsidRPr="00EA4B66">
        <w:rPr>
          <w:color w:val="000000" w:themeColor="text1"/>
          <w:sz w:val="24"/>
          <w:szCs w:val="24"/>
          <w:lang w:val="en-US"/>
        </w:rPr>
        <w:t xml:space="preserve">. This in turn </w:t>
      </w:r>
      <w:r w:rsidRPr="00EA4B66">
        <w:rPr>
          <w:color w:val="000000" w:themeColor="text1"/>
          <w:sz w:val="24"/>
          <w:szCs w:val="24"/>
          <w:lang w:val="en-US"/>
        </w:rPr>
        <w:t xml:space="preserve">should </w:t>
      </w:r>
      <w:r w:rsidR="007E33A9" w:rsidRPr="00EA4B66">
        <w:rPr>
          <w:color w:val="000000" w:themeColor="text1"/>
          <w:sz w:val="24"/>
          <w:szCs w:val="24"/>
          <w:lang w:val="en-US"/>
        </w:rPr>
        <w:t xml:space="preserve">reduce the risks associated with a company and </w:t>
      </w:r>
      <w:r w:rsidRPr="00EA4B66">
        <w:rPr>
          <w:color w:val="000000" w:themeColor="text1"/>
          <w:sz w:val="24"/>
          <w:szCs w:val="24"/>
          <w:lang w:val="en-US"/>
        </w:rPr>
        <w:t xml:space="preserve">should therefore </w:t>
      </w:r>
      <w:r w:rsidR="007E33A9" w:rsidRPr="00EA4B66">
        <w:rPr>
          <w:color w:val="000000" w:themeColor="text1"/>
          <w:sz w:val="24"/>
          <w:szCs w:val="24"/>
          <w:lang w:val="en-US"/>
        </w:rPr>
        <w:t>result in a lower</w:t>
      </w:r>
      <w:r w:rsidRPr="00EA4B66">
        <w:rPr>
          <w:color w:val="000000" w:themeColor="text1"/>
          <w:sz w:val="24"/>
          <w:szCs w:val="24"/>
          <w:lang w:val="en-US"/>
        </w:rPr>
        <w:t xml:space="preserve"> </w:t>
      </w:r>
      <w:r w:rsidR="007E33A9" w:rsidRPr="00EA4B66">
        <w:rPr>
          <w:color w:val="000000" w:themeColor="text1"/>
          <w:sz w:val="24"/>
          <w:szCs w:val="24"/>
          <w:lang w:val="en-US"/>
        </w:rPr>
        <w:t>cost of capital.</w:t>
      </w:r>
      <w:r w:rsidR="00837E6D" w:rsidRPr="00EA4B66">
        <w:rPr>
          <w:color w:val="000000" w:themeColor="text1"/>
          <w:sz w:val="24"/>
          <w:szCs w:val="24"/>
          <w:lang w:val="en-US"/>
        </w:rPr>
        <w:t xml:space="preserve"> </w:t>
      </w:r>
      <w:r w:rsidR="002C5474" w:rsidRPr="00EA4B66">
        <w:rPr>
          <w:color w:val="000000" w:themeColor="text1"/>
          <w:sz w:val="24"/>
          <w:szCs w:val="24"/>
          <w:lang w:val="en-US"/>
        </w:rPr>
        <w:t>Furthermore</w:t>
      </w:r>
      <w:r w:rsidR="007649FB" w:rsidRPr="00EA4B66">
        <w:rPr>
          <w:color w:val="000000" w:themeColor="text1"/>
          <w:sz w:val="24"/>
          <w:szCs w:val="24"/>
          <w:lang w:val="en-US"/>
        </w:rPr>
        <w:t xml:space="preserve">, in the </w:t>
      </w:r>
      <w:r w:rsidRPr="00EA4B66">
        <w:rPr>
          <w:color w:val="000000" w:themeColor="text1"/>
          <w:sz w:val="24"/>
          <w:szCs w:val="24"/>
          <w:lang w:val="en-US"/>
        </w:rPr>
        <w:t>empirical results of this paper</w:t>
      </w:r>
      <w:r w:rsidR="007649FB" w:rsidRPr="00EA4B66">
        <w:rPr>
          <w:color w:val="000000" w:themeColor="text1"/>
          <w:sz w:val="24"/>
          <w:szCs w:val="24"/>
          <w:lang w:val="en-US"/>
        </w:rPr>
        <w:t>, size is measured as the total value of all assets</w:t>
      </w:r>
      <w:r w:rsidR="00B17C14" w:rsidRPr="00EA4B66">
        <w:rPr>
          <w:color w:val="000000" w:themeColor="text1"/>
          <w:sz w:val="24"/>
          <w:szCs w:val="24"/>
          <w:lang w:val="en-US"/>
        </w:rPr>
        <w:t>;</w:t>
      </w:r>
      <w:r w:rsidR="007649FB" w:rsidRPr="00EA4B66">
        <w:rPr>
          <w:color w:val="000000" w:themeColor="text1"/>
          <w:sz w:val="24"/>
          <w:szCs w:val="24"/>
          <w:lang w:val="en-US"/>
        </w:rPr>
        <w:t xml:space="preserve"> as a consequence, the findings imply, for managers and practitioners, that </w:t>
      </w:r>
      <w:r w:rsidR="00B17C14" w:rsidRPr="00EA4B66">
        <w:rPr>
          <w:color w:val="000000" w:themeColor="text1"/>
          <w:sz w:val="24"/>
          <w:szCs w:val="24"/>
          <w:lang w:val="en-US"/>
        </w:rPr>
        <w:t xml:space="preserve">an </w:t>
      </w:r>
      <w:r w:rsidR="007649FB" w:rsidRPr="00EA4B66">
        <w:rPr>
          <w:color w:val="000000" w:themeColor="text1"/>
          <w:sz w:val="24"/>
          <w:szCs w:val="24"/>
          <w:lang w:val="en-US"/>
        </w:rPr>
        <w:t xml:space="preserve">increase </w:t>
      </w:r>
      <w:r w:rsidR="00B17C14" w:rsidRPr="00EA4B66">
        <w:rPr>
          <w:color w:val="000000" w:themeColor="text1"/>
          <w:sz w:val="24"/>
          <w:szCs w:val="24"/>
          <w:lang w:val="en-US"/>
        </w:rPr>
        <w:t>in</w:t>
      </w:r>
      <w:r w:rsidR="007649FB" w:rsidRPr="00EA4B66">
        <w:rPr>
          <w:color w:val="000000" w:themeColor="text1"/>
          <w:sz w:val="24"/>
          <w:szCs w:val="24"/>
          <w:lang w:val="en-US"/>
        </w:rPr>
        <w:t xml:space="preserve"> market value cannot be </w:t>
      </w:r>
      <w:r w:rsidR="00B17C14" w:rsidRPr="00EA4B66">
        <w:rPr>
          <w:color w:val="000000" w:themeColor="text1"/>
          <w:sz w:val="24"/>
          <w:szCs w:val="24"/>
          <w:lang w:val="en-US"/>
        </w:rPr>
        <w:t>simply attributed to</w:t>
      </w:r>
      <w:r w:rsidR="007649FB" w:rsidRPr="00EA4B66">
        <w:rPr>
          <w:color w:val="000000" w:themeColor="text1"/>
          <w:sz w:val="24"/>
          <w:szCs w:val="24"/>
          <w:lang w:val="en-US"/>
        </w:rPr>
        <w:t xml:space="preserve"> “growth” in itself, but should </w:t>
      </w:r>
      <w:r w:rsidR="00B17C14" w:rsidRPr="00EA4B66">
        <w:rPr>
          <w:color w:val="000000" w:themeColor="text1"/>
          <w:sz w:val="24"/>
          <w:szCs w:val="24"/>
          <w:lang w:val="en-US"/>
        </w:rPr>
        <w:t xml:space="preserve">also </w:t>
      </w:r>
      <w:r w:rsidR="007649FB" w:rsidRPr="00EA4B66">
        <w:rPr>
          <w:color w:val="000000" w:themeColor="text1"/>
          <w:sz w:val="24"/>
          <w:szCs w:val="24"/>
          <w:lang w:val="en-US"/>
        </w:rPr>
        <w:t xml:space="preserve">be the result of a consistent IC-oriented investment policy. </w:t>
      </w:r>
      <w:r w:rsidR="00363D05" w:rsidRPr="00EA4B66">
        <w:rPr>
          <w:color w:val="000000" w:themeColor="text1"/>
          <w:sz w:val="24"/>
          <w:szCs w:val="24"/>
          <w:lang w:val="en-US"/>
        </w:rPr>
        <w:t>A</w:t>
      </w:r>
      <w:r w:rsidR="004A75BF" w:rsidRPr="00EA4B66">
        <w:rPr>
          <w:color w:val="000000" w:themeColor="text1"/>
          <w:sz w:val="24"/>
          <w:szCs w:val="24"/>
          <w:lang w:val="en-US"/>
        </w:rPr>
        <w:t xml:space="preserve">ccording to Bozzolan </w:t>
      </w:r>
      <w:r w:rsidR="004A75BF" w:rsidRPr="00EA4B66">
        <w:rPr>
          <w:i/>
          <w:color w:val="000000" w:themeColor="text1"/>
          <w:sz w:val="24"/>
          <w:szCs w:val="24"/>
          <w:lang w:val="en-US"/>
        </w:rPr>
        <w:t>et al.</w:t>
      </w:r>
      <w:r w:rsidR="004A75BF" w:rsidRPr="00EA4B66">
        <w:rPr>
          <w:color w:val="000000" w:themeColor="text1"/>
          <w:sz w:val="24"/>
          <w:szCs w:val="24"/>
          <w:lang w:val="en-US"/>
        </w:rPr>
        <w:t xml:space="preserve"> (2003), </w:t>
      </w:r>
      <w:r w:rsidR="001E6EC8" w:rsidRPr="001E6EC8">
        <w:rPr>
          <w:color w:val="000000" w:themeColor="text1"/>
          <w:sz w:val="24"/>
          <w:szCs w:val="24"/>
          <w:lang w:val="en-US"/>
        </w:rPr>
        <w:t xml:space="preserve">While et al., (2007), </w:t>
      </w:r>
      <w:r w:rsidR="004A75BF" w:rsidRPr="00EA4B66">
        <w:rPr>
          <w:color w:val="000000" w:themeColor="text1"/>
          <w:sz w:val="24"/>
          <w:szCs w:val="24"/>
          <w:lang w:val="en-US"/>
        </w:rPr>
        <w:t>Bruggen (2009)</w:t>
      </w:r>
      <w:r w:rsidR="00363D05" w:rsidRPr="00EA4B66">
        <w:rPr>
          <w:color w:val="000000" w:themeColor="text1"/>
          <w:sz w:val="24"/>
          <w:szCs w:val="24"/>
          <w:lang w:val="en-US"/>
        </w:rPr>
        <w:t>,</w:t>
      </w:r>
      <w:r w:rsidR="004A75BF" w:rsidRPr="00EA4B66">
        <w:rPr>
          <w:color w:val="000000" w:themeColor="text1"/>
          <w:sz w:val="24"/>
          <w:szCs w:val="24"/>
          <w:lang w:val="en-US"/>
        </w:rPr>
        <w:t xml:space="preserve"> </w:t>
      </w:r>
      <w:r w:rsidR="007416CA" w:rsidRPr="00EA4B66">
        <w:rPr>
          <w:color w:val="000000" w:themeColor="text1"/>
          <w:sz w:val="24"/>
          <w:szCs w:val="24"/>
          <w:lang w:val="en-US"/>
        </w:rPr>
        <w:t xml:space="preserve">and Taliyang </w:t>
      </w:r>
      <w:r w:rsidR="007416CA" w:rsidRPr="00EA4B66">
        <w:rPr>
          <w:i/>
          <w:color w:val="000000" w:themeColor="text1"/>
          <w:sz w:val="24"/>
          <w:szCs w:val="24"/>
          <w:lang w:val="en-US"/>
        </w:rPr>
        <w:t>et al.</w:t>
      </w:r>
      <w:r w:rsidR="007416CA" w:rsidRPr="00EA4B66">
        <w:rPr>
          <w:color w:val="000000" w:themeColor="text1"/>
          <w:sz w:val="24"/>
          <w:szCs w:val="24"/>
          <w:lang w:val="en-US"/>
        </w:rPr>
        <w:t xml:space="preserve"> (2011),</w:t>
      </w:r>
      <w:r w:rsidR="004A75BF" w:rsidRPr="00EA4B66">
        <w:rPr>
          <w:color w:val="000000" w:themeColor="text1"/>
          <w:sz w:val="24"/>
          <w:szCs w:val="24"/>
          <w:lang w:val="en-US"/>
        </w:rPr>
        <w:t xml:space="preserve"> firm size should influence the </w:t>
      </w:r>
      <w:r w:rsidR="00077B09" w:rsidRPr="00EA4B66">
        <w:rPr>
          <w:color w:val="000000" w:themeColor="text1"/>
          <w:sz w:val="24"/>
          <w:szCs w:val="24"/>
          <w:lang w:val="en-US"/>
        </w:rPr>
        <w:t xml:space="preserve">amount </w:t>
      </w:r>
      <w:r w:rsidR="00363D05" w:rsidRPr="00EA4B66">
        <w:rPr>
          <w:color w:val="000000" w:themeColor="text1"/>
          <w:sz w:val="24"/>
          <w:szCs w:val="24"/>
          <w:lang w:val="en-US"/>
        </w:rPr>
        <w:t xml:space="preserve">of </w:t>
      </w:r>
      <w:r w:rsidR="001E6EC8">
        <w:rPr>
          <w:color w:val="000000" w:themeColor="text1"/>
          <w:sz w:val="24"/>
          <w:szCs w:val="24"/>
          <w:lang w:val="en-US"/>
        </w:rPr>
        <w:t>IC</w:t>
      </w:r>
      <w:r w:rsidR="00363D05" w:rsidRPr="00EA4B66">
        <w:rPr>
          <w:color w:val="000000" w:themeColor="text1"/>
          <w:sz w:val="24"/>
          <w:szCs w:val="24"/>
          <w:lang w:val="en-US"/>
        </w:rPr>
        <w:t xml:space="preserve"> </w:t>
      </w:r>
      <w:r w:rsidR="004A75BF" w:rsidRPr="00EA4B66">
        <w:rPr>
          <w:color w:val="000000" w:themeColor="text1"/>
          <w:sz w:val="24"/>
          <w:szCs w:val="24"/>
          <w:lang w:val="en-US"/>
        </w:rPr>
        <w:t>disclosure</w:t>
      </w:r>
      <w:r w:rsidR="00077B09" w:rsidRPr="00EA4B66">
        <w:rPr>
          <w:color w:val="000000" w:themeColor="text1"/>
          <w:sz w:val="24"/>
          <w:szCs w:val="24"/>
          <w:lang w:val="en-US"/>
        </w:rPr>
        <w:t>, and not MTB value</w:t>
      </w:r>
      <w:r w:rsidR="00227930" w:rsidRPr="00EA4B66">
        <w:rPr>
          <w:color w:val="000000" w:themeColor="text1"/>
          <w:sz w:val="24"/>
          <w:szCs w:val="24"/>
          <w:lang w:val="en-US"/>
        </w:rPr>
        <w:t>.</w:t>
      </w:r>
      <w:r w:rsidR="00CF02D8" w:rsidRPr="00EA4B66">
        <w:rPr>
          <w:color w:val="000000" w:themeColor="text1"/>
          <w:sz w:val="24"/>
          <w:szCs w:val="24"/>
          <w:lang w:val="en-US"/>
        </w:rPr>
        <w:t xml:space="preserve"> </w:t>
      </w:r>
      <w:r w:rsidR="00E10C5D" w:rsidRPr="00EA4B66">
        <w:rPr>
          <w:color w:val="000000" w:themeColor="text1"/>
          <w:sz w:val="24"/>
          <w:szCs w:val="24"/>
          <w:lang w:val="en-US"/>
        </w:rPr>
        <w:t xml:space="preserve">Moreover, an explanation </w:t>
      </w:r>
      <w:r w:rsidR="003B1794" w:rsidRPr="00EA4B66">
        <w:rPr>
          <w:color w:val="000000" w:themeColor="text1"/>
          <w:sz w:val="24"/>
          <w:szCs w:val="24"/>
          <w:lang w:val="en-US"/>
        </w:rPr>
        <w:t>for</w:t>
      </w:r>
      <w:r w:rsidR="00E10C5D" w:rsidRPr="00EA4B66">
        <w:rPr>
          <w:color w:val="000000" w:themeColor="text1"/>
          <w:sz w:val="24"/>
          <w:szCs w:val="24"/>
          <w:lang w:val="en-US"/>
        </w:rPr>
        <w:t xml:space="preserve"> the negative association </w:t>
      </w:r>
      <w:r w:rsidR="003B1794" w:rsidRPr="00EA4B66">
        <w:rPr>
          <w:color w:val="000000" w:themeColor="text1"/>
          <w:sz w:val="24"/>
          <w:szCs w:val="24"/>
          <w:lang w:val="en-US"/>
        </w:rPr>
        <w:t xml:space="preserve">between </w:t>
      </w:r>
      <w:r w:rsidR="00E10C5D" w:rsidRPr="00EA4B66">
        <w:rPr>
          <w:color w:val="000000" w:themeColor="text1"/>
          <w:sz w:val="24"/>
          <w:szCs w:val="24"/>
          <w:lang w:val="en-US"/>
        </w:rPr>
        <w:t xml:space="preserve">SIZE </w:t>
      </w:r>
      <w:r w:rsidR="003B1794" w:rsidRPr="00EA4B66">
        <w:rPr>
          <w:color w:val="000000" w:themeColor="text1"/>
          <w:sz w:val="24"/>
          <w:szCs w:val="24"/>
          <w:lang w:val="en-US"/>
        </w:rPr>
        <w:t xml:space="preserve">and </w:t>
      </w:r>
      <w:r w:rsidR="00E10C5D" w:rsidRPr="00EA4B66">
        <w:rPr>
          <w:color w:val="000000" w:themeColor="text1"/>
          <w:sz w:val="24"/>
          <w:szCs w:val="24"/>
          <w:lang w:val="en-US"/>
        </w:rPr>
        <w:t xml:space="preserve">the dependent variable may be that bigger companies lose efficiency </w:t>
      </w:r>
      <w:r w:rsidR="003B1794" w:rsidRPr="00EA4B66">
        <w:rPr>
          <w:color w:val="000000" w:themeColor="text1"/>
          <w:sz w:val="24"/>
          <w:szCs w:val="24"/>
          <w:lang w:val="en-US"/>
        </w:rPr>
        <w:t xml:space="preserve">at </w:t>
      </w:r>
      <w:r w:rsidR="00E10C5D" w:rsidRPr="00EA4B66">
        <w:rPr>
          <w:color w:val="000000" w:themeColor="text1"/>
          <w:sz w:val="24"/>
          <w:szCs w:val="24"/>
          <w:lang w:val="en-US"/>
        </w:rPr>
        <w:t xml:space="preserve">creating IC value </w:t>
      </w:r>
      <w:r w:rsidR="003B1794" w:rsidRPr="00EA4B66">
        <w:rPr>
          <w:color w:val="000000" w:themeColor="text1"/>
          <w:sz w:val="24"/>
          <w:szCs w:val="24"/>
          <w:lang w:val="en-US"/>
        </w:rPr>
        <w:t>when working with</w:t>
      </w:r>
      <w:r w:rsidR="00E10C5D" w:rsidRPr="00EA4B66">
        <w:rPr>
          <w:color w:val="000000" w:themeColor="text1"/>
          <w:sz w:val="24"/>
          <w:szCs w:val="24"/>
          <w:lang w:val="en-US"/>
        </w:rPr>
        <w:t xml:space="preserve">in complex structures. </w:t>
      </w:r>
    </w:p>
    <w:p w14:paraId="3CBCA8A8" w14:textId="129D2BD9" w:rsidR="00483CD1" w:rsidRPr="00EA4B66" w:rsidRDefault="003B1794" w:rsidP="00483CD1">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B17C14" w:rsidRPr="00EA4B66">
        <w:rPr>
          <w:color w:val="000000" w:themeColor="text1"/>
          <w:sz w:val="24"/>
          <w:szCs w:val="24"/>
          <w:lang w:val="en-US"/>
        </w:rPr>
        <w:t>T</w:t>
      </w:r>
      <w:r w:rsidR="007649FB" w:rsidRPr="00EA4B66">
        <w:rPr>
          <w:color w:val="000000" w:themeColor="text1"/>
          <w:sz w:val="24"/>
          <w:szCs w:val="24"/>
          <w:lang w:val="en-US"/>
        </w:rPr>
        <w:t>he negative association between age and the dependent variable suggests that companies tend to smooth their innovati</w:t>
      </w:r>
      <w:r w:rsidR="00B17C14" w:rsidRPr="00EA4B66">
        <w:rPr>
          <w:color w:val="000000" w:themeColor="text1"/>
          <w:sz w:val="24"/>
          <w:szCs w:val="24"/>
          <w:lang w:val="en-US"/>
        </w:rPr>
        <w:t>on</w:t>
      </w:r>
      <w:r w:rsidR="007649FB" w:rsidRPr="00EA4B66">
        <w:rPr>
          <w:color w:val="000000" w:themeColor="text1"/>
          <w:sz w:val="24"/>
          <w:szCs w:val="24"/>
          <w:lang w:val="en-US"/>
        </w:rPr>
        <w:t xml:space="preserve"> efforts </w:t>
      </w:r>
      <w:r w:rsidR="00B17C14" w:rsidRPr="00EA4B66">
        <w:rPr>
          <w:color w:val="000000" w:themeColor="text1"/>
          <w:sz w:val="24"/>
          <w:szCs w:val="24"/>
          <w:lang w:val="en-US"/>
        </w:rPr>
        <w:t xml:space="preserve">over the </w:t>
      </w:r>
      <w:r w:rsidR="007649FB" w:rsidRPr="00EA4B66">
        <w:rPr>
          <w:color w:val="000000" w:themeColor="text1"/>
          <w:sz w:val="24"/>
          <w:szCs w:val="24"/>
          <w:lang w:val="en-US"/>
        </w:rPr>
        <w:t xml:space="preserve">company’s life, and this strategic choice </w:t>
      </w:r>
      <w:r w:rsidR="00B17C14" w:rsidRPr="00EA4B66">
        <w:rPr>
          <w:color w:val="000000" w:themeColor="text1"/>
          <w:sz w:val="24"/>
          <w:szCs w:val="24"/>
          <w:lang w:val="en-US"/>
        </w:rPr>
        <w:t xml:space="preserve">may </w:t>
      </w:r>
      <w:r w:rsidR="007649FB" w:rsidRPr="00EA4B66">
        <w:rPr>
          <w:color w:val="000000" w:themeColor="text1"/>
          <w:sz w:val="24"/>
          <w:szCs w:val="24"/>
          <w:lang w:val="en-US"/>
        </w:rPr>
        <w:t xml:space="preserve">produce negative effects </w:t>
      </w:r>
      <w:r w:rsidR="00B17C14" w:rsidRPr="00EA4B66">
        <w:rPr>
          <w:color w:val="000000" w:themeColor="text1"/>
          <w:sz w:val="24"/>
          <w:szCs w:val="24"/>
          <w:lang w:val="en-US"/>
        </w:rPr>
        <w:t xml:space="preserve">for company </w:t>
      </w:r>
      <w:r w:rsidR="007649FB" w:rsidRPr="00EA4B66">
        <w:rPr>
          <w:color w:val="000000" w:themeColor="text1"/>
          <w:sz w:val="24"/>
          <w:szCs w:val="24"/>
          <w:lang w:val="en-US"/>
        </w:rPr>
        <w:t>market valu</w:t>
      </w:r>
      <w:r w:rsidR="00B17C14" w:rsidRPr="00EA4B66">
        <w:rPr>
          <w:color w:val="000000" w:themeColor="text1"/>
          <w:sz w:val="24"/>
          <w:szCs w:val="24"/>
          <w:lang w:val="en-US"/>
        </w:rPr>
        <w:t>e</w:t>
      </w:r>
      <w:r w:rsidR="007649FB" w:rsidRPr="00EA4B66">
        <w:rPr>
          <w:color w:val="000000" w:themeColor="text1"/>
          <w:sz w:val="24"/>
          <w:szCs w:val="24"/>
          <w:lang w:val="en-US"/>
        </w:rPr>
        <w:t xml:space="preserve"> if not counterbalanced by adequate investment in IC resources. </w:t>
      </w:r>
      <w:r w:rsidR="008711A2" w:rsidRPr="00EA4B66">
        <w:rPr>
          <w:color w:val="000000" w:themeColor="text1"/>
          <w:sz w:val="24"/>
          <w:szCs w:val="24"/>
          <w:lang w:val="en-US"/>
        </w:rPr>
        <w:t>Moreover</w:t>
      </w:r>
      <w:r w:rsidR="007649FB" w:rsidRPr="00EA4B66">
        <w:rPr>
          <w:color w:val="000000" w:themeColor="text1"/>
          <w:sz w:val="24"/>
          <w:szCs w:val="24"/>
          <w:lang w:val="en-US"/>
        </w:rPr>
        <w:t xml:space="preserve">, the study may </w:t>
      </w:r>
      <w:r w:rsidR="00B17C14" w:rsidRPr="00EA4B66">
        <w:rPr>
          <w:color w:val="000000" w:themeColor="text1"/>
          <w:sz w:val="24"/>
          <w:szCs w:val="24"/>
          <w:lang w:val="en-US"/>
        </w:rPr>
        <w:t>provide helpful ammunition for</w:t>
      </w:r>
      <w:r w:rsidR="007649FB" w:rsidRPr="00EA4B66">
        <w:rPr>
          <w:color w:val="000000" w:themeColor="text1"/>
          <w:sz w:val="24"/>
          <w:szCs w:val="24"/>
          <w:lang w:val="en-US"/>
        </w:rPr>
        <w:t xml:space="preserve"> </w:t>
      </w:r>
      <w:r w:rsidR="00B17C14" w:rsidRPr="00EA4B66">
        <w:rPr>
          <w:color w:val="000000" w:themeColor="text1"/>
          <w:sz w:val="24"/>
          <w:szCs w:val="24"/>
          <w:lang w:val="en-US"/>
        </w:rPr>
        <w:t xml:space="preserve">those </w:t>
      </w:r>
      <w:r w:rsidR="007649FB" w:rsidRPr="00EA4B66">
        <w:rPr>
          <w:color w:val="000000" w:themeColor="text1"/>
          <w:sz w:val="24"/>
          <w:szCs w:val="24"/>
          <w:lang w:val="en-US"/>
        </w:rPr>
        <w:t xml:space="preserve">public policy-makers engaged in financing and/or providing fiscal incentives to innovative </w:t>
      </w:r>
      <w:r w:rsidR="00B17C14" w:rsidRPr="00EA4B66">
        <w:rPr>
          <w:color w:val="000000" w:themeColor="text1"/>
          <w:sz w:val="24"/>
          <w:szCs w:val="24"/>
          <w:lang w:val="en-US"/>
        </w:rPr>
        <w:t>companies,</w:t>
      </w:r>
      <w:r w:rsidR="007649FB" w:rsidRPr="00EA4B66">
        <w:rPr>
          <w:color w:val="000000" w:themeColor="text1"/>
          <w:sz w:val="24"/>
          <w:szCs w:val="24"/>
          <w:lang w:val="en-US"/>
        </w:rPr>
        <w:t xml:space="preserve"> selecting them </w:t>
      </w:r>
      <w:r w:rsidR="00B17C14" w:rsidRPr="00EA4B66">
        <w:rPr>
          <w:color w:val="000000" w:themeColor="text1"/>
          <w:sz w:val="24"/>
          <w:szCs w:val="24"/>
          <w:lang w:val="en-US"/>
        </w:rPr>
        <w:t xml:space="preserve">from </w:t>
      </w:r>
      <w:r w:rsidR="007649FB" w:rsidRPr="00EA4B66">
        <w:rPr>
          <w:color w:val="000000" w:themeColor="text1"/>
          <w:sz w:val="24"/>
          <w:szCs w:val="24"/>
          <w:lang w:val="en-US"/>
        </w:rPr>
        <w:t>among</w:t>
      </w:r>
      <w:r w:rsidR="00B17C14" w:rsidRPr="00EA4B66">
        <w:rPr>
          <w:color w:val="000000" w:themeColor="text1"/>
          <w:sz w:val="24"/>
          <w:szCs w:val="24"/>
          <w:lang w:val="en-US"/>
        </w:rPr>
        <w:t xml:space="preserve"> other</w:t>
      </w:r>
      <w:r w:rsidR="007649FB" w:rsidRPr="00EA4B66">
        <w:rPr>
          <w:color w:val="000000" w:themeColor="text1"/>
          <w:sz w:val="24"/>
          <w:szCs w:val="24"/>
          <w:lang w:val="en-US"/>
        </w:rPr>
        <w:t xml:space="preserve"> </w:t>
      </w:r>
      <w:r w:rsidR="002C5474" w:rsidRPr="00EA4B66">
        <w:rPr>
          <w:color w:val="000000" w:themeColor="text1"/>
          <w:sz w:val="24"/>
          <w:szCs w:val="24"/>
          <w:lang w:val="en-US"/>
        </w:rPr>
        <w:t>“start</w:t>
      </w:r>
      <w:r w:rsidR="00B17C14" w:rsidRPr="00EA4B66">
        <w:rPr>
          <w:color w:val="000000" w:themeColor="text1"/>
          <w:sz w:val="24"/>
          <w:szCs w:val="24"/>
          <w:lang w:val="en-US"/>
        </w:rPr>
        <w:t>-</w:t>
      </w:r>
      <w:r w:rsidR="002C5474" w:rsidRPr="00EA4B66">
        <w:rPr>
          <w:color w:val="000000" w:themeColor="text1"/>
          <w:sz w:val="24"/>
          <w:szCs w:val="24"/>
          <w:lang w:val="en-US"/>
        </w:rPr>
        <w:t>up” companies; while standard setters should seek to explore better means of disclosing non-accounting information relating to IC value</w:t>
      </w:r>
      <w:r w:rsidR="0061796C" w:rsidRPr="00EA4B66">
        <w:rPr>
          <w:color w:val="000000" w:themeColor="text1"/>
          <w:sz w:val="24"/>
          <w:szCs w:val="24"/>
          <w:lang w:val="en-US"/>
        </w:rPr>
        <w:t>.</w:t>
      </w:r>
      <w:r w:rsidR="00E27532" w:rsidRPr="00EA4B66">
        <w:rPr>
          <w:color w:val="000000" w:themeColor="text1"/>
          <w:sz w:val="24"/>
          <w:szCs w:val="24"/>
          <w:lang w:val="en-US"/>
        </w:rPr>
        <w:t xml:space="preserve"> </w:t>
      </w:r>
      <w:r w:rsidRPr="00EA4B66">
        <w:rPr>
          <w:color w:val="000000" w:themeColor="text1"/>
          <w:sz w:val="24"/>
          <w:szCs w:val="24"/>
          <w:lang w:val="en-US"/>
        </w:rPr>
        <w:t>Further</w:t>
      </w:r>
      <w:r w:rsidR="00E27532" w:rsidRPr="00EA4B66">
        <w:rPr>
          <w:color w:val="000000" w:themeColor="text1"/>
          <w:sz w:val="24"/>
          <w:szCs w:val="24"/>
          <w:lang w:val="en-US"/>
        </w:rPr>
        <w:t xml:space="preserve">, </w:t>
      </w:r>
      <w:r w:rsidRPr="00EA4B66">
        <w:rPr>
          <w:color w:val="000000" w:themeColor="text1"/>
          <w:sz w:val="24"/>
          <w:szCs w:val="24"/>
          <w:lang w:val="en-US"/>
        </w:rPr>
        <w:t>consistent with the findings of</w:t>
      </w:r>
      <w:r w:rsidR="00E27532" w:rsidRPr="00EA4B66">
        <w:rPr>
          <w:color w:val="000000" w:themeColor="text1"/>
          <w:sz w:val="24"/>
          <w:szCs w:val="24"/>
          <w:lang w:val="en-US"/>
        </w:rPr>
        <w:t xml:space="preserve"> Leonard-Barton</w:t>
      </w:r>
      <w:r w:rsidR="00C6050E" w:rsidRPr="00EA4B66">
        <w:rPr>
          <w:color w:val="000000" w:themeColor="text1"/>
          <w:sz w:val="24"/>
          <w:szCs w:val="24"/>
          <w:lang w:val="en-US"/>
        </w:rPr>
        <w:t xml:space="preserve"> (1992), </w:t>
      </w:r>
      <w:r w:rsidRPr="00EA4B66">
        <w:rPr>
          <w:color w:val="000000" w:themeColor="text1"/>
          <w:sz w:val="24"/>
          <w:szCs w:val="24"/>
          <w:lang w:val="en-US"/>
        </w:rPr>
        <w:t>M</w:t>
      </w:r>
      <w:r w:rsidR="00C6050E" w:rsidRPr="00EA4B66">
        <w:rPr>
          <w:color w:val="000000" w:themeColor="text1"/>
          <w:sz w:val="24"/>
          <w:szCs w:val="24"/>
          <w:lang w:val="en-US"/>
        </w:rPr>
        <w:t xml:space="preserve">odel </w:t>
      </w:r>
      <w:r w:rsidR="00FA6542" w:rsidRPr="00EA4B66">
        <w:rPr>
          <w:color w:val="000000" w:themeColor="text1"/>
          <w:sz w:val="24"/>
          <w:szCs w:val="24"/>
          <w:lang w:val="en-US"/>
        </w:rPr>
        <w:t xml:space="preserve">5 </w:t>
      </w:r>
      <w:r w:rsidR="00C6050E" w:rsidRPr="00EA4B66">
        <w:rPr>
          <w:color w:val="000000" w:themeColor="text1"/>
          <w:sz w:val="24"/>
          <w:szCs w:val="24"/>
          <w:lang w:val="en-US"/>
        </w:rPr>
        <w:t>(</w:t>
      </w:r>
      <w:r w:rsidRPr="00EA4B66">
        <w:rPr>
          <w:color w:val="000000" w:themeColor="text1"/>
          <w:sz w:val="24"/>
          <w:szCs w:val="24"/>
          <w:lang w:val="en-US"/>
        </w:rPr>
        <w:t xml:space="preserve">the </w:t>
      </w:r>
      <w:r w:rsidR="00C6050E" w:rsidRPr="00EA4B66">
        <w:rPr>
          <w:color w:val="000000" w:themeColor="text1"/>
          <w:sz w:val="24"/>
          <w:szCs w:val="24"/>
          <w:lang w:val="en-US"/>
        </w:rPr>
        <w:t>robustness test) suggest</w:t>
      </w:r>
      <w:r w:rsidRPr="00EA4B66">
        <w:rPr>
          <w:color w:val="000000" w:themeColor="text1"/>
          <w:sz w:val="24"/>
          <w:szCs w:val="24"/>
          <w:lang w:val="en-US"/>
        </w:rPr>
        <w:t>s</w:t>
      </w:r>
      <w:r w:rsidR="00C6050E" w:rsidRPr="00EA4B66">
        <w:rPr>
          <w:color w:val="000000" w:themeColor="text1"/>
          <w:sz w:val="24"/>
          <w:szCs w:val="24"/>
          <w:lang w:val="en-US"/>
        </w:rPr>
        <w:t xml:space="preserve"> that </w:t>
      </w:r>
      <w:r w:rsidR="00EB7244">
        <w:rPr>
          <w:color w:val="000000" w:themeColor="text1"/>
          <w:sz w:val="24"/>
          <w:szCs w:val="24"/>
          <w:lang w:val="en-US"/>
        </w:rPr>
        <w:t xml:space="preserve">the </w:t>
      </w:r>
      <w:r w:rsidR="008E14D8" w:rsidRPr="00EA4B66">
        <w:rPr>
          <w:color w:val="000000" w:themeColor="text1"/>
          <w:sz w:val="24"/>
          <w:szCs w:val="24"/>
          <w:lang w:val="en-US"/>
        </w:rPr>
        <w:t>MTB ratio is not</w:t>
      </w:r>
      <w:r w:rsidR="00CD7A77" w:rsidRPr="00EA4B66">
        <w:rPr>
          <w:color w:val="000000" w:themeColor="text1"/>
          <w:sz w:val="24"/>
          <w:szCs w:val="24"/>
          <w:lang w:val="en-US"/>
        </w:rPr>
        <w:t xml:space="preserve"> only related to KIBS industry membership</w:t>
      </w:r>
      <w:r w:rsidR="008E14D8" w:rsidRPr="00EA4B66">
        <w:rPr>
          <w:color w:val="000000" w:themeColor="text1"/>
          <w:sz w:val="24"/>
          <w:szCs w:val="24"/>
          <w:lang w:val="en-US"/>
        </w:rPr>
        <w:t xml:space="preserve">, but it is also related to core competencies </w:t>
      </w:r>
      <w:r w:rsidR="00CD7A77" w:rsidRPr="00EA4B66">
        <w:rPr>
          <w:color w:val="000000" w:themeColor="text1"/>
          <w:sz w:val="24"/>
          <w:szCs w:val="24"/>
          <w:lang w:val="en-US"/>
        </w:rPr>
        <w:t xml:space="preserve">to be found </w:t>
      </w:r>
      <w:r w:rsidR="008E14D8" w:rsidRPr="00EA4B66">
        <w:rPr>
          <w:color w:val="000000" w:themeColor="text1"/>
          <w:sz w:val="24"/>
          <w:szCs w:val="24"/>
          <w:lang w:val="en-US"/>
        </w:rPr>
        <w:t xml:space="preserve">in </w:t>
      </w:r>
      <w:r w:rsidR="00D5195B">
        <w:rPr>
          <w:color w:val="000000" w:themeColor="text1"/>
          <w:sz w:val="24"/>
          <w:szCs w:val="24"/>
          <w:lang w:val="en-US"/>
        </w:rPr>
        <w:t>TI</w:t>
      </w:r>
      <w:r w:rsidR="00B323ED" w:rsidRPr="00EA4B66">
        <w:rPr>
          <w:color w:val="000000" w:themeColor="text1"/>
          <w:sz w:val="24"/>
          <w:szCs w:val="24"/>
          <w:lang w:val="en-US"/>
        </w:rPr>
        <w:t xml:space="preserve">. </w:t>
      </w:r>
      <w:r w:rsidR="00CD7A77" w:rsidRPr="00EA4B66">
        <w:rPr>
          <w:color w:val="000000" w:themeColor="text1"/>
          <w:sz w:val="24"/>
          <w:szCs w:val="24"/>
          <w:lang w:val="en-US"/>
        </w:rPr>
        <w:t>Consistent with</w:t>
      </w:r>
      <w:r w:rsidR="00483CD1" w:rsidRPr="00EA4B66">
        <w:rPr>
          <w:color w:val="000000" w:themeColor="text1"/>
          <w:sz w:val="24"/>
          <w:szCs w:val="24"/>
          <w:lang w:val="en-US"/>
        </w:rPr>
        <w:t xml:space="preserve"> Omotayo (2015), this finding suggests that </w:t>
      </w:r>
      <w:r w:rsidR="003C5D58" w:rsidRPr="00EA4B66">
        <w:rPr>
          <w:color w:val="000000" w:themeColor="text1"/>
          <w:sz w:val="24"/>
          <w:szCs w:val="24"/>
          <w:lang w:val="en-US"/>
        </w:rPr>
        <w:t xml:space="preserve">it is </w:t>
      </w:r>
      <w:r w:rsidR="00483CD1" w:rsidRPr="00EA4B66">
        <w:rPr>
          <w:color w:val="000000" w:themeColor="text1"/>
          <w:sz w:val="24"/>
          <w:szCs w:val="24"/>
          <w:lang w:val="en-US"/>
        </w:rPr>
        <w:t xml:space="preserve">essential for </w:t>
      </w:r>
      <w:r w:rsidR="00CD7A77" w:rsidRPr="00EA4B66">
        <w:rPr>
          <w:color w:val="000000" w:themeColor="text1"/>
          <w:sz w:val="24"/>
          <w:szCs w:val="24"/>
          <w:lang w:val="en-US"/>
        </w:rPr>
        <w:t>the management of</w:t>
      </w:r>
      <w:r w:rsidR="00483CD1" w:rsidRPr="00EA4B66">
        <w:rPr>
          <w:color w:val="000000" w:themeColor="text1"/>
          <w:sz w:val="24"/>
          <w:szCs w:val="24"/>
          <w:lang w:val="en-US"/>
        </w:rPr>
        <w:t xml:space="preserve"> </w:t>
      </w:r>
      <w:r w:rsidR="003C5D58" w:rsidRPr="00EA4B66">
        <w:rPr>
          <w:color w:val="000000" w:themeColor="text1"/>
          <w:sz w:val="24"/>
          <w:szCs w:val="24"/>
          <w:lang w:val="en-US"/>
        </w:rPr>
        <w:t>any company</w:t>
      </w:r>
      <w:r w:rsidR="00CD7A77" w:rsidRPr="00EA4B66">
        <w:rPr>
          <w:color w:val="000000" w:themeColor="text1"/>
          <w:sz w:val="24"/>
          <w:szCs w:val="24"/>
          <w:lang w:val="en-US"/>
        </w:rPr>
        <w:t>,</w:t>
      </w:r>
      <w:r w:rsidR="00483CD1" w:rsidRPr="00EA4B66">
        <w:rPr>
          <w:color w:val="000000" w:themeColor="text1"/>
          <w:sz w:val="24"/>
          <w:szCs w:val="24"/>
          <w:lang w:val="en-US"/>
        </w:rPr>
        <w:t xml:space="preserve"> </w:t>
      </w:r>
      <w:r w:rsidR="003C5D58" w:rsidRPr="00EA4B66">
        <w:rPr>
          <w:color w:val="000000" w:themeColor="text1"/>
          <w:sz w:val="24"/>
          <w:szCs w:val="24"/>
          <w:lang w:val="en-US"/>
        </w:rPr>
        <w:t>KIBS</w:t>
      </w:r>
      <w:r w:rsidR="00CD7A77" w:rsidRPr="00EA4B66">
        <w:rPr>
          <w:color w:val="000000" w:themeColor="text1"/>
          <w:sz w:val="24"/>
          <w:szCs w:val="24"/>
          <w:lang w:val="en-US"/>
        </w:rPr>
        <w:t xml:space="preserve"> or otherwise,</w:t>
      </w:r>
      <w:r w:rsidR="003C5D58" w:rsidRPr="00EA4B66">
        <w:rPr>
          <w:color w:val="000000" w:themeColor="text1"/>
          <w:sz w:val="24"/>
          <w:szCs w:val="24"/>
          <w:lang w:val="en-US"/>
        </w:rPr>
        <w:t xml:space="preserve"> </w:t>
      </w:r>
      <w:r w:rsidR="00483CD1" w:rsidRPr="00EA4B66">
        <w:rPr>
          <w:color w:val="000000" w:themeColor="text1"/>
          <w:sz w:val="24"/>
          <w:szCs w:val="24"/>
          <w:lang w:val="en-US"/>
        </w:rPr>
        <w:t xml:space="preserve">to look for </w:t>
      </w:r>
      <w:r w:rsidR="00CD7A77" w:rsidRPr="00EA4B66">
        <w:rPr>
          <w:color w:val="000000" w:themeColor="text1"/>
          <w:sz w:val="24"/>
          <w:szCs w:val="24"/>
          <w:lang w:val="en-US"/>
        </w:rPr>
        <w:t xml:space="preserve">a </w:t>
      </w:r>
      <w:r w:rsidR="00483CD1" w:rsidRPr="00EA4B66">
        <w:rPr>
          <w:color w:val="000000" w:themeColor="text1"/>
          <w:sz w:val="24"/>
          <w:szCs w:val="24"/>
          <w:lang w:val="en-US"/>
        </w:rPr>
        <w:t xml:space="preserve">means to gain, maintain, and </w:t>
      </w:r>
      <w:r w:rsidR="0075214F" w:rsidRPr="00EA4B66">
        <w:rPr>
          <w:color w:val="000000" w:themeColor="text1"/>
          <w:sz w:val="24"/>
          <w:szCs w:val="24"/>
          <w:lang w:val="en-US"/>
        </w:rPr>
        <w:t>manage</w:t>
      </w:r>
      <w:r w:rsidR="00483CD1" w:rsidRPr="00EA4B66">
        <w:rPr>
          <w:color w:val="000000" w:themeColor="text1"/>
          <w:sz w:val="24"/>
          <w:szCs w:val="24"/>
          <w:lang w:val="en-US"/>
        </w:rPr>
        <w:t xml:space="preserve"> knowledge </w:t>
      </w:r>
      <w:r w:rsidR="00CD7A77" w:rsidRPr="00EA4B66">
        <w:rPr>
          <w:color w:val="000000" w:themeColor="text1"/>
          <w:sz w:val="24"/>
          <w:szCs w:val="24"/>
          <w:lang w:val="en-US"/>
        </w:rPr>
        <w:t xml:space="preserve">in order </w:t>
      </w:r>
      <w:r w:rsidR="00483CD1" w:rsidRPr="00EA4B66">
        <w:rPr>
          <w:color w:val="000000" w:themeColor="text1"/>
          <w:sz w:val="24"/>
          <w:szCs w:val="24"/>
          <w:lang w:val="en-US"/>
        </w:rPr>
        <w:t xml:space="preserve">to achieve </w:t>
      </w:r>
      <w:r w:rsidR="00CD7A77" w:rsidRPr="00EA4B66">
        <w:rPr>
          <w:color w:val="000000" w:themeColor="text1"/>
          <w:sz w:val="24"/>
          <w:szCs w:val="24"/>
          <w:lang w:val="en-US"/>
        </w:rPr>
        <w:t>higher levels of success</w:t>
      </w:r>
      <w:r w:rsidR="003C5D58" w:rsidRPr="00EA4B66">
        <w:rPr>
          <w:color w:val="000000" w:themeColor="text1"/>
          <w:sz w:val="24"/>
          <w:szCs w:val="24"/>
          <w:lang w:val="en-US"/>
        </w:rPr>
        <w:t>.</w:t>
      </w:r>
      <w:r w:rsidR="00FA6542" w:rsidRPr="00EA4B66">
        <w:rPr>
          <w:color w:val="000000" w:themeColor="text1"/>
          <w:sz w:val="24"/>
          <w:szCs w:val="24"/>
          <w:lang w:val="en-US"/>
        </w:rPr>
        <w:t xml:space="preserve"> </w:t>
      </w:r>
    </w:p>
    <w:p w14:paraId="3D61E41A" w14:textId="32A7D5E3" w:rsidR="00293436" w:rsidRPr="00EA4B66" w:rsidRDefault="00CD7A77" w:rsidP="00CD7A77">
      <w:pPr>
        <w:spacing w:after="0" w:line="240" w:lineRule="auto"/>
        <w:jc w:val="both"/>
        <w:rPr>
          <w:color w:val="000000" w:themeColor="text1"/>
          <w:sz w:val="24"/>
          <w:szCs w:val="24"/>
          <w:lang w:val="en-US"/>
        </w:rPr>
      </w:pPr>
      <w:r w:rsidRPr="00EA4B66">
        <w:rPr>
          <w:color w:val="000000" w:themeColor="text1"/>
          <w:sz w:val="24"/>
          <w:szCs w:val="24"/>
          <w:lang w:val="en-US"/>
        </w:rPr>
        <w:t xml:space="preserve">   </w:t>
      </w:r>
      <w:r w:rsidR="007649FB" w:rsidRPr="00EA4B66">
        <w:rPr>
          <w:color w:val="000000" w:themeColor="text1"/>
          <w:sz w:val="24"/>
          <w:szCs w:val="24"/>
          <w:lang w:val="en-US"/>
        </w:rPr>
        <w:t xml:space="preserve">Finally, </w:t>
      </w:r>
      <w:r w:rsidR="00B17C14" w:rsidRPr="00EA4B66">
        <w:rPr>
          <w:color w:val="000000" w:themeColor="text1"/>
          <w:sz w:val="24"/>
          <w:szCs w:val="24"/>
          <w:lang w:val="en-US"/>
        </w:rPr>
        <w:t xml:space="preserve">this study draws attention to avenues for </w:t>
      </w:r>
      <w:r w:rsidR="007649FB" w:rsidRPr="00EA4B66">
        <w:rPr>
          <w:color w:val="000000" w:themeColor="text1"/>
          <w:sz w:val="24"/>
          <w:szCs w:val="24"/>
          <w:lang w:val="en-US"/>
        </w:rPr>
        <w:t xml:space="preserve">future research. First, according to </w:t>
      </w:r>
      <w:r w:rsidR="00B17C14" w:rsidRPr="00EA4B66">
        <w:rPr>
          <w:color w:val="000000" w:themeColor="text1"/>
          <w:sz w:val="24"/>
          <w:szCs w:val="24"/>
          <w:lang w:val="en-US"/>
        </w:rPr>
        <w:t xml:space="preserve">data </w:t>
      </w:r>
      <w:r w:rsidR="007649FB" w:rsidRPr="00EA4B66">
        <w:rPr>
          <w:color w:val="000000" w:themeColor="text1"/>
          <w:sz w:val="24"/>
          <w:szCs w:val="24"/>
          <w:lang w:val="en-US"/>
        </w:rPr>
        <w:t xml:space="preserve">availability, other </w:t>
      </w:r>
      <w:r w:rsidR="00824F04" w:rsidRPr="00EA4B66">
        <w:rPr>
          <w:color w:val="000000" w:themeColor="text1"/>
          <w:sz w:val="24"/>
          <w:szCs w:val="24"/>
          <w:lang w:val="en-US"/>
        </w:rPr>
        <w:t>dependent variables</w:t>
      </w:r>
      <w:r w:rsidR="008711A2" w:rsidRPr="00EA4B66">
        <w:rPr>
          <w:color w:val="000000" w:themeColor="text1"/>
          <w:sz w:val="24"/>
          <w:szCs w:val="24"/>
          <w:lang w:val="en-US"/>
        </w:rPr>
        <w:t xml:space="preserve"> </w:t>
      </w:r>
      <w:r w:rsidR="00B17C14" w:rsidRPr="00EA4B66">
        <w:rPr>
          <w:color w:val="000000" w:themeColor="text1"/>
          <w:sz w:val="24"/>
          <w:szCs w:val="24"/>
          <w:lang w:val="en-US"/>
        </w:rPr>
        <w:t xml:space="preserve">might </w:t>
      </w:r>
      <w:r w:rsidR="008711A2" w:rsidRPr="00EA4B66">
        <w:rPr>
          <w:color w:val="000000" w:themeColor="text1"/>
          <w:sz w:val="24"/>
          <w:szCs w:val="24"/>
          <w:lang w:val="en-US"/>
        </w:rPr>
        <w:t>be adopted</w:t>
      </w:r>
      <w:r w:rsidRPr="00EA4B66">
        <w:rPr>
          <w:color w:val="000000" w:themeColor="text1"/>
          <w:sz w:val="24"/>
          <w:szCs w:val="24"/>
          <w:lang w:val="en-US"/>
        </w:rPr>
        <w:t>,</w:t>
      </w:r>
      <w:r w:rsidR="008711A2" w:rsidRPr="00EA4B66">
        <w:rPr>
          <w:color w:val="000000" w:themeColor="text1"/>
          <w:sz w:val="24"/>
          <w:szCs w:val="24"/>
          <w:lang w:val="en-US"/>
        </w:rPr>
        <w:t xml:space="preserve"> such as</w:t>
      </w:r>
      <w:r w:rsidR="00B17C14" w:rsidRPr="00EA4B66">
        <w:rPr>
          <w:color w:val="000000" w:themeColor="text1"/>
          <w:sz w:val="24"/>
          <w:szCs w:val="24"/>
          <w:lang w:val="en-US"/>
        </w:rPr>
        <w:t xml:space="preserve"> </w:t>
      </w:r>
      <w:r w:rsidR="007649FB" w:rsidRPr="00EA4B66">
        <w:rPr>
          <w:color w:val="000000" w:themeColor="text1"/>
          <w:sz w:val="24"/>
          <w:szCs w:val="24"/>
          <w:lang w:val="en-US"/>
        </w:rPr>
        <w:t>Tobin’s q</w:t>
      </w:r>
      <w:r w:rsidR="00DB1FD5" w:rsidRPr="00EA4B66">
        <w:rPr>
          <w:color w:val="000000" w:themeColor="text1"/>
          <w:sz w:val="24"/>
          <w:szCs w:val="24"/>
          <w:lang w:val="en-US"/>
        </w:rPr>
        <w:t>.</w:t>
      </w:r>
      <w:r w:rsidR="00824F04" w:rsidRPr="00EA4B66">
        <w:rPr>
          <w:color w:val="000000" w:themeColor="text1"/>
          <w:sz w:val="24"/>
          <w:szCs w:val="24"/>
          <w:lang w:val="en-US"/>
        </w:rPr>
        <w:t xml:space="preserve"> </w:t>
      </w:r>
      <w:r w:rsidR="00DB1FD5" w:rsidRPr="00EA4B66">
        <w:rPr>
          <w:color w:val="000000" w:themeColor="text1"/>
          <w:sz w:val="24"/>
          <w:szCs w:val="24"/>
          <w:lang w:val="en-GB"/>
        </w:rPr>
        <w:t>Tobin’s q provide</w:t>
      </w:r>
      <w:r w:rsidR="00DB6878" w:rsidRPr="00EA4B66">
        <w:rPr>
          <w:color w:val="000000" w:themeColor="text1"/>
          <w:sz w:val="24"/>
          <w:szCs w:val="24"/>
          <w:lang w:val="en-GB"/>
        </w:rPr>
        <w:t>s</w:t>
      </w:r>
      <w:r w:rsidR="00DB1FD5" w:rsidRPr="00EA4B66">
        <w:rPr>
          <w:color w:val="000000" w:themeColor="text1"/>
          <w:sz w:val="24"/>
          <w:szCs w:val="24"/>
          <w:lang w:val="en-GB"/>
        </w:rPr>
        <w:t xml:space="preserve"> a ratio of market value over </w:t>
      </w:r>
      <w:r w:rsidR="00DB6878" w:rsidRPr="00EA4B66">
        <w:rPr>
          <w:color w:val="000000" w:themeColor="text1"/>
          <w:sz w:val="24"/>
          <w:szCs w:val="24"/>
          <w:lang w:val="en-GB"/>
        </w:rPr>
        <w:t xml:space="preserve">the </w:t>
      </w:r>
      <w:r w:rsidR="00DB1FD5" w:rsidRPr="00EA4B66">
        <w:rPr>
          <w:color w:val="000000" w:themeColor="text1"/>
          <w:sz w:val="24"/>
          <w:szCs w:val="24"/>
          <w:lang w:val="en-GB"/>
        </w:rPr>
        <w:t xml:space="preserve">replacement value of tangible assets, </w:t>
      </w:r>
      <w:r w:rsidR="00DB6878" w:rsidRPr="00EA4B66">
        <w:rPr>
          <w:color w:val="000000" w:themeColor="text1"/>
          <w:sz w:val="24"/>
          <w:szCs w:val="24"/>
          <w:lang w:val="en-GB"/>
        </w:rPr>
        <w:t xml:space="preserve">and in so doing </w:t>
      </w:r>
      <w:r w:rsidR="00DB1FD5" w:rsidRPr="00EA4B66">
        <w:rPr>
          <w:color w:val="000000" w:themeColor="text1"/>
          <w:sz w:val="24"/>
          <w:szCs w:val="24"/>
          <w:lang w:val="en-GB"/>
        </w:rPr>
        <w:t>may partially reduce the distortion</w:t>
      </w:r>
      <w:r w:rsidR="00DB6878" w:rsidRPr="00EA4B66">
        <w:rPr>
          <w:color w:val="000000" w:themeColor="text1"/>
          <w:sz w:val="24"/>
          <w:szCs w:val="24"/>
          <w:lang w:val="en-GB"/>
        </w:rPr>
        <w:t>s associated with</w:t>
      </w:r>
      <w:r w:rsidR="00DB1FD5" w:rsidRPr="00EA4B66">
        <w:rPr>
          <w:color w:val="000000" w:themeColor="text1"/>
          <w:sz w:val="24"/>
          <w:szCs w:val="24"/>
          <w:lang w:val="en-GB"/>
        </w:rPr>
        <w:t xml:space="preserve"> M</w:t>
      </w:r>
      <w:r w:rsidR="00DB6878" w:rsidRPr="00EA4B66">
        <w:rPr>
          <w:color w:val="000000" w:themeColor="text1"/>
          <w:sz w:val="24"/>
          <w:szCs w:val="24"/>
          <w:lang w:val="en-GB"/>
        </w:rPr>
        <w:t>T</w:t>
      </w:r>
      <w:r w:rsidR="00DB1FD5" w:rsidRPr="00EA4B66">
        <w:rPr>
          <w:color w:val="000000" w:themeColor="text1"/>
          <w:sz w:val="24"/>
          <w:szCs w:val="24"/>
          <w:lang w:val="en-GB"/>
        </w:rPr>
        <w:t>B</w:t>
      </w:r>
      <w:r w:rsidR="00DB6878" w:rsidRPr="00EA4B66">
        <w:rPr>
          <w:color w:val="000000" w:themeColor="text1"/>
          <w:sz w:val="24"/>
          <w:szCs w:val="24"/>
          <w:lang w:val="en-GB"/>
        </w:rPr>
        <w:t>, though may not</w:t>
      </w:r>
      <w:r w:rsidR="00DB1FD5" w:rsidRPr="00EA4B66">
        <w:rPr>
          <w:color w:val="000000" w:themeColor="text1"/>
          <w:sz w:val="24"/>
          <w:szCs w:val="24"/>
          <w:lang w:val="en-GB"/>
        </w:rPr>
        <w:t xml:space="preserve"> represent an accurate measure of IC value. </w:t>
      </w:r>
      <w:r w:rsidR="007649FB" w:rsidRPr="00EA4B66">
        <w:rPr>
          <w:color w:val="000000" w:themeColor="text1"/>
          <w:sz w:val="24"/>
          <w:szCs w:val="24"/>
          <w:lang w:val="en-US"/>
        </w:rPr>
        <w:t xml:space="preserve">Second, additional sources of information </w:t>
      </w:r>
      <w:r w:rsidR="00B17C14" w:rsidRPr="00EA4B66">
        <w:rPr>
          <w:color w:val="000000" w:themeColor="text1"/>
          <w:sz w:val="24"/>
          <w:szCs w:val="24"/>
          <w:lang w:val="en-US"/>
        </w:rPr>
        <w:t xml:space="preserve">available to financial investors regarding company intangibles investment policies </w:t>
      </w:r>
      <w:r w:rsidR="007649FB" w:rsidRPr="00EA4B66">
        <w:rPr>
          <w:color w:val="000000" w:themeColor="text1"/>
          <w:sz w:val="24"/>
          <w:szCs w:val="24"/>
          <w:lang w:val="en-US"/>
        </w:rPr>
        <w:t>(including narrative disclosure</w:t>
      </w:r>
      <w:r w:rsidR="00B17C14" w:rsidRPr="00EA4B66">
        <w:rPr>
          <w:color w:val="000000" w:themeColor="text1"/>
          <w:sz w:val="24"/>
          <w:szCs w:val="24"/>
          <w:lang w:val="en-US"/>
        </w:rPr>
        <w:t>s</w:t>
      </w:r>
      <w:r w:rsidR="007649FB" w:rsidRPr="00EA4B66">
        <w:rPr>
          <w:color w:val="000000" w:themeColor="text1"/>
          <w:sz w:val="24"/>
          <w:szCs w:val="24"/>
          <w:lang w:val="en-US"/>
        </w:rPr>
        <w:t xml:space="preserve">) </w:t>
      </w:r>
      <w:r w:rsidR="00B17C14" w:rsidRPr="00EA4B66">
        <w:rPr>
          <w:color w:val="000000" w:themeColor="text1"/>
          <w:sz w:val="24"/>
          <w:szCs w:val="24"/>
          <w:lang w:val="en-US"/>
        </w:rPr>
        <w:t xml:space="preserve">might </w:t>
      </w:r>
      <w:r w:rsidR="007649FB" w:rsidRPr="00EA4B66">
        <w:rPr>
          <w:color w:val="000000" w:themeColor="text1"/>
          <w:sz w:val="24"/>
          <w:szCs w:val="24"/>
          <w:lang w:val="en-US"/>
        </w:rPr>
        <w:t xml:space="preserve">be explored, </w:t>
      </w:r>
      <w:r w:rsidR="00B17C14" w:rsidRPr="00EA4B66">
        <w:rPr>
          <w:color w:val="000000" w:themeColor="text1"/>
          <w:sz w:val="24"/>
          <w:szCs w:val="24"/>
          <w:lang w:val="en-US"/>
        </w:rPr>
        <w:t>thus</w:t>
      </w:r>
      <w:r w:rsidR="007649FB" w:rsidRPr="00EA4B66">
        <w:rPr>
          <w:color w:val="000000" w:themeColor="text1"/>
          <w:sz w:val="24"/>
          <w:szCs w:val="24"/>
          <w:lang w:val="en-US"/>
        </w:rPr>
        <w:t xml:space="preserve"> adopting a </w:t>
      </w:r>
      <w:r w:rsidR="00B17C14" w:rsidRPr="00EA4B66">
        <w:rPr>
          <w:color w:val="000000" w:themeColor="text1"/>
          <w:sz w:val="24"/>
          <w:szCs w:val="24"/>
          <w:lang w:val="en-US"/>
        </w:rPr>
        <w:t xml:space="preserve">broader </w:t>
      </w:r>
      <w:r w:rsidR="00F77FE8" w:rsidRPr="00EA4B66">
        <w:rPr>
          <w:color w:val="000000" w:themeColor="text1"/>
          <w:sz w:val="24"/>
          <w:szCs w:val="24"/>
          <w:lang w:val="en-US"/>
        </w:rPr>
        <w:t xml:space="preserve">mixed methods </w:t>
      </w:r>
      <w:r w:rsidR="007649FB" w:rsidRPr="00EA4B66">
        <w:rPr>
          <w:color w:val="000000" w:themeColor="text1"/>
          <w:sz w:val="24"/>
          <w:szCs w:val="24"/>
          <w:lang w:val="en-US"/>
        </w:rPr>
        <w:t>perspective. Third, the methodolog</w:t>
      </w:r>
      <w:r w:rsidR="00F77FE8" w:rsidRPr="00EA4B66">
        <w:rPr>
          <w:color w:val="000000" w:themeColor="text1"/>
          <w:sz w:val="24"/>
          <w:szCs w:val="24"/>
          <w:lang w:val="en-US"/>
        </w:rPr>
        <w:t>ical</w:t>
      </w:r>
      <w:r w:rsidR="007649FB" w:rsidRPr="00EA4B66">
        <w:rPr>
          <w:color w:val="000000" w:themeColor="text1"/>
          <w:sz w:val="24"/>
          <w:szCs w:val="24"/>
          <w:lang w:val="en-US"/>
        </w:rPr>
        <w:t xml:space="preserve"> approach adopted </w:t>
      </w:r>
      <w:r w:rsidR="00F77FE8" w:rsidRPr="00EA4B66">
        <w:rPr>
          <w:color w:val="000000" w:themeColor="text1"/>
          <w:sz w:val="24"/>
          <w:szCs w:val="24"/>
          <w:lang w:val="en-US"/>
        </w:rPr>
        <w:t>in this paper may</w:t>
      </w:r>
      <w:r w:rsidR="007649FB" w:rsidRPr="00EA4B66">
        <w:rPr>
          <w:color w:val="000000" w:themeColor="text1"/>
          <w:sz w:val="24"/>
          <w:szCs w:val="24"/>
          <w:lang w:val="en-US"/>
        </w:rPr>
        <w:t xml:space="preserve"> be replicated</w:t>
      </w:r>
      <w:r w:rsidR="00C7603D" w:rsidRPr="00EA4B66">
        <w:rPr>
          <w:color w:val="000000" w:themeColor="text1"/>
          <w:sz w:val="24"/>
          <w:szCs w:val="24"/>
          <w:lang w:val="en-US"/>
        </w:rPr>
        <w:t xml:space="preserve"> in an international comparative context</w:t>
      </w:r>
      <w:r w:rsidR="007649FB" w:rsidRPr="00EA4B66">
        <w:rPr>
          <w:color w:val="000000" w:themeColor="text1"/>
          <w:sz w:val="24"/>
          <w:szCs w:val="24"/>
          <w:lang w:val="en-US"/>
        </w:rPr>
        <w:t xml:space="preserve"> </w:t>
      </w:r>
      <w:r w:rsidR="00F77FE8" w:rsidRPr="00EA4B66">
        <w:rPr>
          <w:color w:val="000000" w:themeColor="text1"/>
          <w:sz w:val="24"/>
          <w:szCs w:val="24"/>
          <w:lang w:val="en-US"/>
        </w:rPr>
        <w:t>for</w:t>
      </w:r>
      <w:r w:rsidR="007649FB" w:rsidRPr="00EA4B66">
        <w:rPr>
          <w:color w:val="000000" w:themeColor="text1"/>
          <w:sz w:val="24"/>
          <w:szCs w:val="24"/>
          <w:lang w:val="en-US"/>
        </w:rPr>
        <w:t xml:space="preserve"> </w:t>
      </w:r>
      <w:r w:rsidR="00C7603D" w:rsidRPr="00EA4B66">
        <w:rPr>
          <w:color w:val="000000" w:themeColor="text1"/>
          <w:sz w:val="24"/>
          <w:szCs w:val="24"/>
          <w:lang w:val="en-US"/>
        </w:rPr>
        <w:t>samples of listed firms</w:t>
      </w:r>
      <w:r w:rsidR="007649FB" w:rsidRPr="00EA4B66">
        <w:rPr>
          <w:color w:val="000000" w:themeColor="text1"/>
          <w:sz w:val="24"/>
          <w:szCs w:val="24"/>
          <w:lang w:val="en-US"/>
        </w:rPr>
        <w:t xml:space="preserve">.  </w:t>
      </w:r>
    </w:p>
    <w:p w14:paraId="7BFC6DAC" w14:textId="77777777" w:rsidR="004D5B91" w:rsidRPr="00EA4B66" w:rsidRDefault="004D5B91" w:rsidP="000976E6">
      <w:pPr>
        <w:spacing w:after="0" w:line="240" w:lineRule="auto"/>
        <w:ind w:firstLine="284"/>
        <w:jc w:val="both"/>
        <w:rPr>
          <w:color w:val="000000" w:themeColor="text1"/>
          <w:sz w:val="24"/>
          <w:szCs w:val="24"/>
          <w:lang w:val="en-US"/>
        </w:rPr>
      </w:pPr>
    </w:p>
    <w:p w14:paraId="2CC000EF" w14:textId="77777777" w:rsidR="00A60025" w:rsidRPr="0039046B" w:rsidRDefault="00A60025" w:rsidP="00A60025">
      <w:pPr>
        <w:spacing w:after="0" w:line="360" w:lineRule="auto"/>
        <w:ind w:left="709" w:hanging="709"/>
        <w:jc w:val="both"/>
        <w:rPr>
          <w:rFonts w:asciiTheme="minorHAnsi" w:hAnsiTheme="minorHAnsi"/>
          <w:b/>
          <w:color w:val="000000" w:themeColor="text1"/>
          <w:sz w:val="24"/>
          <w:szCs w:val="24"/>
          <w:lang w:val="en-US"/>
        </w:rPr>
      </w:pPr>
      <w:r w:rsidRPr="0039046B">
        <w:rPr>
          <w:rFonts w:asciiTheme="minorHAnsi" w:hAnsiTheme="minorHAnsi"/>
          <w:b/>
          <w:color w:val="000000" w:themeColor="text1"/>
          <w:sz w:val="24"/>
          <w:szCs w:val="24"/>
          <w:lang w:val="en-US"/>
        </w:rPr>
        <w:t>References</w:t>
      </w:r>
    </w:p>
    <w:p w14:paraId="57EC008D" w14:textId="77777777" w:rsidR="006503AA" w:rsidRPr="0039046B" w:rsidRDefault="006503AA" w:rsidP="006503AA">
      <w:pPr>
        <w:spacing w:after="0" w:line="360" w:lineRule="auto"/>
        <w:ind w:left="709" w:hanging="709"/>
        <w:jc w:val="both"/>
        <w:rPr>
          <w:rFonts w:asciiTheme="minorHAnsi" w:hAnsiTheme="minorHAnsi"/>
          <w:color w:val="000000" w:themeColor="text1"/>
          <w:sz w:val="24"/>
          <w:szCs w:val="24"/>
          <w:lang w:val="en-US"/>
        </w:rPr>
      </w:pPr>
      <w:r w:rsidRPr="0039046B">
        <w:rPr>
          <w:rFonts w:asciiTheme="minorHAnsi" w:hAnsiTheme="minorHAnsi"/>
          <w:color w:val="000000" w:themeColor="text1"/>
          <w:sz w:val="24"/>
          <w:szCs w:val="24"/>
          <w:lang w:val="en-US"/>
        </w:rPr>
        <w:t xml:space="preserve">Abeysekera, I. (2007), “Intellectual capital reporting between a developing and developed nation”, </w:t>
      </w:r>
      <w:r w:rsidRPr="0039046B">
        <w:rPr>
          <w:rFonts w:asciiTheme="minorHAnsi" w:hAnsiTheme="minorHAnsi"/>
          <w:i/>
          <w:color w:val="000000" w:themeColor="text1"/>
          <w:sz w:val="24"/>
          <w:szCs w:val="24"/>
          <w:lang w:val="en-US"/>
        </w:rPr>
        <w:t>Journal of Intellectual Capital</w:t>
      </w:r>
      <w:r w:rsidRPr="0039046B">
        <w:rPr>
          <w:rFonts w:asciiTheme="minorHAnsi" w:hAnsiTheme="minorHAnsi"/>
          <w:color w:val="000000" w:themeColor="text1"/>
          <w:sz w:val="24"/>
          <w:szCs w:val="24"/>
          <w:lang w:val="en-US"/>
        </w:rPr>
        <w:t>, Vol. 8 No. 2, pp. 329-345.</w:t>
      </w:r>
    </w:p>
    <w:p w14:paraId="13DE1896" w14:textId="26A78275"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Abhayawansa, S. and Guthrie, J. (2016), “Does intellectual capital disclosure in analysts' reports vary by firm characteristics?”, </w:t>
      </w:r>
      <w:r w:rsidRPr="0039046B">
        <w:rPr>
          <w:rFonts w:asciiTheme="minorHAnsi" w:hAnsiTheme="minorHAnsi" w:cs="Calibri"/>
          <w:i/>
          <w:color w:val="000000" w:themeColor="text1"/>
          <w:sz w:val="24"/>
          <w:szCs w:val="24"/>
          <w:lang w:val="en-US"/>
        </w:rPr>
        <w:t>Advances in Accounting</w:t>
      </w:r>
      <w:r w:rsidR="006F5B5E" w:rsidRPr="0039046B">
        <w:rPr>
          <w:rFonts w:asciiTheme="minorHAnsi" w:hAnsiTheme="minorHAnsi" w:cs="Calibri"/>
          <w:color w:val="000000" w:themeColor="text1"/>
          <w:sz w:val="24"/>
          <w:szCs w:val="24"/>
          <w:lang w:val="en-US"/>
        </w:rPr>
        <w:t>, Vol. 35, pp. 26-38.</w:t>
      </w:r>
    </w:p>
    <w:p w14:paraId="7D175067" w14:textId="5ABE55B5" w:rsidR="00601283" w:rsidRDefault="00601283" w:rsidP="00601283">
      <w:pPr>
        <w:spacing w:after="0" w:line="360" w:lineRule="auto"/>
        <w:ind w:left="773" w:hangingChars="322" w:hanging="773"/>
        <w:jc w:val="both"/>
        <w:rPr>
          <w:rFonts w:asciiTheme="minorHAnsi" w:hAnsiTheme="minorHAnsi" w:cs="Calibri"/>
          <w:color w:val="000000" w:themeColor="text1"/>
          <w:sz w:val="24"/>
          <w:szCs w:val="24"/>
          <w:lang w:val="en-US"/>
        </w:rPr>
      </w:pPr>
      <w:r w:rsidRPr="00601283">
        <w:rPr>
          <w:rFonts w:asciiTheme="minorHAnsi" w:hAnsiTheme="minorHAnsi" w:cs="Calibri"/>
          <w:color w:val="000000" w:themeColor="text1"/>
          <w:sz w:val="24"/>
          <w:szCs w:val="24"/>
          <w:lang w:val="en-US"/>
        </w:rPr>
        <w:t>And</w:t>
      </w:r>
      <w:r>
        <w:rPr>
          <w:rFonts w:asciiTheme="minorHAnsi" w:hAnsiTheme="minorHAnsi" w:cs="Calibri"/>
          <w:color w:val="000000" w:themeColor="text1"/>
          <w:sz w:val="24"/>
          <w:szCs w:val="24"/>
          <w:lang w:val="en-US"/>
        </w:rPr>
        <w:t>ersen, R., &amp; McLean, R. (2000), “</w:t>
      </w:r>
      <w:r w:rsidRPr="00601283">
        <w:rPr>
          <w:rFonts w:asciiTheme="minorHAnsi" w:hAnsiTheme="minorHAnsi" w:cs="Calibri"/>
          <w:color w:val="000000" w:themeColor="text1"/>
          <w:sz w:val="24"/>
          <w:szCs w:val="24"/>
          <w:lang w:val="en-US"/>
        </w:rPr>
        <w:t>Accoun</w:t>
      </w:r>
      <w:r>
        <w:rPr>
          <w:rFonts w:asciiTheme="minorHAnsi" w:hAnsiTheme="minorHAnsi" w:cs="Calibri"/>
          <w:color w:val="000000" w:themeColor="text1"/>
          <w:sz w:val="24"/>
          <w:szCs w:val="24"/>
          <w:lang w:val="en-US"/>
        </w:rPr>
        <w:t xml:space="preserve">ting for the Creation of Value”, </w:t>
      </w:r>
      <w:r w:rsidRPr="00601283">
        <w:rPr>
          <w:rFonts w:asciiTheme="minorHAnsi" w:hAnsiTheme="minorHAnsi" w:cs="Calibri"/>
          <w:i/>
          <w:color w:val="000000" w:themeColor="text1"/>
          <w:sz w:val="24"/>
          <w:szCs w:val="24"/>
          <w:lang w:val="en-US"/>
        </w:rPr>
        <w:t>Ongoing research project sponsored by the Canadian Institute of Chartered Accountants</w:t>
      </w:r>
      <w:r w:rsidRPr="00601283">
        <w:rPr>
          <w:rFonts w:asciiTheme="minorHAnsi" w:hAnsiTheme="minorHAnsi" w:cs="Calibri"/>
          <w:color w:val="000000" w:themeColor="text1"/>
          <w:sz w:val="24"/>
          <w:szCs w:val="24"/>
          <w:lang w:val="en-US"/>
        </w:rPr>
        <w:t>.</w:t>
      </w:r>
    </w:p>
    <w:p w14:paraId="2AC8755C" w14:textId="02747B94" w:rsidR="006503AA" w:rsidRPr="0039046B" w:rsidRDefault="006503AA" w:rsidP="00601283">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Andriessen, D. and Tiessen,</w:t>
      </w:r>
      <w:r w:rsidR="00EA099D" w:rsidRPr="0039046B">
        <w:rPr>
          <w:rFonts w:asciiTheme="minorHAnsi" w:hAnsiTheme="minorHAnsi" w:cs="Calibri"/>
          <w:color w:val="000000" w:themeColor="text1"/>
          <w:sz w:val="24"/>
          <w:szCs w:val="24"/>
          <w:lang w:val="en-US"/>
        </w:rPr>
        <w:t xml:space="preserve"> </w:t>
      </w:r>
      <w:r w:rsidRPr="0039046B">
        <w:rPr>
          <w:rFonts w:asciiTheme="minorHAnsi" w:hAnsiTheme="minorHAnsi" w:cs="Calibri"/>
          <w:color w:val="000000" w:themeColor="text1"/>
          <w:sz w:val="24"/>
          <w:szCs w:val="24"/>
          <w:lang w:val="en-US"/>
        </w:rPr>
        <w:t xml:space="preserve">R. (2000), </w:t>
      </w:r>
      <w:r w:rsidRPr="0039046B">
        <w:rPr>
          <w:rFonts w:asciiTheme="minorHAnsi" w:hAnsiTheme="minorHAnsi" w:cs="Calibri"/>
          <w:i/>
          <w:color w:val="000000" w:themeColor="text1"/>
          <w:sz w:val="24"/>
          <w:szCs w:val="24"/>
          <w:lang w:val="en-US"/>
        </w:rPr>
        <w:t>Weightless wealth: find your real value in a future of intangible assets</w:t>
      </w:r>
      <w:r w:rsidRPr="0039046B">
        <w:rPr>
          <w:rFonts w:asciiTheme="minorHAnsi" w:hAnsiTheme="minorHAnsi" w:cs="Calibri"/>
          <w:color w:val="000000" w:themeColor="text1"/>
          <w:sz w:val="24"/>
          <w:szCs w:val="24"/>
          <w:lang w:val="en-US"/>
        </w:rPr>
        <w:t>, Financial Times Prentice-Hall, London.</w:t>
      </w:r>
    </w:p>
    <w:p w14:paraId="674B12CD" w14:textId="03447D8D"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Atan, R. and Rahim, A. (2012), “Corporate reporting of intellectual capital: Evidence from Ace Market of Bursa Malaysia”, </w:t>
      </w:r>
      <w:r w:rsidR="0039041C" w:rsidRPr="0039046B">
        <w:rPr>
          <w:rFonts w:asciiTheme="minorHAnsi" w:hAnsiTheme="minorHAnsi" w:cs="Calibri"/>
          <w:i/>
          <w:color w:val="000000" w:themeColor="text1"/>
          <w:sz w:val="24"/>
          <w:szCs w:val="24"/>
          <w:lang w:val="en-US"/>
        </w:rPr>
        <w:t>i</w:t>
      </w:r>
      <w:r w:rsidRPr="0039046B">
        <w:rPr>
          <w:rFonts w:asciiTheme="minorHAnsi" w:hAnsiTheme="minorHAnsi" w:cs="Calibri"/>
          <w:i/>
          <w:color w:val="000000" w:themeColor="text1"/>
          <w:sz w:val="24"/>
          <w:szCs w:val="24"/>
          <w:lang w:val="en-US"/>
        </w:rPr>
        <w:t>n 2012 IEEE Symposium on Humanities, Science and Engineering Research</w:t>
      </w:r>
      <w:r w:rsidRPr="0039046B">
        <w:rPr>
          <w:rFonts w:asciiTheme="minorHAnsi" w:hAnsiTheme="minorHAnsi" w:cs="Calibri"/>
          <w:color w:val="000000" w:themeColor="text1"/>
          <w:sz w:val="24"/>
          <w:szCs w:val="24"/>
          <w:lang w:val="en-US"/>
        </w:rPr>
        <w:t>, pp. 1021-1026.</w:t>
      </w:r>
    </w:p>
    <w:p w14:paraId="461D2E25" w14:textId="77777777"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shd w:val="clear" w:color="auto" w:fill="FFFFFF"/>
          <w:lang w:val="en-US"/>
        </w:rPr>
      </w:pPr>
      <w:r w:rsidRPr="0039046B">
        <w:rPr>
          <w:rFonts w:asciiTheme="minorHAnsi" w:hAnsiTheme="minorHAnsi" w:cs="Calibri"/>
          <w:color w:val="000000" w:themeColor="text1"/>
          <w:sz w:val="24"/>
          <w:szCs w:val="24"/>
          <w:shd w:val="clear" w:color="auto" w:fill="FFFFFF"/>
          <w:lang w:val="en-US"/>
        </w:rPr>
        <w:t xml:space="preserve">Barth, M.E., Kasznik, R. and McNichols, M.F. (2001), “Analyst coverage and intangible assets”, </w:t>
      </w:r>
      <w:r w:rsidRPr="0039046B">
        <w:rPr>
          <w:rFonts w:asciiTheme="minorHAnsi" w:hAnsiTheme="minorHAnsi" w:cs="Calibri"/>
          <w:i/>
          <w:color w:val="000000" w:themeColor="text1"/>
          <w:sz w:val="24"/>
          <w:szCs w:val="24"/>
          <w:shd w:val="clear" w:color="auto" w:fill="FFFFFF"/>
          <w:lang w:val="en-US"/>
        </w:rPr>
        <w:t>Journal of Accounting Research</w:t>
      </w:r>
      <w:r w:rsidRPr="0039046B">
        <w:rPr>
          <w:rFonts w:asciiTheme="minorHAnsi" w:hAnsiTheme="minorHAnsi" w:cs="Calibri"/>
          <w:color w:val="000000" w:themeColor="text1"/>
          <w:sz w:val="24"/>
          <w:szCs w:val="24"/>
          <w:shd w:val="clear" w:color="auto" w:fill="FFFFFF"/>
          <w:lang w:val="en-US"/>
        </w:rPr>
        <w:t>, Vol. 39 No. 1, pp. 1–34.</w:t>
      </w:r>
    </w:p>
    <w:p w14:paraId="68801BF4" w14:textId="77777777"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shd w:val="clear" w:color="auto" w:fill="FFFFFF"/>
          <w:lang w:val="en-US"/>
        </w:rPr>
        <w:t>Bhasin, M. L. (2012), “Measurement and disclosure of intellectual capital in a developing country: An exploratory study”, </w:t>
      </w:r>
      <w:r w:rsidRPr="0039046B">
        <w:rPr>
          <w:rFonts w:asciiTheme="minorHAnsi" w:hAnsiTheme="minorHAnsi" w:cs="Calibri"/>
          <w:i/>
          <w:iCs/>
          <w:color w:val="000000" w:themeColor="text1"/>
          <w:sz w:val="24"/>
          <w:szCs w:val="24"/>
          <w:shd w:val="clear" w:color="auto" w:fill="FFFFFF"/>
          <w:lang w:val="en-US"/>
        </w:rPr>
        <w:t>Australian Journal of Business and Management Research</w:t>
      </w:r>
      <w:r w:rsidRPr="0039046B">
        <w:rPr>
          <w:rFonts w:asciiTheme="minorHAnsi" w:hAnsiTheme="minorHAnsi" w:cs="Calibri"/>
          <w:color w:val="000000" w:themeColor="text1"/>
          <w:sz w:val="24"/>
          <w:szCs w:val="24"/>
          <w:shd w:val="clear" w:color="auto" w:fill="FFFFFF"/>
          <w:lang w:val="en-US"/>
        </w:rPr>
        <w:t xml:space="preserve">, Vol. </w:t>
      </w:r>
      <w:r w:rsidRPr="0039046B">
        <w:rPr>
          <w:rFonts w:asciiTheme="minorHAnsi" w:hAnsiTheme="minorHAnsi" w:cs="Calibri"/>
          <w:iCs/>
          <w:color w:val="000000" w:themeColor="text1"/>
          <w:sz w:val="24"/>
          <w:szCs w:val="24"/>
          <w:shd w:val="clear" w:color="auto" w:fill="FFFFFF"/>
          <w:lang w:val="en-US"/>
        </w:rPr>
        <w:t xml:space="preserve">2 No. </w:t>
      </w:r>
      <w:r w:rsidRPr="0039046B">
        <w:rPr>
          <w:rFonts w:asciiTheme="minorHAnsi" w:hAnsiTheme="minorHAnsi" w:cs="Calibri"/>
          <w:color w:val="000000" w:themeColor="text1"/>
          <w:sz w:val="24"/>
          <w:szCs w:val="24"/>
          <w:shd w:val="clear" w:color="auto" w:fill="FFFFFF"/>
          <w:lang w:val="en-US"/>
        </w:rPr>
        <w:t>08, pp. 63-75.</w:t>
      </w:r>
    </w:p>
    <w:p w14:paraId="15BD49AB" w14:textId="77777777"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Bontis, N. (1998), “Intellectual capital: an explanatory study that develops measures and models”, </w:t>
      </w:r>
      <w:r w:rsidRPr="0039046B">
        <w:rPr>
          <w:rFonts w:asciiTheme="minorHAnsi" w:hAnsiTheme="minorHAnsi" w:cs="Calibri"/>
          <w:i/>
          <w:color w:val="000000" w:themeColor="text1"/>
          <w:sz w:val="24"/>
          <w:szCs w:val="24"/>
          <w:lang w:val="en-US"/>
        </w:rPr>
        <w:t>Management decision</w:t>
      </w:r>
      <w:r w:rsidRPr="0039046B">
        <w:rPr>
          <w:rFonts w:asciiTheme="minorHAnsi" w:hAnsiTheme="minorHAnsi" w:cs="Calibri"/>
          <w:color w:val="000000" w:themeColor="text1"/>
          <w:sz w:val="24"/>
          <w:szCs w:val="24"/>
          <w:lang w:val="en-US"/>
        </w:rPr>
        <w:t>, Vol. 36 No. 2, pp.63-76.</w:t>
      </w:r>
    </w:p>
    <w:p w14:paraId="19BFD96C" w14:textId="77777777"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Bontis, N. (2003), “Intellectual capital disclosure in Canadian corporations”, </w:t>
      </w:r>
      <w:r w:rsidRPr="0039046B">
        <w:rPr>
          <w:rFonts w:asciiTheme="minorHAnsi" w:hAnsiTheme="minorHAnsi" w:cs="Calibri"/>
          <w:i/>
          <w:color w:val="000000" w:themeColor="text1"/>
          <w:sz w:val="24"/>
          <w:szCs w:val="24"/>
          <w:lang w:val="en-US"/>
        </w:rPr>
        <w:t xml:space="preserve">Journal of Human Resource Costing &amp; Accounting, </w:t>
      </w:r>
      <w:r w:rsidRPr="0039046B">
        <w:rPr>
          <w:rFonts w:asciiTheme="minorHAnsi" w:hAnsiTheme="minorHAnsi" w:cs="Calibri"/>
          <w:color w:val="000000" w:themeColor="text1"/>
          <w:sz w:val="24"/>
          <w:szCs w:val="24"/>
          <w:lang w:val="en-US"/>
        </w:rPr>
        <w:t>Vol. 7 No. 1, pp. 9-20.</w:t>
      </w:r>
    </w:p>
    <w:p w14:paraId="7004D5D4" w14:textId="77777777"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GB"/>
        </w:rPr>
      </w:pPr>
      <w:r w:rsidRPr="0039046B">
        <w:rPr>
          <w:rFonts w:asciiTheme="minorHAnsi" w:hAnsiTheme="minorHAnsi" w:cs="Calibri"/>
          <w:color w:val="000000" w:themeColor="text1"/>
          <w:sz w:val="24"/>
          <w:szCs w:val="24"/>
          <w:lang w:val="en-US"/>
        </w:rPr>
        <w:t>Bozzolan, S., Favotto, F. and Ricceri, F. (2003), “</w:t>
      </w:r>
      <w:r w:rsidRPr="0039046B">
        <w:rPr>
          <w:rFonts w:asciiTheme="minorHAnsi" w:hAnsiTheme="minorHAnsi" w:cs="Calibri"/>
          <w:color w:val="000000" w:themeColor="text1"/>
          <w:sz w:val="24"/>
          <w:szCs w:val="24"/>
          <w:lang w:val="en-GB"/>
        </w:rPr>
        <w:t xml:space="preserve">Italian annual intellectual capital disclosure: an empirical analysis”, </w:t>
      </w:r>
      <w:r w:rsidRPr="0039046B">
        <w:rPr>
          <w:rFonts w:asciiTheme="minorHAnsi" w:hAnsiTheme="minorHAnsi" w:cs="Calibri"/>
          <w:i/>
          <w:iCs/>
          <w:color w:val="000000" w:themeColor="text1"/>
          <w:sz w:val="24"/>
          <w:szCs w:val="24"/>
          <w:lang w:val="en-GB"/>
        </w:rPr>
        <w:t>Journal of Intellectual Capital</w:t>
      </w:r>
      <w:r w:rsidRPr="0039046B">
        <w:rPr>
          <w:rFonts w:asciiTheme="minorHAnsi" w:hAnsiTheme="minorHAnsi" w:cs="Calibri"/>
          <w:color w:val="000000" w:themeColor="text1"/>
          <w:sz w:val="24"/>
          <w:szCs w:val="24"/>
          <w:lang w:val="en-GB"/>
        </w:rPr>
        <w:t xml:space="preserve">, </w:t>
      </w:r>
      <w:r w:rsidRPr="0039046B">
        <w:rPr>
          <w:rFonts w:asciiTheme="minorHAnsi" w:hAnsiTheme="minorHAnsi" w:cs="Calibri"/>
          <w:iCs/>
          <w:color w:val="000000" w:themeColor="text1"/>
          <w:sz w:val="24"/>
          <w:szCs w:val="24"/>
          <w:lang w:val="en-GB"/>
        </w:rPr>
        <w:t>Vol. 4 No. 4, pp. 543-58.</w:t>
      </w:r>
    </w:p>
    <w:p w14:paraId="048C1ECE" w14:textId="1883B63D"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Bramhandkar, A., Erickson, S. and Applebee, I. (2007), “Intellectual capital and organizational performance: an empirical study of the pharmaceutical industry”, </w:t>
      </w:r>
      <w:r w:rsidRPr="0039046B">
        <w:rPr>
          <w:rFonts w:asciiTheme="minorHAnsi" w:hAnsiTheme="minorHAnsi" w:cs="Calibri"/>
          <w:i/>
          <w:color w:val="000000" w:themeColor="text1"/>
          <w:sz w:val="24"/>
          <w:szCs w:val="24"/>
          <w:lang w:val="en-US"/>
        </w:rPr>
        <w:t>The Electronic Journal of</w:t>
      </w:r>
      <w:r w:rsidRPr="0039046B">
        <w:rPr>
          <w:rFonts w:asciiTheme="minorHAnsi" w:hAnsiTheme="minorHAnsi" w:cs="Calibri"/>
          <w:color w:val="000000" w:themeColor="text1"/>
          <w:sz w:val="24"/>
          <w:szCs w:val="24"/>
          <w:lang w:val="en-US"/>
        </w:rPr>
        <w:t xml:space="preserve"> </w:t>
      </w:r>
      <w:r w:rsidRPr="0039046B">
        <w:rPr>
          <w:rFonts w:asciiTheme="minorHAnsi" w:hAnsiTheme="minorHAnsi" w:cs="Calibri"/>
          <w:i/>
          <w:color w:val="000000" w:themeColor="text1"/>
          <w:sz w:val="24"/>
          <w:szCs w:val="24"/>
          <w:lang w:val="en-US"/>
        </w:rPr>
        <w:t>Knowledge Management</w:t>
      </w:r>
      <w:r w:rsidR="00270900" w:rsidRPr="0039046B">
        <w:rPr>
          <w:rFonts w:asciiTheme="minorHAnsi" w:hAnsiTheme="minorHAnsi" w:cs="Calibri"/>
          <w:color w:val="000000" w:themeColor="text1"/>
          <w:sz w:val="24"/>
          <w:szCs w:val="24"/>
          <w:lang w:val="en-US"/>
        </w:rPr>
        <w:t>, Vol. 5 No. 4, pp. 357</w:t>
      </w:r>
      <w:r w:rsidR="00270900" w:rsidRPr="0039046B">
        <w:rPr>
          <w:rFonts w:asciiTheme="minorHAnsi" w:hAnsiTheme="minorHAnsi" w:cs="Cambria Math"/>
          <w:color w:val="000000" w:themeColor="text1"/>
          <w:sz w:val="24"/>
          <w:szCs w:val="24"/>
          <w:lang w:val="en-US"/>
        </w:rPr>
        <w:t>‐</w:t>
      </w:r>
      <w:r w:rsidR="00270900" w:rsidRPr="0039046B">
        <w:rPr>
          <w:rFonts w:asciiTheme="minorHAnsi" w:hAnsiTheme="minorHAnsi" w:cs="Calibri"/>
          <w:color w:val="000000" w:themeColor="text1"/>
          <w:sz w:val="24"/>
          <w:szCs w:val="24"/>
          <w:lang w:val="en-US"/>
        </w:rPr>
        <w:t>362.</w:t>
      </w:r>
      <w:r w:rsidRPr="0039046B">
        <w:rPr>
          <w:rFonts w:asciiTheme="minorHAnsi" w:hAnsiTheme="minorHAnsi" w:cs="Calibri"/>
          <w:color w:val="000000" w:themeColor="text1"/>
          <w:sz w:val="24"/>
          <w:szCs w:val="24"/>
          <w:lang w:val="en-US"/>
        </w:rPr>
        <w:t xml:space="preserve"> </w:t>
      </w:r>
    </w:p>
    <w:p w14:paraId="0E8670D2" w14:textId="77777777"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Brennan, N., &amp; Connell, B. (2000), “Intellectual capital: current issues and policy implications”,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1 No. 3, pp. 206-240.</w:t>
      </w:r>
    </w:p>
    <w:p w14:paraId="56A2F3AA" w14:textId="77777777" w:rsidR="006503AA" w:rsidRPr="0039046B" w:rsidRDefault="006503AA" w:rsidP="006503AA">
      <w:pPr>
        <w:spacing w:after="0" w:line="360" w:lineRule="auto"/>
        <w:ind w:left="773" w:hangingChars="322" w:hanging="773"/>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Brennan, N. (2001), “Reporting intellectual capital in annual reports: evidence from Ireland”, </w:t>
      </w:r>
      <w:r w:rsidRPr="0039046B">
        <w:rPr>
          <w:rFonts w:asciiTheme="minorHAnsi" w:hAnsiTheme="minorHAnsi" w:cs="Calibri"/>
          <w:i/>
          <w:color w:val="000000" w:themeColor="text1"/>
          <w:sz w:val="24"/>
          <w:szCs w:val="24"/>
          <w:lang w:val="en-US"/>
        </w:rPr>
        <w:t>Accounting, Auditing &amp; Accountability Journal</w:t>
      </w:r>
      <w:r w:rsidRPr="0039046B">
        <w:rPr>
          <w:rFonts w:asciiTheme="minorHAnsi" w:hAnsiTheme="minorHAnsi" w:cs="Calibri"/>
          <w:color w:val="000000" w:themeColor="text1"/>
          <w:sz w:val="24"/>
          <w:szCs w:val="24"/>
          <w:lang w:val="en-US"/>
        </w:rPr>
        <w:t>, Vol. 14 No. 4, pp. 423-436.</w:t>
      </w:r>
    </w:p>
    <w:p w14:paraId="446AB69F" w14:textId="3C2ED8DE" w:rsidR="006503AA" w:rsidRPr="0039046B" w:rsidRDefault="006503AA" w:rsidP="005E08B7">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Brooking, A. (1996), </w:t>
      </w:r>
      <w:r w:rsidRPr="0039046B">
        <w:rPr>
          <w:rFonts w:asciiTheme="minorHAnsi" w:hAnsiTheme="minorHAnsi" w:cs="Calibri"/>
          <w:i/>
          <w:color w:val="000000" w:themeColor="text1"/>
          <w:sz w:val="24"/>
          <w:szCs w:val="24"/>
          <w:lang w:val="en-US"/>
        </w:rPr>
        <w:t>Intellectual capital: core assets for the Third Millennium Enterprise</w:t>
      </w:r>
      <w:r w:rsidRPr="0039046B">
        <w:rPr>
          <w:rFonts w:asciiTheme="minorHAnsi" w:hAnsiTheme="minorHAnsi" w:cs="Calibri"/>
          <w:color w:val="000000" w:themeColor="text1"/>
          <w:sz w:val="24"/>
          <w:szCs w:val="24"/>
          <w:lang w:val="en-US"/>
        </w:rPr>
        <w:t xml:space="preserve">, </w:t>
      </w:r>
      <w:r w:rsidR="005E08B7">
        <w:rPr>
          <w:rFonts w:asciiTheme="minorHAnsi" w:hAnsiTheme="minorHAnsi" w:cs="Calibri"/>
          <w:color w:val="000000" w:themeColor="text1"/>
          <w:sz w:val="24"/>
          <w:szCs w:val="24"/>
          <w:lang w:val="en-US"/>
        </w:rPr>
        <w:t xml:space="preserve">London, United </w:t>
      </w:r>
      <w:r w:rsidR="005E08B7" w:rsidRPr="005E08B7">
        <w:rPr>
          <w:rFonts w:asciiTheme="minorHAnsi" w:hAnsiTheme="minorHAnsi" w:cs="Calibri"/>
          <w:color w:val="000000" w:themeColor="text1"/>
          <w:sz w:val="24"/>
          <w:szCs w:val="24"/>
          <w:lang w:val="en-US"/>
        </w:rPr>
        <w:t>Kingdom: Thomson Business Press.</w:t>
      </w:r>
    </w:p>
    <w:p w14:paraId="4CECC0E3"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lastRenderedPageBreak/>
        <w:t xml:space="preserve">Bruggen A. (2009), “Intellectual Capital Disclosure: Evidence from Australia”, </w:t>
      </w:r>
      <w:r w:rsidRPr="0039046B">
        <w:rPr>
          <w:rFonts w:asciiTheme="minorHAnsi" w:hAnsiTheme="minorHAnsi" w:cs="Calibri"/>
          <w:i/>
          <w:color w:val="000000" w:themeColor="text1"/>
          <w:sz w:val="24"/>
          <w:szCs w:val="24"/>
          <w:lang w:val="en-US"/>
        </w:rPr>
        <w:t>Management Decision Journal</w:t>
      </w:r>
      <w:r w:rsidRPr="0039046B">
        <w:rPr>
          <w:rFonts w:asciiTheme="minorHAnsi" w:hAnsiTheme="minorHAnsi" w:cs="Calibri"/>
          <w:color w:val="000000" w:themeColor="text1"/>
          <w:sz w:val="24"/>
          <w:szCs w:val="24"/>
          <w:lang w:val="en-US"/>
        </w:rPr>
        <w:t>, Vol. 47 No. 2, pp. 233-245.</w:t>
      </w:r>
    </w:p>
    <w:p w14:paraId="31B0971D"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Castelo Branco, M., Delgado, C., Sousa, C. and Sa, M. (2011), “Intellectual capital disclosure media in Portugal”, </w:t>
      </w:r>
      <w:r w:rsidRPr="0039046B">
        <w:rPr>
          <w:rFonts w:asciiTheme="minorHAnsi" w:hAnsiTheme="minorHAnsi" w:cs="Calibri"/>
          <w:i/>
          <w:color w:val="000000" w:themeColor="text1"/>
          <w:sz w:val="24"/>
          <w:szCs w:val="24"/>
          <w:lang w:val="en-US"/>
        </w:rPr>
        <w:t>Corporate Communications: An International Journal</w:t>
      </w:r>
      <w:r w:rsidRPr="0039046B">
        <w:rPr>
          <w:rFonts w:asciiTheme="minorHAnsi" w:hAnsiTheme="minorHAnsi" w:cs="Calibri"/>
          <w:color w:val="000000" w:themeColor="text1"/>
          <w:sz w:val="24"/>
          <w:szCs w:val="24"/>
          <w:lang w:val="en-US"/>
        </w:rPr>
        <w:t>, Vol. 16 No. 1, pp. 38-52.</w:t>
      </w:r>
    </w:p>
    <w:p w14:paraId="5EA1F46C"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Cerbioni, F. and Parbonetti, A. (2007), “Exploring the effects of corporate governance on intellectual capital disclosure: an analysis of European biotechnology companies”, </w:t>
      </w:r>
      <w:r w:rsidRPr="0039046B">
        <w:rPr>
          <w:rFonts w:asciiTheme="minorHAnsi" w:hAnsiTheme="minorHAnsi" w:cs="Calibri"/>
          <w:i/>
          <w:color w:val="000000" w:themeColor="text1"/>
          <w:sz w:val="24"/>
          <w:szCs w:val="24"/>
          <w:lang w:val="en-US"/>
        </w:rPr>
        <w:t>European Accounting Review</w:t>
      </w:r>
      <w:r w:rsidRPr="0039046B">
        <w:rPr>
          <w:rFonts w:asciiTheme="minorHAnsi" w:hAnsiTheme="minorHAnsi" w:cs="Calibri"/>
          <w:color w:val="000000" w:themeColor="text1"/>
          <w:sz w:val="24"/>
          <w:szCs w:val="24"/>
          <w:lang w:val="en-US"/>
        </w:rPr>
        <w:t>, Vol. 16 No. 4, pp. 791-826.</w:t>
      </w:r>
    </w:p>
    <w:p w14:paraId="062AB89E"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rPr>
      </w:pPr>
      <w:r w:rsidRPr="0039046B">
        <w:rPr>
          <w:rFonts w:asciiTheme="minorHAnsi" w:hAnsiTheme="minorHAnsi" w:cs="Calibri"/>
          <w:color w:val="000000" w:themeColor="text1"/>
          <w:sz w:val="24"/>
          <w:szCs w:val="24"/>
        </w:rPr>
        <w:t>Crăciun, L. and Scriosteanu, A. (2008), “Cum se masoara capitalul intelectual?”, Analele Universităţii din Craiova-Seria Ştiinţe Economice, (XXXVI-3).</w:t>
      </w:r>
    </w:p>
    <w:p w14:paraId="2FF92FA9" w14:textId="77777777" w:rsidR="006503AA" w:rsidRPr="0039046B" w:rsidRDefault="006503AA" w:rsidP="006503AA">
      <w:pPr>
        <w:spacing w:after="0" w:line="360" w:lineRule="auto"/>
        <w:ind w:left="709" w:hanging="709"/>
        <w:jc w:val="both"/>
        <w:rPr>
          <w:rFonts w:asciiTheme="minorHAnsi" w:hAnsiTheme="minorHAnsi" w:cs="Calibri"/>
          <w:i/>
          <w:color w:val="000000" w:themeColor="text1"/>
          <w:sz w:val="24"/>
          <w:szCs w:val="24"/>
          <w:lang w:val="en-US"/>
        </w:rPr>
      </w:pPr>
      <w:r w:rsidRPr="0039046B">
        <w:rPr>
          <w:rFonts w:asciiTheme="minorHAnsi" w:hAnsiTheme="minorHAnsi" w:cs="Calibri"/>
          <w:color w:val="000000" w:themeColor="text1"/>
          <w:sz w:val="24"/>
          <w:szCs w:val="24"/>
          <w:lang w:val="en-US"/>
        </w:rPr>
        <w:t xml:space="preserve">Dignam, A.J. and Galanis, M. (2009), </w:t>
      </w:r>
      <w:r w:rsidRPr="0039046B">
        <w:rPr>
          <w:rFonts w:asciiTheme="minorHAnsi" w:hAnsiTheme="minorHAnsi" w:cs="Calibri"/>
          <w:i/>
          <w:color w:val="000000" w:themeColor="text1"/>
          <w:sz w:val="24"/>
          <w:szCs w:val="24"/>
          <w:lang w:val="en-US"/>
        </w:rPr>
        <w:t>The globalization of corporate governance – Assessing the impact of globalization on corporate governance systems</w:t>
      </w:r>
      <w:r w:rsidRPr="0039046B">
        <w:rPr>
          <w:rFonts w:asciiTheme="minorHAnsi" w:hAnsiTheme="minorHAnsi" w:cs="Calibri"/>
          <w:color w:val="000000" w:themeColor="text1"/>
          <w:sz w:val="24"/>
          <w:szCs w:val="24"/>
          <w:lang w:val="en-US"/>
        </w:rPr>
        <w:t>, Ashgate, Farnham.</w:t>
      </w:r>
    </w:p>
    <w:p w14:paraId="05A62AF5"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Dženopoljac, V., Janoševic, S. and Bontis, N. (2016), “Intellectual capital and financial performance in the Serbian ICT industry”,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17 No. 2, pp. 373-396.</w:t>
      </w:r>
    </w:p>
    <w:p w14:paraId="52CAB432"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Dumay, J.C. (2012), “Grand theories as barriers to using IC concepts”, </w:t>
      </w:r>
      <w:r w:rsidRPr="0039046B">
        <w:rPr>
          <w:rFonts w:asciiTheme="minorHAnsi" w:hAnsiTheme="minorHAnsi" w:cs="Calibri"/>
          <w:i/>
          <w:iCs/>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13 No. </w:t>
      </w:r>
      <w:r w:rsidRPr="0039046B">
        <w:rPr>
          <w:rFonts w:asciiTheme="minorHAnsi" w:hAnsiTheme="minorHAnsi" w:cs="Calibri"/>
          <w:color w:val="000000" w:themeColor="text1"/>
          <w:sz w:val="24"/>
          <w:szCs w:val="24"/>
          <w:lang w:val="en-US"/>
        </w:rPr>
        <w:t>1, pp. 4-15.</w:t>
      </w:r>
    </w:p>
    <w:p w14:paraId="456FCF09"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Dumay, J. (2014), “Reflections on interdisciplinary accounting research: the state of the art of intellectual capital”, </w:t>
      </w:r>
      <w:r w:rsidRPr="0039046B">
        <w:rPr>
          <w:rFonts w:asciiTheme="minorHAnsi" w:hAnsiTheme="minorHAnsi" w:cs="Calibri"/>
          <w:i/>
          <w:color w:val="000000" w:themeColor="text1"/>
          <w:sz w:val="24"/>
          <w:szCs w:val="24"/>
          <w:lang w:val="en-US"/>
        </w:rPr>
        <w:t>Accounting, Auditing &amp; Accountability Journal</w:t>
      </w:r>
      <w:r w:rsidRPr="0039046B">
        <w:rPr>
          <w:rFonts w:asciiTheme="minorHAnsi" w:hAnsiTheme="minorHAnsi" w:cs="Calibri"/>
          <w:color w:val="000000" w:themeColor="text1"/>
          <w:sz w:val="24"/>
          <w:szCs w:val="24"/>
          <w:lang w:val="en-US"/>
        </w:rPr>
        <w:t>, Vol.  27 No. 8, pp. 1257-1264.</w:t>
      </w:r>
    </w:p>
    <w:p w14:paraId="6D66632F"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Edvinsson, L. and Malone, M. S. (1997), </w:t>
      </w:r>
      <w:r w:rsidRPr="0039046B">
        <w:rPr>
          <w:rFonts w:asciiTheme="minorHAnsi" w:hAnsiTheme="minorHAnsi" w:cs="Calibri"/>
          <w:i/>
          <w:iCs/>
          <w:color w:val="000000" w:themeColor="text1"/>
          <w:sz w:val="24"/>
          <w:szCs w:val="24"/>
          <w:lang w:val="en-US"/>
        </w:rPr>
        <w:t>Intellectual capital: Realizing your company's true value by finding its hidden brainpower</w:t>
      </w:r>
      <w:r w:rsidRPr="0039046B">
        <w:rPr>
          <w:rFonts w:asciiTheme="minorHAnsi" w:hAnsiTheme="minorHAnsi" w:cs="Calibri"/>
          <w:color w:val="000000" w:themeColor="text1"/>
          <w:sz w:val="24"/>
          <w:szCs w:val="24"/>
          <w:lang w:val="en-US"/>
        </w:rPr>
        <w:t>, Harper Business, New York, NY.</w:t>
      </w:r>
    </w:p>
    <w:p w14:paraId="0BF7F6E4"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Elshandidy, T., Fraser, I., and Hussainey, K. (2013), “Aggregated, voluntary, and mandatory risk disclosure incentives: Evidence from UK FTSE all-share companies”, </w:t>
      </w:r>
      <w:r w:rsidRPr="0039046B">
        <w:rPr>
          <w:rFonts w:asciiTheme="minorHAnsi" w:hAnsiTheme="minorHAnsi" w:cs="Calibri"/>
          <w:i/>
          <w:color w:val="000000" w:themeColor="text1"/>
          <w:sz w:val="24"/>
          <w:szCs w:val="24"/>
          <w:lang w:val="en-US"/>
        </w:rPr>
        <w:t>International Review of Financial Analysis</w:t>
      </w:r>
      <w:r w:rsidRPr="0039046B">
        <w:rPr>
          <w:rFonts w:asciiTheme="minorHAnsi" w:hAnsiTheme="minorHAnsi" w:cs="Calibri"/>
          <w:color w:val="000000" w:themeColor="text1"/>
          <w:sz w:val="24"/>
          <w:szCs w:val="24"/>
          <w:lang w:val="en-US"/>
        </w:rPr>
        <w:t>, Vol. 30, pp. 320 - 333.</w:t>
      </w:r>
    </w:p>
    <w:p w14:paraId="42C74333"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Elshandidy, T. and Neri, L. (2015), “Corporate Governance, Risk Disclosure Practices, and Market Liquidity: Comparative Evidence from the UK and Italy”, </w:t>
      </w:r>
      <w:r w:rsidRPr="0039046B">
        <w:rPr>
          <w:rFonts w:asciiTheme="minorHAnsi" w:hAnsiTheme="minorHAnsi" w:cs="Calibri"/>
          <w:i/>
          <w:color w:val="000000" w:themeColor="text1"/>
          <w:sz w:val="24"/>
          <w:szCs w:val="24"/>
          <w:lang w:val="en-US"/>
        </w:rPr>
        <w:t>Corporate Governance: An International Review</w:t>
      </w:r>
      <w:r w:rsidRPr="0039046B">
        <w:rPr>
          <w:rFonts w:asciiTheme="minorHAnsi" w:hAnsiTheme="minorHAnsi" w:cs="Calibri"/>
          <w:color w:val="000000" w:themeColor="text1"/>
          <w:sz w:val="24"/>
          <w:szCs w:val="24"/>
          <w:lang w:val="en-US"/>
        </w:rPr>
        <w:t>, Vol. 23 No. 4, pp. 331-356.</w:t>
      </w:r>
    </w:p>
    <w:p w14:paraId="7169C21B"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Fama, E. F., and French, K. R. (2001), “Disappearing dividends: changing firm characteristics or lower propensity to pay?”, </w:t>
      </w:r>
      <w:r w:rsidRPr="0039046B">
        <w:rPr>
          <w:rFonts w:asciiTheme="minorHAnsi" w:hAnsiTheme="minorHAnsi" w:cs="Calibri"/>
          <w:i/>
          <w:color w:val="000000" w:themeColor="text1"/>
          <w:sz w:val="24"/>
          <w:szCs w:val="24"/>
          <w:lang w:val="en-US"/>
        </w:rPr>
        <w:t>Journal of Financial economics</w:t>
      </w:r>
      <w:r w:rsidRPr="0039046B">
        <w:rPr>
          <w:rFonts w:asciiTheme="minorHAnsi" w:hAnsiTheme="minorHAnsi" w:cs="Calibri"/>
          <w:color w:val="000000" w:themeColor="text1"/>
          <w:sz w:val="24"/>
          <w:szCs w:val="24"/>
          <w:lang w:val="en-US"/>
        </w:rPr>
        <w:t>, Vol. 60 No.1, pp. 3-43.</w:t>
      </w:r>
    </w:p>
    <w:p w14:paraId="01488A10"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Gan, K., and Saleh, Z. (2008), “Intellectual capital and corporate performance of technology-intensive companies: Malaysia evidence”, </w:t>
      </w:r>
      <w:r w:rsidRPr="0039046B">
        <w:rPr>
          <w:rFonts w:asciiTheme="minorHAnsi" w:hAnsiTheme="minorHAnsi" w:cs="Calibri"/>
          <w:i/>
          <w:color w:val="000000" w:themeColor="text1"/>
          <w:sz w:val="24"/>
          <w:szCs w:val="24"/>
          <w:lang w:val="en-US"/>
        </w:rPr>
        <w:t>Asian journal of business and Accounting</w:t>
      </w:r>
      <w:r w:rsidRPr="0039046B">
        <w:rPr>
          <w:rFonts w:asciiTheme="minorHAnsi" w:hAnsiTheme="minorHAnsi" w:cs="Calibri"/>
          <w:color w:val="000000" w:themeColor="text1"/>
          <w:sz w:val="24"/>
          <w:szCs w:val="24"/>
          <w:lang w:val="en-US"/>
        </w:rPr>
        <w:t>, Vol. 1 No.1, pp. 113-130.</w:t>
      </w:r>
    </w:p>
    <w:p w14:paraId="56E52BDA"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lastRenderedPageBreak/>
        <w:t xml:space="preserve">Ghosh, D., and Wu, A. (2007), “Intellectual capital and capital markets: additional evidence”,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8 No. 2, pp. 216-235.</w:t>
      </w:r>
    </w:p>
    <w:p w14:paraId="30D03233"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Godyn, J. (2013), “Intellectual Capital Valuation and Stock Market Performance in an Era of Financial Turmoil: Blue Chip Banks Listed in Stock Exchanges of the Visegrad Countries”, </w:t>
      </w:r>
      <w:r w:rsidRPr="0039046B">
        <w:rPr>
          <w:rFonts w:asciiTheme="minorHAnsi" w:hAnsiTheme="minorHAnsi" w:cs="Calibri"/>
          <w:i/>
          <w:iCs/>
          <w:color w:val="000000" w:themeColor="text1"/>
          <w:sz w:val="24"/>
          <w:szCs w:val="24"/>
          <w:lang w:val="en-US"/>
        </w:rPr>
        <w:t>Theory, Methodology, Practice</w:t>
      </w:r>
      <w:r w:rsidRPr="0039046B">
        <w:rPr>
          <w:rFonts w:asciiTheme="minorHAnsi" w:hAnsiTheme="minorHAnsi" w:cs="Calibri"/>
          <w:iCs/>
          <w:color w:val="000000" w:themeColor="text1"/>
          <w:sz w:val="24"/>
          <w:szCs w:val="24"/>
          <w:lang w:val="en-US"/>
        </w:rPr>
        <w:t>, Vol.</w:t>
      </w:r>
      <w:r w:rsidRPr="0039046B">
        <w:rPr>
          <w:rFonts w:asciiTheme="minorHAnsi" w:hAnsiTheme="minorHAnsi" w:cs="Calibri"/>
          <w:color w:val="000000" w:themeColor="text1"/>
          <w:sz w:val="24"/>
          <w:szCs w:val="24"/>
          <w:lang w:val="en-US"/>
        </w:rPr>
        <w:t> 9 No. 2, pp. 53-61.</w:t>
      </w:r>
    </w:p>
    <w:p w14:paraId="3E2291F7"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Goebel, V. (2015), “Estimating a measure of intellectual capital value to test its determinants”, </w:t>
      </w:r>
      <w:r w:rsidRPr="0039046B">
        <w:rPr>
          <w:rFonts w:asciiTheme="minorHAnsi" w:hAnsiTheme="minorHAnsi" w:cs="Calibri"/>
          <w:i/>
          <w:iCs/>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16 No. </w:t>
      </w:r>
      <w:r w:rsidRPr="0039046B">
        <w:rPr>
          <w:rFonts w:asciiTheme="minorHAnsi" w:hAnsiTheme="minorHAnsi" w:cs="Calibri"/>
          <w:color w:val="000000" w:themeColor="text1"/>
          <w:sz w:val="24"/>
          <w:szCs w:val="24"/>
          <w:lang w:val="en-US"/>
        </w:rPr>
        <w:t>1, pp. 101-120.</w:t>
      </w:r>
    </w:p>
    <w:p w14:paraId="4F46767D"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Guthrie, J. and Petty, R. (2000), “Intellectual capital: Australian annual reporting practices”,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1 No. 3, pp. 241-251.</w:t>
      </w:r>
    </w:p>
    <w:p w14:paraId="73BC48CE"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Kaplan, R. S. and Norton, D. P. (1996), </w:t>
      </w:r>
      <w:r w:rsidRPr="0039046B">
        <w:rPr>
          <w:rFonts w:asciiTheme="minorHAnsi" w:hAnsiTheme="minorHAnsi" w:cs="Calibri"/>
          <w:i/>
          <w:iCs/>
          <w:color w:val="000000" w:themeColor="text1"/>
          <w:sz w:val="24"/>
          <w:szCs w:val="24"/>
          <w:lang w:val="en-US"/>
        </w:rPr>
        <w:t>The balanced scorecard: translating strategy into action</w:t>
      </w:r>
      <w:r w:rsidRPr="0039046B">
        <w:rPr>
          <w:rFonts w:asciiTheme="minorHAnsi" w:hAnsiTheme="minorHAnsi" w:cs="Calibri"/>
          <w:color w:val="000000" w:themeColor="text1"/>
          <w:sz w:val="24"/>
          <w:szCs w:val="24"/>
          <w:lang w:val="en-US"/>
        </w:rPr>
        <w:t>. Harvard Business Press.</w:t>
      </w:r>
    </w:p>
    <w:p w14:paraId="19420A1D"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Keenan, J. and Aggestam, M. (2001), “Corporate governance and intellectual capital: some conceptualisations”, </w:t>
      </w:r>
      <w:r w:rsidRPr="0039046B">
        <w:rPr>
          <w:rFonts w:asciiTheme="minorHAnsi" w:hAnsiTheme="minorHAnsi" w:cs="Calibri"/>
          <w:i/>
          <w:iCs/>
          <w:color w:val="000000" w:themeColor="text1"/>
          <w:sz w:val="24"/>
          <w:szCs w:val="24"/>
          <w:lang w:val="en-US"/>
        </w:rPr>
        <w:t>Corporate Governance: An International Review</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9 No. </w:t>
      </w:r>
      <w:r w:rsidRPr="0039046B">
        <w:rPr>
          <w:rFonts w:asciiTheme="minorHAnsi" w:hAnsiTheme="minorHAnsi" w:cs="Calibri"/>
          <w:color w:val="000000" w:themeColor="text1"/>
          <w:sz w:val="24"/>
          <w:szCs w:val="24"/>
          <w:lang w:val="en-US"/>
        </w:rPr>
        <w:t>4, 259-275.</w:t>
      </w:r>
    </w:p>
    <w:p w14:paraId="158AB701"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Kok, A. (2007), “Intellectual capital management as part of knowledge management initiatives at institutions of higher learning”, </w:t>
      </w:r>
      <w:r w:rsidRPr="0039046B">
        <w:rPr>
          <w:rFonts w:asciiTheme="minorHAnsi" w:hAnsiTheme="minorHAnsi" w:cs="Calibri"/>
          <w:i/>
          <w:color w:val="000000" w:themeColor="text1"/>
          <w:sz w:val="24"/>
          <w:szCs w:val="24"/>
          <w:lang w:val="en-US"/>
        </w:rPr>
        <w:t>The electronic journal of Knowledge management</w:t>
      </w:r>
      <w:r w:rsidRPr="0039046B">
        <w:rPr>
          <w:rFonts w:asciiTheme="minorHAnsi" w:hAnsiTheme="minorHAnsi" w:cs="Calibri"/>
          <w:color w:val="000000" w:themeColor="text1"/>
          <w:sz w:val="24"/>
          <w:szCs w:val="24"/>
          <w:lang w:val="en-US"/>
        </w:rPr>
        <w:t>, Vol. 5 No. 2, pp. 181-192.</w:t>
      </w:r>
    </w:p>
    <w:p w14:paraId="059B6B3F"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Leitner, K. H. (2004), “Intellectual capital reporting for universities: conceptual background and application for Austrian universities”, </w:t>
      </w:r>
      <w:r w:rsidRPr="0039046B">
        <w:rPr>
          <w:rFonts w:asciiTheme="minorHAnsi" w:hAnsiTheme="minorHAnsi" w:cs="Calibri"/>
          <w:i/>
          <w:color w:val="000000" w:themeColor="text1"/>
          <w:sz w:val="24"/>
          <w:szCs w:val="24"/>
          <w:lang w:val="en-US"/>
        </w:rPr>
        <w:t>Research Evaluation</w:t>
      </w:r>
      <w:r w:rsidRPr="0039046B">
        <w:rPr>
          <w:rFonts w:asciiTheme="minorHAnsi" w:hAnsiTheme="minorHAnsi" w:cs="Calibri"/>
          <w:color w:val="000000" w:themeColor="text1"/>
          <w:sz w:val="24"/>
          <w:szCs w:val="24"/>
          <w:lang w:val="en-US"/>
        </w:rPr>
        <w:t>, Vol. 13 No. 2, pp. 129-140.</w:t>
      </w:r>
    </w:p>
    <w:p w14:paraId="366E071C"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Leonard-Barton, D. (1992), “Core capabilities and core rigidities: A paradox in managing new product development”, </w:t>
      </w:r>
      <w:r w:rsidRPr="0039046B">
        <w:rPr>
          <w:rFonts w:asciiTheme="minorHAnsi" w:hAnsiTheme="minorHAnsi" w:cs="Calibri"/>
          <w:i/>
          <w:color w:val="000000" w:themeColor="text1"/>
          <w:sz w:val="24"/>
          <w:szCs w:val="24"/>
          <w:lang w:val="en-US"/>
        </w:rPr>
        <w:t>Strategic Management Journal</w:t>
      </w:r>
      <w:r w:rsidRPr="0039046B">
        <w:rPr>
          <w:rFonts w:asciiTheme="minorHAnsi" w:hAnsiTheme="minorHAnsi" w:cs="Calibri"/>
          <w:color w:val="000000" w:themeColor="text1"/>
          <w:sz w:val="24"/>
          <w:szCs w:val="24"/>
          <w:lang w:val="en-US"/>
        </w:rPr>
        <w:t>, Vol. 13-S1, pp. 111–125.</w:t>
      </w:r>
    </w:p>
    <w:p w14:paraId="361391FE"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Lev, B. and Zarowin, P. (1999), “The boundaries of financial reporting and how to extend them”, </w:t>
      </w:r>
      <w:r w:rsidRPr="0039046B">
        <w:rPr>
          <w:rFonts w:asciiTheme="minorHAnsi" w:hAnsiTheme="minorHAnsi" w:cs="Calibri"/>
          <w:i/>
          <w:color w:val="000000" w:themeColor="text1"/>
          <w:sz w:val="24"/>
          <w:szCs w:val="24"/>
          <w:lang w:val="en-US"/>
        </w:rPr>
        <w:t>Journal of Accounting Research</w:t>
      </w:r>
      <w:r w:rsidRPr="0039046B">
        <w:rPr>
          <w:rFonts w:asciiTheme="minorHAnsi" w:hAnsiTheme="minorHAnsi" w:cs="Calibri"/>
          <w:color w:val="000000" w:themeColor="text1"/>
          <w:sz w:val="24"/>
          <w:szCs w:val="24"/>
          <w:lang w:val="en-US"/>
        </w:rPr>
        <w:t>, Vol. 37 No. 2, pp. 353–385.</w:t>
      </w:r>
    </w:p>
    <w:p w14:paraId="27D4886E"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Lev, B. and Zambon, S. (2003), “Intangibles and intellectual capital: an introduction to a special issue”, </w:t>
      </w:r>
      <w:r w:rsidRPr="0039046B">
        <w:rPr>
          <w:rFonts w:asciiTheme="minorHAnsi" w:hAnsiTheme="minorHAnsi" w:cs="Calibri"/>
          <w:i/>
          <w:color w:val="000000" w:themeColor="text1"/>
          <w:sz w:val="24"/>
          <w:szCs w:val="24"/>
          <w:lang w:val="en-US"/>
        </w:rPr>
        <w:t>European Accounting Review</w:t>
      </w:r>
      <w:r w:rsidRPr="0039046B">
        <w:rPr>
          <w:rFonts w:asciiTheme="minorHAnsi" w:hAnsiTheme="minorHAnsi" w:cs="Calibri"/>
          <w:color w:val="000000" w:themeColor="text1"/>
          <w:sz w:val="24"/>
          <w:szCs w:val="24"/>
          <w:lang w:val="en-US"/>
        </w:rPr>
        <w:t>, Vol. 12 No. 4, pp. 597-603.</w:t>
      </w:r>
    </w:p>
    <w:p w14:paraId="1F829E8F"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Lev, B., Cañibano, L. and Marr, B. (2005), “An accounting perspective on intellectual capital”, </w:t>
      </w:r>
      <w:r w:rsidRPr="0039046B">
        <w:rPr>
          <w:rFonts w:asciiTheme="minorHAnsi" w:hAnsiTheme="minorHAnsi" w:cs="Calibri"/>
          <w:i/>
          <w:iCs/>
          <w:color w:val="000000" w:themeColor="text1"/>
          <w:sz w:val="24"/>
          <w:szCs w:val="24"/>
          <w:lang w:val="en-US"/>
        </w:rPr>
        <w:t>Perspectives on intellectual capital</w:t>
      </w:r>
      <w:r w:rsidRPr="0039046B">
        <w:rPr>
          <w:rFonts w:asciiTheme="minorHAnsi" w:hAnsiTheme="minorHAnsi" w:cs="Calibri"/>
          <w:color w:val="000000" w:themeColor="text1"/>
          <w:sz w:val="24"/>
          <w:szCs w:val="24"/>
          <w:lang w:val="en-US"/>
        </w:rPr>
        <w:t>, pp. 42-55.</w:t>
      </w:r>
    </w:p>
    <w:p w14:paraId="71098912"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Li, J., Pike, R. and Haniffa, R. (2008), “Intellectual capital disclosure and corporate governance structure in UK firms”, </w:t>
      </w:r>
      <w:r w:rsidRPr="0039046B">
        <w:rPr>
          <w:rFonts w:asciiTheme="minorHAnsi" w:hAnsiTheme="minorHAnsi" w:cs="Calibri"/>
          <w:i/>
          <w:color w:val="000000" w:themeColor="text1"/>
          <w:sz w:val="24"/>
          <w:szCs w:val="24"/>
          <w:lang w:val="en-US"/>
        </w:rPr>
        <w:t>Accounting and Business Research</w:t>
      </w:r>
      <w:r w:rsidRPr="0039046B">
        <w:rPr>
          <w:rFonts w:asciiTheme="minorHAnsi" w:hAnsiTheme="minorHAnsi" w:cs="Calibri"/>
          <w:color w:val="000000" w:themeColor="text1"/>
          <w:sz w:val="24"/>
          <w:szCs w:val="24"/>
          <w:lang w:val="en-US"/>
        </w:rPr>
        <w:t>, Vol. 38 No. 2, pp. 137-159.</w:t>
      </w:r>
    </w:p>
    <w:p w14:paraId="15DC6F6D"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Li, J., Mangena, M. and Pike, R. (2012), “The effect of audit committee characteristics on intellectual capital Disclosure”, </w:t>
      </w:r>
      <w:r w:rsidRPr="0039046B">
        <w:rPr>
          <w:rFonts w:asciiTheme="minorHAnsi" w:hAnsiTheme="minorHAnsi" w:cs="Calibri"/>
          <w:i/>
          <w:color w:val="000000" w:themeColor="text1"/>
          <w:sz w:val="24"/>
          <w:szCs w:val="24"/>
          <w:lang w:val="en-US"/>
        </w:rPr>
        <w:t>The British Accounting Review</w:t>
      </w:r>
      <w:r w:rsidRPr="0039046B">
        <w:rPr>
          <w:rFonts w:asciiTheme="minorHAnsi" w:hAnsiTheme="minorHAnsi" w:cs="Calibri"/>
          <w:color w:val="000000" w:themeColor="text1"/>
          <w:sz w:val="24"/>
          <w:szCs w:val="24"/>
          <w:lang w:val="en-US"/>
        </w:rPr>
        <w:t>, Vol. 44, pp. 98–110.</w:t>
      </w:r>
    </w:p>
    <w:p w14:paraId="44AB740D"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lastRenderedPageBreak/>
        <w:t xml:space="preserve">Lipunga, A. M. (2014), “A Longitudinal Assessment of Intellectual Capital of Companies Listed on Malawi Stock Exchange”, </w:t>
      </w:r>
      <w:r w:rsidRPr="0039046B">
        <w:rPr>
          <w:rFonts w:asciiTheme="minorHAnsi" w:hAnsiTheme="minorHAnsi" w:cs="Calibri"/>
          <w:i/>
          <w:color w:val="000000" w:themeColor="text1"/>
          <w:sz w:val="24"/>
          <w:szCs w:val="24"/>
          <w:lang w:val="en-US"/>
        </w:rPr>
        <w:t>European Journal of Business and Management</w:t>
      </w:r>
      <w:r w:rsidRPr="0039046B">
        <w:rPr>
          <w:rFonts w:asciiTheme="minorHAnsi" w:hAnsiTheme="minorHAnsi" w:cs="Calibri"/>
          <w:color w:val="000000" w:themeColor="text1"/>
          <w:sz w:val="24"/>
          <w:szCs w:val="24"/>
          <w:lang w:val="en-US"/>
        </w:rPr>
        <w:t>, Vol. 6 No. 9, pp. 27-35.</w:t>
      </w:r>
    </w:p>
    <w:p w14:paraId="008FED32" w14:textId="759142CA"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Loderer, C.F., and Waelchli, U. (2010), </w:t>
      </w:r>
      <w:r w:rsidR="00243B55" w:rsidRPr="0039046B">
        <w:rPr>
          <w:rFonts w:asciiTheme="minorHAnsi" w:hAnsiTheme="minorHAnsi" w:cs="Calibri"/>
          <w:color w:val="000000" w:themeColor="text1"/>
          <w:sz w:val="24"/>
          <w:szCs w:val="24"/>
          <w:lang w:val="en-US"/>
        </w:rPr>
        <w:t>“</w:t>
      </w:r>
      <w:r w:rsidRPr="0039046B">
        <w:rPr>
          <w:rFonts w:asciiTheme="minorHAnsi" w:hAnsiTheme="minorHAnsi" w:cs="Calibri"/>
          <w:color w:val="000000" w:themeColor="text1"/>
          <w:sz w:val="24"/>
          <w:szCs w:val="24"/>
          <w:lang w:val="en-US"/>
        </w:rPr>
        <w:t>Firm Age and Performance</w:t>
      </w:r>
      <w:r w:rsidR="00243B55" w:rsidRPr="0039046B">
        <w:rPr>
          <w:rFonts w:asciiTheme="minorHAnsi" w:hAnsiTheme="minorHAnsi" w:cs="Calibri"/>
          <w:color w:val="000000" w:themeColor="text1"/>
          <w:sz w:val="24"/>
          <w:szCs w:val="24"/>
          <w:lang w:val="en-US"/>
        </w:rPr>
        <w:t xml:space="preserve">”, </w:t>
      </w:r>
      <w:r w:rsidRPr="0039046B">
        <w:rPr>
          <w:rFonts w:asciiTheme="minorHAnsi" w:hAnsiTheme="minorHAnsi" w:cs="Calibri"/>
          <w:color w:val="000000" w:themeColor="text1"/>
          <w:sz w:val="24"/>
          <w:szCs w:val="24"/>
          <w:lang w:val="en-US"/>
        </w:rPr>
        <w:t xml:space="preserve">Available at SSRN: </w:t>
      </w:r>
      <w:hyperlink r:id="rId8" w:tgtFrame="_blank" w:history="1">
        <w:r w:rsidRPr="0039046B">
          <w:rPr>
            <w:rStyle w:val="Hyperlink"/>
            <w:rFonts w:asciiTheme="minorHAnsi" w:hAnsiTheme="minorHAnsi" w:cs="Calibri"/>
            <w:color w:val="000000" w:themeColor="text1"/>
            <w:sz w:val="24"/>
            <w:szCs w:val="24"/>
            <w:lang w:val="en-US"/>
          </w:rPr>
          <w:t>https://ssrn.com/abstract=1342248</w:t>
        </w:r>
      </w:hyperlink>
      <w:r w:rsidR="00274447" w:rsidRPr="0039046B">
        <w:rPr>
          <w:rFonts w:asciiTheme="minorHAnsi" w:hAnsiTheme="minorHAnsi" w:cs="Calibri"/>
          <w:color w:val="000000" w:themeColor="text1"/>
          <w:sz w:val="24"/>
          <w:szCs w:val="24"/>
          <w:lang w:val="en-US"/>
        </w:rPr>
        <w:t>.</w:t>
      </w:r>
    </w:p>
    <w:p w14:paraId="2C8B3BCE" w14:textId="6D596171"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Loderer, C.F.</w:t>
      </w:r>
      <w:r w:rsidR="001A4FF6" w:rsidRPr="0039046B">
        <w:rPr>
          <w:rFonts w:asciiTheme="minorHAnsi" w:hAnsiTheme="minorHAnsi" w:cs="Calibri"/>
          <w:color w:val="000000" w:themeColor="text1"/>
          <w:sz w:val="24"/>
          <w:szCs w:val="24"/>
          <w:lang w:val="en-US"/>
        </w:rPr>
        <w:t>, Stulz, R., and</w:t>
      </w:r>
      <w:r w:rsidRPr="0039046B">
        <w:rPr>
          <w:rFonts w:asciiTheme="minorHAnsi" w:hAnsiTheme="minorHAnsi" w:cs="Calibri"/>
          <w:color w:val="000000" w:themeColor="text1"/>
          <w:sz w:val="24"/>
          <w:szCs w:val="24"/>
          <w:lang w:val="en-US"/>
        </w:rPr>
        <w:t xml:space="preserve"> Waelchli, U. (2016), “Firm Rigidities and the Decline in Growth Opportunities”, </w:t>
      </w:r>
      <w:r w:rsidRPr="0039046B">
        <w:rPr>
          <w:rFonts w:asciiTheme="minorHAnsi" w:hAnsiTheme="minorHAnsi" w:cs="Calibri"/>
          <w:i/>
          <w:color w:val="000000" w:themeColor="text1"/>
          <w:sz w:val="24"/>
          <w:szCs w:val="24"/>
          <w:lang w:val="en-US"/>
        </w:rPr>
        <w:t>Management Science</w:t>
      </w:r>
      <w:r w:rsidRPr="0039046B">
        <w:rPr>
          <w:rFonts w:asciiTheme="minorHAnsi" w:hAnsiTheme="minorHAnsi" w:cs="Calibri"/>
          <w:color w:val="000000" w:themeColor="text1"/>
          <w:sz w:val="24"/>
          <w:szCs w:val="24"/>
          <w:lang w:val="en-US"/>
        </w:rPr>
        <w:t>, pp. 1 – 20.</w:t>
      </w:r>
    </w:p>
    <w:p w14:paraId="748220DB"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Luthy, D. H. (1998, August), “Intellectual capital and its measurement”, In </w:t>
      </w:r>
      <w:r w:rsidRPr="0039046B">
        <w:rPr>
          <w:rFonts w:asciiTheme="minorHAnsi" w:hAnsiTheme="minorHAnsi" w:cs="Calibri"/>
          <w:i/>
          <w:iCs/>
          <w:color w:val="000000" w:themeColor="text1"/>
          <w:sz w:val="24"/>
          <w:szCs w:val="24"/>
          <w:lang w:val="en-US"/>
        </w:rPr>
        <w:t>Proceedings of the Asian Pacific Interdisciplinary Research in Accounting Conference (APIRA), Osaka, Japan</w:t>
      </w:r>
      <w:r w:rsidRPr="0039046B">
        <w:rPr>
          <w:rFonts w:asciiTheme="minorHAnsi" w:hAnsiTheme="minorHAnsi" w:cs="Calibri"/>
          <w:color w:val="000000" w:themeColor="text1"/>
          <w:sz w:val="24"/>
          <w:szCs w:val="24"/>
          <w:lang w:val="en-US"/>
        </w:rPr>
        <w:t>, pp. 16-17.</w:t>
      </w:r>
    </w:p>
    <w:p w14:paraId="3F3360CA"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Maditinos, D., Chatzoudes,D., Tsairidis, C. and Theriou, G. (2011), “The impact of intellectual capital on firms’ market value and financial performance”,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12 No.1, pp.132-151.</w:t>
      </w:r>
    </w:p>
    <w:p w14:paraId="311504EB"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Marr, B., Gray, D. and Neely, A. (2003), “Why do firms measure their intellectual capital?”,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4 No. 4, pp. 441-464.</w:t>
      </w:r>
    </w:p>
    <w:p w14:paraId="0E6A758E"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Marr, B., Schiuma, G. and Neely, A. (2004), “Intellectual capital-defining key performance indicators for organizational knowledge assets”, </w:t>
      </w:r>
      <w:r w:rsidRPr="0039046B">
        <w:rPr>
          <w:rFonts w:asciiTheme="minorHAnsi" w:hAnsiTheme="minorHAnsi" w:cs="Calibri"/>
          <w:i/>
          <w:color w:val="000000" w:themeColor="text1"/>
          <w:sz w:val="24"/>
          <w:szCs w:val="24"/>
          <w:lang w:val="en-US"/>
        </w:rPr>
        <w:t>Business Process Management Journal</w:t>
      </w:r>
      <w:r w:rsidRPr="0039046B">
        <w:rPr>
          <w:rFonts w:asciiTheme="minorHAnsi" w:hAnsiTheme="minorHAnsi" w:cs="Calibri"/>
          <w:color w:val="000000" w:themeColor="text1"/>
          <w:sz w:val="24"/>
          <w:szCs w:val="24"/>
          <w:lang w:val="en-US"/>
        </w:rPr>
        <w:t>, Vol. 10 No. 5, pp. 551-569.</w:t>
      </w:r>
    </w:p>
    <w:p w14:paraId="252C7552" w14:textId="60BC44E8"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McPherson (1998), “Inclusive Valuation Methodology”, cited in Skyrme (1999), </w:t>
      </w:r>
      <w:r w:rsidRPr="0039046B">
        <w:rPr>
          <w:rFonts w:asciiTheme="minorHAnsi" w:hAnsiTheme="minorHAnsi" w:cs="Calibri"/>
          <w:i/>
          <w:color w:val="000000" w:themeColor="text1"/>
          <w:sz w:val="24"/>
          <w:szCs w:val="24"/>
          <w:lang w:val="en-US"/>
        </w:rPr>
        <w:t>Measuring the Value of Knowledge</w:t>
      </w:r>
      <w:r w:rsidR="00243B55" w:rsidRPr="0039046B">
        <w:rPr>
          <w:rFonts w:asciiTheme="minorHAnsi" w:hAnsiTheme="minorHAnsi" w:cs="Calibri"/>
          <w:i/>
          <w:color w:val="000000" w:themeColor="text1"/>
          <w:sz w:val="24"/>
          <w:szCs w:val="24"/>
          <w:lang w:val="en-US"/>
        </w:rPr>
        <w:t xml:space="preserve">, </w:t>
      </w:r>
      <w:r w:rsidRPr="0039046B">
        <w:rPr>
          <w:rFonts w:asciiTheme="minorHAnsi" w:hAnsiTheme="minorHAnsi" w:cs="Calibri"/>
          <w:i/>
          <w:color w:val="000000" w:themeColor="text1"/>
          <w:sz w:val="24"/>
          <w:szCs w:val="24"/>
          <w:lang w:val="en-US"/>
        </w:rPr>
        <w:t>Business Intelligence</w:t>
      </w:r>
      <w:r w:rsidRPr="0039046B">
        <w:rPr>
          <w:rFonts w:asciiTheme="minorHAnsi" w:hAnsiTheme="minorHAnsi" w:cs="Calibri"/>
          <w:color w:val="000000" w:themeColor="text1"/>
          <w:sz w:val="24"/>
          <w:szCs w:val="24"/>
          <w:lang w:val="en-US"/>
        </w:rPr>
        <w:t>.</w:t>
      </w:r>
    </w:p>
    <w:p w14:paraId="359D8F20"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Meritum, P. (2002), </w:t>
      </w:r>
      <w:r w:rsidRPr="0039046B">
        <w:rPr>
          <w:rFonts w:asciiTheme="minorHAnsi" w:hAnsiTheme="minorHAnsi" w:cs="Calibri"/>
          <w:i/>
          <w:color w:val="000000" w:themeColor="text1"/>
          <w:sz w:val="24"/>
          <w:szCs w:val="24"/>
          <w:lang w:val="en-US"/>
        </w:rPr>
        <w:t>Guidelines for managing and reporting on intangibles</w:t>
      </w:r>
      <w:r w:rsidRPr="0039046B">
        <w:rPr>
          <w:rFonts w:asciiTheme="minorHAnsi" w:hAnsiTheme="minorHAnsi" w:cs="Calibri"/>
          <w:color w:val="000000" w:themeColor="text1"/>
          <w:sz w:val="24"/>
          <w:szCs w:val="24"/>
          <w:lang w:val="en-US"/>
        </w:rPr>
        <w:t xml:space="preserve">. </w:t>
      </w:r>
      <w:r w:rsidRPr="0039046B">
        <w:rPr>
          <w:rFonts w:asciiTheme="minorHAnsi" w:hAnsiTheme="minorHAnsi" w:cs="Calibri"/>
          <w:iCs/>
          <w:color w:val="000000" w:themeColor="text1"/>
          <w:sz w:val="24"/>
          <w:szCs w:val="24"/>
          <w:lang w:val="en-US"/>
        </w:rPr>
        <w:t>Fundación Airtel-Vodafone</w:t>
      </w:r>
      <w:r w:rsidRPr="0039046B">
        <w:rPr>
          <w:rFonts w:asciiTheme="minorHAnsi" w:hAnsiTheme="minorHAnsi" w:cs="Calibri"/>
          <w:color w:val="000000" w:themeColor="text1"/>
          <w:sz w:val="24"/>
          <w:szCs w:val="24"/>
          <w:lang w:val="en-US"/>
        </w:rPr>
        <w:t>.</w:t>
      </w:r>
    </w:p>
    <w:p w14:paraId="78888B46" w14:textId="6937931A"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Miles, I., Kastrinos, N., Bilderbeek, R., and</w:t>
      </w:r>
      <w:r w:rsidR="005F6079" w:rsidRPr="0039046B">
        <w:rPr>
          <w:rFonts w:asciiTheme="minorHAnsi" w:hAnsiTheme="minorHAnsi" w:cs="Calibri"/>
          <w:color w:val="000000" w:themeColor="text1"/>
          <w:sz w:val="24"/>
          <w:szCs w:val="24"/>
          <w:lang w:val="en-US"/>
        </w:rPr>
        <w:t xml:space="preserve"> Den Hertog, P. (1995), “</w:t>
      </w:r>
      <w:r w:rsidRPr="0039046B">
        <w:rPr>
          <w:rFonts w:asciiTheme="minorHAnsi" w:hAnsiTheme="minorHAnsi" w:cs="Calibri"/>
          <w:color w:val="000000" w:themeColor="text1"/>
          <w:sz w:val="24"/>
          <w:szCs w:val="24"/>
          <w:lang w:val="en-US"/>
        </w:rPr>
        <w:t>KIBS: their role as users, carriers and sources of innovation</w:t>
      </w:r>
      <w:r w:rsidR="005F6079" w:rsidRPr="0039046B">
        <w:rPr>
          <w:rFonts w:asciiTheme="minorHAnsi" w:hAnsiTheme="minorHAnsi" w:cs="Calibri"/>
          <w:color w:val="000000" w:themeColor="text1"/>
          <w:sz w:val="24"/>
          <w:szCs w:val="24"/>
          <w:lang w:val="en-US"/>
        </w:rPr>
        <w:t xml:space="preserve">”, </w:t>
      </w:r>
      <w:r w:rsidRPr="0039046B">
        <w:rPr>
          <w:rFonts w:asciiTheme="minorHAnsi" w:hAnsiTheme="minorHAnsi" w:cs="Calibri"/>
          <w:i/>
          <w:color w:val="000000" w:themeColor="text1"/>
          <w:sz w:val="24"/>
          <w:szCs w:val="24"/>
          <w:lang w:val="en-US"/>
        </w:rPr>
        <w:t>Report to the EC DG XIII Sprint EIMS Programme</w:t>
      </w:r>
      <w:r w:rsidRPr="0039046B">
        <w:rPr>
          <w:rFonts w:asciiTheme="minorHAnsi" w:hAnsiTheme="minorHAnsi" w:cs="Calibri"/>
          <w:color w:val="000000" w:themeColor="text1"/>
          <w:sz w:val="24"/>
          <w:szCs w:val="24"/>
          <w:lang w:val="en-US"/>
        </w:rPr>
        <w:t>, Luxemburg.</w:t>
      </w:r>
    </w:p>
    <w:p w14:paraId="2953F5AA"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Mouritsen, J. (2009), “Classification, measurement and the ontology of intellectual capital entities”, </w:t>
      </w:r>
      <w:r w:rsidRPr="0039046B">
        <w:rPr>
          <w:rFonts w:asciiTheme="minorHAnsi" w:hAnsiTheme="minorHAnsi" w:cs="Calibri"/>
          <w:i/>
          <w:iCs/>
          <w:color w:val="000000" w:themeColor="text1"/>
          <w:sz w:val="24"/>
          <w:szCs w:val="24"/>
          <w:lang w:val="en-US"/>
        </w:rPr>
        <w:t>Journal of human resource costing &amp; accounting</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13 No. </w:t>
      </w:r>
      <w:r w:rsidRPr="0039046B">
        <w:rPr>
          <w:rFonts w:asciiTheme="minorHAnsi" w:hAnsiTheme="minorHAnsi" w:cs="Calibri"/>
          <w:color w:val="000000" w:themeColor="text1"/>
          <w:sz w:val="24"/>
          <w:szCs w:val="24"/>
          <w:lang w:val="en-US"/>
        </w:rPr>
        <w:t>2, pp. 154-162.</w:t>
      </w:r>
    </w:p>
    <w:p w14:paraId="150450B4"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Morariu Maria, C. (2014), “Intellectual capital performance in the case of Romanian public companies”.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15 No. 3, pp. 392-410.</w:t>
      </w:r>
    </w:p>
    <w:p w14:paraId="6198C9FA"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Nahapiet, J. and Ghoshal, S. (1998), “Social capital, intellectual capital, and the organizational advantage”, </w:t>
      </w:r>
      <w:r w:rsidRPr="0039046B">
        <w:rPr>
          <w:rFonts w:asciiTheme="minorHAnsi" w:hAnsiTheme="minorHAnsi" w:cs="Calibri"/>
          <w:i/>
          <w:iCs/>
          <w:color w:val="000000" w:themeColor="text1"/>
          <w:sz w:val="24"/>
          <w:szCs w:val="24"/>
          <w:lang w:val="en-US"/>
        </w:rPr>
        <w:t>Academy of management review</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23 No. </w:t>
      </w:r>
      <w:r w:rsidRPr="0039046B">
        <w:rPr>
          <w:rFonts w:asciiTheme="minorHAnsi" w:hAnsiTheme="minorHAnsi" w:cs="Calibri"/>
          <w:color w:val="000000" w:themeColor="text1"/>
          <w:sz w:val="24"/>
          <w:szCs w:val="24"/>
          <w:lang w:val="en-US"/>
        </w:rPr>
        <w:t>2, pp. 242-266.</w:t>
      </w:r>
    </w:p>
    <w:p w14:paraId="3D896BB0" w14:textId="0628A6E2"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Nash, H. (1998), “Accounting for the future: a disciplined approach to value-added accounting”, Oxford University Press, pp. 19-47. Available via </w:t>
      </w:r>
      <w:hyperlink r:id="rId9" w:history="1">
        <w:r w:rsidRPr="0039046B">
          <w:rPr>
            <w:rFonts w:asciiTheme="minorHAnsi" w:hAnsiTheme="minorHAnsi"/>
            <w:color w:val="000000" w:themeColor="text1"/>
            <w:sz w:val="24"/>
            <w:szCs w:val="24"/>
            <w:lang w:val="en-US"/>
          </w:rPr>
          <w:t>http://sprintmail.com</w:t>
        </w:r>
      </w:hyperlink>
      <w:r w:rsidR="00640003" w:rsidRPr="0039046B">
        <w:rPr>
          <w:rFonts w:asciiTheme="minorHAnsi" w:hAnsiTheme="minorHAnsi"/>
          <w:color w:val="000000" w:themeColor="text1"/>
          <w:sz w:val="24"/>
          <w:szCs w:val="24"/>
          <w:lang w:val="en-US"/>
        </w:rPr>
        <w:t xml:space="preserve"> </w:t>
      </w:r>
    </w:p>
    <w:p w14:paraId="5BF5200B"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lastRenderedPageBreak/>
        <w:t xml:space="preserve">Nicholson, G.J. and Kiel, G C. (2004), “A framework for diagnosing board effectiveness”, </w:t>
      </w:r>
      <w:r w:rsidRPr="0039046B">
        <w:rPr>
          <w:rFonts w:asciiTheme="minorHAnsi" w:hAnsiTheme="minorHAnsi" w:cs="Calibri"/>
          <w:i/>
          <w:color w:val="000000" w:themeColor="text1"/>
          <w:sz w:val="24"/>
          <w:szCs w:val="24"/>
          <w:lang w:val="en-US"/>
        </w:rPr>
        <w:t>Corporate Governance: An International Review</w:t>
      </w:r>
      <w:r w:rsidRPr="0039046B">
        <w:rPr>
          <w:rFonts w:asciiTheme="minorHAnsi" w:hAnsiTheme="minorHAnsi" w:cs="Calibri"/>
          <w:color w:val="000000" w:themeColor="text1"/>
          <w:sz w:val="24"/>
          <w:szCs w:val="24"/>
          <w:lang w:val="en-US"/>
        </w:rPr>
        <w:t>, Vol. 12 No. 4, pp. 442–460</w:t>
      </w:r>
    </w:p>
    <w:p w14:paraId="65DB2F6B"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Nurunnabi, M., Hossain, M., &amp; Hossain, M. (2011), “Intellectual capital reporting in a South Asian country: evidence from Bangladesh”, </w:t>
      </w:r>
      <w:r w:rsidRPr="0039046B">
        <w:rPr>
          <w:rFonts w:asciiTheme="minorHAnsi" w:hAnsiTheme="minorHAnsi" w:cs="Calibri"/>
          <w:i/>
          <w:color w:val="000000" w:themeColor="text1"/>
          <w:sz w:val="24"/>
          <w:szCs w:val="24"/>
          <w:lang w:val="en-US"/>
        </w:rPr>
        <w:t>Journal of Human Resource Costing &amp; Accounting</w:t>
      </w:r>
      <w:r w:rsidRPr="0039046B">
        <w:rPr>
          <w:rFonts w:asciiTheme="minorHAnsi" w:hAnsiTheme="minorHAnsi" w:cs="Calibri"/>
          <w:color w:val="000000" w:themeColor="text1"/>
          <w:sz w:val="24"/>
          <w:szCs w:val="24"/>
          <w:lang w:val="en-US"/>
        </w:rPr>
        <w:t>, Vol. 15 No.3, pp. 196-233.</w:t>
      </w:r>
    </w:p>
    <w:p w14:paraId="24B70B84"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Oliveira, L., Rodrigues, L.L. and Craig, R. (2006), “Firm</w:t>
      </w:r>
      <w:r w:rsidRPr="0039046B">
        <w:rPr>
          <w:rFonts w:asciiTheme="minorHAnsi" w:hAnsiTheme="minorHAnsi" w:cs="Cambria Math"/>
          <w:color w:val="000000" w:themeColor="text1"/>
          <w:sz w:val="24"/>
          <w:szCs w:val="24"/>
          <w:lang w:val="en-US"/>
        </w:rPr>
        <w:t>‐</w:t>
      </w:r>
      <w:r w:rsidRPr="0039046B">
        <w:rPr>
          <w:rFonts w:asciiTheme="minorHAnsi" w:hAnsiTheme="minorHAnsi" w:cs="Calibri"/>
          <w:color w:val="000000" w:themeColor="text1"/>
          <w:sz w:val="24"/>
          <w:szCs w:val="24"/>
          <w:lang w:val="en-US"/>
        </w:rPr>
        <w:t xml:space="preserve">specific determinants of intangibles reporting: evidence from the Portuguese stock market”, </w:t>
      </w:r>
      <w:r w:rsidRPr="0039046B">
        <w:rPr>
          <w:rFonts w:asciiTheme="minorHAnsi" w:hAnsiTheme="minorHAnsi" w:cs="Calibri"/>
          <w:i/>
          <w:color w:val="000000" w:themeColor="text1"/>
          <w:sz w:val="24"/>
          <w:szCs w:val="24"/>
          <w:lang w:val="en-US"/>
        </w:rPr>
        <w:t>Journal of Human Resource Costing &amp; Accounting</w:t>
      </w:r>
      <w:r w:rsidRPr="0039046B">
        <w:rPr>
          <w:rFonts w:asciiTheme="minorHAnsi" w:hAnsiTheme="minorHAnsi" w:cs="Calibri"/>
          <w:color w:val="000000" w:themeColor="text1"/>
          <w:sz w:val="24"/>
          <w:szCs w:val="24"/>
          <w:lang w:val="en-US"/>
        </w:rPr>
        <w:t>, Vol. 10 No. 1, pp.11- 33.</w:t>
      </w:r>
    </w:p>
    <w:p w14:paraId="1D419328"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Oliveras, E., Gowthorpe, C., Kasperskaya, Y. and Perramon, J. (2008), “Reporting intellectual capital in Spain”, </w:t>
      </w:r>
      <w:r w:rsidRPr="0039046B">
        <w:rPr>
          <w:rFonts w:asciiTheme="minorHAnsi" w:hAnsiTheme="minorHAnsi" w:cs="Calibri"/>
          <w:i/>
          <w:color w:val="000000" w:themeColor="text1"/>
          <w:sz w:val="24"/>
          <w:szCs w:val="24"/>
          <w:lang w:val="en-US"/>
        </w:rPr>
        <w:t>Corporate Communications: An International Journal</w:t>
      </w:r>
      <w:r w:rsidRPr="0039046B">
        <w:rPr>
          <w:rFonts w:asciiTheme="minorHAnsi" w:hAnsiTheme="minorHAnsi" w:cs="Calibri"/>
          <w:color w:val="000000" w:themeColor="text1"/>
          <w:sz w:val="24"/>
          <w:szCs w:val="24"/>
          <w:lang w:val="en-US"/>
        </w:rPr>
        <w:t>, Vol. 13 No. 2, pp. 168-181.</w:t>
      </w:r>
    </w:p>
    <w:p w14:paraId="77B734F4" w14:textId="375671D4"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Omotayo, F.O. (2015), “Knowledge Management as an important tool in Organisational Management: A Review of Literature”, </w:t>
      </w:r>
      <w:r w:rsidRPr="0039046B">
        <w:rPr>
          <w:rFonts w:asciiTheme="minorHAnsi" w:hAnsiTheme="minorHAnsi" w:cs="Calibri"/>
          <w:i/>
          <w:color w:val="000000" w:themeColor="text1"/>
          <w:sz w:val="24"/>
          <w:szCs w:val="24"/>
          <w:lang w:val="en-US"/>
        </w:rPr>
        <w:t>Library Philosophy and Practice</w:t>
      </w:r>
      <w:r w:rsidR="005F6079" w:rsidRPr="0039046B">
        <w:rPr>
          <w:rFonts w:asciiTheme="minorHAnsi" w:hAnsiTheme="minorHAnsi" w:cs="Calibri"/>
          <w:color w:val="000000" w:themeColor="text1"/>
          <w:sz w:val="24"/>
          <w:szCs w:val="24"/>
          <w:lang w:val="en-US"/>
        </w:rPr>
        <w:t xml:space="preserve"> (e-journal). Paper 1238.</w:t>
      </w:r>
    </w:p>
    <w:p w14:paraId="4A776329"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Ordóñez de Pablos, P. (2003), “Intellectual capital reporting in Spain: a comparative view”,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4 No. 1, pp. 61-81.</w:t>
      </w:r>
    </w:p>
    <w:p w14:paraId="6123F2BC"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Pantzalis, C. and Park, J. C. (2009), “Equity market valuation of human capital and stock returns”, </w:t>
      </w:r>
      <w:r w:rsidRPr="0039046B">
        <w:rPr>
          <w:rFonts w:asciiTheme="minorHAnsi" w:hAnsiTheme="minorHAnsi" w:cs="Calibri"/>
          <w:i/>
          <w:iCs/>
          <w:color w:val="000000" w:themeColor="text1"/>
          <w:sz w:val="24"/>
          <w:szCs w:val="24"/>
          <w:lang w:val="en-US"/>
        </w:rPr>
        <w:t>Journal of Banking &amp; Finance</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33 No. </w:t>
      </w:r>
      <w:r w:rsidRPr="0039046B">
        <w:rPr>
          <w:rFonts w:asciiTheme="minorHAnsi" w:hAnsiTheme="minorHAnsi" w:cs="Calibri"/>
          <w:color w:val="000000" w:themeColor="text1"/>
          <w:sz w:val="24"/>
          <w:szCs w:val="24"/>
          <w:lang w:val="en-US"/>
        </w:rPr>
        <w:t>9, pp. 1610-1623.</w:t>
      </w:r>
    </w:p>
    <w:p w14:paraId="3B240424"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Pástor, L., and Pietro, V. (2003), “Stock valuation and learning about profitability”, </w:t>
      </w:r>
      <w:r w:rsidRPr="0039046B">
        <w:rPr>
          <w:rFonts w:asciiTheme="minorHAnsi" w:hAnsiTheme="minorHAnsi" w:cs="Calibri"/>
          <w:i/>
          <w:color w:val="000000" w:themeColor="text1"/>
          <w:sz w:val="24"/>
          <w:szCs w:val="24"/>
          <w:lang w:val="en-US"/>
        </w:rPr>
        <w:t>The Journal of Finance</w:t>
      </w:r>
      <w:r w:rsidRPr="0039046B">
        <w:rPr>
          <w:rFonts w:asciiTheme="minorHAnsi" w:hAnsiTheme="minorHAnsi" w:cs="Calibri"/>
          <w:color w:val="000000" w:themeColor="text1"/>
          <w:sz w:val="24"/>
          <w:szCs w:val="24"/>
          <w:lang w:val="en-US"/>
        </w:rPr>
        <w:t>, Vol. 58 No. 5, pp. 1749-1790.</w:t>
      </w:r>
    </w:p>
    <w:p w14:paraId="6FBFBDDB"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Penman, S.H. (2009), “Accounting for intangible assets: There is also an income statement”, </w:t>
      </w:r>
      <w:r w:rsidRPr="0039046B">
        <w:rPr>
          <w:rFonts w:asciiTheme="minorHAnsi" w:hAnsiTheme="minorHAnsi" w:cs="Calibri"/>
          <w:i/>
          <w:iCs/>
          <w:color w:val="000000" w:themeColor="text1"/>
          <w:sz w:val="24"/>
          <w:szCs w:val="24"/>
          <w:lang w:val="en-US"/>
        </w:rPr>
        <w:t>Abacus</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45 No. </w:t>
      </w:r>
      <w:r w:rsidRPr="0039046B">
        <w:rPr>
          <w:rFonts w:asciiTheme="minorHAnsi" w:hAnsiTheme="minorHAnsi" w:cs="Calibri"/>
          <w:color w:val="000000" w:themeColor="text1"/>
          <w:sz w:val="24"/>
          <w:szCs w:val="24"/>
          <w:lang w:val="en-US"/>
        </w:rPr>
        <w:t>3, pp. 358-371.</w:t>
      </w:r>
    </w:p>
    <w:p w14:paraId="12ECEA6D"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Pucci, T., Simoni, C., and Zanni, L. (2015), “Measuring the relationship between marketing assets, intellectual capital and firm performance”, </w:t>
      </w:r>
      <w:r w:rsidRPr="0039046B">
        <w:rPr>
          <w:rFonts w:asciiTheme="minorHAnsi" w:hAnsiTheme="minorHAnsi" w:cs="Calibri"/>
          <w:i/>
          <w:color w:val="000000" w:themeColor="text1"/>
          <w:sz w:val="24"/>
          <w:szCs w:val="24"/>
          <w:lang w:val="en-US"/>
        </w:rPr>
        <w:t>Journal of Management &amp; Governance</w:t>
      </w:r>
      <w:r w:rsidRPr="0039046B">
        <w:rPr>
          <w:rFonts w:asciiTheme="minorHAnsi" w:hAnsiTheme="minorHAnsi" w:cs="Calibri"/>
          <w:color w:val="000000" w:themeColor="text1"/>
          <w:sz w:val="24"/>
          <w:szCs w:val="24"/>
          <w:lang w:val="en-US"/>
        </w:rPr>
        <w:t>, Vol. 19 No. 3, pp. 589-616.</w:t>
      </w:r>
    </w:p>
    <w:p w14:paraId="25EA0FCC"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Roos, G., and Roos, J. (1997), “Measuring your company’s intellectual performance”, </w:t>
      </w:r>
      <w:r w:rsidRPr="0039046B">
        <w:rPr>
          <w:rFonts w:asciiTheme="minorHAnsi" w:hAnsiTheme="minorHAnsi" w:cs="Calibri"/>
          <w:i/>
          <w:color w:val="000000" w:themeColor="text1"/>
          <w:sz w:val="24"/>
          <w:szCs w:val="24"/>
          <w:lang w:val="en-US"/>
        </w:rPr>
        <w:t>Long Range Planning</w:t>
      </w:r>
      <w:r w:rsidRPr="0039046B">
        <w:rPr>
          <w:rFonts w:asciiTheme="minorHAnsi" w:hAnsiTheme="minorHAnsi" w:cs="Calibri"/>
          <w:color w:val="000000" w:themeColor="text1"/>
          <w:sz w:val="24"/>
          <w:szCs w:val="24"/>
          <w:lang w:val="en-US"/>
        </w:rPr>
        <w:t>, Vol. 30 No. 3, pp. 413-426.</w:t>
      </w:r>
    </w:p>
    <w:p w14:paraId="1F6CC16E"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Pulic, A. (1998), Measuring the performance of intellectual potential in knowledge economy. In </w:t>
      </w:r>
      <w:r w:rsidRPr="0039046B">
        <w:rPr>
          <w:rFonts w:asciiTheme="minorHAnsi" w:hAnsiTheme="minorHAnsi" w:cs="Calibri"/>
          <w:i/>
          <w:iCs/>
          <w:color w:val="000000" w:themeColor="text1"/>
          <w:sz w:val="24"/>
          <w:szCs w:val="24"/>
          <w:lang w:val="en-US"/>
        </w:rPr>
        <w:t>2nd McMaster Word Congress on Measuring and Managing Intellectual Capital by the Austrian Team for Intellectual Potential</w:t>
      </w:r>
      <w:r w:rsidRPr="0039046B">
        <w:rPr>
          <w:rFonts w:asciiTheme="minorHAnsi" w:hAnsiTheme="minorHAnsi" w:cs="Calibri"/>
          <w:color w:val="000000" w:themeColor="text1"/>
          <w:sz w:val="24"/>
          <w:szCs w:val="24"/>
          <w:lang w:val="en-US"/>
        </w:rPr>
        <w:t>.</w:t>
      </w:r>
    </w:p>
    <w:p w14:paraId="2A4554E8"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Reed, K.K., Lubatkin, M. and Srinivasan, N. (2006), “Proposing and testing an intellectual capital</w:t>
      </w:r>
      <w:r w:rsidRPr="0039046B">
        <w:rPr>
          <w:rFonts w:asciiTheme="minorHAnsi" w:hAnsiTheme="minorHAnsi" w:cs="Cambria Math"/>
          <w:color w:val="000000" w:themeColor="text1"/>
          <w:sz w:val="24"/>
          <w:szCs w:val="24"/>
          <w:lang w:val="en-US"/>
        </w:rPr>
        <w:t>‐</w:t>
      </w:r>
      <w:r w:rsidRPr="0039046B">
        <w:rPr>
          <w:rFonts w:asciiTheme="minorHAnsi" w:hAnsiTheme="minorHAnsi" w:cs="Calibri"/>
          <w:color w:val="000000" w:themeColor="text1"/>
          <w:sz w:val="24"/>
          <w:szCs w:val="24"/>
          <w:lang w:val="en-US"/>
        </w:rPr>
        <w:t>based view of the firm</w:t>
      </w:r>
      <w:r w:rsidRPr="0039046B">
        <w:rPr>
          <w:rFonts w:asciiTheme="minorHAnsi" w:hAnsiTheme="minorHAnsi"/>
          <w:color w:val="000000" w:themeColor="text1"/>
          <w:sz w:val="24"/>
          <w:szCs w:val="24"/>
          <w:lang w:val="en-US"/>
        </w:rPr>
        <w:t>”</w:t>
      </w:r>
      <w:r w:rsidRPr="0039046B">
        <w:rPr>
          <w:rFonts w:asciiTheme="minorHAnsi" w:hAnsiTheme="minorHAnsi" w:cs="Calibri"/>
          <w:color w:val="000000" w:themeColor="text1"/>
          <w:sz w:val="24"/>
          <w:szCs w:val="24"/>
          <w:lang w:val="en-US"/>
        </w:rPr>
        <w:t xml:space="preserve">, </w:t>
      </w:r>
      <w:r w:rsidRPr="0039046B">
        <w:rPr>
          <w:rFonts w:asciiTheme="minorHAnsi" w:hAnsiTheme="minorHAnsi" w:cs="Calibri"/>
          <w:i/>
          <w:iCs/>
          <w:color w:val="000000" w:themeColor="text1"/>
          <w:sz w:val="24"/>
          <w:szCs w:val="24"/>
          <w:lang w:val="en-US"/>
        </w:rPr>
        <w:t>Journal of Management Studies</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43 No. </w:t>
      </w:r>
      <w:r w:rsidRPr="0039046B">
        <w:rPr>
          <w:rFonts w:asciiTheme="minorHAnsi" w:hAnsiTheme="minorHAnsi" w:cs="Calibri"/>
          <w:color w:val="000000" w:themeColor="text1"/>
          <w:sz w:val="24"/>
          <w:szCs w:val="24"/>
          <w:lang w:val="en-US"/>
        </w:rPr>
        <w:t>4, pp. 867-893.</w:t>
      </w:r>
    </w:p>
    <w:p w14:paraId="40D707BF"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lastRenderedPageBreak/>
        <w:t xml:space="preserve">Ruta, C. D. (2009), “HR portal alignment for the creation and development of intellectual capital”, </w:t>
      </w:r>
      <w:r w:rsidRPr="0039046B">
        <w:rPr>
          <w:rFonts w:asciiTheme="minorHAnsi" w:hAnsiTheme="minorHAnsi" w:cs="Calibri"/>
          <w:i/>
          <w:iCs/>
          <w:color w:val="000000" w:themeColor="text1"/>
          <w:sz w:val="24"/>
          <w:szCs w:val="24"/>
          <w:lang w:val="en-US"/>
        </w:rPr>
        <w:t>The International Journal of Human Resource Management</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20 No. </w:t>
      </w:r>
      <w:r w:rsidRPr="0039046B">
        <w:rPr>
          <w:rFonts w:asciiTheme="minorHAnsi" w:hAnsiTheme="minorHAnsi" w:cs="Calibri"/>
          <w:color w:val="000000" w:themeColor="text1"/>
          <w:sz w:val="24"/>
          <w:szCs w:val="24"/>
          <w:lang w:val="en-US"/>
        </w:rPr>
        <w:t>3, pp. 562-577.</w:t>
      </w:r>
    </w:p>
    <w:p w14:paraId="1450FE76"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Saleh, N.M., Ridhuan, M. and Mohamat, S.H. (2009), “Ownership structure and intellectual capital performance in Malaysia”, </w:t>
      </w:r>
      <w:r w:rsidRPr="0039046B">
        <w:rPr>
          <w:rFonts w:asciiTheme="minorHAnsi" w:hAnsiTheme="minorHAnsi" w:cs="Calibri"/>
          <w:i/>
          <w:color w:val="000000" w:themeColor="text1"/>
          <w:sz w:val="24"/>
          <w:szCs w:val="24"/>
          <w:lang w:val="en-US"/>
        </w:rPr>
        <w:t>Asian Academy of Management Journal of Accounting and Finance</w:t>
      </w:r>
      <w:r w:rsidRPr="0039046B">
        <w:rPr>
          <w:rFonts w:asciiTheme="minorHAnsi" w:hAnsiTheme="minorHAnsi" w:cs="Calibri"/>
          <w:color w:val="000000" w:themeColor="text1"/>
          <w:sz w:val="24"/>
          <w:szCs w:val="24"/>
          <w:lang w:val="en-US"/>
        </w:rPr>
        <w:t>, Vol. 5, No. 1, pp. 1-29.</w:t>
      </w:r>
    </w:p>
    <w:p w14:paraId="023EA0B4"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Schiemann, F., Richter, K., and Günther, T. (2015), “The relationship between recognised intangible assets and voluntary intellectual capital disclosure”, </w:t>
      </w:r>
      <w:r w:rsidRPr="0039046B">
        <w:rPr>
          <w:rFonts w:asciiTheme="minorHAnsi" w:hAnsiTheme="minorHAnsi" w:cs="Calibri"/>
          <w:i/>
          <w:color w:val="000000" w:themeColor="text1"/>
          <w:sz w:val="24"/>
          <w:szCs w:val="24"/>
          <w:lang w:val="en-US"/>
        </w:rPr>
        <w:t>Journal of Applied Accounting Research</w:t>
      </w:r>
      <w:r w:rsidRPr="0039046B">
        <w:rPr>
          <w:rFonts w:asciiTheme="minorHAnsi" w:hAnsiTheme="minorHAnsi" w:cs="Calibri"/>
          <w:color w:val="000000" w:themeColor="text1"/>
          <w:sz w:val="24"/>
          <w:szCs w:val="24"/>
          <w:lang w:val="en-US"/>
        </w:rPr>
        <w:t>, Vol. 16 No.2, pp. 240-264.</w:t>
      </w:r>
    </w:p>
    <w:p w14:paraId="37A7D6D5"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Schnabl, E., and Zenker, A. (2013). Statistical classification of knowledge-intensive business services (KIBS) with NACE Rev. 2. Fraunhofer ISI.</w:t>
      </w:r>
    </w:p>
    <w:p w14:paraId="3CE9811F"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Siboni, B., Nardo, M.T. and Sangiorgi, D. (2013), “Italian state university contemporary performance plans: an intellectual capital focus?”,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14 No. 3, pp. 414-430.</w:t>
      </w:r>
    </w:p>
    <w:p w14:paraId="650B67A3"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Sonnier, B.M., Carson, K. D. and Carson, P. P. (2009), “An examination of the impact of firm size and age on managerial disclosure of intellectual capital by high-tech companies”, </w:t>
      </w:r>
      <w:r w:rsidRPr="0039046B">
        <w:rPr>
          <w:rFonts w:asciiTheme="minorHAnsi" w:hAnsiTheme="minorHAnsi" w:cs="Calibri"/>
          <w:i/>
          <w:color w:val="000000" w:themeColor="text1"/>
          <w:sz w:val="24"/>
          <w:szCs w:val="24"/>
          <w:lang w:val="en-US"/>
        </w:rPr>
        <w:t>Journal of Business Strategies</w:t>
      </w:r>
      <w:r w:rsidRPr="0039046B">
        <w:rPr>
          <w:rFonts w:asciiTheme="minorHAnsi" w:hAnsiTheme="minorHAnsi" w:cs="Calibri"/>
          <w:color w:val="000000" w:themeColor="text1"/>
          <w:sz w:val="24"/>
          <w:szCs w:val="24"/>
          <w:lang w:val="en-US"/>
        </w:rPr>
        <w:t>, Vol. 26 No. 2, 1C.</w:t>
      </w:r>
    </w:p>
    <w:p w14:paraId="0193CF35"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Stewart, T. (1997), </w:t>
      </w:r>
      <w:r w:rsidRPr="0039046B">
        <w:rPr>
          <w:rFonts w:asciiTheme="minorHAnsi" w:hAnsiTheme="minorHAnsi" w:cs="Calibri"/>
          <w:i/>
          <w:color w:val="000000" w:themeColor="text1"/>
          <w:sz w:val="24"/>
          <w:szCs w:val="24"/>
          <w:lang w:val="en-US"/>
        </w:rPr>
        <w:t>Intellectual Capital: The New Wealth of Nations</w:t>
      </w:r>
      <w:r w:rsidRPr="0039046B">
        <w:rPr>
          <w:rFonts w:asciiTheme="minorHAnsi" w:hAnsiTheme="minorHAnsi" w:cs="Calibri"/>
          <w:color w:val="000000" w:themeColor="text1"/>
          <w:sz w:val="24"/>
          <w:szCs w:val="24"/>
          <w:lang w:val="en-US"/>
        </w:rPr>
        <w:t>, Doubleday Dell Publishing Group, New York, NY.</w:t>
      </w:r>
    </w:p>
    <w:p w14:paraId="1E80C274"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Sullivan, P.H. (2000), </w:t>
      </w:r>
      <w:r w:rsidRPr="0039046B">
        <w:rPr>
          <w:rFonts w:asciiTheme="minorHAnsi" w:hAnsiTheme="minorHAnsi" w:cs="Calibri"/>
          <w:i/>
          <w:color w:val="000000" w:themeColor="text1"/>
          <w:sz w:val="24"/>
          <w:szCs w:val="24"/>
          <w:lang w:val="en-US"/>
        </w:rPr>
        <w:t>Value-driven Intellectual Capital: How to Convert Intangible Corporate Assets into Market Value</w:t>
      </w:r>
      <w:r w:rsidRPr="0039046B">
        <w:rPr>
          <w:rFonts w:asciiTheme="minorHAnsi" w:hAnsiTheme="minorHAnsi" w:cs="Calibri"/>
          <w:color w:val="000000" w:themeColor="text1"/>
          <w:sz w:val="24"/>
          <w:szCs w:val="24"/>
          <w:lang w:val="en-US"/>
        </w:rPr>
        <w:t>, John Wiley &amp; Sons, Toronto.</w:t>
      </w:r>
    </w:p>
    <w:p w14:paraId="65BDDA82" w14:textId="42805F22" w:rsidR="00F17224" w:rsidRDefault="00F17224" w:rsidP="00F17224">
      <w:pPr>
        <w:spacing w:after="0" w:line="360" w:lineRule="auto"/>
        <w:ind w:left="709" w:hanging="709"/>
        <w:jc w:val="both"/>
        <w:rPr>
          <w:rFonts w:asciiTheme="minorHAnsi" w:hAnsiTheme="minorHAnsi" w:cs="Calibri"/>
          <w:color w:val="000000" w:themeColor="text1"/>
          <w:sz w:val="24"/>
          <w:szCs w:val="24"/>
          <w:lang w:val="en-US"/>
        </w:rPr>
      </w:pPr>
      <w:r w:rsidRPr="00F17224">
        <w:rPr>
          <w:rFonts w:asciiTheme="minorHAnsi" w:hAnsiTheme="minorHAnsi" w:cs="Calibri"/>
          <w:color w:val="000000" w:themeColor="text1"/>
          <w:sz w:val="24"/>
          <w:szCs w:val="24"/>
          <w:lang w:val="en-US"/>
        </w:rPr>
        <w:t>Sveiby, K.E. (1997</w:t>
      </w:r>
      <w:r>
        <w:rPr>
          <w:rFonts w:asciiTheme="minorHAnsi" w:hAnsiTheme="minorHAnsi" w:cs="Calibri"/>
          <w:color w:val="000000" w:themeColor="text1"/>
          <w:sz w:val="24"/>
          <w:szCs w:val="24"/>
          <w:lang w:val="en-US"/>
        </w:rPr>
        <w:t>a</w:t>
      </w:r>
      <w:r w:rsidRPr="00F17224">
        <w:rPr>
          <w:rFonts w:asciiTheme="minorHAnsi" w:hAnsiTheme="minorHAnsi" w:cs="Calibri"/>
          <w:color w:val="000000" w:themeColor="text1"/>
          <w:sz w:val="24"/>
          <w:szCs w:val="24"/>
          <w:lang w:val="en-US"/>
        </w:rPr>
        <w:t xml:space="preserve">), </w:t>
      </w:r>
      <w:r w:rsidRPr="00F17224">
        <w:rPr>
          <w:rFonts w:asciiTheme="minorHAnsi" w:hAnsiTheme="minorHAnsi" w:cs="Calibri"/>
          <w:i/>
          <w:color w:val="000000" w:themeColor="text1"/>
          <w:sz w:val="24"/>
          <w:szCs w:val="24"/>
          <w:lang w:val="en-US"/>
        </w:rPr>
        <w:t>The New Organizational Wealth: Managing &amp; Measuring Knowledge-Based Assets</w:t>
      </w:r>
      <w:r w:rsidRPr="00F17224">
        <w:rPr>
          <w:rFonts w:asciiTheme="minorHAnsi" w:hAnsiTheme="minorHAnsi" w:cs="Calibri"/>
          <w:color w:val="000000" w:themeColor="text1"/>
          <w:sz w:val="24"/>
          <w:szCs w:val="24"/>
          <w:lang w:val="en-US"/>
        </w:rPr>
        <w:t>, Berrett-Koehler Publishers, San Francisco, CA.</w:t>
      </w:r>
    </w:p>
    <w:p w14:paraId="2DAA9041" w14:textId="3F748E1C" w:rsidR="006503AA" w:rsidRPr="0039046B" w:rsidRDefault="006503AA" w:rsidP="00F17224">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Sveiby, K.E. (1997b), “The intangible assets monitor”, </w:t>
      </w:r>
      <w:r w:rsidRPr="0039046B">
        <w:rPr>
          <w:rFonts w:asciiTheme="minorHAnsi" w:hAnsiTheme="minorHAnsi" w:cs="Calibri"/>
          <w:i/>
          <w:iCs/>
          <w:color w:val="000000" w:themeColor="text1"/>
          <w:sz w:val="24"/>
          <w:szCs w:val="24"/>
          <w:lang w:val="en-US"/>
        </w:rPr>
        <w:t>Journal of Human Resource Costing &amp; Accounting</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2 No. </w:t>
      </w:r>
      <w:r w:rsidRPr="0039046B">
        <w:rPr>
          <w:rFonts w:asciiTheme="minorHAnsi" w:hAnsiTheme="minorHAnsi" w:cs="Calibri"/>
          <w:color w:val="000000" w:themeColor="text1"/>
          <w:sz w:val="24"/>
          <w:szCs w:val="24"/>
          <w:lang w:val="en-US"/>
        </w:rPr>
        <w:t>1, pp. 73-97.</w:t>
      </w:r>
    </w:p>
    <w:p w14:paraId="036CCCDB" w14:textId="1853B3B2"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Taliyang, S.M., Latif, R., and Mustafa, N. H. (2011), “The determinants of intellectual capital disclosure among Malaysian listed companies”, </w:t>
      </w:r>
      <w:r w:rsidRPr="0039046B">
        <w:rPr>
          <w:rFonts w:asciiTheme="minorHAnsi" w:hAnsiTheme="minorHAnsi" w:cs="Calibri"/>
          <w:i/>
          <w:color w:val="000000" w:themeColor="text1"/>
          <w:sz w:val="24"/>
          <w:szCs w:val="24"/>
          <w:lang w:val="en-US"/>
        </w:rPr>
        <w:t>International Journal of Management and Marketing Research</w:t>
      </w:r>
      <w:r w:rsidRPr="0039046B">
        <w:rPr>
          <w:rFonts w:asciiTheme="minorHAnsi" w:hAnsiTheme="minorHAnsi" w:cs="Calibri"/>
          <w:color w:val="000000" w:themeColor="text1"/>
          <w:sz w:val="24"/>
          <w:szCs w:val="24"/>
          <w:lang w:val="en-US"/>
        </w:rPr>
        <w:t>, Vol. 4</w:t>
      </w:r>
      <w:r w:rsidR="00F242E4" w:rsidRPr="0039046B">
        <w:rPr>
          <w:rFonts w:asciiTheme="minorHAnsi" w:hAnsiTheme="minorHAnsi" w:cs="Calibri"/>
          <w:color w:val="000000" w:themeColor="text1"/>
          <w:sz w:val="24"/>
          <w:szCs w:val="24"/>
          <w:lang w:val="en-US"/>
        </w:rPr>
        <w:t xml:space="preserve"> No.</w:t>
      </w:r>
      <w:r w:rsidRPr="0039046B">
        <w:rPr>
          <w:rFonts w:asciiTheme="minorHAnsi" w:hAnsiTheme="minorHAnsi" w:cs="Calibri"/>
          <w:color w:val="000000" w:themeColor="text1"/>
          <w:sz w:val="24"/>
          <w:szCs w:val="24"/>
          <w:lang w:val="en-US"/>
        </w:rPr>
        <w:t xml:space="preserve">3, pp. 25-33. </w:t>
      </w:r>
    </w:p>
    <w:p w14:paraId="7FFBACB8"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Tseng, K.A., Lin, C.I. and Yen, S.W. (2015), "Contingencies of intellectual capitals and financial capital on value creation: Moderation of business cycles",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16 No. 1, pp.156-173.</w:t>
      </w:r>
    </w:p>
    <w:p w14:paraId="751E13C3"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Van der Meer-Kooistra, J. and Zijlstra, S. M. (2001), “Reporting on intellectual capital”, </w:t>
      </w:r>
      <w:r w:rsidRPr="0039046B">
        <w:rPr>
          <w:rFonts w:asciiTheme="minorHAnsi" w:hAnsiTheme="minorHAnsi" w:cs="Calibri"/>
          <w:i/>
          <w:iCs/>
          <w:color w:val="000000" w:themeColor="text1"/>
          <w:sz w:val="24"/>
          <w:szCs w:val="24"/>
          <w:lang w:val="en-US"/>
        </w:rPr>
        <w:t>Accounting, Auditing &amp; Accountability Journal</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14 No. </w:t>
      </w:r>
      <w:r w:rsidRPr="0039046B">
        <w:rPr>
          <w:rFonts w:asciiTheme="minorHAnsi" w:hAnsiTheme="minorHAnsi" w:cs="Calibri"/>
          <w:color w:val="000000" w:themeColor="text1"/>
          <w:sz w:val="24"/>
          <w:szCs w:val="24"/>
          <w:lang w:val="en-US"/>
        </w:rPr>
        <w:t>4, pp. 456-476.</w:t>
      </w:r>
    </w:p>
    <w:p w14:paraId="1DE92909"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lastRenderedPageBreak/>
        <w:t xml:space="preserve">Villalonga, B. (2004), “Intangible resources, Tobin’s q, and sustainability of performance differences”, </w:t>
      </w:r>
      <w:r w:rsidRPr="0039046B">
        <w:rPr>
          <w:rFonts w:asciiTheme="minorHAnsi" w:hAnsiTheme="minorHAnsi" w:cs="Calibri"/>
          <w:i/>
          <w:iCs/>
          <w:color w:val="000000" w:themeColor="text1"/>
          <w:sz w:val="24"/>
          <w:szCs w:val="24"/>
          <w:lang w:val="en-US"/>
        </w:rPr>
        <w:t>Journal of Economic Behavior &amp; Organization</w:t>
      </w:r>
      <w:r w:rsidRPr="0039046B">
        <w:rPr>
          <w:rFonts w:asciiTheme="minorHAnsi" w:hAnsiTheme="minorHAnsi" w:cs="Calibri"/>
          <w:color w:val="000000" w:themeColor="text1"/>
          <w:sz w:val="24"/>
          <w:szCs w:val="24"/>
          <w:lang w:val="en-US"/>
        </w:rPr>
        <w:t xml:space="preserve">, Vol. </w:t>
      </w:r>
      <w:r w:rsidRPr="0039046B">
        <w:rPr>
          <w:rFonts w:asciiTheme="minorHAnsi" w:hAnsiTheme="minorHAnsi" w:cs="Calibri"/>
          <w:iCs/>
          <w:color w:val="000000" w:themeColor="text1"/>
          <w:sz w:val="24"/>
          <w:szCs w:val="24"/>
          <w:lang w:val="en-US"/>
        </w:rPr>
        <w:t xml:space="preserve">54 No. </w:t>
      </w:r>
      <w:r w:rsidRPr="0039046B">
        <w:rPr>
          <w:rFonts w:asciiTheme="minorHAnsi" w:hAnsiTheme="minorHAnsi" w:cs="Calibri"/>
          <w:color w:val="000000" w:themeColor="text1"/>
          <w:sz w:val="24"/>
          <w:szCs w:val="24"/>
          <w:lang w:val="en-US"/>
        </w:rPr>
        <w:t>2, pp. 205-230.</w:t>
      </w:r>
    </w:p>
    <w:p w14:paraId="14D8083A"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Wallace, R., Naser, K. and Mora, A. (1994), “The relationship between the comprehensiveness of corporate annual reports and firm characteristics in Spain”, </w:t>
      </w:r>
      <w:r w:rsidRPr="0039046B">
        <w:rPr>
          <w:rFonts w:asciiTheme="minorHAnsi" w:hAnsiTheme="minorHAnsi" w:cs="Calibri"/>
          <w:i/>
          <w:color w:val="000000" w:themeColor="text1"/>
          <w:sz w:val="24"/>
          <w:szCs w:val="24"/>
          <w:lang w:val="en-US"/>
        </w:rPr>
        <w:t>Accounting &amp; Business Research</w:t>
      </w:r>
      <w:r w:rsidRPr="0039046B">
        <w:rPr>
          <w:rFonts w:asciiTheme="minorHAnsi" w:hAnsiTheme="minorHAnsi" w:cs="Calibri"/>
          <w:color w:val="000000" w:themeColor="text1"/>
          <w:sz w:val="24"/>
          <w:szCs w:val="24"/>
          <w:lang w:val="en-US"/>
        </w:rPr>
        <w:t>, Vol. 25 No. 97, pp. 41-53.</w:t>
      </w:r>
    </w:p>
    <w:p w14:paraId="3EC05743"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White G. (2007), “Drivers of Voluntary Intellectual Capital Disclosure in Listed Biotechnology Companies”,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8(3), pp 517-537.</w:t>
      </w:r>
    </w:p>
    <w:p w14:paraId="73E07609"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Whiting, R.H. and Miller, J.C. (2008), “Voluntary disclosure of intellectual capital in New Zealand annual reports and the “hidden value”</w:t>
      </w:r>
      <w:r w:rsidRPr="0039046B">
        <w:rPr>
          <w:rFonts w:asciiTheme="minorHAnsi" w:hAnsiTheme="minorHAnsi" w:cs="Calibri"/>
          <w:i/>
          <w:color w:val="000000" w:themeColor="text1"/>
          <w:sz w:val="24"/>
          <w:szCs w:val="24"/>
          <w:lang w:val="en-US"/>
        </w:rPr>
        <w:t>. Journal of Human Resource Costing &amp; Accounting</w:t>
      </w:r>
      <w:r w:rsidRPr="0039046B">
        <w:rPr>
          <w:rFonts w:asciiTheme="minorHAnsi" w:hAnsiTheme="minorHAnsi" w:cs="Calibri"/>
          <w:color w:val="000000" w:themeColor="text1"/>
          <w:sz w:val="24"/>
          <w:szCs w:val="24"/>
          <w:lang w:val="en-US"/>
        </w:rPr>
        <w:t>, Vol. 12 No. 1, pp. 26-50.</w:t>
      </w:r>
    </w:p>
    <w:p w14:paraId="051D292A"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WICI – World Intellectual Capital/Assets Initiative, </w:t>
      </w:r>
      <w:r w:rsidRPr="0039046B">
        <w:rPr>
          <w:rFonts w:asciiTheme="minorHAnsi" w:hAnsiTheme="minorHAnsi" w:cs="Calibri"/>
          <w:i/>
          <w:color w:val="000000" w:themeColor="text1"/>
          <w:sz w:val="24"/>
          <w:szCs w:val="24"/>
          <w:lang w:val="en-US"/>
        </w:rPr>
        <w:t>Wici Intangibles Reporting framework</w:t>
      </w:r>
      <w:r w:rsidRPr="0039046B">
        <w:rPr>
          <w:rFonts w:asciiTheme="minorHAnsi" w:hAnsiTheme="minorHAnsi" w:cs="Calibri"/>
          <w:color w:val="000000" w:themeColor="text1"/>
          <w:sz w:val="24"/>
          <w:szCs w:val="24"/>
          <w:lang w:val="en-US"/>
        </w:rPr>
        <w:t>, 2016.</w:t>
      </w:r>
    </w:p>
    <w:p w14:paraId="4AC0E754"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rPr>
      </w:pPr>
      <w:r w:rsidRPr="0039046B">
        <w:rPr>
          <w:rFonts w:asciiTheme="minorHAnsi" w:hAnsiTheme="minorHAnsi" w:cs="Calibri"/>
          <w:color w:val="000000" w:themeColor="text1"/>
          <w:sz w:val="24"/>
          <w:szCs w:val="24"/>
          <w:lang w:val="en-US"/>
        </w:rPr>
        <w:t xml:space="preserve">Youndt, M.A., Subramaniam, M. and Snell, S.A. (2004), “Intellectual Capital Profiles: An Examination of Investments and Returns“. </w:t>
      </w:r>
      <w:r w:rsidRPr="0039046B">
        <w:rPr>
          <w:rFonts w:asciiTheme="minorHAnsi" w:hAnsiTheme="minorHAnsi" w:cs="Calibri"/>
          <w:i/>
          <w:iCs/>
          <w:color w:val="000000" w:themeColor="text1"/>
          <w:sz w:val="24"/>
          <w:szCs w:val="24"/>
        </w:rPr>
        <w:t>Journal of Management Studies</w:t>
      </w:r>
      <w:r w:rsidRPr="0039046B">
        <w:rPr>
          <w:rFonts w:asciiTheme="minorHAnsi" w:hAnsiTheme="minorHAnsi" w:cs="Calibri"/>
          <w:color w:val="000000" w:themeColor="text1"/>
          <w:sz w:val="24"/>
          <w:szCs w:val="24"/>
        </w:rPr>
        <w:t xml:space="preserve">, Vol. </w:t>
      </w:r>
      <w:r w:rsidRPr="0039046B">
        <w:rPr>
          <w:rFonts w:asciiTheme="minorHAnsi" w:hAnsiTheme="minorHAnsi" w:cs="Calibri"/>
          <w:iCs/>
          <w:color w:val="000000" w:themeColor="text1"/>
          <w:sz w:val="24"/>
          <w:szCs w:val="24"/>
        </w:rPr>
        <w:t>41 No.</w:t>
      </w:r>
      <w:r w:rsidRPr="0039046B">
        <w:rPr>
          <w:rFonts w:asciiTheme="minorHAnsi" w:hAnsiTheme="minorHAnsi" w:cs="Calibri"/>
          <w:color w:val="000000" w:themeColor="text1"/>
          <w:sz w:val="24"/>
          <w:szCs w:val="24"/>
        </w:rPr>
        <w:t xml:space="preserve"> 2, pp. 335-361.</w:t>
      </w:r>
    </w:p>
    <w:p w14:paraId="65776EC2"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rPr>
      </w:pPr>
      <w:r w:rsidRPr="0039046B">
        <w:rPr>
          <w:rFonts w:asciiTheme="minorHAnsi" w:hAnsiTheme="minorHAnsi" w:cs="Calibri"/>
          <w:color w:val="000000" w:themeColor="text1"/>
          <w:sz w:val="24"/>
          <w:szCs w:val="24"/>
        </w:rPr>
        <w:t xml:space="preserve">Zanda, G., Lacchini, M. and Oricchio, G. (1993), La valutazione del capitale umano dell’impresa. </w:t>
      </w:r>
      <w:r w:rsidRPr="0039046B">
        <w:rPr>
          <w:rFonts w:asciiTheme="minorHAnsi" w:hAnsiTheme="minorHAnsi" w:cs="Calibri"/>
          <w:i/>
          <w:iCs/>
          <w:color w:val="000000" w:themeColor="text1"/>
          <w:sz w:val="24"/>
          <w:szCs w:val="24"/>
        </w:rPr>
        <w:t>Modelli qualitativi e quantitativi di logica economico-aziendale. Turin: Giappichelli</w:t>
      </w:r>
      <w:r w:rsidRPr="0039046B">
        <w:rPr>
          <w:rFonts w:asciiTheme="minorHAnsi" w:hAnsiTheme="minorHAnsi" w:cs="Calibri"/>
          <w:color w:val="000000" w:themeColor="text1"/>
          <w:sz w:val="24"/>
          <w:szCs w:val="24"/>
        </w:rPr>
        <w:t>.</w:t>
      </w:r>
    </w:p>
    <w:p w14:paraId="31E1023C" w14:textId="77777777" w:rsidR="006503AA" w:rsidRPr="0039046B" w:rsidRDefault="006503AA" w:rsidP="006503AA">
      <w:pPr>
        <w:spacing w:after="0" w:line="360" w:lineRule="auto"/>
        <w:ind w:left="709" w:hanging="709"/>
        <w:jc w:val="both"/>
        <w:rPr>
          <w:rFonts w:asciiTheme="minorHAnsi" w:hAnsiTheme="minorHAnsi" w:cs="Calibri"/>
          <w:color w:val="000000" w:themeColor="text1"/>
          <w:sz w:val="24"/>
          <w:szCs w:val="24"/>
          <w:lang w:val="en-US"/>
        </w:rPr>
      </w:pPr>
      <w:r w:rsidRPr="0039046B">
        <w:rPr>
          <w:rFonts w:asciiTheme="minorHAnsi" w:hAnsiTheme="minorHAnsi" w:cs="Calibri"/>
          <w:color w:val="000000" w:themeColor="text1"/>
          <w:sz w:val="24"/>
          <w:szCs w:val="24"/>
          <w:lang w:val="en-US"/>
        </w:rPr>
        <w:t xml:space="preserve">Yi, A. and Davey, H. (2010), “Intellectual capital disclosure in Chinese (mainland) companies”, </w:t>
      </w:r>
      <w:r w:rsidRPr="0039046B">
        <w:rPr>
          <w:rFonts w:asciiTheme="minorHAnsi" w:hAnsiTheme="minorHAnsi" w:cs="Calibri"/>
          <w:i/>
          <w:color w:val="000000" w:themeColor="text1"/>
          <w:sz w:val="24"/>
          <w:szCs w:val="24"/>
          <w:lang w:val="en-US"/>
        </w:rPr>
        <w:t>Journal of intellectual capital</w:t>
      </w:r>
      <w:r w:rsidRPr="0039046B">
        <w:rPr>
          <w:rFonts w:asciiTheme="minorHAnsi" w:hAnsiTheme="minorHAnsi" w:cs="Calibri"/>
          <w:color w:val="000000" w:themeColor="text1"/>
          <w:sz w:val="24"/>
          <w:szCs w:val="24"/>
          <w:lang w:val="en-US"/>
        </w:rPr>
        <w:t>, Vol. 11 No. 3, pp. 326-347.</w:t>
      </w:r>
    </w:p>
    <w:p w14:paraId="44542BA0" w14:textId="77F6D465" w:rsidR="00EB0BEF" w:rsidRDefault="00EB0BEF">
      <w:pPr>
        <w:spacing w:after="0" w:line="240" w:lineRule="auto"/>
        <w:rPr>
          <w:rFonts w:asciiTheme="minorHAnsi" w:hAnsiTheme="minorHAnsi"/>
          <w:b/>
          <w:color w:val="000000" w:themeColor="text1"/>
          <w:sz w:val="24"/>
          <w:szCs w:val="24"/>
          <w:lang w:val="en-US"/>
        </w:rPr>
      </w:pPr>
      <w:r>
        <w:rPr>
          <w:rFonts w:asciiTheme="minorHAnsi" w:hAnsiTheme="minorHAnsi"/>
          <w:b/>
          <w:color w:val="000000" w:themeColor="text1"/>
          <w:sz w:val="24"/>
          <w:szCs w:val="24"/>
          <w:lang w:val="en-US"/>
        </w:rPr>
        <w:br w:type="page"/>
      </w:r>
    </w:p>
    <w:p w14:paraId="35151B5C" w14:textId="77777777" w:rsidR="00EB0BEF" w:rsidRPr="007F131A" w:rsidRDefault="00EB0BEF" w:rsidP="00EB0BEF">
      <w:pPr>
        <w:spacing w:after="0" w:line="240" w:lineRule="auto"/>
        <w:outlineLvl w:val="0"/>
        <w:rPr>
          <w:rFonts w:asciiTheme="minorHAnsi" w:hAnsiTheme="minorHAnsi"/>
          <w:b/>
          <w:sz w:val="24"/>
          <w:szCs w:val="24"/>
          <w:lang w:val="en-US"/>
        </w:rPr>
      </w:pPr>
      <w:r w:rsidRPr="007F131A">
        <w:rPr>
          <w:rFonts w:asciiTheme="minorHAnsi" w:hAnsiTheme="minorHAnsi"/>
          <w:b/>
          <w:sz w:val="24"/>
          <w:szCs w:val="24"/>
          <w:lang w:val="en-US"/>
        </w:rPr>
        <w:lastRenderedPageBreak/>
        <w:t>Table I. Sample selection</w:t>
      </w:r>
    </w:p>
    <w:tbl>
      <w:tblPr>
        <w:tblW w:w="9016" w:type="dxa"/>
        <w:tblLook w:val="00A0" w:firstRow="1" w:lastRow="0" w:firstColumn="1" w:lastColumn="0" w:noHBand="0" w:noVBand="0"/>
      </w:tblPr>
      <w:tblGrid>
        <w:gridCol w:w="7411"/>
        <w:gridCol w:w="1605"/>
      </w:tblGrid>
      <w:tr w:rsidR="00EB0BEF" w:rsidRPr="007F131A" w14:paraId="4BE191D4" w14:textId="77777777" w:rsidTr="00A0419B">
        <w:tc>
          <w:tcPr>
            <w:tcW w:w="7411" w:type="dxa"/>
            <w:tcBorders>
              <w:bottom w:val="single" w:sz="4" w:space="0" w:color="auto"/>
            </w:tcBorders>
          </w:tcPr>
          <w:p w14:paraId="05C75B69" w14:textId="77777777" w:rsidR="00EB0BEF" w:rsidRPr="007F131A" w:rsidRDefault="00EB0BEF" w:rsidP="00A0419B">
            <w:pPr>
              <w:keepNext/>
              <w:keepLines/>
              <w:spacing w:before="480"/>
              <w:outlineLvl w:val="0"/>
              <w:rPr>
                <w:b/>
                <w:sz w:val="24"/>
                <w:szCs w:val="24"/>
                <w:lang w:val="en-US"/>
              </w:rPr>
            </w:pPr>
            <w:r w:rsidRPr="007F131A">
              <w:rPr>
                <w:b/>
                <w:sz w:val="24"/>
                <w:szCs w:val="24"/>
                <w:lang w:val="en-US"/>
              </w:rPr>
              <w:t>Sample reduction action</w:t>
            </w:r>
          </w:p>
        </w:tc>
        <w:tc>
          <w:tcPr>
            <w:tcW w:w="1605" w:type="dxa"/>
            <w:tcBorders>
              <w:bottom w:val="single" w:sz="4" w:space="0" w:color="auto"/>
            </w:tcBorders>
            <w:vAlign w:val="bottom"/>
          </w:tcPr>
          <w:p w14:paraId="4C0A8D75" w14:textId="77777777" w:rsidR="00EB0BEF" w:rsidRPr="007F131A" w:rsidRDefault="00EB0BEF" w:rsidP="00A0419B">
            <w:pPr>
              <w:jc w:val="center"/>
              <w:rPr>
                <w:b/>
                <w:sz w:val="24"/>
                <w:szCs w:val="24"/>
                <w:lang w:val="en-US"/>
              </w:rPr>
            </w:pPr>
            <w:r w:rsidRPr="007F131A">
              <w:rPr>
                <w:b/>
                <w:sz w:val="24"/>
                <w:szCs w:val="24"/>
                <w:lang w:val="en-US"/>
              </w:rPr>
              <w:t>Number of firms</w:t>
            </w:r>
          </w:p>
        </w:tc>
      </w:tr>
      <w:tr w:rsidR="00EB0BEF" w:rsidRPr="007F131A" w14:paraId="199E3A92" w14:textId="77777777" w:rsidTr="00A0419B">
        <w:trPr>
          <w:trHeight w:val="502"/>
        </w:trPr>
        <w:tc>
          <w:tcPr>
            <w:tcW w:w="7411" w:type="dxa"/>
            <w:tcBorders>
              <w:top w:val="single" w:sz="4" w:space="0" w:color="auto"/>
            </w:tcBorders>
          </w:tcPr>
          <w:p w14:paraId="27A44111" w14:textId="77777777" w:rsidR="00EB0BEF" w:rsidRPr="007F131A" w:rsidRDefault="00EB0BEF" w:rsidP="00A0419B">
            <w:pPr>
              <w:rPr>
                <w:sz w:val="24"/>
                <w:szCs w:val="24"/>
                <w:lang w:val="en-US"/>
              </w:rPr>
            </w:pPr>
            <w:r w:rsidRPr="007F131A">
              <w:rPr>
                <w:sz w:val="24"/>
                <w:szCs w:val="24"/>
                <w:lang w:val="en-US"/>
              </w:rPr>
              <w:t xml:space="preserve">Population of Italian listed firms on the Italian Stock Exchange in 2013 </w:t>
            </w:r>
          </w:p>
        </w:tc>
        <w:tc>
          <w:tcPr>
            <w:tcW w:w="1605" w:type="dxa"/>
            <w:tcBorders>
              <w:top w:val="single" w:sz="4" w:space="0" w:color="auto"/>
            </w:tcBorders>
          </w:tcPr>
          <w:p w14:paraId="6360F4DA" w14:textId="77777777" w:rsidR="00EB0BEF" w:rsidRPr="007F131A" w:rsidRDefault="00EB0BEF" w:rsidP="00A0419B">
            <w:pPr>
              <w:jc w:val="center"/>
              <w:rPr>
                <w:sz w:val="24"/>
                <w:szCs w:val="24"/>
                <w:lang w:val="en-US"/>
              </w:rPr>
            </w:pPr>
            <w:r w:rsidRPr="007F131A">
              <w:rPr>
                <w:sz w:val="24"/>
                <w:szCs w:val="24"/>
                <w:lang w:val="en-US"/>
              </w:rPr>
              <w:t>232</w:t>
            </w:r>
          </w:p>
        </w:tc>
      </w:tr>
      <w:tr w:rsidR="00EB0BEF" w:rsidRPr="007F131A" w14:paraId="287F603A" w14:textId="77777777" w:rsidTr="00A0419B">
        <w:tc>
          <w:tcPr>
            <w:tcW w:w="7411" w:type="dxa"/>
          </w:tcPr>
          <w:p w14:paraId="6639B1AD" w14:textId="77777777" w:rsidR="00EB0BEF" w:rsidRPr="007F131A" w:rsidRDefault="00EB0BEF" w:rsidP="00A0419B">
            <w:pPr>
              <w:rPr>
                <w:sz w:val="24"/>
                <w:szCs w:val="24"/>
                <w:lang w:val="en-US"/>
              </w:rPr>
            </w:pPr>
            <w:r w:rsidRPr="007F131A">
              <w:rPr>
                <w:sz w:val="24"/>
                <w:szCs w:val="24"/>
                <w:lang w:val="en-US"/>
              </w:rPr>
              <w:t>Firms not listed in 2009</w:t>
            </w:r>
          </w:p>
        </w:tc>
        <w:tc>
          <w:tcPr>
            <w:tcW w:w="1605" w:type="dxa"/>
          </w:tcPr>
          <w:p w14:paraId="4E62345B" w14:textId="77777777" w:rsidR="00EB0BEF" w:rsidRPr="007F131A" w:rsidRDefault="00EB0BEF" w:rsidP="00A0419B">
            <w:pPr>
              <w:jc w:val="center"/>
              <w:rPr>
                <w:sz w:val="24"/>
                <w:szCs w:val="24"/>
                <w:lang w:val="en-US"/>
              </w:rPr>
            </w:pPr>
            <w:r w:rsidRPr="007F131A">
              <w:rPr>
                <w:sz w:val="24"/>
                <w:szCs w:val="24"/>
                <w:lang w:val="en-US"/>
              </w:rPr>
              <w:t>(26)</w:t>
            </w:r>
          </w:p>
        </w:tc>
      </w:tr>
      <w:tr w:rsidR="00EB0BEF" w:rsidRPr="007F131A" w14:paraId="2C40FE45" w14:textId="77777777" w:rsidTr="00A0419B">
        <w:tc>
          <w:tcPr>
            <w:tcW w:w="7411" w:type="dxa"/>
          </w:tcPr>
          <w:p w14:paraId="399B4A64" w14:textId="77777777" w:rsidR="00EB0BEF" w:rsidRPr="007F131A" w:rsidRDefault="00EB0BEF" w:rsidP="00A0419B">
            <w:pPr>
              <w:rPr>
                <w:sz w:val="24"/>
                <w:szCs w:val="24"/>
                <w:lang w:val="en-US"/>
              </w:rPr>
            </w:pPr>
            <w:r w:rsidRPr="007F131A">
              <w:rPr>
                <w:sz w:val="24"/>
                <w:szCs w:val="24"/>
                <w:lang w:val="en-US"/>
              </w:rPr>
              <w:t>Firms with missing market values in 2009</w:t>
            </w:r>
          </w:p>
        </w:tc>
        <w:tc>
          <w:tcPr>
            <w:tcW w:w="1605" w:type="dxa"/>
          </w:tcPr>
          <w:p w14:paraId="1581B672" w14:textId="77777777" w:rsidR="00EB0BEF" w:rsidRPr="007F131A" w:rsidRDefault="00EB0BEF" w:rsidP="00A0419B">
            <w:pPr>
              <w:jc w:val="center"/>
              <w:rPr>
                <w:sz w:val="24"/>
                <w:szCs w:val="24"/>
                <w:lang w:val="en-US"/>
              </w:rPr>
            </w:pPr>
            <w:r w:rsidRPr="007F131A">
              <w:rPr>
                <w:sz w:val="24"/>
                <w:szCs w:val="24"/>
                <w:lang w:val="en-US"/>
              </w:rPr>
              <w:t>(23)</w:t>
            </w:r>
          </w:p>
        </w:tc>
      </w:tr>
      <w:tr w:rsidR="00EB0BEF" w:rsidRPr="007F131A" w14:paraId="6AC19D50" w14:textId="77777777" w:rsidTr="00A0419B">
        <w:tc>
          <w:tcPr>
            <w:tcW w:w="7411" w:type="dxa"/>
          </w:tcPr>
          <w:p w14:paraId="54676226" w14:textId="77777777" w:rsidR="00EB0BEF" w:rsidRPr="007F131A" w:rsidRDefault="00EB0BEF" w:rsidP="00A0419B">
            <w:pPr>
              <w:rPr>
                <w:sz w:val="24"/>
                <w:szCs w:val="24"/>
                <w:lang w:val="en-US"/>
              </w:rPr>
            </w:pPr>
            <w:r w:rsidRPr="007F131A">
              <w:rPr>
                <w:sz w:val="24"/>
                <w:szCs w:val="24"/>
                <w:lang w:val="en-US"/>
              </w:rPr>
              <w:t>Firms with missing financial and/or governance data</w:t>
            </w:r>
          </w:p>
        </w:tc>
        <w:tc>
          <w:tcPr>
            <w:tcW w:w="1605" w:type="dxa"/>
          </w:tcPr>
          <w:p w14:paraId="1D2D37C7" w14:textId="77777777" w:rsidR="00EB0BEF" w:rsidRPr="007F131A" w:rsidRDefault="00EB0BEF" w:rsidP="00A0419B">
            <w:pPr>
              <w:jc w:val="center"/>
              <w:rPr>
                <w:sz w:val="24"/>
                <w:szCs w:val="24"/>
                <w:lang w:val="en-US"/>
              </w:rPr>
            </w:pPr>
            <w:r w:rsidRPr="007F131A">
              <w:rPr>
                <w:sz w:val="24"/>
                <w:szCs w:val="24"/>
                <w:lang w:val="en-US"/>
              </w:rPr>
              <w:t>(43)</w:t>
            </w:r>
          </w:p>
        </w:tc>
      </w:tr>
      <w:tr w:rsidR="00EB0BEF" w:rsidRPr="007F131A" w14:paraId="5F8104B3" w14:textId="77777777" w:rsidTr="00A0419B">
        <w:tc>
          <w:tcPr>
            <w:tcW w:w="7411" w:type="dxa"/>
            <w:tcBorders>
              <w:bottom w:val="single" w:sz="4" w:space="0" w:color="auto"/>
            </w:tcBorders>
          </w:tcPr>
          <w:p w14:paraId="20BD05F8" w14:textId="77777777" w:rsidR="00EB0BEF" w:rsidRPr="007F131A" w:rsidRDefault="00EB0BEF" w:rsidP="00A0419B">
            <w:pPr>
              <w:rPr>
                <w:b/>
                <w:sz w:val="24"/>
                <w:szCs w:val="24"/>
                <w:lang w:val="en-US"/>
              </w:rPr>
            </w:pPr>
            <w:r w:rsidRPr="007F131A">
              <w:rPr>
                <w:b/>
                <w:sz w:val="24"/>
                <w:szCs w:val="24"/>
                <w:lang w:val="en-US"/>
              </w:rPr>
              <w:t>Final firm sample (balanced)</w:t>
            </w:r>
          </w:p>
        </w:tc>
        <w:tc>
          <w:tcPr>
            <w:tcW w:w="1605" w:type="dxa"/>
            <w:tcBorders>
              <w:bottom w:val="single" w:sz="4" w:space="0" w:color="auto"/>
            </w:tcBorders>
          </w:tcPr>
          <w:p w14:paraId="0E9AB0E5" w14:textId="77777777" w:rsidR="00EB0BEF" w:rsidRPr="007F131A" w:rsidRDefault="00EB0BEF" w:rsidP="00A0419B">
            <w:pPr>
              <w:jc w:val="center"/>
              <w:rPr>
                <w:b/>
                <w:sz w:val="24"/>
                <w:szCs w:val="24"/>
                <w:lang w:val="en-US"/>
              </w:rPr>
            </w:pPr>
            <w:r w:rsidRPr="007F131A">
              <w:rPr>
                <w:b/>
                <w:sz w:val="24"/>
                <w:szCs w:val="24"/>
                <w:lang w:val="en-US"/>
              </w:rPr>
              <w:t>140</w:t>
            </w:r>
          </w:p>
        </w:tc>
      </w:tr>
      <w:tr w:rsidR="00EB0BEF" w:rsidRPr="007F131A" w14:paraId="6193A668" w14:textId="77777777" w:rsidTr="00A0419B">
        <w:tc>
          <w:tcPr>
            <w:tcW w:w="7411" w:type="dxa"/>
            <w:tcBorders>
              <w:top w:val="single" w:sz="4" w:space="0" w:color="auto"/>
              <w:bottom w:val="single" w:sz="4" w:space="0" w:color="auto"/>
            </w:tcBorders>
          </w:tcPr>
          <w:p w14:paraId="739E3A1D" w14:textId="77777777" w:rsidR="00EB0BEF" w:rsidRPr="007F131A" w:rsidRDefault="00EB0BEF" w:rsidP="00A0419B">
            <w:pPr>
              <w:rPr>
                <w:b/>
                <w:sz w:val="24"/>
                <w:szCs w:val="24"/>
                <w:lang w:val="en-US"/>
              </w:rPr>
            </w:pPr>
            <w:r w:rsidRPr="007F131A">
              <w:rPr>
                <w:b/>
                <w:sz w:val="24"/>
                <w:szCs w:val="24"/>
                <w:lang w:val="en-US"/>
              </w:rPr>
              <w:t>Total firm-year observations (balanced sample)</w:t>
            </w:r>
          </w:p>
        </w:tc>
        <w:tc>
          <w:tcPr>
            <w:tcW w:w="1605" w:type="dxa"/>
            <w:tcBorders>
              <w:top w:val="single" w:sz="4" w:space="0" w:color="auto"/>
              <w:bottom w:val="single" w:sz="4" w:space="0" w:color="auto"/>
            </w:tcBorders>
          </w:tcPr>
          <w:p w14:paraId="18286ABD" w14:textId="77777777" w:rsidR="00EB0BEF" w:rsidRPr="007F131A" w:rsidDel="0001032D" w:rsidRDefault="00EB0BEF" w:rsidP="00A0419B">
            <w:pPr>
              <w:jc w:val="center"/>
              <w:rPr>
                <w:b/>
                <w:sz w:val="24"/>
                <w:szCs w:val="24"/>
                <w:lang w:val="en-US"/>
              </w:rPr>
            </w:pPr>
            <w:r w:rsidRPr="007F131A">
              <w:rPr>
                <w:b/>
                <w:sz w:val="24"/>
                <w:szCs w:val="24"/>
                <w:lang w:val="en-US"/>
              </w:rPr>
              <w:t>700</w:t>
            </w:r>
          </w:p>
        </w:tc>
      </w:tr>
    </w:tbl>
    <w:p w14:paraId="7863C423" w14:textId="77777777" w:rsidR="00EB0BEF" w:rsidRPr="007F131A" w:rsidRDefault="00EB0BEF" w:rsidP="00EB0BEF">
      <w:pPr>
        <w:spacing w:after="0" w:line="360" w:lineRule="auto"/>
        <w:jc w:val="both"/>
        <w:rPr>
          <w:sz w:val="24"/>
          <w:lang w:val="en-US"/>
        </w:rPr>
      </w:pPr>
    </w:p>
    <w:p w14:paraId="2668632F" w14:textId="77777777" w:rsidR="00EB0BEF" w:rsidRPr="007F131A" w:rsidRDefault="00EB0BEF" w:rsidP="00EB0BEF">
      <w:pPr>
        <w:spacing w:after="0" w:line="240" w:lineRule="auto"/>
        <w:rPr>
          <w:lang w:val="en-US"/>
        </w:rPr>
      </w:pPr>
      <w:r w:rsidRPr="007F131A">
        <w:rPr>
          <w:lang w:val="en-US"/>
        </w:rPr>
        <w:br w:type="page"/>
      </w:r>
    </w:p>
    <w:p w14:paraId="0DB1CE48" w14:textId="77777777" w:rsidR="00EB0BEF" w:rsidRPr="007F131A" w:rsidRDefault="00EB0BEF" w:rsidP="00EB0BEF">
      <w:pPr>
        <w:spacing w:after="0" w:line="240" w:lineRule="auto"/>
        <w:outlineLvl w:val="0"/>
        <w:rPr>
          <w:b/>
          <w:sz w:val="24"/>
          <w:szCs w:val="24"/>
          <w:lang w:val="en-US"/>
        </w:rPr>
      </w:pPr>
      <w:r w:rsidRPr="007F131A">
        <w:rPr>
          <w:rFonts w:asciiTheme="minorHAnsi" w:hAnsiTheme="minorHAnsi"/>
          <w:b/>
          <w:sz w:val="24"/>
          <w:szCs w:val="24"/>
          <w:lang w:val="en-US"/>
        </w:rPr>
        <w:lastRenderedPageBreak/>
        <w:t xml:space="preserve">Table II. Sample firm industry classification </w:t>
      </w:r>
      <w:r w:rsidRPr="007F131A">
        <w:rPr>
          <w:b/>
          <w:sz w:val="24"/>
          <w:szCs w:val="24"/>
          <w:lang w:val="en-US"/>
        </w:rPr>
        <w:t>NACE Rev. 2 (2-digit code)</w:t>
      </w:r>
    </w:p>
    <w:p w14:paraId="79434937" w14:textId="77777777" w:rsidR="00EB0BEF" w:rsidRPr="007F131A" w:rsidRDefault="00EB0BEF" w:rsidP="00EB0BEF">
      <w:pPr>
        <w:spacing w:after="0" w:line="240" w:lineRule="auto"/>
        <w:outlineLvl w:val="0"/>
        <w:rPr>
          <w:rFonts w:asciiTheme="minorHAnsi" w:hAnsiTheme="minorHAnsi"/>
          <w:b/>
          <w:sz w:val="24"/>
          <w:szCs w:val="24"/>
          <w:lang w:val="en-US"/>
        </w:rPr>
      </w:pPr>
    </w:p>
    <w:tbl>
      <w:tblPr>
        <w:tblStyle w:val="TableGrid"/>
        <w:tblW w:w="0" w:type="auto"/>
        <w:tblLook w:val="04A0" w:firstRow="1" w:lastRow="0" w:firstColumn="1" w:lastColumn="0" w:noHBand="0" w:noVBand="1"/>
      </w:tblPr>
      <w:tblGrid>
        <w:gridCol w:w="1793"/>
        <w:gridCol w:w="868"/>
        <w:gridCol w:w="2268"/>
        <w:gridCol w:w="992"/>
      </w:tblGrid>
      <w:tr w:rsidR="00EB0BEF" w:rsidRPr="007F131A" w14:paraId="400315EE" w14:textId="77777777" w:rsidTr="00A0419B">
        <w:tc>
          <w:tcPr>
            <w:tcW w:w="1793" w:type="dxa"/>
          </w:tcPr>
          <w:p w14:paraId="255CB180" w14:textId="77777777" w:rsidR="00EB0BEF" w:rsidRPr="007F131A" w:rsidRDefault="00EB0BEF" w:rsidP="00A0419B">
            <w:pPr>
              <w:spacing w:after="0" w:line="240" w:lineRule="auto"/>
              <w:jc w:val="center"/>
              <w:outlineLvl w:val="0"/>
              <w:rPr>
                <w:b/>
                <w:sz w:val="20"/>
                <w:szCs w:val="20"/>
                <w:lang w:val="en-US"/>
              </w:rPr>
            </w:pPr>
            <w:r w:rsidRPr="007F131A">
              <w:rPr>
                <w:b/>
                <w:sz w:val="20"/>
                <w:szCs w:val="20"/>
                <w:lang w:val="en-US"/>
              </w:rPr>
              <w:t>NACE code</w:t>
            </w:r>
          </w:p>
        </w:tc>
        <w:tc>
          <w:tcPr>
            <w:tcW w:w="868" w:type="dxa"/>
          </w:tcPr>
          <w:p w14:paraId="70125257" w14:textId="77777777" w:rsidR="00EB0BEF" w:rsidRPr="007F131A" w:rsidRDefault="00EB0BEF" w:rsidP="00A0419B">
            <w:pPr>
              <w:spacing w:after="0" w:line="240" w:lineRule="auto"/>
              <w:jc w:val="center"/>
              <w:outlineLvl w:val="0"/>
              <w:rPr>
                <w:b/>
                <w:sz w:val="20"/>
                <w:szCs w:val="20"/>
                <w:lang w:val="en-US"/>
              </w:rPr>
            </w:pPr>
            <w:r w:rsidRPr="007F131A">
              <w:rPr>
                <w:b/>
                <w:sz w:val="20"/>
                <w:szCs w:val="20"/>
                <w:lang w:val="en-US"/>
              </w:rPr>
              <w:t>N.</w:t>
            </w:r>
          </w:p>
        </w:tc>
        <w:tc>
          <w:tcPr>
            <w:tcW w:w="2268" w:type="dxa"/>
          </w:tcPr>
          <w:p w14:paraId="09EDC174" w14:textId="77777777" w:rsidR="00EB0BEF" w:rsidRPr="007F131A" w:rsidRDefault="00EB0BEF" w:rsidP="00A0419B">
            <w:pPr>
              <w:spacing w:after="0" w:line="240" w:lineRule="auto"/>
              <w:outlineLvl w:val="0"/>
              <w:rPr>
                <w:b/>
                <w:sz w:val="20"/>
                <w:szCs w:val="20"/>
                <w:lang w:val="en-US"/>
              </w:rPr>
            </w:pPr>
            <w:r w:rsidRPr="007F131A">
              <w:rPr>
                <w:b/>
                <w:sz w:val="20"/>
                <w:szCs w:val="20"/>
                <w:lang w:val="en-US"/>
              </w:rPr>
              <w:t>NACE code</w:t>
            </w:r>
          </w:p>
        </w:tc>
        <w:tc>
          <w:tcPr>
            <w:tcW w:w="992" w:type="dxa"/>
          </w:tcPr>
          <w:p w14:paraId="01233DB6" w14:textId="77777777" w:rsidR="00EB0BEF" w:rsidRPr="007F131A" w:rsidRDefault="00EB0BEF" w:rsidP="00A0419B">
            <w:pPr>
              <w:spacing w:after="0" w:line="240" w:lineRule="auto"/>
              <w:jc w:val="center"/>
              <w:outlineLvl w:val="0"/>
              <w:rPr>
                <w:b/>
                <w:sz w:val="20"/>
                <w:szCs w:val="20"/>
                <w:lang w:val="en-US"/>
              </w:rPr>
            </w:pPr>
            <w:r w:rsidRPr="007F131A">
              <w:rPr>
                <w:b/>
                <w:sz w:val="20"/>
                <w:szCs w:val="20"/>
                <w:lang w:val="en-US"/>
              </w:rPr>
              <w:t>N.</w:t>
            </w:r>
          </w:p>
        </w:tc>
      </w:tr>
      <w:tr w:rsidR="00EB0BEF" w:rsidRPr="007F131A" w14:paraId="36145F8F" w14:textId="77777777" w:rsidTr="00A0419B">
        <w:tc>
          <w:tcPr>
            <w:tcW w:w="1793" w:type="dxa"/>
            <w:shd w:val="clear" w:color="auto" w:fill="D9D9D9" w:themeFill="background1" w:themeFillShade="D9"/>
          </w:tcPr>
          <w:p w14:paraId="516D28BF"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10</w:t>
            </w:r>
          </w:p>
        </w:tc>
        <w:tc>
          <w:tcPr>
            <w:tcW w:w="868" w:type="dxa"/>
          </w:tcPr>
          <w:p w14:paraId="63C11228"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w:t>
            </w:r>
          </w:p>
        </w:tc>
        <w:tc>
          <w:tcPr>
            <w:tcW w:w="2268" w:type="dxa"/>
            <w:shd w:val="clear" w:color="auto" w:fill="D9D9D9" w:themeFill="background1" w:themeFillShade="D9"/>
          </w:tcPr>
          <w:p w14:paraId="00E2828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43</w:t>
            </w:r>
          </w:p>
        </w:tc>
        <w:tc>
          <w:tcPr>
            <w:tcW w:w="992" w:type="dxa"/>
          </w:tcPr>
          <w:p w14:paraId="0CB5D0B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4</w:t>
            </w:r>
          </w:p>
        </w:tc>
      </w:tr>
      <w:tr w:rsidR="00EB0BEF" w:rsidRPr="007F131A" w14:paraId="33BC8353" w14:textId="77777777" w:rsidTr="00A0419B">
        <w:tc>
          <w:tcPr>
            <w:tcW w:w="1793" w:type="dxa"/>
            <w:shd w:val="clear" w:color="auto" w:fill="D9D9D9" w:themeFill="background1" w:themeFillShade="D9"/>
          </w:tcPr>
          <w:p w14:paraId="46A2D1F2"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11</w:t>
            </w:r>
          </w:p>
        </w:tc>
        <w:tc>
          <w:tcPr>
            <w:tcW w:w="868" w:type="dxa"/>
          </w:tcPr>
          <w:p w14:paraId="6F5CFCBD"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5D58D7F8"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46</w:t>
            </w:r>
          </w:p>
        </w:tc>
        <w:tc>
          <w:tcPr>
            <w:tcW w:w="992" w:type="dxa"/>
          </w:tcPr>
          <w:p w14:paraId="346221EE"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9</w:t>
            </w:r>
          </w:p>
        </w:tc>
      </w:tr>
      <w:tr w:rsidR="00EB0BEF" w:rsidRPr="007F131A" w14:paraId="43F343C4" w14:textId="77777777" w:rsidTr="00A0419B">
        <w:tc>
          <w:tcPr>
            <w:tcW w:w="1793" w:type="dxa"/>
            <w:shd w:val="clear" w:color="auto" w:fill="D9D9D9" w:themeFill="background1" w:themeFillShade="D9"/>
          </w:tcPr>
          <w:p w14:paraId="6206D52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13</w:t>
            </w:r>
          </w:p>
        </w:tc>
        <w:tc>
          <w:tcPr>
            <w:tcW w:w="868" w:type="dxa"/>
          </w:tcPr>
          <w:p w14:paraId="3B2C1661"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25635F9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47</w:t>
            </w:r>
          </w:p>
        </w:tc>
        <w:tc>
          <w:tcPr>
            <w:tcW w:w="992" w:type="dxa"/>
          </w:tcPr>
          <w:p w14:paraId="7056908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w:t>
            </w:r>
          </w:p>
        </w:tc>
      </w:tr>
      <w:tr w:rsidR="00EB0BEF" w:rsidRPr="007F131A" w14:paraId="7D73A4F3" w14:textId="77777777" w:rsidTr="00A0419B">
        <w:tc>
          <w:tcPr>
            <w:tcW w:w="1793" w:type="dxa"/>
            <w:shd w:val="clear" w:color="auto" w:fill="D9D9D9" w:themeFill="background1" w:themeFillShade="D9"/>
          </w:tcPr>
          <w:p w14:paraId="667B7D02"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14</w:t>
            </w:r>
          </w:p>
        </w:tc>
        <w:tc>
          <w:tcPr>
            <w:tcW w:w="868" w:type="dxa"/>
          </w:tcPr>
          <w:p w14:paraId="2A77A88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c>
          <w:tcPr>
            <w:tcW w:w="2268" w:type="dxa"/>
            <w:shd w:val="clear" w:color="auto" w:fill="D9D9D9" w:themeFill="background1" w:themeFillShade="D9"/>
          </w:tcPr>
          <w:p w14:paraId="4B88B448"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49</w:t>
            </w:r>
          </w:p>
        </w:tc>
        <w:tc>
          <w:tcPr>
            <w:tcW w:w="992" w:type="dxa"/>
          </w:tcPr>
          <w:p w14:paraId="56791050"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r>
      <w:tr w:rsidR="00EB0BEF" w:rsidRPr="007F131A" w14:paraId="2D9E514B" w14:textId="77777777" w:rsidTr="00A0419B">
        <w:tc>
          <w:tcPr>
            <w:tcW w:w="1793" w:type="dxa"/>
            <w:shd w:val="clear" w:color="auto" w:fill="D9D9D9" w:themeFill="background1" w:themeFillShade="D9"/>
          </w:tcPr>
          <w:p w14:paraId="588C00F3"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15</w:t>
            </w:r>
          </w:p>
        </w:tc>
        <w:tc>
          <w:tcPr>
            <w:tcW w:w="868" w:type="dxa"/>
          </w:tcPr>
          <w:p w14:paraId="0E0D621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w:t>
            </w:r>
          </w:p>
        </w:tc>
        <w:tc>
          <w:tcPr>
            <w:tcW w:w="2268" w:type="dxa"/>
            <w:shd w:val="clear" w:color="auto" w:fill="D9D9D9" w:themeFill="background1" w:themeFillShade="D9"/>
          </w:tcPr>
          <w:p w14:paraId="3278D0D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50</w:t>
            </w:r>
          </w:p>
        </w:tc>
        <w:tc>
          <w:tcPr>
            <w:tcW w:w="992" w:type="dxa"/>
          </w:tcPr>
          <w:p w14:paraId="5FF0A2B1"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r>
      <w:tr w:rsidR="00EB0BEF" w:rsidRPr="007F131A" w14:paraId="5770FA6C" w14:textId="77777777" w:rsidTr="00A0419B">
        <w:tc>
          <w:tcPr>
            <w:tcW w:w="1793" w:type="dxa"/>
            <w:shd w:val="clear" w:color="auto" w:fill="D9D9D9" w:themeFill="background1" w:themeFillShade="D9"/>
          </w:tcPr>
          <w:p w14:paraId="2DA180CA"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18</w:t>
            </w:r>
          </w:p>
        </w:tc>
        <w:tc>
          <w:tcPr>
            <w:tcW w:w="868" w:type="dxa"/>
          </w:tcPr>
          <w:p w14:paraId="27D6975B"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6E794CF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52</w:t>
            </w:r>
          </w:p>
        </w:tc>
        <w:tc>
          <w:tcPr>
            <w:tcW w:w="992" w:type="dxa"/>
          </w:tcPr>
          <w:p w14:paraId="3E8A371C"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w:t>
            </w:r>
          </w:p>
        </w:tc>
      </w:tr>
      <w:tr w:rsidR="00EB0BEF" w:rsidRPr="007F131A" w14:paraId="5613BE80" w14:textId="77777777" w:rsidTr="00A0419B">
        <w:tc>
          <w:tcPr>
            <w:tcW w:w="1793" w:type="dxa"/>
            <w:shd w:val="clear" w:color="auto" w:fill="D9D9D9" w:themeFill="background1" w:themeFillShade="D9"/>
          </w:tcPr>
          <w:p w14:paraId="2443E57E"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19</w:t>
            </w:r>
          </w:p>
        </w:tc>
        <w:tc>
          <w:tcPr>
            <w:tcW w:w="868" w:type="dxa"/>
          </w:tcPr>
          <w:p w14:paraId="5BC7C799"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1A411499"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56</w:t>
            </w:r>
          </w:p>
        </w:tc>
        <w:tc>
          <w:tcPr>
            <w:tcW w:w="992" w:type="dxa"/>
          </w:tcPr>
          <w:p w14:paraId="4DBFE728"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r>
      <w:tr w:rsidR="00EB0BEF" w:rsidRPr="007F131A" w14:paraId="18BC9B0A" w14:textId="77777777" w:rsidTr="00A0419B">
        <w:tc>
          <w:tcPr>
            <w:tcW w:w="1793" w:type="dxa"/>
            <w:shd w:val="clear" w:color="auto" w:fill="D9D9D9" w:themeFill="background1" w:themeFillShade="D9"/>
          </w:tcPr>
          <w:p w14:paraId="4E800D9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20</w:t>
            </w:r>
          </w:p>
        </w:tc>
        <w:tc>
          <w:tcPr>
            <w:tcW w:w="868" w:type="dxa"/>
          </w:tcPr>
          <w:p w14:paraId="21963293"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1A1EE74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58</w:t>
            </w:r>
          </w:p>
        </w:tc>
        <w:tc>
          <w:tcPr>
            <w:tcW w:w="992" w:type="dxa"/>
          </w:tcPr>
          <w:p w14:paraId="2E9B5946"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5</w:t>
            </w:r>
          </w:p>
        </w:tc>
      </w:tr>
      <w:tr w:rsidR="00EB0BEF" w:rsidRPr="007F131A" w14:paraId="6290007A" w14:textId="77777777" w:rsidTr="00A0419B">
        <w:tc>
          <w:tcPr>
            <w:tcW w:w="1793" w:type="dxa"/>
            <w:shd w:val="clear" w:color="auto" w:fill="D9D9D9" w:themeFill="background1" w:themeFillShade="D9"/>
          </w:tcPr>
          <w:p w14:paraId="1694827C"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21</w:t>
            </w:r>
          </w:p>
        </w:tc>
        <w:tc>
          <w:tcPr>
            <w:tcW w:w="868" w:type="dxa"/>
          </w:tcPr>
          <w:p w14:paraId="5A5E9D32"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7AC1724F"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59</w:t>
            </w:r>
          </w:p>
        </w:tc>
        <w:tc>
          <w:tcPr>
            <w:tcW w:w="992" w:type="dxa"/>
          </w:tcPr>
          <w:p w14:paraId="6A4B3729"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4</w:t>
            </w:r>
          </w:p>
        </w:tc>
      </w:tr>
      <w:tr w:rsidR="00EB0BEF" w:rsidRPr="007F131A" w14:paraId="45C7BDA2" w14:textId="77777777" w:rsidTr="00A0419B">
        <w:tc>
          <w:tcPr>
            <w:tcW w:w="1793" w:type="dxa"/>
            <w:shd w:val="clear" w:color="auto" w:fill="D9D9D9" w:themeFill="background1" w:themeFillShade="D9"/>
          </w:tcPr>
          <w:p w14:paraId="496F2754"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23</w:t>
            </w:r>
          </w:p>
        </w:tc>
        <w:tc>
          <w:tcPr>
            <w:tcW w:w="868" w:type="dxa"/>
          </w:tcPr>
          <w:p w14:paraId="4844A7A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6</w:t>
            </w:r>
          </w:p>
        </w:tc>
        <w:tc>
          <w:tcPr>
            <w:tcW w:w="2268" w:type="dxa"/>
            <w:shd w:val="clear" w:color="auto" w:fill="D9D9D9" w:themeFill="background1" w:themeFillShade="D9"/>
          </w:tcPr>
          <w:p w14:paraId="0CE02E86"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61</w:t>
            </w:r>
          </w:p>
        </w:tc>
        <w:tc>
          <w:tcPr>
            <w:tcW w:w="992" w:type="dxa"/>
          </w:tcPr>
          <w:p w14:paraId="0F658C6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r>
      <w:tr w:rsidR="00EB0BEF" w:rsidRPr="007F131A" w14:paraId="676B777F" w14:textId="77777777" w:rsidTr="00A0419B">
        <w:tc>
          <w:tcPr>
            <w:tcW w:w="1793" w:type="dxa"/>
            <w:shd w:val="clear" w:color="auto" w:fill="D9D9D9" w:themeFill="background1" w:themeFillShade="D9"/>
          </w:tcPr>
          <w:p w14:paraId="1AC2B982"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25</w:t>
            </w:r>
          </w:p>
        </w:tc>
        <w:tc>
          <w:tcPr>
            <w:tcW w:w="868" w:type="dxa"/>
          </w:tcPr>
          <w:p w14:paraId="3B5378E8"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c>
          <w:tcPr>
            <w:tcW w:w="2268" w:type="dxa"/>
            <w:shd w:val="clear" w:color="auto" w:fill="D9D9D9" w:themeFill="background1" w:themeFillShade="D9"/>
          </w:tcPr>
          <w:p w14:paraId="0C523D7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62</w:t>
            </w:r>
          </w:p>
        </w:tc>
        <w:tc>
          <w:tcPr>
            <w:tcW w:w="992" w:type="dxa"/>
          </w:tcPr>
          <w:p w14:paraId="4A0CC842"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7</w:t>
            </w:r>
          </w:p>
        </w:tc>
      </w:tr>
      <w:tr w:rsidR="00EB0BEF" w:rsidRPr="007F131A" w14:paraId="7DE26169" w14:textId="77777777" w:rsidTr="00A0419B">
        <w:trPr>
          <w:trHeight w:val="208"/>
        </w:trPr>
        <w:tc>
          <w:tcPr>
            <w:tcW w:w="1793" w:type="dxa"/>
            <w:shd w:val="clear" w:color="auto" w:fill="D9D9D9" w:themeFill="background1" w:themeFillShade="D9"/>
          </w:tcPr>
          <w:p w14:paraId="20D43614"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26</w:t>
            </w:r>
          </w:p>
        </w:tc>
        <w:tc>
          <w:tcPr>
            <w:tcW w:w="868" w:type="dxa"/>
          </w:tcPr>
          <w:p w14:paraId="082B692C"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5</w:t>
            </w:r>
          </w:p>
        </w:tc>
        <w:tc>
          <w:tcPr>
            <w:tcW w:w="2268" w:type="dxa"/>
            <w:shd w:val="clear" w:color="auto" w:fill="D9D9D9" w:themeFill="background1" w:themeFillShade="D9"/>
          </w:tcPr>
          <w:p w14:paraId="046E708A"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64</w:t>
            </w:r>
          </w:p>
        </w:tc>
        <w:tc>
          <w:tcPr>
            <w:tcW w:w="992" w:type="dxa"/>
          </w:tcPr>
          <w:p w14:paraId="1BE0106A"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7</w:t>
            </w:r>
          </w:p>
        </w:tc>
      </w:tr>
      <w:tr w:rsidR="00EB0BEF" w:rsidRPr="007F131A" w14:paraId="2956381B" w14:textId="77777777" w:rsidTr="00A0419B">
        <w:tc>
          <w:tcPr>
            <w:tcW w:w="1793" w:type="dxa"/>
            <w:shd w:val="clear" w:color="auto" w:fill="D9D9D9" w:themeFill="background1" w:themeFillShade="D9"/>
          </w:tcPr>
          <w:p w14:paraId="70BFEE1B"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27</w:t>
            </w:r>
          </w:p>
        </w:tc>
        <w:tc>
          <w:tcPr>
            <w:tcW w:w="868" w:type="dxa"/>
          </w:tcPr>
          <w:p w14:paraId="0E1E707B"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7</w:t>
            </w:r>
          </w:p>
        </w:tc>
        <w:tc>
          <w:tcPr>
            <w:tcW w:w="2268" w:type="dxa"/>
            <w:shd w:val="clear" w:color="auto" w:fill="D9D9D9" w:themeFill="background1" w:themeFillShade="D9"/>
          </w:tcPr>
          <w:p w14:paraId="40CDDD19"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68</w:t>
            </w:r>
          </w:p>
        </w:tc>
        <w:tc>
          <w:tcPr>
            <w:tcW w:w="992" w:type="dxa"/>
          </w:tcPr>
          <w:p w14:paraId="34A7EDB0"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w:t>
            </w:r>
          </w:p>
        </w:tc>
      </w:tr>
      <w:tr w:rsidR="00EB0BEF" w:rsidRPr="007F131A" w14:paraId="11641A70" w14:textId="77777777" w:rsidTr="00A0419B">
        <w:tc>
          <w:tcPr>
            <w:tcW w:w="1793" w:type="dxa"/>
            <w:shd w:val="clear" w:color="auto" w:fill="D9D9D9" w:themeFill="background1" w:themeFillShade="D9"/>
          </w:tcPr>
          <w:p w14:paraId="6BB31C01"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28</w:t>
            </w:r>
          </w:p>
        </w:tc>
        <w:tc>
          <w:tcPr>
            <w:tcW w:w="868" w:type="dxa"/>
          </w:tcPr>
          <w:p w14:paraId="5146350B"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10</w:t>
            </w:r>
          </w:p>
        </w:tc>
        <w:tc>
          <w:tcPr>
            <w:tcW w:w="2268" w:type="dxa"/>
            <w:shd w:val="clear" w:color="auto" w:fill="D9D9D9" w:themeFill="background1" w:themeFillShade="D9"/>
          </w:tcPr>
          <w:p w14:paraId="0D6DC961"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70</w:t>
            </w:r>
          </w:p>
        </w:tc>
        <w:tc>
          <w:tcPr>
            <w:tcW w:w="992" w:type="dxa"/>
          </w:tcPr>
          <w:p w14:paraId="47D354AC"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15</w:t>
            </w:r>
          </w:p>
        </w:tc>
      </w:tr>
      <w:tr w:rsidR="00EB0BEF" w:rsidRPr="007F131A" w14:paraId="706E0A31" w14:textId="77777777" w:rsidTr="00A0419B">
        <w:tc>
          <w:tcPr>
            <w:tcW w:w="1793" w:type="dxa"/>
            <w:shd w:val="clear" w:color="auto" w:fill="D9D9D9" w:themeFill="background1" w:themeFillShade="D9"/>
          </w:tcPr>
          <w:p w14:paraId="4856E6E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29</w:t>
            </w:r>
          </w:p>
        </w:tc>
        <w:tc>
          <w:tcPr>
            <w:tcW w:w="868" w:type="dxa"/>
          </w:tcPr>
          <w:p w14:paraId="48E4BF79"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w:t>
            </w:r>
          </w:p>
        </w:tc>
        <w:tc>
          <w:tcPr>
            <w:tcW w:w="2268" w:type="dxa"/>
            <w:shd w:val="clear" w:color="auto" w:fill="D9D9D9" w:themeFill="background1" w:themeFillShade="D9"/>
          </w:tcPr>
          <w:p w14:paraId="0A926E76"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72</w:t>
            </w:r>
          </w:p>
        </w:tc>
        <w:tc>
          <w:tcPr>
            <w:tcW w:w="992" w:type="dxa"/>
          </w:tcPr>
          <w:p w14:paraId="2EA44EC1"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r>
      <w:tr w:rsidR="00EB0BEF" w:rsidRPr="007F131A" w14:paraId="404B6559" w14:textId="77777777" w:rsidTr="00A0419B">
        <w:tc>
          <w:tcPr>
            <w:tcW w:w="1793" w:type="dxa"/>
            <w:shd w:val="clear" w:color="auto" w:fill="D9D9D9" w:themeFill="background1" w:themeFillShade="D9"/>
          </w:tcPr>
          <w:p w14:paraId="4889EFF6"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30</w:t>
            </w:r>
          </w:p>
        </w:tc>
        <w:tc>
          <w:tcPr>
            <w:tcW w:w="868" w:type="dxa"/>
          </w:tcPr>
          <w:p w14:paraId="6EC79B70"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c>
          <w:tcPr>
            <w:tcW w:w="2268" w:type="dxa"/>
            <w:shd w:val="clear" w:color="auto" w:fill="D9D9D9" w:themeFill="background1" w:themeFillShade="D9"/>
          </w:tcPr>
          <w:p w14:paraId="7AA3072D"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73</w:t>
            </w:r>
          </w:p>
        </w:tc>
        <w:tc>
          <w:tcPr>
            <w:tcW w:w="992" w:type="dxa"/>
          </w:tcPr>
          <w:p w14:paraId="5B57545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r>
      <w:tr w:rsidR="00EB0BEF" w:rsidRPr="007F131A" w14:paraId="196F202B" w14:textId="77777777" w:rsidTr="00A0419B">
        <w:tc>
          <w:tcPr>
            <w:tcW w:w="1793" w:type="dxa"/>
            <w:shd w:val="clear" w:color="auto" w:fill="D9D9D9" w:themeFill="background1" w:themeFillShade="D9"/>
          </w:tcPr>
          <w:p w14:paraId="277BD5B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31</w:t>
            </w:r>
          </w:p>
        </w:tc>
        <w:tc>
          <w:tcPr>
            <w:tcW w:w="868" w:type="dxa"/>
          </w:tcPr>
          <w:p w14:paraId="54C25A71"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3F148B26"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77</w:t>
            </w:r>
          </w:p>
        </w:tc>
        <w:tc>
          <w:tcPr>
            <w:tcW w:w="992" w:type="dxa"/>
          </w:tcPr>
          <w:p w14:paraId="122B1270"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r>
      <w:tr w:rsidR="00EB0BEF" w:rsidRPr="007F131A" w14:paraId="6ED4326B" w14:textId="77777777" w:rsidTr="00A0419B">
        <w:tc>
          <w:tcPr>
            <w:tcW w:w="1793" w:type="dxa"/>
            <w:shd w:val="clear" w:color="auto" w:fill="D9D9D9" w:themeFill="background1" w:themeFillShade="D9"/>
          </w:tcPr>
          <w:p w14:paraId="5731BE0D"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32</w:t>
            </w:r>
          </w:p>
        </w:tc>
        <w:tc>
          <w:tcPr>
            <w:tcW w:w="868" w:type="dxa"/>
          </w:tcPr>
          <w:p w14:paraId="2A54EDEA"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c>
          <w:tcPr>
            <w:tcW w:w="2268" w:type="dxa"/>
            <w:shd w:val="clear" w:color="auto" w:fill="D9D9D9" w:themeFill="background1" w:themeFillShade="D9"/>
          </w:tcPr>
          <w:p w14:paraId="1737E0C9"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79</w:t>
            </w:r>
          </w:p>
        </w:tc>
        <w:tc>
          <w:tcPr>
            <w:tcW w:w="992" w:type="dxa"/>
          </w:tcPr>
          <w:p w14:paraId="55B72A0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r>
      <w:tr w:rsidR="00EB0BEF" w:rsidRPr="007F131A" w14:paraId="7F905531" w14:textId="77777777" w:rsidTr="00A0419B">
        <w:tc>
          <w:tcPr>
            <w:tcW w:w="1793" w:type="dxa"/>
            <w:shd w:val="clear" w:color="auto" w:fill="D9D9D9" w:themeFill="background1" w:themeFillShade="D9"/>
          </w:tcPr>
          <w:p w14:paraId="5D9F37F1"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35</w:t>
            </w:r>
          </w:p>
        </w:tc>
        <w:tc>
          <w:tcPr>
            <w:tcW w:w="868" w:type="dxa"/>
          </w:tcPr>
          <w:p w14:paraId="4032092B"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5</w:t>
            </w:r>
          </w:p>
        </w:tc>
        <w:tc>
          <w:tcPr>
            <w:tcW w:w="2268" w:type="dxa"/>
            <w:shd w:val="clear" w:color="auto" w:fill="D9D9D9" w:themeFill="background1" w:themeFillShade="D9"/>
          </w:tcPr>
          <w:p w14:paraId="5A9690AF"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82</w:t>
            </w:r>
          </w:p>
        </w:tc>
        <w:tc>
          <w:tcPr>
            <w:tcW w:w="992" w:type="dxa"/>
          </w:tcPr>
          <w:p w14:paraId="5D397026"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r>
      <w:tr w:rsidR="00EB0BEF" w:rsidRPr="007F131A" w14:paraId="4459C80F" w14:textId="77777777" w:rsidTr="00A0419B">
        <w:tc>
          <w:tcPr>
            <w:tcW w:w="1793" w:type="dxa"/>
            <w:shd w:val="clear" w:color="auto" w:fill="D9D9D9" w:themeFill="background1" w:themeFillShade="D9"/>
          </w:tcPr>
          <w:p w14:paraId="5F212E83"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36</w:t>
            </w:r>
          </w:p>
        </w:tc>
        <w:tc>
          <w:tcPr>
            <w:tcW w:w="868" w:type="dxa"/>
          </w:tcPr>
          <w:p w14:paraId="17023F38"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4C4002D6"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85</w:t>
            </w:r>
          </w:p>
        </w:tc>
        <w:tc>
          <w:tcPr>
            <w:tcW w:w="992" w:type="dxa"/>
          </w:tcPr>
          <w:p w14:paraId="4EB9AE1F"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r>
      <w:tr w:rsidR="00EB0BEF" w:rsidRPr="007F131A" w14:paraId="4423D568" w14:textId="77777777" w:rsidTr="00A0419B">
        <w:tc>
          <w:tcPr>
            <w:tcW w:w="1793" w:type="dxa"/>
            <w:shd w:val="clear" w:color="auto" w:fill="D9D9D9" w:themeFill="background1" w:themeFillShade="D9"/>
          </w:tcPr>
          <w:p w14:paraId="435CB766"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38</w:t>
            </w:r>
          </w:p>
        </w:tc>
        <w:tc>
          <w:tcPr>
            <w:tcW w:w="868" w:type="dxa"/>
          </w:tcPr>
          <w:p w14:paraId="56F496A0"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00435869"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93</w:t>
            </w:r>
          </w:p>
        </w:tc>
        <w:tc>
          <w:tcPr>
            <w:tcW w:w="992" w:type="dxa"/>
          </w:tcPr>
          <w:p w14:paraId="32A37748"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2</w:t>
            </w:r>
          </w:p>
        </w:tc>
      </w:tr>
      <w:tr w:rsidR="00EB0BEF" w:rsidRPr="007F131A" w14:paraId="6026BDFA" w14:textId="77777777" w:rsidTr="00A0419B">
        <w:tc>
          <w:tcPr>
            <w:tcW w:w="1793" w:type="dxa"/>
            <w:shd w:val="clear" w:color="auto" w:fill="D9D9D9" w:themeFill="background1" w:themeFillShade="D9"/>
          </w:tcPr>
          <w:p w14:paraId="2DBECD40"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39</w:t>
            </w:r>
          </w:p>
        </w:tc>
        <w:tc>
          <w:tcPr>
            <w:tcW w:w="868" w:type="dxa"/>
          </w:tcPr>
          <w:p w14:paraId="0BD4DB42"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D9D9D9" w:themeFill="background1" w:themeFillShade="D9"/>
          </w:tcPr>
          <w:p w14:paraId="7FEC1FA1"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96</w:t>
            </w:r>
          </w:p>
        </w:tc>
        <w:tc>
          <w:tcPr>
            <w:tcW w:w="992" w:type="dxa"/>
          </w:tcPr>
          <w:p w14:paraId="20866D95"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r>
      <w:tr w:rsidR="00EB0BEF" w:rsidRPr="007F131A" w14:paraId="2000EBD4" w14:textId="77777777" w:rsidTr="00A0419B">
        <w:tc>
          <w:tcPr>
            <w:tcW w:w="1793" w:type="dxa"/>
            <w:shd w:val="clear" w:color="auto" w:fill="D9D9D9" w:themeFill="background1" w:themeFillShade="D9"/>
          </w:tcPr>
          <w:p w14:paraId="4952F949"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41</w:t>
            </w:r>
          </w:p>
        </w:tc>
        <w:tc>
          <w:tcPr>
            <w:tcW w:w="868" w:type="dxa"/>
          </w:tcPr>
          <w:p w14:paraId="0F323AB7"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eastAsia="Times New Roman" w:hAnsi="Calibri" w:cs="Arial"/>
                <w:sz w:val="20"/>
                <w:szCs w:val="20"/>
              </w:rPr>
              <w:t>1</w:t>
            </w:r>
          </w:p>
        </w:tc>
        <w:tc>
          <w:tcPr>
            <w:tcW w:w="2268" w:type="dxa"/>
            <w:shd w:val="clear" w:color="auto" w:fill="auto"/>
          </w:tcPr>
          <w:p w14:paraId="1503461D" w14:textId="77777777" w:rsidR="00EB0BEF" w:rsidRPr="007F131A" w:rsidRDefault="00EB0BEF" w:rsidP="00A0419B">
            <w:pPr>
              <w:spacing w:after="0" w:line="240" w:lineRule="auto"/>
              <w:jc w:val="right"/>
              <w:outlineLvl w:val="0"/>
              <w:rPr>
                <w:rFonts w:ascii="Calibri" w:hAnsi="Calibri"/>
                <w:b/>
                <w:sz w:val="20"/>
                <w:szCs w:val="20"/>
                <w:lang w:val="en-US"/>
              </w:rPr>
            </w:pPr>
            <w:r w:rsidRPr="007F131A">
              <w:rPr>
                <w:rFonts w:ascii="Calibri" w:hAnsi="Calibri"/>
                <w:b/>
                <w:sz w:val="20"/>
                <w:szCs w:val="20"/>
                <w:lang w:val="en-US"/>
              </w:rPr>
              <w:t>Total</w:t>
            </w:r>
          </w:p>
        </w:tc>
        <w:tc>
          <w:tcPr>
            <w:tcW w:w="992" w:type="dxa"/>
          </w:tcPr>
          <w:p w14:paraId="39A592E3" w14:textId="77777777" w:rsidR="00EB0BEF" w:rsidRPr="007F131A" w:rsidRDefault="00EB0BEF" w:rsidP="00A0419B">
            <w:pPr>
              <w:spacing w:after="0" w:line="240" w:lineRule="auto"/>
              <w:jc w:val="center"/>
              <w:outlineLvl w:val="0"/>
              <w:rPr>
                <w:rFonts w:ascii="Calibri" w:hAnsi="Calibri"/>
                <w:b/>
                <w:sz w:val="20"/>
                <w:szCs w:val="20"/>
                <w:lang w:val="en-US"/>
              </w:rPr>
            </w:pPr>
            <w:r w:rsidRPr="007F131A">
              <w:rPr>
                <w:rFonts w:ascii="Calibri" w:hAnsi="Calibri"/>
                <w:b/>
                <w:sz w:val="20"/>
                <w:szCs w:val="20"/>
                <w:lang w:val="en-US"/>
              </w:rPr>
              <w:t>140</w:t>
            </w:r>
          </w:p>
        </w:tc>
      </w:tr>
      <w:tr w:rsidR="00EB0BEF" w:rsidRPr="007F131A" w14:paraId="269695D2" w14:textId="77777777" w:rsidTr="00A0419B">
        <w:tc>
          <w:tcPr>
            <w:tcW w:w="1793" w:type="dxa"/>
            <w:shd w:val="clear" w:color="auto" w:fill="D9D9D9" w:themeFill="background1" w:themeFillShade="D9"/>
          </w:tcPr>
          <w:p w14:paraId="5E63E3EE" w14:textId="77777777" w:rsidR="00EB0BEF" w:rsidRPr="007F131A" w:rsidRDefault="00EB0BEF" w:rsidP="00A0419B">
            <w:pPr>
              <w:spacing w:after="0" w:line="240" w:lineRule="auto"/>
              <w:jc w:val="center"/>
              <w:outlineLvl w:val="0"/>
              <w:rPr>
                <w:rFonts w:ascii="Calibri" w:eastAsia="Times New Roman" w:hAnsi="Calibri" w:cs="Arial"/>
                <w:sz w:val="20"/>
                <w:szCs w:val="20"/>
              </w:rPr>
            </w:pPr>
            <w:r w:rsidRPr="007F131A">
              <w:rPr>
                <w:rFonts w:ascii="Calibri" w:eastAsia="Times New Roman" w:hAnsi="Calibri" w:cs="Arial"/>
                <w:sz w:val="20"/>
                <w:szCs w:val="20"/>
              </w:rPr>
              <w:t>42</w:t>
            </w:r>
          </w:p>
        </w:tc>
        <w:tc>
          <w:tcPr>
            <w:tcW w:w="868" w:type="dxa"/>
          </w:tcPr>
          <w:p w14:paraId="392BF8FA" w14:textId="77777777" w:rsidR="00EB0BEF" w:rsidRPr="007F131A" w:rsidRDefault="00EB0BEF" w:rsidP="00A0419B">
            <w:pPr>
              <w:spacing w:after="0" w:line="240" w:lineRule="auto"/>
              <w:jc w:val="center"/>
              <w:outlineLvl w:val="0"/>
              <w:rPr>
                <w:rFonts w:ascii="Calibri" w:eastAsia="Times New Roman" w:hAnsi="Calibri" w:cs="Arial"/>
                <w:sz w:val="20"/>
                <w:szCs w:val="20"/>
              </w:rPr>
            </w:pPr>
            <w:r w:rsidRPr="007F131A">
              <w:rPr>
                <w:rFonts w:ascii="Calibri" w:eastAsia="Times New Roman" w:hAnsi="Calibri" w:cs="Arial"/>
                <w:sz w:val="20"/>
                <w:szCs w:val="20"/>
              </w:rPr>
              <w:t>2</w:t>
            </w:r>
          </w:p>
        </w:tc>
        <w:tc>
          <w:tcPr>
            <w:tcW w:w="2268" w:type="dxa"/>
          </w:tcPr>
          <w:p w14:paraId="66FB6EA7" w14:textId="77777777" w:rsidR="00EB0BEF" w:rsidRPr="007F131A" w:rsidRDefault="00EB0BEF" w:rsidP="00A0419B">
            <w:pPr>
              <w:spacing w:after="0" w:line="240" w:lineRule="auto"/>
              <w:jc w:val="center"/>
              <w:outlineLvl w:val="0"/>
              <w:rPr>
                <w:rFonts w:ascii="Calibri" w:hAnsi="Calibri"/>
                <w:b/>
                <w:sz w:val="20"/>
                <w:szCs w:val="20"/>
                <w:lang w:val="en-US"/>
              </w:rPr>
            </w:pPr>
          </w:p>
        </w:tc>
        <w:tc>
          <w:tcPr>
            <w:tcW w:w="992" w:type="dxa"/>
          </w:tcPr>
          <w:p w14:paraId="56D0E2B8" w14:textId="77777777" w:rsidR="00EB0BEF" w:rsidRPr="007F131A" w:rsidRDefault="00EB0BEF" w:rsidP="00A0419B">
            <w:pPr>
              <w:spacing w:after="0" w:line="240" w:lineRule="auto"/>
              <w:jc w:val="center"/>
              <w:outlineLvl w:val="0"/>
              <w:rPr>
                <w:rFonts w:ascii="Calibri" w:hAnsi="Calibri"/>
                <w:b/>
                <w:sz w:val="20"/>
                <w:szCs w:val="20"/>
                <w:lang w:val="en-US"/>
              </w:rPr>
            </w:pPr>
          </w:p>
        </w:tc>
      </w:tr>
    </w:tbl>
    <w:p w14:paraId="79FE5F1E" w14:textId="77777777" w:rsidR="00EB0BEF" w:rsidRPr="007F131A" w:rsidRDefault="00EB0BEF" w:rsidP="00EB0BEF">
      <w:pPr>
        <w:spacing w:after="0" w:line="240" w:lineRule="auto"/>
        <w:outlineLvl w:val="0"/>
        <w:rPr>
          <w:rFonts w:asciiTheme="minorHAnsi" w:hAnsiTheme="minorHAnsi"/>
          <w:b/>
          <w:sz w:val="24"/>
          <w:szCs w:val="24"/>
          <w:lang w:val="en-US"/>
        </w:rPr>
      </w:pPr>
    </w:p>
    <w:p w14:paraId="2E940D31" w14:textId="77777777" w:rsidR="00EB0BEF" w:rsidRPr="007F131A" w:rsidRDefault="00EB0BEF" w:rsidP="00EB0BEF">
      <w:pPr>
        <w:spacing w:after="0" w:line="240" w:lineRule="auto"/>
        <w:outlineLvl w:val="0"/>
        <w:rPr>
          <w:rFonts w:asciiTheme="minorHAnsi" w:hAnsiTheme="minorHAnsi"/>
          <w:b/>
          <w:sz w:val="24"/>
          <w:szCs w:val="24"/>
          <w:lang w:val="en-US"/>
        </w:rPr>
      </w:pPr>
    </w:p>
    <w:p w14:paraId="00CADE0E" w14:textId="77777777" w:rsidR="00EB0BEF" w:rsidRPr="007F131A" w:rsidRDefault="00EB0BEF" w:rsidP="00EB0BEF">
      <w:pPr>
        <w:spacing w:after="0" w:line="240" w:lineRule="auto"/>
        <w:rPr>
          <w:rFonts w:asciiTheme="minorHAnsi" w:hAnsiTheme="minorHAnsi"/>
          <w:b/>
          <w:sz w:val="24"/>
          <w:szCs w:val="24"/>
          <w:lang w:val="en-US"/>
        </w:rPr>
      </w:pPr>
      <w:r w:rsidRPr="007F131A">
        <w:rPr>
          <w:rFonts w:asciiTheme="minorHAnsi" w:hAnsiTheme="minorHAnsi"/>
          <w:b/>
          <w:sz w:val="24"/>
          <w:szCs w:val="24"/>
          <w:lang w:val="en-US"/>
        </w:rPr>
        <w:br w:type="page"/>
      </w:r>
    </w:p>
    <w:p w14:paraId="01B57CFB" w14:textId="77777777" w:rsidR="00EB0BEF" w:rsidRPr="007F131A" w:rsidRDefault="00EB0BEF" w:rsidP="00EB0BEF">
      <w:pPr>
        <w:spacing w:after="0" w:line="240" w:lineRule="auto"/>
        <w:outlineLvl w:val="0"/>
        <w:rPr>
          <w:b/>
          <w:sz w:val="24"/>
          <w:szCs w:val="24"/>
          <w:lang w:val="en-US"/>
        </w:rPr>
      </w:pPr>
      <w:r w:rsidRPr="007F131A">
        <w:rPr>
          <w:rFonts w:asciiTheme="minorHAnsi" w:hAnsiTheme="minorHAnsi"/>
          <w:b/>
          <w:sz w:val="24"/>
          <w:szCs w:val="24"/>
          <w:lang w:val="en-US"/>
        </w:rPr>
        <w:lastRenderedPageBreak/>
        <w:t>Table III. KIBS firms (25 companies = 125 firm-year observations)</w:t>
      </w:r>
    </w:p>
    <w:p w14:paraId="2A885E03" w14:textId="77777777" w:rsidR="00EB0BEF" w:rsidRPr="007F131A" w:rsidRDefault="00EB0BEF" w:rsidP="00EB0BEF">
      <w:pPr>
        <w:spacing w:after="0" w:line="240" w:lineRule="auto"/>
        <w:outlineLvl w:val="0"/>
        <w:rPr>
          <w:rFonts w:asciiTheme="minorHAnsi" w:hAnsiTheme="minorHAnsi"/>
          <w:b/>
          <w:sz w:val="24"/>
          <w:szCs w:val="24"/>
          <w:lang w:val="en-US"/>
        </w:rPr>
      </w:pPr>
    </w:p>
    <w:tbl>
      <w:tblPr>
        <w:tblStyle w:val="TableGrid"/>
        <w:tblW w:w="0" w:type="auto"/>
        <w:tblLook w:val="04A0" w:firstRow="1" w:lastRow="0" w:firstColumn="1" w:lastColumn="0" w:noHBand="0" w:noVBand="1"/>
      </w:tblPr>
      <w:tblGrid>
        <w:gridCol w:w="2482"/>
        <w:gridCol w:w="2935"/>
        <w:gridCol w:w="3343"/>
        <w:gridCol w:w="868"/>
      </w:tblGrid>
      <w:tr w:rsidR="00EB0BEF" w:rsidRPr="007F131A" w14:paraId="4A78976F" w14:textId="77777777" w:rsidTr="00A0419B">
        <w:tc>
          <w:tcPr>
            <w:tcW w:w="2482" w:type="dxa"/>
          </w:tcPr>
          <w:p w14:paraId="4C8B5A3D" w14:textId="77777777" w:rsidR="00EB0BEF" w:rsidRPr="007F131A" w:rsidRDefault="00EB0BEF" w:rsidP="00A0419B">
            <w:pPr>
              <w:spacing w:after="0" w:line="240" w:lineRule="auto"/>
              <w:rPr>
                <w:rFonts w:ascii="Calibri" w:eastAsia="Times New Roman" w:hAnsi="Calibri"/>
                <w:b/>
                <w:sz w:val="18"/>
                <w:szCs w:val="18"/>
                <w:lang w:eastAsia="it-IT"/>
              </w:rPr>
            </w:pPr>
            <w:r w:rsidRPr="007F131A">
              <w:rPr>
                <w:rFonts w:ascii="Calibri" w:eastAsia="Times New Roman" w:hAnsi="Calibri"/>
                <w:b/>
                <w:sz w:val="18"/>
                <w:szCs w:val="18"/>
                <w:lang w:eastAsia="it-IT"/>
              </w:rPr>
              <w:t>KIBS classification</w:t>
            </w:r>
          </w:p>
          <w:p w14:paraId="1911A9BF" w14:textId="77777777" w:rsidR="00EB0BEF" w:rsidRPr="007F131A" w:rsidRDefault="00EB0BEF" w:rsidP="00A0419B">
            <w:pPr>
              <w:spacing w:after="0" w:line="240" w:lineRule="auto"/>
              <w:rPr>
                <w:rFonts w:ascii="Calibri" w:hAnsi="Calibri" w:cs="Times New Roman"/>
                <w:b/>
                <w:sz w:val="18"/>
                <w:szCs w:val="18"/>
                <w:lang w:val="en-US"/>
              </w:rPr>
            </w:pPr>
            <w:r w:rsidRPr="007F131A">
              <w:rPr>
                <w:rFonts w:ascii="Calibri" w:eastAsia="Times New Roman" w:hAnsi="Calibri"/>
                <w:b/>
                <w:sz w:val="18"/>
                <w:szCs w:val="18"/>
                <w:lang w:eastAsia="it-IT"/>
              </w:rPr>
              <w:t>NACE Rev. 2</w:t>
            </w:r>
          </w:p>
        </w:tc>
        <w:tc>
          <w:tcPr>
            <w:tcW w:w="2935" w:type="dxa"/>
          </w:tcPr>
          <w:p w14:paraId="55A9BC6F" w14:textId="77777777" w:rsidR="00EB0BEF" w:rsidRPr="007F131A" w:rsidRDefault="00EB0BEF" w:rsidP="00A0419B">
            <w:pPr>
              <w:spacing w:after="0" w:line="240" w:lineRule="auto"/>
              <w:outlineLvl w:val="0"/>
              <w:rPr>
                <w:rFonts w:ascii="Calibri" w:hAnsi="Calibri" w:cs="Times New Roman"/>
                <w:b/>
                <w:sz w:val="18"/>
                <w:szCs w:val="18"/>
                <w:lang w:val="en-US"/>
              </w:rPr>
            </w:pPr>
            <w:r w:rsidRPr="007F131A">
              <w:rPr>
                <w:b/>
                <w:sz w:val="18"/>
                <w:szCs w:val="18"/>
                <w:lang w:val="en-US"/>
              </w:rPr>
              <w:t>Description of section</w:t>
            </w:r>
          </w:p>
        </w:tc>
        <w:tc>
          <w:tcPr>
            <w:tcW w:w="3343" w:type="dxa"/>
          </w:tcPr>
          <w:p w14:paraId="6BAEC311" w14:textId="77777777" w:rsidR="00EB0BEF" w:rsidRPr="007F131A" w:rsidRDefault="00EB0BEF" w:rsidP="00A0419B">
            <w:pPr>
              <w:spacing w:after="0" w:line="240" w:lineRule="auto"/>
              <w:outlineLvl w:val="0"/>
              <w:rPr>
                <w:rFonts w:ascii="Calibri" w:hAnsi="Calibri" w:cs="Times New Roman"/>
                <w:b/>
                <w:sz w:val="18"/>
                <w:szCs w:val="18"/>
                <w:lang w:val="en-US"/>
              </w:rPr>
            </w:pPr>
            <w:r w:rsidRPr="007F131A">
              <w:rPr>
                <w:b/>
                <w:sz w:val="18"/>
                <w:szCs w:val="18"/>
                <w:lang w:val="en-US"/>
              </w:rPr>
              <w:t>Description of division</w:t>
            </w:r>
          </w:p>
        </w:tc>
        <w:tc>
          <w:tcPr>
            <w:tcW w:w="868" w:type="dxa"/>
          </w:tcPr>
          <w:p w14:paraId="2A7E4DBA" w14:textId="77777777" w:rsidR="00EB0BEF" w:rsidRPr="007F131A" w:rsidRDefault="00EB0BEF" w:rsidP="00A0419B">
            <w:pPr>
              <w:spacing w:after="0" w:line="240" w:lineRule="auto"/>
              <w:jc w:val="center"/>
              <w:outlineLvl w:val="0"/>
              <w:rPr>
                <w:rFonts w:ascii="Calibri" w:hAnsi="Calibri" w:cs="Times New Roman"/>
                <w:b/>
                <w:sz w:val="18"/>
                <w:szCs w:val="18"/>
                <w:lang w:val="en-US"/>
              </w:rPr>
            </w:pPr>
            <w:r w:rsidRPr="007F131A">
              <w:rPr>
                <w:b/>
                <w:sz w:val="18"/>
                <w:szCs w:val="18"/>
                <w:lang w:val="en-US"/>
              </w:rPr>
              <w:t>N.</w:t>
            </w:r>
          </w:p>
        </w:tc>
      </w:tr>
      <w:tr w:rsidR="00EB0BEF" w:rsidRPr="007F131A" w14:paraId="4BAE18D9" w14:textId="77777777" w:rsidTr="00A0419B">
        <w:tc>
          <w:tcPr>
            <w:tcW w:w="2482" w:type="dxa"/>
          </w:tcPr>
          <w:p w14:paraId="0F566661"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NACE Code 62</w:t>
            </w:r>
          </w:p>
        </w:tc>
        <w:tc>
          <w:tcPr>
            <w:tcW w:w="2935" w:type="dxa"/>
          </w:tcPr>
          <w:p w14:paraId="00A23DAE"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Information and communication</w:t>
            </w:r>
          </w:p>
        </w:tc>
        <w:tc>
          <w:tcPr>
            <w:tcW w:w="3343" w:type="dxa"/>
          </w:tcPr>
          <w:p w14:paraId="6B24F6A7"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Computer programming,</w:t>
            </w:r>
          </w:p>
          <w:p w14:paraId="04175896"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consultancy and related activities</w:t>
            </w:r>
          </w:p>
        </w:tc>
        <w:tc>
          <w:tcPr>
            <w:tcW w:w="868" w:type="dxa"/>
          </w:tcPr>
          <w:p w14:paraId="0EAE3183" w14:textId="77777777" w:rsidR="00EB0BEF" w:rsidRPr="007F131A" w:rsidRDefault="00EB0BEF" w:rsidP="00A0419B">
            <w:pPr>
              <w:spacing w:after="0" w:line="240" w:lineRule="auto"/>
              <w:jc w:val="center"/>
              <w:outlineLvl w:val="0"/>
              <w:rPr>
                <w:rFonts w:ascii="Calibri" w:hAnsi="Calibri" w:cs="Times New Roman"/>
                <w:sz w:val="18"/>
                <w:szCs w:val="18"/>
                <w:lang w:val="en-US"/>
              </w:rPr>
            </w:pPr>
            <w:r w:rsidRPr="007F131A">
              <w:rPr>
                <w:rFonts w:ascii="Calibri" w:hAnsi="Calibri"/>
                <w:sz w:val="18"/>
                <w:szCs w:val="18"/>
                <w:lang w:val="en-US"/>
              </w:rPr>
              <w:t>7</w:t>
            </w:r>
          </w:p>
        </w:tc>
      </w:tr>
      <w:tr w:rsidR="00EB0BEF" w:rsidRPr="007F131A" w14:paraId="5A8EA908" w14:textId="77777777" w:rsidTr="00A0419B">
        <w:tc>
          <w:tcPr>
            <w:tcW w:w="2482" w:type="dxa"/>
          </w:tcPr>
          <w:p w14:paraId="70FC27C1"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NACE Code 63</w:t>
            </w:r>
          </w:p>
        </w:tc>
        <w:tc>
          <w:tcPr>
            <w:tcW w:w="2935" w:type="dxa"/>
          </w:tcPr>
          <w:p w14:paraId="148DF8AC"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Information and communication</w:t>
            </w:r>
          </w:p>
        </w:tc>
        <w:tc>
          <w:tcPr>
            <w:tcW w:w="3343" w:type="dxa"/>
          </w:tcPr>
          <w:p w14:paraId="2589A525"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Information service activities</w:t>
            </w:r>
          </w:p>
        </w:tc>
        <w:tc>
          <w:tcPr>
            <w:tcW w:w="868" w:type="dxa"/>
          </w:tcPr>
          <w:p w14:paraId="2C913AEF" w14:textId="77777777" w:rsidR="00EB0BEF" w:rsidRPr="007F131A" w:rsidRDefault="00EB0BEF" w:rsidP="00A0419B">
            <w:pPr>
              <w:spacing w:after="0" w:line="240" w:lineRule="auto"/>
              <w:jc w:val="center"/>
              <w:outlineLvl w:val="0"/>
              <w:rPr>
                <w:rFonts w:ascii="Calibri" w:hAnsi="Calibri" w:cs="Times New Roman"/>
                <w:sz w:val="18"/>
                <w:szCs w:val="18"/>
                <w:lang w:val="en-US"/>
              </w:rPr>
            </w:pPr>
            <w:r w:rsidRPr="007F131A">
              <w:rPr>
                <w:rFonts w:ascii="Calibri" w:hAnsi="Calibri"/>
                <w:sz w:val="18"/>
                <w:szCs w:val="18"/>
                <w:lang w:val="en-US"/>
              </w:rPr>
              <w:t>0</w:t>
            </w:r>
          </w:p>
        </w:tc>
      </w:tr>
      <w:tr w:rsidR="00EB0BEF" w:rsidRPr="007F131A" w14:paraId="52F0FCE6" w14:textId="77777777" w:rsidTr="00A0419B">
        <w:tc>
          <w:tcPr>
            <w:tcW w:w="2482" w:type="dxa"/>
          </w:tcPr>
          <w:p w14:paraId="2DF77951"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NACE Code 69</w:t>
            </w:r>
          </w:p>
        </w:tc>
        <w:tc>
          <w:tcPr>
            <w:tcW w:w="2935" w:type="dxa"/>
          </w:tcPr>
          <w:p w14:paraId="09F5D100"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Professional, scientific and technical activities</w:t>
            </w:r>
          </w:p>
        </w:tc>
        <w:tc>
          <w:tcPr>
            <w:tcW w:w="3343" w:type="dxa"/>
          </w:tcPr>
          <w:p w14:paraId="365FA5CC" w14:textId="77777777" w:rsidR="00EB0BEF" w:rsidRPr="007F131A" w:rsidRDefault="00EB0BEF" w:rsidP="00A0419B">
            <w:pPr>
              <w:spacing w:after="0" w:line="240" w:lineRule="auto"/>
              <w:outlineLvl w:val="0"/>
              <w:rPr>
                <w:rFonts w:ascii="Calibri" w:hAnsi="Calibri" w:cs="Times New Roman"/>
                <w:sz w:val="18"/>
                <w:szCs w:val="18"/>
                <w:lang w:val="en-US"/>
              </w:rPr>
            </w:pPr>
          </w:p>
        </w:tc>
        <w:tc>
          <w:tcPr>
            <w:tcW w:w="868" w:type="dxa"/>
          </w:tcPr>
          <w:p w14:paraId="0E6850D0" w14:textId="77777777" w:rsidR="00EB0BEF" w:rsidRPr="007F131A" w:rsidRDefault="00EB0BEF" w:rsidP="00A0419B">
            <w:pPr>
              <w:spacing w:after="0" w:line="240" w:lineRule="auto"/>
              <w:jc w:val="center"/>
              <w:outlineLvl w:val="0"/>
              <w:rPr>
                <w:rFonts w:ascii="Calibri" w:hAnsi="Calibri" w:cs="Times New Roman"/>
                <w:sz w:val="18"/>
                <w:szCs w:val="18"/>
                <w:lang w:val="en-US"/>
              </w:rPr>
            </w:pPr>
            <w:r w:rsidRPr="007F131A">
              <w:rPr>
                <w:rFonts w:ascii="Calibri" w:hAnsi="Calibri"/>
                <w:sz w:val="18"/>
                <w:szCs w:val="18"/>
                <w:lang w:val="en-US"/>
              </w:rPr>
              <w:t>0</w:t>
            </w:r>
          </w:p>
        </w:tc>
      </w:tr>
      <w:tr w:rsidR="00EB0BEF" w:rsidRPr="007F131A" w14:paraId="6034593B" w14:textId="77777777" w:rsidTr="00A0419B">
        <w:tc>
          <w:tcPr>
            <w:tcW w:w="2482" w:type="dxa"/>
          </w:tcPr>
          <w:p w14:paraId="0222EC62"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NACE Code 70</w:t>
            </w:r>
          </w:p>
        </w:tc>
        <w:tc>
          <w:tcPr>
            <w:tcW w:w="2935" w:type="dxa"/>
          </w:tcPr>
          <w:p w14:paraId="10D32380"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Information and communication</w:t>
            </w:r>
          </w:p>
        </w:tc>
        <w:tc>
          <w:tcPr>
            <w:tcW w:w="3343" w:type="dxa"/>
          </w:tcPr>
          <w:p w14:paraId="0F05AC50"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Activities of head offices;</w:t>
            </w:r>
          </w:p>
          <w:p w14:paraId="67B03621"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management consultancy activities</w:t>
            </w:r>
          </w:p>
        </w:tc>
        <w:tc>
          <w:tcPr>
            <w:tcW w:w="868" w:type="dxa"/>
          </w:tcPr>
          <w:p w14:paraId="6E196B40" w14:textId="77777777" w:rsidR="00EB0BEF" w:rsidRPr="007F131A" w:rsidRDefault="00EB0BEF" w:rsidP="00A0419B">
            <w:pPr>
              <w:spacing w:after="0" w:line="240" w:lineRule="auto"/>
              <w:jc w:val="center"/>
              <w:outlineLvl w:val="0"/>
              <w:rPr>
                <w:rFonts w:ascii="Calibri" w:hAnsi="Calibri" w:cs="Times New Roman"/>
                <w:sz w:val="18"/>
                <w:szCs w:val="18"/>
                <w:lang w:val="en-US"/>
              </w:rPr>
            </w:pPr>
            <w:r w:rsidRPr="007F131A">
              <w:rPr>
                <w:rFonts w:ascii="Calibri" w:hAnsi="Calibri"/>
                <w:sz w:val="18"/>
                <w:szCs w:val="18"/>
                <w:lang w:val="en-US"/>
              </w:rPr>
              <w:t>15</w:t>
            </w:r>
          </w:p>
        </w:tc>
      </w:tr>
      <w:tr w:rsidR="00EB0BEF" w:rsidRPr="007F131A" w14:paraId="2699B841" w14:textId="77777777" w:rsidTr="00A0419B">
        <w:tc>
          <w:tcPr>
            <w:tcW w:w="2482" w:type="dxa"/>
          </w:tcPr>
          <w:p w14:paraId="53500453"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NACE Code 71</w:t>
            </w:r>
          </w:p>
        </w:tc>
        <w:tc>
          <w:tcPr>
            <w:tcW w:w="2935" w:type="dxa"/>
          </w:tcPr>
          <w:p w14:paraId="3FC2C077"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Professional, scientific and technical activities</w:t>
            </w:r>
          </w:p>
        </w:tc>
        <w:tc>
          <w:tcPr>
            <w:tcW w:w="3343" w:type="dxa"/>
          </w:tcPr>
          <w:p w14:paraId="2D5E66AE"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Architectural and engineering activities; technical testing and analysis</w:t>
            </w:r>
          </w:p>
        </w:tc>
        <w:tc>
          <w:tcPr>
            <w:tcW w:w="868" w:type="dxa"/>
          </w:tcPr>
          <w:p w14:paraId="1995E5B3" w14:textId="77777777" w:rsidR="00EB0BEF" w:rsidRPr="007F131A" w:rsidRDefault="00EB0BEF" w:rsidP="00A0419B">
            <w:pPr>
              <w:spacing w:after="0" w:line="240" w:lineRule="auto"/>
              <w:jc w:val="center"/>
              <w:outlineLvl w:val="0"/>
              <w:rPr>
                <w:rFonts w:ascii="Calibri" w:hAnsi="Calibri" w:cs="Times New Roman"/>
                <w:sz w:val="18"/>
                <w:szCs w:val="18"/>
                <w:lang w:val="en-US"/>
              </w:rPr>
            </w:pPr>
            <w:r w:rsidRPr="007F131A">
              <w:rPr>
                <w:rFonts w:ascii="Calibri" w:hAnsi="Calibri"/>
                <w:sz w:val="18"/>
                <w:szCs w:val="18"/>
                <w:lang w:val="en-US"/>
              </w:rPr>
              <w:t>0</w:t>
            </w:r>
          </w:p>
        </w:tc>
      </w:tr>
      <w:tr w:rsidR="00EB0BEF" w:rsidRPr="007F131A" w14:paraId="39609A63" w14:textId="77777777" w:rsidTr="00A0419B">
        <w:tc>
          <w:tcPr>
            <w:tcW w:w="2482" w:type="dxa"/>
          </w:tcPr>
          <w:p w14:paraId="723E603D"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NACE Code 72</w:t>
            </w:r>
          </w:p>
        </w:tc>
        <w:tc>
          <w:tcPr>
            <w:tcW w:w="2935" w:type="dxa"/>
          </w:tcPr>
          <w:p w14:paraId="5DFF0110"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Professional, scientific and technical activities</w:t>
            </w:r>
          </w:p>
        </w:tc>
        <w:tc>
          <w:tcPr>
            <w:tcW w:w="3343" w:type="dxa"/>
          </w:tcPr>
          <w:p w14:paraId="1AD8BB3A"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Scientific research and development</w:t>
            </w:r>
          </w:p>
        </w:tc>
        <w:tc>
          <w:tcPr>
            <w:tcW w:w="868" w:type="dxa"/>
          </w:tcPr>
          <w:p w14:paraId="07934F94" w14:textId="77777777" w:rsidR="00EB0BEF" w:rsidRPr="007F131A" w:rsidRDefault="00EB0BEF" w:rsidP="00A0419B">
            <w:pPr>
              <w:spacing w:after="0" w:line="240" w:lineRule="auto"/>
              <w:jc w:val="center"/>
              <w:outlineLvl w:val="0"/>
              <w:rPr>
                <w:rFonts w:ascii="Calibri" w:hAnsi="Calibri" w:cs="Times New Roman"/>
                <w:sz w:val="18"/>
                <w:szCs w:val="18"/>
                <w:lang w:val="en-US"/>
              </w:rPr>
            </w:pPr>
            <w:r w:rsidRPr="007F131A">
              <w:rPr>
                <w:rFonts w:ascii="Calibri" w:hAnsi="Calibri"/>
                <w:sz w:val="18"/>
                <w:szCs w:val="18"/>
                <w:lang w:val="en-US"/>
              </w:rPr>
              <w:t>2</w:t>
            </w:r>
          </w:p>
        </w:tc>
      </w:tr>
      <w:tr w:rsidR="00EB0BEF" w:rsidRPr="007F131A" w14:paraId="198828BC" w14:textId="77777777" w:rsidTr="00A0419B">
        <w:tc>
          <w:tcPr>
            <w:tcW w:w="2482" w:type="dxa"/>
          </w:tcPr>
          <w:p w14:paraId="4A0F9597"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NACE Code 73</w:t>
            </w:r>
          </w:p>
        </w:tc>
        <w:tc>
          <w:tcPr>
            <w:tcW w:w="2935" w:type="dxa"/>
            <w:tcBorders>
              <w:bottom w:val="single" w:sz="4" w:space="0" w:color="auto"/>
            </w:tcBorders>
          </w:tcPr>
          <w:p w14:paraId="52EAA296"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Professional, scientific and technical activities</w:t>
            </w:r>
          </w:p>
        </w:tc>
        <w:tc>
          <w:tcPr>
            <w:tcW w:w="3343" w:type="dxa"/>
            <w:tcBorders>
              <w:bottom w:val="single" w:sz="4" w:space="0" w:color="auto"/>
            </w:tcBorders>
          </w:tcPr>
          <w:p w14:paraId="0E6C4171" w14:textId="77777777" w:rsidR="00EB0BEF" w:rsidRPr="007F131A" w:rsidRDefault="00EB0BEF" w:rsidP="00A0419B">
            <w:pPr>
              <w:spacing w:after="0" w:line="240" w:lineRule="auto"/>
              <w:outlineLvl w:val="0"/>
              <w:rPr>
                <w:rFonts w:ascii="Calibri" w:hAnsi="Calibri" w:cs="Times New Roman"/>
                <w:sz w:val="18"/>
                <w:szCs w:val="18"/>
                <w:lang w:val="en-US"/>
              </w:rPr>
            </w:pPr>
            <w:r w:rsidRPr="007F131A">
              <w:rPr>
                <w:sz w:val="18"/>
                <w:szCs w:val="18"/>
                <w:lang w:val="en-US"/>
              </w:rPr>
              <w:t>Advertising and market research</w:t>
            </w:r>
          </w:p>
        </w:tc>
        <w:tc>
          <w:tcPr>
            <w:tcW w:w="868" w:type="dxa"/>
          </w:tcPr>
          <w:p w14:paraId="6A174392" w14:textId="77777777" w:rsidR="00EB0BEF" w:rsidRPr="007F131A" w:rsidRDefault="00EB0BEF" w:rsidP="00A0419B">
            <w:pPr>
              <w:spacing w:after="0" w:line="240" w:lineRule="auto"/>
              <w:jc w:val="center"/>
              <w:outlineLvl w:val="0"/>
              <w:rPr>
                <w:rFonts w:ascii="Calibri" w:hAnsi="Calibri" w:cs="Times New Roman"/>
                <w:sz w:val="18"/>
                <w:szCs w:val="18"/>
                <w:lang w:val="en-US"/>
              </w:rPr>
            </w:pPr>
            <w:r w:rsidRPr="007F131A">
              <w:rPr>
                <w:rFonts w:ascii="Calibri" w:hAnsi="Calibri"/>
                <w:sz w:val="18"/>
                <w:szCs w:val="18"/>
                <w:lang w:val="en-US"/>
              </w:rPr>
              <w:t>1</w:t>
            </w:r>
          </w:p>
        </w:tc>
      </w:tr>
      <w:tr w:rsidR="00EB0BEF" w:rsidRPr="007F131A" w14:paraId="61DD0602" w14:textId="77777777" w:rsidTr="00A0419B">
        <w:trPr>
          <w:trHeight w:val="424"/>
        </w:trPr>
        <w:tc>
          <w:tcPr>
            <w:tcW w:w="2482" w:type="dxa"/>
            <w:tcBorders>
              <w:right w:val="nil"/>
            </w:tcBorders>
          </w:tcPr>
          <w:p w14:paraId="178F6EF8" w14:textId="77777777" w:rsidR="00EB0BEF" w:rsidRPr="007F131A" w:rsidRDefault="00EB0BEF" w:rsidP="00A0419B">
            <w:pPr>
              <w:spacing w:after="0" w:line="240" w:lineRule="auto"/>
              <w:outlineLvl w:val="0"/>
              <w:rPr>
                <w:rFonts w:ascii="Calibri" w:hAnsi="Calibri"/>
                <w:sz w:val="18"/>
                <w:szCs w:val="18"/>
                <w:lang w:val="en-US"/>
              </w:rPr>
            </w:pPr>
          </w:p>
        </w:tc>
        <w:tc>
          <w:tcPr>
            <w:tcW w:w="6278" w:type="dxa"/>
            <w:gridSpan w:val="2"/>
            <w:tcBorders>
              <w:left w:val="nil"/>
            </w:tcBorders>
            <w:vAlign w:val="center"/>
          </w:tcPr>
          <w:p w14:paraId="74A0DC2F" w14:textId="77777777" w:rsidR="00EB0BEF" w:rsidRPr="007F131A" w:rsidRDefault="00EB0BEF" w:rsidP="00A0419B">
            <w:pPr>
              <w:spacing w:after="0" w:line="240" w:lineRule="auto"/>
              <w:jc w:val="right"/>
              <w:outlineLvl w:val="0"/>
              <w:rPr>
                <w:rFonts w:ascii="Calibri" w:hAnsi="Calibri"/>
                <w:sz w:val="18"/>
                <w:szCs w:val="18"/>
                <w:lang w:val="en-US"/>
              </w:rPr>
            </w:pPr>
            <w:r w:rsidRPr="007F131A">
              <w:rPr>
                <w:rFonts w:ascii="Calibri" w:hAnsi="Calibri"/>
                <w:sz w:val="18"/>
                <w:szCs w:val="18"/>
                <w:lang w:val="en-US"/>
              </w:rPr>
              <w:t>Total KIBS companies</w:t>
            </w:r>
          </w:p>
        </w:tc>
        <w:tc>
          <w:tcPr>
            <w:tcW w:w="868" w:type="dxa"/>
            <w:vAlign w:val="center"/>
          </w:tcPr>
          <w:p w14:paraId="5A2BEAD6" w14:textId="77777777" w:rsidR="00EB0BEF" w:rsidRPr="007F131A" w:rsidRDefault="00EB0BEF" w:rsidP="00A0419B">
            <w:pPr>
              <w:spacing w:after="0" w:line="240" w:lineRule="auto"/>
              <w:jc w:val="center"/>
              <w:outlineLvl w:val="0"/>
              <w:rPr>
                <w:rFonts w:ascii="Calibri" w:hAnsi="Calibri"/>
                <w:b/>
                <w:sz w:val="18"/>
                <w:szCs w:val="18"/>
                <w:lang w:val="en-US"/>
              </w:rPr>
            </w:pPr>
            <w:r w:rsidRPr="007F131A">
              <w:rPr>
                <w:rFonts w:ascii="Calibri" w:hAnsi="Calibri"/>
                <w:b/>
                <w:sz w:val="18"/>
                <w:szCs w:val="18"/>
                <w:lang w:val="en-US"/>
              </w:rPr>
              <w:t>25</w:t>
            </w:r>
          </w:p>
        </w:tc>
      </w:tr>
      <w:tr w:rsidR="00EB0BEF" w:rsidRPr="007F131A" w14:paraId="2622F157" w14:textId="77777777" w:rsidTr="00A0419B">
        <w:trPr>
          <w:trHeight w:val="424"/>
        </w:trPr>
        <w:tc>
          <w:tcPr>
            <w:tcW w:w="9628" w:type="dxa"/>
            <w:gridSpan w:val="4"/>
            <w:vAlign w:val="center"/>
          </w:tcPr>
          <w:p w14:paraId="773C54A3" w14:textId="77777777" w:rsidR="00EB0BEF" w:rsidRPr="007F131A" w:rsidRDefault="00EB0BEF" w:rsidP="00A0419B">
            <w:pPr>
              <w:spacing w:after="0" w:line="240" w:lineRule="auto"/>
              <w:outlineLvl w:val="0"/>
              <w:rPr>
                <w:rFonts w:ascii="Calibri" w:hAnsi="Calibri"/>
                <w:sz w:val="18"/>
                <w:szCs w:val="18"/>
                <w:lang w:val="en-US"/>
              </w:rPr>
            </w:pPr>
            <w:r w:rsidRPr="007F131A">
              <w:rPr>
                <w:rFonts w:ascii="Calibri" w:hAnsi="Calibri"/>
                <w:sz w:val="18"/>
                <w:szCs w:val="18"/>
                <w:lang w:val="en-US"/>
              </w:rPr>
              <w:t>Sample firms:</w:t>
            </w:r>
          </w:p>
          <w:p w14:paraId="6087F037" w14:textId="77777777" w:rsidR="00EB0BEF" w:rsidRPr="007F131A" w:rsidRDefault="00EB0BEF" w:rsidP="00A0419B">
            <w:pPr>
              <w:spacing w:after="0" w:line="240" w:lineRule="auto"/>
              <w:outlineLvl w:val="0"/>
              <w:rPr>
                <w:rFonts w:ascii="Calibri" w:hAnsi="Calibri"/>
                <w:sz w:val="18"/>
                <w:szCs w:val="18"/>
                <w:lang w:val="en-US"/>
              </w:rPr>
            </w:pPr>
            <w:r w:rsidRPr="007F131A">
              <w:rPr>
                <w:sz w:val="18"/>
                <w:szCs w:val="18"/>
                <w:lang w:val="en-US"/>
              </w:rPr>
              <w:t>25 KIBS industry firms (25/140= 17.86%)</w:t>
            </w:r>
          </w:p>
          <w:p w14:paraId="5A1769B0" w14:textId="77777777" w:rsidR="00EB0BEF" w:rsidRPr="007F131A" w:rsidRDefault="00EB0BEF" w:rsidP="00A0419B">
            <w:pPr>
              <w:spacing w:after="0" w:line="240" w:lineRule="auto"/>
              <w:outlineLvl w:val="0"/>
              <w:rPr>
                <w:rFonts w:ascii="Calibri" w:hAnsi="Calibri"/>
                <w:sz w:val="18"/>
                <w:szCs w:val="18"/>
                <w:lang w:val="en-US"/>
              </w:rPr>
            </w:pPr>
            <w:r w:rsidRPr="007F131A">
              <w:rPr>
                <w:sz w:val="18"/>
                <w:szCs w:val="18"/>
                <w:lang w:val="en-US"/>
              </w:rPr>
              <w:t>115 TI firms 115/140= 82.14%)</w:t>
            </w:r>
          </w:p>
          <w:p w14:paraId="4F3E5A81" w14:textId="77777777" w:rsidR="00EB0BEF" w:rsidRPr="007F131A" w:rsidRDefault="00EB0BEF" w:rsidP="00A0419B">
            <w:pPr>
              <w:spacing w:after="0" w:line="240" w:lineRule="auto"/>
              <w:jc w:val="center"/>
              <w:outlineLvl w:val="0"/>
              <w:rPr>
                <w:rFonts w:ascii="Calibri" w:hAnsi="Calibri"/>
                <w:sz w:val="18"/>
                <w:szCs w:val="18"/>
                <w:lang w:val="en-US"/>
              </w:rPr>
            </w:pPr>
          </w:p>
        </w:tc>
      </w:tr>
    </w:tbl>
    <w:p w14:paraId="25914E5B" w14:textId="77777777" w:rsidR="00EB0BEF" w:rsidRPr="007F131A" w:rsidRDefault="00EB0BEF" w:rsidP="00EB0BEF">
      <w:pPr>
        <w:spacing w:after="0" w:line="240" w:lineRule="auto"/>
        <w:outlineLvl w:val="0"/>
        <w:rPr>
          <w:rFonts w:asciiTheme="minorHAnsi" w:hAnsiTheme="minorHAnsi"/>
          <w:b/>
          <w:sz w:val="24"/>
          <w:szCs w:val="24"/>
          <w:lang w:val="en-US"/>
        </w:rPr>
      </w:pPr>
    </w:p>
    <w:p w14:paraId="5277B1EE" w14:textId="77777777" w:rsidR="00EB0BEF" w:rsidRPr="007F131A" w:rsidRDefault="00EB0BEF" w:rsidP="00EB0BEF">
      <w:pPr>
        <w:spacing w:after="120" w:line="360" w:lineRule="auto"/>
        <w:rPr>
          <w:lang w:val="en-US"/>
        </w:rPr>
      </w:pPr>
    </w:p>
    <w:p w14:paraId="54F1CC21" w14:textId="77777777" w:rsidR="00EB0BEF" w:rsidRPr="007F131A" w:rsidRDefault="00EB0BEF" w:rsidP="00EB0BEF">
      <w:pPr>
        <w:spacing w:after="0" w:line="240" w:lineRule="auto"/>
        <w:rPr>
          <w:rFonts w:asciiTheme="minorHAnsi" w:hAnsiTheme="minorHAnsi"/>
          <w:b/>
          <w:sz w:val="24"/>
          <w:szCs w:val="24"/>
          <w:lang w:val="en-US"/>
        </w:rPr>
      </w:pPr>
      <w:r w:rsidRPr="007F131A">
        <w:rPr>
          <w:rFonts w:asciiTheme="minorHAnsi" w:hAnsiTheme="minorHAnsi"/>
          <w:b/>
          <w:sz w:val="24"/>
          <w:szCs w:val="24"/>
          <w:lang w:val="en-US"/>
        </w:rPr>
        <w:br w:type="page"/>
      </w:r>
    </w:p>
    <w:p w14:paraId="5B30F191" w14:textId="77777777" w:rsidR="00EB0BEF" w:rsidRPr="007F131A" w:rsidRDefault="00EB0BEF" w:rsidP="00EB0BEF">
      <w:pPr>
        <w:spacing w:after="0" w:line="360" w:lineRule="auto"/>
        <w:jc w:val="both"/>
        <w:rPr>
          <w:rFonts w:asciiTheme="minorHAnsi" w:hAnsiTheme="minorHAnsi"/>
          <w:b/>
          <w:sz w:val="24"/>
          <w:szCs w:val="24"/>
          <w:lang w:val="en-US"/>
        </w:rPr>
      </w:pPr>
      <w:r w:rsidRPr="007F131A">
        <w:rPr>
          <w:rFonts w:asciiTheme="minorHAnsi" w:hAnsiTheme="minorHAnsi"/>
          <w:b/>
          <w:sz w:val="24"/>
          <w:szCs w:val="24"/>
          <w:lang w:val="en-US"/>
        </w:rPr>
        <w:lastRenderedPageBreak/>
        <w:t>Table IV. Variable measurement</w:t>
      </w:r>
    </w:p>
    <w:tbl>
      <w:tblPr>
        <w:tblW w:w="5050" w:type="pct"/>
        <w:tblInd w:w="-114" w:type="dxa"/>
        <w:tblLayout w:type="fixed"/>
        <w:tblCellMar>
          <w:left w:w="28" w:type="dxa"/>
          <w:right w:w="28" w:type="dxa"/>
        </w:tblCellMar>
        <w:tblLook w:val="04A0" w:firstRow="1" w:lastRow="0" w:firstColumn="1" w:lastColumn="0" w:noHBand="0" w:noVBand="1"/>
      </w:tblPr>
      <w:tblGrid>
        <w:gridCol w:w="1289"/>
        <w:gridCol w:w="6055"/>
        <w:gridCol w:w="1214"/>
        <w:gridCol w:w="1176"/>
      </w:tblGrid>
      <w:tr w:rsidR="00EB0BEF" w:rsidRPr="007F131A" w14:paraId="4C2EA7FF" w14:textId="77777777" w:rsidTr="00A0419B">
        <w:tc>
          <w:tcPr>
            <w:tcW w:w="1296" w:type="dxa"/>
            <w:tcBorders>
              <w:top w:val="single" w:sz="4" w:space="0" w:color="auto"/>
              <w:bottom w:val="single" w:sz="4" w:space="0" w:color="auto"/>
            </w:tcBorders>
            <w:vAlign w:val="center"/>
          </w:tcPr>
          <w:p w14:paraId="7FB030DF" w14:textId="77777777" w:rsidR="00EB0BEF" w:rsidRPr="007F131A" w:rsidRDefault="00EB0BEF" w:rsidP="00A0419B">
            <w:pPr>
              <w:widowControl w:val="0"/>
              <w:spacing w:after="0" w:line="320" w:lineRule="exact"/>
              <w:jc w:val="both"/>
              <w:rPr>
                <w:rFonts w:asciiTheme="minorHAnsi" w:eastAsia="MS Mincho" w:hAnsiTheme="minorHAnsi"/>
                <w:b/>
                <w:sz w:val="24"/>
                <w:szCs w:val="24"/>
                <w:lang w:val="en-US" w:eastAsia="ja-JP"/>
              </w:rPr>
            </w:pPr>
            <w:r w:rsidRPr="007F131A">
              <w:rPr>
                <w:rFonts w:asciiTheme="minorHAnsi" w:eastAsia="MS Mincho" w:hAnsiTheme="minorHAnsi"/>
                <w:b/>
                <w:sz w:val="24"/>
                <w:szCs w:val="24"/>
                <w:lang w:val="en-US" w:eastAsia="ja-JP"/>
              </w:rPr>
              <w:t>Variable label</w:t>
            </w:r>
          </w:p>
        </w:tc>
        <w:tc>
          <w:tcPr>
            <w:tcW w:w="6091" w:type="dxa"/>
            <w:tcBorders>
              <w:top w:val="single" w:sz="4" w:space="0" w:color="auto"/>
              <w:bottom w:val="single" w:sz="4" w:space="0" w:color="auto"/>
            </w:tcBorders>
            <w:vAlign w:val="center"/>
          </w:tcPr>
          <w:p w14:paraId="254FDC1D" w14:textId="77777777" w:rsidR="00EB0BEF" w:rsidRPr="007F131A" w:rsidRDefault="00EB0BEF" w:rsidP="00A0419B">
            <w:pPr>
              <w:widowControl w:val="0"/>
              <w:spacing w:after="0" w:line="320" w:lineRule="exact"/>
              <w:jc w:val="both"/>
              <w:rPr>
                <w:rFonts w:asciiTheme="minorHAnsi" w:eastAsia="MS Mincho" w:hAnsiTheme="minorHAnsi"/>
                <w:b/>
                <w:sz w:val="24"/>
                <w:szCs w:val="24"/>
                <w:lang w:val="en-US" w:eastAsia="ja-JP"/>
              </w:rPr>
            </w:pPr>
            <w:r w:rsidRPr="007F131A">
              <w:rPr>
                <w:rFonts w:asciiTheme="minorHAnsi" w:eastAsia="MS Mincho" w:hAnsiTheme="minorHAnsi"/>
                <w:b/>
                <w:sz w:val="24"/>
                <w:szCs w:val="24"/>
                <w:lang w:val="en-US" w:eastAsia="ja-JP"/>
              </w:rPr>
              <w:t>Variable description</w:t>
            </w:r>
          </w:p>
        </w:tc>
        <w:tc>
          <w:tcPr>
            <w:tcW w:w="1221" w:type="dxa"/>
            <w:tcBorders>
              <w:top w:val="single" w:sz="4" w:space="0" w:color="auto"/>
              <w:bottom w:val="single" w:sz="4" w:space="0" w:color="auto"/>
            </w:tcBorders>
          </w:tcPr>
          <w:p w14:paraId="03BC1D2E" w14:textId="77777777" w:rsidR="00EB0BEF" w:rsidRPr="007F131A" w:rsidRDefault="00EB0BEF" w:rsidP="00A0419B">
            <w:pPr>
              <w:widowControl w:val="0"/>
              <w:spacing w:after="0" w:line="320" w:lineRule="exact"/>
              <w:jc w:val="center"/>
              <w:rPr>
                <w:rFonts w:asciiTheme="minorHAnsi" w:eastAsia="MS Mincho" w:hAnsiTheme="minorHAnsi"/>
                <w:b/>
                <w:sz w:val="24"/>
                <w:szCs w:val="24"/>
                <w:lang w:val="en-US" w:eastAsia="ja-JP"/>
              </w:rPr>
            </w:pPr>
            <w:r w:rsidRPr="007F131A">
              <w:rPr>
                <w:rFonts w:asciiTheme="minorHAnsi" w:eastAsia="MS Mincho" w:hAnsiTheme="minorHAnsi"/>
                <w:b/>
                <w:sz w:val="24"/>
                <w:szCs w:val="24"/>
                <w:lang w:val="en-US" w:eastAsia="ja-JP"/>
              </w:rPr>
              <w:t>Expected sign</w:t>
            </w:r>
          </w:p>
        </w:tc>
        <w:tc>
          <w:tcPr>
            <w:tcW w:w="1183" w:type="dxa"/>
            <w:tcBorders>
              <w:top w:val="single" w:sz="4" w:space="0" w:color="auto"/>
              <w:bottom w:val="single" w:sz="4" w:space="0" w:color="auto"/>
            </w:tcBorders>
            <w:vAlign w:val="center"/>
          </w:tcPr>
          <w:p w14:paraId="62B81C9D" w14:textId="77777777" w:rsidR="00EB0BEF" w:rsidRPr="007F131A" w:rsidRDefault="00EB0BEF" w:rsidP="00A0419B">
            <w:pPr>
              <w:widowControl w:val="0"/>
              <w:spacing w:after="0" w:line="320" w:lineRule="exact"/>
              <w:jc w:val="center"/>
              <w:rPr>
                <w:rFonts w:asciiTheme="minorHAnsi" w:eastAsia="MS Mincho" w:hAnsiTheme="minorHAnsi"/>
                <w:b/>
                <w:sz w:val="24"/>
                <w:szCs w:val="24"/>
                <w:lang w:val="en-US" w:eastAsia="ja-JP"/>
              </w:rPr>
            </w:pPr>
            <w:r w:rsidRPr="007F131A">
              <w:rPr>
                <w:rFonts w:asciiTheme="minorHAnsi" w:eastAsia="MS Mincho" w:hAnsiTheme="minorHAnsi"/>
                <w:b/>
                <w:sz w:val="24"/>
                <w:szCs w:val="24"/>
                <w:lang w:val="en-US" w:eastAsia="ja-JP"/>
              </w:rPr>
              <w:t>Hypothesis</w:t>
            </w:r>
          </w:p>
        </w:tc>
      </w:tr>
      <w:tr w:rsidR="00EB0BEF" w:rsidRPr="007F131A" w14:paraId="7873FD4C" w14:textId="77777777" w:rsidTr="00A0419B">
        <w:tc>
          <w:tcPr>
            <w:tcW w:w="7387" w:type="dxa"/>
            <w:gridSpan w:val="2"/>
            <w:tcBorders>
              <w:top w:val="single" w:sz="4" w:space="0" w:color="auto"/>
            </w:tcBorders>
            <w:vAlign w:val="center"/>
          </w:tcPr>
          <w:p w14:paraId="34EFD03B"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Dependent variable:</w:t>
            </w:r>
          </w:p>
        </w:tc>
        <w:tc>
          <w:tcPr>
            <w:tcW w:w="1221" w:type="dxa"/>
            <w:tcBorders>
              <w:top w:val="single" w:sz="4" w:space="0" w:color="auto"/>
            </w:tcBorders>
          </w:tcPr>
          <w:p w14:paraId="6F14452B"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c>
          <w:tcPr>
            <w:tcW w:w="1183" w:type="dxa"/>
            <w:tcBorders>
              <w:top w:val="single" w:sz="4" w:space="0" w:color="auto"/>
            </w:tcBorders>
            <w:vAlign w:val="center"/>
          </w:tcPr>
          <w:p w14:paraId="77AE6560"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r>
      <w:tr w:rsidR="00EB0BEF" w:rsidRPr="00CC0391" w14:paraId="69A6EF88" w14:textId="77777777" w:rsidTr="00A0419B">
        <w:tc>
          <w:tcPr>
            <w:tcW w:w="1296" w:type="dxa"/>
            <w:tcBorders>
              <w:top w:val="single" w:sz="4" w:space="0" w:color="auto"/>
              <w:bottom w:val="single" w:sz="4" w:space="0" w:color="auto"/>
            </w:tcBorders>
            <w:vAlign w:val="center"/>
          </w:tcPr>
          <w:p w14:paraId="14C93C55"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MTB</w:t>
            </w:r>
          </w:p>
        </w:tc>
        <w:tc>
          <w:tcPr>
            <w:tcW w:w="6091" w:type="dxa"/>
            <w:tcBorders>
              <w:top w:val="single" w:sz="4" w:space="0" w:color="auto"/>
              <w:bottom w:val="single" w:sz="4" w:space="0" w:color="auto"/>
            </w:tcBorders>
            <w:vAlign w:val="center"/>
          </w:tcPr>
          <w:p w14:paraId="071C35C4"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Market to book continuous dependent variable, computed as the mean of the beginning and the end value.</w:t>
            </w:r>
          </w:p>
        </w:tc>
        <w:tc>
          <w:tcPr>
            <w:tcW w:w="1221" w:type="dxa"/>
            <w:tcBorders>
              <w:top w:val="single" w:sz="4" w:space="0" w:color="auto"/>
              <w:bottom w:val="single" w:sz="4" w:space="0" w:color="auto"/>
            </w:tcBorders>
          </w:tcPr>
          <w:p w14:paraId="60474C1C"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c>
          <w:tcPr>
            <w:tcW w:w="1183" w:type="dxa"/>
            <w:tcBorders>
              <w:top w:val="single" w:sz="4" w:space="0" w:color="auto"/>
              <w:bottom w:val="single" w:sz="4" w:space="0" w:color="auto"/>
            </w:tcBorders>
            <w:vAlign w:val="center"/>
          </w:tcPr>
          <w:p w14:paraId="2A3FB8F2"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r>
      <w:tr w:rsidR="00EB0BEF" w:rsidRPr="007F131A" w14:paraId="18FDC4B7" w14:textId="77777777" w:rsidTr="00A0419B">
        <w:tc>
          <w:tcPr>
            <w:tcW w:w="7387" w:type="dxa"/>
            <w:gridSpan w:val="2"/>
            <w:tcBorders>
              <w:top w:val="single" w:sz="4" w:space="0" w:color="auto"/>
              <w:bottom w:val="single" w:sz="4" w:space="0" w:color="auto"/>
            </w:tcBorders>
            <w:vAlign w:val="center"/>
          </w:tcPr>
          <w:p w14:paraId="44402985"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Independent variables:</w:t>
            </w:r>
          </w:p>
        </w:tc>
        <w:tc>
          <w:tcPr>
            <w:tcW w:w="1221" w:type="dxa"/>
            <w:tcBorders>
              <w:top w:val="single" w:sz="4" w:space="0" w:color="auto"/>
              <w:bottom w:val="single" w:sz="4" w:space="0" w:color="auto"/>
            </w:tcBorders>
          </w:tcPr>
          <w:p w14:paraId="6C85A97B"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c>
          <w:tcPr>
            <w:tcW w:w="1183" w:type="dxa"/>
            <w:tcBorders>
              <w:top w:val="single" w:sz="4" w:space="0" w:color="auto"/>
              <w:bottom w:val="single" w:sz="4" w:space="0" w:color="auto"/>
            </w:tcBorders>
            <w:vAlign w:val="center"/>
          </w:tcPr>
          <w:p w14:paraId="5EC3CF8A"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r>
      <w:tr w:rsidR="00EB0BEF" w:rsidRPr="007F131A" w14:paraId="67BCE35C" w14:textId="77777777" w:rsidTr="00A0419B">
        <w:tc>
          <w:tcPr>
            <w:tcW w:w="1296" w:type="dxa"/>
            <w:tcBorders>
              <w:top w:val="single" w:sz="4" w:space="0" w:color="auto"/>
            </w:tcBorders>
          </w:tcPr>
          <w:p w14:paraId="5A706351"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TINT</w:t>
            </w:r>
            <w:r w:rsidRPr="007F131A">
              <w:rPr>
                <w:rFonts w:asciiTheme="minorHAnsi" w:eastAsia="MS Mincho" w:hAnsiTheme="minorHAnsi"/>
                <w:i/>
                <w:sz w:val="24"/>
                <w:szCs w:val="24"/>
                <w:vertAlign w:val="subscript"/>
                <w:lang w:val="en-US" w:eastAsia="ja-JP"/>
              </w:rPr>
              <w:t>i.t</w:t>
            </w:r>
          </w:p>
        </w:tc>
        <w:tc>
          <w:tcPr>
            <w:tcW w:w="6091" w:type="dxa"/>
            <w:tcBorders>
              <w:top w:val="single" w:sz="4" w:space="0" w:color="auto"/>
            </w:tcBorders>
            <w:vAlign w:val="center"/>
          </w:tcPr>
          <w:p w14:paraId="249EF52A"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Intangible assets, measured as intangible assets scaled by total assets at year t.</w:t>
            </w:r>
          </w:p>
        </w:tc>
        <w:tc>
          <w:tcPr>
            <w:tcW w:w="1221" w:type="dxa"/>
            <w:tcBorders>
              <w:top w:val="single" w:sz="4" w:space="0" w:color="auto"/>
            </w:tcBorders>
            <w:vAlign w:val="center"/>
          </w:tcPr>
          <w:p w14:paraId="013024D4"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tcBorders>
              <w:top w:val="single" w:sz="4" w:space="0" w:color="auto"/>
            </w:tcBorders>
            <w:vAlign w:val="center"/>
          </w:tcPr>
          <w:p w14:paraId="2F0180F4"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H1</w:t>
            </w:r>
          </w:p>
        </w:tc>
      </w:tr>
      <w:tr w:rsidR="00EB0BEF" w:rsidRPr="007F131A" w14:paraId="1B31D402" w14:textId="77777777" w:rsidTr="00A0419B">
        <w:tc>
          <w:tcPr>
            <w:tcW w:w="1296" w:type="dxa"/>
          </w:tcPr>
          <w:p w14:paraId="546B3A24"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SIZE</w:t>
            </w:r>
            <w:r w:rsidRPr="007F131A">
              <w:rPr>
                <w:rFonts w:asciiTheme="minorHAnsi" w:eastAsia="MS Mincho" w:hAnsiTheme="minorHAnsi"/>
                <w:i/>
                <w:sz w:val="24"/>
                <w:szCs w:val="24"/>
                <w:vertAlign w:val="subscript"/>
                <w:lang w:val="en-US" w:eastAsia="ja-JP"/>
              </w:rPr>
              <w:t>i.t</w:t>
            </w:r>
          </w:p>
        </w:tc>
        <w:tc>
          <w:tcPr>
            <w:tcW w:w="6091" w:type="dxa"/>
            <w:vAlign w:val="center"/>
          </w:tcPr>
          <w:p w14:paraId="30A26706"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Firm size, measured as the natural logarithm of total assets at year t.</w:t>
            </w:r>
          </w:p>
        </w:tc>
        <w:tc>
          <w:tcPr>
            <w:tcW w:w="1221" w:type="dxa"/>
            <w:vAlign w:val="center"/>
          </w:tcPr>
          <w:p w14:paraId="615712E4"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vAlign w:val="center"/>
          </w:tcPr>
          <w:p w14:paraId="647C9A21"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H2</w:t>
            </w:r>
          </w:p>
        </w:tc>
      </w:tr>
      <w:tr w:rsidR="00EB0BEF" w:rsidRPr="007F131A" w14:paraId="2225BEA7" w14:textId="77777777" w:rsidTr="00A0419B">
        <w:tc>
          <w:tcPr>
            <w:tcW w:w="1296" w:type="dxa"/>
            <w:hideMark/>
          </w:tcPr>
          <w:p w14:paraId="619F1968"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AGE</w:t>
            </w:r>
            <w:r w:rsidRPr="007F131A">
              <w:rPr>
                <w:rFonts w:asciiTheme="minorHAnsi" w:eastAsia="MS Mincho" w:hAnsiTheme="minorHAnsi"/>
                <w:i/>
                <w:sz w:val="24"/>
                <w:szCs w:val="24"/>
                <w:vertAlign w:val="subscript"/>
                <w:lang w:val="en-US" w:eastAsia="ja-JP"/>
              </w:rPr>
              <w:t>i.t</w:t>
            </w:r>
          </w:p>
        </w:tc>
        <w:tc>
          <w:tcPr>
            <w:tcW w:w="6091" w:type="dxa"/>
            <w:vAlign w:val="center"/>
            <w:hideMark/>
          </w:tcPr>
          <w:p w14:paraId="2F9E8BF7"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 xml:space="preserve">The natural logarithm of the firm’s length of establishment in years since its foundation date. </w:t>
            </w:r>
          </w:p>
        </w:tc>
        <w:tc>
          <w:tcPr>
            <w:tcW w:w="1221" w:type="dxa"/>
            <w:vAlign w:val="center"/>
          </w:tcPr>
          <w:p w14:paraId="706C4CC2"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vAlign w:val="center"/>
          </w:tcPr>
          <w:p w14:paraId="05C99A01" w14:textId="77777777" w:rsidR="00EB0BEF" w:rsidRPr="007F131A" w:rsidRDefault="00EB0BEF" w:rsidP="00A0419B">
            <w:pPr>
              <w:widowControl w:val="0"/>
              <w:spacing w:after="0" w:line="320" w:lineRule="exact"/>
              <w:jc w:val="center"/>
              <w:rPr>
                <w:rFonts w:asciiTheme="minorHAnsi" w:eastAsia="MS Mincho" w:hAnsiTheme="minorHAnsi"/>
                <w:i/>
                <w:sz w:val="24"/>
                <w:szCs w:val="24"/>
                <w:lang w:val="en-US" w:eastAsia="ja-JP"/>
              </w:rPr>
            </w:pPr>
            <w:r w:rsidRPr="007F131A">
              <w:rPr>
                <w:rFonts w:asciiTheme="minorHAnsi" w:eastAsia="MS Mincho" w:hAnsiTheme="minorHAnsi"/>
                <w:sz w:val="24"/>
                <w:szCs w:val="24"/>
                <w:lang w:val="en-US" w:eastAsia="ja-JP"/>
              </w:rPr>
              <w:t>H3</w:t>
            </w:r>
          </w:p>
        </w:tc>
      </w:tr>
      <w:tr w:rsidR="00EB0BEF" w:rsidRPr="007F131A" w14:paraId="18DF8F84" w14:textId="77777777" w:rsidTr="00A0419B">
        <w:tc>
          <w:tcPr>
            <w:tcW w:w="1296" w:type="dxa"/>
          </w:tcPr>
          <w:p w14:paraId="1D0FDF8B"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ROE</w:t>
            </w:r>
            <w:r w:rsidRPr="007F131A">
              <w:rPr>
                <w:rFonts w:asciiTheme="minorHAnsi" w:eastAsia="MS Mincho" w:hAnsiTheme="minorHAnsi"/>
                <w:i/>
                <w:sz w:val="24"/>
                <w:szCs w:val="24"/>
                <w:vertAlign w:val="subscript"/>
                <w:lang w:val="en-US" w:eastAsia="ja-JP"/>
              </w:rPr>
              <w:t>i.t</w:t>
            </w:r>
          </w:p>
        </w:tc>
        <w:tc>
          <w:tcPr>
            <w:tcW w:w="6091" w:type="dxa"/>
            <w:vAlign w:val="center"/>
          </w:tcPr>
          <w:p w14:paraId="04FF86EE"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Firm profitability, measured as the return on equity. ROE is net income scaled by equity at year t. The result is multiplied by 100.</w:t>
            </w:r>
          </w:p>
        </w:tc>
        <w:tc>
          <w:tcPr>
            <w:tcW w:w="1221" w:type="dxa"/>
            <w:vAlign w:val="center"/>
          </w:tcPr>
          <w:p w14:paraId="59E80B1C"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vAlign w:val="center"/>
          </w:tcPr>
          <w:p w14:paraId="35FF2948"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H4</w:t>
            </w:r>
          </w:p>
        </w:tc>
      </w:tr>
      <w:tr w:rsidR="00EB0BEF" w:rsidRPr="007F131A" w14:paraId="03FBCA18" w14:textId="77777777" w:rsidTr="00A0419B">
        <w:tc>
          <w:tcPr>
            <w:tcW w:w="1296" w:type="dxa"/>
            <w:tcBorders>
              <w:bottom w:val="single" w:sz="4" w:space="0" w:color="auto"/>
            </w:tcBorders>
            <w:hideMark/>
          </w:tcPr>
          <w:p w14:paraId="5391850E"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DE</w:t>
            </w:r>
            <w:r w:rsidRPr="007F131A">
              <w:rPr>
                <w:rFonts w:asciiTheme="minorHAnsi" w:eastAsia="MS Mincho" w:hAnsiTheme="minorHAnsi"/>
                <w:i/>
                <w:sz w:val="24"/>
                <w:szCs w:val="24"/>
                <w:vertAlign w:val="subscript"/>
                <w:lang w:val="en-US" w:eastAsia="ja-JP"/>
              </w:rPr>
              <w:t>.t</w:t>
            </w:r>
          </w:p>
        </w:tc>
        <w:tc>
          <w:tcPr>
            <w:tcW w:w="6091" w:type="dxa"/>
            <w:tcBorders>
              <w:bottom w:val="single" w:sz="4" w:space="0" w:color="auto"/>
            </w:tcBorders>
            <w:vAlign w:val="center"/>
            <w:hideMark/>
          </w:tcPr>
          <w:p w14:paraId="10AA5C94"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 xml:space="preserve">Firm leverage, measured in terms of the debt-equity ratio. </w:t>
            </w:r>
          </w:p>
        </w:tc>
        <w:tc>
          <w:tcPr>
            <w:tcW w:w="1221" w:type="dxa"/>
            <w:tcBorders>
              <w:bottom w:val="single" w:sz="4" w:space="0" w:color="auto"/>
            </w:tcBorders>
            <w:vAlign w:val="center"/>
            <w:hideMark/>
          </w:tcPr>
          <w:p w14:paraId="72AE6238"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tcBorders>
              <w:bottom w:val="single" w:sz="4" w:space="0" w:color="auto"/>
            </w:tcBorders>
            <w:vAlign w:val="center"/>
            <w:hideMark/>
          </w:tcPr>
          <w:p w14:paraId="26FAF0FC"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H5</w:t>
            </w:r>
          </w:p>
        </w:tc>
      </w:tr>
      <w:tr w:rsidR="00EB0BEF" w:rsidRPr="007F131A" w14:paraId="32C7AD28" w14:textId="77777777" w:rsidTr="00A0419B">
        <w:tc>
          <w:tcPr>
            <w:tcW w:w="7387" w:type="dxa"/>
            <w:gridSpan w:val="2"/>
            <w:tcBorders>
              <w:top w:val="single" w:sz="4" w:space="0" w:color="auto"/>
              <w:bottom w:val="single" w:sz="4" w:space="0" w:color="auto"/>
            </w:tcBorders>
          </w:tcPr>
          <w:p w14:paraId="6D84A653"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Control variables:</w:t>
            </w:r>
          </w:p>
        </w:tc>
        <w:tc>
          <w:tcPr>
            <w:tcW w:w="1221" w:type="dxa"/>
            <w:tcBorders>
              <w:top w:val="single" w:sz="4" w:space="0" w:color="auto"/>
              <w:bottom w:val="single" w:sz="4" w:space="0" w:color="auto"/>
            </w:tcBorders>
            <w:vAlign w:val="center"/>
          </w:tcPr>
          <w:p w14:paraId="14EDB36B"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c>
          <w:tcPr>
            <w:tcW w:w="1183" w:type="dxa"/>
            <w:tcBorders>
              <w:top w:val="single" w:sz="4" w:space="0" w:color="auto"/>
              <w:bottom w:val="single" w:sz="4" w:space="0" w:color="auto"/>
            </w:tcBorders>
            <w:vAlign w:val="center"/>
          </w:tcPr>
          <w:p w14:paraId="7E08CDAF"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r>
      <w:tr w:rsidR="00EB0BEF" w:rsidRPr="007F131A" w14:paraId="5BD30140" w14:textId="77777777" w:rsidTr="00A0419B">
        <w:tc>
          <w:tcPr>
            <w:tcW w:w="1296" w:type="dxa"/>
            <w:tcBorders>
              <w:top w:val="single" w:sz="4" w:space="0" w:color="auto"/>
            </w:tcBorders>
          </w:tcPr>
          <w:p w14:paraId="314AB7AA"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AUDIT</w:t>
            </w:r>
            <w:r w:rsidRPr="007F131A">
              <w:rPr>
                <w:rFonts w:asciiTheme="minorHAnsi" w:eastAsia="MS Mincho" w:hAnsiTheme="minorHAnsi"/>
                <w:i/>
                <w:sz w:val="24"/>
                <w:szCs w:val="24"/>
                <w:vertAlign w:val="subscript"/>
                <w:lang w:val="en-US" w:eastAsia="ja-JP"/>
              </w:rPr>
              <w:t>i.t</w:t>
            </w:r>
          </w:p>
        </w:tc>
        <w:tc>
          <w:tcPr>
            <w:tcW w:w="6091" w:type="dxa"/>
            <w:tcBorders>
              <w:top w:val="single" w:sz="4" w:space="0" w:color="auto"/>
            </w:tcBorders>
            <w:vAlign w:val="center"/>
          </w:tcPr>
          <w:p w14:paraId="1A74D053"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 xml:space="preserve">Auditor type dummy variable. The variable takes the value of 1 if the firm engages a Big 4 audit company audit company, and 0 otherwise. </w:t>
            </w:r>
          </w:p>
        </w:tc>
        <w:tc>
          <w:tcPr>
            <w:tcW w:w="1221" w:type="dxa"/>
            <w:tcBorders>
              <w:top w:val="single" w:sz="4" w:space="0" w:color="auto"/>
            </w:tcBorders>
            <w:vAlign w:val="center"/>
          </w:tcPr>
          <w:p w14:paraId="0E68B248"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tcBorders>
              <w:top w:val="single" w:sz="4" w:space="0" w:color="auto"/>
            </w:tcBorders>
            <w:vAlign w:val="center"/>
          </w:tcPr>
          <w:p w14:paraId="618C3B7C"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r>
      <w:tr w:rsidR="00EB0BEF" w:rsidRPr="007F131A" w14:paraId="2A5B7013" w14:textId="77777777" w:rsidTr="00A0419B">
        <w:tc>
          <w:tcPr>
            <w:tcW w:w="1296" w:type="dxa"/>
          </w:tcPr>
          <w:p w14:paraId="48E3E218"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OWN</w:t>
            </w:r>
            <w:r w:rsidRPr="007F131A">
              <w:rPr>
                <w:rFonts w:asciiTheme="minorHAnsi" w:eastAsia="MS Mincho" w:hAnsiTheme="minorHAnsi"/>
                <w:i/>
                <w:sz w:val="24"/>
                <w:szCs w:val="24"/>
                <w:vertAlign w:val="subscript"/>
                <w:lang w:val="en-US" w:eastAsia="ja-JP"/>
              </w:rPr>
              <w:t>i.t</w:t>
            </w:r>
          </w:p>
        </w:tc>
        <w:tc>
          <w:tcPr>
            <w:tcW w:w="6091" w:type="dxa"/>
            <w:vAlign w:val="center"/>
          </w:tcPr>
          <w:p w14:paraId="6965977F"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 xml:space="preserve">Ownership concentration proxied by the proportion of stock owned by individual investors and large-block shareholders. The dummy variable takes the value of 1 if such shareholders own at least the 50% of the voting rights, and 0 otherwise. </w:t>
            </w:r>
          </w:p>
        </w:tc>
        <w:tc>
          <w:tcPr>
            <w:tcW w:w="1221" w:type="dxa"/>
            <w:vAlign w:val="center"/>
          </w:tcPr>
          <w:p w14:paraId="7971C8BC"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vAlign w:val="center"/>
          </w:tcPr>
          <w:p w14:paraId="1D2EE031"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r>
      <w:tr w:rsidR="00EB0BEF" w:rsidRPr="007F131A" w14:paraId="419923BF" w14:textId="77777777" w:rsidTr="00A0419B">
        <w:tc>
          <w:tcPr>
            <w:tcW w:w="1296" w:type="dxa"/>
          </w:tcPr>
          <w:p w14:paraId="10E74C31"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FAM</w:t>
            </w:r>
            <w:r w:rsidRPr="007F131A">
              <w:rPr>
                <w:rFonts w:asciiTheme="minorHAnsi" w:eastAsia="MS Mincho" w:hAnsiTheme="minorHAnsi"/>
                <w:i/>
                <w:sz w:val="24"/>
                <w:szCs w:val="24"/>
                <w:vertAlign w:val="subscript"/>
                <w:lang w:val="en-US" w:eastAsia="ja-JP"/>
              </w:rPr>
              <w:t>i.t</w:t>
            </w:r>
          </w:p>
        </w:tc>
        <w:tc>
          <w:tcPr>
            <w:tcW w:w="6091" w:type="dxa"/>
            <w:vAlign w:val="center"/>
          </w:tcPr>
          <w:p w14:paraId="1462ABA0"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Ownership concentration, proxied by family control and closely held ownership. The dummy variable equals 1 if at least 50% of the voting rights or outstanding shares are held either directly or indirectly by a family block holder, and 0 otherwise.</w:t>
            </w:r>
          </w:p>
        </w:tc>
        <w:tc>
          <w:tcPr>
            <w:tcW w:w="1221" w:type="dxa"/>
            <w:vAlign w:val="center"/>
          </w:tcPr>
          <w:p w14:paraId="285ED8F7"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vAlign w:val="center"/>
          </w:tcPr>
          <w:p w14:paraId="59B64C47"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r>
      <w:tr w:rsidR="00EB0BEF" w:rsidRPr="007F131A" w14:paraId="42F4F05A" w14:textId="77777777" w:rsidTr="00A0419B">
        <w:tc>
          <w:tcPr>
            <w:tcW w:w="1296" w:type="dxa"/>
            <w:tcBorders>
              <w:bottom w:val="single" w:sz="4" w:space="0" w:color="auto"/>
            </w:tcBorders>
          </w:tcPr>
          <w:p w14:paraId="2AFD3C11" w14:textId="77777777" w:rsidR="00EB0BEF" w:rsidRPr="007F131A" w:rsidRDefault="00EB0BEF" w:rsidP="00A0419B">
            <w:pPr>
              <w:widowControl w:val="0"/>
              <w:spacing w:after="0" w:line="320" w:lineRule="exact"/>
              <w:jc w:val="both"/>
              <w:rPr>
                <w:rFonts w:asciiTheme="minorHAnsi" w:eastAsia="MS Mincho" w:hAnsiTheme="minorHAnsi"/>
                <w:i/>
                <w:sz w:val="24"/>
                <w:szCs w:val="24"/>
                <w:lang w:val="en-US" w:eastAsia="ja-JP"/>
              </w:rPr>
            </w:pPr>
            <w:r w:rsidRPr="007F131A">
              <w:rPr>
                <w:rFonts w:asciiTheme="minorHAnsi" w:eastAsia="MS Mincho" w:hAnsiTheme="minorHAnsi"/>
                <w:i/>
                <w:sz w:val="24"/>
                <w:szCs w:val="24"/>
                <w:lang w:val="en-US" w:eastAsia="ja-JP"/>
              </w:rPr>
              <w:t>IND</w:t>
            </w:r>
            <w:r w:rsidRPr="007F131A">
              <w:rPr>
                <w:rFonts w:asciiTheme="minorHAnsi" w:eastAsia="MS Mincho" w:hAnsiTheme="minorHAnsi"/>
                <w:i/>
                <w:sz w:val="24"/>
                <w:szCs w:val="24"/>
                <w:vertAlign w:val="subscript"/>
                <w:lang w:val="en-US" w:eastAsia="ja-JP"/>
              </w:rPr>
              <w:t>i.t</w:t>
            </w:r>
          </w:p>
        </w:tc>
        <w:tc>
          <w:tcPr>
            <w:tcW w:w="6091" w:type="dxa"/>
            <w:tcBorders>
              <w:bottom w:val="single" w:sz="4" w:space="0" w:color="auto"/>
            </w:tcBorders>
            <w:vAlign w:val="center"/>
          </w:tcPr>
          <w:p w14:paraId="4FF61E4F" w14:textId="77777777" w:rsidR="00EB0BEF" w:rsidRPr="007F131A" w:rsidRDefault="00EB0BEF" w:rsidP="00A0419B">
            <w:pPr>
              <w:widowControl w:val="0"/>
              <w:spacing w:after="0" w:line="320" w:lineRule="exact"/>
              <w:jc w:val="both"/>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 xml:space="preserve">Industry type dummy variable which equals 1 if a firm is a KIBS industry firm, 0 otherwise. Firms are classified into KIBS industry or TI according to their two-digit NACE classification codes. </w:t>
            </w:r>
          </w:p>
        </w:tc>
        <w:tc>
          <w:tcPr>
            <w:tcW w:w="1221" w:type="dxa"/>
            <w:tcBorders>
              <w:bottom w:val="single" w:sz="4" w:space="0" w:color="auto"/>
            </w:tcBorders>
            <w:vAlign w:val="center"/>
          </w:tcPr>
          <w:p w14:paraId="2FF59724"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r w:rsidRPr="007F131A">
              <w:rPr>
                <w:rFonts w:asciiTheme="minorHAnsi" w:eastAsia="MS Mincho" w:hAnsiTheme="minorHAnsi"/>
                <w:sz w:val="24"/>
                <w:szCs w:val="24"/>
                <w:lang w:val="en-US" w:eastAsia="ja-JP"/>
              </w:rPr>
              <w:t>+</w:t>
            </w:r>
          </w:p>
        </w:tc>
        <w:tc>
          <w:tcPr>
            <w:tcW w:w="1183" w:type="dxa"/>
            <w:tcBorders>
              <w:bottom w:val="single" w:sz="4" w:space="0" w:color="auto"/>
            </w:tcBorders>
            <w:vAlign w:val="center"/>
          </w:tcPr>
          <w:p w14:paraId="7BB3FCC4" w14:textId="77777777" w:rsidR="00EB0BEF" w:rsidRPr="007F131A" w:rsidRDefault="00EB0BEF" w:rsidP="00A0419B">
            <w:pPr>
              <w:widowControl w:val="0"/>
              <w:spacing w:after="0" w:line="320" w:lineRule="exact"/>
              <w:jc w:val="center"/>
              <w:rPr>
                <w:rFonts w:asciiTheme="minorHAnsi" w:eastAsia="MS Mincho" w:hAnsiTheme="minorHAnsi"/>
                <w:sz w:val="24"/>
                <w:szCs w:val="24"/>
                <w:lang w:val="en-US" w:eastAsia="ja-JP"/>
              </w:rPr>
            </w:pPr>
          </w:p>
        </w:tc>
      </w:tr>
    </w:tbl>
    <w:p w14:paraId="49B57DFE" w14:textId="77777777" w:rsidR="00EB0BEF" w:rsidRPr="007F131A" w:rsidRDefault="00EB0BEF" w:rsidP="00EB0BEF">
      <w:pPr>
        <w:spacing w:after="0" w:line="360" w:lineRule="auto"/>
        <w:jc w:val="both"/>
        <w:rPr>
          <w:rFonts w:asciiTheme="minorHAnsi" w:eastAsia="Times New Roman" w:hAnsiTheme="minorHAnsi"/>
          <w:b/>
          <w:sz w:val="24"/>
          <w:szCs w:val="24"/>
          <w:lang w:val="en-US" w:eastAsia="ar-SA"/>
        </w:rPr>
      </w:pPr>
    </w:p>
    <w:p w14:paraId="52AF562F" w14:textId="77777777" w:rsidR="00EB0BEF" w:rsidRPr="007F131A" w:rsidRDefault="00EB0BEF" w:rsidP="00EB0BEF">
      <w:pPr>
        <w:spacing w:after="0" w:line="240" w:lineRule="auto"/>
        <w:rPr>
          <w:lang w:val="en-US"/>
        </w:rPr>
      </w:pPr>
      <w:r w:rsidRPr="007F131A">
        <w:rPr>
          <w:lang w:val="en-US"/>
        </w:rPr>
        <w:br w:type="page"/>
      </w:r>
    </w:p>
    <w:p w14:paraId="2B8A2BE8" w14:textId="77777777" w:rsidR="00EB0BEF" w:rsidRPr="007F131A" w:rsidRDefault="00EB0BEF" w:rsidP="00EB0BEF">
      <w:pPr>
        <w:spacing w:after="0" w:line="240" w:lineRule="auto"/>
        <w:rPr>
          <w:rFonts w:asciiTheme="minorHAnsi" w:hAnsiTheme="minorHAnsi"/>
          <w:b/>
          <w:sz w:val="24"/>
          <w:szCs w:val="24"/>
          <w:lang w:val="en-US"/>
        </w:rPr>
      </w:pPr>
      <w:r w:rsidRPr="007F131A">
        <w:rPr>
          <w:rFonts w:asciiTheme="minorHAnsi" w:hAnsiTheme="minorHAnsi"/>
          <w:b/>
          <w:sz w:val="24"/>
          <w:szCs w:val="24"/>
          <w:lang w:val="en-US"/>
        </w:rPr>
        <w:lastRenderedPageBreak/>
        <w:t>Table V. Descriptive statistics for the continuous model variables (years 2009-2013)</w:t>
      </w:r>
    </w:p>
    <w:p w14:paraId="6EC32D28" w14:textId="77777777" w:rsidR="00EB0BEF" w:rsidRPr="007F131A" w:rsidRDefault="00EB0BEF" w:rsidP="00EB0BEF">
      <w:pPr>
        <w:spacing w:after="0" w:line="240" w:lineRule="auto"/>
        <w:rPr>
          <w:rFonts w:asciiTheme="minorHAnsi" w:hAnsiTheme="minorHAnsi"/>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52"/>
        <w:gridCol w:w="935"/>
        <w:gridCol w:w="732"/>
        <w:gridCol w:w="885"/>
        <w:gridCol w:w="815"/>
        <w:gridCol w:w="897"/>
        <w:gridCol w:w="897"/>
        <w:gridCol w:w="965"/>
        <w:gridCol w:w="920"/>
        <w:gridCol w:w="920"/>
        <w:gridCol w:w="920"/>
      </w:tblGrid>
      <w:tr w:rsidR="00EB0BEF" w:rsidRPr="00B11F1C" w14:paraId="1DCEC9E4" w14:textId="77777777" w:rsidTr="00A0419B">
        <w:tc>
          <w:tcPr>
            <w:tcW w:w="8751" w:type="dxa"/>
            <w:gridSpan w:val="10"/>
            <w:tcBorders>
              <w:top w:val="single" w:sz="4" w:space="0" w:color="auto"/>
            </w:tcBorders>
          </w:tcPr>
          <w:p w14:paraId="50A85B7B" w14:textId="77777777" w:rsidR="00EB0BEF" w:rsidRPr="007F131A" w:rsidRDefault="00EB0BEF" w:rsidP="00A0419B">
            <w:pPr>
              <w:spacing w:line="240" w:lineRule="exact"/>
              <w:jc w:val="both"/>
              <w:rPr>
                <w:b/>
                <w:sz w:val="18"/>
                <w:szCs w:val="18"/>
                <w:lang w:val="en-US"/>
              </w:rPr>
            </w:pPr>
            <w:r w:rsidRPr="007F131A">
              <w:rPr>
                <w:b/>
                <w:sz w:val="18"/>
                <w:szCs w:val="18"/>
                <w:lang w:val="en-US"/>
              </w:rPr>
              <w:t xml:space="preserve">Panel A – Full sample (Obs: 700 = 140 companies) </w:t>
            </w:r>
          </w:p>
        </w:tc>
        <w:tc>
          <w:tcPr>
            <w:tcW w:w="943" w:type="dxa"/>
            <w:tcBorders>
              <w:top w:val="single" w:sz="4" w:space="0" w:color="auto"/>
            </w:tcBorders>
          </w:tcPr>
          <w:p w14:paraId="65CA5293" w14:textId="77777777" w:rsidR="00EB0BEF" w:rsidRPr="007F131A" w:rsidRDefault="00EB0BEF" w:rsidP="00A0419B">
            <w:pPr>
              <w:spacing w:line="240" w:lineRule="exact"/>
              <w:jc w:val="right"/>
              <w:rPr>
                <w:b/>
                <w:sz w:val="18"/>
                <w:szCs w:val="18"/>
                <w:lang w:val="en-US"/>
              </w:rPr>
            </w:pPr>
          </w:p>
        </w:tc>
      </w:tr>
      <w:tr w:rsidR="00EB0BEF" w:rsidRPr="007F131A" w14:paraId="7DCDE0D9" w14:textId="77777777" w:rsidTr="00A0419B">
        <w:tc>
          <w:tcPr>
            <w:tcW w:w="615" w:type="dxa"/>
            <w:tcBorders>
              <w:bottom w:val="single" w:sz="4" w:space="0" w:color="auto"/>
            </w:tcBorders>
          </w:tcPr>
          <w:p w14:paraId="2123E64E" w14:textId="77777777" w:rsidR="00EB0BEF" w:rsidRPr="007F131A" w:rsidRDefault="00EB0BEF" w:rsidP="00A0419B">
            <w:pPr>
              <w:spacing w:line="240" w:lineRule="exact"/>
              <w:rPr>
                <w:b/>
                <w:sz w:val="18"/>
                <w:szCs w:val="18"/>
                <w:lang w:val="en-US"/>
              </w:rPr>
            </w:pPr>
            <w:r w:rsidRPr="007F131A">
              <w:rPr>
                <w:b/>
                <w:sz w:val="18"/>
                <w:szCs w:val="18"/>
                <w:lang w:val="en-US"/>
              </w:rPr>
              <w:t>Variables</w:t>
            </w:r>
          </w:p>
        </w:tc>
        <w:tc>
          <w:tcPr>
            <w:tcW w:w="961" w:type="dxa"/>
            <w:tcBorders>
              <w:bottom w:val="single" w:sz="4" w:space="0" w:color="auto"/>
            </w:tcBorders>
          </w:tcPr>
          <w:p w14:paraId="7946F3D5" w14:textId="77777777" w:rsidR="00EB0BEF" w:rsidRPr="007F131A" w:rsidRDefault="00EB0BEF" w:rsidP="00A0419B">
            <w:pPr>
              <w:spacing w:line="240" w:lineRule="exact"/>
              <w:jc w:val="center"/>
              <w:rPr>
                <w:b/>
                <w:sz w:val="18"/>
                <w:szCs w:val="18"/>
                <w:lang w:val="en-US"/>
              </w:rPr>
            </w:pPr>
            <w:r w:rsidRPr="007F131A">
              <w:rPr>
                <w:b/>
                <w:sz w:val="18"/>
                <w:szCs w:val="18"/>
                <w:lang w:val="en-US"/>
              </w:rPr>
              <w:t>Mean</w:t>
            </w:r>
          </w:p>
        </w:tc>
        <w:tc>
          <w:tcPr>
            <w:tcW w:w="749" w:type="dxa"/>
            <w:tcBorders>
              <w:bottom w:val="single" w:sz="4" w:space="0" w:color="auto"/>
            </w:tcBorders>
          </w:tcPr>
          <w:p w14:paraId="320526BE" w14:textId="77777777" w:rsidR="00EB0BEF" w:rsidRPr="007F131A" w:rsidRDefault="00EB0BEF" w:rsidP="00A0419B">
            <w:pPr>
              <w:spacing w:line="240" w:lineRule="exact"/>
              <w:jc w:val="center"/>
              <w:rPr>
                <w:b/>
                <w:sz w:val="18"/>
                <w:szCs w:val="18"/>
                <w:lang w:val="en-US"/>
              </w:rPr>
            </w:pPr>
            <w:r w:rsidRPr="007F131A">
              <w:rPr>
                <w:b/>
                <w:sz w:val="18"/>
                <w:szCs w:val="18"/>
                <w:lang w:val="en-US"/>
              </w:rPr>
              <w:t>St. error</w:t>
            </w:r>
          </w:p>
        </w:tc>
        <w:tc>
          <w:tcPr>
            <w:tcW w:w="904" w:type="dxa"/>
            <w:tcBorders>
              <w:bottom w:val="single" w:sz="4" w:space="0" w:color="auto"/>
            </w:tcBorders>
          </w:tcPr>
          <w:p w14:paraId="0AAC2450" w14:textId="77777777" w:rsidR="00EB0BEF" w:rsidRPr="007F131A" w:rsidRDefault="00EB0BEF" w:rsidP="00A0419B">
            <w:pPr>
              <w:spacing w:line="240" w:lineRule="exact"/>
              <w:jc w:val="center"/>
              <w:rPr>
                <w:b/>
                <w:sz w:val="18"/>
                <w:szCs w:val="18"/>
                <w:lang w:val="en-US"/>
              </w:rPr>
            </w:pPr>
            <w:r w:rsidRPr="007F131A">
              <w:rPr>
                <w:b/>
                <w:sz w:val="18"/>
                <w:szCs w:val="18"/>
                <w:lang w:val="en-US"/>
              </w:rPr>
              <w:t>Median</w:t>
            </w:r>
          </w:p>
        </w:tc>
        <w:tc>
          <w:tcPr>
            <w:tcW w:w="830" w:type="dxa"/>
            <w:tcBorders>
              <w:bottom w:val="single" w:sz="4" w:space="0" w:color="auto"/>
            </w:tcBorders>
          </w:tcPr>
          <w:p w14:paraId="08F9CA03" w14:textId="77777777" w:rsidR="00EB0BEF" w:rsidRPr="007F131A" w:rsidRDefault="00EB0BEF" w:rsidP="00A0419B">
            <w:pPr>
              <w:spacing w:line="240" w:lineRule="exact"/>
              <w:jc w:val="center"/>
              <w:rPr>
                <w:b/>
                <w:sz w:val="18"/>
                <w:szCs w:val="18"/>
                <w:lang w:val="en-US"/>
              </w:rPr>
            </w:pPr>
            <w:r w:rsidRPr="007F131A">
              <w:rPr>
                <w:b/>
                <w:sz w:val="18"/>
                <w:szCs w:val="18"/>
                <w:lang w:val="en-US"/>
              </w:rPr>
              <w:t>St. dev.</w:t>
            </w:r>
          </w:p>
        </w:tc>
        <w:tc>
          <w:tcPr>
            <w:tcW w:w="911" w:type="dxa"/>
            <w:tcBorders>
              <w:bottom w:val="single" w:sz="4" w:space="0" w:color="auto"/>
            </w:tcBorders>
          </w:tcPr>
          <w:p w14:paraId="71C78A5C" w14:textId="77777777" w:rsidR="00EB0BEF" w:rsidRPr="007F131A" w:rsidRDefault="00EB0BEF" w:rsidP="00A0419B">
            <w:pPr>
              <w:spacing w:line="240" w:lineRule="exact"/>
              <w:jc w:val="center"/>
              <w:rPr>
                <w:b/>
                <w:sz w:val="18"/>
                <w:szCs w:val="18"/>
                <w:lang w:val="en-US"/>
              </w:rPr>
            </w:pPr>
            <w:r w:rsidRPr="007F131A">
              <w:rPr>
                <w:b/>
                <w:sz w:val="18"/>
                <w:szCs w:val="18"/>
                <w:lang w:val="en-US"/>
              </w:rPr>
              <w:t>Variance</w:t>
            </w:r>
          </w:p>
        </w:tc>
        <w:tc>
          <w:tcPr>
            <w:tcW w:w="911" w:type="dxa"/>
            <w:tcBorders>
              <w:bottom w:val="single" w:sz="4" w:space="0" w:color="auto"/>
            </w:tcBorders>
          </w:tcPr>
          <w:p w14:paraId="0F13F13F" w14:textId="77777777" w:rsidR="00EB0BEF" w:rsidRPr="007F131A" w:rsidRDefault="00EB0BEF" w:rsidP="00A0419B">
            <w:pPr>
              <w:spacing w:line="240" w:lineRule="exact"/>
              <w:jc w:val="center"/>
              <w:rPr>
                <w:b/>
                <w:sz w:val="18"/>
                <w:szCs w:val="18"/>
                <w:lang w:val="en-US"/>
              </w:rPr>
            </w:pPr>
            <w:r w:rsidRPr="007F131A">
              <w:rPr>
                <w:b/>
                <w:sz w:val="18"/>
                <w:szCs w:val="18"/>
                <w:lang w:val="en-US"/>
              </w:rPr>
              <w:t>Min</w:t>
            </w:r>
          </w:p>
        </w:tc>
        <w:tc>
          <w:tcPr>
            <w:tcW w:w="984" w:type="dxa"/>
            <w:tcBorders>
              <w:bottom w:val="single" w:sz="4" w:space="0" w:color="auto"/>
            </w:tcBorders>
          </w:tcPr>
          <w:p w14:paraId="0B1AC140" w14:textId="77777777" w:rsidR="00EB0BEF" w:rsidRPr="007F131A" w:rsidRDefault="00EB0BEF" w:rsidP="00A0419B">
            <w:pPr>
              <w:spacing w:line="240" w:lineRule="exact"/>
              <w:jc w:val="center"/>
              <w:rPr>
                <w:b/>
                <w:sz w:val="18"/>
                <w:szCs w:val="18"/>
                <w:lang w:val="en-US"/>
              </w:rPr>
            </w:pPr>
            <w:r w:rsidRPr="007F131A">
              <w:rPr>
                <w:b/>
                <w:sz w:val="18"/>
                <w:szCs w:val="18"/>
                <w:lang w:val="en-US"/>
              </w:rPr>
              <w:t>Max</w:t>
            </w:r>
          </w:p>
        </w:tc>
        <w:tc>
          <w:tcPr>
            <w:tcW w:w="943" w:type="dxa"/>
            <w:tcBorders>
              <w:bottom w:val="single" w:sz="4" w:space="0" w:color="auto"/>
            </w:tcBorders>
          </w:tcPr>
          <w:p w14:paraId="1C74730B" w14:textId="77777777" w:rsidR="00EB0BEF" w:rsidRPr="007F131A" w:rsidRDefault="00EB0BEF" w:rsidP="00A0419B">
            <w:pPr>
              <w:spacing w:line="240" w:lineRule="exact"/>
              <w:jc w:val="center"/>
              <w:rPr>
                <w:b/>
                <w:sz w:val="18"/>
                <w:szCs w:val="18"/>
                <w:lang w:val="en-US"/>
              </w:rPr>
            </w:pPr>
            <w:r w:rsidRPr="007F131A">
              <w:rPr>
                <w:b/>
                <w:sz w:val="18"/>
                <w:szCs w:val="18"/>
                <w:lang w:val="en-US"/>
              </w:rPr>
              <w:t>25%</w:t>
            </w:r>
          </w:p>
        </w:tc>
        <w:tc>
          <w:tcPr>
            <w:tcW w:w="943" w:type="dxa"/>
            <w:tcBorders>
              <w:bottom w:val="single" w:sz="4" w:space="0" w:color="auto"/>
            </w:tcBorders>
          </w:tcPr>
          <w:p w14:paraId="3A6E28B7" w14:textId="77777777" w:rsidR="00EB0BEF" w:rsidRPr="007F131A" w:rsidRDefault="00EB0BEF" w:rsidP="00A0419B">
            <w:pPr>
              <w:spacing w:line="240" w:lineRule="exact"/>
              <w:jc w:val="center"/>
              <w:rPr>
                <w:b/>
                <w:sz w:val="18"/>
                <w:szCs w:val="18"/>
                <w:lang w:val="en-US"/>
              </w:rPr>
            </w:pPr>
            <w:r w:rsidRPr="007F131A">
              <w:rPr>
                <w:b/>
                <w:sz w:val="18"/>
                <w:szCs w:val="18"/>
                <w:lang w:val="en-US"/>
              </w:rPr>
              <w:t>50%</w:t>
            </w:r>
          </w:p>
        </w:tc>
        <w:tc>
          <w:tcPr>
            <w:tcW w:w="943" w:type="dxa"/>
            <w:tcBorders>
              <w:bottom w:val="single" w:sz="4" w:space="0" w:color="auto"/>
            </w:tcBorders>
          </w:tcPr>
          <w:p w14:paraId="2F1CC568" w14:textId="77777777" w:rsidR="00EB0BEF" w:rsidRPr="007F131A" w:rsidRDefault="00EB0BEF" w:rsidP="00A0419B">
            <w:pPr>
              <w:spacing w:line="240" w:lineRule="exact"/>
              <w:jc w:val="center"/>
              <w:rPr>
                <w:b/>
                <w:sz w:val="18"/>
                <w:szCs w:val="18"/>
                <w:lang w:val="en-US"/>
              </w:rPr>
            </w:pPr>
            <w:r w:rsidRPr="007F131A">
              <w:rPr>
                <w:b/>
                <w:sz w:val="18"/>
                <w:szCs w:val="18"/>
                <w:lang w:val="en-US"/>
              </w:rPr>
              <w:t>75%</w:t>
            </w:r>
          </w:p>
        </w:tc>
      </w:tr>
      <w:tr w:rsidR="00EB0BEF" w:rsidRPr="007F131A" w14:paraId="78A3678B" w14:textId="77777777" w:rsidTr="00A0419B">
        <w:trPr>
          <w:trHeight w:val="432"/>
        </w:trPr>
        <w:tc>
          <w:tcPr>
            <w:tcW w:w="615" w:type="dxa"/>
            <w:tcBorders>
              <w:top w:val="single" w:sz="4" w:space="0" w:color="auto"/>
            </w:tcBorders>
          </w:tcPr>
          <w:p w14:paraId="5E37DC44" w14:textId="77777777" w:rsidR="00EB0BEF" w:rsidRPr="007F131A" w:rsidRDefault="00EB0BEF" w:rsidP="00A0419B">
            <w:pPr>
              <w:spacing w:line="240" w:lineRule="exact"/>
              <w:rPr>
                <w:i/>
                <w:sz w:val="18"/>
                <w:szCs w:val="18"/>
                <w:lang w:val="en-US"/>
              </w:rPr>
            </w:pPr>
            <w:r w:rsidRPr="007F131A">
              <w:rPr>
                <w:i/>
                <w:sz w:val="18"/>
                <w:szCs w:val="18"/>
                <w:lang w:val="en-US"/>
              </w:rPr>
              <w:t>MTB</w:t>
            </w:r>
          </w:p>
        </w:tc>
        <w:tc>
          <w:tcPr>
            <w:tcW w:w="961" w:type="dxa"/>
            <w:tcBorders>
              <w:top w:val="single" w:sz="4" w:space="0" w:color="auto"/>
            </w:tcBorders>
          </w:tcPr>
          <w:p w14:paraId="200A0B3A"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1.365</w:t>
            </w:r>
          </w:p>
        </w:tc>
        <w:tc>
          <w:tcPr>
            <w:tcW w:w="749" w:type="dxa"/>
            <w:tcBorders>
              <w:top w:val="single" w:sz="4" w:space="0" w:color="auto"/>
            </w:tcBorders>
          </w:tcPr>
          <w:p w14:paraId="3C5D6079"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0.057</w:t>
            </w:r>
          </w:p>
        </w:tc>
        <w:tc>
          <w:tcPr>
            <w:tcW w:w="904" w:type="dxa"/>
            <w:tcBorders>
              <w:top w:val="single" w:sz="4" w:space="0" w:color="auto"/>
            </w:tcBorders>
          </w:tcPr>
          <w:p w14:paraId="654AE8D5"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0.910</w:t>
            </w:r>
          </w:p>
        </w:tc>
        <w:tc>
          <w:tcPr>
            <w:tcW w:w="830" w:type="dxa"/>
            <w:tcBorders>
              <w:top w:val="single" w:sz="4" w:space="0" w:color="auto"/>
            </w:tcBorders>
          </w:tcPr>
          <w:p w14:paraId="05D31C48"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1.504</w:t>
            </w:r>
          </w:p>
        </w:tc>
        <w:tc>
          <w:tcPr>
            <w:tcW w:w="911" w:type="dxa"/>
            <w:tcBorders>
              <w:top w:val="single" w:sz="4" w:space="0" w:color="auto"/>
            </w:tcBorders>
          </w:tcPr>
          <w:p w14:paraId="0EF0B506"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2.262</w:t>
            </w:r>
          </w:p>
        </w:tc>
        <w:tc>
          <w:tcPr>
            <w:tcW w:w="911" w:type="dxa"/>
            <w:tcBorders>
              <w:top w:val="single" w:sz="4" w:space="0" w:color="auto"/>
            </w:tcBorders>
          </w:tcPr>
          <w:p w14:paraId="435D69DE"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-1.187</w:t>
            </w:r>
          </w:p>
        </w:tc>
        <w:tc>
          <w:tcPr>
            <w:tcW w:w="984" w:type="dxa"/>
            <w:tcBorders>
              <w:top w:val="single" w:sz="4" w:space="0" w:color="auto"/>
            </w:tcBorders>
          </w:tcPr>
          <w:p w14:paraId="71B33672"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10.218</w:t>
            </w:r>
          </w:p>
        </w:tc>
        <w:tc>
          <w:tcPr>
            <w:tcW w:w="943" w:type="dxa"/>
            <w:tcBorders>
              <w:top w:val="single" w:sz="4" w:space="0" w:color="auto"/>
            </w:tcBorders>
          </w:tcPr>
          <w:p w14:paraId="033CBA97"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0.522</w:t>
            </w:r>
          </w:p>
        </w:tc>
        <w:tc>
          <w:tcPr>
            <w:tcW w:w="943" w:type="dxa"/>
            <w:tcBorders>
              <w:top w:val="single" w:sz="4" w:space="0" w:color="auto"/>
            </w:tcBorders>
          </w:tcPr>
          <w:p w14:paraId="4BCEDA0B"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0.910</w:t>
            </w:r>
          </w:p>
        </w:tc>
        <w:tc>
          <w:tcPr>
            <w:tcW w:w="943" w:type="dxa"/>
            <w:tcBorders>
              <w:top w:val="single" w:sz="4" w:space="0" w:color="auto"/>
            </w:tcBorders>
          </w:tcPr>
          <w:p w14:paraId="598FB1C3"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1.773</w:t>
            </w:r>
          </w:p>
        </w:tc>
      </w:tr>
      <w:tr w:rsidR="00EB0BEF" w:rsidRPr="007F131A" w14:paraId="22C8E897" w14:textId="77777777" w:rsidTr="00A0419B">
        <w:tc>
          <w:tcPr>
            <w:tcW w:w="615" w:type="dxa"/>
          </w:tcPr>
          <w:p w14:paraId="2FC83A4E" w14:textId="77777777" w:rsidR="00EB0BEF" w:rsidRPr="007F131A" w:rsidRDefault="00EB0BEF" w:rsidP="00A0419B">
            <w:pPr>
              <w:spacing w:line="240" w:lineRule="exact"/>
              <w:rPr>
                <w:i/>
                <w:sz w:val="18"/>
                <w:szCs w:val="18"/>
                <w:lang w:val="en-US"/>
              </w:rPr>
            </w:pPr>
            <w:r w:rsidRPr="007F131A">
              <w:rPr>
                <w:i/>
                <w:sz w:val="18"/>
                <w:szCs w:val="18"/>
                <w:lang w:val="en-US"/>
              </w:rPr>
              <w:t>TINT</w:t>
            </w:r>
          </w:p>
        </w:tc>
        <w:tc>
          <w:tcPr>
            <w:tcW w:w="961" w:type="dxa"/>
          </w:tcPr>
          <w:p w14:paraId="2F719116"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0.068</w:t>
            </w:r>
          </w:p>
        </w:tc>
        <w:tc>
          <w:tcPr>
            <w:tcW w:w="749" w:type="dxa"/>
          </w:tcPr>
          <w:p w14:paraId="32D7CF29"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0.005</w:t>
            </w:r>
          </w:p>
        </w:tc>
        <w:tc>
          <w:tcPr>
            <w:tcW w:w="904" w:type="dxa"/>
          </w:tcPr>
          <w:p w14:paraId="1C332D64"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0.012</w:t>
            </w:r>
          </w:p>
        </w:tc>
        <w:tc>
          <w:tcPr>
            <w:tcW w:w="830" w:type="dxa"/>
          </w:tcPr>
          <w:p w14:paraId="72611278"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0.122</w:t>
            </w:r>
          </w:p>
        </w:tc>
        <w:tc>
          <w:tcPr>
            <w:tcW w:w="911" w:type="dxa"/>
          </w:tcPr>
          <w:p w14:paraId="110E67D4"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0.015</w:t>
            </w:r>
          </w:p>
        </w:tc>
        <w:tc>
          <w:tcPr>
            <w:tcW w:w="911" w:type="dxa"/>
          </w:tcPr>
          <w:p w14:paraId="70B1E895"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0.000</w:t>
            </w:r>
          </w:p>
        </w:tc>
        <w:tc>
          <w:tcPr>
            <w:tcW w:w="984" w:type="dxa"/>
          </w:tcPr>
          <w:p w14:paraId="7434A1A6"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0.668</w:t>
            </w:r>
          </w:p>
        </w:tc>
        <w:tc>
          <w:tcPr>
            <w:tcW w:w="943" w:type="dxa"/>
          </w:tcPr>
          <w:p w14:paraId="222A5185"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0.001</w:t>
            </w:r>
          </w:p>
        </w:tc>
        <w:tc>
          <w:tcPr>
            <w:tcW w:w="943" w:type="dxa"/>
          </w:tcPr>
          <w:p w14:paraId="4C862AAA"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0.012</w:t>
            </w:r>
          </w:p>
        </w:tc>
        <w:tc>
          <w:tcPr>
            <w:tcW w:w="943" w:type="dxa"/>
          </w:tcPr>
          <w:p w14:paraId="521FA34F"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0.070</w:t>
            </w:r>
          </w:p>
        </w:tc>
      </w:tr>
      <w:tr w:rsidR="00EB0BEF" w:rsidRPr="007F131A" w14:paraId="6D4CC179" w14:textId="77777777" w:rsidTr="00A0419B">
        <w:tc>
          <w:tcPr>
            <w:tcW w:w="615" w:type="dxa"/>
          </w:tcPr>
          <w:p w14:paraId="108FA8FF" w14:textId="77777777" w:rsidR="00EB0BEF" w:rsidRPr="007F131A" w:rsidRDefault="00EB0BEF" w:rsidP="00A0419B">
            <w:pPr>
              <w:spacing w:line="240" w:lineRule="exact"/>
              <w:rPr>
                <w:i/>
                <w:sz w:val="18"/>
                <w:szCs w:val="18"/>
                <w:lang w:val="en-US"/>
              </w:rPr>
            </w:pPr>
            <w:r w:rsidRPr="007F131A">
              <w:rPr>
                <w:i/>
                <w:sz w:val="18"/>
                <w:szCs w:val="18"/>
                <w:lang w:val="en-US"/>
              </w:rPr>
              <w:t xml:space="preserve">SIZE </w:t>
            </w:r>
          </w:p>
        </w:tc>
        <w:tc>
          <w:tcPr>
            <w:tcW w:w="961" w:type="dxa"/>
          </w:tcPr>
          <w:p w14:paraId="725304B1"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12.843</w:t>
            </w:r>
          </w:p>
        </w:tc>
        <w:tc>
          <w:tcPr>
            <w:tcW w:w="749" w:type="dxa"/>
          </w:tcPr>
          <w:p w14:paraId="75E7F422"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0.061</w:t>
            </w:r>
          </w:p>
        </w:tc>
        <w:tc>
          <w:tcPr>
            <w:tcW w:w="904" w:type="dxa"/>
          </w:tcPr>
          <w:p w14:paraId="5E8DA3AD"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12.634</w:t>
            </w:r>
          </w:p>
        </w:tc>
        <w:tc>
          <w:tcPr>
            <w:tcW w:w="830" w:type="dxa"/>
          </w:tcPr>
          <w:p w14:paraId="7ACD1044"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1.625</w:t>
            </w:r>
          </w:p>
        </w:tc>
        <w:tc>
          <w:tcPr>
            <w:tcW w:w="911" w:type="dxa"/>
          </w:tcPr>
          <w:p w14:paraId="27F5FA8A"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2.640</w:t>
            </w:r>
          </w:p>
        </w:tc>
        <w:tc>
          <w:tcPr>
            <w:tcW w:w="911" w:type="dxa"/>
          </w:tcPr>
          <w:p w14:paraId="22994119"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8.625</w:t>
            </w:r>
          </w:p>
        </w:tc>
        <w:tc>
          <w:tcPr>
            <w:tcW w:w="984" w:type="dxa"/>
          </w:tcPr>
          <w:p w14:paraId="6C632210"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18.302</w:t>
            </w:r>
          </w:p>
        </w:tc>
        <w:tc>
          <w:tcPr>
            <w:tcW w:w="943" w:type="dxa"/>
          </w:tcPr>
          <w:p w14:paraId="321EB2AE"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11.694</w:t>
            </w:r>
          </w:p>
        </w:tc>
        <w:tc>
          <w:tcPr>
            <w:tcW w:w="943" w:type="dxa"/>
          </w:tcPr>
          <w:p w14:paraId="5EB98238"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12.634</w:t>
            </w:r>
          </w:p>
        </w:tc>
        <w:tc>
          <w:tcPr>
            <w:tcW w:w="943" w:type="dxa"/>
          </w:tcPr>
          <w:p w14:paraId="0DC5835A"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13.676</w:t>
            </w:r>
          </w:p>
        </w:tc>
      </w:tr>
      <w:tr w:rsidR="00EB0BEF" w:rsidRPr="007F131A" w14:paraId="5FCF55A2" w14:textId="77777777" w:rsidTr="00A0419B">
        <w:tc>
          <w:tcPr>
            <w:tcW w:w="615" w:type="dxa"/>
          </w:tcPr>
          <w:p w14:paraId="34A73E7C" w14:textId="77777777" w:rsidR="00EB0BEF" w:rsidRPr="007F131A" w:rsidRDefault="00EB0BEF" w:rsidP="00A0419B">
            <w:pPr>
              <w:spacing w:line="240" w:lineRule="exact"/>
              <w:rPr>
                <w:i/>
                <w:sz w:val="18"/>
                <w:szCs w:val="18"/>
                <w:lang w:val="en-US"/>
              </w:rPr>
            </w:pPr>
            <w:r w:rsidRPr="007F131A">
              <w:rPr>
                <w:i/>
                <w:sz w:val="18"/>
                <w:szCs w:val="18"/>
                <w:lang w:val="en-US"/>
              </w:rPr>
              <w:t>AGE</w:t>
            </w:r>
          </w:p>
        </w:tc>
        <w:tc>
          <w:tcPr>
            <w:tcW w:w="961" w:type="dxa"/>
          </w:tcPr>
          <w:p w14:paraId="0F14FAE2"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3.366</w:t>
            </w:r>
          </w:p>
        </w:tc>
        <w:tc>
          <w:tcPr>
            <w:tcW w:w="749" w:type="dxa"/>
          </w:tcPr>
          <w:p w14:paraId="32E96FCB"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0.030</w:t>
            </w:r>
          </w:p>
        </w:tc>
        <w:tc>
          <w:tcPr>
            <w:tcW w:w="904" w:type="dxa"/>
          </w:tcPr>
          <w:p w14:paraId="4072815C"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3.332</w:t>
            </w:r>
          </w:p>
        </w:tc>
        <w:tc>
          <w:tcPr>
            <w:tcW w:w="830" w:type="dxa"/>
          </w:tcPr>
          <w:p w14:paraId="03D96C42"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0.781</w:t>
            </w:r>
          </w:p>
        </w:tc>
        <w:tc>
          <w:tcPr>
            <w:tcW w:w="911" w:type="dxa"/>
          </w:tcPr>
          <w:p w14:paraId="471ADE8B"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0.610</w:t>
            </w:r>
          </w:p>
        </w:tc>
        <w:tc>
          <w:tcPr>
            <w:tcW w:w="911" w:type="dxa"/>
          </w:tcPr>
          <w:p w14:paraId="6CD847AB"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1.386</w:t>
            </w:r>
          </w:p>
        </w:tc>
        <w:tc>
          <w:tcPr>
            <w:tcW w:w="984" w:type="dxa"/>
          </w:tcPr>
          <w:p w14:paraId="40426EC5"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4.997</w:t>
            </w:r>
          </w:p>
        </w:tc>
        <w:tc>
          <w:tcPr>
            <w:tcW w:w="943" w:type="dxa"/>
          </w:tcPr>
          <w:p w14:paraId="4FA05AF3"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2.773</w:t>
            </w:r>
          </w:p>
        </w:tc>
        <w:tc>
          <w:tcPr>
            <w:tcW w:w="943" w:type="dxa"/>
          </w:tcPr>
          <w:p w14:paraId="55CDFEE2"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3.332</w:t>
            </w:r>
          </w:p>
        </w:tc>
        <w:tc>
          <w:tcPr>
            <w:tcW w:w="943" w:type="dxa"/>
          </w:tcPr>
          <w:p w14:paraId="5AB7FF70"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3.845</w:t>
            </w:r>
          </w:p>
        </w:tc>
      </w:tr>
      <w:tr w:rsidR="00EB0BEF" w:rsidRPr="007F131A" w14:paraId="4D3F4795" w14:textId="77777777" w:rsidTr="00A0419B">
        <w:tc>
          <w:tcPr>
            <w:tcW w:w="615" w:type="dxa"/>
          </w:tcPr>
          <w:p w14:paraId="301521E9" w14:textId="77777777" w:rsidR="00EB0BEF" w:rsidRPr="007F131A" w:rsidRDefault="00EB0BEF" w:rsidP="00A0419B">
            <w:pPr>
              <w:spacing w:line="240" w:lineRule="exact"/>
              <w:rPr>
                <w:rFonts w:ascii="Calibri" w:eastAsia="Calibri" w:hAnsi="Calibri" w:cs="Times New Roman"/>
                <w:i/>
                <w:sz w:val="18"/>
                <w:szCs w:val="18"/>
                <w:lang w:val="en-US"/>
              </w:rPr>
            </w:pPr>
            <w:r w:rsidRPr="007F131A">
              <w:rPr>
                <w:i/>
                <w:sz w:val="18"/>
                <w:szCs w:val="18"/>
                <w:lang w:val="en-US"/>
              </w:rPr>
              <w:t xml:space="preserve">ROE </w:t>
            </w:r>
          </w:p>
        </w:tc>
        <w:tc>
          <w:tcPr>
            <w:tcW w:w="961" w:type="dxa"/>
          </w:tcPr>
          <w:p w14:paraId="35C2BD5D"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0.257</w:t>
            </w:r>
          </w:p>
        </w:tc>
        <w:tc>
          <w:tcPr>
            <w:tcW w:w="749" w:type="dxa"/>
          </w:tcPr>
          <w:p w14:paraId="0AE76AD6"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0.791</w:t>
            </w:r>
          </w:p>
        </w:tc>
        <w:tc>
          <w:tcPr>
            <w:tcW w:w="904" w:type="dxa"/>
          </w:tcPr>
          <w:p w14:paraId="6AFA433F"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3.190</w:t>
            </w:r>
          </w:p>
        </w:tc>
        <w:tc>
          <w:tcPr>
            <w:tcW w:w="830" w:type="dxa"/>
          </w:tcPr>
          <w:p w14:paraId="1DF2A7DF"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20.930</w:t>
            </w:r>
          </w:p>
        </w:tc>
        <w:tc>
          <w:tcPr>
            <w:tcW w:w="911" w:type="dxa"/>
          </w:tcPr>
          <w:p w14:paraId="011EE3B7"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438.057</w:t>
            </w:r>
          </w:p>
        </w:tc>
        <w:tc>
          <w:tcPr>
            <w:tcW w:w="911" w:type="dxa"/>
          </w:tcPr>
          <w:p w14:paraId="1912A4D2"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-143.140</w:t>
            </w:r>
          </w:p>
        </w:tc>
        <w:tc>
          <w:tcPr>
            <w:tcW w:w="984" w:type="dxa"/>
          </w:tcPr>
          <w:p w14:paraId="7B49CEC0"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70.380</w:t>
            </w:r>
          </w:p>
        </w:tc>
        <w:tc>
          <w:tcPr>
            <w:tcW w:w="943" w:type="dxa"/>
          </w:tcPr>
          <w:p w14:paraId="598D8583"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-3.415</w:t>
            </w:r>
          </w:p>
        </w:tc>
        <w:tc>
          <w:tcPr>
            <w:tcW w:w="943" w:type="dxa"/>
          </w:tcPr>
          <w:p w14:paraId="2547C816"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3.190</w:t>
            </w:r>
          </w:p>
        </w:tc>
        <w:tc>
          <w:tcPr>
            <w:tcW w:w="943" w:type="dxa"/>
          </w:tcPr>
          <w:p w14:paraId="4DD3B122"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9.503</w:t>
            </w:r>
          </w:p>
        </w:tc>
      </w:tr>
      <w:tr w:rsidR="00EB0BEF" w:rsidRPr="007F131A" w14:paraId="6CF6798B" w14:textId="77777777" w:rsidTr="00A0419B">
        <w:tc>
          <w:tcPr>
            <w:tcW w:w="615" w:type="dxa"/>
            <w:tcBorders>
              <w:bottom w:val="single" w:sz="4" w:space="0" w:color="auto"/>
            </w:tcBorders>
          </w:tcPr>
          <w:p w14:paraId="0FA9FDFE" w14:textId="77777777" w:rsidR="00EB0BEF" w:rsidRPr="007F131A" w:rsidRDefault="00EB0BEF" w:rsidP="00A0419B">
            <w:pPr>
              <w:spacing w:line="240" w:lineRule="exact"/>
              <w:rPr>
                <w:i/>
                <w:sz w:val="18"/>
                <w:szCs w:val="18"/>
                <w:lang w:val="en-US"/>
              </w:rPr>
            </w:pPr>
            <w:r w:rsidRPr="007F131A">
              <w:rPr>
                <w:i/>
                <w:sz w:val="18"/>
                <w:szCs w:val="18"/>
                <w:lang w:val="en-US"/>
              </w:rPr>
              <w:t>DE</w:t>
            </w:r>
          </w:p>
        </w:tc>
        <w:tc>
          <w:tcPr>
            <w:tcW w:w="961" w:type="dxa"/>
            <w:tcBorders>
              <w:bottom w:val="single" w:sz="4" w:space="0" w:color="auto"/>
            </w:tcBorders>
          </w:tcPr>
          <w:p w14:paraId="0781AB1B"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0.970</w:t>
            </w:r>
          </w:p>
        </w:tc>
        <w:tc>
          <w:tcPr>
            <w:tcW w:w="749" w:type="dxa"/>
            <w:tcBorders>
              <w:bottom w:val="single" w:sz="4" w:space="0" w:color="auto"/>
            </w:tcBorders>
          </w:tcPr>
          <w:p w14:paraId="148DD645"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0.201</w:t>
            </w:r>
          </w:p>
        </w:tc>
        <w:tc>
          <w:tcPr>
            <w:tcW w:w="904" w:type="dxa"/>
            <w:tcBorders>
              <w:bottom w:val="single" w:sz="4" w:space="0" w:color="auto"/>
            </w:tcBorders>
          </w:tcPr>
          <w:p w14:paraId="2061D608"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0.410</w:t>
            </w:r>
          </w:p>
        </w:tc>
        <w:tc>
          <w:tcPr>
            <w:tcW w:w="830" w:type="dxa"/>
            <w:tcBorders>
              <w:bottom w:val="single" w:sz="4" w:space="0" w:color="auto"/>
            </w:tcBorders>
          </w:tcPr>
          <w:p w14:paraId="645CB6E3"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5.317</w:t>
            </w:r>
          </w:p>
        </w:tc>
        <w:tc>
          <w:tcPr>
            <w:tcW w:w="911" w:type="dxa"/>
            <w:tcBorders>
              <w:bottom w:val="single" w:sz="4" w:space="0" w:color="auto"/>
            </w:tcBorders>
          </w:tcPr>
          <w:p w14:paraId="53E11554"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28.271</w:t>
            </w:r>
          </w:p>
        </w:tc>
        <w:tc>
          <w:tcPr>
            <w:tcW w:w="911" w:type="dxa"/>
            <w:tcBorders>
              <w:bottom w:val="single" w:sz="4" w:space="0" w:color="auto"/>
            </w:tcBorders>
          </w:tcPr>
          <w:p w14:paraId="7CFC22CF"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-25.030</w:t>
            </w:r>
          </w:p>
        </w:tc>
        <w:tc>
          <w:tcPr>
            <w:tcW w:w="984" w:type="dxa"/>
            <w:tcBorders>
              <w:bottom w:val="single" w:sz="4" w:space="0" w:color="auto"/>
            </w:tcBorders>
          </w:tcPr>
          <w:p w14:paraId="6FD06398"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109.130</w:t>
            </w:r>
          </w:p>
        </w:tc>
        <w:tc>
          <w:tcPr>
            <w:tcW w:w="943" w:type="dxa"/>
            <w:tcBorders>
              <w:bottom w:val="single" w:sz="4" w:space="0" w:color="auto"/>
            </w:tcBorders>
          </w:tcPr>
          <w:p w14:paraId="2889BCED"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0.100</w:t>
            </w:r>
          </w:p>
        </w:tc>
        <w:tc>
          <w:tcPr>
            <w:tcW w:w="943" w:type="dxa"/>
            <w:tcBorders>
              <w:bottom w:val="single" w:sz="4" w:space="0" w:color="auto"/>
            </w:tcBorders>
          </w:tcPr>
          <w:p w14:paraId="47218991"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0.410</w:t>
            </w:r>
          </w:p>
        </w:tc>
        <w:tc>
          <w:tcPr>
            <w:tcW w:w="943" w:type="dxa"/>
            <w:tcBorders>
              <w:bottom w:val="single" w:sz="4" w:space="0" w:color="auto"/>
            </w:tcBorders>
          </w:tcPr>
          <w:p w14:paraId="6CA765BA" w14:textId="77777777" w:rsidR="00EB0BEF" w:rsidRPr="007F131A"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0.780</w:t>
            </w:r>
          </w:p>
        </w:tc>
      </w:tr>
      <w:tr w:rsidR="00EB0BEF" w:rsidRPr="00B11F1C" w14:paraId="44C70C2D" w14:textId="77777777" w:rsidTr="00A0419B">
        <w:tc>
          <w:tcPr>
            <w:tcW w:w="9694" w:type="dxa"/>
            <w:gridSpan w:val="11"/>
            <w:tcBorders>
              <w:top w:val="single" w:sz="4" w:space="0" w:color="auto"/>
              <w:bottom w:val="single" w:sz="4" w:space="0" w:color="auto"/>
            </w:tcBorders>
          </w:tcPr>
          <w:p w14:paraId="46A1B5C4" w14:textId="77777777" w:rsidR="00EB0BEF" w:rsidRPr="007F131A" w:rsidDel="004E7D68" w:rsidRDefault="00EB0BEF" w:rsidP="00A0419B">
            <w:pPr>
              <w:spacing w:line="240" w:lineRule="exact"/>
              <w:jc w:val="both"/>
              <w:rPr>
                <w:b/>
                <w:sz w:val="18"/>
                <w:szCs w:val="18"/>
                <w:lang w:val="en-US"/>
              </w:rPr>
            </w:pPr>
            <w:r w:rsidRPr="007F131A">
              <w:rPr>
                <w:b/>
                <w:sz w:val="18"/>
                <w:szCs w:val="18"/>
                <w:lang w:val="en-US"/>
              </w:rPr>
              <w:t>Panel B – Knowledge intensive business service industry (KIBS) firms (IND=1)- (Obs: 125 = 25 companies)</w:t>
            </w:r>
          </w:p>
        </w:tc>
      </w:tr>
      <w:tr w:rsidR="00EB0BEF" w:rsidRPr="007F131A" w14:paraId="798B51B9" w14:textId="77777777" w:rsidTr="00A0419B">
        <w:tc>
          <w:tcPr>
            <w:tcW w:w="615" w:type="dxa"/>
            <w:tcBorders>
              <w:top w:val="single" w:sz="4" w:space="0" w:color="auto"/>
            </w:tcBorders>
          </w:tcPr>
          <w:p w14:paraId="232AEA60" w14:textId="77777777" w:rsidR="00EB0BEF" w:rsidRPr="007F131A" w:rsidDel="008872A9" w:rsidRDefault="00EB0BEF" w:rsidP="00A0419B">
            <w:pPr>
              <w:spacing w:line="240" w:lineRule="exact"/>
              <w:rPr>
                <w:sz w:val="18"/>
                <w:szCs w:val="18"/>
                <w:lang w:val="en-US"/>
              </w:rPr>
            </w:pPr>
          </w:p>
        </w:tc>
        <w:tc>
          <w:tcPr>
            <w:tcW w:w="961" w:type="dxa"/>
            <w:tcBorders>
              <w:top w:val="single" w:sz="4" w:space="0" w:color="auto"/>
            </w:tcBorders>
          </w:tcPr>
          <w:p w14:paraId="406E180D"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Mean</w:t>
            </w:r>
          </w:p>
        </w:tc>
        <w:tc>
          <w:tcPr>
            <w:tcW w:w="749" w:type="dxa"/>
            <w:tcBorders>
              <w:top w:val="single" w:sz="4" w:space="0" w:color="auto"/>
            </w:tcBorders>
          </w:tcPr>
          <w:p w14:paraId="5A9D86E2"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St. error</w:t>
            </w:r>
          </w:p>
        </w:tc>
        <w:tc>
          <w:tcPr>
            <w:tcW w:w="904" w:type="dxa"/>
            <w:tcBorders>
              <w:top w:val="single" w:sz="4" w:space="0" w:color="auto"/>
            </w:tcBorders>
          </w:tcPr>
          <w:p w14:paraId="684C75F9" w14:textId="77777777" w:rsidR="00EB0BEF" w:rsidRPr="007F131A" w:rsidDel="00BE015B" w:rsidRDefault="00EB0BEF" w:rsidP="00A0419B">
            <w:pPr>
              <w:spacing w:line="240" w:lineRule="exact"/>
              <w:jc w:val="center"/>
              <w:rPr>
                <w:sz w:val="18"/>
                <w:szCs w:val="18"/>
                <w:lang w:val="en-US"/>
              </w:rPr>
            </w:pPr>
            <w:r w:rsidRPr="007F131A">
              <w:rPr>
                <w:b/>
                <w:sz w:val="18"/>
                <w:szCs w:val="18"/>
                <w:lang w:val="en-US"/>
              </w:rPr>
              <w:t>Median</w:t>
            </w:r>
          </w:p>
        </w:tc>
        <w:tc>
          <w:tcPr>
            <w:tcW w:w="830" w:type="dxa"/>
            <w:tcBorders>
              <w:top w:val="single" w:sz="4" w:space="0" w:color="auto"/>
            </w:tcBorders>
          </w:tcPr>
          <w:p w14:paraId="5856C48C"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St. dev.</w:t>
            </w:r>
          </w:p>
        </w:tc>
        <w:tc>
          <w:tcPr>
            <w:tcW w:w="911" w:type="dxa"/>
            <w:tcBorders>
              <w:top w:val="single" w:sz="4" w:space="0" w:color="auto"/>
            </w:tcBorders>
          </w:tcPr>
          <w:p w14:paraId="13BF08B4"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Variance</w:t>
            </w:r>
          </w:p>
        </w:tc>
        <w:tc>
          <w:tcPr>
            <w:tcW w:w="911" w:type="dxa"/>
            <w:tcBorders>
              <w:top w:val="single" w:sz="4" w:space="0" w:color="auto"/>
            </w:tcBorders>
          </w:tcPr>
          <w:p w14:paraId="22BD8CB4"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Min</w:t>
            </w:r>
          </w:p>
        </w:tc>
        <w:tc>
          <w:tcPr>
            <w:tcW w:w="984" w:type="dxa"/>
            <w:tcBorders>
              <w:top w:val="single" w:sz="4" w:space="0" w:color="auto"/>
            </w:tcBorders>
          </w:tcPr>
          <w:p w14:paraId="5CCB886A" w14:textId="77777777" w:rsidR="00EB0BEF" w:rsidRPr="007F131A" w:rsidDel="004E7D68" w:rsidRDefault="00EB0BEF" w:rsidP="00A0419B">
            <w:pPr>
              <w:spacing w:line="240" w:lineRule="exact"/>
              <w:jc w:val="center"/>
              <w:rPr>
                <w:sz w:val="18"/>
                <w:szCs w:val="18"/>
                <w:lang w:val="en-US"/>
              </w:rPr>
            </w:pPr>
            <w:r w:rsidRPr="007F131A">
              <w:rPr>
                <w:b/>
                <w:sz w:val="18"/>
                <w:szCs w:val="18"/>
                <w:lang w:val="en-US"/>
              </w:rPr>
              <w:t>Max</w:t>
            </w:r>
          </w:p>
        </w:tc>
        <w:tc>
          <w:tcPr>
            <w:tcW w:w="943" w:type="dxa"/>
            <w:tcBorders>
              <w:top w:val="single" w:sz="4" w:space="0" w:color="auto"/>
            </w:tcBorders>
          </w:tcPr>
          <w:p w14:paraId="073D3F1A" w14:textId="77777777" w:rsidR="00EB0BEF" w:rsidRPr="007F131A" w:rsidDel="004E7D68" w:rsidRDefault="00EB0BEF" w:rsidP="00A0419B">
            <w:pPr>
              <w:spacing w:line="240" w:lineRule="exact"/>
              <w:jc w:val="center"/>
              <w:rPr>
                <w:sz w:val="18"/>
                <w:szCs w:val="18"/>
                <w:lang w:val="en-US"/>
              </w:rPr>
            </w:pPr>
            <w:r w:rsidRPr="007F131A">
              <w:rPr>
                <w:b/>
                <w:sz w:val="18"/>
                <w:szCs w:val="18"/>
                <w:lang w:val="en-US"/>
              </w:rPr>
              <w:t>25%</w:t>
            </w:r>
          </w:p>
        </w:tc>
        <w:tc>
          <w:tcPr>
            <w:tcW w:w="943" w:type="dxa"/>
            <w:tcBorders>
              <w:top w:val="single" w:sz="4" w:space="0" w:color="auto"/>
            </w:tcBorders>
          </w:tcPr>
          <w:p w14:paraId="53AA6DD5" w14:textId="77777777" w:rsidR="00EB0BEF" w:rsidRPr="007F131A" w:rsidDel="004E7D68" w:rsidRDefault="00EB0BEF" w:rsidP="00A0419B">
            <w:pPr>
              <w:spacing w:line="240" w:lineRule="exact"/>
              <w:jc w:val="center"/>
              <w:rPr>
                <w:sz w:val="18"/>
                <w:szCs w:val="18"/>
                <w:lang w:val="en-US"/>
              </w:rPr>
            </w:pPr>
            <w:r w:rsidRPr="007F131A">
              <w:rPr>
                <w:b/>
                <w:sz w:val="18"/>
                <w:szCs w:val="18"/>
                <w:lang w:val="en-US"/>
              </w:rPr>
              <w:t>50%</w:t>
            </w:r>
          </w:p>
        </w:tc>
        <w:tc>
          <w:tcPr>
            <w:tcW w:w="943" w:type="dxa"/>
            <w:tcBorders>
              <w:top w:val="single" w:sz="4" w:space="0" w:color="auto"/>
            </w:tcBorders>
          </w:tcPr>
          <w:p w14:paraId="4C4476B8" w14:textId="77777777" w:rsidR="00EB0BEF" w:rsidRPr="007F131A" w:rsidDel="004E7D68" w:rsidRDefault="00EB0BEF" w:rsidP="00A0419B">
            <w:pPr>
              <w:spacing w:line="240" w:lineRule="exact"/>
              <w:jc w:val="center"/>
              <w:rPr>
                <w:sz w:val="18"/>
                <w:szCs w:val="18"/>
                <w:lang w:val="en-US"/>
              </w:rPr>
            </w:pPr>
            <w:r w:rsidRPr="007F131A">
              <w:rPr>
                <w:b/>
                <w:sz w:val="18"/>
                <w:szCs w:val="18"/>
                <w:lang w:val="en-US"/>
              </w:rPr>
              <w:t>75%</w:t>
            </w:r>
          </w:p>
        </w:tc>
      </w:tr>
      <w:tr w:rsidR="00EB0BEF" w:rsidRPr="007F131A" w14:paraId="2B1BF21C" w14:textId="77777777" w:rsidTr="00A0419B">
        <w:tc>
          <w:tcPr>
            <w:tcW w:w="615" w:type="dxa"/>
          </w:tcPr>
          <w:p w14:paraId="70CB2116" w14:textId="77777777" w:rsidR="00EB0BEF" w:rsidRPr="007F131A" w:rsidRDefault="00EB0BEF" w:rsidP="00A0419B">
            <w:pPr>
              <w:spacing w:line="240" w:lineRule="exact"/>
              <w:rPr>
                <w:i/>
                <w:sz w:val="18"/>
                <w:szCs w:val="18"/>
                <w:highlight w:val="yellow"/>
                <w:lang w:val="en-US"/>
              </w:rPr>
            </w:pPr>
            <w:r w:rsidRPr="007F131A">
              <w:rPr>
                <w:i/>
                <w:sz w:val="18"/>
                <w:szCs w:val="18"/>
                <w:lang w:val="en-US"/>
              </w:rPr>
              <w:t>MTB</w:t>
            </w:r>
          </w:p>
        </w:tc>
        <w:tc>
          <w:tcPr>
            <w:tcW w:w="961" w:type="dxa"/>
          </w:tcPr>
          <w:p w14:paraId="3BC14500" w14:textId="77777777" w:rsidR="00EB0BEF" w:rsidRPr="007F131A" w:rsidDel="00F206E6" w:rsidRDefault="00EB0BEF" w:rsidP="00A0419B">
            <w:pPr>
              <w:spacing w:line="240" w:lineRule="exact"/>
              <w:jc w:val="center"/>
              <w:rPr>
                <w:rFonts w:ascii="Calibri" w:eastAsia="Calibri" w:hAnsi="Calibri" w:cs="Times New Roman"/>
                <w:sz w:val="18"/>
                <w:szCs w:val="18"/>
                <w:highlight w:val="yellow"/>
                <w:lang w:val="en-US"/>
              </w:rPr>
            </w:pPr>
            <w:r w:rsidRPr="007F131A">
              <w:rPr>
                <w:rFonts w:ascii="Arial" w:eastAsia="Times New Roman" w:hAnsi="Arial" w:cs="Arial"/>
                <w:sz w:val="18"/>
                <w:szCs w:val="18"/>
              </w:rPr>
              <w:t>1.749</w:t>
            </w:r>
          </w:p>
        </w:tc>
        <w:tc>
          <w:tcPr>
            <w:tcW w:w="749" w:type="dxa"/>
          </w:tcPr>
          <w:p w14:paraId="0080DC28" w14:textId="77777777" w:rsidR="00EB0BEF" w:rsidRPr="007F131A" w:rsidDel="00F206E6" w:rsidRDefault="00EB0BEF" w:rsidP="00A0419B">
            <w:pPr>
              <w:spacing w:line="240" w:lineRule="exact"/>
              <w:jc w:val="center"/>
              <w:rPr>
                <w:rFonts w:ascii="Calibri" w:eastAsia="Calibri" w:hAnsi="Calibri" w:cs="Times New Roman"/>
                <w:sz w:val="18"/>
                <w:szCs w:val="18"/>
                <w:highlight w:val="yellow"/>
                <w:lang w:val="en-US"/>
              </w:rPr>
            </w:pPr>
            <w:r w:rsidRPr="007F131A">
              <w:rPr>
                <w:rFonts w:ascii="Arial" w:eastAsia="Times New Roman" w:hAnsi="Arial" w:cs="Arial"/>
                <w:sz w:val="18"/>
                <w:szCs w:val="18"/>
              </w:rPr>
              <w:t>0.17</w:t>
            </w:r>
          </w:p>
        </w:tc>
        <w:tc>
          <w:tcPr>
            <w:tcW w:w="904" w:type="dxa"/>
          </w:tcPr>
          <w:p w14:paraId="6A8AA51F" w14:textId="77777777" w:rsidR="00EB0BEF" w:rsidRPr="007F131A" w:rsidDel="00BE015B" w:rsidRDefault="00EB0BEF" w:rsidP="00A0419B">
            <w:pPr>
              <w:spacing w:line="240" w:lineRule="exact"/>
              <w:jc w:val="center"/>
              <w:rPr>
                <w:rFonts w:ascii="Calibri" w:eastAsia="Calibri" w:hAnsi="Calibri" w:cs="Times New Roman"/>
                <w:sz w:val="18"/>
                <w:szCs w:val="18"/>
                <w:highlight w:val="yellow"/>
                <w:lang w:val="en-US"/>
              </w:rPr>
            </w:pPr>
            <w:r w:rsidRPr="007F131A">
              <w:rPr>
                <w:rFonts w:ascii="Arial" w:eastAsia="Times New Roman" w:hAnsi="Arial" w:cs="Arial"/>
                <w:sz w:val="18"/>
                <w:szCs w:val="18"/>
              </w:rPr>
              <w:t>1.34</w:t>
            </w:r>
          </w:p>
        </w:tc>
        <w:tc>
          <w:tcPr>
            <w:tcW w:w="830" w:type="dxa"/>
          </w:tcPr>
          <w:p w14:paraId="63ED981D" w14:textId="77777777" w:rsidR="00EB0BEF" w:rsidRPr="007F131A" w:rsidDel="00F206E6" w:rsidRDefault="00EB0BEF" w:rsidP="00A0419B">
            <w:pPr>
              <w:spacing w:line="240" w:lineRule="exact"/>
              <w:jc w:val="center"/>
              <w:rPr>
                <w:rFonts w:ascii="Calibri" w:eastAsia="Calibri" w:hAnsi="Calibri" w:cs="Times New Roman"/>
                <w:sz w:val="18"/>
                <w:szCs w:val="18"/>
                <w:highlight w:val="yellow"/>
                <w:lang w:val="en-US"/>
              </w:rPr>
            </w:pPr>
            <w:r w:rsidRPr="007F131A">
              <w:rPr>
                <w:rFonts w:ascii="Arial" w:eastAsia="Times New Roman" w:hAnsi="Arial" w:cs="Arial"/>
                <w:sz w:val="18"/>
                <w:szCs w:val="18"/>
              </w:rPr>
              <w:t>1.85</w:t>
            </w:r>
          </w:p>
        </w:tc>
        <w:tc>
          <w:tcPr>
            <w:tcW w:w="911" w:type="dxa"/>
          </w:tcPr>
          <w:p w14:paraId="2CF16D86" w14:textId="77777777" w:rsidR="00EB0BEF" w:rsidRPr="007F131A" w:rsidDel="00F206E6" w:rsidRDefault="00EB0BEF" w:rsidP="00A0419B">
            <w:pPr>
              <w:spacing w:line="240" w:lineRule="exact"/>
              <w:jc w:val="center"/>
              <w:rPr>
                <w:rFonts w:ascii="Calibri" w:eastAsia="Calibri" w:hAnsi="Calibri" w:cs="Times New Roman"/>
                <w:sz w:val="18"/>
                <w:szCs w:val="18"/>
                <w:highlight w:val="yellow"/>
                <w:lang w:val="en-US"/>
              </w:rPr>
            </w:pPr>
            <w:r w:rsidRPr="007F131A">
              <w:rPr>
                <w:rFonts w:ascii="Arial" w:eastAsia="Times New Roman" w:hAnsi="Arial" w:cs="Arial"/>
                <w:sz w:val="18"/>
                <w:szCs w:val="18"/>
              </w:rPr>
              <w:t>3.43</w:t>
            </w:r>
          </w:p>
        </w:tc>
        <w:tc>
          <w:tcPr>
            <w:tcW w:w="911" w:type="dxa"/>
          </w:tcPr>
          <w:p w14:paraId="4503711D" w14:textId="77777777" w:rsidR="00EB0BEF" w:rsidRPr="007F131A" w:rsidDel="00F206E6" w:rsidRDefault="00EB0BEF" w:rsidP="00A0419B">
            <w:pPr>
              <w:spacing w:line="240" w:lineRule="exact"/>
              <w:jc w:val="center"/>
              <w:rPr>
                <w:rFonts w:ascii="Calibri" w:eastAsia="Calibri" w:hAnsi="Calibri" w:cs="Times New Roman"/>
                <w:sz w:val="18"/>
                <w:szCs w:val="18"/>
                <w:highlight w:val="yellow"/>
                <w:lang w:val="en-US"/>
              </w:rPr>
            </w:pPr>
            <w:r w:rsidRPr="007F131A">
              <w:rPr>
                <w:rFonts w:ascii="Arial" w:eastAsia="Times New Roman" w:hAnsi="Arial" w:cs="Arial"/>
                <w:sz w:val="18"/>
                <w:szCs w:val="18"/>
              </w:rPr>
              <w:t>-1.19</w:t>
            </w:r>
          </w:p>
        </w:tc>
        <w:tc>
          <w:tcPr>
            <w:tcW w:w="984" w:type="dxa"/>
          </w:tcPr>
          <w:p w14:paraId="301751A8" w14:textId="77777777" w:rsidR="00EB0BEF" w:rsidRPr="007F131A" w:rsidDel="004E7D68" w:rsidRDefault="00EB0BEF" w:rsidP="00A0419B">
            <w:pPr>
              <w:spacing w:line="240" w:lineRule="exact"/>
              <w:jc w:val="center"/>
              <w:rPr>
                <w:rFonts w:ascii="Calibri" w:eastAsia="Calibri" w:hAnsi="Calibri" w:cs="Times New Roman"/>
                <w:sz w:val="18"/>
                <w:szCs w:val="18"/>
                <w:highlight w:val="yellow"/>
                <w:lang w:val="en-US"/>
              </w:rPr>
            </w:pPr>
            <w:r w:rsidRPr="007F131A">
              <w:rPr>
                <w:rFonts w:ascii="Arial" w:eastAsia="Times New Roman" w:hAnsi="Arial" w:cs="Arial"/>
                <w:sz w:val="18"/>
                <w:szCs w:val="18"/>
              </w:rPr>
              <w:t>10.22</w:t>
            </w:r>
          </w:p>
        </w:tc>
        <w:tc>
          <w:tcPr>
            <w:tcW w:w="943" w:type="dxa"/>
          </w:tcPr>
          <w:p w14:paraId="09A477FF"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0.726</w:t>
            </w:r>
          </w:p>
        </w:tc>
        <w:tc>
          <w:tcPr>
            <w:tcW w:w="943" w:type="dxa"/>
          </w:tcPr>
          <w:p w14:paraId="059C1C93"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1.342</w:t>
            </w:r>
          </w:p>
        </w:tc>
        <w:tc>
          <w:tcPr>
            <w:tcW w:w="943" w:type="dxa"/>
          </w:tcPr>
          <w:p w14:paraId="5100E9F3"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2.082</w:t>
            </w:r>
          </w:p>
        </w:tc>
      </w:tr>
      <w:tr w:rsidR="00EB0BEF" w:rsidRPr="007F131A" w14:paraId="3E4B8235" w14:textId="77777777" w:rsidTr="00A0419B">
        <w:tc>
          <w:tcPr>
            <w:tcW w:w="615" w:type="dxa"/>
          </w:tcPr>
          <w:p w14:paraId="6A23E60D" w14:textId="77777777" w:rsidR="00EB0BEF" w:rsidRPr="007F131A" w:rsidRDefault="00EB0BEF" w:rsidP="00A0419B">
            <w:pPr>
              <w:spacing w:line="240" w:lineRule="exact"/>
              <w:rPr>
                <w:i/>
                <w:sz w:val="18"/>
                <w:szCs w:val="18"/>
                <w:lang w:val="en-US"/>
              </w:rPr>
            </w:pPr>
            <w:r w:rsidRPr="007F131A">
              <w:rPr>
                <w:i/>
                <w:sz w:val="18"/>
                <w:szCs w:val="18"/>
                <w:lang w:val="en-US"/>
              </w:rPr>
              <w:t>TINT</w:t>
            </w:r>
          </w:p>
        </w:tc>
        <w:tc>
          <w:tcPr>
            <w:tcW w:w="961" w:type="dxa"/>
          </w:tcPr>
          <w:p w14:paraId="7E3D5E4E"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0.046</w:t>
            </w:r>
          </w:p>
        </w:tc>
        <w:tc>
          <w:tcPr>
            <w:tcW w:w="749" w:type="dxa"/>
          </w:tcPr>
          <w:p w14:paraId="1357D185"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0.01</w:t>
            </w:r>
          </w:p>
        </w:tc>
        <w:tc>
          <w:tcPr>
            <w:tcW w:w="904" w:type="dxa"/>
          </w:tcPr>
          <w:p w14:paraId="2B0DA679" w14:textId="77777777" w:rsidR="00EB0BEF" w:rsidRPr="007F131A" w:rsidDel="00BE015B"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0.00</w:t>
            </w:r>
          </w:p>
        </w:tc>
        <w:tc>
          <w:tcPr>
            <w:tcW w:w="830" w:type="dxa"/>
          </w:tcPr>
          <w:p w14:paraId="45B82A8D"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0.10</w:t>
            </w:r>
          </w:p>
        </w:tc>
        <w:tc>
          <w:tcPr>
            <w:tcW w:w="911" w:type="dxa"/>
          </w:tcPr>
          <w:p w14:paraId="45453EB6"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0.01</w:t>
            </w:r>
          </w:p>
        </w:tc>
        <w:tc>
          <w:tcPr>
            <w:tcW w:w="911" w:type="dxa"/>
          </w:tcPr>
          <w:p w14:paraId="0C839DA5"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0.00</w:t>
            </w:r>
          </w:p>
        </w:tc>
        <w:tc>
          <w:tcPr>
            <w:tcW w:w="984" w:type="dxa"/>
          </w:tcPr>
          <w:p w14:paraId="30436808" w14:textId="77777777" w:rsidR="00EB0BEF" w:rsidRPr="007F131A" w:rsidDel="004E7D68"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0.60</w:t>
            </w:r>
          </w:p>
        </w:tc>
        <w:tc>
          <w:tcPr>
            <w:tcW w:w="943" w:type="dxa"/>
          </w:tcPr>
          <w:p w14:paraId="24FAD160"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0.000</w:t>
            </w:r>
          </w:p>
        </w:tc>
        <w:tc>
          <w:tcPr>
            <w:tcW w:w="943" w:type="dxa"/>
          </w:tcPr>
          <w:p w14:paraId="453F1AE1"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0.003</w:t>
            </w:r>
          </w:p>
        </w:tc>
        <w:tc>
          <w:tcPr>
            <w:tcW w:w="943" w:type="dxa"/>
          </w:tcPr>
          <w:p w14:paraId="20F6FCC3"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0.046</w:t>
            </w:r>
          </w:p>
        </w:tc>
      </w:tr>
      <w:tr w:rsidR="00EB0BEF" w:rsidRPr="007F131A" w14:paraId="3947F4E8" w14:textId="77777777" w:rsidTr="00A0419B">
        <w:tc>
          <w:tcPr>
            <w:tcW w:w="615" w:type="dxa"/>
          </w:tcPr>
          <w:p w14:paraId="71CEFC06" w14:textId="77777777" w:rsidR="00EB0BEF" w:rsidRPr="007F131A" w:rsidRDefault="00EB0BEF" w:rsidP="00A0419B">
            <w:pPr>
              <w:spacing w:line="240" w:lineRule="exact"/>
              <w:rPr>
                <w:i/>
                <w:sz w:val="18"/>
                <w:szCs w:val="18"/>
                <w:lang w:val="en-US"/>
              </w:rPr>
            </w:pPr>
            <w:r w:rsidRPr="007F131A">
              <w:rPr>
                <w:i/>
                <w:sz w:val="18"/>
                <w:szCs w:val="18"/>
                <w:lang w:val="en-US"/>
              </w:rPr>
              <w:t xml:space="preserve">SIZE </w:t>
            </w:r>
          </w:p>
        </w:tc>
        <w:tc>
          <w:tcPr>
            <w:tcW w:w="961" w:type="dxa"/>
          </w:tcPr>
          <w:p w14:paraId="2CA76B0A"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12.834</w:t>
            </w:r>
          </w:p>
        </w:tc>
        <w:tc>
          <w:tcPr>
            <w:tcW w:w="749" w:type="dxa"/>
          </w:tcPr>
          <w:p w14:paraId="2DC23806"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0.16</w:t>
            </w:r>
          </w:p>
        </w:tc>
        <w:tc>
          <w:tcPr>
            <w:tcW w:w="904" w:type="dxa"/>
          </w:tcPr>
          <w:p w14:paraId="0EEC0C68" w14:textId="77777777" w:rsidR="00EB0BEF" w:rsidRPr="007F131A" w:rsidDel="00BE015B"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12.93</w:t>
            </w:r>
          </w:p>
        </w:tc>
        <w:tc>
          <w:tcPr>
            <w:tcW w:w="830" w:type="dxa"/>
          </w:tcPr>
          <w:p w14:paraId="10A4BD89"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1.81</w:t>
            </w:r>
          </w:p>
        </w:tc>
        <w:tc>
          <w:tcPr>
            <w:tcW w:w="911" w:type="dxa"/>
          </w:tcPr>
          <w:p w14:paraId="1B07FCC0"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3.28</w:t>
            </w:r>
          </w:p>
        </w:tc>
        <w:tc>
          <w:tcPr>
            <w:tcW w:w="911" w:type="dxa"/>
          </w:tcPr>
          <w:p w14:paraId="1C780C46"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9.28</w:t>
            </w:r>
          </w:p>
        </w:tc>
        <w:tc>
          <w:tcPr>
            <w:tcW w:w="984" w:type="dxa"/>
          </w:tcPr>
          <w:p w14:paraId="447B8796" w14:textId="77777777" w:rsidR="00EB0BEF" w:rsidRPr="007F131A" w:rsidDel="004E7D68"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16.83</w:t>
            </w:r>
          </w:p>
        </w:tc>
        <w:tc>
          <w:tcPr>
            <w:tcW w:w="943" w:type="dxa"/>
          </w:tcPr>
          <w:p w14:paraId="520D5B22"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11.463</w:t>
            </w:r>
          </w:p>
        </w:tc>
        <w:tc>
          <w:tcPr>
            <w:tcW w:w="943" w:type="dxa"/>
          </w:tcPr>
          <w:p w14:paraId="656E18CB"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12.928</w:t>
            </w:r>
          </w:p>
        </w:tc>
        <w:tc>
          <w:tcPr>
            <w:tcW w:w="943" w:type="dxa"/>
          </w:tcPr>
          <w:p w14:paraId="4BB9FDBC"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14.103</w:t>
            </w:r>
          </w:p>
        </w:tc>
      </w:tr>
      <w:tr w:rsidR="00EB0BEF" w:rsidRPr="007F131A" w14:paraId="03F4CC11" w14:textId="77777777" w:rsidTr="00A0419B">
        <w:tc>
          <w:tcPr>
            <w:tcW w:w="615" w:type="dxa"/>
          </w:tcPr>
          <w:p w14:paraId="188B396E" w14:textId="77777777" w:rsidR="00EB0BEF" w:rsidRPr="007F131A" w:rsidRDefault="00EB0BEF" w:rsidP="00A0419B">
            <w:pPr>
              <w:spacing w:line="240" w:lineRule="exact"/>
              <w:rPr>
                <w:i/>
                <w:sz w:val="18"/>
                <w:szCs w:val="18"/>
                <w:lang w:val="en-US"/>
              </w:rPr>
            </w:pPr>
            <w:r w:rsidRPr="007F131A">
              <w:rPr>
                <w:i/>
                <w:sz w:val="18"/>
                <w:szCs w:val="18"/>
                <w:lang w:val="en-US"/>
              </w:rPr>
              <w:t>AGE</w:t>
            </w:r>
          </w:p>
        </w:tc>
        <w:tc>
          <w:tcPr>
            <w:tcW w:w="961" w:type="dxa"/>
          </w:tcPr>
          <w:p w14:paraId="3026FFF0"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3.047</w:t>
            </w:r>
          </w:p>
        </w:tc>
        <w:tc>
          <w:tcPr>
            <w:tcW w:w="749" w:type="dxa"/>
          </w:tcPr>
          <w:p w14:paraId="63355EE5"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0.08</w:t>
            </w:r>
          </w:p>
        </w:tc>
        <w:tc>
          <w:tcPr>
            <w:tcW w:w="904" w:type="dxa"/>
          </w:tcPr>
          <w:p w14:paraId="118666B0" w14:textId="77777777" w:rsidR="00EB0BEF" w:rsidRPr="007F131A" w:rsidDel="00BE015B"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2.83</w:t>
            </w:r>
          </w:p>
        </w:tc>
        <w:tc>
          <w:tcPr>
            <w:tcW w:w="830" w:type="dxa"/>
          </w:tcPr>
          <w:p w14:paraId="6C1E2C33"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0.86</w:t>
            </w:r>
          </w:p>
        </w:tc>
        <w:tc>
          <w:tcPr>
            <w:tcW w:w="911" w:type="dxa"/>
          </w:tcPr>
          <w:p w14:paraId="5C929E8E"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0.74</w:t>
            </w:r>
          </w:p>
        </w:tc>
        <w:tc>
          <w:tcPr>
            <w:tcW w:w="911" w:type="dxa"/>
          </w:tcPr>
          <w:p w14:paraId="7FD99B81"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1.61</w:t>
            </w:r>
          </w:p>
        </w:tc>
        <w:tc>
          <w:tcPr>
            <w:tcW w:w="984" w:type="dxa"/>
          </w:tcPr>
          <w:p w14:paraId="5A2F8F9C" w14:textId="77777777" w:rsidR="00EB0BEF" w:rsidRPr="007F131A" w:rsidDel="004E7D68"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4.87</w:t>
            </w:r>
          </w:p>
        </w:tc>
        <w:tc>
          <w:tcPr>
            <w:tcW w:w="943" w:type="dxa"/>
          </w:tcPr>
          <w:p w14:paraId="6DA5354D"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2.398</w:t>
            </w:r>
          </w:p>
        </w:tc>
        <w:tc>
          <w:tcPr>
            <w:tcW w:w="943" w:type="dxa"/>
          </w:tcPr>
          <w:p w14:paraId="75FABECF"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2.833</w:t>
            </w:r>
          </w:p>
        </w:tc>
        <w:tc>
          <w:tcPr>
            <w:tcW w:w="943" w:type="dxa"/>
          </w:tcPr>
          <w:p w14:paraId="2F770482"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3.401</w:t>
            </w:r>
          </w:p>
        </w:tc>
      </w:tr>
      <w:tr w:rsidR="00EB0BEF" w:rsidRPr="007F131A" w14:paraId="6E105B0D" w14:textId="77777777" w:rsidTr="00A0419B">
        <w:tc>
          <w:tcPr>
            <w:tcW w:w="615" w:type="dxa"/>
          </w:tcPr>
          <w:p w14:paraId="61455DAC" w14:textId="77777777" w:rsidR="00EB0BEF" w:rsidRPr="007F131A" w:rsidDel="008872A9" w:rsidRDefault="00EB0BEF" w:rsidP="00A0419B">
            <w:pPr>
              <w:spacing w:line="240" w:lineRule="exact"/>
              <w:rPr>
                <w:i/>
                <w:sz w:val="18"/>
                <w:szCs w:val="18"/>
                <w:lang w:val="en-US"/>
              </w:rPr>
            </w:pPr>
            <w:r w:rsidRPr="007F131A">
              <w:rPr>
                <w:i/>
                <w:sz w:val="18"/>
                <w:szCs w:val="18"/>
                <w:lang w:val="en-US"/>
              </w:rPr>
              <w:t xml:space="preserve">ROE </w:t>
            </w:r>
          </w:p>
        </w:tc>
        <w:tc>
          <w:tcPr>
            <w:tcW w:w="961" w:type="dxa"/>
          </w:tcPr>
          <w:p w14:paraId="3D2783D9"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-0.955</w:t>
            </w:r>
          </w:p>
        </w:tc>
        <w:tc>
          <w:tcPr>
            <w:tcW w:w="749" w:type="dxa"/>
          </w:tcPr>
          <w:p w14:paraId="2FF9F90B"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1.77</w:t>
            </w:r>
          </w:p>
        </w:tc>
        <w:tc>
          <w:tcPr>
            <w:tcW w:w="904" w:type="dxa"/>
          </w:tcPr>
          <w:p w14:paraId="23D3F357" w14:textId="77777777" w:rsidR="00EB0BEF" w:rsidRPr="007F131A" w:rsidDel="00BE015B"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4.09</w:t>
            </w:r>
          </w:p>
        </w:tc>
        <w:tc>
          <w:tcPr>
            <w:tcW w:w="830" w:type="dxa"/>
          </w:tcPr>
          <w:p w14:paraId="152B0A01"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19.74</w:t>
            </w:r>
          </w:p>
        </w:tc>
        <w:tc>
          <w:tcPr>
            <w:tcW w:w="911" w:type="dxa"/>
          </w:tcPr>
          <w:p w14:paraId="2F2B8116"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389.63</w:t>
            </w:r>
          </w:p>
        </w:tc>
        <w:tc>
          <w:tcPr>
            <w:tcW w:w="911" w:type="dxa"/>
          </w:tcPr>
          <w:p w14:paraId="3303EFBA"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-94.47</w:t>
            </w:r>
          </w:p>
        </w:tc>
        <w:tc>
          <w:tcPr>
            <w:tcW w:w="984" w:type="dxa"/>
          </w:tcPr>
          <w:p w14:paraId="39107808" w14:textId="77777777" w:rsidR="00EB0BEF" w:rsidRPr="007F131A" w:rsidDel="004E7D68"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34.69</w:t>
            </w:r>
          </w:p>
        </w:tc>
        <w:tc>
          <w:tcPr>
            <w:tcW w:w="943" w:type="dxa"/>
          </w:tcPr>
          <w:p w14:paraId="47D98CFE"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0.010</w:t>
            </w:r>
          </w:p>
        </w:tc>
        <w:tc>
          <w:tcPr>
            <w:tcW w:w="943" w:type="dxa"/>
          </w:tcPr>
          <w:p w14:paraId="0002CE0F"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0.150</w:t>
            </w:r>
          </w:p>
        </w:tc>
        <w:tc>
          <w:tcPr>
            <w:tcW w:w="943" w:type="dxa"/>
          </w:tcPr>
          <w:p w14:paraId="06A7CA81"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0.530</w:t>
            </w:r>
          </w:p>
        </w:tc>
      </w:tr>
      <w:tr w:rsidR="00EB0BEF" w:rsidRPr="007F131A" w14:paraId="7C5CFE25" w14:textId="77777777" w:rsidTr="00A0419B">
        <w:tc>
          <w:tcPr>
            <w:tcW w:w="615" w:type="dxa"/>
            <w:tcBorders>
              <w:bottom w:val="single" w:sz="4" w:space="0" w:color="auto"/>
            </w:tcBorders>
          </w:tcPr>
          <w:p w14:paraId="0482057F" w14:textId="77777777" w:rsidR="00EB0BEF" w:rsidRPr="007F131A" w:rsidRDefault="00EB0BEF" w:rsidP="00A0419B">
            <w:pPr>
              <w:spacing w:line="240" w:lineRule="exact"/>
              <w:rPr>
                <w:i/>
                <w:sz w:val="18"/>
                <w:szCs w:val="18"/>
                <w:lang w:val="en-US"/>
              </w:rPr>
            </w:pPr>
            <w:r w:rsidRPr="007F131A">
              <w:rPr>
                <w:i/>
                <w:sz w:val="18"/>
                <w:szCs w:val="18"/>
                <w:lang w:val="en-US"/>
              </w:rPr>
              <w:t>DE</w:t>
            </w:r>
          </w:p>
        </w:tc>
        <w:tc>
          <w:tcPr>
            <w:tcW w:w="961" w:type="dxa"/>
            <w:tcBorders>
              <w:bottom w:val="single" w:sz="4" w:space="0" w:color="auto"/>
            </w:tcBorders>
          </w:tcPr>
          <w:p w14:paraId="0B1998C1"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0.694</w:t>
            </w:r>
          </w:p>
        </w:tc>
        <w:tc>
          <w:tcPr>
            <w:tcW w:w="749" w:type="dxa"/>
            <w:tcBorders>
              <w:bottom w:val="single" w:sz="4" w:space="0" w:color="auto"/>
            </w:tcBorders>
          </w:tcPr>
          <w:p w14:paraId="7005DFC1"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0.53</w:t>
            </w:r>
          </w:p>
        </w:tc>
        <w:tc>
          <w:tcPr>
            <w:tcW w:w="904" w:type="dxa"/>
            <w:tcBorders>
              <w:bottom w:val="single" w:sz="4" w:space="0" w:color="auto"/>
            </w:tcBorders>
          </w:tcPr>
          <w:p w14:paraId="2C65DF6F" w14:textId="77777777" w:rsidR="00EB0BEF" w:rsidRPr="007F131A" w:rsidDel="00BE015B"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0.15</w:t>
            </w:r>
          </w:p>
        </w:tc>
        <w:tc>
          <w:tcPr>
            <w:tcW w:w="830" w:type="dxa"/>
            <w:tcBorders>
              <w:bottom w:val="single" w:sz="4" w:space="0" w:color="auto"/>
            </w:tcBorders>
          </w:tcPr>
          <w:p w14:paraId="5B396397"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5.93</w:t>
            </w:r>
          </w:p>
        </w:tc>
        <w:tc>
          <w:tcPr>
            <w:tcW w:w="911" w:type="dxa"/>
            <w:tcBorders>
              <w:bottom w:val="single" w:sz="4" w:space="0" w:color="auto"/>
            </w:tcBorders>
          </w:tcPr>
          <w:p w14:paraId="43AE6F86"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35.17</w:t>
            </w:r>
          </w:p>
        </w:tc>
        <w:tc>
          <w:tcPr>
            <w:tcW w:w="911" w:type="dxa"/>
            <w:tcBorders>
              <w:bottom w:val="single" w:sz="4" w:space="0" w:color="auto"/>
            </w:tcBorders>
          </w:tcPr>
          <w:p w14:paraId="15F92F17" w14:textId="77777777" w:rsidR="00EB0BEF" w:rsidRPr="007F131A" w:rsidDel="00F206E6"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-23.77</w:t>
            </w:r>
          </w:p>
        </w:tc>
        <w:tc>
          <w:tcPr>
            <w:tcW w:w="984" w:type="dxa"/>
            <w:tcBorders>
              <w:bottom w:val="single" w:sz="4" w:space="0" w:color="auto"/>
            </w:tcBorders>
          </w:tcPr>
          <w:p w14:paraId="13903CCE" w14:textId="77777777" w:rsidR="00EB0BEF" w:rsidRPr="007F131A" w:rsidDel="004E7D68" w:rsidRDefault="00EB0BEF" w:rsidP="00A0419B">
            <w:pPr>
              <w:spacing w:line="240" w:lineRule="exact"/>
              <w:jc w:val="center"/>
              <w:rPr>
                <w:rFonts w:ascii="Calibri" w:eastAsia="Calibri" w:hAnsi="Calibri" w:cs="Times New Roman"/>
                <w:sz w:val="18"/>
                <w:szCs w:val="18"/>
                <w:lang w:val="en-US"/>
              </w:rPr>
            </w:pPr>
            <w:r w:rsidRPr="007F131A">
              <w:rPr>
                <w:rFonts w:ascii="Arial" w:eastAsia="Times New Roman" w:hAnsi="Arial" w:cs="Arial"/>
                <w:sz w:val="18"/>
                <w:szCs w:val="18"/>
              </w:rPr>
              <w:t>59.84</w:t>
            </w:r>
          </w:p>
        </w:tc>
        <w:tc>
          <w:tcPr>
            <w:tcW w:w="943" w:type="dxa"/>
            <w:tcBorders>
              <w:bottom w:val="single" w:sz="4" w:space="0" w:color="auto"/>
            </w:tcBorders>
          </w:tcPr>
          <w:p w14:paraId="1F796E33"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0.726</w:t>
            </w:r>
          </w:p>
        </w:tc>
        <w:tc>
          <w:tcPr>
            <w:tcW w:w="943" w:type="dxa"/>
            <w:tcBorders>
              <w:bottom w:val="single" w:sz="4" w:space="0" w:color="auto"/>
            </w:tcBorders>
          </w:tcPr>
          <w:p w14:paraId="10855952"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1.342</w:t>
            </w:r>
          </w:p>
        </w:tc>
        <w:tc>
          <w:tcPr>
            <w:tcW w:w="943" w:type="dxa"/>
            <w:tcBorders>
              <w:bottom w:val="single" w:sz="4" w:space="0" w:color="auto"/>
            </w:tcBorders>
          </w:tcPr>
          <w:p w14:paraId="66C05A81"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2.082</w:t>
            </w:r>
          </w:p>
        </w:tc>
      </w:tr>
      <w:tr w:rsidR="00EB0BEF" w:rsidRPr="00B11F1C" w14:paraId="08103EAD" w14:textId="77777777" w:rsidTr="00A0419B">
        <w:tc>
          <w:tcPr>
            <w:tcW w:w="8751" w:type="dxa"/>
            <w:gridSpan w:val="10"/>
            <w:tcBorders>
              <w:top w:val="single" w:sz="4" w:space="0" w:color="auto"/>
            </w:tcBorders>
          </w:tcPr>
          <w:p w14:paraId="168ED83E" w14:textId="77777777" w:rsidR="00EB0BEF" w:rsidRPr="007F131A" w:rsidDel="004E7D68" w:rsidRDefault="00EB0BEF" w:rsidP="00A0419B">
            <w:pPr>
              <w:spacing w:line="240" w:lineRule="exact"/>
              <w:jc w:val="both"/>
              <w:rPr>
                <w:sz w:val="18"/>
                <w:szCs w:val="18"/>
                <w:lang w:val="en-US"/>
              </w:rPr>
            </w:pPr>
            <w:r w:rsidRPr="007F131A">
              <w:rPr>
                <w:b/>
                <w:sz w:val="18"/>
                <w:szCs w:val="18"/>
                <w:lang w:val="en-US"/>
              </w:rPr>
              <w:t>Panel C – Traditional industry (TI) firms (IND = 0) – (Obs: 575 = 115 companies)</w:t>
            </w:r>
          </w:p>
        </w:tc>
        <w:tc>
          <w:tcPr>
            <w:tcW w:w="943" w:type="dxa"/>
            <w:tcBorders>
              <w:top w:val="single" w:sz="4" w:space="0" w:color="auto"/>
            </w:tcBorders>
          </w:tcPr>
          <w:p w14:paraId="010A6D50" w14:textId="77777777" w:rsidR="00EB0BEF" w:rsidRPr="007F131A" w:rsidDel="004E7D68" w:rsidRDefault="00EB0BEF" w:rsidP="00A0419B">
            <w:pPr>
              <w:spacing w:line="240" w:lineRule="exact"/>
              <w:jc w:val="right"/>
              <w:rPr>
                <w:sz w:val="18"/>
                <w:szCs w:val="18"/>
                <w:lang w:val="en-US"/>
              </w:rPr>
            </w:pPr>
          </w:p>
        </w:tc>
      </w:tr>
      <w:tr w:rsidR="00EB0BEF" w:rsidRPr="007F131A" w14:paraId="567603D8" w14:textId="77777777" w:rsidTr="00A0419B">
        <w:tc>
          <w:tcPr>
            <w:tcW w:w="615" w:type="dxa"/>
            <w:tcBorders>
              <w:bottom w:val="single" w:sz="4" w:space="0" w:color="auto"/>
            </w:tcBorders>
          </w:tcPr>
          <w:p w14:paraId="7241378E" w14:textId="77777777" w:rsidR="00EB0BEF" w:rsidRPr="007F131A" w:rsidRDefault="00EB0BEF" w:rsidP="00A0419B">
            <w:pPr>
              <w:spacing w:line="240" w:lineRule="exact"/>
              <w:rPr>
                <w:sz w:val="18"/>
                <w:szCs w:val="18"/>
                <w:lang w:val="en-US"/>
              </w:rPr>
            </w:pPr>
          </w:p>
        </w:tc>
        <w:tc>
          <w:tcPr>
            <w:tcW w:w="961" w:type="dxa"/>
            <w:tcBorders>
              <w:bottom w:val="single" w:sz="4" w:space="0" w:color="auto"/>
            </w:tcBorders>
          </w:tcPr>
          <w:p w14:paraId="4AFD3D95"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Mean</w:t>
            </w:r>
          </w:p>
        </w:tc>
        <w:tc>
          <w:tcPr>
            <w:tcW w:w="749" w:type="dxa"/>
            <w:tcBorders>
              <w:bottom w:val="single" w:sz="4" w:space="0" w:color="auto"/>
            </w:tcBorders>
          </w:tcPr>
          <w:p w14:paraId="70304A14"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St. error</w:t>
            </w:r>
          </w:p>
        </w:tc>
        <w:tc>
          <w:tcPr>
            <w:tcW w:w="904" w:type="dxa"/>
            <w:tcBorders>
              <w:bottom w:val="single" w:sz="4" w:space="0" w:color="auto"/>
            </w:tcBorders>
          </w:tcPr>
          <w:p w14:paraId="0796D003" w14:textId="77777777" w:rsidR="00EB0BEF" w:rsidRPr="007F131A" w:rsidDel="00BE015B" w:rsidRDefault="00EB0BEF" w:rsidP="00A0419B">
            <w:pPr>
              <w:spacing w:line="240" w:lineRule="exact"/>
              <w:jc w:val="center"/>
              <w:rPr>
                <w:sz w:val="18"/>
                <w:szCs w:val="18"/>
                <w:lang w:val="en-US"/>
              </w:rPr>
            </w:pPr>
            <w:r w:rsidRPr="007F131A">
              <w:rPr>
                <w:b/>
                <w:sz w:val="18"/>
                <w:szCs w:val="18"/>
                <w:lang w:val="en-US"/>
              </w:rPr>
              <w:t>Median</w:t>
            </w:r>
          </w:p>
        </w:tc>
        <w:tc>
          <w:tcPr>
            <w:tcW w:w="830" w:type="dxa"/>
            <w:tcBorders>
              <w:bottom w:val="single" w:sz="4" w:space="0" w:color="auto"/>
            </w:tcBorders>
          </w:tcPr>
          <w:p w14:paraId="3FB6C88C"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St. dev.</w:t>
            </w:r>
          </w:p>
        </w:tc>
        <w:tc>
          <w:tcPr>
            <w:tcW w:w="911" w:type="dxa"/>
            <w:tcBorders>
              <w:bottom w:val="single" w:sz="4" w:space="0" w:color="auto"/>
            </w:tcBorders>
          </w:tcPr>
          <w:p w14:paraId="62388B4F"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Variance</w:t>
            </w:r>
          </w:p>
        </w:tc>
        <w:tc>
          <w:tcPr>
            <w:tcW w:w="911" w:type="dxa"/>
            <w:tcBorders>
              <w:bottom w:val="single" w:sz="4" w:space="0" w:color="auto"/>
            </w:tcBorders>
          </w:tcPr>
          <w:p w14:paraId="2E45377B" w14:textId="77777777" w:rsidR="00EB0BEF" w:rsidRPr="007F131A" w:rsidDel="00F206E6" w:rsidRDefault="00EB0BEF" w:rsidP="00A0419B">
            <w:pPr>
              <w:spacing w:line="240" w:lineRule="exact"/>
              <w:jc w:val="center"/>
              <w:rPr>
                <w:sz w:val="18"/>
                <w:szCs w:val="18"/>
                <w:lang w:val="en-US"/>
              </w:rPr>
            </w:pPr>
            <w:r w:rsidRPr="007F131A">
              <w:rPr>
                <w:b/>
                <w:sz w:val="18"/>
                <w:szCs w:val="18"/>
                <w:lang w:val="en-US"/>
              </w:rPr>
              <w:t>Min</w:t>
            </w:r>
          </w:p>
        </w:tc>
        <w:tc>
          <w:tcPr>
            <w:tcW w:w="984" w:type="dxa"/>
            <w:tcBorders>
              <w:bottom w:val="single" w:sz="4" w:space="0" w:color="auto"/>
            </w:tcBorders>
          </w:tcPr>
          <w:p w14:paraId="306E4519" w14:textId="77777777" w:rsidR="00EB0BEF" w:rsidRPr="007F131A" w:rsidDel="004E7D68" w:rsidRDefault="00EB0BEF" w:rsidP="00A0419B">
            <w:pPr>
              <w:spacing w:line="240" w:lineRule="exact"/>
              <w:jc w:val="center"/>
              <w:rPr>
                <w:sz w:val="18"/>
                <w:szCs w:val="18"/>
                <w:lang w:val="en-US"/>
              </w:rPr>
            </w:pPr>
            <w:r w:rsidRPr="007F131A">
              <w:rPr>
                <w:b/>
                <w:sz w:val="18"/>
                <w:szCs w:val="18"/>
                <w:lang w:val="en-US"/>
              </w:rPr>
              <w:t>Max</w:t>
            </w:r>
          </w:p>
        </w:tc>
        <w:tc>
          <w:tcPr>
            <w:tcW w:w="943" w:type="dxa"/>
            <w:tcBorders>
              <w:bottom w:val="single" w:sz="4" w:space="0" w:color="auto"/>
            </w:tcBorders>
          </w:tcPr>
          <w:p w14:paraId="115D9AA4" w14:textId="77777777" w:rsidR="00EB0BEF" w:rsidRPr="007F131A" w:rsidDel="004E7D68" w:rsidRDefault="00EB0BEF" w:rsidP="00A0419B">
            <w:pPr>
              <w:spacing w:line="240" w:lineRule="exact"/>
              <w:jc w:val="center"/>
              <w:rPr>
                <w:sz w:val="18"/>
                <w:szCs w:val="18"/>
                <w:lang w:val="en-US"/>
              </w:rPr>
            </w:pPr>
            <w:r w:rsidRPr="007F131A">
              <w:rPr>
                <w:b/>
                <w:sz w:val="18"/>
                <w:szCs w:val="18"/>
                <w:lang w:val="en-US"/>
              </w:rPr>
              <w:t>25%</w:t>
            </w:r>
          </w:p>
        </w:tc>
        <w:tc>
          <w:tcPr>
            <w:tcW w:w="943" w:type="dxa"/>
            <w:tcBorders>
              <w:bottom w:val="single" w:sz="4" w:space="0" w:color="auto"/>
            </w:tcBorders>
          </w:tcPr>
          <w:p w14:paraId="4F022ECA" w14:textId="77777777" w:rsidR="00EB0BEF" w:rsidRPr="007F131A" w:rsidDel="004E7D68" w:rsidRDefault="00EB0BEF" w:rsidP="00A0419B">
            <w:pPr>
              <w:spacing w:line="240" w:lineRule="exact"/>
              <w:jc w:val="center"/>
              <w:rPr>
                <w:sz w:val="18"/>
                <w:szCs w:val="18"/>
                <w:lang w:val="en-US"/>
              </w:rPr>
            </w:pPr>
            <w:r w:rsidRPr="007F131A">
              <w:rPr>
                <w:b/>
                <w:sz w:val="18"/>
                <w:szCs w:val="18"/>
                <w:lang w:val="en-US"/>
              </w:rPr>
              <w:t>50%</w:t>
            </w:r>
          </w:p>
        </w:tc>
        <w:tc>
          <w:tcPr>
            <w:tcW w:w="943" w:type="dxa"/>
            <w:tcBorders>
              <w:bottom w:val="single" w:sz="4" w:space="0" w:color="auto"/>
            </w:tcBorders>
          </w:tcPr>
          <w:p w14:paraId="21C9D17A" w14:textId="77777777" w:rsidR="00EB0BEF" w:rsidRPr="007F131A" w:rsidDel="004E7D68" w:rsidRDefault="00EB0BEF" w:rsidP="00A0419B">
            <w:pPr>
              <w:spacing w:line="240" w:lineRule="exact"/>
              <w:jc w:val="center"/>
              <w:rPr>
                <w:sz w:val="18"/>
                <w:szCs w:val="18"/>
                <w:lang w:val="en-US"/>
              </w:rPr>
            </w:pPr>
            <w:r w:rsidRPr="007F131A">
              <w:rPr>
                <w:b/>
                <w:sz w:val="18"/>
                <w:szCs w:val="18"/>
                <w:lang w:val="en-US"/>
              </w:rPr>
              <w:t>75%</w:t>
            </w:r>
          </w:p>
        </w:tc>
      </w:tr>
      <w:tr w:rsidR="00EB0BEF" w:rsidRPr="007F131A" w14:paraId="38773DAF" w14:textId="77777777" w:rsidTr="00A0419B">
        <w:tc>
          <w:tcPr>
            <w:tcW w:w="615" w:type="dxa"/>
            <w:tcBorders>
              <w:top w:val="single" w:sz="4" w:space="0" w:color="auto"/>
            </w:tcBorders>
          </w:tcPr>
          <w:p w14:paraId="087E5D19" w14:textId="77777777" w:rsidR="00EB0BEF" w:rsidRPr="007F131A" w:rsidRDefault="00EB0BEF" w:rsidP="00A0419B">
            <w:pPr>
              <w:spacing w:line="240" w:lineRule="exact"/>
              <w:rPr>
                <w:i/>
                <w:sz w:val="18"/>
                <w:szCs w:val="18"/>
                <w:highlight w:val="yellow"/>
                <w:lang w:val="en-US"/>
              </w:rPr>
            </w:pPr>
            <w:r w:rsidRPr="007F131A">
              <w:rPr>
                <w:i/>
                <w:sz w:val="18"/>
                <w:szCs w:val="18"/>
                <w:lang w:val="en-US"/>
              </w:rPr>
              <w:t>MTB</w:t>
            </w:r>
          </w:p>
        </w:tc>
        <w:tc>
          <w:tcPr>
            <w:tcW w:w="961" w:type="dxa"/>
            <w:tcBorders>
              <w:top w:val="single" w:sz="4" w:space="0" w:color="auto"/>
            </w:tcBorders>
          </w:tcPr>
          <w:p w14:paraId="72C64393"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1.281</w:t>
            </w:r>
          </w:p>
        </w:tc>
        <w:tc>
          <w:tcPr>
            <w:tcW w:w="749" w:type="dxa"/>
            <w:tcBorders>
              <w:top w:val="single" w:sz="4" w:space="0" w:color="auto"/>
            </w:tcBorders>
          </w:tcPr>
          <w:p w14:paraId="3B1B40C9"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0.06</w:t>
            </w:r>
          </w:p>
        </w:tc>
        <w:tc>
          <w:tcPr>
            <w:tcW w:w="904" w:type="dxa"/>
            <w:tcBorders>
              <w:top w:val="single" w:sz="4" w:space="0" w:color="auto"/>
            </w:tcBorders>
          </w:tcPr>
          <w:p w14:paraId="1F912588" w14:textId="77777777" w:rsidR="00EB0BEF" w:rsidRPr="007F131A" w:rsidDel="00BE015B"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0.86</w:t>
            </w:r>
          </w:p>
        </w:tc>
        <w:tc>
          <w:tcPr>
            <w:tcW w:w="830" w:type="dxa"/>
            <w:tcBorders>
              <w:top w:val="single" w:sz="4" w:space="0" w:color="auto"/>
            </w:tcBorders>
          </w:tcPr>
          <w:p w14:paraId="1E5982F6"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1.40</w:t>
            </w:r>
          </w:p>
        </w:tc>
        <w:tc>
          <w:tcPr>
            <w:tcW w:w="911" w:type="dxa"/>
            <w:tcBorders>
              <w:top w:val="single" w:sz="4" w:space="0" w:color="auto"/>
            </w:tcBorders>
          </w:tcPr>
          <w:p w14:paraId="6B01E5D1"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1.97</w:t>
            </w:r>
          </w:p>
        </w:tc>
        <w:tc>
          <w:tcPr>
            <w:tcW w:w="911" w:type="dxa"/>
            <w:tcBorders>
              <w:top w:val="single" w:sz="4" w:space="0" w:color="auto"/>
            </w:tcBorders>
          </w:tcPr>
          <w:p w14:paraId="42DA6395"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-1.19</w:t>
            </w:r>
          </w:p>
        </w:tc>
        <w:tc>
          <w:tcPr>
            <w:tcW w:w="984" w:type="dxa"/>
            <w:tcBorders>
              <w:top w:val="single" w:sz="4" w:space="0" w:color="auto"/>
            </w:tcBorders>
          </w:tcPr>
          <w:p w14:paraId="4F2B3141"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10.22</w:t>
            </w:r>
          </w:p>
        </w:tc>
        <w:tc>
          <w:tcPr>
            <w:tcW w:w="943" w:type="dxa"/>
            <w:tcBorders>
              <w:top w:val="single" w:sz="4" w:space="0" w:color="auto"/>
            </w:tcBorders>
          </w:tcPr>
          <w:p w14:paraId="470D7A8E"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0.499</w:t>
            </w:r>
          </w:p>
        </w:tc>
        <w:tc>
          <w:tcPr>
            <w:tcW w:w="943" w:type="dxa"/>
            <w:tcBorders>
              <w:top w:val="single" w:sz="4" w:space="0" w:color="auto"/>
            </w:tcBorders>
          </w:tcPr>
          <w:p w14:paraId="6B2381A9"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0.862</w:t>
            </w:r>
          </w:p>
        </w:tc>
        <w:tc>
          <w:tcPr>
            <w:tcW w:w="943" w:type="dxa"/>
            <w:tcBorders>
              <w:top w:val="single" w:sz="4" w:space="0" w:color="auto"/>
            </w:tcBorders>
          </w:tcPr>
          <w:p w14:paraId="4C3215B2"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1.662</w:t>
            </w:r>
          </w:p>
        </w:tc>
      </w:tr>
      <w:tr w:rsidR="00EB0BEF" w:rsidRPr="007F131A" w14:paraId="61F401D3" w14:textId="77777777" w:rsidTr="00A0419B">
        <w:tc>
          <w:tcPr>
            <w:tcW w:w="615" w:type="dxa"/>
          </w:tcPr>
          <w:p w14:paraId="51862B41" w14:textId="77777777" w:rsidR="00EB0BEF" w:rsidRPr="007F131A" w:rsidRDefault="00EB0BEF" w:rsidP="00A0419B">
            <w:pPr>
              <w:spacing w:line="240" w:lineRule="exact"/>
              <w:rPr>
                <w:i/>
                <w:sz w:val="18"/>
                <w:szCs w:val="18"/>
                <w:lang w:val="en-US"/>
              </w:rPr>
            </w:pPr>
            <w:r w:rsidRPr="007F131A">
              <w:rPr>
                <w:i/>
                <w:sz w:val="18"/>
                <w:szCs w:val="18"/>
                <w:lang w:val="en-US"/>
              </w:rPr>
              <w:t>TINT</w:t>
            </w:r>
          </w:p>
        </w:tc>
        <w:tc>
          <w:tcPr>
            <w:tcW w:w="961" w:type="dxa"/>
          </w:tcPr>
          <w:p w14:paraId="23363DCC"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0.073</w:t>
            </w:r>
          </w:p>
        </w:tc>
        <w:tc>
          <w:tcPr>
            <w:tcW w:w="749" w:type="dxa"/>
          </w:tcPr>
          <w:p w14:paraId="72ED8523"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0.01</w:t>
            </w:r>
          </w:p>
        </w:tc>
        <w:tc>
          <w:tcPr>
            <w:tcW w:w="904" w:type="dxa"/>
          </w:tcPr>
          <w:p w14:paraId="1D197B3D" w14:textId="77777777" w:rsidR="00EB0BEF" w:rsidRPr="007F131A" w:rsidDel="00BE015B"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0.02</w:t>
            </w:r>
          </w:p>
        </w:tc>
        <w:tc>
          <w:tcPr>
            <w:tcW w:w="830" w:type="dxa"/>
          </w:tcPr>
          <w:p w14:paraId="75999FCF"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0.13</w:t>
            </w:r>
          </w:p>
        </w:tc>
        <w:tc>
          <w:tcPr>
            <w:tcW w:w="911" w:type="dxa"/>
          </w:tcPr>
          <w:p w14:paraId="2194C16F"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0.02</w:t>
            </w:r>
          </w:p>
        </w:tc>
        <w:tc>
          <w:tcPr>
            <w:tcW w:w="911" w:type="dxa"/>
          </w:tcPr>
          <w:p w14:paraId="62CD9544"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0.00</w:t>
            </w:r>
          </w:p>
        </w:tc>
        <w:tc>
          <w:tcPr>
            <w:tcW w:w="984" w:type="dxa"/>
          </w:tcPr>
          <w:p w14:paraId="03E438A9"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0.67</w:t>
            </w:r>
          </w:p>
        </w:tc>
        <w:tc>
          <w:tcPr>
            <w:tcW w:w="943" w:type="dxa"/>
          </w:tcPr>
          <w:p w14:paraId="655E4E89"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0.002</w:t>
            </w:r>
          </w:p>
        </w:tc>
        <w:tc>
          <w:tcPr>
            <w:tcW w:w="943" w:type="dxa"/>
          </w:tcPr>
          <w:p w14:paraId="6DF7BEE0"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0.015</w:t>
            </w:r>
          </w:p>
        </w:tc>
        <w:tc>
          <w:tcPr>
            <w:tcW w:w="943" w:type="dxa"/>
          </w:tcPr>
          <w:p w14:paraId="546280CC"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0.076</w:t>
            </w:r>
          </w:p>
        </w:tc>
      </w:tr>
      <w:tr w:rsidR="00EB0BEF" w:rsidRPr="007F131A" w14:paraId="7274B26E" w14:textId="77777777" w:rsidTr="00A0419B">
        <w:tc>
          <w:tcPr>
            <w:tcW w:w="615" w:type="dxa"/>
          </w:tcPr>
          <w:p w14:paraId="68F6F52F" w14:textId="77777777" w:rsidR="00EB0BEF" w:rsidRPr="007F131A" w:rsidDel="008872A9" w:rsidRDefault="00EB0BEF" w:rsidP="00A0419B">
            <w:pPr>
              <w:spacing w:line="240" w:lineRule="exact"/>
              <w:rPr>
                <w:i/>
                <w:sz w:val="18"/>
                <w:szCs w:val="18"/>
                <w:lang w:val="en-US"/>
              </w:rPr>
            </w:pPr>
            <w:r w:rsidRPr="007F131A">
              <w:rPr>
                <w:i/>
                <w:sz w:val="18"/>
                <w:szCs w:val="18"/>
                <w:lang w:val="en-US"/>
              </w:rPr>
              <w:t xml:space="preserve">SIZE </w:t>
            </w:r>
          </w:p>
        </w:tc>
        <w:tc>
          <w:tcPr>
            <w:tcW w:w="961" w:type="dxa"/>
          </w:tcPr>
          <w:p w14:paraId="6528FDBD"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12.846</w:t>
            </w:r>
          </w:p>
        </w:tc>
        <w:tc>
          <w:tcPr>
            <w:tcW w:w="749" w:type="dxa"/>
          </w:tcPr>
          <w:p w14:paraId="709B2A8D"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0.07</w:t>
            </w:r>
          </w:p>
        </w:tc>
        <w:tc>
          <w:tcPr>
            <w:tcW w:w="904" w:type="dxa"/>
          </w:tcPr>
          <w:p w14:paraId="0BBC5CD6" w14:textId="77777777" w:rsidR="00EB0BEF" w:rsidRPr="007F131A" w:rsidDel="00BE015B"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12.61</w:t>
            </w:r>
          </w:p>
        </w:tc>
        <w:tc>
          <w:tcPr>
            <w:tcW w:w="830" w:type="dxa"/>
          </w:tcPr>
          <w:p w14:paraId="544229B9"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1.58</w:t>
            </w:r>
          </w:p>
        </w:tc>
        <w:tc>
          <w:tcPr>
            <w:tcW w:w="911" w:type="dxa"/>
          </w:tcPr>
          <w:p w14:paraId="09478FF4"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2.51</w:t>
            </w:r>
          </w:p>
        </w:tc>
        <w:tc>
          <w:tcPr>
            <w:tcW w:w="911" w:type="dxa"/>
          </w:tcPr>
          <w:p w14:paraId="196A2CC7"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8.62</w:t>
            </w:r>
          </w:p>
        </w:tc>
        <w:tc>
          <w:tcPr>
            <w:tcW w:w="984" w:type="dxa"/>
          </w:tcPr>
          <w:p w14:paraId="19449D6C"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18.30</w:t>
            </w:r>
          </w:p>
        </w:tc>
        <w:tc>
          <w:tcPr>
            <w:tcW w:w="943" w:type="dxa"/>
          </w:tcPr>
          <w:p w14:paraId="7857E484"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11.726</w:t>
            </w:r>
          </w:p>
        </w:tc>
        <w:tc>
          <w:tcPr>
            <w:tcW w:w="943" w:type="dxa"/>
          </w:tcPr>
          <w:p w14:paraId="5EE68334"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12.610</w:t>
            </w:r>
          </w:p>
        </w:tc>
        <w:tc>
          <w:tcPr>
            <w:tcW w:w="943" w:type="dxa"/>
          </w:tcPr>
          <w:p w14:paraId="4C44476B"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13.628</w:t>
            </w:r>
          </w:p>
        </w:tc>
      </w:tr>
      <w:tr w:rsidR="00EB0BEF" w:rsidRPr="007F131A" w14:paraId="521342EE" w14:textId="77777777" w:rsidTr="00A0419B">
        <w:tc>
          <w:tcPr>
            <w:tcW w:w="615" w:type="dxa"/>
          </w:tcPr>
          <w:p w14:paraId="01EE08A5" w14:textId="77777777" w:rsidR="00EB0BEF" w:rsidRPr="007F131A" w:rsidDel="008872A9" w:rsidRDefault="00EB0BEF" w:rsidP="00A0419B">
            <w:pPr>
              <w:spacing w:line="240" w:lineRule="exact"/>
              <w:rPr>
                <w:i/>
                <w:sz w:val="18"/>
                <w:szCs w:val="18"/>
                <w:lang w:val="en-US"/>
              </w:rPr>
            </w:pPr>
            <w:r w:rsidRPr="007F131A">
              <w:rPr>
                <w:i/>
                <w:sz w:val="18"/>
                <w:szCs w:val="18"/>
                <w:lang w:val="en-US"/>
              </w:rPr>
              <w:t>AGE</w:t>
            </w:r>
          </w:p>
        </w:tc>
        <w:tc>
          <w:tcPr>
            <w:tcW w:w="961" w:type="dxa"/>
          </w:tcPr>
          <w:p w14:paraId="23CE5DF6"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3.436</w:t>
            </w:r>
          </w:p>
        </w:tc>
        <w:tc>
          <w:tcPr>
            <w:tcW w:w="749" w:type="dxa"/>
          </w:tcPr>
          <w:p w14:paraId="3EF76CCD"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0.03</w:t>
            </w:r>
          </w:p>
        </w:tc>
        <w:tc>
          <w:tcPr>
            <w:tcW w:w="904" w:type="dxa"/>
          </w:tcPr>
          <w:p w14:paraId="3515DB6D" w14:textId="77777777" w:rsidR="00EB0BEF" w:rsidRPr="007F131A" w:rsidDel="00BE015B"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3.37</w:t>
            </w:r>
          </w:p>
        </w:tc>
        <w:tc>
          <w:tcPr>
            <w:tcW w:w="830" w:type="dxa"/>
          </w:tcPr>
          <w:p w14:paraId="228FAE1B"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0.75</w:t>
            </w:r>
          </w:p>
        </w:tc>
        <w:tc>
          <w:tcPr>
            <w:tcW w:w="911" w:type="dxa"/>
          </w:tcPr>
          <w:p w14:paraId="7D16FC8D"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0.56</w:t>
            </w:r>
          </w:p>
        </w:tc>
        <w:tc>
          <w:tcPr>
            <w:tcW w:w="911" w:type="dxa"/>
          </w:tcPr>
          <w:p w14:paraId="75E396A5"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1.39</w:t>
            </w:r>
          </w:p>
        </w:tc>
        <w:tc>
          <w:tcPr>
            <w:tcW w:w="984" w:type="dxa"/>
          </w:tcPr>
          <w:p w14:paraId="371727A9"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5.00</w:t>
            </w:r>
          </w:p>
        </w:tc>
        <w:tc>
          <w:tcPr>
            <w:tcW w:w="943" w:type="dxa"/>
          </w:tcPr>
          <w:p w14:paraId="0E5951A5"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2.996</w:t>
            </w:r>
          </w:p>
        </w:tc>
        <w:tc>
          <w:tcPr>
            <w:tcW w:w="943" w:type="dxa"/>
          </w:tcPr>
          <w:p w14:paraId="139DD2DA"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3.367</w:t>
            </w:r>
          </w:p>
        </w:tc>
        <w:tc>
          <w:tcPr>
            <w:tcW w:w="943" w:type="dxa"/>
          </w:tcPr>
          <w:p w14:paraId="28AEB99B"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3.892</w:t>
            </w:r>
          </w:p>
        </w:tc>
      </w:tr>
      <w:tr w:rsidR="00EB0BEF" w:rsidRPr="007F131A" w14:paraId="781A76D4" w14:textId="77777777" w:rsidTr="00A0419B">
        <w:tc>
          <w:tcPr>
            <w:tcW w:w="615" w:type="dxa"/>
          </w:tcPr>
          <w:p w14:paraId="47FB7336" w14:textId="77777777" w:rsidR="00EB0BEF" w:rsidRPr="007F131A" w:rsidDel="008872A9" w:rsidRDefault="00EB0BEF" w:rsidP="00A0419B">
            <w:pPr>
              <w:spacing w:line="240" w:lineRule="exact"/>
              <w:rPr>
                <w:i/>
                <w:sz w:val="18"/>
                <w:szCs w:val="18"/>
                <w:lang w:val="en-US"/>
              </w:rPr>
            </w:pPr>
            <w:r w:rsidRPr="007F131A">
              <w:rPr>
                <w:i/>
                <w:sz w:val="18"/>
                <w:szCs w:val="18"/>
                <w:lang w:val="en-US"/>
              </w:rPr>
              <w:t xml:space="preserve">ROE </w:t>
            </w:r>
          </w:p>
        </w:tc>
        <w:tc>
          <w:tcPr>
            <w:tcW w:w="961" w:type="dxa"/>
          </w:tcPr>
          <w:p w14:paraId="147FB4CA"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0.520</w:t>
            </w:r>
          </w:p>
        </w:tc>
        <w:tc>
          <w:tcPr>
            <w:tcW w:w="749" w:type="dxa"/>
          </w:tcPr>
          <w:p w14:paraId="02475884"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0.88</w:t>
            </w:r>
          </w:p>
        </w:tc>
        <w:tc>
          <w:tcPr>
            <w:tcW w:w="904" w:type="dxa"/>
          </w:tcPr>
          <w:p w14:paraId="061B7D19" w14:textId="77777777" w:rsidR="00EB0BEF" w:rsidRPr="007F131A" w:rsidDel="00BE015B"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3.08</w:t>
            </w:r>
          </w:p>
        </w:tc>
        <w:tc>
          <w:tcPr>
            <w:tcW w:w="830" w:type="dxa"/>
          </w:tcPr>
          <w:p w14:paraId="679AE3F3"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21.19</w:t>
            </w:r>
          </w:p>
        </w:tc>
        <w:tc>
          <w:tcPr>
            <w:tcW w:w="911" w:type="dxa"/>
          </w:tcPr>
          <w:p w14:paraId="3C27D721"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448.89</w:t>
            </w:r>
          </w:p>
        </w:tc>
        <w:tc>
          <w:tcPr>
            <w:tcW w:w="911" w:type="dxa"/>
          </w:tcPr>
          <w:p w14:paraId="5F74F330"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-143.14</w:t>
            </w:r>
          </w:p>
        </w:tc>
        <w:tc>
          <w:tcPr>
            <w:tcW w:w="984" w:type="dxa"/>
          </w:tcPr>
          <w:p w14:paraId="24A26F5A"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70.38</w:t>
            </w:r>
          </w:p>
        </w:tc>
        <w:tc>
          <w:tcPr>
            <w:tcW w:w="943" w:type="dxa"/>
          </w:tcPr>
          <w:p w14:paraId="06968D4A"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0.150</w:t>
            </w:r>
          </w:p>
        </w:tc>
        <w:tc>
          <w:tcPr>
            <w:tcW w:w="943" w:type="dxa"/>
          </w:tcPr>
          <w:p w14:paraId="58B70F32"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0.460</w:t>
            </w:r>
          </w:p>
        </w:tc>
        <w:tc>
          <w:tcPr>
            <w:tcW w:w="943" w:type="dxa"/>
          </w:tcPr>
          <w:p w14:paraId="01CEDDAA"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0.830</w:t>
            </w:r>
          </w:p>
        </w:tc>
      </w:tr>
      <w:tr w:rsidR="00EB0BEF" w:rsidRPr="007F131A" w14:paraId="6F5AE50E" w14:textId="77777777" w:rsidTr="00A0419B">
        <w:tc>
          <w:tcPr>
            <w:tcW w:w="615" w:type="dxa"/>
            <w:tcBorders>
              <w:bottom w:val="single" w:sz="4" w:space="0" w:color="auto"/>
            </w:tcBorders>
          </w:tcPr>
          <w:p w14:paraId="2A4DAC70" w14:textId="77777777" w:rsidR="00EB0BEF" w:rsidRPr="007F131A" w:rsidDel="008872A9" w:rsidRDefault="00EB0BEF" w:rsidP="00A0419B">
            <w:pPr>
              <w:spacing w:line="240" w:lineRule="exact"/>
              <w:rPr>
                <w:i/>
                <w:sz w:val="18"/>
                <w:szCs w:val="18"/>
                <w:lang w:val="en-US"/>
              </w:rPr>
            </w:pPr>
            <w:r w:rsidRPr="007F131A">
              <w:rPr>
                <w:i/>
                <w:sz w:val="18"/>
                <w:szCs w:val="18"/>
                <w:lang w:val="en-US"/>
              </w:rPr>
              <w:t>DE</w:t>
            </w:r>
          </w:p>
        </w:tc>
        <w:tc>
          <w:tcPr>
            <w:tcW w:w="961" w:type="dxa"/>
            <w:tcBorders>
              <w:bottom w:val="single" w:sz="4" w:space="0" w:color="auto"/>
            </w:tcBorders>
          </w:tcPr>
          <w:p w14:paraId="00DD1431"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1.030</w:t>
            </w:r>
          </w:p>
        </w:tc>
        <w:tc>
          <w:tcPr>
            <w:tcW w:w="749" w:type="dxa"/>
            <w:tcBorders>
              <w:bottom w:val="single" w:sz="4" w:space="0" w:color="auto"/>
            </w:tcBorders>
          </w:tcPr>
          <w:p w14:paraId="3C5C4490"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0.22</w:t>
            </w:r>
          </w:p>
        </w:tc>
        <w:tc>
          <w:tcPr>
            <w:tcW w:w="904" w:type="dxa"/>
            <w:tcBorders>
              <w:bottom w:val="single" w:sz="4" w:space="0" w:color="auto"/>
            </w:tcBorders>
          </w:tcPr>
          <w:p w14:paraId="3ABF1AF6" w14:textId="77777777" w:rsidR="00EB0BEF" w:rsidRPr="007F131A" w:rsidDel="00BE015B"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0.46</w:t>
            </w:r>
          </w:p>
        </w:tc>
        <w:tc>
          <w:tcPr>
            <w:tcW w:w="830" w:type="dxa"/>
            <w:tcBorders>
              <w:bottom w:val="single" w:sz="4" w:space="0" w:color="auto"/>
            </w:tcBorders>
          </w:tcPr>
          <w:p w14:paraId="507A1BB8"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5.18</w:t>
            </w:r>
          </w:p>
        </w:tc>
        <w:tc>
          <w:tcPr>
            <w:tcW w:w="911" w:type="dxa"/>
            <w:tcBorders>
              <w:bottom w:val="single" w:sz="4" w:space="0" w:color="auto"/>
            </w:tcBorders>
          </w:tcPr>
          <w:p w14:paraId="77863F34"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26.81</w:t>
            </w:r>
          </w:p>
        </w:tc>
        <w:tc>
          <w:tcPr>
            <w:tcW w:w="911" w:type="dxa"/>
            <w:tcBorders>
              <w:bottom w:val="single" w:sz="4" w:space="0" w:color="auto"/>
            </w:tcBorders>
          </w:tcPr>
          <w:p w14:paraId="7433942A" w14:textId="77777777" w:rsidR="00EB0BEF" w:rsidRPr="007F131A" w:rsidDel="00F206E6"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-25.03</w:t>
            </w:r>
          </w:p>
        </w:tc>
        <w:tc>
          <w:tcPr>
            <w:tcW w:w="984" w:type="dxa"/>
            <w:tcBorders>
              <w:bottom w:val="single" w:sz="4" w:space="0" w:color="auto"/>
            </w:tcBorders>
          </w:tcPr>
          <w:p w14:paraId="79C80D36"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109.13</w:t>
            </w:r>
          </w:p>
        </w:tc>
        <w:tc>
          <w:tcPr>
            <w:tcW w:w="943" w:type="dxa"/>
            <w:tcBorders>
              <w:bottom w:val="single" w:sz="4" w:space="0" w:color="auto"/>
            </w:tcBorders>
          </w:tcPr>
          <w:p w14:paraId="0AAFB77F"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0.499</w:t>
            </w:r>
          </w:p>
        </w:tc>
        <w:tc>
          <w:tcPr>
            <w:tcW w:w="943" w:type="dxa"/>
            <w:tcBorders>
              <w:bottom w:val="single" w:sz="4" w:space="0" w:color="auto"/>
            </w:tcBorders>
          </w:tcPr>
          <w:p w14:paraId="121F45C0"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0.862</w:t>
            </w:r>
          </w:p>
        </w:tc>
        <w:tc>
          <w:tcPr>
            <w:tcW w:w="943" w:type="dxa"/>
            <w:tcBorders>
              <w:bottom w:val="single" w:sz="4" w:space="0" w:color="auto"/>
            </w:tcBorders>
          </w:tcPr>
          <w:p w14:paraId="54C39C95" w14:textId="77777777" w:rsidR="00EB0BEF" w:rsidRPr="007F131A" w:rsidDel="004E7D68" w:rsidRDefault="00EB0BEF" w:rsidP="00A0419B">
            <w:pPr>
              <w:spacing w:line="240" w:lineRule="exact"/>
              <w:jc w:val="center"/>
              <w:rPr>
                <w:rFonts w:ascii="Arial" w:eastAsia="Times New Roman" w:hAnsi="Arial" w:cs="Arial"/>
                <w:sz w:val="18"/>
                <w:szCs w:val="18"/>
              </w:rPr>
            </w:pPr>
            <w:r w:rsidRPr="007F131A">
              <w:rPr>
                <w:rFonts w:ascii="Arial" w:eastAsia="Times New Roman" w:hAnsi="Arial" w:cs="Arial"/>
                <w:sz w:val="18"/>
                <w:szCs w:val="18"/>
              </w:rPr>
              <w:t>1.662</w:t>
            </w:r>
          </w:p>
        </w:tc>
      </w:tr>
      <w:tr w:rsidR="00EB0BEF" w:rsidRPr="007F131A" w14:paraId="0FD30090" w14:textId="77777777" w:rsidTr="00A0419B">
        <w:tc>
          <w:tcPr>
            <w:tcW w:w="9694" w:type="dxa"/>
            <w:gridSpan w:val="11"/>
            <w:tcBorders>
              <w:top w:val="single" w:sz="4" w:space="0" w:color="auto"/>
              <w:bottom w:val="single" w:sz="4" w:space="0" w:color="auto"/>
            </w:tcBorders>
          </w:tcPr>
          <w:p w14:paraId="0D123DA1" w14:textId="77777777" w:rsidR="00EB0BEF" w:rsidRPr="007F131A" w:rsidRDefault="00EB0BEF" w:rsidP="00A0419B">
            <w:pPr>
              <w:spacing w:line="240" w:lineRule="exact"/>
              <w:jc w:val="both"/>
              <w:rPr>
                <w:rFonts w:eastAsia="Times New Roman" w:cs="Arial"/>
                <w:sz w:val="18"/>
                <w:szCs w:val="18"/>
                <w:lang w:val="en-US"/>
              </w:rPr>
            </w:pPr>
            <w:r w:rsidRPr="007F131A">
              <w:rPr>
                <w:rFonts w:eastAsia="Times New Roman"/>
                <w:i/>
                <w:sz w:val="18"/>
                <w:szCs w:val="18"/>
                <w:lang w:val="en-US"/>
              </w:rPr>
              <w:t>Note:</w:t>
            </w:r>
            <w:r w:rsidRPr="007F131A">
              <w:rPr>
                <w:rFonts w:eastAsia="Times New Roman"/>
                <w:sz w:val="18"/>
                <w:szCs w:val="18"/>
                <w:lang w:val="en-US"/>
              </w:rPr>
              <w:t xml:space="preserve"> This table reports the descriptive statistics of the dependent and independent variables in equation 5 and 6. 5%. Please. see Table 4 for variable measurement.</w:t>
            </w:r>
          </w:p>
        </w:tc>
      </w:tr>
    </w:tbl>
    <w:p w14:paraId="2CC95B32" w14:textId="77777777" w:rsidR="00EB0BEF" w:rsidRPr="007F131A" w:rsidRDefault="00EB0BEF" w:rsidP="00EB0BEF">
      <w:pPr>
        <w:spacing w:after="0" w:line="240" w:lineRule="auto"/>
        <w:rPr>
          <w:rFonts w:asciiTheme="minorHAnsi" w:hAnsiTheme="minorHAnsi"/>
          <w:sz w:val="20"/>
          <w:szCs w:val="20"/>
          <w:lang w:val="en-US"/>
        </w:rPr>
      </w:pPr>
    </w:p>
    <w:p w14:paraId="43BC608F" w14:textId="77777777" w:rsidR="00EB0BEF" w:rsidRPr="007F131A" w:rsidRDefault="00EB0BEF" w:rsidP="00EB0BEF">
      <w:pPr>
        <w:spacing w:after="0" w:line="240" w:lineRule="auto"/>
        <w:rPr>
          <w:rFonts w:asciiTheme="minorHAnsi" w:hAnsiTheme="minorHAnsi"/>
          <w:b/>
          <w:sz w:val="24"/>
          <w:szCs w:val="24"/>
          <w:lang w:val="en-US"/>
        </w:rPr>
      </w:pPr>
      <w:r w:rsidRPr="007F131A">
        <w:rPr>
          <w:rFonts w:asciiTheme="minorHAnsi" w:hAnsiTheme="minorHAnsi"/>
          <w:b/>
          <w:sz w:val="24"/>
          <w:szCs w:val="24"/>
          <w:lang w:val="en-US"/>
        </w:rPr>
        <w:br w:type="page"/>
      </w:r>
    </w:p>
    <w:p w14:paraId="2CD12E29" w14:textId="77777777" w:rsidR="00EB0BEF" w:rsidRPr="007F131A" w:rsidRDefault="00EB0BEF" w:rsidP="00EB0BEF">
      <w:pPr>
        <w:spacing w:after="0" w:line="240" w:lineRule="auto"/>
        <w:rPr>
          <w:rFonts w:asciiTheme="minorHAnsi" w:hAnsiTheme="minorHAnsi"/>
          <w:b/>
          <w:sz w:val="24"/>
          <w:szCs w:val="24"/>
          <w:lang w:val="en-US"/>
        </w:rPr>
      </w:pPr>
      <w:r w:rsidRPr="007F131A">
        <w:rPr>
          <w:rFonts w:asciiTheme="minorHAnsi" w:hAnsiTheme="minorHAnsi"/>
          <w:b/>
          <w:sz w:val="24"/>
          <w:szCs w:val="24"/>
          <w:lang w:val="en-US"/>
        </w:rPr>
        <w:lastRenderedPageBreak/>
        <w:t xml:space="preserve">Table VI. Descriptive statistics for the dichotomous model variables </w:t>
      </w:r>
    </w:p>
    <w:p w14:paraId="6FE4970F" w14:textId="77777777" w:rsidR="00EB0BEF" w:rsidRPr="007F131A" w:rsidRDefault="00EB0BEF" w:rsidP="00EB0BEF">
      <w:pPr>
        <w:spacing w:after="0" w:line="240" w:lineRule="auto"/>
        <w:rPr>
          <w:rFonts w:asciiTheme="minorHAnsi" w:hAnsiTheme="minorHAnsi"/>
          <w:b/>
          <w:sz w:val="24"/>
          <w:szCs w:val="24"/>
          <w:lang w:val="en-US"/>
        </w:rPr>
      </w:pPr>
    </w:p>
    <w:tbl>
      <w:tblPr>
        <w:tblStyle w:val="TableGrid"/>
        <w:tblW w:w="0" w:type="auto"/>
        <w:tblLook w:val="04A0" w:firstRow="1" w:lastRow="0" w:firstColumn="1" w:lastColumn="0" w:noHBand="0" w:noVBand="1"/>
      </w:tblPr>
      <w:tblGrid>
        <w:gridCol w:w="1370"/>
        <w:gridCol w:w="687"/>
        <w:gridCol w:w="691"/>
        <w:gridCol w:w="686"/>
        <w:gridCol w:w="690"/>
        <w:gridCol w:w="686"/>
        <w:gridCol w:w="690"/>
        <w:gridCol w:w="686"/>
        <w:gridCol w:w="690"/>
        <w:gridCol w:w="686"/>
        <w:gridCol w:w="690"/>
        <w:gridCol w:w="686"/>
        <w:gridCol w:w="690"/>
      </w:tblGrid>
      <w:tr w:rsidR="00EB0BEF" w:rsidRPr="007F131A" w14:paraId="05083840" w14:textId="77777777" w:rsidTr="00A0419B">
        <w:trPr>
          <w:trHeight w:val="293"/>
        </w:trPr>
        <w:tc>
          <w:tcPr>
            <w:tcW w:w="1396" w:type="dxa"/>
            <w:tcBorders>
              <w:bottom w:val="single" w:sz="4" w:space="0" w:color="auto"/>
            </w:tcBorders>
          </w:tcPr>
          <w:p w14:paraId="2F84152F" w14:textId="77777777" w:rsidR="00EB0BEF" w:rsidRPr="007F131A" w:rsidRDefault="00EB0BEF" w:rsidP="00A0419B">
            <w:pPr>
              <w:spacing w:after="0" w:line="240" w:lineRule="auto"/>
              <w:rPr>
                <w:b/>
                <w:sz w:val="20"/>
                <w:szCs w:val="20"/>
                <w:lang w:val="en-US"/>
              </w:rPr>
            </w:pPr>
          </w:p>
        </w:tc>
        <w:tc>
          <w:tcPr>
            <w:tcW w:w="2794" w:type="dxa"/>
            <w:gridSpan w:val="4"/>
            <w:tcBorders>
              <w:bottom w:val="single" w:sz="4" w:space="0" w:color="auto"/>
            </w:tcBorders>
          </w:tcPr>
          <w:p w14:paraId="792D73ED" w14:textId="77777777" w:rsidR="00EB0BEF" w:rsidRPr="007F131A" w:rsidRDefault="00EB0BEF" w:rsidP="00A0419B">
            <w:pPr>
              <w:spacing w:after="0" w:line="240" w:lineRule="auto"/>
              <w:rPr>
                <w:b/>
                <w:sz w:val="20"/>
                <w:szCs w:val="20"/>
                <w:lang w:val="en-US"/>
              </w:rPr>
            </w:pPr>
            <w:r w:rsidRPr="007F131A">
              <w:rPr>
                <w:b/>
                <w:sz w:val="20"/>
                <w:szCs w:val="20"/>
                <w:lang w:val="en-US"/>
              </w:rPr>
              <w:t>Full sample (Obs: 700)</w:t>
            </w:r>
          </w:p>
        </w:tc>
        <w:tc>
          <w:tcPr>
            <w:tcW w:w="2794" w:type="dxa"/>
            <w:gridSpan w:val="4"/>
            <w:tcBorders>
              <w:bottom w:val="single" w:sz="4" w:space="0" w:color="auto"/>
            </w:tcBorders>
          </w:tcPr>
          <w:p w14:paraId="5FC552B7" w14:textId="77777777" w:rsidR="00EB0BEF" w:rsidRPr="007F131A" w:rsidRDefault="00EB0BEF" w:rsidP="00A0419B">
            <w:pPr>
              <w:spacing w:after="0" w:line="240" w:lineRule="auto"/>
              <w:rPr>
                <w:b/>
                <w:sz w:val="20"/>
                <w:szCs w:val="20"/>
                <w:lang w:val="en-US"/>
              </w:rPr>
            </w:pPr>
            <w:r w:rsidRPr="007F131A">
              <w:rPr>
                <w:b/>
                <w:sz w:val="20"/>
                <w:szCs w:val="20"/>
                <w:lang w:val="en-US"/>
              </w:rPr>
              <w:t>KIBS companies (Obs: 125)</w:t>
            </w:r>
          </w:p>
        </w:tc>
        <w:tc>
          <w:tcPr>
            <w:tcW w:w="2794" w:type="dxa"/>
            <w:gridSpan w:val="4"/>
            <w:tcBorders>
              <w:bottom w:val="single" w:sz="4" w:space="0" w:color="auto"/>
            </w:tcBorders>
          </w:tcPr>
          <w:p w14:paraId="30032DFE" w14:textId="77777777" w:rsidR="00EB0BEF" w:rsidRPr="007F131A" w:rsidRDefault="00EB0BEF" w:rsidP="00A0419B">
            <w:pPr>
              <w:spacing w:after="0" w:line="240" w:lineRule="auto"/>
              <w:rPr>
                <w:b/>
                <w:sz w:val="20"/>
                <w:szCs w:val="20"/>
                <w:lang w:val="en-US"/>
              </w:rPr>
            </w:pPr>
            <w:r w:rsidRPr="007F131A">
              <w:rPr>
                <w:b/>
                <w:sz w:val="20"/>
                <w:szCs w:val="20"/>
                <w:lang w:val="en-US"/>
              </w:rPr>
              <w:t>TI companies (Obs: 575)</w:t>
            </w:r>
          </w:p>
        </w:tc>
      </w:tr>
      <w:tr w:rsidR="00EB0BEF" w:rsidRPr="007F131A" w14:paraId="0A9AB2DF" w14:textId="77777777" w:rsidTr="00A0419B">
        <w:tc>
          <w:tcPr>
            <w:tcW w:w="1396" w:type="dxa"/>
            <w:tcBorders>
              <w:bottom w:val="single" w:sz="4" w:space="0" w:color="auto"/>
            </w:tcBorders>
          </w:tcPr>
          <w:p w14:paraId="2762B3F6" w14:textId="77777777" w:rsidR="00EB0BEF" w:rsidRPr="007F131A" w:rsidRDefault="00EB0BEF" w:rsidP="00A0419B">
            <w:pPr>
              <w:spacing w:after="0" w:line="240" w:lineRule="auto"/>
              <w:rPr>
                <w:b/>
                <w:sz w:val="20"/>
                <w:szCs w:val="20"/>
                <w:lang w:val="en-US"/>
              </w:rPr>
            </w:pPr>
          </w:p>
        </w:tc>
        <w:tc>
          <w:tcPr>
            <w:tcW w:w="1397" w:type="dxa"/>
            <w:gridSpan w:val="2"/>
            <w:tcBorders>
              <w:bottom w:val="single" w:sz="4" w:space="0" w:color="auto"/>
            </w:tcBorders>
          </w:tcPr>
          <w:p w14:paraId="109EAD80" w14:textId="77777777" w:rsidR="00EB0BEF" w:rsidRPr="007F131A" w:rsidRDefault="00EB0BEF" w:rsidP="00A0419B">
            <w:pPr>
              <w:spacing w:after="0" w:line="240" w:lineRule="auto"/>
              <w:jc w:val="center"/>
              <w:rPr>
                <w:b/>
                <w:sz w:val="20"/>
                <w:szCs w:val="20"/>
                <w:lang w:val="en-US"/>
              </w:rPr>
            </w:pPr>
            <w:r w:rsidRPr="007F131A">
              <w:rPr>
                <w:b/>
                <w:sz w:val="20"/>
                <w:szCs w:val="20"/>
                <w:lang w:val="en-US"/>
              </w:rPr>
              <w:t>0</w:t>
            </w:r>
          </w:p>
        </w:tc>
        <w:tc>
          <w:tcPr>
            <w:tcW w:w="1397" w:type="dxa"/>
            <w:gridSpan w:val="2"/>
            <w:tcBorders>
              <w:bottom w:val="single" w:sz="4" w:space="0" w:color="auto"/>
            </w:tcBorders>
          </w:tcPr>
          <w:p w14:paraId="3272C5C4" w14:textId="77777777" w:rsidR="00EB0BEF" w:rsidRPr="007F131A" w:rsidRDefault="00EB0BEF" w:rsidP="00A0419B">
            <w:pPr>
              <w:spacing w:after="0" w:line="240" w:lineRule="auto"/>
              <w:jc w:val="center"/>
              <w:rPr>
                <w:b/>
                <w:sz w:val="20"/>
                <w:szCs w:val="20"/>
                <w:lang w:val="en-US"/>
              </w:rPr>
            </w:pPr>
            <w:r w:rsidRPr="007F131A">
              <w:rPr>
                <w:b/>
                <w:sz w:val="20"/>
                <w:szCs w:val="20"/>
                <w:lang w:val="en-US"/>
              </w:rPr>
              <w:t>1</w:t>
            </w:r>
          </w:p>
        </w:tc>
        <w:tc>
          <w:tcPr>
            <w:tcW w:w="1397" w:type="dxa"/>
            <w:gridSpan w:val="2"/>
            <w:tcBorders>
              <w:bottom w:val="single" w:sz="4" w:space="0" w:color="auto"/>
            </w:tcBorders>
          </w:tcPr>
          <w:p w14:paraId="7819C7DE" w14:textId="77777777" w:rsidR="00EB0BEF" w:rsidRPr="007F131A" w:rsidRDefault="00EB0BEF" w:rsidP="00A0419B">
            <w:pPr>
              <w:spacing w:after="0" w:line="240" w:lineRule="auto"/>
              <w:jc w:val="center"/>
              <w:rPr>
                <w:b/>
                <w:sz w:val="20"/>
                <w:szCs w:val="20"/>
                <w:lang w:val="en-US"/>
              </w:rPr>
            </w:pPr>
            <w:r w:rsidRPr="007F131A">
              <w:rPr>
                <w:b/>
                <w:sz w:val="20"/>
                <w:szCs w:val="20"/>
                <w:lang w:val="en-US"/>
              </w:rPr>
              <w:t>0</w:t>
            </w:r>
          </w:p>
        </w:tc>
        <w:tc>
          <w:tcPr>
            <w:tcW w:w="1397" w:type="dxa"/>
            <w:gridSpan w:val="2"/>
            <w:tcBorders>
              <w:bottom w:val="single" w:sz="4" w:space="0" w:color="auto"/>
            </w:tcBorders>
          </w:tcPr>
          <w:p w14:paraId="10157D6C" w14:textId="77777777" w:rsidR="00EB0BEF" w:rsidRPr="007F131A" w:rsidRDefault="00EB0BEF" w:rsidP="00A0419B">
            <w:pPr>
              <w:spacing w:after="0" w:line="240" w:lineRule="auto"/>
              <w:jc w:val="center"/>
              <w:rPr>
                <w:b/>
                <w:sz w:val="20"/>
                <w:szCs w:val="20"/>
                <w:lang w:val="en-US"/>
              </w:rPr>
            </w:pPr>
            <w:r w:rsidRPr="007F131A">
              <w:rPr>
                <w:b/>
                <w:sz w:val="20"/>
                <w:szCs w:val="20"/>
                <w:lang w:val="en-US"/>
              </w:rPr>
              <w:t>1</w:t>
            </w:r>
          </w:p>
        </w:tc>
        <w:tc>
          <w:tcPr>
            <w:tcW w:w="1397" w:type="dxa"/>
            <w:gridSpan w:val="2"/>
            <w:tcBorders>
              <w:bottom w:val="single" w:sz="4" w:space="0" w:color="auto"/>
            </w:tcBorders>
          </w:tcPr>
          <w:p w14:paraId="23794FC2" w14:textId="77777777" w:rsidR="00EB0BEF" w:rsidRPr="007F131A" w:rsidRDefault="00EB0BEF" w:rsidP="00A0419B">
            <w:pPr>
              <w:spacing w:after="0" w:line="240" w:lineRule="auto"/>
              <w:jc w:val="center"/>
              <w:rPr>
                <w:b/>
                <w:sz w:val="20"/>
                <w:szCs w:val="20"/>
                <w:lang w:val="en-US"/>
              </w:rPr>
            </w:pPr>
            <w:r w:rsidRPr="007F131A">
              <w:rPr>
                <w:b/>
                <w:sz w:val="20"/>
                <w:szCs w:val="20"/>
                <w:lang w:val="en-US"/>
              </w:rPr>
              <w:t>0</w:t>
            </w:r>
          </w:p>
        </w:tc>
        <w:tc>
          <w:tcPr>
            <w:tcW w:w="1397" w:type="dxa"/>
            <w:gridSpan w:val="2"/>
            <w:tcBorders>
              <w:bottom w:val="single" w:sz="4" w:space="0" w:color="auto"/>
            </w:tcBorders>
          </w:tcPr>
          <w:p w14:paraId="7FF58FCD" w14:textId="77777777" w:rsidR="00EB0BEF" w:rsidRPr="007F131A" w:rsidRDefault="00EB0BEF" w:rsidP="00A0419B">
            <w:pPr>
              <w:spacing w:after="0" w:line="240" w:lineRule="auto"/>
              <w:jc w:val="center"/>
              <w:rPr>
                <w:b/>
                <w:sz w:val="20"/>
                <w:szCs w:val="20"/>
                <w:lang w:val="en-US"/>
              </w:rPr>
            </w:pPr>
            <w:r w:rsidRPr="007F131A">
              <w:rPr>
                <w:b/>
                <w:sz w:val="20"/>
                <w:szCs w:val="20"/>
                <w:lang w:val="en-US"/>
              </w:rPr>
              <w:t>1</w:t>
            </w:r>
          </w:p>
        </w:tc>
      </w:tr>
      <w:tr w:rsidR="00EB0BEF" w:rsidRPr="007F131A" w14:paraId="45C7318D" w14:textId="77777777" w:rsidTr="00A0419B">
        <w:tc>
          <w:tcPr>
            <w:tcW w:w="1396" w:type="dxa"/>
            <w:tcBorders>
              <w:top w:val="single" w:sz="4" w:space="0" w:color="auto"/>
              <w:left w:val="single" w:sz="4" w:space="0" w:color="auto"/>
              <w:bottom w:val="single" w:sz="4" w:space="0" w:color="auto"/>
              <w:right w:val="single" w:sz="4" w:space="0" w:color="auto"/>
            </w:tcBorders>
          </w:tcPr>
          <w:p w14:paraId="6BCCD12D" w14:textId="77777777" w:rsidR="00EB0BEF" w:rsidRPr="007F131A" w:rsidRDefault="00EB0BEF" w:rsidP="00A0419B">
            <w:pPr>
              <w:spacing w:after="0" w:line="240" w:lineRule="auto"/>
              <w:rPr>
                <w:b/>
                <w:sz w:val="20"/>
                <w:szCs w:val="20"/>
                <w:lang w:val="en-US"/>
              </w:rPr>
            </w:pPr>
            <w:r w:rsidRPr="007F131A">
              <w:rPr>
                <w:b/>
                <w:sz w:val="20"/>
                <w:szCs w:val="20"/>
                <w:lang w:val="en-US"/>
              </w:rPr>
              <w:t>Variables</w:t>
            </w:r>
          </w:p>
        </w:tc>
        <w:tc>
          <w:tcPr>
            <w:tcW w:w="698" w:type="dxa"/>
            <w:tcBorders>
              <w:top w:val="single" w:sz="4" w:space="0" w:color="auto"/>
              <w:left w:val="single" w:sz="4" w:space="0" w:color="auto"/>
              <w:bottom w:val="single" w:sz="4" w:space="0" w:color="auto"/>
              <w:right w:val="nil"/>
            </w:tcBorders>
          </w:tcPr>
          <w:p w14:paraId="2B81A615" w14:textId="77777777" w:rsidR="00EB0BEF" w:rsidRPr="007F131A" w:rsidRDefault="00EB0BEF" w:rsidP="00A0419B">
            <w:pPr>
              <w:spacing w:after="0" w:line="240" w:lineRule="auto"/>
              <w:jc w:val="center"/>
              <w:rPr>
                <w:b/>
                <w:sz w:val="20"/>
                <w:szCs w:val="20"/>
                <w:lang w:val="en-US"/>
              </w:rPr>
            </w:pPr>
            <w:r w:rsidRPr="007F131A">
              <w:rPr>
                <w:b/>
                <w:sz w:val="20"/>
                <w:szCs w:val="20"/>
                <w:lang w:val="en-US"/>
              </w:rPr>
              <w:t>N.</w:t>
            </w:r>
          </w:p>
        </w:tc>
        <w:tc>
          <w:tcPr>
            <w:tcW w:w="699" w:type="dxa"/>
            <w:tcBorders>
              <w:top w:val="single" w:sz="4" w:space="0" w:color="auto"/>
              <w:left w:val="nil"/>
              <w:bottom w:val="single" w:sz="4" w:space="0" w:color="auto"/>
              <w:right w:val="single" w:sz="4" w:space="0" w:color="auto"/>
            </w:tcBorders>
          </w:tcPr>
          <w:p w14:paraId="27CD3B7D"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698" w:type="dxa"/>
            <w:tcBorders>
              <w:top w:val="single" w:sz="4" w:space="0" w:color="auto"/>
              <w:left w:val="single" w:sz="4" w:space="0" w:color="auto"/>
              <w:bottom w:val="single" w:sz="4" w:space="0" w:color="auto"/>
              <w:right w:val="nil"/>
            </w:tcBorders>
          </w:tcPr>
          <w:p w14:paraId="076FE54F" w14:textId="77777777" w:rsidR="00EB0BEF" w:rsidRPr="007F131A" w:rsidRDefault="00EB0BEF" w:rsidP="00A0419B">
            <w:pPr>
              <w:spacing w:after="0" w:line="240" w:lineRule="auto"/>
              <w:jc w:val="center"/>
              <w:rPr>
                <w:b/>
                <w:sz w:val="20"/>
                <w:szCs w:val="20"/>
                <w:lang w:val="en-US"/>
              </w:rPr>
            </w:pPr>
            <w:r w:rsidRPr="007F131A">
              <w:rPr>
                <w:b/>
                <w:sz w:val="20"/>
                <w:szCs w:val="20"/>
                <w:lang w:val="en-US"/>
              </w:rPr>
              <w:t>N.</w:t>
            </w:r>
          </w:p>
        </w:tc>
        <w:tc>
          <w:tcPr>
            <w:tcW w:w="699" w:type="dxa"/>
            <w:tcBorders>
              <w:top w:val="single" w:sz="4" w:space="0" w:color="auto"/>
              <w:left w:val="nil"/>
              <w:bottom w:val="single" w:sz="4" w:space="0" w:color="auto"/>
              <w:right w:val="single" w:sz="4" w:space="0" w:color="auto"/>
            </w:tcBorders>
          </w:tcPr>
          <w:p w14:paraId="6ABCB255"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698" w:type="dxa"/>
            <w:tcBorders>
              <w:top w:val="single" w:sz="4" w:space="0" w:color="auto"/>
              <w:left w:val="single" w:sz="4" w:space="0" w:color="auto"/>
              <w:bottom w:val="single" w:sz="4" w:space="0" w:color="auto"/>
              <w:right w:val="nil"/>
            </w:tcBorders>
          </w:tcPr>
          <w:p w14:paraId="64124E47" w14:textId="77777777" w:rsidR="00EB0BEF" w:rsidRPr="007F131A" w:rsidRDefault="00EB0BEF" w:rsidP="00A0419B">
            <w:pPr>
              <w:spacing w:after="0" w:line="240" w:lineRule="auto"/>
              <w:jc w:val="center"/>
              <w:rPr>
                <w:b/>
                <w:sz w:val="20"/>
                <w:szCs w:val="20"/>
                <w:lang w:val="en-US"/>
              </w:rPr>
            </w:pPr>
            <w:r w:rsidRPr="007F131A">
              <w:rPr>
                <w:b/>
                <w:sz w:val="20"/>
                <w:szCs w:val="20"/>
                <w:lang w:val="en-US"/>
              </w:rPr>
              <w:t>N.</w:t>
            </w:r>
          </w:p>
        </w:tc>
        <w:tc>
          <w:tcPr>
            <w:tcW w:w="699" w:type="dxa"/>
            <w:tcBorders>
              <w:top w:val="single" w:sz="4" w:space="0" w:color="auto"/>
              <w:left w:val="nil"/>
              <w:bottom w:val="single" w:sz="4" w:space="0" w:color="auto"/>
              <w:right w:val="single" w:sz="4" w:space="0" w:color="auto"/>
            </w:tcBorders>
          </w:tcPr>
          <w:p w14:paraId="2D51ED1C"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698" w:type="dxa"/>
            <w:tcBorders>
              <w:top w:val="single" w:sz="4" w:space="0" w:color="auto"/>
              <w:left w:val="single" w:sz="4" w:space="0" w:color="auto"/>
              <w:bottom w:val="single" w:sz="4" w:space="0" w:color="auto"/>
              <w:right w:val="nil"/>
            </w:tcBorders>
          </w:tcPr>
          <w:p w14:paraId="3B02138E" w14:textId="77777777" w:rsidR="00EB0BEF" w:rsidRPr="007F131A" w:rsidRDefault="00EB0BEF" w:rsidP="00A0419B">
            <w:pPr>
              <w:spacing w:after="0" w:line="240" w:lineRule="auto"/>
              <w:jc w:val="center"/>
              <w:rPr>
                <w:b/>
                <w:sz w:val="20"/>
                <w:szCs w:val="20"/>
                <w:lang w:val="en-US"/>
              </w:rPr>
            </w:pPr>
            <w:r w:rsidRPr="007F131A">
              <w:rPr>
                <w:b/>
                <w:sz w:val="20"/>
                <w:szCs w:val="20"/>
                <w:lang w:val="en-US"/>
              </w:rPr>
              <w:t>N.</w:t>
            </w:r>
          </w:p>
        </w:tc>
        <w:tc>
          <w:tcPr>
            <w:tcW w:w="699" w:type="dxa"/>
            <w:tcBorders>
              <w:top w:val="single" w:sz="4" w:space="0" w:color="auto"/>
              <w:left w:val="nil"/>
              <w:bottom w:val="single" w:sz="4" w:space="0" w:color="auto"/>
              <w:right w:val="single" w:sz="4" w:space="0" w:color="auto"/>
            </w:tcBorders>
          </w:tcPr>
          <w:p w14:paraId="59B4F3E5"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698" w:type="dxa"/>
            <w:tcBorders>
              <w:top w:val="single" w:sz="4" w:space="0" w:color="auto"/>
              <w:left w:val="single" w:sz="4" w:space="0" w:color="auto"/>
              <w:bottom w:val="single" w:sz="4" w:space="0" w:color="auto"/>
              <w:right w:val="nil"/>
            </w:tcBorders>
          </w:tcPr>
          <w:p w14:paraId="0DFD72B5" w14:textId="77777777" w:rsidR="00EB0BEF" w:rsidRPr="007F131A" w:rsidRDefault="00EB0BEF" w:rsidP="00A0419B">
            <w:pPr>
              <w:spacing w:after="0" w:line="240" w:lineRule="auto"/>
              <w:jc w:val="center"/>
              <w:rPr>
                <w:b/>
                <w:sz w:val="20"/>
                <w:szCs w:val="20"/>
                <w:lang w:val="en-US"/>
              </w:rPr>
            </w:pPr>
            <w:r w:rsidRPr="007F131A">
              <w:rPr>
                <w:b/>
                <w:sz w:val="20"/>
                <w:szCs w:val="20"/>
                <w:lang w:val="en-US"/>
              </w:rPr>
              <w:t>N.</w:t>
            </w:r>
          </w:p>
        </w:tc>
        <w:tc>
          <w:tcPr>
            <w:tcW w:w="699" w:type="dxa"/>
            <w:tcBorders>
              <w:top w:val="single" w:sz="4" w:space="0" w:color="auto"/>
              <w:left w:val="nil"/>
              <w:bottom w:val="single" w:sz="4" w:space="0" w:color="auto"/>
              <w:right w:val="single" w:sz="4" w:space="0" w:color="auto"/>
            </w:tcBorders>
          </w:tcPr>
          <w:p w14:paraId="4F264D6A"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698" w:type="dxa"/>
            <w:tcBorders>
              <w:top w:val="single" w:sz="4" w:space="0" w:color="auto"/>
              <w:left w:val="single" w:sz="4" w:space="0" w:color="auto"/>
              <w:bottom w:val="single" w:sz="4" w:space="0" w:color="auto"/>
              <w:right w:val="nil"/>
            </w:tcBorders>
          </w:tcPr>
          <w:p w14:paraId="0B74B62D" w14:textId="77777777" w:rsidR="00EB0BEF" w:rsidRPr="007F131A" w:rsidRDefault="00EB0BEF" w:rsidP="00A0419B">
            <w:pPr>
              <w:spacing w:after="0" w:line="240" w:lineRule="auto"/>
              <w:jc w:val="center"/>
              <w:rPr>
                <w:b/>
                <w:sz w:val="20"/>
                <w:szCs w:val="20"/>
                <w:lang w:val="en-US"/>
              </w:rPr>
            </w:pPr>
            <w:r w:rsidRPr="007F131A">
              <w:rPr>
                <w:b/>
                <w:sz w:val="20"/>
                <w:szCs w:val="20"/>
                <w:lang w:val="en-US"/>
              </w:rPr>
              <w:t>N.</w:t>
            </w:r>
          </w:p>
        </w:tc>
        <w:tc>
          <w:tcPr>
            <w:tcW w:w="699" w:type="dxa"/>
            <w:tcBorders>
              <w:top w:val="single" w:sz="4" w:space="0" w:color="auto"/>
              <w:left w:val="nil"/>
              <w:bottom w:val="single" w:sz="4" w:space="0" w:color="auto"/>
              <w:right w:val="single" w:sz="4" w:space="0" w:color="auto"/>
            </w:tcBorders>
          </w:tcPr>
          <w:p w14:paraId="177D8796"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r>
      <w:tr w:rsidR="00EB0BEF" w:rsidRPr="007F131A" w14:paraId="2418C3EA" w14:textId="77777777" w:rsidTr="00A0419B">
        <w:tc>
          <w:tcPr>
            <w:tcW w:w="1396" w:type="dxa"/>
            <w:tcBorders>
              <w:top w:val="single" w:sz="4" w:space="0" w:color="auto"/>
              <w:left w:val="single" w:sz="4" w:space="0" w:color="auto"/>
              <w:bottom w:val="nil"/>
              <w:right w:val="single" w:sz="4" w:space="0" w:color="auto"/>
            </w:tcBorders>
          </w:tcPr>
          <w:p w14:paraId="05C4C093" w14:textId="77777777" w:rsidR="00EB0BEF" w:rsidRPr="007F131A" w:rsidRDefault="00EB0BEF" w:rsidP="00A0419B">
            <w:pPr>
              <w:spacing w:after="0" w:line="240" w:lineRule="auto"/>
              <w:rPr>
                <w:b/>
                <w:sz w:val="20"/>
                <w:szCs w:val="20"/>
                <w:lang w:val="en-US"/>
              </w:rPr>
            </w:pPr>
            <w:r w:rsidRPr="007F131A">
              <w:rPr>
                <w:b/>
                <w:sz w:val="20"/>
                <w:szCs w:val="20"/>
                <w:lang w:val="en-US"/>
              </w:rPr>
              <w:t>AUDIT</w:t>
            </w:r>
          </w:p>
        </w:tc>
        <w:tc>
          <w:tcPr>
            <w:tcW w:w="698" w:type="dxa"/>
            <w:tcBorders>
              <w:top w:val="single" w:sz="4" w:space="0" w:color="auto"/>
              <w:left w:val="single" w:sz="4" w:space="0" w:color="auto"/>
              <w:bottom w:val="nil"/>
              <w:right w:val="nil"/>
            </w:tcBorders>
          </w:tcPr>
          <w:p w14:paraId="681C6C6A" w14:textId="77777777" w:rsidR="00EB0BEF" w:rsidRPr="007F131A" w:rsidRDefault="00EB0BEF" w:rsidP="00A0419B">
            <w:pPr>
              <w:spacing w:after="0" w:line="240" w:lineRule="auto"/>
              <w:jc w:val="center"/>
              <w:rPr>
                <w:sz w:val="20"/>
                <w:szCs w:val="20"/>
                <w:lang w:val="en-US"/>
              </w:rPr>
            </w:pPr>
            <w:r w:rsidRPr="007F131A">
              <w:rPr>
                <w:sz w:val="20"/>
                <w:szCs w:val="20"/>
                <w:lang w:val="en-US"/>
              </w:rPr>
              <w:t>81</w:t>
            </w:r>
          </w:p>
        </w:tc>
        <w:tc>
          <w:tcPr>
            <w:tcW w:w="699" w:type="dxa"/>
            <w:tcBorders>
              <w:top w:val="single" w:sz="4" w:space="0" w:color="auto"/>
              <w:left w:val="nil"/>
              <w:bottom w:val="nil"/>
              <w:right w:val="single" w:sz="4" w:space="0" w:color="auto"/>
            </w:tcBorders>
          </w:tcPr>
          <w:p w14:paraId="2578145F" w14:textId="77777777" w:rsidR="00EB0BEF" w:rsidRPr="007F131A" w:rsidRDefault="00EB0BEF" w:rsidP="00A0419B">
            <w:pPr>
              <w:spacing w:after="0" w:line="240" w:lineRule="auto"/>
              <w:jc w:val="center"/>
              <w:rPr>
                <w:sz w:val="20"/>
                <w:szCs w:val="20"/>
                <w:lang w:val="en-US"/>
              </w:rPr>
            </w:pPr>
            <w:r w:rsidRPr="007F131A">
              <w:rPr>
                <w:sz w:val="20"/>
                <w:szCs w:val="20"/>
                <w:lang w:val="en-US"/>
              </w:rPr>
              <w:t>11.6</w:t>
            </w:r>
          </w:p>
        </w:tc>
        <w:tc>
          <w:tcPr>
            <w:tcW w:w="698" w:type="dxa"/>
            <w:tcBorders>
              <w:top w:val="single" w:sz="4" w:space="0" w:color="auto"/>
              <w:left w:val="single" w:sz="4" w:space="0" w:color="auto"/>
              <w:bottom w:val="nil"/>
              <w:right w:val="nil"/>
            </w:tcBorders>
          </w:tcPr>
          <w:p w14:paraId="0AB24FA4" w14:textId="77777777" w:rsidR="00EB0BEF" w:rsidRPr="007F131A" w:rsidRDefault="00EB0BEF" w:rsidP="00A0419B">
            <w:pPr>
              <w:spacing w:after="0" w:line="240" w:lineRule="auto"/>
              <w:jc w:val="center"/>
              <w:rPr>
                <w:sz w:val="20"/>
                <w:szCs w:val="20"/>
                <w:lang w:val="en-US"/>
              </w:rPr>
            </w:pPr>
            <w:r w:rsidRPr="007F131A">
              <w:rPr>
                <w:sz w:val="20"/>
                <w:szCs w:val="20"/>
                <w:lang w:val="en-US"/>
              </w:rPr>
              <w:t>619</w:t>
            </w:r>
          </w:p>
        </w:tc>
        <w:tc>
          <w:tcPr>
            <w:tcW w:w="699" w:type="dxa"/>
            <w:tcBorders>
              <w:top w:val="single" w:sz="4" w:space="0" w:color="auto"/>
              <w:left w:val="nil"/>
              <w:bottom w:val="nil"/>
              <w:right w:val="single" w:sz="4" w:space="0" w:color="auto"/>
            </w:tcBorders>
          </w:tcPr>
          <w:p w14:paraId="75A5F2DC" w14:textId="77777777" w:rsidR="00EB0BEF" w:rsidRPr="007F131A" w:rsidRDefault="00EB0BEF" w:rsidP="00A0419B">
            <w:pPr>
              <w:spacing w:after="0" w:line="240" w:lineRule="auto"/>
              <w:jc w:val="center"/>
              <w:rPr>
                <w:sz w:val="20"/>
                <w:szCs w:val="20"/>
                <w:lang w:val="en-US"/>
              </w:rPr>
            </w:pPr>
            <w:r w:rsidRPr="007F131A">
              <w:rPr>
                <w:sz w:val="20"/>
                <w:szCs w:val="20"/>
                <w:lang w:val="en-US"/>
              </w:rPr>
              <w:t>88.4</w:t>
            </w:r>
          </w:p>
        </w:tc>
        <w:tc>
          <w:tcPr>
            <w:tcW w:w="698" w:type="dxa"/>
            <w:tcBorders>
              <w:top w:val="single" w:sz="4" w:space="0" w:color="auto"/>
              <w:left w:val="single" w:sz="4" w:space="0" w:color="auto"/>
              <w:bottom w:val="nil"/>
              <w:right w:val="nil"/>
            </w:tcBorders>
          </w:tcPr>
          <w:p w14:paraId="7A62C92B" w14:textId="77777777" w:rsidR="00EB0BEF" w:rsidRPr="007F131A" w:rsidRDefault="00EB0BEF" w:rsidP="00A0419B">
            <w:pPr>
              <w:spacing w:after="0" w:line="240" w:lineRule="auto"/>
              <w:jc w:val="center"/>
              <w:rPr>
                <w:sz w:val="20"/>
                <w:szCs w:val="20"/>
                <w:lang w:val="en-US"/>
              </w:rPr>
            </w:pPr>
            <w:r w:rsidRPr="007F131A">
              <w:rPr>
                <w:sz w:val="20"/>
                <w:szCs w:val="20"/>
                <w:lang w:val="en-US"/>
              </w:rPr>
              <w:t>17</w:t>
            </w:r>
          </w:p>
        </w:tc>
        <w:tc>
          <w:tcPr>
            <w:tcW w:w="699" w:type="dxa"/>
            <w:tcBorders>
              <w:top w:val="single" w:sz="4" w:space="0" w:color="auto"/>
              <w:left w:val="nil"/>
              <w:bottom w:val="nil"/>
              <w:right w:val="single" w:sz="4" w:space="0" w:color="auto"/>
            </w:tcBorders>
          </w:tcPr>
          <w:p w14:paraId="3ACC8283" w14:textId="77777777" w:rsidR="00EB0BEF" w:rsidRPr="007F131A" w:rsidRDefault="00EB0BEF" w:rsidP="00A0419B">
            <w:pPr>
              <w:spacing w:after="0" w:line="240" w:lineRule="auto"/>
              <w:jc w:val="center"/>
              <w:rPr>
                <w:sz w:val="20"/>
                <w:szCs w:val="20"/>
                <w:lang w:val="en-US"/>
              </w:rPr>
            </w:pPr>
            <w:r w:rsidRPr="007F131A">
              <w:rPr>
                <w:sz w:val="20"/>
                <w:szCs w:val="20"/>
                <w:lang w:val="en-US"/>
              </w:rPr>
              <w:t>13.6</w:t>
            </w:r>
          </w:p>
        </w:tc>
        <w:tc>
          <w:tcPr>
            <w:tcW w:w="698" w:type="dxa"/>
            <w:tcBorders>
              <w:top w:val="single" w:sz="4" w:space="0" w:color="auto"/>
              <w:left w:val="single" w:sz="4" w:space="0" w:color="auto"/>
              <w:bottom w:val="nil"/>
              <w:right w:val="nil"/>
            </w:tcBorders>
          </w:tcPr>
          <w:p w14:paraId="52B7BA39" w14:textId="77777777" w:rsidR="00EB0BEF" w:rsidRPr="007F131A" w:rsidRDefault="00EB0BEF" w:rsidP="00A0419B">
            <w:pPr>
              <w:spacing w:after="0" w:line="240" w:lineRule="auto"/>
              <w:jc w:val="center"/>
              <w:rPr>
                <w:sz w:val="20"/>
                <w:szCs w:val="20"/>
                <w:lang w:val="en-US"/>
              </w:rPr>
            </w:pPr>
            <w:r w:rsidRPr="007F131A">
              <w:rPr>
                <w:sz w:val="20"/>
                <w:szCs w:val="20"/>
                <w:lang w:val="en-US"/>
              </w:rPr>
              <w:t>108</w:t>
            </w:r>
          </w:p>
        </w:tc>
        <w:tc>
          <w:tcPr>
            <w:tcW w:w="699" w:type="dxa"/>
            <w:tcBorders>
              <w:top w:val="single" w:sz="4" w:space="0" w:color="auto"/>
              <w:left w:val="nil"/>
              <w:bottom w:val="nil"/>
              <w:right w:val="single" w:sz="4" w:space="0" w:color="auto"/>
            </w:tcBorders>
          </w:tcPr>
          <w:p w14:paraId="6D70065A" w14:textId="77777777" w:rsidR="00EB0BEF" w:rsidRPr="007F131A" w:rsidRDefault="00EB0BEF" w:rsidP="00A0419B">
            <w:pPr>
              <w:spacing w:after="0" w:line="240" w:lineRule="auto"/>
              <w:jc w:val="center"/>
              <w:rPr>
                <w:sz w:val="20"/>
                <w:szCs w:val="20"/>
                <w:lang w:val="en-US"/>
              </w:rPr>
            </w:pPr>
            <w:r w:rsidRPr="007F131A">
              <w:rPr>
                <w:sz w:val="20"/>
                <w:szCs w:val="20"/>
                <w:lang w:val="en-US"/>
              </w:rPr>
              <w:t>86.4</w:t>
            </w:r>
          </w:p>
        </w:tc>
        <w:tc>
          <w:tcPr>
            <w:tcW w:w="698" w:type="dxa"/>
            <w:tcBorders>
              <w:top w:val="single" w:sz="4" w:space="0" w:color="auto"/>
              <w:left w:val="single" w:sz="4" w:space="0" w:color="auto"/>
              <w:bottom w:val="nil"/>
              <w:right w:val="nil"/>
            </w:tcBorders>
          </w:tcPr>
          <w:p w14:paraId="7DB0AF3D" w14:textId="77777777" w:rsidR="00EB0BEF" w:rsidRPr="007F131A" w:rsidRDefault="00EB0BEF" w:rsidP="00A0419B">
            <w:pPr>
              <w:spacing w:after="0" w:line="240" w:lineRule="auto"/>
              <w:jc w:val="center"/>
              <w:rPr>
                <w:sz w:val="20"/>
                <w:szCs w:val="20"/>
                <w:lang w:val="en-US"/>
              </w:rPr>
            </w:pPr>
            <w:r w:rsidRPr="007F131A">
              <w:rPr>
                <w:sz w:val="20"/>
                <w:szCs w:val="20"/>
                <w:lang w:val="en-US"/>
              </w:rPr>
              <w:t>64</w:t>
            </w:r>
          </w:p>
        </w:tc>
        <w:tc>
          <w:tcPr>
            <w:tcW w:w="699" w:type="dxa"/>
            <w:tcBorders>
              <w:top w:val="single" w:sz="4" w:space="0" w:color="auto"/>
              <w:left w:val="nil"/>
              <w:bottom w:val="nil"/>
              <w:right w:val="single" w:sz="4" w:space="0" w:color="auto"/>
            </w:tcBorders>
          </w:tcPr>
          <w:p w14:paraId="7E3FC3CC" w14:textId="77777777" w:rsidR="00EB0BEF" w:rsidRPr="007F131A" w:rsidRDefault="00EB0BEF" w:rsidP="00A0419B">
            <w:pPr>
              <w:spacing w:after="0" w:line="240" w:lineRule="auto"/>
              <w:jc w:val="center"/>
              <w:rPr>
                <w:sz w:val="20"/>
                <w:szCs w:val="20"/>
                <w:lang w:val="en-US"/>
              </w:rPr>
            </w:pPr>
            <w:r w:rsidRPr="007F131A">
              <w:rPr>
                <w:sz w:val="20"/>
                <w:szCs w:val="20"/>
                <w:lang w:val="en-US"/>
              </w:rPr>
              <w:t>11.1</w:t>
            </w:r>
          </w:p>
        </w:tc>
        <w:tc>
          <w:tcPr>
            <w:tcW w:w="698" w:type="dxa"/>
            <w:tcBorders>
              <w:top w:val="single" w:sz="4" w:space="0" w:color="auto"/>
              <w:left w:val="single" w:sz="4" w:space="0" w:color="auto"/>
              <w:bottom w:val="nil"/>
              <w:right w:val="nil"/>
            </w:tcBorders>
          </w:tcPr>
          <w:p w14:paraId="6F476710" w14:textId="77777777" w:rsidR="00EB0BEF" w:rsidRPr="007F131A" w:rsidRDefault="00EB0BEF" w:rsidP="00A0419B">
            <w:pPr>
              <w:spacing w:after="0" w:line="240" w:lineRule="auto"/>
              <w:jc w:val="center"/>
              <w:rPr>
                <w:sz w:val="20"/>
                <w:szCs w:val="20"/>
                <w:lang w:val="en-US"/>
              </w:rPr>
            </w:pPr>
            <w:r w:rsidRPr="007F131A">
              <w:rPr>
                <w:sz w:val="20"/>
                <w:szCs w:val="20"/>
                <w:lang w:val="en-US"/>
              </w:rPr>
              <w:t>511</w:t>
            </w:r>
          </w:p>
        </w:tc>
        <w:tc>
          <w:tcPr>
            <w:tcW w:w="699" w:type="dxa"/>
            <w:tcBorders>
              <w:top w:val="single" w:sz="4" w:space="0" w:color="auto"/>
              <w:left w:val="nil"/>
              <w:bottom w:val="nil"/>
              <w:right w:val="single" w:sz="4" w:space="0" w:color="auto"/>
            </w:tcBorders>
          </w:tcPr>
          <w:p w14:paraId="2149B7B1" w14:textId="77777777" w:rsidR="00EB0BEF" w:rsidRPr="007F131A" w:rsidRDefault="00EB0BEF" w:rsidP="00A0419B">
            <w:pPr>
              <w:spacing w:after="0" w:line="240" w:lineRule="auto"/>
              <w:jc w:val="center"/>
              <w:rPr>
                <w:sz w:val="20"/>
                <w:szCs w:val="20"/>
                <w:lang w:val="en-US"/>
              </w:rPr>
            </w:pPr>
            <w:r w:rsidRPr="007F131A">
              <w:rPr>
                <w:sz w:val="20"/>
                <w:szCs w:val="20"/>
                <w:lang w:val="en-US"/>
              </w:rPr>
              <w:t>88.9</w:t>
            </w:r>
          </w:p>
        </w:tc>
      </w:tr>
      <w:tr w:rsidR="00EB0BEF" w:rsidRPr="007F131A" w14:paraId="1EF26484" w14:textId="77777777" w:rsidTr="00A0419B">
        <w:trPr>
          <w:trHeight w:val="260"/>
        </w:trPr>
        <w:tc>
          <w:tcPr>
            <w:tcW w:w="1396" w:type="dxa"/>
            <w:tcBorders>
              <w:top w:val="nil"/>
              <w:left w:val="single" w:sz="4" w:space="0" w:color="auto"/>
              <w:bottom w:val="nil"/>
              <w:right w:val="single" w:sz="4" w:space="0" w:color="auto"/>
            </w:tcBorders>
          </w:tcPr>
          <w:p w14:paraId="6520ADD7" w14:textId="77777777" w:rsidR="00EB0BEF" w:rsidRPr="007F131A" w:rsidRDefault="00EB0BEF" w:rsidP="00A0419B">
            <w:pPr>
              <w:spacing w:after="0" w:line="240" w:lineRule="auto"/>
              <w:rPr>
                <w:b/>
                <w:sz w:val="20"/>
                <w:szCs w:val="20"/>
                <w:lang w:val="en-US"/>
              </w:rPr>
            </w:pPr>
            <w:r w:rsidRPr="007F131A">
              <w:rPr>
                <w:b/>
                <w:sz w:val="20"/>
                <w:szCs w:val="20"/>
                <w:lang w:val="en-US"/>
              </w:rPr>
              <w:t>OWN</w:t>
            </w:r>
          </w:p>
        </w:tc>
        <w:tc>
          <w:tcPr>
            <w:tcW w:w="698" w:type="dxa"/>
            <w:tcBorders>
              <w:top w:val="nil"/>
              <w:left w:val="single" w:sz="4" w:space="0" w:color="auto"/>
              <w:bottom w:val="nil"/>
              <w:right w:val="nil"/>
            </w:tcBorders>
          </w:tcPr>
          <w:p w14:paraId="31B9F609" w14:textId="77777777" w:rsidR="00EB0BEF" w:rsidRPr="007F131A" w:rsidRDefault="00EB0BEF" w:rsidP="00A0419B">
            <w:pPr>
              <w:spacing w:after="0" w:line="240" w:lineRule="auto"/>
              <w:jc w:val="center"/>
              <w:rPr>
                <w:sz w:val="20"/>
                <w:szCs w:val="20"/>
                <w:lang w:val="en-US"/>
              </w:rPr>
            </w:pPr>
            <w:r w:rsidRPr="007F131A">
              <w:rPr>
                <w:sz w:val="20"/>
                <w:szCs w:val="20"/>
                <w:lang w:val="en-US"/>
              </w:rPr>
              <w:t>300</w:t>
            </w:r>
          </w:p>
        </w:tc>
        <w:tc>
          <w:tcPr>
            <w:tcW w:w="699" w:type="dxa"/>
            <w:tcBorders>
              <w:top w:val="nil"/>
              <w:left w:val="nil"/>
              <w:bottom w:val="nil"/>
              <w:right w:val="single" w:sz="4" w:space="0" w:color="auto"/>
            </w:tcBorders>
          </w:tcPr>
          <w:p w14:paraId="46208472" w14:textId="77777777" w:rsidR="00EB0BEF" w:rsidRPr="007F131A" w:rsidRDefault="00EB0BEF" w:rsidP="00A0419B">
            <w:pPr>
              <w:spacing w:after="0" w:line="240" w:lineRule="auto"/>
              <w:jc w:val="center"/>
              <w:rPr>
                <w:sz w:val="20"/>
                <w:szCs w:val="20"/>
                <w:lang w:val="en-US"/>
              </w:rPr>
            </w:pPr>
            <w:r w:rsidRPr="007F131A">
              <w:rPr>
                <w:sz w:val="20"/>
                <w:szCs w:val="20"/>
                <w:lang w:val="en-US"/>
              </w:rPr>
              <w:t>42.9</w:t>
            </w:r>
          </w:p>
        </w:tc>
        <w:tc>
          <w:tcPr>
            <w:tcW w:w="698" w:type="dxa"/>
            <w:tcBorders>
              <w:top w:val="nil"/>
              <w:left w:val="single" w:sz="4" w:space="0" w:color="auto"/>
              <w:bottom w:val="nil"/>
              <w:right w:val="nil"/>
            </w:tcBorders>
          </w:tcPr>
          <w:p w14:paraId="6885E6B3" w14:textId="77777777" w:rsidR="00EB0BEF" w:rsidRPr="007F131A" w:rsidRDefault="00EB0BEF" w:rsidP="00A0419B">
            <w:pPr>
              <w:spacing w:after="0" w:line="240" w:lineRule="auto"/>
              <w:jc w:val="center"/>
              <w:rPr>
                <w:sz w:val="20"/>
                <w:szCs w:val="20"/>
                <w:lang w:val="en-US"/>
              </w:rPr>
            </w:pPr>
            <w:r w:rsidRPr="007F131A">
              <w:rPr>
                <w:sz w:val="20"/>
                <w:szCs w:val="20"/>
                <w:lang w:val="en-US"/>
              </w:rPr>
              <w:t>400</w:t>
            </w:r>
          </w:p>
        </w:tc>
        <w:tc>
          <w:tcPr>
            <w:tcW w:w="699" w:type="dxa"/>
            <w:tcBorders>
              <w:top w:val="nil"/>
              <w:left w:val="nil"/>
              <w:bottom w:val="nil"/>
              <w:right w:val="single" w:sz="4" w:space="0" w:color="auto"/>
            </w:tcBorders>
          </w:tcPr>
          <w:p w14:paraId="73F04055" w14:textId="77777777" w:rsidR="00EB0BEF" w:rsidRPr="007F131A" w:rsidRDefault="00EB0BEF" w:rsidP="00A0419B">
            <w:pPr>
              <w:spacing w:after="0" w:line="240" w:lineRule="auto"/>
              <w:jc w:val="center"/>
              <w:rPr>
                <w:sz w:val="20"/>
                <w:szCs w:val="20"/>
                <w:lang w:val="en-US"/>
              </w:rPr>
            </w:pPr>
            <w:r w:rsidRPr="007F131A">
              <w:rPr>
                <w:sz w:val="20"/>
                <w:szCs w:val="20"/>
                <w:lang w:val="en-US"/>
              </w:rPr>
              <w:t>57.1</w:t>
            </w:r>
          </w:p>
        </w:tc>
        <w:tc>
          <w:tcPr>
            <w:tcW w:w="698" w:type="dxa"/>
            <w:tcBorders>
              <w:top w:val="nil"/>
              <w:left w:val="single" w:sz="4" w:space="0" w:color="auto"/>
              <w:bottom w:val="nil"/>
              <w:right w:val="nil"/>
            </w:tcBorders>
          </w:tcPr>
          <w:p w14:paraId="62E0FEE1" w14:textId="77777777" w:rsidR="00EB0BEF" w:rsidRPr="007F131A" w:rsidRDefault="00EB0BEF" w:rsidP="00A0419B">
            <w:pPr>
              <w:spacing w:after="0" w:line="240" w:lineRule="auto"/>
              <w:jc w:val="center"/>
              <w:rPr>
                <w:sz w:val="20"/>
                <w:szCs w:val="20"/>
                <w:lang w:val="en-US"/>
              </w:rPr>
            </w:pPr>
            <w:r w:rsidRPr="007F131A">
              <w:rPr>
                <w:sz w:val="20"/>
                <w:szCs w:val="20"/>
                <w:lang w:val="en-US"/>
              </w:rPr>
              <w:t>75</w:t>
            </w:r>
          </w:p>
        </w:tc>
        <w:tc>
          <w:tcPr>
            <w:tcW w:w="699" w:type="dxa"/>
            <w:tcBorders>
              <w:top w:val="nil"/>
              <w:left w:val="nil"/>
              <w:bottom w:val="nil"/>
              <w:right w:val="single" w:sz="4" w:space="0" w:color="auto"/>
            </w:tcBorders>
          </w:tcPr>
          <w:p w14:paraId="6C9EDD45" w14:textId="77777777" w:rsidR="00EB0BEF" w:rsidRPr="007F131A" w:rsidRDefault="00EB0BEF" w:rsidP="00A0419B">
            <w:pPr>
              <w:spacing w:after="0" w:line="240" w:lineRule="auto"/>
              <w:jc w:val="center"/>
              <w:rPr>
                <w:sz w:val="20"/>
                <w:szCs w:val="20"/>
                <w:lang w:val="en-US"/>
              </w:rPr>
            </w:pPr>
            <w:r w:rsidRPr="007F131A">
              <w:rPr>
                <w:sz w:val="20"/>
                <w:szCs w:val="20"/>
                <w:lang w:val="en-US"/>
              </w:rPr>
              <w:t>60.0</w:t>
            </w:r>
          </w:p>
        </w:tc>
        <w:tc>
          <w:tcPr>
            <w:tcW w:w="698" w:type="dxa"/>
            <w:tcBorders>
              <w:top w:val="nil"/>
              <w:left w:val="single" w:sz="4" w:space="0" w:color="auto"/>
              <w:bottom w:val="nil"/>
              <w:right w:val="nil"/>
            </w:tcBorders>
          </w:tcPr>
          <w:p w14:paraId="259B909C" w14:textId="77777777" w:rsidR="00EB0BEF" w:rsidRPr="007F131A" w:rsidRDefault="00EB0BEF" w:rsidP="00A0419B">
            <w:pPr>
              <w:spacing w:after="0" w:line="240" w:lineRule="auto"/>
              <w:jc w:val="center"/>
              <w:rPr>
                <w:sz w:val="20"/>
                <w:szCs w:val="20"/>
                <w:lang w:val="en-US"/>
              </w:rPr>
            </w:pPr>
            <w:r w:rsidRPr="007F131A">
              <w:rPr>
                <w:sz w:val="20"/>
                <w:szCs w:val="20"/>
                <w:lang w:val="en-US"/>
              </w:rPr>
              <w:t>50</w:t>
            </w:r>
          </w:p>
        </w:tc>
        <w:tc>
          <w:tcPr>
            <w:tcW w:w="699" w:type="dxa"/>
            <w:tcBorders>
              <w:top w:val="nil"/>
              <w:left w:val="nil"/>
              <w:bottom w:val="nil"/>
              <w:right w:val="single" w:sz="4" w:space="0" w:color="auto"/>
            </w:tcBorders>
          </w:tcPr>
          <w:p w14:paraId="5C0783EA" w14:textId="77777777" w:rsidR="00EB0BEF" w:rsidRPr="007F131A" w:rsidRDefault="00EB0BEF" w:rsidP="00A0419B">
            <w:pPr>
              <w:spacing w:after="0" w:line="240" w:lineRule="auto"/>
              <w:jc w:val="center"/>
              <w:rPr>
                <w:sz w:val="20"/>
                <w:szCs w:val="20"/>
                <w:lang w:val="en-US"/>
              </w:rPr>
            </w:pPr>
            <w:r w:rsidRPr="007F131A">
              <w:rPr>
                <w:sz w:val="20"/>
                <w:szCs w:val="20"/>
                <w:lang w:val="en-US"/>
              </w:rPr>
              <w:t>40.0</w:t>
            </w:r>
          </w:p>
        </w:tc>
        <w:tc>
          <w:tcPr>
            <w:tcW w:w="698" w:type="dxa"/>
            <w:tcBorders>
              <w:top w:val="nil"/>
              <w:left w:val="single" w:sz="4" w:space="0" w:color="auto"/>
              <w:bottom w:val="nil"/>
              <w:right w:val="nil"/>
            </w:tcBorders>
          </w:tcPr>
          <w:p w14:paraId="275CA0A5" w14:textId="77777777" w:rsidR="00EB0BEF" w:rsidRPr="007F131A" w:rsidRDefault="00EB0BEF" w:rsidP="00A0419B">
            <w:pPr>
              <w:spacing w:after="0" w:line="240" w:lineRule="auto"/>
              <w:jc w:val="center"/>
              <w:rPr>
                <w:sz w:val="20"/>
                <w:szCs w:val="20"/>
                <w:lang w:val="en-US"/>
              </w:rPr>
            </w:pPr>
            <w:r w:rsidRPr="007F131A">
              <w:rPr>
                <w:sz w:val="20"/>
                <w:szCs w:val="20"/>
                <w:lang w:val="en-US"/>
              </w:rPr>
              <w:t>225</w:t>
            </w:r>
          </w:p>
        </w:tc>
        <w:tc>
          <w:tcPr>
            <w:tcW w:w="699" w:type="dxa"/>
            <w:tcBorders>
              <w:top w:val="nil"/>
              <w:left w:val="nil"/>
              <w:bottom w:val="nil"/>
              <w:right w:val="single" w:sz="4" w:space="0" w:color="auto"/>
            </w:tcBorders>
          </w:tcPr>
          <w:p w14:paraId="278B9E5A" w14:textId="77777777" w:rsidR="00EB0BEF" w:rsidRPr="007F131A" w:rsidRDefault="00EB0BEF" w:rsidP="00A0419B">
            <w:pPr>
              <w:spacing w:after="0" w:line="240" w:lineRule="auto"/>
              <w:jc w:val="center"/>
              <w:rPr>
                <w:sz w:val="20"/>
                <w:szCs w:val="20"/>
                <w:lang w:val="en-US"/>
              </w:rPr>
            </w:pPr>
            <w:r w:rsidRPr="007F131A">
              <w:rPr>
                <w:sz w:val="20"/>
                <w:szCs w:val="20"/>
                <w:lang w:val="en-US"/>
              </w:rPr>
              <w:t>39.1</w:t>
            </w:r>
          </w:p>
        </w:tc>
        <w:tc>
          <w:tcPr>
            <w:tcW w:w="698" w:type="dxa"/>
            <w:tcBorders>
              <w:top w:val="nil"/>
              <w:left w:val="single" w:sz="4" w:space="0" w:color="auto"/>
              <w:bottom w:val="nil"/>
              <w:right w:val="nil"/>
            </w:tcBorders>
          </w:tcPr>
          <w:p w14:paraId="3246B651" w14:textId="77777777" w:rsidR="00EB0BEF" w:rsidRPr="007F131A" w:rsidRDefault="00EB0BEF" w:rsidP="00A0419B">
            <w:pPr>
              <w:spacing w:after="0" w:line="240" w:lineRule="auto"/>
              <w:jc w:val="center"/>
              <w:rPr>
                <w:sz w:val="20"/>
                <w:szCs w:val="20"/>
                <w:lang w:val="en-US"/>
              </w:rPr>
            </w:pPr>
            <w:r w:rsidRPr="007F131A">
              <w:rPr>
                <w:sz w:val="20"/>
                <w:szCs w:val="20"/>
                <w:lang w:val="en-US"/>
              </w:rPr>
              <w:t>350</w:t>
            </w:r>
          </w:p>
        </w:tc>
        <w:tc>
          <w:tcPr>
            <w:tcW w:w="699" w:type="dxa"/>
            <w:tcBorders>
              <w:top w:val="nil"/>
              <w:left w:val="nil"/>
              <w:bottom w:val="nil"/>
              <w:right w:val="single" w:sz="4" w:space="0" w:color="auto"/>
            </w:tcBorders>
          </w:tcPr>
          <w:p w14:paraId="5DCD102D" w14:textId="77777777" w:rsidR="00EB0BEF" w:rsidRPr="007F131A" w:rsidRDefault="00EB0BEF" w:rsidP="00A0419B">
            <w:pPr>
              <w:spacing w:after="0" w:line="240" w:lineRule="auto"/>
              <w:jc w:val="center"/>
              <w:rPr>
                <w:sz w:val="20"/>
                <w:szCs w:val="20"/>
                <w:lang w:val="en-US"/>
              </w:rPr>
            </w:pPr>
            <w:r w:rsidRPr="007F131A">
              <w:rPr>
                <w:sz w:val="20"/>
                <w:szCs w:val="20"/>
                <w:lang w:val="en-US"/>
              </w:rPr>
              <w:t>60.9</w:t>
            </w:r>
          </w:p>
        </w:tc>
      </w:tr>
      <w:tr w:rsidR="00EB0BEF" w:rsidRPr="007F131A" w14:paraId="4CEEFAFE" w14:textId="77777777" w:rsidTr="00A0419B">
        <w:tc>
          <w:tcPr>
            <w:tcW w:w="1396" w:type="dxa"/>
            <w:tcBorders>
              <w:top w:val="nil"/>
              <w:left w:val="single" w:sz="4" w:space="0" w:color="auto"/>
              <w:bottom w:val="nil"/>
              <w:right w:val="single" w:sz="4" w:space="0" w:color="auto"/>
            </w:tcBorders>
          </w:tcPr>
          <w:p w14:paraId="5406F172" w14:textId="77777777" w:rsidR="00EB0BEF" w:rsidRPr="007F131A" w:rsidRDefault="00EB0BEF" w:rsidP="00A0419B">
            <w:pPr>
              <w:spacing w:after="0" w:line="240" w:lineRule="auto"/>
              <w:rPr>
                <w:b/>
                <w:sz w:val="20"/>
                <w:szCs w:val="20"/>
                <w:lang w:val="en-US"/>
              </w:rPr>
            </w:pPr>
            <w:r w:rsidRPr="007F131A">
              <w:rPr>
                <w:b/>
                <w:sz w:val="20"/>
                <w:szCs w:val="20"/>
                <w:lang w:val="en-US"/>
              </w:rPr>
              <w:t>FAM</w:t>
            </w:r>
          </w:p>
        </w:tc>
        <w:tc>
          <w:tcPr>
            <w:tcW w:w="698" w:type="dxa"/>
            <w:tcBorders>
              <w:top w:val="nil"/>
              <w:left w:val="single" w:sz="4" w:space="0" w:color="auto"/>
              <w:bottom w:val="nil"/>
              <w:right w:val="nil"/>
            </w:tcBorders>
          </w:tcPr>
          <w:p w14:paraId="296985EC" w14:textId="77777777" w:rsidR="00EB0BEF" w:rsidRPr="007F131A" w:rsidRDefault="00EB0BEF" w:rsidP="00A0419B">
            <w:pPr>
              <w:spacing w:after="0" w:line="240" w:lineRule="auto"/>
              <w:jc w:val="center"/>
              <w:rPr>
                <w:sz w:val="20"/>
                <w:szCs w:val="20"/>
                <w:lang w:val="en-US"/>
              </w:rPr>
            </w:pPr>
            <w:r w:rsidRPr="007F131A">
              <w:rPr>
                <w:sz w:val="20"/>
                <w:szCs w:val="20"/>
                <w:lang w:val="en-US"/>
              </w:rPr>
              <w:t>540</w:t>
            </w:r>
          </w:p>
        </w:tc>
        <w:tc>
          <w:tcPr>
            <w:tcW w:w="699" w:type="dxa"/>
            <w:tcBorders>
              <w:top w:val="nil"/>
              <w:left w:val="nil"/>
              <w:bottom w:val="nil"/>
              <w:right w:val="single" w:sz="4" w:space="0" w:color="auto"/>
            </w:tcBorders>
          </w:tcPr>
          <w:p w14:paraId="50436A9A" w14:textId="77777777" w:rsidR="00EB0BEF" w:rsidRPr="007F131A" w:rsidRDefault="00EB0BEF" w:rsidP="00A0419B">
            <w:pPr>
              <w:spacing w:after="0" w:line="240" w:lineRule="auto"/>
              <w:jc w:val="center"/>
              <w:rPr>
                <w:sz w:val="20"/>
                <w:szCs w:val="20"/>
                <w:lang w:val="en-US"/>
              </w:rPr>
            </w:pPr>
            <w:r w:rsidRPr="007F131A">
              <w:rPr>
                <w:sz w:val="20"/>
                <w:szCs w:val="20"/>
                <w:lang w:val="en-US"/>
              </w:rPr>
              <w:t>77.1</w:t>
            </w:r>
          </w:p>
        </w:tc>
        <w:tc>
          <w:tcPr>
            <w:tcW w:w="698" w:type="dxa"/>
            <w:tcBorders>
              <w:top w:val="nil"/>
              <w:left w:val="single" w:sz="4" w:space="0" w:color="auto"/>
              <w:bottom w:val="nil"/>
              <w:right w:val="nil"/>
            </w:tcBorders>
          </w:tcPr>
          <w:p w14:paraId="455D74CE" w14:textId="77777777" w:rsidR="00EB0BEF" w:rsidRPr="007F131A" w:rsidRDefault="00EB0BEF" w:rsidP="00A0419B">
            <w:pPr>
              <w:spacing w:after="0" w:line="240" w:lineRule="auto"/>
              <w:jc w:val="center"/>
              <w:rPr>
                <w:sz w:val="20"/>
                <w:szCs w:val="20"/>
                <w:lang w:val="en-US"/>
              </w:rPr>
            </w:pPr>
            <w:r w:rsidRPr="007F131A">
              <w:rPr>
                <w:sz w:val="20"/>
                <w:szCs w:val="20"/>
                <w:lang w:val="en-US"/>
              </w:rPr>
              <w:t>160</w:t>
            </w:r>
          </w:p>
        </w:tc>
        <w:tc>
          <w:tcPr>
            <w:tcW w:w="699" w:type="dxa"/>
            <w:tcBorders>
              <w:top w:val="nil"/>
              <w:left w:val="nil"/>
              <w:bottom w:val="nil"/>
              <w:right w:val="single" w:sz="4" w:space="0" w:color="auto"/>
            </w:tcBorders>
          </w:tcPr>
          <w:p w14:paraId="2D56DB07" w14:textId="77777777" w:rsidR="00EB0BEF" w:rsidRPr="007F131A" w:rsidRDefault="00EB0BEF" w:rsidP="00A0419B">
            <w:pPr>
              <w:spacing w:after="0" w:line="240" w:lineRule="auto"/>
              <w:jc w:val="center"/>
              <w:rPr>
                <w:sz w:val="20"/>
                <w:szCs w:val="20"/>
                <w:lang w:val="en-US"/>
              </w:rPr>
            </w:pPr>
            <w:r w:rsidRPr="007F131A">
              <w:rPr>
                <w:sz w:val="20"/>
                <w:szCs w:val="20"/>
                <w:lang w:val="en-US"/>
              </w:rPr>
              <w:t>22.9</w:t>
            </w:r>
          </w:p>
        </w:tc>
        <w:tc>
          <w:tcPr>
            <w:tcW w:w="698" w:type="dxa"/>
            <w:tcBorders>
              <w:top w:val="nil"/>
              <w:left w:val="single" w:sz="4" w:space="0" w:color="auto"/>
              <w:bottom w:val="nil"/>
              <w:right w:val="nil"/>
            </w:tcBorders>
          </w:tcPr>
          <w:p w14:paraId="781D6D5D" w14:textId="77777777" w:rsidR="00EB0BEF" w:rsidRPr="007F131A" w:rsidRDefault="00EB0BEF" w:rsidP="00A0419B">
            <w:pPr>
              <w:spacing w:after="0" w:line="240" w:lineRule="auto"/>
              <w:jc w:val="center"/>
              <w:rPr>
                <w:sz w:val="20"/>
                <w:szCs w:val="20"/>
                <w:lang w:val="en-US"/>
              </w:rPr>
            </w:pPr>
            <w:r w:rsidRPr="007F131A">
              <w:rPr>
                <w:sz w:val="20"/>
                <w:szCs w:val="20"/>
                <w:lang w:val="en-US"/>
              </w:rPr>
              <w:t>105</w:t>
            </w:r>
          </w:p>
        </w:tc>
        <w:tc>
          <w:tcPr>
            <w:tcW w:w="699" w:type="dxa"/>
            <w:tcBorders>
              <w:top w:val="nil"/>
              <w:left w:val="nil"/>
              <w:bottom w:val="nil"/>
              <w:right w:val="single" w:sz="4" w:space="0" w:color="auto"/>
            </w:tcBorders>
          </w:tcPr>
          <w:p w14:paraId="1BF9701D" w14:textId="77777777" w:rsidR="00EB0BEF" w:rsidRPr="007F131A" w:rsidRDefault="00EB0BEF" w:rsidP="00A0419B">
            <w:pPr>
              <w:spacing w:after="0" w:line="240" w:lineRule="auto"/>
              <w:jc w:val="center"/>
              <w:rPr>
                <w:sz w:val="20"/>
                <w:szCs w:val="20"/>
                <w:lang w:val="en-US"/>
              </w:rPr>
            </w:pPr>
            <w:r w:rsidRPr="007F131A">
              <w:rPr>
                <w:sz w:val="20"/>
                <w:szCs w:val="20"/>
                <w:lang w:val="en-US"/>
              </w:rPr>
              <w:t>84.0</w:t>
            </w:r>
          </w:p>
        </w:tc>
        <w:tc>
          <w:tcPr>
            <w:tcW w:w="698" w:type="dxa"/>
            <w:tcBorders>
              <w:top w:val="nil"/>
              <w:left w:val="single" w:sz="4" w:space="0" w:color="auto"/>
              <w:bottom w:val="nil"/>
              <w:right w:val="nil"/>
            </w:tcBorders>
          </w:tcPr>
          <w:p w14:paraId="4B4ECE98" w14:textId="77777777" w:rsidR="00EB0BEF" w:rsidRPr="007F131A" w:rsidRDefault="00EB0BEF" w:rsidP="00A0419B">
            <w:pPr>
              <w:spacing w:after="0" w:line="240" w:lineRule="auto"/>
              <w:jc w:val="center"/>
              <w:rPr>
                <w:sz w:val="20"/>
                <w:szCs w:val="20"/>
                <w:lang w:val="en-US"/>
              </w:rPr>
            </w:pPr>
            <w:r w:rsidRPr="007F131A">
              <w:rPr>
                <w:sz w:val="20"/>
                <w:szCs w:val="20"/>
                <w:lang w:val="en-US"/>
              </w:rPr>
              <w:t>20</w:t>
            </w:r>
          </w:p>
        </w:tc>
        <w:tc>
          <w:tcPr>
            <w:tcW w:w="699" w:type="dxa"/>
            <w:tcBorders>
              <w:top w:val="nil"/>
              <w:left w:val="nil"/>
              <w:bottom w:val="nil"/>
              <w:right w:val="single" w:sz="4" w:space="0" w:color="auto"/>
            </w:tcBorders>
          </w:tcPr>
          <w:p w14:paraId="295870B1" w14:textId="77777777" w:rsidR="00EB0BEF" w:rsidRPr="007F131A" w:rsidRDefault="00EB0BEF" w:rsidP="00A0419B">
            <w:pPr>
              <w:spacing w:after="0" w:line="240" w:lineRule="auto"/>
              <w:jc w:val="center"/>
              <w:rPr>
                <w:sz w:val="20"/>
                <w:szCs w:val="20"/>
                <w:lang w:val="en-US"/>
              </w:rPr>
            </w:pPr>
            <w:r w:rsidRPr="007F131A">
              <w:rPr>
                <w:sz w:val="20"/>
                <w:szCs w:val="20"/>
                <w:lang w:val="en-US"/>
              </w:rPr>
              <w:t>16.0</w:t>
            </w:r>
          </w:p>
        </w:tc>
        <w:tc>
          <w:tcPr>
            <w:tcW w:w="698" w:type="dxa"/>
            <w:tcBorders>
              <w:top w:val="nil"/>
              <w:left w:val="single" w:sz="4" w:space="0" w:color="auto"/>
              <w:bottom w:val="nil"/>
              <w:right w:val="nil"/>
            </w:tcBorders>
          </w:tcPr>
          <w:p w14:paraId="40E7F71D" w14:textId="77777777" w:rsidR="00EB0BEF" w:rsidRPr="007F131A" w:rsidRDefault="00EB0BEF" w:rsidP="00A0419B">
            <w:pPr>
              <w:spacing w:after="0" w:line="240" w:lineRule="auto"/>
              <w:jc w:val="center"/>
              <w:rPr>
                <w:sz w:val="20"/>
                <w:szCs w:val="20"/>
                <w:lang w:val="en-US"/>
              </w:rPr>
            </w:pPr>
            <w:r w:rsidRPr="007F131A">
              <w:rPr>
                <w:sz w:val="20"/>
                <w:szCs w:val="20"/>
                <w:lang w:val="en-US"/>
              </w:rPr>
              <w:t>435</w:t>
            </w:r>
          </w:p>
        </w:tc>
        <w:tc>
          <w:tcPr>
            <w:tcW w:w="699" w:type="dxa"/>
            <w:tcBorders>
              <w:top w:val="nil"/>
              <w:left w:val="nil"/>
              <w:bottom w:val="nil"/>
              <w:right w:val="single" w:sz="4" w:space="0" w:color="auto"/>
            </w:tcBorders>
          </w:tcPr>
          <w:p w14:paraId="1DFFF1F2" w14:textId="77777777" w:rsidR="00EB0BEF" w:rsidRPr="007F131A" w:rsidRDefault="00EB0BEF" w:rsidP="00A0419B">
            <w:pPr>
              <w:spacing w:after="0" w:line="240" w:lineRule="auto"/>
              <w:jc w:val="center"/>
              <w:rPr>
                <w:sz w:val="20"/>
                <w:szCs w:val="20"/>
                <w:lang w:val="en-US"/>
              </w:rPr>
            </w:pPr>
            <w:r w:rsidRPr="007F131A">
              <w:rPr>
                <w:sz w:val="20"/>
                <w:szCs w:val="20"/>
                <w:lang w:val="en-US"/>
              </w:rPr>
              <w:t>75.7</w:t>
            </w:r>
          </w:p>
        </w:tc>
        <w:tc>
          <w:tcPr>
            <w:tcW w:w="698" w:type="dxa"/>
            <w:tcBorders>
              <w:top w:val="nil"/>
              <w:left w:val="single" w:sz="4" w:space="0" w:color="auto"/>
              <w:bottom w:val="nil"/>
              <w:right w:val="nil"/>
            </w:tcBorders>
          </w:tcPr>
          <w:p w14:paraId="7EF1A5A8" w14:textId="77777777" w:rsidR="00EB0BEF" w:rsidRPr="007F131A" w:rsidRDefault="00EB0BEF" w:rsidP="00A0419B">
            <w:pPr>
              <w:spacing w:after="0" w:line="240" w:lineRule="auto"/>
              <w:jc w:val="center"/>
              <w:rPr>
                <w:sz w:val="20"/>
                <w:szCs w:val="20"/>
                <w:lang w:val="en-US"/>
              </w:rPr>
            </w:pPr>
            <w:r w:rsidRPr="007F131A">
              <w:rPr>
                <w:sz w:val="20"/>
                <w:szCs w:val="20"/>
                <w:lang w:val="en-US"/>
              </w:rPr>
              <w:t>140</w:t>
            </w:r>
          </w:p>
        </w:tc>
        <w:tc>
          <w:tcPr>
            <w:tcW w:w="699" w:type="dxa"/>
            <w:tcBorders>
              <w:top w:val="nil"/>
              <w:left w:val="nil"/>
              <w:bottom w:val="nil"/>
              <w:right w:val="single" w:sz="4" w:space="0" w:color="auto"/>
            </w:tcBorders>
          </w:tcPr>
          <w:p w14:paraId="176D0895" w14:textId="77777777" w:rsidR="00EB0BEF" w:rsidRPr="007F131A" w:rsidRDefault="00EB0BEF" w:rsidP="00A0419B">
            <w:pPr>
              <w:spacing w:after="0" w:line="240" w:lineRule="auto"/>
              <w:jc w:val="center"/>
              <w:rPr>
                <w:sz w:val="20"/>
                <w:szCs w:val="20"/>
                <w:lang w:val="en-US"/>
              </w:rPr>
            </w:pPr>
            <w:r w:rsidRPr="007F131A">
              <w:rPr>
                <w:sz w:val="20"/>
                <w:szCs w:val="20"/>
                <w:lang w:val="en-US"/>
              </w:rPr>
              <w:t>24.3</w:t>
            </w:r>
          </w:p>
        </w:tc>
      </w:tr>
      <w:tr w:rsidR="00EB0BEF" w:rsidRPr="007F131A" w14:paraId="6B3FEC5F" w14:textId="77777777" w:rsidTr="00A0419B">
        <w:tc>
          <w:tcPr>
            <w:tcW w:w="1396" w:type="dxa"/>
            <w:tcBorders>
              <w:top w:val="nil"/>
              <w:left w:val="single" w:sz="4" w:space="0" w:color="auto"/>
              <w:bottom w:val="single" w:sz="4" w:space="0" w:color="auto"/>
              <w:right w:val="single" w:sz="4" w:space="0" w:color="auto"/>
            </w:tcBorders>
          </w:tcPr>
          <w:p w14:paraId="071FCB54" w14:textId="77777777" w:rsidR="00EB0BEF" w:rsidRPr="007F131A" w:rsidRDefault="00EB0BEF" w:rsidP="00A0419B">
            <w:pPr>
              <w:spacing w:after="0" w:line="240" w:lineRule="auto"/>
              <w:rPr>
                <w:b/>
                <w:sz w:val="20"/>
                <w:szCs w:val="20"/>
                <w:lang w:val="en-US"/>
              </w:rPr>
            </w:pPr>
            <w:r w:rsidRPr="007F131A">
              <w:rPr>
                <w:b/>
                <w:sz w:val="20"/>
                <w:szCs w:val="20"/>
                <w:lang w:val="en-US"/>
              </w:rPr>
              <w:t>IND</w:t>
            </w:r>
          </w:p>
        </w:tc>
        <w:tc>
          <w:tcPr>
            <w:tcW w:w="698" w:type="dxa"/>
            <w:tcBorders>
              <w:top w:val="nil"/>
              <w:left w:val="single" w:sz="4" w:space="0" w:color="auto"/>
              <w:bottom w:val="single" w:sz="4" w:space="0" w:color="auto"/>
              <w:right w:val="nil"/>
            </w:tcBorders>
          </w:tcPr>
          <w:p w14:paraId="69C7FBF4" w14:textId="77777777" w:rsidR="00EB0BEF" w:rsidRPr="007F131A" w:rsidRDefault="00EB0BEF" w:rsidP="00A0419B">
            <w:pPr>
              <w:spacing w:after="0" w:line="240" w:lineRule="auto"/>
              <w:jc w:val="center"/>
              <w:rPr>
                <w:sz w:val="20"/>
                <w:szCs w:val="20"/>
                <w:lang w:val="en-US"/>
              </w:rPr>
            </w:pPr>
            <w:r w:rsidRPr="007F131A">
              <w:rPr>
                <w:sz w:val="20"/>
                <w:szCs w:val="20"/>
                <w:lang w:val="en-US"/>
              </w:rPr>
              <w:t>575</w:t>
            </w:r>
          </w:p>
        </w:tc>
        <w:tc>
          <w:tcPr>
            <w:tcW w:w="699" w:type="dxa"/>
            <w:tcBorders>
              <w:top w:val="nil"/>
              <w:left w:val="nil"/>
              <w:bottom w:val="single" w:sz="4" w:space="0" w:color="auto"/>
              <w:right w:val="single" w:sz="4" w:space="0" w:color="auto"/>
            </w:tcBorders>
          </w:tcPr>
          <w:p w14:paraId="3819A073" w14:textId="77777777" w:rsidR="00EB0BEF" w:rsidRPr="007F131A" w:rsidRDefault="00EB0BEF" w:rsidP="00A0419B">
            <w:pPr>
              <w:spacing w:after="0" w:line="240" w:lineRule="auto"/>
              <w:jc w:val="center"/>
              <w:rPr>
                <w:sz w:val="20"/>
                <w:szCs w:val="20"/>
                <w:lang w:val="en-US"/>
              </w:rPr>
            </w:pPr>
            <w:r w:rsidRPr="007F131A">
              <w:rPr>
                <w:sz w:val="20"/>
                <w:szCs w:val="20"/>
                <w:lang w:val="en-US"/>
              </w:rPr>
              <w:t>82.1</w:t>
            </w:r>
          </w:p>
        </w:tc>
        <w:tc>
          <w:tcPr>
            <w:tcW w:w="698" w:type="dxa"/>
            <w:tcBorders>
              <w:top w:val="nil"/>
              <w:left w:val="single" w:sz="4" w:space="0" w:color="auto"/>
              <w:bottom w:val="single" w:sz="4" w:space="0" w:color="auto"/>
              <w:right w:val="nil"/>
            </w:tcBorders>
          </w:tcPr>
          <w:p w14:paraId="4A2D2954" w14:textId="77777777" w:rsidR="00EB0BEF" w:rsidRPr="007F131A" w:rsidRDefault="00EB0BEF" w:rsidP="00A0419B">
            <w:pPr>
              <w:spacing w:after="0" w:line="240" w:lineRule="auto"/>
              <w:jc w:val="center"/>
              <w:rPr>
                <w:sz w:val="20"/>
                <w:szCs w:val="20"/>
                <w:lang w:val="en-US"/>
              </w:rPr>
            </w:pPr>
            <w:r w:rsidRPr="007F131A">
              <w:rPr>
                <w:sz w:val="20"/>
                <w:szCs w:val="20"/>
                <w:lang w:val="en-US"/>
              </w:rPr>
              <w:t>125</w:t>
            </w:r>
          </w:p>
        </w:tc>
        <w:tc>
          <w:tcPr>
            <w:tcW w:w="699" w:type="dxa"/>
            <w:tcBorders>
              <w:top w:val="nil"/>
              <w:left w:val="nil"/>
              <w:bottom w:val="single" w:sz="4" w:space="0" w:color="auto"/>
              <w:right w:val="single" w:sz="4" w:space="0" w:color="auto"/>
            </w:tcBorders>
          </w:tcPr>
          <w:p w14:paraId="41975548" w14:textId="77777777" w:rsidR="00EB0BEF" w:rsidRPr="007F131A" w:rsidRDefault="00EB0BEF" w:rsidP="00A0419B">
            <w:pPr>
              <w:spacing w:after="0" w:line="240" w:lineRule="auto"/>
              <w:jc w:val="center"/>
              <w:rPr>
                <w:sz w:val="20"/>
                <w:szCs w:val="20"/>
                <w:lang w:val="en-US"/>
              </w:rPr>
            </w:pPr>
            <w:r w:rsidRPr="007F131A">
              <w:rPr>
                <w:sz w:val="20"/>
                <w:szCs w:val="20"/>
                <w:lang w:val="en-US"/>
              </w:rPr>
              <w:t>17.9</w:t>
            </w:r>
          </w:p>
        </w:tc>
        <w:tc>
          <w:tcPr>
            <w:tcW w:w="698" w:type="dxa"/>
            <w:tcBorders>
              <w:top w:val="nil"/>
              <w:left w:val="single" w:sz="4" w:space="0" w:color="auto"/>
              <w:bottom w:val="single" w:sz="4" w:space="0" w:color="auto"/>
              <w:right w:val="nil"/>
            </w:tcBorders>
          </w:tcPr>
          <w:p w14:paraId="65AF75DC" w14:textId="77777777" w:rsidR="00EB0BEF" w:rsidRPr="007F131A" w:rsidRDefault="00EB0BEF" w:rsidP="00A0419B">
            <w:pPr>
              <w:spacing w:after="0" w:line="240" w:lineRule="auto"/>
              <w:jc w:val="center"/>
              <w:rPr>
                <w:sz w:val="20"/>
                <w:szCs w:val="20"/>
                <w:lang w:val="en-US"/>
              </w:rPr>
            </w:pPr>
            <w:r w:rsidRPr="007F131A">
              <w:rPr>
                <w:sz w:val="20"/>
                <w:szCs w:val="20"/>
                <w:lang w:val="en-US"/>
              </w:rPr>
              <w:t>--</w:t>
            </w:r>
          </w:p>
        </w:tc>
        <w:tc>
          <w:tcPr>
            <w:tcW w:w="699" w:type="dxa"/>
            <w:tcBorders>
              <w:top w:val="nil"/>
              <w:left w:val="nil"/>
              <w:bottom w:val="single" w:sz="4" w:space="0" w:color="auto"/>
              <w:right w:val="single" w:sz="4" w:space="0" w:color="auto"/>
            </w:tcBorders>
          </w:tcPr>
          <w:p w14:paraId="1749566F" w14:textId="77777777" w:rsidR="00EB0BEF" w:rsidRPr="007F131A" w:rsidRDefault="00EB0BEF" w:rsidP="00A0419B">
            <w:pPr>
              <w:spacing w:after="0" w:line="240" w:lineRule="auto"/>
              <w:jc w:val="center"/>
              <w:rPr>
                <w:sz w:val="20"/>
                <w:szCs w:val="20"/>
                <w:lang w:val="en-US"/>
              </w:rPr>
            </w:pPr>
            <w:r w:rsidRPr="007F131A">
              <w:rPr>
                <w:sz w:val="20"/>
                <w:szCs w:val="20"/>
                <w:lang w:val="en-US"/>
              </w:rPr>
              <w:t>--</w:t>
            </w:r>
          </w:p>
        </w:tc>
        <w:tc>
          <w:tcPr>
            <w:tcW w:w="698" w:type="dxa"/>
            <w:tcBorders>
              <w:top w:val="nil"/>
              <w:left w:val="single" w:sz="4" w:space="0" w:color="auto"/>
              <w:bottom w:val="single" w:sz="4" w:space="0" w:color="auto"/>
              <w:right w:val="nil"/>
            </w:tcBorders>
          </w:tcPr>
          <w:p w14:paraId="7385AE2C" w14:textId="77777777" w:rsidR="00EB0BEF" w:rsidRPr="007F131A" w:rsidRDefault="00EB0BEF" w:rsidP="00A0419B">
            <w:pPr>
              <w:spacing w:after="0" w:line="240" w:lineRule="auto"/>
              <w:jc w:val="center"/>
              <w:rPr>
                <w:sz w:val="20"/>
                <w:szCs w:val="20"/>
                <w:lang w:val="en-US"/>
              </w:rPr>
            </w:pPr>
            <w:r w:rsidRPr="007F131A">
              <w:rPr>
                <w:sz w:val="20"/>
                <w:szCs w:val="20"/>
                <w:lang w:val="en-US"/>
              </w:rPr>
              <w:t>--</w:t>
            </w:r>
          </w:p>
        </w:tc>
        <w:tc>
          <w:tcPr>
            <w:tcW w:w="699" w:type="dxa"/>
            <w:tcBorders>
              <w:top w:val="nil"/>
              <w:left w:val="nil"/>
              <w:bottom w:val="single" w:sz="4" w:space="0" w:color="auto"/>
              <w:right w:val="single" w:sz="4" w:space="0" w:color="auto"/>
            </w:tcBorders>
          </w:tcPr>
          <w:p w14:paraId="6A77C39F" w14:textId="77777777" w:rsidR="00EB0BEF" w:rsidRPr="007F131A" w:rsidRDefault="00EB0BEF" w:rsidP="00A0419B">
            <w:pPr>
              <w:spacing w:after="0" w:line="240" w:lineRule="auto"/>
              <w:jc w:val="center"/>
              <w:rPr>
                <w:sz w:val="20"/>
                <w:szCs w:val="20"/>
                <w:lang w:val="en-US"/>
              </w:rPr>
            </w:pPr>
            <w:r w:rsidRPr="007F131A">
              <w:rPr>
                <w:sz w:val="20"/>
                <w:szCs w:val="20"/>
                <w:lang w:val="en-US"/>
              </w:rPr>
              <w:t>--</w:t>
            </w:r>
          </w:p>
        </w:tc>
        <w:tc>
          <w:tcPr>
            <w:tcW w:w="698" w:type="dxa"/>
            <w:tcBorders>
              <w:top w:val="nil"/>
              <w:left w:val="single" w:sz="4" w:space="0" w:color="auto"/>
              <w:bottom w:val="single" w:sz="4" w:space="0" w:color="auto"/>
              <w:right w:val="nil"/>
            </w:tcBorders>
          </w:tcPr>
          <w:p w14:paraId="0F988B7F" w14:textId="77777777" w:rsidR="00EB0BEF" w:rsidRPr="007F131A" w:rsidRDefault="00EB0BEF" w:rsidP="00A0419B">
            <w:pPr>
              <w:spacing w:after="0" w:line="240" w:lineRule="auto"/>
              <w:jc w:val="center"/>
              <w:rPr>
                <w:sz w:val="20"/>
                <w:szCs w:val="20"/>
                <w:lang w:val="en-US"/>
              </w:rPr>
            </w:pPr>
            <w:r w:rsidRPr="007F131A">
              <w:rPr>
                <w:sz w:val="20"/>
                <w:szCs w:val="20"/>
                <w:lang w:val="en-US"/>
              </w:rPr>
              <w:t>---</w:t>
            </w:r>
          </w:p>
        </w:tc>
        <w:tc>
          <w:tcPr>
            <w:tcW w:w="699" w:type="dxa"/>
            <w:tcBorders>
              <w:top w:val="nil"/>
              <w:left w:val="nil"/>
              <w:bottom w:val="single" w:sz="4" w:space="0" w:color="auto"/>
              <w:right w:val="single" w:sz="4" w:space="0" w:color="auto"/>
            </w:tcBorders>
          </w:tcPr>
          <w:p w14:paraId="6A2C4DB8" w14:textId="77777777" w:rsidR="00EB0BEF" w:rsidRPr="007F131A" w:rsidRDefault="00EB0BEF" w:rsidP="00A0419B">
            <w:pPr>
              <w:spacing w:after="0" w:line="240" w:lineRule="auto"/>
              <w:jc w:val="center"/>
              <w:rPr>
                <w:sz w:val="20"/>
                <w:szCs w:val="20"/>
                <w:lang w:val="en-US"/>
              </w:rPr>
            </w:pPr>
            <w:r w:rsidRPr="007F131A">
              <w:rPr>
                <w:sz w:val="20"/>
                <w:szCs w:val="20"/>
                <w:lang w:val="en-US"/>
              </w:rPr>
              <w:t>---</w:t>
            </w:r>
          </w:p>
        </w:tc>
        <w:tc>
          <w:tcPr>
            <w:tcW w:w="698" w:type="dxa"/>
            <w:tcBorders>
              <w:top w:val="nil"/>
              <w:left w:val="single" w:sz="4" w:space="0" w:color="auto"/>
              <w:bottom w:val="single" w:sz="4" w:space="0" w:color="auto"/>
              <w:right w:val="nil"/>
            </w:tcBorders>
          </w:tcPr>
          <w:p w14:paraId="40AE69BB" w14:textId="77777777" w:rsidR="00EB0BEF" w:rsidRPr="007F131A" w:rsidRDefault="00EB0BEF" w:rsidP="00A0419B">
            <w:pPr>
              <w:spacing w:after="0" w:line="240" w:lineRule="auto"/>
              <w:jc w:val="center"/>
              <w:rPr>
                <w:sz w:val="20"/>
                <w:szCs w:val="20"/>
                <w:lang w:val="en-US"/>
              </w:rPr>
            </w:pPr>
            <w:r w:rsidRPr="007F131A">
              <w:rPr>
                <w:sz w:val="20"/>
                <w:szCs w:val="20"/>
                <w:lang w:val="en-US"/>
              </w:rPr>
              <w:t>---</w:t>
            </w:r>
          </w:p>
        </w:tc>
        <w:tc>
          <w:tcPr>
            <w:tcW w:w="699" w:type="dxa"/>
            <w:tcBorders>
              <w:top w:val="nil"/>
              <w:left w:val="nil"/>
              <w:bottom w:val="single" w:sz="4" w:space="0" w:color="auto"/>
              <w:right w:val="single" w:sz="4" w:space="0" w:color="auto"/>
            </w:tcBorders>
          </w:tcPr>
          <w:p w14:paraId="7E1AF542" w14:textId="77777777" w:rsidR="00EB0BEF" w:rsidRPr="007F131A" w:rsidRDefault="00EB0BEF" w:rsidP="00A0419B">
            <w:pPr>
              <w:spacing w:after="0" w:line="240" w:lineRule="auto"/>
              <w:jc w:val="center"/>
              <w:rPr>
                <w:sz w:val="20"/>
                <w:szCs w:val="20"/>
                <w:lang w:val="en-US"/>
              </w:rPr>
            </w:pPr>
            <w:r w:rsidRPr="007F131A">
              <w:rPr>
                <w:sz w:val="20"/>
                <w:szCs w:val="20"/>
                <w:lang w:val="en-US"/>
              </w:rPr>
              <w:t>---</w:t>
            </w:r>
          </w:p>
        </w:tc>
      </w:tr>
    </w:tbl>
    <w:p w14:paraId="0E5BDB0C" w14:textId="77777777" w:rsidR="00EB0BEF" w:rsidRPr="007F131A" w:rsidRDefault="00EB0BEF" w:rsidP="00EB0BEF">
      <w:pPr>
        <w:spacing w:after="0" w:line="240" w:lineRule="auto"/>
        <w:rPr>
          <w:rFonts w:asciiTheme="minorHAnsi" w:hAnsiTheme="minorHAnsi"/>
          <w:b/>
          <w:sz w:val="24"/>
          <w:szCs w:val="24"/>
          <w:lang w:val="en-US"/>
        </w:rPr>
      </w:pPr>
    </w:p>
    <w:p w14:paraId="74EF0970" w14:textId="77777777" w:rsidR="00EB0BEF" w:rsidRPr="007F131A" w:rsidRDefault="00EB0BEF" w:rsidP="00EB0BEF">
      <w:pPr>
        <w:spacing w:after="0" w:line="240" w:lineRule="auto"/>
        <w:rPr>
          <w:rFonts w:asciiTheme="minorHAnsi" w:hAnsiTheme="minorHAnsi"/>
          <w:b/>
          <w:sz w:val="24"/>
          <w:szCs w:val="24"/>
          <w:lang w:val="en-US"/>
        </w:rPr>
      </w:pPr>
      <w:r w:rsidRPr="007F131A">
        <w:rPr>
          <w:rFonts w:asciiTheme="minorHAnsi" w:hAnsiTheme="minorHAnsi"/>
          <w:b/>
          <w:sz w:val="24"/>
          <w:szCs w:val="24"/>
          <w:lang w:val="en-US"/>
        </w:rPr>
        <w:br w:type="page"/>
      </w:r>
    </w:p>
    <w:p w14:paraId="114A02BB" w14:textId="77777777" w:rsidR="00EB0BEF" w:rsidRPr="007F131A" w:rsidRDefault="00EB0BEF" w:rsidP="00EB0BEF">
      <w:pPr>
        <w:spacing w:after="0" w:line="240" w:lineRule="auto"/>
        <w:rPr>
          <w:rFonts w:asciiTheme="minorHAnsi" w:hAnsiTheme="minorHAnsi"/>
          <w:b/>
          <w:sz w:val="24"/>
          <w:szCs w:val="24"/>
          <w:lang w:val="en-US"/>
        </w:rPr>
      </w:pPr>
      <w:r w:rsidRPr="007F131A">
        <w:rPr>
          <w:rFonts w:asciiTheme="minorHAnsi" w:hAnsiTheme="minorHAnsi"/>
          <w:b/>
          <w:sz w:val="24"/>
          <w:szCs w:val="24"/>
          <w:lang w:val="en-US"/>
        </w:rPr>
        <w:lastRenderedPageBreak/>
        <w:t xml:space="preserve">Table VII. Correlation matrix for full sample (700 observations) </w:t>
      </w:r>
    </w:p>
    <w:p w14:paraId="5F5768EB" w14:textId="77777777" w:rsidR="00EB0BEF" w:rsidRPr="007F131A" w:rsidRDefault="00EB0BEF" w:rsidP="00EB0BEF">
      <w:pPr>
        <w:spacing w:after="0" w:line="240" w:lineRule="auto"/>
        <w:rPr>
          <w:rFonts w:asciiTheme="minorHAnsi" w:hAnsiTheme="minorHAnsi"/>
          <w:sz w:val="16"/>
          <w:szCs w:val="16"/>
          <w:lang w:val="en-US"/>
        </w:rPr>
      </w:pPr>
    </w:p>
    <w:tbl>
      <w:tblPr>
        <w:tblStyle w:val="TableGrid"/>
        <w:tblW w:w="423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43"/>
        <w:gridCol w:w="743"/>
        <w:gridCol w:w="742"/>
        <w:gridCol w:w="742"/>
        <w:gridCol w:w="742"/>
        <w:gridCol w:w="742"/>
        <w:gridCol w:w="742"/>
        <w:gridCol w:w="742"/>
        <w:gridCol w:w="742"/>
        <w:gridCol w:w="742"/>
        <w:gridCol w:w="734"/>
      </w:tblGrid>
      <w:tr w:rsidR="00EB0BEF" w:rsidRPr="007F131A" w14:paraId="07211B66" w14:textId="77777777" w:rsidTr="00A0419B">
        <w:trPr>
          <w:trHeight w:val="237"/>
          <w:jc w:val="right"/>
        </w:trPr>
        <w:tc>
          <w:tcPr>
            <w:tcW w:w="455" w:type="pct"/>
            <w:tcBorders>
              <w:bottom w:val="single" w:sz="4" w:space="0" w:color="auto"/>
              <w:right w:val="single" w:sz="4" w:space="0" w:color="auto"/>
            </w:tcBorders>
            <w:tcMar>
              <w:left w:w="28" w:type="dxa"/>
              <w:right w:w="28" w:type="dxa"/>
            </w:tcMar>
          </w:tcPr>
          <w:p w14:paraId="3760E6EC" w14:textId="77777777" w:rsidR="00EB0BEF" w:rsidRPr="007F131A" w:rsidRDefault="00EB0BEF" w:rsidP="00A0419B">
            <w:pPr>
              <w:spacing w:after="0" w:line="240" w:lineRule="auto"/>
              <w:jc w:val="center"/>
              <w:rPr>
                <w:rFonts w:cs="Times New Roman"/>
                <w:sz w:val="18"/>
                <w:szCs w:val="18"/>
                <w:lang w:val="en-US"/>
              </w:rPr>
            </w:pPr>
          </w:p>
        </w:tc>
        <w:tc>
          <w:tcPr>
            <w:tcW w:w="455" w:type="pct"/>
            <w:tcBorders>
              <w:left w:val="single" w:sz="4" w:space="0" w:color="auto"/>
              <w:bottom w:val="single" w:sz="4" w:space="0" w:color="auto"/>
            </w:tcBorders>
            <w:tcMar>
              <w:left w:w="28" w:type="dxa"/>
              <w:right w:w="28" w:type="dxa"/>
            </w:tcMar>
          </w:tcPr>
          <w:p w14:paraId="1B87C6A0"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MTB</w:t>
            </w:r>
          </w:p>
        </w:tc>
        <w:tc>
          <w:tcPr>
            <w:tcW w:w="455" w:type="pct"/>
            <w:tcBorders>
              <w:bottom w:val="single" w:sz="4" w:space="0" w:color="auto"/>
            </w:tcBorders>
            <w:tcMar>
              <w:left w:w="28" w:type="dxa"/>
              <w:right w:w="28" w:type="dxa"/>
            </w:tcMar>
          </w:tcPr>
          <w:p w14:paraId="42DBA844"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TINT</w:t>
            </w:r>
          </w:p>
        </w:tc>
        <w:tc>
          <w:tcPr>
            <w:tcW w:w="455" w:type="pct"/>
            <w:tcBorders>
              <w:bottom w:val="single" w:sz="4" w:space="0" w:color="auto"/>
            </w:tcBorders>
            <w:tcMar>
              <w:left w:w="28" w:type="dxa"/>
              <w:right w:w="28" w:type="dxa"/>
            </w:tcMar>
          </w:tcPr>
          <w:p w14:paraId="7FD2FEC2"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SIZE</w:t>
            </w:r>
          </w:p>
        </w:tc>
        <w:tc>
          <w:tcPr>
            <w:tcW w:w="455" w:type="pct"/>
            <w:tcBorders>
              <w:bottom w:val="single" w:sz="4" w:space="0" w:color="auto"/>
            </w:tcBorders>
            <w:tcMar>
              <w:left w:w="28" w:type="dxa"/>
              <w:right w:w="28" w:type="dxa"/>
            </w:tcMar>
          </w:tcPr>
          <w:p w14:paraId="5C84524F"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AGE</w:t>
            </w:r>
          </w:p>
        </w:tc>
        <w:tc>
          <w:tcPr>
            <w:tcW w:w="455" w:type="pct"/>
            <w:tcBorders>
              <w:bottom w:val="single" w:sz="4" w:space="0" w:color="auto"/>
            </w:tcBorders>
            <w:tcMar>
              <w:left w:w="28" w:type="dxa"/>
              <w:right w:w="28" w:type="dxa"/>
            </w:tcMar>
          </w:tcPr>
          <w:p w14:paraId="5B568806"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ROE</w:t>
            </w:r>
          </w:p>
        </w:tc>
        <w:tc>
          <w:tcPr>
            <w:tcW w:w="455" w:type="pct"/>
            <w:tcBorders>
              <w:bottom w:val="single" w:sz="4" w:space="0" w:color="auto"/>
            </w:tcBorders>
            <w:tcMar>
              <w:left w:w="28" w:type="dxa"/>
              <w:right w:w="28" w:type="dxa"/>
            </w:tcMar>
          </w:tcPr>
          <w:p w14:paraId="21AD3A87"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DE</w:t>
            </w:r>
          </w:p>
        </w:tc>
        <w:tc>
          <w:tcPr>
            <w:tcW w:w="455" w:type="pct"/>
            <w:tcBorders>
              <w:bottom w:val="single" w:sz="4" w:space="0" w:color="auto"/>
            </w:tcBorders>
            <w:tcMar>
              <w:left w:w="28" w:type="dxa"/>
              <w:right w:w="28" w:type="dxa"/>
            </w:tcMar>
          </w:tcPr>
          <w:p w14:paraId="0DAB198C"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IND</w:t>
            </w:r>
          </w:p>
        </w:tc>
        <w:tc>
          <w:tcPr>
            <w:tcW w:w="455" w:type="pct"/>
            <w:tcBorders>
              <w:bottom w:val="single" w:sz="4" w:space="0" w:color="auto"/>
            </w:tcBorders>
            <w:tcMar>
              <w:left w:w="28" w:type="dxa"/>
              <w:right w:w="28" w:type="dxa"/>
            </w:tcMar>
          </w:tcPr>
          <w:p w14:paraId="77FFD4CA"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AUDIT</w:t>
            </w:r>
          </w:p>
        </w:tc>
        <w:tc>
          <w:tcPr>
            <w:tcW w:w="455" w:type="pct"/>
            <w:tcBorders>
              <w:bottom w:val="single" w:sz="4" w:space="0" w:color="auto"/>
            </w:tcBorders>
            <w:tcMar>
              <w:left w:w="28" w:type="dxa"/>
              <w:right w:w="28" w:type="dxa"/>
            </w:tcMar>
          </w:tcPr>
          <w:p w14:paraId="2C934DC8"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OWN</w:t>
            </w:r>
          </w:p>
        </w:tc>
        <w:tc>
          <w:tcPr>
            <w:tcW w:w="450" w:type="pct"/>
            <w:tcBorders>
              <w:bottom w:val="single" w:sz="4" w:space="0" w:color="auto"/>
            </w:tcBorders>
            <w:tcMar>
              <w:left w:w="28" w:type="dxa"/>
              <w:right w:w="28" w:type="dxa"/>
            </w:tcMar>
          </w:tcPr>
          <w:p w14:paraId="2A1BCA00"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FAM</w:t>
            </w:r>
          </w:p>
        </w:tc>
      </w:tr>
      <w:tr w:rsidR="00EB0BEF" w:rsidRPr="007F131A" w14:paraId="18549238" w14:textId="77777777" w:rsidTr="00A0419B">
        <w:trPr>
          <w:trHeight w:val="251"/>
          <w:jc w:val="right"/>
        </w:trPr>
        <w:tc>
          <w:tcPr>
            <w:tcW w:w="455" w:type="pct"/>
            <w:tcBorders>
              <w:top w:val="single" w:sz="4" w:space="0" w:color="auto"/>
              <w:right w:val="single" w:sz="4" w:space="0" w:color="auto"/>
            </w:tcBorders>
            <w:tcMar>
              <w:left w:w="28" w:type="dxa"/>
              <w:right w:w="28" w:type="dxa"/>
            </w:tcMar>
          </w:tcPr>
          <w:p w14:paraId="1C24D0C7"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MTB</w:t>
            </w:r>
          </w:p>
        </w:tc>
        <w:tc>
          <w:tcPr>
            <w:tcW w:w="455" w:type="pct"/>
            <w:tcBorders>
              <w:top w:val="single" w:sz="4" w:space="0" w:color="auto"/>
              <w:left w:val="single" w:sz="4" w:space="0" w:color="auto"/>
            </w:tcBorders>
            <w:tcMar>
              <w:left w:w="28" w:type="dxa"/>
              <w:right w:w="28" w:type="dxa"/>
            </w:tcMar>
          </w:tcPr>
          <w:p w14:paraId="4B6A2906"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1</w:t>
            </w:r>
          </w:p>
        </w:tc>
        <w:tc>
          <w:tcPr>
            <w:tcW w:w="455" w:type="pct"/>
            <w:tcBorders>
              <w:top w:val="single" w:sz="4" w:space="0" w:color="auto"/>
            </w:tcBorders>
            <w:tcMar>
              <w:left w:w="28" w:type="dxa"/>
              <w:right w:w="28" w:type="dxa"/>
            </w:tcMar>
          </w:tcPr>
          <w:p w14:paraId="42B4B700"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0.224</w:t>
            </w:r>
            <w:r w:rsidRPr="007F131A">
              <w:rPr>
                <w:rFonts w:ascii="Arial" w:eastAsia="Times New Roman" w:hAnsi="Arial" w:cs="Arial"/>
                <w:sz w:val="18"/>
                <w:szCs w:val="18"/>
                <w:vertAlign w:val="superscript"/>
              </w:rPr>
              <w:t>**</w:t>
            </w:r>
          </w:p>
        </w:tc>
        <w:tc>
          <w:tcPr>
            <w:tcW w:w="455" w:type="pct"/>
            <w:tcBorders>
              <w:top w:val="single" w:sz="4" w:space="0" w:color="auto"/>
            </w:tcBorders>
            <w:tcMar>
              <w:left w:w="28" w:type="dxa"/>
              <w:right w:w="28" w:type="dxa"/>
            </w:tcMar>
          </w:tcPr>
          <w:p w14:paraId="29DD637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-0.043</w:t>
            </w:r>
          </w:p>
        </w:tc>
        <w:tc>
          <w:tcPr>
            <w:tcW w:w="455" w:type="pct"/>
            <w:tcBorders>
              <w:top w:val="single" w:sz="4" w:space="0" w:color="auto"/>
            </w:tcBorders>
            <w:tcMar>
              <w:left w:w="28" w:type="dxa"/>
              <w:right w:w="28" w:type="dxa"/>
            </w:tcMar>
          </w:tcPr>
          <w:p w14:paraId="2D3D148F"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-0.258</w:t>
            </w:r>
            <w:r w:rsidRPr="007F131A">
              <w:rPr>
                <w:rFonts w:ascii="Arial" w:eastAsia="Times New Roman" w:hAnsi="Arial" w:cs="Arial"/>
                <w:sz w:val="18"/>
                <w:szCs w:val="18"/>
                <w:vertAlign w:val="superscript"/>
              </w:rPr>
              <w:t>**</w:t>
            </w:r>
          </w:p>
        </w:tc>
        <w:tc>
          <w:tcPr>
            <w:tcW w:w="455" w:type="pct"/>
            <w:tcBorders>
              <w:top w:val="single" w:sz="4" w:space="0" w:color="auto"/>
            </w:tcBorders>
            <w:tcMar>
              <w:left w:w="28" w:type="dxa"/>
              <w:right w:w="28" w:type="dxa"/>
            </w:tcMar>
          </w:tcPr>
          <w:p w14:paraId="1B4A8D5D"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0.349</w:t>
            </w:r>
            <w:r w:rsidRPr="007F131A">
              <w:rPr>
                <w:rFonts w:ascii="Arial" w:eastAsia="Times New Roman" w:hAnsi="Arial" w:cs="Arial"/>
                <w:sz w:val="18"/>
                <w:szCs w:val="18"/>
                <w:vertAlign w:val="superscript"/>
              </w:rPr>
              <w:t>**</w:t>
            </w:r>
          </w:p>
        </w:tc>
        <w:tc>
          <w:tcPr>
            <w:tcW w:w="455" w:type="pct"/>
            <w:tcBorders>
              <w:top w:val="single" w:sz="4" w:space="0" w:color="auto"/>
            </w:tcBorders>
            <w:tcMar>
              <w:left w:w="28" w:type="dxa"/>
              <w:right w:w="28" w:type="dxa"/>
            </w:tcMar>
          </w:tcPr>
          <w:p w14:paraId="161DF357"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0.050</w:t>
            </w:r>
          </w:p>
        </w:tc>
        <w:tc>
          <w:tcPr>
            <w:tcW w:w="455" w:type="pct"/>
            <w:tcBorders>
              <w:top w:val="single" w:sz="4" w:space="0" w:color="auto"/>
            </w:tcBorders>
            <w:tcMar>
              <w:left w:w="28" w:type="dxa"/>
              <w:right w:w="28" w:type="dxa"/>
            </w:tcMar>
          </w:tcPr>
          <w:p w14:paraId="160D202F"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0.146</w:t>
            </w:r>
            <w:r w:rsidRPr="007F131A">
              <w:rPr>
                <w:rFonts w:ascii="Arial" w:eastAsia="Times New Roman" w:hAnsi="Arial" w:cs="Arial"/>
                <w:sz w:val="18"/>
                <w:szCs w:val="18"/>
                <w:vertAlign w:val="superscript"/>
              </w:rPr>
              <w:t>**</w:t>
            </w:r>
          </w:p>
        </w:tc>
        <w:tc>
          <w:tcPr>
            <w:tcW w:w="455" w:type="pct"/>
            <w:tcBorders>
              <w:top w:val="single" w:sz="4" w:space="0" w:color="auto"/>
            </w:tcBorders>
            <w:tcMar>
              <w:left w:w="28" w:type="dxa"/>
              <w:right w:w="28" w:type="dxa"/>
            </w:tcMar>
          </w:tcPr>
          <w:p w14:paraId="10985ACF"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0.078</w:t>
            </w:r>
            <w:r w:rsidRPr="007F131A">
              <w:rPr>
                <w:rFonts w:ascii="Arial" w:eastAsia="Times New Roman" w:hAnsi="Arial" w:cs="Arial"/>
                <w:sz w:val="18"/>
                <w:szCs w:val="18"/>
                <w:vertAlign w:val="superscript"/>
              </w:rPr>
              <w:t>*</w:t>
            </w:r>
          </w:p>
        </w:tc>
        <w:tc>
          <w:tcPr>
            <w:tcW w:w="455" w:type="pct"/>
            <w:tcBorders>
              <w:top w:val="single" w:sz="4" w:space="0" w:color="auto"/>
            </w:tcBorders>
            <w:tcMar>
              <w:left w:w="28" w:type="dxa"/>
              <w:right w:w="28" w:type="dxa"/>
            </w:tcMar>
          </w:tcPr>
          <w:p w14:paraId="3FE05F5C"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0.051</w:t>
            </w:r>
          </w:p>
        </w:tc>
        <w:tc>
          <w:tcPr>
            <w:tcW w:w="450" w:type="pct"/>
            <w:tcBorders>
              <w:top w:val="single" w:sz="4" w:space="0" w:color="auto"/>
            </w:tcBorders>
            <w:tcMar>
              <w:left w:w="28" w:type="dxa"/>
              <w:right w:w="28" w:type="dxa"/>
            </w:tcMar>
          </w:tcPr>
          <w:p w14:paraId="1DB7340D"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0.096</w:t>
            </w:r>
            <w:r w:rsidRPr="007F131A">
              <w:rPr>
                <w:rFonts w:ascii="Arial" w:eastAsia="Times New Roman" w:hAnsi="Arial" w:cs="Arial"/>
                <w:sz w:val="18"/>
                <w:szCs w:val="18"/>
                <w:vertAlign w:val="superscript"/>
              </w:rPr>
              <w:t>*</w:t>
            </w:r>
          </w:p>
        </w:tc>
      </w:tr>
      <w:tr w:rsidR="00EB0BEF" w:rsidRPr="007F131A" w14:paraId="604AA307" w14:textId="77777777" w:rsidTr="00A0419B">
        <w:trPr>
          <w:trHeight w:val="250"/>
          <w:jc w:val="right"/>
        </w:trPr>
        <w:tc>
          <w:tcPr>
            <w:tcW w:w="455" w:type="pct"/>
            <w:tcBorders>
              <w:right w:val="single" w:sz="4" w:space="0" w:color="auto"/>
            </w:tcBorders>
            <w:tcMar>
              <w:left w:w="28" w:type="dxa"/>
              <w:right w:w="28" w:type="dxa"/>
            </w:tcMar>
          </w:tcPr>
          <w:p w14:paraId="7F7A2A5C" w14:textId="77777777" w:rsidR="00EB0BEF" w:rsidRPr="007F131A" w:rsidRDefault="00EB0BEF" w:rsidP="00A0419B">
            <w:pPr>
              <w:spacing w:after="0" w:line="240" w:lineRule="auto"/>
              <w:jc w:val="center"/>
              <w:rPr>
                <w:rFonts w:cs="Times New Roman"/>
                <w:b/>
                <w:i/>
                <w:sz w:val="18"/>
                <w:szCs w:val="18"/>
                <w:lang w:val="en-US"/>
              </w:rPr>
            </w:pPr>
          </w:p>
        </w:tc>
        <w:tc>
          <w:tcPr>
            <w:tcW w:w="455" w:type="pct"/>
            <w:tcBorders>
              <w:left w:val="single" w:sz="4" w:space="0" w:color="auto"/>
            </w:tcBorders>
            <w:tcMar>
              <w:left w:w="28" w:type="dxa"/>
              <w:right w:w="28" w:type="dxa"/>
            </w:tcMar>
          </w:tcPr>
          <w:p w14:paraId="0CB7F839"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i/>
                <w:sz w:val="18"/>
                <w:szCs w:val="18"/>
              </w:rPr>
              <w:t> </w:t>
            </w:r>
          </w:p>
        </w:tc>
        <w:tc>
          <w:tcPr>
            <w:tcW w:w="455" w:type="pct"/>
            <w:tcMar>
              <w:left w:w="28" w:type="dxa"/>
              <w:right w:w="28" w:type="dxa"/>
            </w:tcMar>
          </w:tcPr>
          <w:p w14:paraId="08BA4C4C"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6E0DABD1"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0.253</w:t>
            </w:r>
          </w:p>
        </w:tc>
        <w:tc>
          <w:tcPr>
            <w:tcW w:w="455" w:type="pct"/>
            <w:tcMar>
              <w:left w:w="28" w:type="dxa"/>
              <w:right w:w="28" w:type="dxa"/>
            </w:tcMar>
          </w:tcPr>
          <w:p w14:paraId="1D855136"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1E8947D5"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1395673C"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0.187</w:t>
            </w:r>
          </w:p>
        </w:tc>
        <w:tc>
          <w:tcPr>
            <w:tcW w:w="455" w:type="pct"/>
            <w:tcMar>
              <w:left w:w="28" w:type="dxa"/>
              <w:right w:w="28" w:type="dxa"/>
            </w:tcMar>
          </w:tcPr>
          <w:p w14:paraId="65A62CC1"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330FDEA7"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0.038</w:t>
            </w:r>
          </w:p>
        </w:tc>
        <w:tc>
          <w:tcPr>
            <w:tcW w:w="455" w:type="pct"/>
            <w:tcMar>
              <w:left w:w="28" w:type="dxa"/>
              <w:right w:w="28" w:type="dxa"/>
            </w:tcMar>
          </w:tcPr>
          <w:p w14:paraId="02DD6DC9"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0.181</w:t>
            </w:r>
          </w:p>
        </w:tc>
        <w:tc>
          <w:tcPr>
            <w:tcW w:w="450" w:type="pct"/>
            <w:tcMar>
              <w:left w:w="28" w:type="dxa"/>
              <w:right w:w="28" w:type="dxa"/>
            </w:tcMar>
          </w:tcPr>
          <w:p w14:paraId="03C96594"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0.011</w:t>
            </w:r>
          </w:p>
        </w:tc>
      </w:tr>
      <w:tr w:rsidR="00EB0BEF" w:rsidRPr="007F131A" w14:paraId="052030E1" w14:textId="77777777" w:rsidTr="00A0419B">
        <w:trPr>
          <w:jc w:val="right"/>
        </w:trPr>
        <w:tc>
          <w:tcPr>
            <w:tcW w:w="455" w:type="pct"/>
            <w:tcBorders>
              <w:right w:val="single" w:sz="4" w:space="0" w:color="auto"/>
            </w:tcBorders>
            <w:tcMar>
              <w:left w:w="28" w:type="dxa"/>
              <w:right w:w="28" w:type="dxa"/>
            </w:tcMar>
          </w:tcPr>
          <w:p w14:paraId="2A5D2039"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TINT</w:t>
            </w:r>
          </w:p>
        </w:tc>
        <w:tc>
          <w:tcPr>
            <w:tcW w:w="455" w:type="pct"/>
            <w:tcBorders>
              <w:left w:val="single" w:sz="4" w:space="0" w:color="auto"/>
            </w:tcBorders>
            <w:tcMar>
              <w:left w:w="28" w:type="dxa"/>
              <w:right w:w="28" w:type="dxa"/>
            </w:tcMar>
          </w:tcPr>
          <w:p w14:paraId="51A9E959"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0.084</w:t>
            </w:r>
            <w:r w:rsidRPr="007F131A">
              <w:rPr>
                <w:rFonts w:ascii="Arial" w:eastAsia="Times New Roman" w:hAnsi="Arial" w:cs="Arial"/>
                <w:sz w:val="18"/>
                <w:szCs w:val="18"/>
                <w:vertAlign w:val="superscript"/>
              </w:rPr>
              <w:t>*</w:t>
            </w:r>
          </w:p>
        </w:tc>
        <w:tc>
          <w:tcPr>
            <w:tcW w:w="455" w:type="pct"/>
            <w:tcMar>
              <w:left w:w="28" w:type="dxa"/>
              <w:right w:w="28" w:type="dxa"/>
            </w:tcMar>
          </w:tcPr>
          <w:p w14:paraId="7E69CF79"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1</w:t>
            </w:r>
          </w:p>
        </w:tc>
        <w:tc>
          <w:tcPr>
            <w:tcW w:w="455" w:type="pct"/>
            <w:tcMar>
              <w:left w:w="28" w:type="dxa"/>
              <w:right w:w="28" w:type="dxa"/>
            </w:tcMar>
          </w:tcPr>
          <w:p w14:paraId="3C49547C"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-0.080</w:t>
            </w:r>
            <w:r w:rsidRPr="007F131A">
              <w:rPr>
                <w:rFonts w:ascii="Arial" w:eastAsia="Times New Roman" w:hAnsi="Arial" w:cs="Arial"/>
                <w:sz w:val="18"/>
                <w:szCs w:val="18"/>
                <w:vertAlign w:val="superscript"/>
              </w:rPr>
              <w:t>*</w:t>
            </w:r>
          </w:p>
        </w:tc>
        <w:tc>
          <w:tcPr>
            <w:tcW w:w="455" w:type="pct"/>
            <w:tcMar>
              <w:left w:w="28" w:type="dxa"/>
              <w:right w:w="28" w:type="dxa"/>
            </w:tcMar>
          </w:tcPr>
          <w:p w14:paraId="643AF8E1"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-0.122</w:t>
            </w:r>
            <w:r w:rsidRPr="007F131A">
              <w:rPr>
                <w:rFonts w:ascii="Arial" w:eastAsia="Times New Roman" w:hAnsi="Arial" w:cs="Arial"/>
                <w:sz w:val="18"/>
                <w:szCs w:val="18"/>
                <w:vertAlign w:val="superscript"/>
              </w:rPr>
              <w:t>**</w:t>
            </w:r>
          </w:p>
        </w:tc>
        <w:tc>
          <w:tcPr>
            <w:tcW w:w="455" w:type="pct"/>
            <w:tcMar>
              <w:left w:w="28" w:type="dxa"/>
              <w:right w:w="28" w:type="dxa"/>
            </w:tcMar>
          </w:tcPr>
          <w:p w14:paraId="456AB5CA"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0.094</w:t>
            </w:r>
            <w:r w:rsidRPr="007F131A">
              <w:rPr>
                <w:rFonts w:ascii="Arial" w:eastAsia="Times New Roman" w:hAnsi="Arial" w:cs="Arial"/>
                <w:sz w:val="18"/>
                <w:szCs w:val="18"/>
                <w:vertAlign w:val="superscript"/>
              </w:rPr>
              <w:t>*</w:t>
            </w:r>
          </w:p>
        </w:tc>
        <w:tc>
          <w:tcPr>
            <w:tcW w:w="455" w:type="pct"/>
            <w:tcMar>
              <w:left w:w="28" w:type="dxa"/>
              <w:right w:w="28" w:type="dxa"/>
            </w:tcMar>
          </w:tcPr>
          <w:p w14:paraId="29CCEF5C"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0.100</w:t>
            </w:r>
            <w:r w:rsidRPr="007F131A">
              <w:rPr>
                <w:rFonts w:ascii="Arial" w:eastAsia="Times New Roman" w:hAnsi="Arial" w:cs="Arial"/>
                <w:sz w:val="18"/>
                <w:szCs w:val="18"/>
                <w:vertAlign w:val="superscript"/>
              </w:rPr>
              <w:t>**</w:t>
            </w:r>
          </w:p>
        </w:tc>
        <w:tc>
          <w:tcPr>
            <w:tcW w:w="455" w:type="pct"/>
            <w:tcMar>
              <w:left w:w="28" w:type="dxa"/>
              <w:right w:w="28" w:type="dxa"/>
            </w:tcMar>
          </w:tcPr>
          <w:p w14:paraId="36076242"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-0.153</w:t>
            </w:r>
            <w:r w:rsidRPr="007F131A">
              <w:rPr>
                <w:rFonts w:ascii="Arial" w:eastAsia="Times New Roman" w:hAnsi="Arial" w:cs="Arial"/>
                <w:sz w:val="18"/>
                <w:szCs w:val="18"/>
                <w:vertAlign w:val="superscript"/>
              </w:rPr>
              <w:t>**</w:t>
            </w:r>
          </w:p>
        </w:tc>
        <w:tc>
          <w:tcPr>
            <w:tcW w:w="455" w:type="pct"/>
            <w:tcMar>
              <w:left w:w="28" w:type="dxa"/>
              <w:right w:w="28" w:type="dxa"/>
            </w:tcMar>
          </w:tcPr>
          <w:p w14:paraId="54513C8A"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-0.100</w:t>
            </w:r>
            <w:r w:rsidRPr="007F131A">
              <w:rPr>
                <w:rFonts w:ascii="Arial" w:eastAsia="Times New Roman" w:hAnsi="Arial" w:cs="Arial"/>
                <w:sz w:val="18"/>
                <w:szCs w:val="18"/>
                <w:vertAlign w:val="superscript"/>
              </w:rPr>
              <w:t>**</w:t>
            </w:r>
          </w:p>
        </w:tc>
        <w:tc>
          <w:tcPr>
            <w:tcW w:w="455" w:type="pct"/>
            <w:tcMar>
              <w:left w:w="28" w:type="dxa"/>
              <w:right w:w="28" w:type="dxa"/>
            </w:tcMar>
          </w:tcPr>
          <w:p w14:paraId="4B8C6DAC"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0.108</w:t>
            </w:r>
            <w:r w:rsidRPr="007F131A">
              <w:rPr>
                <w:rFonts w:ascii="Arial" w:eastAsia="Times New Roman" w:hAnsi="Arial" w:cs="Arial"/>
                <w:sz w:val="18"/>
                <w:szCs w:val="18"/>
                <w:vertAlign w:val="superscript"/>
              </w:rPr>
              <w:t>**</w:t>
            </w:r>
          </w:p>
        </w:tc>
        <w:tc>
          <w:tcPr>
            <w:tcW w:w="450" w:type="pct"/>
            <w:tcMar>
              <w:left w:w="28" w:type="dxa"/>
              <w:right w:w="28" w:type="dxa"/>
            </w:tcMar>
          </w:tcPr>
          <w:p w14:paraId="65583CC5"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0.137</w:t>
            </w:r>
            <w:r w:rsidRPr="007F131A">
              <w:rPr>
                <w:rFonts w:ascii="Arial" w:eastAsia="Times New Roman" w:hAnsi="Arial" w:cs="Arial"/>
                <w:sz w:val="18"/>
                <w:szCs w:val="18"/>
                <w:vertAlign w:val="superscript"/>
              </w:rPr>
              <w:t>**</w:t>
            </w:r>
          </w:p>
        </w:tc>
      </w:tr>
      <w:tr w:rsidR="00EB0BEF" w:rsidRPr="007F131A" w14:paraId="2EFA66CF" w14:textId="77777777" w:rsidTr="00A0419B">
        <w:trPr>
          <w:jc w:val="right"/>
        </w:trPr>
        <w:tc>
          <w:tcPr>
            <w:tcW w:w="455" w:type="pct"/>
            <w:tcBorders>
              <w:right w:val="single" w:sz="4" w:space="0" w:color="auto"/>
            </w:tcBorders>
            <w:tcMar>
              <w:left w:w="28" w:type="dxa"/>
              <w:right w:w="28" w:type="dxa"/>
            </w:tcMar>
          </w:tcPr>
          <w:p w14:paraId="3EFFDD03" w14:textId="77777777" w:rsidR="00EB0BEF" w:rsidRPr="007F131A" w:rsidRDefault="00EB0BEF" w:rsidP="00A0419B">
            <w:pPr>
              <w:spacing w:after="0" w:line="240" w:lineRule="auto"/>
              <w:jc w:val="center"/>
              <w:rPr>
                <w:rFonts w:cs="Times New Roman"/>
                <w:b/>
                <w:i/>
                <w:sz w:val="18"/>
                <w:szCs w:val="18"/>
                <w:lang w:val="en-US"/>
              </w:rPr>
            </w:pPr>
          </w:p>
        </w:tc>
        <w:tc>
          <w:tcPr>
            <w:tcW w:w="455" w:type="pct"/>
            <w:tcBorders>
              <w:left w:val="single" w:sz="4" w:space="0" w:color="auto"/>
            </w:tcBorders>
            <w:tcMar>
              <w:left w:w="28" w:type="dxa"/>
              <w:right w:w="28" w:type="dxa"/>
            </w:tcMar>
          </w:tcPr>
          <w:p w14:paraId="78CE9B8C"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0.026</w:t>
            </w:r>
          </w:p>
        </w:tc>
        <w:tc>
          <w:tcPr>
            <w:tcW w:w="455" w:type="pct"/>
            <w:tcMar>
              <w:left w:w="28" w:type="dxa"/>
              <w:right w:w="28" w:type="dxa"/>
            </w:tcMar>
          </w:tcPr>
          <w:p w14:paraId="2932336F"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i/>
                <w:sz w:val="18"/>
                <w:szCs w:val="18"/>
              </w:rPr>
              <w:t> </w:t>
            </w:r>
          </w:p>
        </w:tc>
        <w:tc>
          <w:tcPr>
            <w:tcW w:w="455" w:type="pct"/>
            <w:tcMar>
              <w:left w:w="28" w:type="dxa"/>
              <w:right w:w="28" w:type="dxa"/>
            </w:tcMar>
          </w:tcPr>
          <w:p w14:paraId="05EC009F"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0.034</w:t>
            </w:r>
          </w:p>
        </w:tc>
        <w:tc>
          <w:tcPr>
            <w:tcW w:w="455" w:type="pct"/>
            <w:tcMar>
              <w:left w:w="28" w:type="dxa"/>
              <w:right w:w="28" w:type="dxa"/>
            </w:tcMar>
          </w:tcPr>
          <w:p w14:paraId="49E07854"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0.001</w:t>
            </w:r>
          </w:p>
        </w:tc>
        <w:tc>
          <w:tcPr>
            <w:tcW w:w="455" w:type="pct"/>
            <w:tcMar>
              <w:left w:w="28" w:type="dxa"/>
              <w:right w:w="28" w:type="dxa"/>
            </w:tcMar>
          </w:tcPr>
          <w:p w14:paraId="4374FA91"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0.013</w:t>
            </w:r>
          </w:p>
        </w:tc>
        <w:tc>
          <w:tcPr>
            <w:tcW w:w="455" w:type="pct"/>
            <w:tcMar>
              <w:left w:w="28" w:type="dxa"/>
              <w:right w:w="28" w:type="dxa"/>
            </w:tcMar>
          </w:tcPr>
          <w:p w14:paraId="79BD7486"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0.008</w:t>
            </w:r>
          </w:p>
        </w:tc>
        <w:tc>
          <w:tcPr>
            <w:tcW w:w="455" w:type="pct"/>
            <w:tcMar>
              <w:left w:w="28" w:type="dxa"/>
              <w:right w:w="28" w:type="dxa"/>
            </w:tcMar>
          </w:tcPr>
          <w:p w14:paraId="742C2F70"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5E24D824"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0.008</w:t>
            </w:r>
          </w:p>
        </w:tc>
        <w:tc>
          <w:tcPr>
            <w:tcW w:w="455" w:type="pct"/>
            <w:tcMar>
              <w:left w:w="28" w:type="dxa"/>
              <w:right w:w="28" w:type="dxa"/>
            </w:tcMar>
          </w:tcPr>
          <w:p w14:paraId="4684D20B"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0.004</w:t>
            </w:r>
          </w:p>
        </w:tc>
        <w:tc>
          <w:tcPr>
            <w:tcW w:w="450" w:type="pct"/>
            <w:tcMar>
              <w:left w:w="28" w:type="dxa"/>
              <w:right w:w="28" w:type="dxa"/>
            </w:tcMar>
          </w:tcPr>
          <w:p w14:paraId="707AB839"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r>
      <w:tr w:rsidR="00EB0BEF" w:rsidRPr="007F131A" w14:paraId="0B356F2C" w14:textId="77777777" w:rsidTr="00A0419B">
        <w:trPr>
          <w:jc w:val="right"/>
        </w:trPr>
        <w:tc>
          <w:tcPr>
            <w:tcW w:w="455" w:type="pct"/>
            <w:tcBorders>
              <w:right w:val="single" w:sz="4" w:space="0" w:color="auto"/>
            </w:tcBorders>
            <w:tcMar>
              <w:left w:w="28" w:type="dxa"/>
              <w:right w:w="28" w:type="dxa"/>
            </w:tcMar>
          </w:tcPr>
          <w:p w14:paraId="5746CFAA"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SIZE</w:t>
            </w:r>
          </w:p>
        </w:tc>
        <w:tc>
          <w:tcPr>
            <w:tcW w:w="455" w:type="pct"/>
            <w:tcBorders>
              <w:left w:val="single" w:sz="4" w:space="0" w:color="auto"/>
            </w:tcBorders>
            <w:tcMar>
              <w:left w:w="28" w:type="dxa"/>
              <w:right w:w="28" w:type="dxa"/>
            </w:tcMar>
          </w:tcPr>
          <w:p w14:paraId="52999D00"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-0.093</w:t>
            </w:r>
            <w:r w:rsidRPr="007F131A">
              <w:rPr>
                <w:rFonts w:ascii="Arial" w:eastAsia="Times New Roman" w:hAnsi="Arial" w:cs="Arial"/>
                <w:sz w:val="18"/>
                <w:szCs w:val="18"/>
                <w:vertAlign w:val="superscript"/>
              </w:rPr>
              <w:t>*</w:t>
            </w:r>
          </w:p>
        </w:tc>
        <w:tc>
          <w:tcPr>
            <w:tcW w:w="455" w:type="pct"/>
            <w:tcMar>
              <w:left w:w="28" w:type="dxa"/>
              <w:right w:w="28" w:type="dxa"/>
            </w:tcMar>
          </w:tcPr>
          <w:p w14:paraId="6A28E695"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0.036</w:t>
            </w:r>
          </w:p>
        </w:tc>
        <w:tc>
          <w:tcPr>
            <w:tcW w:w="455" w:type="pct"/>
            <w:tcMar>
              <w:left w:w="28" w:type="dxa"/>
              <w:right w:w="28" w:type="dxa"/>
            </w:tcMar>
          </w:tcPr>
          <w:p w14:paraId="3E22DD50"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1</w:t>
            </w:r>
          </w:p>
        </w:tc>
        <w:tc>
          <w:tcPr>
            <w:tcW w:w="455" w:type="pct"/>
            <w:tcMar>
              <w:left w:w="28" w:type="dxa"/>
              <w:right w:w="28" w:type="dxa"/>
            </w:tcMar>
          </w:tcPr>
          <w:p w14:paraId="5A911137"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0.090</w:t>
            </w:r>
            <w:r w:rsidRPr="007F131A">
              <w:rPr>
                <w:rFonts w:ascii="Arial" w:eastAsia="Times New Roman" w:hAnsi="Arial" w:cs="Arial"/>
                <w:sz w:val="18"/>
                <w:szCs w:val="18"/>
                <w:vertAlign w:val="superscript"/>
              </w:rPr>
              <w:t>*</w:t>
            </w:r>
          </w:p>
        </w:tc>
        <w:tc>
          <w:tcPr>
            <w:tcW w:w="455" w:type="pct"/>
            <w:tcMar>
              <w:left w:w="28" w:type="dxa"/>
              <w:right w:w="28" w:type="dxa"/>
            </w:tcMar>
          </w:tcPr>
          <w:p w14:paraId="0A4E4BF1"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0.225</w:t>
            </w:r>
            <w:r w:rsidRPr="007F131A">
              <w:rPr>
                <w:rFonts w:ascii="Arial" w:eastAsia="Times New Roman" w:hAnsi="Arial" w:cs="Arial"/>
                <w:sz w:val="18"/>
                <w:szCs w:val="18"/>
                <w:vertAlign w:val="superscript"/>
              </w:rPr>
              <w:t>**</w:t>
            </w:r>
          </w:p>
        </w:tc>
        <w:tc>
          <w:tcPr>
            <w:tcW w:w="455" w:type="pct"/>
            <w:tcMar>
              <w:left w:w="28" w:type="dxa"/>
              <w:right w:w="28" w:type="dxa"/>
            </w:tcMar>
          </w:tcPr>
          <w:p w14:paraId="78C411AC"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0.005</w:t>
            </w:r>
          </w:p>
        </w:tc>
        <w:tc>
          <w:tcPr>
            <w:tcW w:w="455" w:type="pct"/>
            <w:tcMar>
              <w:left w:w="28" w:type="dxa"/>
              <w:right w:w="28" w:type="dxa"/>
            </w:tcMar>
          </w:tcPr>
          <w:p w14:paraId="14E6EB5F"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0.010</w:t>
            </w:r>
          </w:p>
        </w:tc>
        <w:tc>
          <w:tcPr>
            <w:tcW w:w="455" w:type="pct"/>
            <w:tcMar>
              <w:left w:w="28" w:type="dxa"/>
              <w:right w:w="28" w:type="dxa"/>
            </w:tcMar>
          </w:tcPr>
          <w:p w14:paraId="79E066F6"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0.286</w:t>
            </w:r>
            <w:r w:rsidRPr="007F131A">
              <w:rPr>
                <w:rFonts w:ascii="Arial" w:eastAsia="Times New Roman" w:hAnsi="Arial" w:cs="Arial"/>
                <w:sz w:val="18"/>
                <w:szCs w:val="18"/>
                <w:vertAlign w:val="superscript"/>
              </w:rPr>
              <w:t>**</w:t>
            </w:r>
          </w:p>
        </w:tc>
        <w:tc>
          <w:tcPr>
            <w:tcW w:w="455" w:type="pct"/>
            <w:tcMar>
              <w:left w:w="28" w:type="dxa"/>
              <w:right w:w="28" w:type="dxa"/>
            </w:tcMar>
          </w:tcPr>
          <w:p w14:paraId="30DAE833"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0.083</w:t>
            </w:r>
            <w:r w:rsidRPr="007F131A">
              <w:rPr>
                <w:rFonts w:ascii="Arial" w:eastAsia="Times New Roman" w:hAnsi="Arial" w:cs="Arial"/>
                <w:sz w:val="18"/>
                <w:szCs w:val="18"/>
                <w:vertAlign w:val="superscript"/>
              </w:rPr>
              <w:t>*</w:t>
            </w:r>
          </w:p>
        </w:tc>
        <w:tc>
          <w:tcPr>
            <w:tcW w:w="450" w:type="pct"/>
            <w:tcMar>
              <w:left w:w="28" w:type="dxa"/>
              <w:right w:w="28" w:type="dxa"/>
            </w:tcMar>
          </w:tcPr>
          <w:p w14:paraId="590AB7AE"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-0.018</w:t>
            </w:r>
          </w:p>
        </w:tc>
      </w:tr>
      <w:tr w:rsidR="00EB0BEF" w:rsidRPr="007F131A" w14:paraId="1626598B" w14:textId="77777777" w:rsidTr="00A0419B">
        <w:trPr>
          <w:jc w:val="right"/>
        </w:trPr>
        <w:tc>
          <w:tcPr>
            <w:tcW w:w="455" w:type="pct"/>
            <w:tcBorders>
              <w:right w:val="single" w:sz="4" w:space="0" w:color="auto"/>
            </w:tcBorders>
            <w:tcMar>
              <w:left w:w="28" w:type="dxa"/>
              <w:right w:w="28" w:type="dxa"/>
            </w:tcMar>
          </w:tcPr>
          <w:p w14:paraId="1BF6A01C" w14:textId="77777777" w:rsidR="00EB0BEF" w:rsidRPr="007F131A" w:rsidRDefault="00EB0BEF" w:rsidP="00A0419B">
            <w:pPr>
              <w:spacing w:after="0" w:line="240" w:lineRule="auto"/>
              <w:jc w:val="center"/>
              <w:rPr>
                <w:rFonts w:cs="Times New Roman"/>
                <w:b/>
                <w:i/>
                <w:sz w:val="18"/>
                <w:szCs w:val="18"/>
                <w:lang w:val="en-US"/>
              </w:rPr>
            </w:pPr>
          </w:p>
        </w:tc>
        <w:tc>
          <w:tcPr>
            <w:tcW w:w="455" w:type="pct"/>
            <w:tcBorders>
              <w:left w:val="single" w:sz="4" w:space="0" w:color="auto"/>
            </w:tcBorders>
            <w:tcMar>
              <w:left w:w="28" w:type="dxa"/>
              <w:right w:w="28" w:type="dxa"/>
            </w:tcMar>
          </w:tcPr>
          <w:p w14:paraId="5F6923B1"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0.014</w:t>
            </w:r>
          </w:p>
        </w:tc>
        <w:tc>
          <w:tcPr>
            <w:tcW w:w="455" w:type="pct"/>
            <w:tcMar>
              <w:left w:w="28" w:type="dxa"/>
              <w:right w:w="28" w:type="dxa"/>
            </w:tcMar>
          </w:tcPr>
          <w:p w14:paraId="5F8B2F1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0.342</w:t>
            </w:r>
          </w:p>
        </w:tc>
        <w:tc>
          <w:tcPr>
            <w:tcW w:w="455" w:type="pct"/>
            <w:tcMar>
              <w:left w:w="28" w:type="dxa"/>
              <w:right w:w="28" w:type="dxa"/>
            </w:tcMar>
          </w:tcPr>
          <w:p w14:paraId="799B685D"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i/>
                <w:sz w:val="18"/>
                <w:szCs w:val="18"/>
              </w:rPr>
              <w:t> </w:t>
            </w:r>
          </w:p>
        </w:tc>
        <w:tc>
          <w:tcPr>
            <w:tcW w:w="455" w:type="pct"/>
            <w:tcMar>
              <w:left w:w="28" w:type="dxa"/>
              <w:right w:w="28" w:type="dxa"/>
            </w:tcMar>
          </w:tcPr>
          <w:p w14:paraId="59FFA927"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0.017</w:t>
            </w:r>
          </w:p>
        </w:tc>
        <w:tc>
          <w:tcPr>
            <w:tcW w:w="455" w:type="pct"/>
            <w:tcMar>
              <w:left w:w="28" w:type="dxa"/>
              <w:right w:w="28" w:type="dxa"/>
            </w:tcMar>
          </w:tcPr>
          <w:p w14:paraId="40091044"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36C1C50A"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0.889</w:t>
            </w:r>
          </w:p>
        </w:tc>
        <w:tc>
          <w:tcPr>
            <w:tcW w:w="455" w:type="pct"/>
            <w:tcMar>
              <w:left w:w="28" w:type="dxa"/>
              <w:right w:w="28" w:type="dxa"/>
            </w:tcMar>
          </w:tcPr>
          <w:p w14:paraId="42B0DD49"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0.784</w:t>
            </w:r>
          </w:p>
        </w:tc>
        <w:tc>
          <w:tcPr>
            <w:tcW w:w="455" w:type="pct"/>
            <w:tcMar>
              <w:left w:w="28" w:type="dxa"/>
              <w:right w:w="28" w:type="dxa"/>
            </w:tcMar>
          </w:tcPr>
          <w:p w14:paraId="16260C65"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4CB62E1F"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0.028</w:t>
            </w:r>
          </w:p>
        </w:tc>
        <w:tc>
          <w:tcPr>
            <w:tcW w:w="450" w:type="pct"/>
            <w:tcMar>
              <w:left w:w="28" w:type="dxa"/>
              <w:right w:w="28" w:type="dxa"/>
            </w:tcMar>
          </w:tcPr>
          <w:p w14:paraId="04143448"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0.632</w:t>
            </w:r>
          </w:p>
        </w:tc>
      </w:tr>
      <w:tr w:rsidR="00EB0BEF" w:rsidRPr="007F131A" w14:paraId="3EC97552" w14:textId="77777777" w:rsidTr="00A0419B">
        <w:trPr>
          <w:jc w:val="right"/>
        </w:trPr>
        <w:tc>
          <w:tcPr>
            <w:tcW w:w="455" w:type="pct"/>
            <w:tcBorders>
              <w:right w:val="single" w:sz="4" w:space="0" w:color="auto"/>
            </w:tcBorders>
            <w:tcMar>
              <w:left w:w="28" w:type="dxa"/>
              <w:right w:w="28" w:type="dxa"/>
            </w:tcMar>
          </w:tcPr>
          <w:p w14:paraId="5845E37D"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AGE</w:t>
            </w:r>
          </w:p>
        </w:tc>
        <w:tc>
          <w:tcPr>
            <w:tcW w:w="455" w:type="pct"/>
            <w:tcBorders>
              <w:left w:val="single" w:sz="4" w:space="0" w:color="auto"/>
            </w:tcBorders>
            <w:tcMar>
              <w:left w:w="28" w:type="dxa"/>
              <w:right w:w="28" w:type="dxa"/>
            </w:tcMar>
          </w:tcPr>
          <w:p w14:paraId="0C3522E2"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-0.171</w:t>
            </w:r>
            <w:r w:rsidRPr="007F131A">
              <w:rPr>
                <w:rFonts w:ascii="Arial" w:eastAsia="Times New Roman" w:hAnsi="Arial" w:cs="Arial"/>
                <w:sz w:val="18"/>
                <w:szCs w:val="18"/>
                <w:vertAlign w:val="superscript"/>
              </w:rPr>
              <w:t>**</w:t>
            </w:r>
          </w:p>
        </w:tc>
        <w:tc>
          <w:tcPr>
            <w:tcW w:w="455" w:type="pct"/>
            <w:tcMar>
              <w:left w:w="28" w:type="dxa"/>
              <w:right w:w="28" w:type="dxa"/>
            </w:tcMar>
          </w:tcPr>
          <w:p w14:paraId="6D87DDDD"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-0.039</w:t>
            </w:r>
          </w:p>
        </w:tc>
        <w:tc>
          <w:tcPr>
            <w:tcW w:w="455" w:type="pct"/>
            <w:tcMar>
              <w:left w:w="28" w:type="dxa"/>
              <w:right w:w="28" w:type="dxa"/>
            </w:tcMar>
          </w:tcPr>
          <w:p w14:paraId="1057561B"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0.105</w:t>
            </w:r>
            <w:r w:rsidRPr="007F131A">
              <w:rPr>
                <w:rFonts w:ascii="Arial" w:eastAsia="Times New Roman" w:hAnsi="Arial" w:cs="Arial"/>
                <w:sz w:val="18"/>
                <w:szCs w:val="18"/>
                <w:vertAlign w:val="superscript"/>
              </w:rPr>
              <w:t>**</w:t>
            </w:r>
          </w:p>
        </w:tc>
        <w:tc>
          <w:tcPr>
            <w:tcW w:w="455" w:type="pct"/>
            <w:tcMar>
              <w:left w:w="28" w:type="dxa"/>
              <w:right w:w="28" w:type="dxa"/>
            </w:tcMar>
          </w:tcPr>
          <w:p w14:paraId="018F162A"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1</w:t>
            </w:r>
          </w:p>
        </w:tc>
        <w:tc>
          <w:tcPr>
            <w:tcW w:w="455" w:type="pct"/>
            <w:tcMar>
              <w:left w:w="28" w:type="dxa"/>
              <w:right w:w="28" w:type="dxa"/>
            </w:tcMar>
          </w:tcPr>
          <w:p w14:paraId="69520041"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-0.024</w:t>
            </w:r>
          </w:p>
        </w:tc>
        <w:tc>
          <w:tcPr>
            <w:tcW w:w="455" w:type="pct"/>
            <w:tcMar>
              <w:left w:w="28" w:type="dxa"/>
              <w:right w:w="28" w:type="dxa"/>
            </w:tcMar>
          </w:tcPr>
          <w:p w14:paraId="09E0A3E5"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0.042</w:t>
            </w:r>
          </w:p>
        </w:tc>
        <w:tc>
          <w:tcPr>
            <w:tcW w:w="455" w:type="pct"/>
            <w:tcMar>
              <w:left w:w="28" w:type="dxa"/>
              <w:right w:w="28" w:type="dxa"/>
            </w:tcMar>
          </w:tcPr>
          <w:p w14:paraId="09FC44D0"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-0.206</w:t>
            </w:r>
            <w:r w:rsidRPr="007F131A">
              <w:rPr>
                <w:rFonts w:ascii="Arial" w:eastAsia="Times New Roman" w:hAnsi="Arial" w:cs="Arial"/>
                <w:sz w:val="18"/>
                <w:szCs w:val="18"/>
                <w:vertAlign w:val="superscript"/>
              </w:rPr>
              <w:t>**</w:t>
            </w:r>
          </w:p>
        </w:tc>
        <w:tc>
          <w:tcPr>
            <w:tcW w:w="455" w:type="pct"/>
            <w:tcMar>
              <w:left w:w="28" w:type="dxa"/>
              <w:right w:w="28" w:type="dxa"/>
            </w:tcMar>
          </w:tcPr>
          <w:p w14:paraId="2DE8910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-0.024</w:t>
            </w:r>
          </w:p>
        </w:tc>
        <w:tc>
          <w:tcPr>
            <w:tcW w:w="455" w:type="pct"/>
            <w:tcMar>
              <w:left w:w="28" w:type="dxa"/>
              <w:right w:w="28" w:type="dxa"/>
            </w:tcMar>
          </w:tcPr>
          <w:p w14:paraId="4E101BCC"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0.039</w:t>
            </w:r>
          </w:p>
        </w:tc>
        <w:tc>
          <w:tcPr>
            <w:tcW w:w="450" w:type="pct"/>
            <w:tcMar>
              <w:left w:w="28" w:type="dxa"/>
              <w:right w:w="28" w:type="dxa"/>
            </w:tcMar>
          </w:tcPr>
          <w:p w14:paraId="5B0736AD"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-0.056</w:t>
            </w:r>
          </w:p>
        </w:tc>
      </w:tr>
      <w:tr w:rsidR="00EB0BEF" w:rsidRPr="007F131A" w14:paraId="33E9E16C" w14:textId="77777777" w:rsidTr="00A0419B">
        <w:trPr>
          <w:jc w:val="right"/>
        </w:trPr>
        <w:tc>
          <w:tcPr>
            <w:tcW w:w="455" w:type="pct"/>
            <w:tcBorders>
              <w:right w:val="single" w:sz="4" w:space="0" w:color="auto"/>
            </w:tcBorders>
            <w:tcMar>
              <w:left w:w="28" w:type="dxa"/>
              <w:right w:w="28" w:type="dxa"/>
            </w:tcMar>
          </w:tcPr>
          <w:p w14:paraId="51A6A8E6" w14:textId="77777777" w:rsidR="00EB0BEF" w:rsidRPr="007F131A" w:rsidRDefault="00EB0BEF" w:rsidP="00A0419B">
            <w:pPr>
              <w:spacing w:after="0" w:line="240" w:lineRule="auto"/>
              <w:jc w:val="center"/>
              <w:rPr>
                <w:rFonts w:cs="Times New Roman"/>
                <w:b/>
                <w:i/>
                <w:sz w:val="18"/>
                <w:szCs w:val="18"/>
                <w:lang w:val="en-US"/>
              </w:rPr>
            </w:pPr>
          </w:p>
        </w:tc>
        <w:tc>
          <w:tcPr>
            <w:tcW w:w="455" w:type="pct"/>
            <w:tcBorders>
              <w:left w:val="single" w:sz="4" w:space="0" w:color="auto"/>
            </w:tcBorders>
            <w:tcMar>
              <w:left w:w="28" w:type="dxa"/>
              <w:right w:w="28" w:type="dxa"/>
            </w:tcMar>
          </w:tcPr>
          <w:p w14:paraId="01AA5ECB"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0003400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0.298</w:t>
            </w:r>
          </w:p>
        </w:tc>
        <w:tc>
          <w:tcPr>
            <w:tcW w:w="455" w:type="pct"/>
            <w:tcMar>
              <w:left w:w="28" w:type="dxa"/>
              <w:right w:w="28" w:type="dxa"/>
            </w:tcMar>
          </w:tcPr>
          <w:p w14:paraId="17BD164F"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0.005</w:t>
            </w:r>
          </w:p>
        </w:tc>
        <w:tc>
          <w:tcPr>
            <w:tcW w:w="455" w:type="pct"/>
            <w:tcMar>
              <w:left w:w="28" w:type="dxa"/>
              <w:right w:w="28" w:type="dxa"/>
            </w:tcMar>
          </w:tcPr>
          <w:p w14:paraId="4C0D882B"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i/>
                <w:sz w:val="18"/>
                <w:szCs w:val="18"/>
              </w:rPr>
              <w:t> </w:t>
            </w:r>
          </w:p>
        </w:tc>
        <w:tc>
          <w:tcPr>
            <w:tcW w:w="455" w:type="pct"/>
            <w:tcMar>
              <w:left w:w="28" w:type="dxa"/>
              <w:right w:w="28" w:type="dxa"/>
            </w:tcMar>
          </w:tcPr>
          <w:p w14:paraId="3E2DC0DF"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0.531</w:t>
            </w:r>
          </w:p>
        </w:tc>
        <w:tc>
          <w:tcPr>
            <w:tcW w:w="455" w:type="pct"/>
            <w:tcMar>
              <w:left w:w="28" w:type="dxa"/>
              <w:right w:w="28" w:type="dxa"/>
            </w:tcMar>
          </w:tcPr>
          <w:p w14:paraId="7C4D1063"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0.266</w:t>
            </w:r>
          </w:p>
        </w:tc>
        <w:tc>
          <w:tcPr>
            <w:tcW w:w="455" w:type="pct"/>
            <w:tcMar>
              <w:left w:w="28" w:type="dxa"/>
              <w:right w:w="28" w:type="dxa"/>
            </w:tcMar>
          </w:tcPr>
          <w:p w14:paraId="337A9CF4"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01E40134"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0.525</w:t>
            </w:r>
          </w:p>
        </w:tc>
        <w:tc>
          <w:tcPr>
            <w:tcW w:w="455" w:type="pct"/>
            <w:tcMar>
              <w:left w:w="28" w:type="dxa"/>
              <w:right w:w="28" w:type="dxa"/>
            </w:tcMar>
          </w:tcPr>
          <w:p w14:paraId="230EE316"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0.307</w:t>
            </w:r>
          </w:p>
        </w:tc>
        <w:tc>
          <w:tcPr>
            <w:tcW w:w="450" w:type="pct"/>
            <w:tcMar>
              <w:left w:w="28" w:type="dxa"/>
              <w:right w:w="28" w:type="dxa"/>
            </w:tcMar>
          </w:tcPr>
          <w:p w14:paraId="0D2A8981"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0.136</w:t>
            </w:r>
          </w:p>
        </w:tc>
      </w:tr>
      <w:tr w:rsidR="00EB0BEF" w:rsidRPr="007F131A" w14:paraId="408F922A" w14:textId="77777777" w:rsidTr="00A0419B">
        <w:trPr>
          <w:jc w:val="right"/>
        </w:trPr>
        <w:tc>
          <w:tcPr>
            <w:tcW w:w="455" w:type="pct"/>
            <w:tcBorders>
              <w:right w:val="single" w:sz="4" w:space="0" w:color="auto"/>
            </w:tcBorders>
            <w:tcMar>
              <w:left w:w="28" w:type="dxa"/>
              <w:right w:w="28" w:type="dxa"/>
            </w:tcMar>
          </w:tcPr>
          <w:p w14:paraId="2E79B19F"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ROE</w:t>
            </w:r>
          </w:p>
        </w:tc>
        <w:tc>
          <w:tcPr>
            <w:tcW w:w="455" w:type="pct"/>
            <w:tcBorders>
              <w:left w:val="single" w:sz="4" w:space="0" w:color="auto"/>
            </w:tcBorders>
            <w:tcMar>
              <w:left w:w="28" w:type="dxa"/>
              <w:right w:w="28" w:type="dxa"/>
            </w:tcMar>
          </w:tcPr>
          <w:p w14:paraId="0D9FDBE2"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0.165</w:t>
            </w:r>
            <w:r w:rsidRPr="007F131A">
              <w:rPr>
                <w:rFonts w:ascii="Arial" w:eastAsia="Times New Roman" w:hAnsi="Arial" w:cs="Arial"/>
                <w:sz w:val="18"/>
                <w:szCs w:val="18"/>
                <w:vertAlign w:val="superscript"/>
              </w:rPr>
              <w:t>**</w:t>
            </w:r>
          </w:p>
        </w:tc>
        <w:tc>
          <w:tcPr>
            <w:tcW w:w="455" w:type="pct"/>
            <w:tcMar>
              <w:left w:w="28" w:type="dxa"/>
              <w:right w:w="28" w:type="dxa"/>
            </w:tcMar>
          </w:tcPr>
          <w:p w14:paraId="48C32CA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-0.046</w:t>
            </w:r>
          </w:p>
        </w:tc>
        <w:tc>
          <w:tcPr>
            <w:tcW w:w="455" w:type="pct"/>
            <w:tcMar>
              <w:left w:w="28" w:type="dxa"/>
              <w:right w:w="28" w:type="dxa"/>
            </w:tcMar>
          </w:tcPr>
          <w:p w14:paraId="02946A9F"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0.160</w:t>
            </w:r>
            <w:r w:rsidRPr="007F131A">
              <w:rPr>
                <w:rFonts w:ascii="Arial" w:eastAsia="Times New Roman" w:hAnsi="Arial" w:cs="Arial"/>
                <w:sz w:val="18"/>
                <w:szCs w:val="18"/>
                <w:vertAlign w:val="superscript"/>
              </w:rPr>
              <w:t>**</w:t>
            </w:r>
          </w:p>
        </w:tc>
        <w:tc>
          <w:tcPr>
            <w:tcW w:w="455" w:type="pct"/>
            <w:tcMar>
              <w:left w:w="28" w:type="dxa"/>
              <w:right w:w="28" w:type="dxa"/>
            </w:tcMar>
          </w:tcPr>
          <w:p w14:paraId="12CAFD7A"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0.014</w:t>
            </w:r>
          </w:p>
        </w:tc>
        <w:tc>
          <w:tcPr>
            <w:tcW w:w="455" w:type="pct"/>
            <w:tcMar>
              <w:left w:w="28" w:type="dxa"/>
              <w:right w:w="28" w:type="dxa"/>
            </w:tcMar>
          </w:tcPr>
          <w:p w14:paraId="106AEF2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1</w:t>
            </w:r>
          </w:p>
        </w:tc>
        <w:tc>
          <w:tcPr>
            <w:tcW w:w="455" w:type="pct"/>
            <w:tcMar>
              <w:left w:w="28" w:type="dxa"/>
              <w:right w:w="28" w:type="dxa"/>
            </w:tcMar>
          </w:tcPr>
          <w:p w14:paraId="7164FCEF"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-0.002</w:t>
            </w:r>
          </w:p>
        </w:tc>
        <w:tc>
          <w:tcPr>
            <w:tcW w:w="455" w:type="pct"/>
            <w:tcMar>
              <w:left w:w="28" w:type="dxa"/>
              <w:right w:w="28" w:type="dxa"/>
            </w:tcMar>
          </w:tcPr>
          <w:p w14:paraId="4A485A41"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-0.007</w:t>
            </w:r>
          </w:p>
        </w:tc>
        <w:tc>
          <w:tcPr>
            <w:tcW w:w="455" w:type="pct"/>
            <w:tcMar>
              <w:left w:w="28" w:type="dxa"/>
              <w:right w:w="28" w:type="dxa"/>
            </w:tcMar>
          </w:tcPr>
          <w:p w14:paraId="54BB4C26"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0.040</w:t>
            </w:r>
          </w:p>
        </w:tc>
        <w:tc>
          <w:tcPr>
            <w:tcW w:w="455" w:type="pct"/>
            <w:tcMar>
              <w:left w:w="28" w:type="dxa"/>
              <w:right w:w="28" w:type="dxa"/>
            </w:tcMar>
          </w:tcPr>
          <w:p w14:paraId="30653428"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0.080</w:t>
            </w:r>
            <w:r w:rsidRPr="007F131A">
              <w:rPr>
                <w:rFonts w:ascii="Arial" w:eastAsia="Times New Roman" w:hAnsi="Arial" w:cs="Arial"/>
                <w:sz w:val="18"/>
                <w:szCs w:val="18"/>
                <w:vertAlign w:val="superscript"/>
              </w:rPr>
              <w:t>*</w:t>
            </w:r>
          </w:p>
        </w:tc>
        <w:tc>
          <w:tcPr>
            <w:tcW w:w="450" w:type="pct"/>
            <w:tcMar>
              <w:left w:w="28" w:type="dxa"/>
              <w:right w:w="28" w:type="dxa"/>
            </w:tcMar>
          </w:tcPr>
          <w:p w14:paraId="358EC10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0.036</w:t>
            </w:r>
          </w:p>
        </w:tc>
      </w:tr>
      <w:tr w:rsidR="00EB0BEF" w:rsidRPr="007F131A" w14:paraId="119C5AA0" w14:textId="77777777" w:rsidTr="00A0419B">
        <w:trPr>
          <w:jc w:val="right"/>
        </w:trPr>
        <w:tc>
          <w:tcPr>
            <w:tcW w:w="455" w:type="pct"/>
            <w:tcBorders>
              <w:right w:val="single" w:sz="4" w:space="0" w:color="auto"/>
            </w:tcBorders>
            <w:tcMar>
              <w:left w:w="28" w:type="dxa"/>
              <w:right w:w="28" w:type="dxa"/>
            </w:tcMar>
          </w:tcPr>
          <w:p w14:paraId="5EE73BAF" w14:textId="77777777" w:rsidR="00EB0BEF" w:rsidRPr="007F131A" w:rsidRDefault="00EB0BEF" w:rsidP="00A0419B">
            <w:pPr>
              <w:spacing w:after="0" w:line="240" w:lineRule="auto"/>
              <w:jc w:val="center"/>
              <w:rPr>
                <w:rFonts w:cs="Times New Roman"/>
                <w:b/>
                <w:i/>
                <w:sz w:val="18"/>
                <w:szCs w:val="18"/>
                <w:lang w:val="en-US"/>
              </w:rPr>
            </w:pPr>
          </w:p>
        </w:tc>
        <w:tc>
          <w:tcPr>
            <w:tcW w:w="455" w:type="pct"/>
            <w:tcBorders>
              <w:left w:val="single" w:sz="4" w:space="0" w:color="auto"/>
            </w:tcBorders>
            <w:tcMar>
              <w:left w:w="28" w:type="dxa"/>
              <w:right w:w="28" w:type="dxa"/>
            </w:tcMar>
          </w:tcPr>
          <w:p w14:paraId="67E98E06"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05FA7A23"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0.225</w:t>
            </w:r>
          </w:p>
        </w:tc>
        <w:tc>
          <w:tcPr>
            <w:tcW w:w="455" w:type="pct"/>
            <w:tcMar>
              <w:left w:w="28" w:type="dxa"/>
              <w:right w:w="28" w:type="dxa"/>
            </w:tcMar>
          </w:tcPr>
          <w:p w14:paraId="752C5126"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40322719"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0.713</w:t>
            </w:r>
          </w:p>
        </w:tc>
        <w:tc>
          <w:tcPr>
            <w:tcW w:w="455" w:type="pct"/>
            <w:tcMar>
              <w:left w:w="28" w:type="dxa"/>
              <w:right w:w="28" w:type="dxa"/>
            </w:tcMar>
          </w:tcPr>
          <w:p w14:paraId="5F12D381"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i/>
                <w:sz w:val="18"/>
                <w:szCs w:val="18"/>
              </w:rPr>
              <w:t> </w:t>
            </w:r>
          </w:p>
        </w:tc>
        <w:tc>
          <w:tcPr>
            <w:tcW w:w="455" w:type="pct"/>
            <w:tcMar>
              <w:left w:w="28" w:type="dxa"/>
              <w:right w:w="28" w:type="dxa"/>
            </w:tcMar>
          </w:tcPr>
          <w:p w14:paraId="7048EB81"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0.966</w:t>
            </w:r>
          </w:p>
        </w:tc>
        <w:tc>
          <w:tcPr>
            <w:tcW w:w="455" w:type="pct"/>
            <w:tcMar>
              <w:left w:w="28" w:type="dxa"/>
              <w:right w:w="28" w:type="dxa"/>
            </w:tcMar>
          </w:tcPr>
          <w:p w14:paraId="387FA66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0.848</w:t>
            </w:r>
          </w:p>
        </w:tc>
        <w:tc>
          <w:tcPr>
            <w:tcW w:w="455" w:type="pct"/>
            <w:tcMar>
              <w:left w:w="28" w:type="dxa"/>
              <w:right w:w="28" w:type="dxa"/>
            </w:tcMar>
          </w:tcPr>
          <w:p w14:paraId="14209976"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0.288</w:t>
            </w:r>
          </w:p>
        </w:tc>
        <w:tc>
          <w:tcPr>
            <w:tcW w:w="455" w:type="pct"/>
            <w:tcMar>
              <w:left w:w="28" w:type="dxa"/>
              <w:right w:w="28" w:type="dxa"/>
            </w:tcMar>
          </w:tcPr>
          <w:p w14:paraId="41AC12F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0.035</w:t>
            </w:r>
          </w:p>
        </w:tc>
        <w:tc>
          <w:tcPr>
            <w:tcW w:w="450" w:type="pct"/>
            <w:tcMar>
              <w:left w:w="28" w:type="dxa"/>
              <w:right w:w="28" w:type="dxa"/>
            </w:tcMar>
          </w:tcPr>
          <w:p w14:paraId="01616CEC"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0.339</w:t>
            </w:r>
          </w:p>
        </w:tc>
      </w:tr>
      <w:tr w:rsidR="00EB0BEF" w:rsidRPr="007F131A" w14:paraId="2284B58C" w14:textId="77777777" w:rsidTr="00A0419B">
        <w:trPr>
          <w:jc w:val="right"/>
        </w:trPr>
        <w:tc>
          <w:tcPr>
            <w:tcW w:w="455" w:type="pct"/>
            <w:tcBorders>
              <w:right w:val="single" w:sz="4" w:space="0" w:color="auto"/>
            </w:tcBorders>
            <w:tcMar>
              <w:left w:w="28" w:type="dxa"/>
              <w:right w:w="28" w:type="dxa"/>
            </w:tcMar>
          </w:tcPr>
          <w:p w14:paraId="364D6B24"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DE</w:t>
            </w:r>
          </w:p>
        </w:tc>
        <w:tc>
          <w:tcPr>
            <w:tcW w:w="455" w:type="pct"/>
            <w:tcBorders>
              <w:left w:val="single" w:sz="4" w:space="0" w:color="auto"/>
            </w:tcBorders>
            <w:tcMar>
              <w:left w:w="28" w:type="dxa"/>
              <w:right w:w="28" w:type="dxa"/>
            </w:tcMar>
          </w:tcPr>
          <w:p w14:paraId="5314203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0.213</w:t>
            </w:r>
            <w:r w:rsidRPr="007F131A">
              <w:rPr>
                <w:rFonts w:ascii="Arial" w:eastAsia="Times New Roman" w:hAnsi="Arial" w:cs="Arial"/>
                <w:sz w:val="18"/>
                <w:szCs w:val="18"/>
                <w:vertAlign w:val="superscript"/>
              </w:rPr>
              <w:t>**</w:t>
            </w:r>
          </w:p>
        </w:tc>
        <w:tc>
          <w:tcPr>
            <w:tcW w:w="455" w:type="pct"/>
            <w:tcMar>
              <w:left w:w="28" w:type="dxa"/>
              <w:right w:w="28" w:type="dxa"/>
            </w:tcMar>
          </w:tcPr>
          <w:p w14:paraId="46243E10"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-0.022</w:t>
            </w:r>
          </w:p>
        </w:tc>
        <w:tc>
          <w:tcPr>
            <w:tcW w:w="455" w:type="pct"/>
            <w:tcMar>
              <w:left w:w="28" w:type="dxa"/>
              <w:right w:w="28" w:type="dxa"/>
            </w:tcMar>
          </w:tcPr>
          <w:p w14:paraId="776DB71D"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-0.050</w:t>
            </w:r>
          </w:p>
        </w:tc>
        <w:tc>
          <w:tcPr>
            <w:tcW w:w="455" w:type="pct"/>
            <w:tcMar>
              <w:left w:w="28" w:type="dxa"/>
              <w:right w:w="28" w:type="dxa"/>
            </w:tcMar>
          </w:tcPr>
          <w:p w14:paraId="4716C26E"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0.031</w:t>
            </w:r>
          </w:p>
        </w:tc>
        <w:tc>
          <w:tcPr>
            <w:tcW w:w="455" w:type="pct"/>
            <w:tcMar>
              <w:left w:w="28" w:type="dxa"/>
              <w:right w:w="28" w:type="dxa"/>
            </w:tcMar>
          </w:tcPr>
          <w:p w14:paraId="4F2DC935"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0.002</w:t>
            </w:r>
          </w:p>
        </w:tc>
        <w:tc>
          <w:tcPr>
            <w:tcW w:w="455" w:type="pct"/>
            <w:tcMar>
              <w:left w:w="28" w:type="dxa"/>
              <w:right w:w="28" w:type="dxa"/>
            </w:tcMar>
          </w:tcPr>
          <w:p w14:paraId="2A8CC887"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1</w:t>
            </w:r>
          </w:p>
        </w:tc>
        <w:tc>
          <w:tcPr>
            <w:tcW w:w="455" w:type="pct"/>
            <w:tcMar>
              <w:left w:w="28" w:type="dxa"/>
              <w:right w:w="28" w:type="dxa"/>
            </w:tcMar>
          </w:tcPr>
          <w:p w14:paraId="75F5A773"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-0.221</w:t>
            </w:r>
            <w:r w:rsidRPr="007F131A">
              <w:rPr>
                <w:rFonts w:ascii="Arial" w:eastAsia="Times New Roman" w:hAnsi="Arial" w:cs="Arial"/>
                <w:sz w:val="18"/>
                <w:szCs w:val="18"/>
                <w:vertAlign w:val="superscript"/>
              </w:rPr>
              <w:t>**</w:t>
            </w:r>
          </w:p>
        </w:tc>
        <w:tc>
          <w:tcPr>
            <w:tcW w:w="455" w:type="pct"/>
            <w:tcMar>
              <w:left w:w="28" w:type="dxa"/>
              <w:right w:w="28" w:type="dxa"/>
            </w:tcMar>
          </w:tcPr>
          <w:p w14:paraId="6C25E0C2"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0.024</w:t>
            </w:r>
          </w:p>
        </w:tc>
        <w:tc>
          <w:tcPr>
            <w:tcW w:w="455" w:type="pct"/>
            <w:tcMar>
              <w:left w:w="28" w:type="dxa"/>
              <w:right w:w="28" w:type="dxa"/>
            </w:tcMar>
          </w:tcPr>
          <w:p w14:paraId="042C6798"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0.021</w:t>
            </w:r>
          </w:p>
        </w:tc>
        <w:tc>
          <w:tcPr>
            <w:tcW w:w="450" w:type="pct"/>
            <w:tcMar>
              <w:left w:w="28" w:type="dxa"/>
              <w:right w:w="28" w:type="dxa"/>
            </w:tcMar>
          </w:tcPr>
          <w:p w14:paraId="368EE219"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-0.078</w:t>
            </w:r>
            <w:r w:rsidRPr="007F131A">
              <w:rPr>
                <w:rFonts w:ascii="Arial" w:eastAsia="Times New Roman" w:hAnsi="Arial" w:cs="Arial"/>
                <w:sz w:val="18"/>
                <w:szCs w:val="18"/>
                <w:vertAlign w:val="superscript"/>
              </w:rPr>
              <w:t>*</w:t>
            </w:r>
          </w:p>
        </w:tc>
      </w:tr>
      <w:tr w:rsidR="00EB0BEF" w:rsidRPr="007F131A" w14:paraId="6559EE42" w14:textId="77777777" w:rsidTr="00A0419B">
        <w:trPr>
          <w:jc w:val="right"/>
        </w:trPr>
        <w:tc>
          <w:tcPr>
            <w:tcW w:w="455" w:type="pct"/>
            <w:tcBorders>
              <w:right w:val="single" w:sz="4" w:space="0" w:color="auto"/>
            </w:tcBorders>
            <w:tcMar>
              <w:left w:w="28" w:type="dxa"/>
              <w:right w:w="28" w:type="dxa"/>
            </w:tcMar>
          </w:tcPr>
          <w:p w14:paraId="583574E1" w14:textId="77777777" w:rsidR="00EB0BEF" w:rsidRPr="007F131A" w:rsidRDefault="00EB0BEF" w:rsidP="00A0419B">
            <w:pPr>
              <w:spacing w:after="0" w:line="240" w:lineRule="auto"/>
              <w:jc w:val="center"/>
              <w:rPr>
                <w:rFonts w:cs="Times New Roman"/>
                <w:b/>
                <w:i/>
                <w:sz w:val="18"/>
                <w:szCs w:val="18"/>
                <w:lang w:val="en-US"/>
              </w:rPr>
            </w:pPr>
          </w:p>
        </w:tc>
        <w:tc>
          <w:tcPr>
            <w:tcW w:w="455" w:type="pct"/>
            <w:tcBorders>
              <w:left w:val="single" w:sz="4" w:space="0" w:color="auto"/>
            </w:tcBorders>
            <w:tcMar>
              <w:left w:w="28" w:type="dxa"/>
              <w:right w:w="28" w:type="dxa"/>
            </w:tcMar>
          </w:tcPr>
          <w:p w14:paraId="15D1BE59"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2A80114F"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0.555</w:t>
            </w:r>
          </w:p>
        </w:tc>
        <w:tc>
          <w:tcPr>
            <w:tcW w:w="455" w:type="pct"/>
            <w:tcMar>
              <w:left w:w="28" w:type="dxa"/>
              <w:right w:w="28" w:type="dxa"/>
            </w:tcMar>
          </w:tcPr>
          <w:p w14:paraId="0E24C74A"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0.188</w:t>
            </w:r>
          </w:p>
        </w:tc>
        <w:tc>
          <w:tcPr>
            <w:tcW w:w="455" w:type="pct"/>
            <w:tcMar>
              <w:left w:w="28" w:type="dxa"/>
              <w:right w:w="28" w:type="dxa"/>
            </w:tcMar>
          </w:tcPr>
          <w:p w14:paraId="33FE0F37"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0.414</w:t>
            </w:r>
          </w:p>
        </w:tc>
        <w:tc>
          <w:tcPr>
            <w:tcW w:w="455" w:type="pct"/>
            <w:tcMar>
              <w:left w:w="28" w:type="dxa"/>
              <w:right w:w="28" w:type="dxa"/>
            </w:tcMar>
          </w:tcPr>
          <w:p w14:paraId="349A86B3"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0.963</w:t>
            </w:r>
          </w:p>
        </w:tc>
        <w:tc>
          <w:tcPr>
            <w:tcW w:w="455" w:type="pct"/>
            <w:tcMar>
              <w:left w:w="28" w:type="dxa"/>
              <w:right w:w="28" w:type="dxa"/>
            </w:tcMar>
          </w:tcPr>
          <w:p w14:paraId="272E5313"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i/>
                <w:sz w:val="18"/>
                <w:szCs w:val="18"/>
              </w:rPr>
              <w:t> </w:t>
            </w:r>
          </w:p>
        </w:tc>
        <w:tc>
          <w:tcPr>
            <w:tcW w:w="455" w:type="pct"/>
            <w:tcMar>
              <w:left w:w="28" w:type="dxa"/>
              <w:right w:w="28" w:type="dxa"/>
            </w:tcMar>
          </w:tcPr>
          <w:p w14:paraId="3735D5C5"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2756C68D"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0.524</w:t>
            </w:r>
          </w:p>
        </w:tc>
        <w:tc>
          <w:tcPr>
            <w:tcW w:w="455" w:type="pct"/>
            <w:tcMar>
              <w:left w:w="28" w:type="dxa"/>
              <w:right w:w="28" w:type="dxa"/>
            </w:tcMar>
          </w:tcPr>
          <w:p w14:paraId="470BDCD9"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0.583</w:t>
            </w:r>
          </w:p>
        </w:tc>
        <w:tc>
          <w:tcPr>
            <w:tcW w:w="450" w:type="pct"/>
            <w:tcMar>
              <w:left w:w="28" w:type="dxa"/>
              <w:right w:w="28" w:type="dxa"/>
            </w:tcMar>
          </w:tcPr>
          <w:p w14:paraId="2D245191"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0.038</w:t>
            </w:r>
          </w:p>
        </w:tc>
      </w:tr>
      <w:tr w:rsidR="00EB0BEF" w:rsidRPr="007F131A" w14:paraId="4DF30B18" w14:textId="77777777" w:rsidTr="00A0419B">
        <w:trPr>
          <w:trHeight w:val="246"/>
          <w:jc w:val="right"/>
        </w:trPr>
        <w:tc>
          <w:tcPr>
            <w:tcW w:w="455" w:type="pct"/>
            <w:tcBorders>
              <w:right w:val="single" w:sz="4" w:space="0" w:color="auto"/>
            </w:tcBorders>
            <w:tcMar>
              <w:left w:w="28" w:type="dxa"/>
              <w:right w:w="28" w:type="dxa"/>
            </w:tcMar>
          </w:tcPr>
          <w:p w14:paraId="461637DD"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IND</w:t>
            </w:r>
          </w:p>
        </w:tc>
        <w:tc>
          <w:tcPr>
            <w:tcW w:w="455" w:type="pct"/>
            <w:tcBorders>
              <w:left w:val="single" w:sz="4" w:space="0" w:color="auto"/>
            </w:tcBorders>
            <w:tcMar>
              <w:left w:w="28" w:type="dxa"/>
              <w:right w:w="28" w:type="dxa"/>
            </w:tcMar>
          </w:tcPr>
          <w:p w14:paraId="5D69E39D"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0.119</w:t>
            </w:r>
            <w:r w:rsidRPr="007F131A">
              <w:rPr>
                <w:rFonts w:ascii="Arial" w:eastAsia="Times New Roman" w:hAnsi="Arial" w:cs="Arial"/>
                <w:sz w:val="18"/>
                <w:szCs w:val="18"/>
                <w:vertAlign w:val="superscript"/>
              </w:rPr>
              <w:t>**</w:t>
            </w:r>
          </w:p>
        </w:tc>
        <w:tc>
          <w:tcPr>
            <w:tcW w:w="455" w:type="pct"/>
            <w:tcMar>
              <w:left w:w="28" w:type="dxa"/>
              <w:right w:w="28" w:type="dxa"/>
            </w:tcMar>
          </w:tcPr>
          <w:p w14:paraId="424DDF11"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-0.085</w:t>
            </w:r>
            <w:r w:rsidRPr="007F131A">
              <w:rPr>
                <w:rFonts w:ascii="Arial" w:eastAsia="Times New Roman" w:hAnsi="Arial" w:cs="Arial"/>
                <w:sz w:val="18"/>
                <w:szCs w:val="18"/>
                <w:vertAlign w:val="superscript"/>
              </w:rPr>
              <w:t>*</w:t>
            </w:r>
          </w:p>
        </w:tc>
        <w:tc>
          <w:tcPr>
            <w:tcW w:w="455" w:type="pct"/>
            <w:tcMar>
              <w:left w:w="28" w:type="dxa"/>
              <w:right w:w="28" w:type="dxa"/>
            </w:tcMar>
          </w:tcPr>
          <w:p w14:paraId="407371A2"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-0.003</w:t>
            </w:r>
          </w:p>
        </w:tc>
        <w:tc>
          <w:tcPr>
            <w:tcW w:w="455" w:type="pct"/>
            <w:tcMar>
              <w:left w:w="28" w:type="dxa"/>
              <w:right w:w="28" w:type="dxa"/>
            </w:tcMar>
          </w:tcPr>
          <w:p w14:paraId="27DB2141"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-0.191</w:t>
            </w:r>
            <w:r w:rsidRPr="007F131A">
              <w:rPr>
                <w:rFonts w:ascii="Arial" w:eastAsia="Times New Roman" w:hAnsi="Arial" w:cs="Arial"/>
                <w:sz w:val="18"/>
                <w:szCs w:val="18"/>
                <w:vertAlign w:val="superscript"/>
              </w:rPr>
              <w:t>**</w:t>
            </w:r>
          </w:p>
        </w:tc>
        <w:tc>
          <w:tcPr>
            <w:tcW w:w="455" w:type="pct"/>
            <w:tcMar>
              <w:left w:w="28" w:type="dxa"/>
              <w:right w:w="28" w:type="dxa"/>
            </w:tcMar>
          </w:tcPr>
          <w:p w14:paraId="1C978671"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-0.027</w:t>
            </w:r>
          </w:p>
        </w:tc>
        <w:tc>
          <w:tcPr>
            <w:tcW w:w="455" w:type="pct"/>
            <w:tcMar>
              <w:left w:w="28" w:type="dxa"/>
              <w:right w:w="28" w:type="dxa"/>
            </w:tcMar>
          </w:tcPr>
          <w:p w14:paraId="7C0D6FFE"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-0.024</w:t>
            </w:r>
          </w:p>
        </w:tc>
        <w:tc>
          <w:tcPr>
            <w:tcW w:w="455" w:type="pct"/>
            <w:tcMar>
              <w:left w:w="28" w:type="dxa"/>
              <w:right w:w="28" w:type="dxa"/>
            </w:tcMar>
          </w:tcPr>
          <w:p w14:paraId="2A8E6666"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1</w:t>
            </w:r>
          </w:p>
        </w:tc>
        <w:tc>
          <w:tcPr>
            <w:tcW w:w="455" w:type="pct"/>
            <w:tcMar>
              <w:left w:w="28" w:type="dxa"/>
              <w:right w:w="28" w:type="dxa"/>
            </w:tcMar>
          </w:tcPr>
          <w:p w14:paraId="33FB2C19"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-0.030</w:t>
            </w:r>
          </w:p>
        </w:tc>
        <w:tc>
          <w:tcPr>
            <w:tcW w:w="455" w:type="pct"/>
            <w:tcMar>
              <w:left w:w="28" w:type="dxa"/>
              <w:right w:w="28" w:type="dxa"/>
            </w:tcMar>
          </w:tcPr>
          <w:p w14:paraId="45D79B2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-0.162</w:t>
            </w:r>
            <w:r w:rsidRPr="007F131A">
              <w:rPr>
                <w:rFonts w:ascii="Arial" w:eastAsia="Times New Roman" w:hAnsi="Arial" w:cs="Arial"/>
                <w:sz w:val="18"/>
                <w:szCs w:val="18"/>
                <w:vertAlign w:val="superscript"/>
              </w:rPr>
              <w:t>**</w:t>
            </w:r>
          </w:p>
        </w:tc>
        <w:tc>
          <w:tcPr>
            <w:tcW w:w="450" w:type="pct"/>
            <w:tcMar>
              <w:left w:w="28" w:type="dxa"/>
              <w:right w:w="28" w:type="dxa"/>
            </w:tcMar>
          </w:tcPr>
          <w:p w14:paraId="7B6788AB"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-0.076</w:t>
            </w:r>
            <w:r w:rsidRPr="007F131A">
              <w:rPr>
                <w:rFonts w:ascii="Arial" w:eastAsia="Times New Roman" w:hAnsi="Arial" w:cs="Arial"/>
                <w:sz w:val="18"/>
                <w:szCs w:val="18"/>
                <w:vertAlign w:val="superscript"/>
              </w:rPr>
              <w:t>*</w:t>
            </w:r>
          </w:p>
        </w:tc>
      </w:tr>
      <w:tr w:rsidR="00EB0BEF" w:rsidRPr="007F131A" w14:paraId="0264ED8F" w14:textId="77777777" w:rsidTr="00A0419B">
        <w:trPr>
          <w:trHeight w:val="246"/>
          <w:jc w:val="right"/>
        </w:trPr>
        <w:tc>
          <w:tcPr>
            <w:tcW w:w="455" w:type="pct"/>
            <w:tcBorders>
              <w:right w:val="single" w:sz="4" w:space="0" w:color="auto"/>
            </w:tcBorders>
            <w:tcMar>
              <w:left w:w="28" w:type="dxa"/>
              <w:right w:w="28" w:type="dxa"/>
            </w:tcMar>
          </w:tcPr>
          <w:p w14:paraId="7FFD8509" w14:textId="77777777" w:rsidR="00EB0BEF" w:rsidRPr="007F131A" w:rsidRDefault="00EB0BEF" w:rsidP="00A0419B">
            <w:pPr>
              <w:spacing w:after="0" w:line="240" w:lineRule="auto"/>
              <w:jc w:val="center"/>
              <w:rPr>
                <w:rFonts w:eastAsia="Times New Roman"/>
                <w:b/>
                <w:i/>
                <w:sz w:val="18"/>
                <w:szCs w:val="18"/>
              </w:rPr>
            </w:pPr>
          </w:p>
        </w:tc>
        <w:tc>
          <w:tcPr>
            <w:tcW w:w="455" w:type="pct"/>
            <w:tcBorders>
              <w:left w:val="single" w:sz="4" w:space="0" w:color="auto"/>
            </w:tcBorders>
            <w:tcMar>
              <w:left w:w="28" w:type="dxa"/>
              <w:right w:w="28" w:type="dxa"/>
            </w:tcMar>
          </w:tcPr>
          <w:p w14:paraId="3BE5AAFF"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0.002</w:t>
            </w:r>
          </w:p>
        </w:tc>
        <w:tc>
          <w:tcPr>
            <w:tcW w:w="455" w:type="pct"/>
            <w:tcMar>
              <w:left w:w="28" w:type="dxa"/>
              <w:right w:w="28" w:type="dxa"/>
            </w:tcMar>
          </w:tcPr>
          <w:p w14:paraId="74DDD4DF"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0.024</w:t>
            </w:r>
          </w:p>
        </w:tc>
        <w:tc>
          <w:tcPr>
            <w:tcW w:w="455" w:type="pct"/>
            <w:tcMar>
              <w:left w:w="28" w:type="dxa"/>
              <w:right w:w="28" w:type="dxa"/>
            </w:tcMar>
          </w:tcPr>
          <w:p w14:paraId="7D3C5FDA"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0.940</w:t>
            </w:r>
          </w:p>
        </w:tc>
        <w:tc>
          <w:tcPr>
            <w:tcW w:w="455" w:type="pct"/>
            <w:tcMar>
              <w:left w:w="28" w:type="dxa"/>
              <w:right w:w="28" w:type="dxa"/>
            </w:tcMar>
          </w:tcPr>
          <w:p w14:paraId="10361D51"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070F6E4B"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0.475</w:t>
            </w:r>
          </w:p>
        </w:tc>
        <w:tc>
          <w:tcPr>
            <w:tcW w:w="455" w:type="pct"/>
            <w:tcMar>
              <w:left w:w="28" w:type="dxa"/>
              <w:right w:w="28" w:type="dxa"/>
            </w:tcMar>
          </w:tcPr>
          <w:p w14:paraId="7606D9C2"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0.523</w:t>
            </w:r>
          </w:p>
        </w:tc>
        <w:tc>
          <w:tcPr>
            <w:tcW w:w="455" w:type="pct"/>
            <w:tcMar>
              <w:left w:w="28" w:type="dxa"/>
              <w:right w:w="28" w:type="dxa"/>
            </w:tcMar>
          </w:tcPr>
          <w:p w14:paraId="7FDCCF40"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i/>
                <w:sz w:val="18"/>
                <w:szCs w:val="18"/>
              </w:rPr>
              <w:t> </w:t>
            </w:r>
          </w:p>
        </w:tc>
        <w:tc>
          <w:tcPr>
            <w:tcW w:w="455" w:type="pct"/>
            <w:tcMar>
              <w:left w:w="28" w:type="dxa"/>
              <w:right w:w="28" w:type="dxa"/>
            </w:tcMar>
          </w:tcPr>
          <w:p w14:paraId="5507BA1E"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0.435</w:t>
            </w:r>
          </w:p>
        </w:tc>
        <w:tc>
          <w:tcPr>
            <w:tcW w:w="455" w:type="pct"/>
            <w:tcMar>
              <w:left w:w="28" w:type="dxa"/>
              <w:right w:w="28" w:type="dxa"/>
            </w:tcMar>
          </w:tcPr>
          <w:p w14:paraId="247BF215"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0.000</w:t>
            </w:r>
          </w:p>
        </w:tc>
        <w:tc>
          <w:tcPr>
            <w:tcW w:w="450" w:type="pct"/>
            <w:tcMar>
              <w:left w:w="28" w:type="dxa"/>
              <w:right w:w="28" w:type="dxa"/>
            </w:tcMar>
          </w:tcPr>
          <w:p w14:paraId="4202D9A9" w14:textId="77777777" w:rsidR="00EB0BEF" w:rsidRPr="007F131A" w:rsidRDefault="00EB0BEF" w:rsidP="00A0419B">
            <w:pPr>
              <w:spacing w:after="0" w:line="240" w:lineRule="auto"/>
              <w:jc w:val="center"/>
              <w:rPr>
                <w:i/>
                <w:sz w:val="18"/>
                <w:szCs w:val="18"/>
                <w:lang w:val="en-US"/>
              </w:rPr>
            </w:pPr>
            <w:r w:rsidRPr="007F131A">
              <w:rPr>
                <w:rFonts w:ascii="Arial" w:eastAsia="Times New Roman" w:hAnsi="Arial" w:cs="Arial"/>
                <w:sz w:val="18"/>
                <w:szCs w:val="18"/>
              </w:rPr>
              <w:t>0.044</w:t>
            </w:r>
          </w:p>
        </w:tc>
      </w:tr>
      <w:tr w:rsidR="00EB0BEF" w:rsidRPr="007F131A" w14:paraId="361BE94E" w14:textId="77777777" w:rsidTr="00A0419B">
        <w:trPr>
          <w:jc w:val="right"/>
        </w:trPr>
        <w:tc>
          <w:tcPr>
            <w:tcW w:w="455" w:type="pct"/>
            <w:tcBorders>
              <w:right w:val="single" w:sz="4" w:space="0" w:color="auto"/>
            </w:tcBorders>
            <w:tcMar>
              <w:left w:w="28" w:type="dxa"/>
              <w:right w:w="28" w:type="dxa"/>
            </w:tcMar>
          </w:tcPr>
          <w:p w14:paraId="74FA2D29"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AUDIT</w:t>
            </w:r>
          </w:p>
        </w:tc>
        <w:tc>
          <w:tcPr>
            <w:tcW w:w="455" w:type="pct"/>
            <w:tcBorders>
              <w:left w:val="single" w:sz="4" w:space="0" w:color="auto"/>
            </w:tcBorders>
            <w:tcMar>
              <w:left w:w="28" w:type="dxa"/>
              <w:right w:w="28" w:type="dxa"/>
            </w:tcMar>
          </w:tcPr>
          <w:p w14:paraId="3CA3702A"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0.051</w:t>
            </w:r>
          </w:p>
        </w:tc>
        <w:tc>
          <w:tcPr>
            <w:tcW w:w="455" w:type="pct"/>
            <w:tcMar>
              <w:left w:w="28" w:type="dxa"/>
              <w:right w:w="28" w:type="dxa"/>
            </w:tcMar>
          </w:tcPr>
          <w:p w14:paraId="6512C5CF"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-0.014</w:t>
            </w:r>
          </w:p>
        </w:tc>
        <w:tc>
          <w:tcPr>
            <w:tcW w:w="455" w:type="pct"/>
            <w:tcMar>
              <w:left w:w="28" w:type="dxa"/>
              <w:right w:w="28" w:type="dxa"/>
            </w:tcMar>
          </w:tcPr>
          <w:p w14:paraId="1C3B8C2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0.282</w:t>
            </w:r>
            <w:r w:rsidRPr="007F131A">
              <w:rPr>
                <w:rFonts w:ascii="Arial" w:eastAsia="Times New Roman" w:hAnsi="Arial" w:cs="Arial"/>
                <w:sz w:val="18"/>
                <w:szCs w:val="18"/>
                <w:vertAlign w:val="superscript"/>
              </w:rPr>
              <w:t>**</w:t>
            </w:r>
          </w:p>
        </w:tc>
        <w:tc>
          <w:tcPr>
            <w:tcW w:w="455" w:type="pct"/>
            <w:tcMar>
              <w:left w:w="28" w:type="dxa"/>
              <w:right w:w="28" w:type="dxa"/>
            </w:tcMar>
          </w:tcPr>
          <w:p w14:paraId="337BF0CF"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-0.031</w:t>
            </w:r>
          </w:p>
        </w:tc>
        <w:tc>
          <w:tcPr>
            <w:tcW w:w="455" w:type="pct"/>
            <w:tcMar>
              <w:left w:w="28" w:type="dxa"/>
              <w:right w:w="28" w:type="dxa"/>
            </w:tcMar>
          </w:tcPr>
          <w:p w14:paraId="34D203BA"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0.017</w:t>
            </w:r>
          </w:p>
        </w:tc>
        <w:tc>
          <w:tcPr>
            <w:tcW w:w="455" w:type="pct"/>
            <w:tcMar>
              <w:left w:w="28" w:type="dxa"/>
              <w:right w:w="28" w:type="dxa"/>
            </w:tcMar>
          </w:tcPr>
          <w:p w14:paraId="77E5B7D4"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-0.010</w:t>
            </w:r>
          </w:p>
        </w:tc>
        <w:tc>
          <w:tcPr>
            <w:tcW w:w="455" w:type="pct"/>
            <w:tcMar>
              <w:left w:w="28" w:type="dxa"/>
              <w:right w:w="28" w:type="dxa"/>
            </w:tcMar>
          </w:tcPr>
          <w:p w14:paraId="42CA483C"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-0.030</w:t>
            </w:r>
          </w:p>
        </w:tc>
        <w:tc>
          <w:tcPr>
            <w:tcW w:w="455" w:type="pct"/>
            <w:tcMar>
              <w:left w:w="28" w:type="dxa"/>
              <w:right w:w="28" w:type="dxa"/>
            </w:tcMar>
          </w:tcPr>
          <w:p w14:paraId="65420853"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1</w:t>
            </w:r>
          </w:p>
        </w:tc>
        <w:tc>
          <w:tcPr>
            <w:tcW w:w="455" w:type="pct"/>
            <w:tcMar>
              <w:left w:w="28" w:type="dxa"/>
              <w:right w:w="28" w:type="dxa"/>
            </w:tcMar>
          </w:tcPr>
          <w:p w14:paraId="314652E3"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0.057</w:t>
            </w:r>
          </w:p>
        </w:tc>
        <w:tc>
          <w:tcPr>
            <w:tcW w:w="450" w:type="pct"/>
            <w:tcMar>
              <w:left w:w="28" w:type="dxa"/>
              <w:right w:w="28" w:type="dxa"/>
            </w:tcMar>
          </w:tcPr>
          <w:p w14:paraId="71E6962B"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0.016</w:t>
            </w:r>
          </w:p>
        </w:tc>
      </w:tr>
      <w:tr w:rsidR="00EB0BEF" w:rsidRPr="007F131A" w14:paraId="0F41A461" w14:textId="77777777" w:rsidTr="00A0419B">
        <w:trPr>
          <w:jc w:val="right"/>
        </w:trPr>
        <w:tc>
          <w:tcPr>
            <w:tcW w:w="455" w:type="pct"/>
            <w:tcBorders>
              <w:right w:val="single" w:sz="4" w:space="0" w:color="auto"/>
            </w:tcBorders>
            <w:tcMar>
              <w:left w:w="28" w:type="dxa"/>
              <w:right w:w="28" w:type="dxa"/>
            </w:tcMar>
          </w:tcPr>
          <w:p w14:paraId="67D22E93" w14:textId="77777777" w:rsidR="00EB0BEF" w:rsidRPr="007F131A" w:rsidRDefault="00EB0BEF" w:rsidP="00A0419B">
            <w:pPr>
              <w:spacing w:after="0" w:line="240" w:lineRule="auto"/>
              <w:jc w:val="center"/>
              <w:rPr>
                <w:rFonts w:cs="Times New Roman"/>
                <w:b/>
                <w:i/>
                <w:sz w:val="18"/>
                <w:szCs w:val="18"/>
                <w:lang w:val="en-US"/>
              </w:rPr>
            </w:pPr>
          </w:p>
        </w:tc>
        <w:tc>
          <w:tcPr>
            <w:tcW w:w="455" w:type="pct"/>
            <w:tcBorders>
              <w:left w:val="single" w:sz="4" w:space="0" w:color="auto"/>
            </w:tcBorders>
            <w:tcMar>
              <w:left w:w="28" w:type="dxa"/>
              <w:right w:w="28" w:type="dxa"/>
            </w:tcMar>
          </w:tcPr>
          <w:p w14:paraId="0551A40F"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0.175</w:t>
            </w:r>
          </w:p>
        </w:tc>
        <w:tc>
          <w:tcPr>
            <w:tcW w:w="455" w:type="pct"/>
            <w:tcMar>
              <w:left w:w="28" w:type="dxa"/>
              <w:right w:w="28" w:type="dxa"/>
            </w:tcMar>
          </w:tcPr>
          <w:p w14:paraId="280F8115"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0.712</w:t>
            </w:r>
          </w:p>
        </w:tc>
        <w:tc>
          <w:tcPr>
            <w:tcW w:w="455" w:type="pct"/>
            <w:tcMar>
              <w:left w:w="28" w:type="dxa"/>
              <w:right w:w="28" w:type="dxa"/>
            </w:tcMar>
          </w:tcPr>
          <w:p w14:paraId="75D7CDDB"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7301327B"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0.410</w:t>
            </w:r>
          </w:p>
        </w:tc>
        <w:tc>
          <w:tcPr>
            <w:tcW w:w="455" w:type="pct"/>
            <w:tcMar>
              <w:left w:w="28" w:type="dxa"/>
              <w:right w:w="28" w:type="dxa"/>
            </w:tcMar>
          </w:tcPr>
          <w:p w14:paraId="0FFA967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0.645</w:t>
            </w:r>
          </w:p>
        </w:tc>
        <w:tc>
          <w:tcPr>
            <w:tcW w:w="455" w:type="pct"/>
            <w:tcMar>
              <w:left w:w="28" w:type="dxa"/>
              <w:right w:w="28" w:type="dxa"/>
            </w:tcMar>
          </w:tcPr>
          <w:p w14:paraId="1B6C125A"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0.789</w:t>
            </w:r>
          </w:p>
        </w:tc>
        <w:tc>
          <w:tcPr>
            <w:tcW w:w="455" w:type="pct"/>
            <w:tcMar>
              <w:left w:w="28" w:type="dxa"/>
              <w:right w:w="28" w:type="dxa"/>
            </w:tcMar>
          </w:tcPr>
          <w:p w14:paraId="1C08D17A"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0.435</w:t>
            </w:r>
          </w:p>
        </w:tc>
        <w:tc>
          <w:tcPr>
            <w:tcW w:w="455" w:type="pct"/>
            <w:tcMar>
              <w:left w:w="28" w:type="dxa"/>
              <w:right w:w="28" w:type="dxa"/>
            </w:tcMar>
          </w:tcPr>
          <w:p w14:paraId="1958F370"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i/>
                <w:sz w:val="18"/>
                <w:szCs w:val="18"/>
              </w:rPr>
              <w:t> </w:t>
            </w:r>
          </w:p>
        </w:tc>
        <w:tc>
          <w:tcPr>
            <w:tcW w:w="455" w:type="pct"/>
            <w:tcMar>
              <w:left w:w="28" w:type="dxa"/>
              <w:right w:w="28" w:type="dxa"/>
            </w:tcMar>
          </w:tcPr>
          <w:p w14:paraId="047FD96C"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0.134</w:t>
            </w:r>
          </w:p>
        </w:tc>
        <w:tc>
          <w:tcPr>
            <w:tcW w:w="450" w:type="pct"/>
            <w:tcMar>
              <w:left w:w="28" w:type="dxa"/>
              <w:right w:w="28" w:type="dxa"/>
            </w:tcMar>
          </w:tcPr>
          <w:p w14:paraId="37C4AD85"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0.671</w:t>
            </w:r>
          </w:p>
        </w:tc>
      </w:tr>
      <w:tr w:rsidR="00EB0BEF" w:rsidRPr="007F131A" w14:paraId="72907649" w14:textId="77777777" w:rsidTr="00A0419B">
        <w:trPr>
          <w:jc w:val="right"/>
        </w:trPr>
        <w:tc>
          <w:tcPr>
            <w:tcW w:w="455" w:type="pct"/>
            <w:tcBorders>
              <w:right w:val="single" w:sz="4" w:space="0" w:color="auto"/>
            </w:tcBorders>
            <w:tcMar>
              <w:left w:w="28" w:type="dxa"/>
              <w:right w:w="28" w:type="dxa"/>
            </w:tcMar>
          </w:tcPr>
          <w:p w14:paraId="644BE7A4"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OWN</w:t>
            </w:r>
          </w:p>
        </w:tc>
        <w:tc>
          <w:tcPr>
            <w:tcW w:w="455" w:type="pct"/>
            <w:tcBorders>
              <w:left w:val="single" w:sz="4" w:space="0" w:color="auto"/>
            </w:tcBorders>
            <w:tcMar>
              <w:left w:w="28" w:type="dxa"/>
              <w:right w:w="28" w:type="dxa"/>
            </w:tcMar>
          </w:tcPr>
          <w:p w14:paraId="4F026694"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0.008</w:t>
            </w:r>
          </w:p>
        </w:tc>
        <w:tc>
          <w:tcPr>
            <w:tcW w:w="455" w:type="pct"/>
            <w:tcMar>
              <w:left w:w="28" w:type="dxa"/>
              <w:right w:w="28" w:type="dxa"/>
            </w:tcMar>
          </w:tcPr>
          <w:p w14:paraId="2A261A1A"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0.004</w:t>
            </w:r>
          </w:p>
        </w:tc>
        <w:tc>
          <w:tcPr>
            <w:tcW w:w="455" w:type="pct"/>
            <w:tcMar>
              <w:left w:w="28" w:type="dxa"/>
              <w:right w:w="28" w:type="dxa"/>
            </w:tcMar>
          </w:tcPr>
          <w:p w14:paraId="12C42539"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0.011</w:t>
            </w:r>
          </w:p>
        </w:tc>
        <w:tc>
          <w:tcPr>
            <w:tcW w:w="455" w:type="pct"/>
            <w:tcMar>
              <w:left w:w="28" w:type="dxa"/>
              <w:right w:w="28" w:type="dxa"/>
            </w:tcMar>
          </w:tcPr>
          <w:p w14:paraId="09D4C404"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0.014</w:t>
            </w:r>
          </w:p>
        </w:tc>
        <w:tc>
          <w:tcPr>
            <w:tcW w:w="455" w:type="pct"/>
            <w:tcMar>
              <w:left w:w="28" w:type="dxa"/>
              <w:right w:w="28" w:type="dxa"/>
            </w:tcMar>
          </w:tcPr>
          <w:p w14:paraId="42708BCB"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0.065</w:t>
            </w:r>
          </w:p>
        </w:tc>
        <w:tc>
          <w:tcPr>
            <w:tcW w:w="455" w:type="pct"/>
            <w:tcMar>
              <w:left w:w="28" w:type="dxa"/>
              <w:right w:w="28" w:type="dxa"/>
            </w:tcMar>
          </w:tcPr>
          <w:p w14:paraId="72AFC961"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0.007</w:t>
            </w:r>
          </w:p>
        </w:tc>
        <w:tc>
          <w:tcPr>
            <w:tcW w:w="455" w:type="pct"/>
            <w:tcMar>
              <w:left w:w="28" w:type="dxa"/>
              <w:right w:w="28" w:type="dxa"/>
            </w:tcMar>
          </w:tcPr>
          <w:p w14:paraId="5CCD77E3"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-0.162</w:t>
            </w:r>
            <w:r w:rsidRPr="007F131A">
              <w:rPr>
                <w:rFonts w:ascii="Arial" w:eastAsia="Times New Roman" w:hAnsi="Arial" w:cs="Arial"/>
                <w:sz w:val="18"/>
                <w:szCs w:val="18"/>
                <w:vertAlign w:val="superscript"/>
              </w:rPr>
              <w:t>**</w:t>
            </w:r>
          </w:p>
        </w:tc>
        <w:tc>
          <w:tcPr>
            <w:tcW w:w="455" w:type="pct"/>
            <w:tcMar>
              <w:left w:w="28" w:type="dxa"/>
              <w:right w:w="28" w:type="dxa"/>
            </w:tcMar>
          </w:tcPr>
          <w:p w14:paraId="517D1DCC"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0.057</w:t>
            </w:r>
          </w:p>
        </w:tc>
        <w:tc>
          <w:tcPr>
            <w:tcW w:w="455" w:type="pct"/>
            <w:tcMar>
              <w:left w:w="28" w:type="dxa"/>
              <w:right w:w="28" w:type="dxa"/>
            </w:tcMar>
          </w:tcPr>
          <w:p w14:paraId="47ED0F40"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1</w:t>
            </w:r>
          </w:p>
        </w:tc>
        <w:tc>
          <w:tcPr>
            <w:tcW w:w="450" w:type="pct"/>
            <w:tcMar>
              <w:left w:w="28" w:type="dxa"/>
              <w:right w:w="28" w:type="dxa"/>
            </w:tcMar>
          </w:tcPr>
          <w:p w14:paraId="6C6ED28E"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0.471</w:t>
            </w:r>
            <w:r w:rsidRPr="007F131A">
              <w:rPr>
                <w:rFonts w:ascii="Arial" w:eastAsia="Times New Roman" w:hAnsi="Arial" w:cs="Arial"/>
                <w:sz w:val="18"/>
                <w:szCs w:val="18"/>
                <w:vertAlign w:val="superscript"/>
              </w:rPr>
              <w:t>**</w:t>
            </w:r>
          </w:p>
        </w:tc>
      </w:tr>
      <w:tr w:rsidR="00EB0BEF" w:rsidRPr="007F131A" w14:paraId="1A7C3953" w14:textId="77777777" w:rsidTr="00A0419B">
        <w:trPr>
          <w:jc w:val="right"/>
        </w:trPr>
        <w:tc>
          <w:tcPr>
            <w:tcW w:w="455" w:type="pct"/>
            <w:tcBorders>
              <w:right w:val="single" w:sz="4" w:space="0" w:color="auto"/>
            </w:tcBorders>
            <w:tcMar>
              <w:left w:w="28" w:type="dxa"/>
              <w:right w:w="28" w:type="dxa"/>
            </w:tcMar>
          </w:tcPr>
          <w:p w14:paraId="2B16D385" w14:textId="77777777" w:rsidR="00EB0BEF" w:rsidRPr="007F131A" w:rsidRDefault="00EB0BEF" w:rsidP="00A0419B">
            <w:pPr>
              <w:spacing w:after="0" w:line="240" w:lineRule="auto"/>
              <w:jc w:val="center"/>
              <w:rPr>
                <w:rFonts w:cs="Times New Roman"/>
                <w:b/>
                <w:i/>
                <w:sz w:val="18"/>
                <w:szCs w:val="18"/>
                <w:lang w:val="en-US"/>
              </w:rPr>
            </w:pPr>
          </w:p>
        </w:tc>
        <w:tc>
          <w:tcPr>
            <w:tcW w:w="455" w:type="pct"/>
            <w:tcBorders>
              <w:left w:val="single" w:sz="4" w:space="0" w:color="auto"/>
            </w:tcBorders>
            <w:tcMar>
              <w:left w:w="28" w:type="dxa"/>
              <w:right w:w="28" w:type="dxa"/>
            </w:tcMar>
          </w:tcPr>
          <w:p w14:paraId="25BD58A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0.833</w:t>
            </w:r>
          </w:p>
        </w:tc>
        <w:tc>
          <w:tcPr>
            <w:tcW w:w="455" w:type="pct"/>
            <w:tcMar>
              <w:left w:w="28" w:type="dxa"/>
              <w:right w:w="28" w:type="dxa"/>
            </w:tcMar>
          </w:tcPr>
          <w:p w14:paraId="6BFFCA00"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0.907</w:t>
            </w:r>
          </w:p>
        </w:tc>
        <w:tc>
          <w:tcPr>
            <w:tcW w:w="455" w:type="pct"/>
            <w:tcMar>
              <w:left w:w="28" w:type="dxa"/>
              <w:right w:w="28" w:type="dxa"/>
            </w:tcMar>
          </w:tcPr>
          <w:p w14:paraId="4EF54415"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0.775</w:t>
            </w:r>
          </w:p>
        </w:tc>
        <w:tc>
          <w:tcPr>
            <w:tcW w:w="455" w:type="pct"/>
            <w:tcMar>
              <w:left w:w="28" w:type="dxa"/>
              <w:right w:w="28" w:type="dxa"/>
            </w:tcMar>
          </w:tcPr>
          <w:p w14:paraId="3241AAA1"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0.715</w:t>
            </w:r>
          </w:p>
        </w:tc>
        <w:tc>
          <w:tcPr>
            <w:tcW w:w="455" w:type="pct"/>
            <w:tcMar>
              <w:left w:w="28" w:type="dxa"/>
              <w:right w:w="28" w:type="dxa"/>
            </w:tcMar>
          </w:tcPr>
          <w:p w14:paraId="1C3BA387"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0.086</w:t>
            </w:r>
          </w:p>
        </w:tc>
        <w:tc>
          <w:tcPr>
            <w:tcW w:w="455" w:type="pct"/>
            <w:tcMar>
              <w:left w:w="28" w:type="dxa"/>
              <w:right w:w="28" w:type="dxa"/>
            </w:tcMar>
          </w:tcPr>
          <w:p w14:paraId="36FD3EFF"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0.843</w:t>
            </w:r>
          </w:p>
        </w:tc>
        <w:tc>
          <w:tcPr>
            <w:tcW w:w="455" w:type="pct"/>
            <w:tcMar>
              <w:left w:w="28" w:type="dxa"/>
              <w:right w:w="28" w:type="dxa"/>
            </w:tcMar>
          </w:tcPr>
          <w:p w14:paraId="2C668505"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0.000</w:t>
            </w:r>
          </w:p>
        </w:tc>
        <w:tc>
          <w:tcPr>
            <w:tcW w:w="455" w:type="pct"/>
            <w:tcMar>
              <w:left w:w="28" w:type="dxa"/>
              <w:right w:w="28" w:type="dxa"/>
            </w:tcMar>
          </w:tcPr>
          <w:p w14:paraId="7409D61F"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0.134</w:t>
            </w:r>
          </w:p>
        </w:tc>
        <w:tc>
          <w:tcPr>
            <w:tcW w:w="455" w:type="pct"/>
            <w:tcMar>
              <w:left w:w="28" w:type="dxa"/>
              <w:right w:w="28" w:type="dxa"/>
            </w:tcMar>
          </w:tcPr>
          <w:p w14:paraId="38686424"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i/>
                <w:sz w:val="18"/>
                <w:szCs w:val="18"/>
              </w:rPr>
              <w:t> </w:t>
            </w:r>
          </w:p>
        </w:tc>
        <w:tc>
          <w:tcPr>
            <w:tcW w:w="450" w:type="pct"/>
            <w:tcMar>
              <w:left w:w="28" w:type="dxa"/>
              <w:right w:w="28" w:type="dxa"/>
            </w:tcMar>
          </w:tcPr>
          <w:p w14:paraId="17D67CB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0.000</w:t>
            </w:r>
          </w:p>
        </w:tc>
      </w:tr>
      <w:tr w:rsidR="00EB0BEF" w:rsidRPr="007F131A" w14:paraId="544F3729" w14:textId="77777777" w:rsidTr="00A0419B">
        <w:trPr>
          <w:trHeight w:val="246"/>
          <w:jc w:val="right"/>
        </w:trPr>
        <w:tc>
          <w:tcPr>
            <w:tcW w:w="455" w:type="pct"/>
            <w:tcBorders>
              <w:right w:val="single" w:sz="4" w:space="0" w:color="auto"/>
            </w:tcBorders>
            <w:tcMar>
              <w:left w:w="28" w:type="dxa"/>
              <w:right w:w="28" w:type="dxa"/>
            </w:tcMar>
          </w:tcPr>
          <w:p w14:paraId="2AAFF6C0" w14:textId="77777777" w:rsidR="00EB0BEF" w:rsidRPr="007F131A" w:rsidRDefault="00EB0BEF" w:rsidP="00A0419B">
            <w:pPr>
              <w:spacing w:after="0" w:line="240" w:lineRule="auto"/>
              <w:jc w:val="center"/>
              <w:rPr>
                <w:rFonts w:cs="Times New Roman"/>
                <w:b/>
                <w:sz w:val="18"/>
                <w:szCs w:val="18"/>
                <w:lang w:val="en-US"/>
              </w:rPr>
            </w:pPr>
            <w:r w:rsidRPr="007F131A">
              <w:rPr>
                <w:rFonts w:ascii="Calibri" w:eastAsia="Times New Roman" w:hAnsi="Calibri"/>
                <w:b/>
                <w:sz w:val="18"/>
                <w:szCs w:val="18"/>
              </w:rPr>
              <w:t>FAM</w:t>
            </w:r>
          </w:p>
        </w:tc>
        <w:tc>
          <w:tcPr>
            <w:tcW w:w="455" w:type="pct"/>
            <w:tcBorders>
              <w:left w:val="single" w:sz="4" w:space="0" w:color="auto"/>
            </w:tcBorders>
            <w:tcMar>
              <w:left w:w="28" w:type="dxa"/>
              <w:right w:w="28" w:type="dxa"/>
            </w:tcMar>
          </w:tcPr>
          <w:p w14:paraId="3B99F62C"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0.089</w:t>
            </w:r>
            <w:r w:rsidRPr="007F131A">
              <w:rPr>
                <w:rFonts w:ascii="Arial" w:eastAsia="Times New Roman" w:hAnsi="Arial" w:cs="Arial"/>
                <w:sz w:val="18"/>
                <w:szCs w:val="18"/>
                <w:vertAlign w:val="superscript"/>
              </w:rPr>
              <w:t>*</w:t>
            </w:r>
          </w:p>
        </w:tc>
        <w:tc>
          <w:tcPr>
            <w:tcW w:w="455" w:type="pct"/>
            <w:tcMar>
              <w:left w:w="28" w:type="dxa"/>
              <w:right w:w="28" w:type="dxa"/>
            </w:tcMar>
          </w:tcPr>
          <w:p w14:paraId="1C85C855"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-0.052</w:t>
            </w:r>
          </w:p>
        </w:tc>
        <w:tc>
          <w:tcPr>
            <w:tcW w:w="455" w:type="pct"/>
            <w:tcMar>
              <w:left w:w="28" w:type="dxa"/>
              <w:right w:w="28" w:type="dxa"/>
            </w:tcMar>
          </w:tcPr>
          <w:p w14:paraId="53633042"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-0.048</w:t>
            </w:r>
          </w:p>
        </w:tc>
        <w:tc>
          <w:tcPr>
            <w:tcW w:w="455" w:type="pct"/>
            <w:tcMar>
              <w:left w:w="28" w:type="dxa"/>
              <w:right w:w="28" w:type="dxa"/>
            </w:tcMar>
          </w:tcPr>
          <w:p w14:paraId="1F3F237A"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-0.077</w:t>
            </w:r>
            <w:r w:rsidRPr="007F131A">
              <w:rPr>
                <w:rFonts w:ascii="Arial" w:eastAsia="Times New Roman" w:hAnsi="Arial" w:cs="Arial"/>
                <w:sz w:val="18"/>
                <w:szCs w:val="18"/>
                <w:vertAlign w:val="superscript"/>
              </w:rPr>
              <w:t>*</w:t>
            </w:r>
          </w:p>
        </w:tc>
        <w:tc>
          <w:tcPr>
            <w:tcW w:w="455" w:type="pct"/>
            <w:tcMar>
              <w:left w:w="28" w:type="dxa"/>
              <w:right w:w="28" w:type="dxa"/>
            </w:tcMar>
          </w:tcPr>
          <w:p w14:paraId="5440CE72"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-0.010</w:t>
            </w:r>
          </w:p>
        </w:tc>
        <w:tc>
          <w:tcPr>
            <w:tcW w:w="455" w:type="pct"/>
            <w:tcMar>
              <w:left w:w="28" w:type="dxa"/>
              <w:right w:w="28" w:type="dxa"/>
            </w:tcMar>
          </w:tcPr>
          <w:p w14:paraId="553CBE0F"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0.079</w:t>
            </w:r>
            <w:r w:rsidRPr="007F131A">
              <w:rPr>
                <w:rFonts w:ascii="Arial" w:eastAsia="Times New Roman" w:hAnsi="Arial" w:cs="Arial"/>
                <w:sz w:val="18"/>
                <w:szCs w:val="18"/>
                <w:vertAlign w:val="superscript"/>
              </w:rPr>
              <w:t>*</w:t>
            </w:r>
          </w:p>
        </w:tc>
        <w:tc>
          <w:tcPr>
            <w:tcW w:w="455" w:type="pct"/>
            <w:tcMar>
              <w:left w:w="28" w:type="dxa"/>
              <w:right w:w="28" w:type="dxa"/>
            </w:tcMar>
          </w:tcPr>
          <w:p w14:paraId="16542CB4"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-0.076</w:t>
            </w:r>
            <w:r w:rsidRPr="007F131A">
              <w:rPr>
                <w:rFonts w:ascii="Arial" w:eastAsia="Times New Roman" w:hAnsi="Arial" w:cs="Arial"/>
                <w:sz w:val="18"/>
                <w:szCs w:val="18"/>
                <w:vertAlign w:val="superscript"/>
              </w:rPr>
              <w:t>*</w:t>
            </w:r>
          </w:p>
        </w:tc>
        <w:tc>
          <w:tcPr>
            <w:tcW w:w="455" w:type="pct"/>
            <w:tcMar>
              <w:left w:w="28" w:type="dxa"/>
              <w:right w:w="28" w:type="dxa"/>
            </w:tcMar>
          </w:tcPr>
          <w:p w14:paraId="3643B468"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0.016</w:t>
            </w:r>
          </w:p>
        </w:tc>
        <w:tc>
          <w:tcPr>
            <w:tcW w:w="455" w:type="pct"/>
            <w:tcMar>
              <w:left w:w="28" w:type="dxa"/>
              <w:right w:w="28" w:type="dxa"/>
            </w:tcMar>
          </w:tcPr>
          <w:p w14:paraId="5E6CCA67" w14:textId="77777777" w:rsidR="00EB0BEF" w:rsidRPr="007F131A" w:rsidRDefault="00EB0BEF" w:rsidP="00A0419B">
            <w:pPr>
              <w:spacing w:after="0" w:line="240" w:lineRule="auto"/>
              <w:jc w:val="center"/>
              <w:rPr>
                <w:rFonts w:ascii="Calibri" w:hAnsi="Calibri" w:cs="Times New Roman"/>
                <w:sz w:val="18"/>
                <w:szCs w:val="18"/>
                <w:lang w:val="en-US"/>
              </w:rPr>
            </w:pPr>
            <w:r w:rsidRPr="007F131A">
              <w:rPr>
                <w:rFonts w:ascii="Arial" w:eastAsia="Times New Roman" w:hAnsi="Arial" w:cs="Arial"/>
                <w:sz w:val="18"/>
                <w:szCs w:val="18"/>
              </w:rPr>
              <w:t>0.471</w:t>
            </w:r>
            <w:r w:rsidRPr="007F131A">
              <w:rPr>
                <w:rFonts w:ascii="Arial" w:eastAsia="Times New Roman" w:hAnsi="Arial" w:cs="Arial"/>
                <w:sz w:val="18"/>
                <w:szCs w:val="18"/>
                <w:vertAlign w:val="superscript"/>
              </w:rPr>
              <w:t>**</w:t>
            </w:r>
          </w:p>
        </w:tc>
        <w:tc>
          <w:tcPr>
            <w:tcW w:w="450" w:type="pct"/>
            <w:tcMar>
              <w:left w:w="28" w:type="dxa"/>
              <w:right w:w="28" w:type="dxa"/>
            </w:tcMar>
          </w:tcPr>
          <w:p w14:paraId="0E9DBC58" w14:textId="77777777" w:rsidR="00EB0BEF" w:rsidRPr="007F131A" w:rsidRDefault="00EB0BEF" w:rsidP="00A0419B">
            <w:pPr>
              <w:spacing w:after="0" w:line="240" w:lineRule="auto"/>
              <w:jc w:val="center"/>
              <w:rPr>
                <w:rFonts w:cs="Times New Roman"/>
                <w:sz w:val="18"/>
                <w:szCs w:val="18"/>
                <w:lang w:val="en-US"/>
              </w:rPr>
            </w:pPr>
            <w:r w:rsidRPr="007F131A">
              <w:rPr>
                <w:rFonts w:ascii="Arial" w:eastAsia="Times New Roman" w:hAnsi="Arial" w:cs="Arial"/>
                <w:sz w:val="18"/>
                <w:szCs w:val="18"/>
              </w:rPr>
              <w:t>1</w:t>
            </w:r>
          </w:p>
        </w:tc>
      </w:tr>
      <w:tr w:rsidR="00EB0BEF" w:rsidRPr="007F131A" w14:paraId="0AE633E9" w14:textId="77777777" w:rsidTr="00A0419B">
        <w:trPr>
          <w:jc w:val="right"/>
        </w:trPr>
        <w:tc>
          <w:tcPr>
            <w:tcW w:w="455" w:type="pct"/>
            <w:tcBorders>
              <w:bottom w:val="single" w:sz="4" w:space="0" w:color="auto"/>
              <w:right w:val="single" w:sz="4" w:space="0" w:color="auto"/>
            </w:tcBorders>
            <w:tcMar>
              <w:left w:w="28" w:type="dxa"/>
              <w:right w:w="28" w:type="dxa"/>
            </w:tcMar>
          </w:tcPr>
          <w:p w14:paraId="7E040CC3" w14:textId="77777777" w:rsidR="00EB0BEF" w:rsidRPr="007F131A" w:rsidRDefault="00EB0BEF" w:rsidP="00A0419B">
            <w:pPr>
              <w:spacing w:after="0" w:line="240" w:lineRule="auto"/>
              <w:jc w:val="center"/>
              <w:rPr>
                <w:rFonts w:cs="Times New Roman"/>
                <w:i/>
                <w:sz w:val="18"/>
                <w:szCs w:val="18"/>
                <w:lang w:val="en-US"/>
              </w:rPr>
            </w:pPr>
          </w:p>
        </w:tc>
        <w:tc>
          <w:tcPr>
            <w:tcW w:w="455" w:type="pct"/>
            <w:tcBorders>
              <w:left w:val="single" w:sz="4" w:space="0" w:color="auto"/>
              <w:bottom w:val="single" w:sz="4" w:space="0" w:color="auto"/>
            </w:tcBorders>
            <w:tcMar>
              <w:left w:w="28" w:type="dxa"/>
              <w:right w:w="28" w:type="dxa"/>
            </w:tcMar>
          </w:tcPr>
          <w:p w14:paraId="7C6A921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0.018</w:t>
            </w:r>
          </w:p>
        </w:tc>
        <w:tc>
          <w:tcPr>
            <w:tcW w:w="455" w:type="pct"/>
            <w:tcBorders>
              <w:bottom w:val="single" w:sz="4" w:space="0" w:color="auto"/>
            </w:tcBorders>
            <w:tcMar>
              <w:left w:w="28" w:type="dxa"/>
              <w:right w:w="28" w:type="dxa"/>
            </w:tcMar>
          </w:tcPr>
          <w:p w14:paraId="1F747DB7"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0.170</w:t>
            </w:r>
          </w:p>
        </w:tc>
        <w:tc>
          <w:tcPr>
            <w:tcW w:w="455" w:type="pct"/>
            <w:tcBorders>
              <w:bottom w:val="single" w:sz="4" w:space="0" w:color="auto"/>
            </w:tcBorders>
            <w:tcMar>
              <w:left w:w="28" w:type="dxa"/>
              <w:right w:w="28" w:type="dxa"/>
            </w:tcMar>
          </w:tcPr>
          <w:p w14:paraId="53078FD9"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0.207</w:t>
            </w:r>
          </w:p>
        </w:tc>
        <w:tc>
          <w:tcPr>
            <w:tcW w:w="455" w:type="pct"/>
            <w:tcBorders>
              <w:bottom w:val="single" w:sz="4" w:space="0" w:color="auto"/>
            </w:tcBorders>
            <w:tcMar>
              <w:left w:w="28" w:type="dxa"/>
              <w:right w:w="28" w:type="dxa"/>
            </w:tcMar>
          </w:tcPr>
          <w:p w14:paraId="642664C7"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0.042</w:t>
            </w:r>
          </w:p>
        </w:tc>
        <w:tc>
          <w:tcPr>
            <w:tcW w:w="455" w:type="pct"/>
            <w:tcBorders>
              <w:bottom w:val="single" w:sz="4" w:space="0" w:color="auto"/>
            </w:tcBorders>
            <w:tcMar>
              <w:left w:w="28" w:type="dxa"/>
              <w:right w:w="28" w:type="dxa"/>
            </w:tcMar>
          </w:tcPr>
          <w:p w14:paraId="2FF5042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sz w:val="18"/>
                <w:szCs w:val="18"/>
              </w:rPr>
              <w:t>0.785</w:t>
            </w:r>
          </w:p>
        </w:tc>
        <w:tc>
          <w:tcPr>
            <w:tcW w:w="455" w:type="pct"/>
            <w:tcBorders>
              <w:bottom w:val="single" w:sz="4" w:space="0" w:color="auto"/>
            </w:tcBorders>
            <w:tcMar>
              <w:left w:w="28" w:type="dxa"/>
              <w:right w:w="28" w:type="dxa"/>
            </w:tcMar>
          </w:tcPr>
          <w:p w14:paraId="65AE230A"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0.036</w:t>
            </w:r>
          </w:p>
        </w:tc>
        <w:tc>
          <w:tcPr>
            <w:tcW w:w="455" w:type="pct"/>
            <w:tcBorders>
              <w:bottom w:val="single" w:sz="4" w:space="0" w:color="auto"/>
            </w:tcBorders>
            <w:tcMar>
              <w:left w:w="28" w:type="dxa"/>
              <w:right w:w="28" w:type="dxa"/>
            </w:tcMar>
          </w:tcPr>
          <w:p w14:paraId="648317AA"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0.044</w:t>
            </w:r>
          </w:p>
        </w:tc>
        <w:tc>
          <w:tcPr>
            <w:tcW w:w="455" w:type="pct"/>
            <w:tcBorders>
              <w:bottom w:val="single" w:sz="4" w:space="0" w:color="auto"/>
            </w:tcBorders>
            <w:tcMar>
              <w:left w:w="28" w:type="dxa"/>
              <w:right w:w="28" w:type="dxa"/>
            </w:tcMar>
          </w:tcPr>
          <w:p w14:paraId="142FB737"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0.671</w:t>
            </w:r>
          </w:p>
        </w:tc>
        <w:tc>
          <w:tcPr>
            <w:tcW w:w="455" w:type="pct"/>
            <w:tcBorders>
              <w:bottom w:val="single" w:sz="4" w:space="0" w:color="auto"/>
            </w:tcBorders>
            <w:tcMar>
              <w:left w:w="28" w:type="dxa"/>
              <w:right w:w="28" w:type="dxa"/>
            </w:tcMar>
          </w:tcPr>
          <w:p w14:paraId="05948663" w14:textId="77777777" w:rsidR="00EB0BEF" w:rsidRPr="007F131A" w:rsidRDefault="00EB0BEF" w:rsidP="00A0419B">
            <w:pPr>
              <w:spacing w:after="0" w:line="240" w:lineRule="auto"/>
              <w:jc w:val="center"/>
              <w:rPr>
                <w:rFonts w:ascii="Calibri" w:hAnsi="Calibri" w:cs="Times New Roman"/>
                <w:i/>
                <w:sz w:val="18"/>
                <w:szCs w:val="18"/>
                <w:lang w:val="en-US"/>
              </w:rPr>
            </w:pPr>
            <w:r w:rsidRPr="007F131A">
              <w:rPr>
                <w:rFonts w:ascii="Arial" w:eastAsia="Times New Roman" w:hAnsi="Arial" w:cs="Arial"/>
                <w:sz w:val="18"/>
                <w:szCs w:val="18"/>
              </w:rPr>
              <w:t>0.000</w:t>
            </w:r>
          </w:p>
        </w:tc>
        <w:tc>
          <w:tcPr>
            <w:tcW w:w="450" w:type="pct"/>
            <w:tcBorders>
              <w:bottom w:val="single" w:sz="4" w:space="0" w:color="auto"/>
            </w:tcBorders>
            <w:tcMar>
              <w:left w:w="28" w:type="dxa"/>
              <w:right w:w="28" w:type="dxa"/>
            </w:tcMar>
          </w:tcPr>
          <w:p w14:paraId="2DF4296E" w14:textId="77777777" w:rsidR="00EB0BEF" w:rsidRPr="007F131A" w:rsidRDefault="00EB0BEF" w:rsidP="00A0419B">
            <w:pPr>
              <w:spacing w:after="0" w:line="240" w:lineRule="auto"/>
              <w:jc w:val="center"/>
              <w:rPr>
                <w:rFonts w:cs="Times New Roman"/>
                <w:i/>
                <w:sz w:val="18"/>
                <w:szCs w:val="18"/>
                <w:lang w:val="en-US"/>
              </w:rPr>
            </w:pPr>
            <w:r w:rsidRPr="007F131A">
              <w:rPr>
                <w:rFonts w:ascii="Arial" w:eastAsia="Times New Roman" w:hAnsi="Arial" w:cs="Arial"/>
                <w:i/>
                <w:sz w:val="18"/>
                <w:szCs w:val="18"/>
              </w:rPr>
              <w:t> </w:t>
            </w:r>
          </w:p>
        </w:tc>
      </w:tr>
      <w:tr w:rsidR="00EB0BEF" w:rsidRPr="007F131A" w14:paraId="1CA702E4" w14:textId="77777777" w:rsidTr="00A0419B">
        <w:trPr>
          <w:jc w:val="right"/>
        </w:trPr>
        <w:tc>
          <w:tcPr>
            <w:tcW w:w="5000" w:type="pct"/>
            <w:gridSpan w:val="11"/>
            <w:tcBorders>
              <w:top w:val="single" w:sz="4" w:space="0" w:color="auto"/>
              <w:bottom w:val="single" w:sz="4" w:space="0" w:color="auto"/>
            </w:tcBorders>
            <w:tcMar>
              <w:left w:w="28" w:type="dxa"/>
              <w:right w:w="28" w:type="dxa"/>
            </w:tcMar>
          </w:tcPr>
          <w:p w14:paraId="3C62280B" w14:textId="77777777" w:rsidR="00EB0BEF" w:rsidRPr="007F131A" w:rsidRDefault="00EB0BEF" w:rsidP="00A0419B">
            <w:pPr>
              <w:spacing w:after="0" w:line="240" w:lineRule="auto"/>
              <w:jc w:val="both"/>
              <w:rPr>
                <w:rFonts w:ascii="Arial" w:eastAsia="Times New Roman" w:hAnsi="Arial" w:cs="Arial"/>
                <w:i/>
                <w:sz w:val="18"/>
                <w:szCs w:val="18"/>
                <w:lang w:val="en-US"/>
              </w:rPr>
            </w:pPr>
            <w:r w:rsidRPr="007F131A">
              <w:rPr>
                <w:rFonts w:eastAsia="MS Mincho"/>
                <w:i/>
                <w:sz w:val="20"/>
                <w:szCs w:val="20"/>
                <w:lang w:val="en-GB" w:eastAsia="ja-JP"/>
              </w:rPr>
              <w:t>Note:</w:t>
            </w:r>
            <w:r w:rsidRPr="007F131A">
              <w:rPr>
                <w:rFonts w:eastAsia="MS Mincho"/>
                <w:sz w:val="20"/>
                <w:szCs w:val="20"/>
                <w:lang w:val="en-GB" w:eastAsia="ja-JP"/>
              </w:rPr>
              <w:t xml:space="preserve"> This table reports the Pearson (Spearman) correlation coefficient for the model variables below (above) the diagonal. The asterisks indicate statistical significance at the following levels: ** = 1%; * = 5%.</w:t>
            </w:r>
          </w:p>
        </w:tc>
      </w:tr>
    </w:tbl>
    <w:p w14:paraId="4E26B6F3" w14:textId="77777777" w:rsidR="00EB0BEF" w:rsidRPr="007F131A" w:rsidRDefault="00EB0BEF" w:rsidP="00EB0BEF">
      <w:pPr>
        <w:spacing w:after="0" w:line="360" w:lineRule="auto"/>
        <w:jc w:val="both"/>
        <w:rPr>
          <w:rFonts w:asciiTheme="minorHAnsi" w:hAnsiTheme="minorHAnsi"/>
          <w:sz w:val="16"/>
          <w:szCs w:val="16"/>
          <w:lang w:val="en-US"/>
        </w:rPr>
      </w:pPr>
    </w:p>
    <w:p w14:paraId="3E45651D" w14:textId="77777777" w:rsidR="00EB0BEF" w:rsidRPr="007F131A" w:rsidRDefault="00EB0BEF" w:rsidP="00EB0BEF">
      <w:pPr>
        <w:spacing w:after="0" w:line="240" w:lineRule="auto"/>
        <w:rPr>
          <w:lang w:val="en-US"/>
        </w:rPr>
      </w:pPr>
      <w:r w:rsidRPr="007F131A">
        <w:rPr>
          <w:lang w:val="en-US"/>
        </w:rPr>
        <w:br w:type="page"/>
      </w:r>
    </w:p>
    <w:p w14:paraId="0744E567" w14:textId="77777777" w:rsidR="00EB0BEF" w:rsidRPr="007F131A" w:rsidRDefault="00EB0BEF" w:rsidP="00EB0BEF">
      <w:pPr>
        <w:spacing w:after="0" w:line="240" w:lineRule="auto"/>
        <w:rPr>
          <w:b/>
          <w:sz w:val="24"/>
          <w:szCs w:val="24"/>
          <w:lang w:val="en-US"/>
        </w:rPr>
      </w:pPr>
      <w:r w:rsidRPr="007F131A">
        <w:rPr>
          <w:b/>
          <w:sz w:val="24"/>
          <w:szCs w:val="24"/>
          <w:lang w:val="en-US"/>
        </w:rPr>
        <w:lastRenderedPageBreak/>
        <w:t>Table VIII. Pooled regression model with the MTB ratio as dependent variable for the full sample (</w:t>
      </w:r>
      <w:r w:rsidRPr="007F131A">
        <w:rPr>
          <w:rFonts w:asciiTheme="minorHAnsi" w:hAnsiTheme="minorHAnsi"/>
          <w:b/>
          <w:sz w:val="24"/>
          <w:szCs w:val="24"/>
          <w:lang w:val="en-US"/>
        </w:rPr>
        <w:t>700 observations</w:t>
      </w:r>
      <w:r w:rsidRPr="007F131A">
        <w:rPr>
          <w:b/>
          <w:sz w:val="24"/>
          <w:szCs w:val="24"/>
          <w:lang w:val="en-US"/>
        </w:rPr>
        <w:t>) NEW</w:t>
      </w:r>
    </w:p>
    <w:tbl>
      <w:tblPr>
        <w:tblStyle w:val="TableGrid"/>
        <w:tblW w:w="4689" w:type="pct"/>
        <w:tblLook w:val="04A0" w:firstRow="1" w:lastRow="0" w:firstColumn="1" w:lastColumn="0" w:noHBand="0" w:noVBand="1"/>
      </w:tblPr>
      <w:tblGrid>
        <w:gridCol w:w="2517"/>
        <w:gridCol w:w="873"/>
        <w:gridCol w:w="1387"/>
        <w:gridCol w:w="1670"/>
        <w:gridCol w:w="1119"/>
        <w:gridCol w:w="1118"/>
        <w:gridCol w:w="355"/>
      </w:tblGrid>
      <w:tr w:rsidR="00EB0BEF" w:rsidRPr="007F131A" w14:paraId="0D5521F4" w14:textId="77777777" w:rsidTr="00A0419B">
        <w:trPr>
          <w:trHeight w:val="261"/>
        </w:trPr>
        <w:tc>
          <w:tcPr>
            <w:tcW w:w="2535" w:type="dxa"/>
            <w:tcBorders>
              <w:top w:val="nil"/>
              <w:left w:val="nil"/>
              <w:bottom w:val="single" w:sz="4" w:space="0" w:color="auto"/>
              <w:right w:val="nil"/>
            </w:tcBorders>
            <w:tcMar>
              <w:left w:w="28" w:type="dxa"/>
              <w:right w:w="28" w:type="dxa"/>
            </w:tcMar>
          </w:tcPr>
          <w:p w14:paraId="7921480D" w14:textId="77777777" w:rsidR="00EB0BEF" w:rsidRPr="007F131A" w:rsidRDefault="00EB0BEF" w:rsidP="00A0419B">
            <w:pPr>
              <w:spacing w:after="0" w:line="240" w:lineRule="auto"/>
              <w:rPr>
                <w:b/>
                <w:sz w:val="20"/>
                <w:szCs w:val="20"/>
                <w:lang w:val="en-US"/>
              </w:rPr>
            </w:pPr>
          </w:p>
        </w:tc>
        <w:tc>
          <w:tcPr>
            <w:tcW w:w="6556" w:type="dxa"/>
            <w:gridSpan w:val="6"/>
            <w:tcBorders>
              <w:top w:val="nil"/>
              <w:left w:val="nil"/>
              <w:bottom w:val="single" w:sz="4" w:space="0" w:color="auto"/>
              <w:right w:val="nil"/>
            </w:tcBorders>
            <w:tcMar>
              <w:left w:w="28" w:type="dxa"/>
              <w:right w:w="28" w:type="dxa"/>
            </w:tcMar>
          </w:tcPr>
          <w:p w14:paraId="0CD61E4D" w14:textId="77777777" w:rsidR="00EB0BEF" w:rsidRPr="007F131A" w:rsidRDefault="00EB0BEF" w:rsidP="00A0419B">
            <w:pPr>
              <w:spacing w:after="0" w:line="240" w:lineRule="auto"/>
              <w:jc w:val="center"/>
              <w:rPr>
                <w:b/>
                <w:sz w:val="20"/>
                <w:szCs w:val="20"/>
                <w:lang w:val="en-US"/>
              </w:rPr>
            </w:pPr>
            <w:r w:rsidRPr="007F131A">
              <w:rPr>
                <w:b/>
                <w:sz w:val="20"/>
                <w:szCs w:val="20"/>
                <w:lang w:val="en-US"/>
              </w:rPr>
              <w:t xml:space="preserve">Model 1 </w:t>
            </w:r>
          </w:p>
        </w:tc>
      </w:tr>
      <w:tr w:rsidR="00EB0BEF" w:rsidRPr="007F131A" w14:paraId="02847400" w14:textId="77777777" w:rsidTr="00A0419B">
        <w:tc>
          <w:tcPr>
            <w:tcW w:w="2535" w:type="dxa"/>
            <w:tcBorders>
              <w:top w:val="single" w:sz="4" w:space="0" w:color="auto"/>
              <w:left w:val="single" w:sz="4" w:space="0" w:color="auto"/>
              <w:bottom w:val="single" w:sz="4" w:space="0" w:color="auto"/>
              <w:right w:val="single" w:sz="4" w:space="0" w:color="auto"/>
            </w:tcBorders>
            <w:tcMar>
              <w:left w:w="28" w:type="dxa"/>
              <w:right w:w="28" w:type="dxa"/>
            </w:tcMar>
          </w:tcPr>
          <w:p w14:paraId="1604470A" w14:textId="77777777" w:rsidR="00EB0BEF" w:rsidRPr="007F131A" w:rsidRDefault="00EB0BEF" w:rsidP="00A0419B">
            <w:pPr>
              <w:spacing w:after="0" w:line="240" w:lineRule="auto"/>
              <w:rPr>
                <w:b/>
                <w:sz w:val="20"/>
                <w:szCs w:val="20"/>
                <w:lang w:val="en-US"/>
              </w:rPr>
            </w:pPr>
            <w:r w:rsidRPr="007F131A">
              <w:rPr>
                <w:b/>
                <w:sz w:val="20"/>
                <w:szCs w:val="20"/>
                <w:lang w:val="en-US"/>
              </w:rPr>
              <w:t>Variables</w:t>
            </w:r>
          </w:p>
        </w:tc>
        <w:tc>
          <w:tcPr>
            <w:tcW w:w="878" w:type="dxa"/>
            <w:tcBorders>
              <w:top w:val="single" w:sz="4" w:space="0" w:color="auto"/>
              <w:left w:val="single" w:sz="4" w:space="0" w:color="auto"/>
              <w:bottom w:val="single" w:sz="4" w:space="0" w:color="auto"/>
              <w:right w:val="single" w:sz="4" w:space="0" w:color="auto"/>
            </w:tcBorders>
            <w:tcMar>
              <w:left w:w="28" w:type="dxa"/>
              <w:right w:w="28" w:type="dxa"/>
            </w:tcMar>
          </w:tcPr>
          <w:p w14:paraId="3D26035B" w14:textId="77777777" w:rsidR="00EB0BEF" w:rsidRPr="007F131A" w:rsidRDefault="00EB0BEF" w:rsidP="00A0419B">
            <w:pPr>
              <w:spacing w:after="0" w:line="240" w:lineRule="auto"/>
              <w:rPr>
                <w:b/>
                <w:sz w:val="20"/>
                <w:szCs w:val="20"/>
                <w:lang w:val="en-US"/>
              </w:rPr>
            </w:pPr>
            <w:r w:rsidRPr="007F131A">
              <w:rPr>
                <w:b/>
                <w:sz w:val="20"/>
                <w:szCs w:val="20"/>
                <w:lang w:val="en-US"/>
              </w:rPr>
              <w:t>Exp. sign</w:t>
            </w:r>
          </w:p>
        </w:tc>
        <w:tc>
          <w:tcPr>
            <w:tcW w:w="1390" w:type="dxa"/>
            <w:tcBorders>
              <w:top w:val="single" w:sz="4" w:space="0" w:color="auto"/>
              <w:left w:val="single" w:sz="4" w:space="0" w:color="auto"/>
              <w:bottom w:val="single" w:sz="4" w:space="0" w:color="auto"/>
              <w:right w:val="single" w:sz="4" w:space="0" w:color="auto"/>
            </w:tcBorders>
          </w:tcPr>
          <w:p w14:paraId="765B80CA" w14:textId="77777777" w:rsidR="00EB0BEF" w:rsidRPr="007F131A" w:rsidRDefault="00EB0BEF" w:rsidP="00A0419B">
            <w:pPr>
              <w:spacing w:after="0" w:line="240" w:lineRule="auto"/>
              <w:jc w:val="center"/>
              <w:rPr>
                <w:b/>
                <w:sz w:val="20"/>
                <w:szCs w:val="20"/>
                <w:lang w:val="en-US"/>
              </w:rPr>
            </w:pPr>
            <w:r w:rsidRPr="007F131A">
              <w:rPr>
                <w:b/>
                <w:sz w:val="20"/>
                <w:szCs w:val="20"/>
                <w:lang w:val="en-US"/>
              </w:rPr>
              <w:t>Coefficient</w:t>
            </w:r>
          </w:p>
        </w:tc>
        <w:tc>
          <w:tcPr>
            <w:tcW w:w="1683" w:type="dxa"/>
            <w:tcBorders>
              <w:top w:val="single" w:sz="4" w:space="0" w:color="auto"/>
              <w:left w:val="single" w:sz="4" w:space="0" w:color="auto"/>
              <w:bottom w:val="single" w:sz="4" w:space="0" w:color="auto"/>
              <w:right w:val="single" w:sz="4" w:space="0" w:color="auto"/>
            </w:tcBorders>
            <w:tcMar>
              <w:left w:w="28" w:type="dxa"/>
              <w:right w:w="28" w:type="dxa"/>
            </w:tcMar>
          </w:tcPr>
          <w:p w14:paraId="2F68B135" w14:textId="77777777" w:rsidR="00EB0BEF" w:rsidRPr="007F131A" w:rsidRDefault="00EB0BEF" w:rsidP="00A0419B">
            <w:pPr>
              <w:spacing w:after="0" w:line="240" w:lineRule="auto"/>
              <w:jc w:val="center"/>
              <w:rPr>
                <w:b/>
                <w:sz w:val="20"/>
                <w:szCs w:val="20"/>
                <w:lang w:val="en-US"/>
              </w:rPr>
            </w:pPr>
            <w:r w:rsidRPr="007F131A">
              <w:rPr>
                <w:b/>
                <w:sz w:val="20"/>
                <w:szCs w:val="20"/>
                <w:lang w:val="en-US"/>
              </w:rPr>
              <w:t>Std. Error</w:t>
            </w:r>
          </w:p>
        </w:tc>
        <w:tc>
          <w:tcPr>
            <w:tcW w:w="1125" w:type="dxa"/>
            <w:tcBorders>
              <w:top w:val="single" w:sz="4" w:space="0" w:color="auto"/>
              <w:left w:val="single" w:sz="4" w:space="0" w:color="auto"/>
              <w:bottom w:val="single" w:sz="4" w:space="0" w:color="auto"/>
              <w:right w:val="single" w:sz="4" w:space="0" w:color="auto"/>
            </w:tcBorders>
          </w:tcPr>
          <w:p w14:paraId="5E63006A" w14:textId="77777777" w:rsidR="00EB0BEF" w:rsidRPr="007F131A" w:rsidRDefault="00EB0BEF" w:rsidP="00A0419B">
            <w:pPr>
              <w:spacing w:after="0" w:line="240" w:lineRule="auto"/>
              <w:jc w:val="center"/>
              <w:rPr>
                <w:b/>
                <w:sz w:val="20"/>
                <w:szCs w:val="20"/>
                <w:lang w:val="en-US"/>
              </w:rPr>
            </w:pPr>
            <w:r w:rsidRPr="007F131A">
              <w:rPr>
                <w:b/>
                <w:sz w:val="20"/>
                <w:szCs w:val="20"/>
                <w:lang w:val="en-US"/>
              </w:rPr>
              <w:t>t</w:t>
            </w:r>
          </w:p>
        </w:tc>
        <w:tc>
          <w:tcPr>
            <w:tcW w:w="1125" w:type="dxa"/>
            <w:tcBorders>
              <w:top w:val="single" w:sz="4" w:space="0" w:color="auto"/>
              <w:left w:val="single" w:sz="4" w:space="0" w:color="auto"/>
              <w:bottom w:val="single" w:sz="4" w:space="0" w:color="auto"/>
              <w:right w:val="single" w:sz="4" w:space="0" w:color="auto"/>
            </w:tcBorders>
            <w:tcMar>
              <w:left w:w="28" w:type="dxa"/>
              <w:right w:w="28" w:type="dxa"/>
            </w:tcMar>
          </w:tcPr>
          <w:p w14:paraId="1713CB43" w14:textId="77777777" w:rsidR="00EB0BEF" w:rsidRPr="007F131A" w:rsidRDefault="00EB0BEF" w:rsidP="00A0419B">
            <w:pPr>
              <w:spacing w:after="0" w:line="240" w:lineRule="auto"/>
              <w:jc w:val="center"/>
              <w:rPr>
                <w:b/>
                <w:sz w:val="20"/>
                <w:szCs w:val="20"/>
                <w:lang w:val="en-US"/>
              </w:rPr>
            </w:pPr>
            <w:r w:rsidRPr="007F131A">
              <w:rPr>
                <w:b/>
                <w:sz w:val="20"/>
                <w:szCs w:val="20"/>
                <w:lang w:val="en-US"/>
              </w:rPr>
              <w:t>p-value</w:t>
            </w:r>
          </w:p>
        </w:tc>
        <w:tc>
          <w:tcPr>
            <w:tcW w:w="355" w:type="dxa"/>
            <w:tcBorders>
              <w:top w:val="single" w:sz="4" w:space="0" w:color="auto"/>
              <w:left w:val="single" w:sz="4" w:space="0" w:color="auto"/>
              <w:bottom w:val="single" w:sz="4" w:space="0" w:color="auto"/>
              <w:right w:val="single" w:sz="4" w:space="0" w:color="auto"/>
            </w:tcBorders>
            <w:tcMar>
              <w:left w:w="28" w:type="dxa"/>
              <w:right w:w="28" w:type="dxa"/>
            </w:tcMar>
          </w:tcPr>
          <w:p w14:paraId="6D697A44" w14:textId="77777777" w:rsidR="00EB0BEF" w:rsidRPr="007F131A" w:rsidRDefault="00EB0BEF" w:rsidP="00A0419B">
            <w:pPr>
              <w:spacing w:after="0" w:line="240" w:lineRule="auto"/>
              <w:jc w:val="center"/>
              <w:rPr>
                <w:b/>
                <w:sz w:val="20"/>
                <w:szCs w:val="20"/>
                <w:lang w:val="en-US"/>
              </w:rPr>
            </w:pPr>
          </w:p>
        </w:tc>
      </w:tr>
      <w:tr w:rsidR="00EB0BEF" w:rsidRPr="007F131A" w14:paraId="2B75469F" w14:textId="77777777" w:rsidTr="00A0419B">
        <w:tc>
          <w:tcPr>
            <w:tcW w:w="2535" w:type="dxa"/>
            <w:tcBorders>
              <w:top w:val="single" w:sz="4" w:space="0" w:color="auto"/>
              <w:left w:val="single" w:sz="4" w:space="0" w:color="auto"/>
              <w:bottom w:val="nil"/>
              <w:right w:val="nil"/>
            </w:tcBorders>
            <w:tcMar>
              <w:left w:w="28" w:type="dxa"/>
              <w:right w:w="28" w:type="dxa"/>
            </w:tcMar>
          </w:tcPr>
          <w:p w14:paraId="2E62C9B1"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Constant</w:t>
            </w:r>
          </w:p>
        </w:tc>
        <w:tc>
          <w:tcPr>
            <w:tcW w:w="878" w:type="dxa"/>
            <w:tcBorders>
              <w:top w:val="single" w:sz="4" w:space="0" w:color="auto"/>
              <w:left w:val="nil"/>
              <w:bottom w:val="nil"/>
              <w:right w:val="nil"/>
            </w:tcBorders>
            <w:tcMar>
              <w:left w:w="28" w:type="dxa"/>
              <w:right w:w="28" w:type="dxa"/>
            </w:tcMar>
          </w:tcPr>
          <w:p w14:paraId="1EE04CCB" w14:textId="77777777" w:rsidR="00EB0BEF" w:rsidRPr="007F131A" w:rsidRDefault="00EB0BEF" w:rsidP="00A0419B">
            <w:pPr>
              <w:spacing w:after="0" w:line="240" w:lineRule="auto"/>
              <w:rPr>
                <w:b/>
                <w:sz w:val="20"/>
                <w:szCs w:val="20"/>
                <w:lang w:val="en-US"/>
              </w:rPr>
            </w:pPr>
          </w:p>
        </w:tc>
        <w:tc>
          <w:tcPr>
            <w:tcW w:w="1390" w:type="dxa"/>
            <w:tcBorders>
              <w:top w:val="single" w:sz="4" w:space="0" w:color="auto"/>
              <w:left w:val="nil"/>
              <w:bottom w:val="nil"/>
              <w:right w:val="nil"/>
            </w:tcBorders>
          </w:tcPr>
          <w:p w14:paraId="1DEEC8C9"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3.040</w:t>
            </w:r>
          </w:p>
        </w:tc>
        <w:tc>
          <w:tcPr>
            <w:tcW w:w="1683" w:type="dxa"/>
            <w:tcBorders>
              <w:top w:val="single" w:sz="4" w:space="0" w:color="auto"/>
              <w:left w:val="nil"/>
              <w:bottom w:val="nil"/>
              <w:right w:val="nil"/>
            </w:tcBorders>
            <w:tcMar>
              <w:left w:w="28" w:type="dxa"/>
              <w:right w:w="28" w:type="dxa"/>
            </w:tcMar>
          </w:tcPr>
          <w:p w14:paraId="6C9993F8" w14:textId="77777777" w:rsidR="00EB0BEF" w:rsidRPr="007F131A" w:rsidRDefault="00EB0BEF" w:rsidP="00A0419B">
            <w:pPr>
              <w:spacing w:after="0" w:line="240" w:lineRule="auto"/>
              <w:jc w:val="center"/>
              <w:rPr>
                <w:b/>
                <w:sz w:val="18"/>
                <w:szCs w:val="18"/>
                <w:lang w:val="en-US"/>
              </w:rPr>
            </w:pPr>
            <w:r w:rsidRPr="007F131A">
              <w:rPr>
                <w:sz w:val="18"/>
                <w:szCs w:val="18"/>
                <w:lang w:val="en-US"/>
              </w:rPr>
              <w:t>0.484</w:t>
            </w:r>
          </w:p>
        </w:tc>
        <w:tc>
          <w:tcPr>
            <w:tcW w:w="1125" w:type="dxa"/>
            <w:tcBorders>
              <w:top w:val="single" w:sz="4" w:space="0" w:color="auto"/>
              <w:left w:val="nil"/>
              <w:bottom w:val="nil"/>
              <w:right w:val="nil"/>
            </w:tcBorders>
          </w:tcPr>
          <w:p w14:paraId="5ACE7FD6"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6.28</w:t>
            </w:r>
          </w:p>
        </w:tc>
        <w:tc>
          <w:tcPr>
            <w:tcW w:w="1125" w:type="dxa"/>
            <w:tcBorders>
              <w:top w:val="single" w:sz="4" w:space="0" w:color="auto"/>
              <w:left w:val="nil"/>
              <w:bottom w:val="nil"/>
              <w:right w:val="nil"/>
            </w:tcBorders>
            <w:tcMar>
              <w:left w:w="28" w:type="dxa"/>
              <w:right w:w="28" w:type="dxa"/>
            </w:tcMar>
          </w:tcPr>
          <w:p w14:paraId="3F0B2090" w14:textId="77777777" w:rsidR="00EB0BEF" w:rsidRPr="007F131A" w:rsidRDefault="00EB0BEF" w:rsidP="00A0419B">
            <w:pPr>
              <w:spacing w:after="0" w:line="240" w:lineRule="auto"/>
              <w:jc w:val="center"/>
              <w:rPr>
                <w:b/>
                <w:sz w:val="18"/>
                <w:szCs w:val="18"/>
                <w:lang w:val="en-US"/>
              </w:rPr>
            </w:pPr>
            <w:r w:rsidRPr="007F131A">
              <w:rPr>
                <w:sz w:val="18"/>
                <w:szCs w:val="18"/>
                <w:lang w:val="en-US"/>
              </w:rPr>
              <w:t>0.000</w:t>
            </w:r>
          </w:p>
        </w:tc>
        <w:tc>
          <w:tcPr>
            <w:tcW w:w="355" w:type="dxa"/>
            <w:tcBorders>
              <w:top w:val="single" w:sz="4" w:space="0" w:color="auto"/>
              <w:left w:val="nil"/>
              <w:bottom w:val="nil"/>
              <w:right w:val="single" w:sz="4" w:space="0" w:color="auto"/>
            </w:tcBorders>
            <w:tcMar>
              <w:left w:w="28" w:type="dxa"/>
              <w:right w:w="28" w:type="dxa"/>
            </w:tcMar>
          </w:tcPr>
          <w:p w14:paraId="28ED1CC4"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r>
      <w:tr w:rsidR="00EB0BEF" w:rsidRPr="007F131A" w14:paraId="2960CECC" w14:textId="77777777" w:rsidTr="00A0419B">
        <w:tc>
          <w:tcPr>
            <w:tcW w:w="2535" w:type="dxa"/>
            <w:tcBorders>
              <w:top w:val="nil"/>
              <w:left w:val="single" w:sz="4" w:space="0" w:color="auto"/>
              <w:bottom w:val="nil"/>
              <w:right w:val="nil"/>
            </w:tcBorders>
            <w:tcMar>
              <w:left w:w="28" w:type="dxa"/>
              <w:right w:w="28" w:type="dxa"/>
            </w:tcMar>
          </w:tcPr>
          <w:p w14:paraId="4D231D2C"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TINT</w:t>
            </w:r>
          </w:p>
        </w:tc>
        <w:tc>
          <w:tcPr>
            <w:tcW w:w="878" w:type="dxa"/>
            <w:tcBorders>
              <w:top w:val="nil"/>
              <w:left w:val="nil"/>
              <w:bottom w:val="nil"/>
              <w:right w:val="nil"/>
            </w:tcBorders>
            <w:tcMar>
              <w:left w:w="28" w:type="dxa"/>
              <w:right w:w="28" w:type="dxa"/>
            </w:tcMar>
          </w:tcPr>
          <w:p w14:paraId="572311E6"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77729A7D"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1.380</w:t>
            </w:r>
          </w:p>
        </w:tc>
        <w:tc>
          <w:tcPr>
            <w:tcW w:w="1683" w:type="dxa"/>
            <w:tcBorders>
              <w:top w:val="nil"/>
              <w:left w:val="nil"/>
              <w:bottom w:val="nil"/>
              <w:right w:val="nil"/>
            </w:tcBorders>
            <w:tcMar>
              <w:left w:w="28" w:type="dxa"/>
              <w:right w:w="28" w:type="dxa"/>
            </w:tcMar>
          </w:tcPr>
          <w:p w14:paraId="029DA9DF" w14:textId="77777777" w:rsidR="00EB0BEF" w:rsidRPr="007F131A" w:rsidRDefault="00EB0BEF" w:rsidP="00A0419B">
            <w:pPr>
              <w:spacing w:after="0" w:line="240" w:lineRule="auto"/>
              <w:jc w:val="center"/>
              <w:rPr>
                <w:b/>
                <w:sz w:val="18"/>
                <w:szCs w:val="18"/>
                <w:lang w:val="en-US"/>
              </w:rPr>
            </w:pPr>
            <w:r w:rsidRPr="007F131A">
              <w:rPr>
                <w:sz w:val="18"/>
                <w:szCs w:val="18"/>
                <w:lang w:val="en-US"/>
              </w:rPr>
              <w:t>0.437</w:t>
            </w:r>
          </w:p>
        </w:tc>
        <w:tc>
          <w:tcPr>
            <w:tcW w:w="1125" w:type="dxa"/>
            <w:tcBorders>
              <w:top w:val="nil"/>
              <w:left w:val="nil"/>
              <w:bottom w:val="nil"/>
              <w:right w:val="nil"/>
            </w:tcBorders>
          </w:tcPr>
          <w:p w14:paraId="758A783F"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3.16</w:t>
            </w:r>
          </w:p>
        </w:tc>
        <w:tc>
          <w:tcPr>
            <w:tcW w:w="1125" w:type="dxa"/>
            <w:tcBorders>
              <w:top w:val="nil"/>
              <w:left w:val="nil"/>
              <w:bottom w:val="nil"/>
              <w:right w:val="nil"/>
            </w:tcBorders>
            <w:tcMar>
              <w:left w:w="28" w:type="dxa"/>
              <w:right w:w="28" w:type="dxa"/>
            </w:tcMar>
          </w:tcPr>
          <w:p w14:paraId="5C33F77B" w14:textId="77777777" w:rsidR="00EB0BEF" w:rsidRPr="007F131A" w:rsidRDefault="00EB0BEF" w:rsidP="00A0419B">
            <w:pPr>
              <w:spacing w:after="0" w:line="240" w:lineRule="auto"/>
              <w:jc w:val="center"/>
              <w:rPr>
                <w:b/>
                <w:sz w:val="18"/>
                <w:szCs w:val="18"/>
                <w:lang w:val="en-US"/>
              </w:rPr>
            </w:pPr>
            <w:r w:rsidRPr="007F131A">
              <w:rPr>
                <w:sz w:val="18"/>
                <w:szCs w:val="18"/>
                <w:lang w:val="en-US"/>
              </w:rPr>
              <w:t>0.002</w:t>
            </w:r>
          </w:p>
        </w:tc>
        <w:tc>
          <w:tcPr>
            <w:tcW w:w="355" w:type="dxa"/>
            <w:tcBorders>
              <w:top w:val="nil"/>
              <w:left w:val="nil"/>
              <w:bottom w:val="nil"/>
              <w:right w:val="single" w:sz="4" w:space="0" w:color="auto"/>
            </w:tcBorders>
            <w:tcMar>
              <w:left w:w="28" w:type="dxa"/>
              <w:right w:w="28" w:type="dxa"/>
            </w:tcMar>
          </w:tcPr>
          <w:p w14:paraId="50AA1E7F"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r>
      <w:tr w:rsidR="00EB0BEF" w:rsidRPr="007F131A" w14:paraId="07C1BED1" w14:textId="77777777" w:rsidTr="00A0419B">
        <w:tc>
          <w:tcPr>
            <w:tcW w:w="2535" w:type="dxa"/>
            <w:tcBorders>
              <w:top w:val="nil"/>
              <w:left w:val="single" w:sz="4" w:space="0" w:color="auto"/>
              <w:bottom w:val="nil"/>
              <w:right w:val="nil"/>
            </w:tcBorders>
            <w:tcMar>
              <w:left w:w="28" w:type="dxa"/>
              <w:right w:w="28" w:type="dxa"/>
            </w:tcMar>
          </w:tcPr>
          <w:p w14:paraId="01EA27BA"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SIZE</w:t>
            </w:r>
          </w:p>
        </w:tc>
        <w:tc>
          <w:tcPr>
            <w:tcW w:w="878" w:type="dxa"/>
            <w:tcBorders>
              <w:top w:val="nil"/>
              <w:left w:val="nil"/>
              <w:bottom w:val="nil"/>
              <w:right w:val="nil"/>
            </w:tcBorders>
            <w:tcMar>
              <w:left w:w="28" w:type="dxa"/>
              <w:right w:w="28" w:type="dxa"/>
            </w:tcMar>
          </w:tcPr>
          <w:p w14:paraId="0F02C637"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787AF5EF"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-0.113</w:t>
            </w:r>
          </w:p>
        </w:tc>
        <w:tc>
          <w:tcPr>
            <w:tcW w:w="1683" w:type="dxa"/>
            <w:tcBorders>
              <w:top w:val="nil"/>
              <w:left w:val="nil"/>
              <w:bottom w:val="nil"/>
              <w:right w:val="nil"/>
            </w:tcBorders>
            <w:tcMar>
              <w:left w:w="28" w:type="dxa"/>
              <w:right w:w="28" w:type="dxa"/>
            </w:tcMar>
          </w:tcPr>
          <w:p w14:paraId="2039CD62" w14:textId="77777777" w:rsidR="00EB0BEF" w:rsidRPr="007F131A" w:rsidRDefault="00EB0BEF" w:rsidP="00A0419B">
            <w:pPr>
              <w:spacing w:after="0" w:line="240" w:lineRule="auto"/>
              <w:jc w:val="center"/>
              <w:rPr>
                <w:b/>
                <w:sz w:val="18"/>
                <w:szCs w:val="18"/>
                <w:lang w:val="en-US"/>
              </w:rPr>
            </w:pPr>
            <w:r w:rsidRPr="007F131A">
              <w:rPr>
                <w:sz w:val="18"/>
                <w:szCs w:val="18"/>
                <w:lang w:val="en-US"/>
              </w:rPr>
              <w:t>0.035</w:t>
            </w:r>
          </w:p>
        </w:tc>
        <w:tc>
          <w:tcPr>
            <w:tcW w:w="1125" w:type="dxa"/>
            <w:tcBorders>
              <w:top w:val="nil"/>
              <w:left w:val="nil"/>
              <w:bottom w:val="nil"/>
              <w:right w:val="nil"/>
            </w:tcBorders>
          </w:tcPr>
          <w:p w14:paraId="6488F04E"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-3.26</w:t>
            </w:r>
          </w:p>
        </w:tc>
        <w:tc>
          <w:tcPr>
            <w:tcW w:w="1125" w:type="dxa"/>
            <w:tcBorders>
              <w:top w:val="nil"/>
              <w:left w:val="nil"/>
              <w:bottom w:val="nil"/>
              <w:right w:val="nil"/>
            </w:tcBorders>
            <w:tcMar>
              <w:left w:w="28" w:type="dxa"/>
              <w:right w:w="28" w:type="dxa"/>
            </w:tcMar>
          </w:tcPr>
          <w:p w14:paraId="7477DA04" w14:textId="77777777" w:rsidR="00EB0BEF" w:rsidRPr="007F131A" w:rsidRDefault="00EB0BEF" w:rsidP="00A0419B">
            <w:pPr>
              <w:spacing w:after="0" w:line="240" w:lineRule="auto"/>
              <w:jc w:val="center"/>
              <w:rPr>
                <w:b/>
                <w:sz w:val="18"/>
                <w:szCs w:val="18"/>
                <w:lang w:val="en-US"/>
              </w:rPr>
            </w:pPr>
            <w:r w:rsidRPr="007F131A">
              <w:rPr>
                <w:sz w:val="18"/>
                <w:szCs w:val="18"/>
                <w:lang w:val="en-US"/>
              </w:rPr>
              <w:t>0.001</w:t>
            </w:r>
          </w:p>
        </w:tc>
        <w:tc>
          <w:tcPr>
            <w:tcW w:w="355" w:type="dxa"/>
            <w:tcBorders>
              <w:top w:val="nil"/>
              <w:left w:val="nil"/>
              <w:bottom w:val="nil"/>
              <w:right w:val="single" w:sz="4" w:space="0" w:color="auto"/>
            </w:tcBorders>
            <w:tcMar>
              <w:left w:w="28" w:type="dxa"/>
              <w:right w:w="28" w:type="dxa"/>
            </w:tcMar>
          </w:tcPr>
          <w:p w14:paraId="34F3CB0F"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r>
      <w:tr w:rsidR="00EB0BEF" w:rsidRPr="007F131A" w14:paraId="29CB07B4" w14:textId="77777777" w:rsidTr="00A0419B">
        <w:trPr>
          <w:trHeight w:val="264"/>
        </w:trPr>
        <w:tc>
          <w:tcPr>
            <w:tcW w:w="2535" w:type="dxa"/>
            <w:tcBorders>
              <w:top w:val="nil"/>
              <w:left w:val="single" w:sz="4" w:space="0" w:color="auto"/>
              <w:bottom w:val="nil"/>
              <w:right w:val="nil"/>
            </w:tcBorders>
            <w:tcMar>
              <w:left w:w="28" w:type="dxa"/>
              <w:right w:w="28" w:type="dxa"/>
            </w:tcMar>
          </w:tcPr>
          <w:p w14:paraId="2EC20C87"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AGE</w:t>
            </w:r>
          </w:p>
        </w:tc>
        <w:tc>
          <w:tcPr>
            <w:tcW w:w="878" w:type="dxa"/>
            <w:tcBorders>
              <w:top w:val="nil"/>
              <w:left w:val="nil"/>
              <w:bottom w:val="nil"/>
              <w:right w:val="nil"/>
            </w:tcBorders>
            <w:tcMar>
              <w:left w:w="28" w:type="dxa"/>
              <w:right w:w="28" w:type="dxa"/>
            </w:tcMar>
          </w:tcPr>
          <w:p w14:paraId="65675E26"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4993C01B" w14:textId="77777777" w:rsidR="00EB0BEF" w:rsidRPr="007F131A" w:rsidRDefault="00EB0BEF" w:rsidP="00A0419B">
            <w:pPr>
              <w:spacing w:after="0" w:line="240" w:lineRule="auto"/>
              <w:jc w:val="center"/>
              <w:rPr>
                <w:sz w:val="18"/>
                <w:szCs w:val="18"/>
                <w:lang w:val="en-US"/>
              </w:rPr>
            </w:pPr>
            <w:r w:rsidRPr="007F131A">
              <w:rPr>
                <w:sz w:val="18"/>
                <w:szCs w:val="18"/>
                <w:lang w:val="en-US"/>
              </w:rPr>
              <w:t>-0.250</w:t>
            </w:r>
          </w:p>
        </w:tc>
        <w:tc>
          <w:tcPr>
            <w:tcW w:w="1683" w:type="dxa"/>
            <w:tcBorders>
              <w:top w:val="nil"/>
              <w:left w:val="nil"/>
              <w:bottom w:val="nil"/>
              <w:right w:val="nil"/>
            </w:tcBorders>
            <w:tcMar>
              <w:left w:w="28" w:type="dxa"/>
              <w:right w:w="28" w:type="dxa"/>
            </w:tcMar>
          </w:tcPr>
          <w:p w14:paraId="443D9FA7" w14:textId="77777777" w:rsidR="00EB0BEF" w:rsidRPr="007F131A" w:rsidRDefault="00EB0BEF" w:rsidP="00A0419B">
            <w:pPr>
              <w:spacing w:after="0" w:line="240" w:lineRule="auto"/>
              <w:jc w:val="center"/>
              <w:rPr>
                <w:b/>
                <w:sz w:val="18"/>
                <w:szCs w:val="18"/>
                <w:lang w:val="en-US"/>
              </w:rPr>
            </w:pPr>
            <w:r w:rsidRPr="007F131A">
              <w:rPr>
                <w:sz w:val="18"/>
                <w:szCs w:val="18"/>
                <w:lang w:val="en-US"/>
              </w:rPr>
              <w:t>0.070</w:t>
            </w:r>
          </w:p>
        </w:tc>
        <w:tc>
          <w:tcPr>
            <w:tcW w:w="1125" w:type="dxa"/>
            <w:tcBorders>
              <w:top w:val="nil"/>
              <w:left w:val="nil"/>
              <w:bottom w:val="nil"/>
              <w:right w:val="nil"/>
            </w:tcBorders>
          </w:tcPr>
          <w:p w14:paraId="0B22AD53" w14:textId="77777777" w:rsidR="00EB0BEF" w:rsidRPr="007F131A" w:rsidRDefault="00EB0BEF" w:rsidP="00A0419B">
            <w:pPr>
              <w:spacing w:after="0" w:line="240" w:lineRule="auto"/>
              <w:jc w:val="center"/>
              <w:rPr>
                <w:sz w:val="18"/>
                <w:szCs w:val="18"/>
                <w:lang w:val="en-US"/>
              </w:rPr>
            </w:pPr>
            <w:r w:rsidRPr="007F131A">
              <w:rPr>
                <w:sz w:val="18"/>
                <w:szCs w:val="18"/>
                <w:lang w:val="en-US"/>
              </w:rPr>
              <w:t>-3.56</w:t>
            </w:r>
          </w:p>
        </w:tc>
        <w:tc>
          <w:tcPr>
            <w:tcW w:w="1125" w:type="dxa"/>
            <w:tcBorders>
              <w:top w:val="nil"/>
              <w:left w:val="nil"/>
              <w:bottom w:val="nil"/>
              <w:right w:val="nil"/>
            </w:tcBorders>
            <w:tcMar>
              <w:left w:w="28" w:type="dxa"/>
              <w:right w:w="28" w:type="dxa"/>
            </w:tcMar>
          </w:tcPr>
          <w:p w14:paraId="4C6012F5" w14:textId="77777777" w:rsidR="00EB0BEF" w:rsidRPr="007F131A" w:rsidRDefault="00EB0BEF" w:rsidP="00A0419B">
            <w:pPr>
              <w:spacing w:after="0" w:line="240" w:lineRule="auto"/>
              <w:jc w:val="center"/>
              <w:rPr>
                <w:b/>
                <w:sz w:val="18"/>
                <w:szCs w:val="18"/>
                <w:lang w:val="en-US"/>
              </w:rPr>
            </w:pPr>
            <w:r w:rsidRPr="007F131A">
              <w:rPr>
                <w:sz w:val="18"/>
                <w:szCs w:val="18"/>
                <w:lang w:val="en-US"/>
              </w:rPr>
              <w:t>0.000</w:t>
            </w:r>
          </w:p>
        </w:tc>
        <w:tc>
          <w:tcPr>
            <w:tcW w:w="355" w:type="dxa"/>
            <w:tcBorders>
              <w:top w:val="nil"/>
              <w:left w:val="nil"/>
              <w:bottom w:val="nil"/>
              <w:right w:val="single" w:sz="4" w:space="0" w:color="auto"/>
            </w:tcBorders>
            <w:tcMar>
              <w:left w:w="28" w:type="dxa"/>
              <w:right w:w="28" w:type="dxa"/>
            </w:tcMar>
          </w:tcPr>
          <w:p w14:paraId="1CC417A0"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r>
      <w:tr w:rsidR="00EB0BEF" w:rsidRPr="007F131A" w14:paraId="3BD90480" w14:textId="77777777" w:rsidTr="00A0419B">
        <w:tc>
          <w:tcPr>
            <w:tcW w:w="2535" w:type="dxa"/>
            <w:tcBorders>
              <w:top w:val="nil"/>
              <w:left w:val="single" w:sz="4" w:space="0" w:color="auto"/>
              <w:bottom w:val="nil"/>
              <w:right w:val="nil"/>
            </w:tcBorders>
            <w:tcMar>
              <w:left w:w="28" w:type="dxa"/>
              <w:right w:w="28" w:type="dxa"/>
            </w:tcMar>
          </w:tcPr>
          <w:p w14:paraId="6CF34F2B"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ROE</w:t>
            </w:r>
          </w:p>
        </w:tc>
        <w:tc>
          <w:tcPr>
            <w:tcW w:w="878" w:type="dxa"/>
            <w:tcBorders>
              <w:top w:val="nil"/>
              <w:left w:val="nil"/>
              <w:bottom w:val="nil"/>
              <w:right w:val="nil"/>
            </w:tcBorders>
            <w:tcMar>
              <w:left w:w="28" w:type="dxa"/>
              <w:right w:w="28" w:type="dxa"/>
            </w:tcMar>
          </w:tcPr>
          <w:p w14:paraId="4D310919"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6D36F43F"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0.014</w:t>
            </w:r>
          </w:p>
        </w:tc>
        <w:tc>
          <w:tcPr>
            <w:tcW w:w="1683" w:type="dxa"/>
            <w:tcBorders>
              <w:top w:val="nil"/>
              <w:left w:val="nil"/>
              <w:bottom w:val="nil"/>
              <w:right w:val="nil"/>
            </w:tcBorders>
            <w:tcMar>
              <w:left w:w="28" w:type="dxa"/>
              <w:right w:w="28" w:type="dxa"/>
            </w:tcMar>
          </w:tcPr>
          <w:p w14:paraId="704511DD" w14:textId="77777777" w:rsidR="00EB0BEF" w:rsidRPr="007F131A" w:rsidRDefault="00EB0BEF" w:rsidP="00A0419B">
            <w:pPr>
              <w:spacing w:after="0" w:line="240" w:lineRule="auto"/>
              <w:jc w:val="center"/>
              <w:rPr>
                <w:b/>
                <w:sz w:val="18"/>
                <w:szCs w:val="18"/>
                <w:lang w:val="en-US"/>
              </w:rPr>
            </w:pPr>
            <w:r w:rsidRPr="007F131A">
              <w:rPr>
                <w:sz w:val="18"/>
                <w:szCs w:val="18"/>
                <w:lang w:val="en-US"/>
              </w:rPr>
              <w:t>0.003</w:t>
            </w:r>
          </w:p>
        </w:tc>
        <w:tc>
          <w:tcPr>
            <w:tcW w:w="1125" w:type="dxa"/>
            <w:tcBorders>
              <w:top w:val="nil"/>
              <w:left w:val="nil"/>
              <w:bottom w:val="nil"/>
              <w:right w:val="nil"/>
            </w:tcBorders>
          </w:tcPr>
          <w:p w14:paraId="24CB4A97" w14:textId="77777777" w:rsidR="00EB0BEF" w:rsidRPr="007F131A" w:rsidRDefault="00EB0BEF" w:rsidP="00A0419B">
            <w:pPr>
              <w:spacing w:after="0" w:line="240" w:lineRule="auto"/>
              <w:jc w:val="center"/>
              <w:rPr>
                <w:sz w:val="18"/>
                <w:szCs w:val="18"/>
              </w:rPr>
            </w:pPr>
            <w:r w:rsidRPr="007F131A">
              <w:rPr>
                <w:sz w:val="18"/>
                <w:szCs w:val="18"/>
                <w:lang w:val="en-US"/>
              </w:rPr>
              <w:t>5.40</w:t>
            </w:r>
          </w:p>
        </w:tc>
        <w:tc>
          <w:tcPr>
            <w:tcW w:w="1125" w:type="dxa"/>
            <w:tcBorders>
              <w:top w:val="nil"/>
              <w:left w:val="nil"/>
              <w:bottom w:val="nil"/>
              <w:right w:val="nil"/>
            </w:tcBorders>
            <w:tcMar>
              <w:left w:w="28" w:type="dxa"/>
              <w:right w:w="28" w:type="dxa"/>
            </w:tcMar>
          </w:tcPr>
          <w:p w14:paraId="25F94DB6" w14:textId="77777777" w:rsidR="00EB0BEF" w:rsidRPr="007F131A" w:rsidRDefault="00EB0BEF" w:rsidP="00A0419B">
            <w:pPr>
              <w:spacing w:after="0" w:line="240" w:lineRule="auto"/>
              <w:jc w:val="center"/>
              <w:rPr>
                <w:b/>
                <w:sz w:val="18"/>
                <w:szCs w:val="18"/>
                <w:lang w:val="en-US"/>
              </w:rPr>
            </w:pPr>
            <w:r w:rsidRPr="007F131A">
              <w:rPr>
                <w:sz w:val="18"/>
                <w:szCs w:val="18"/>
                <w:lang w:val="en-US"/>
              </w:rPr>
              <w:t>0.000</w:t>
            </w:r>
          </w:p>
        </w:tc>
        <w:tc>
          <w:tcPr>
            <w:tcW w:w="355" w:type="dxa"/>
            <w:tcBorders>
              <w:top w:val="nil"/>
              <w:left w:val="nil"/>
              <w:bottom w:val="nil"/>
              <w:right w:val="single" w:sz="4" w:space="0" w:color="auto"/>
            </w:tcBorders>
            <w:tcMar>
              <w:left w:w="28" w:type="dxa"/>
              <w:right w:w="28" w:type="dxa"/>
            </w:tcMar>
          </w:tcPr>
          <w:p w14:paraId="68270433"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r>
      <w:tr w:rsidR="00EB0BEF" w:rsidRPr="007F131A" w14:paraId="4A79BCC4" w14:textId="77777777" w:rsidTr="00A0419B">
        <w:tc>
          <w:tcPr>
            <w:tcW w:w="2535" w:type="dxa"/>
            <w:tcBorders>
              <w:top w:val="nil"/>
              <w:left w:val="single" w:sz="4" w:space="0" w:color="auto"/>
              <w:bottom w:val="nil"/>
              <w:right w:val="nil"/>
            </w:tcBorders>
            <w:tcMar>
              <w:left w:w="28" w:type="dxa"/>
              <w:right w:w="28" w:type="dxa"/>
            </w:tcMar>
          </w:tcPr>
          <w:p w14:paraId="0F8E7287"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DE</w:t>
            </w:r>
          </w:p>
        </w:tc>
        <w:tc>
          <w:tcPr>
            <w:tcW w:w="878" w:type="dxa"/>
            <w:tcBorders>
              <w:top w:val="nil"/>
              <w:left w:val="nil"/>
              <w:bottom w:val="nil"/>
              <w:right w:val="nil"/>
            </w:tcBorders>
            <w:tcMar>
              <w:left w:w="28" w:type="dxa"/>
              <w:right w:w="28" w:type="dxa"/>
            </w:tcMar>
          </w:tcPr>
          <w:p w14:paraId="66CC5838"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48613881"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0.060</w:t>
            </w:r>
          </w:p>
        </w:tc>
        <w:tc>
          <w:tcPr>
            <w:tcW w:w="1683" w:type="dxa"/>
            <w:tcBorders>
              <w:top w:val="nil"/>
              <w:left w:val="nil"/>
              <w:bottom w:val="nil"/>
              <w:right w:val="nil"/>
            </w:tcBorders>
            <w:tcMar>
              <w:left w:w="28" w:type="dxa"/>
              <w:right w:w="28" w:type="dxa"/>
            </w:tcMar>
          </w:tcPr>
          <w:p w14:paraId="54C196BC" w14:textId="77777777" w:rsidR="00EB0BEF" w:rsidRPr="007F131A" w:rsidRDefault="00EB0BEF" w:rsidP="00A0419B">
            <w:pPr>
              <w:spacing w:after="0" w:line="240" w:lineRule="auto"/>
              <w:jc w:val="center"/>
              <w:rPr>
                <w:b/>
                <w:sz w:val="18"/>
                <w:szCs w:val="18"/>
                <w:lang w:val="en-US"/>
              </w:rPr>
            </w:pPr>
            <w:r w:rsidRPr="007F131A">
              <w:rPr>
                <w:sz w:val="18"/>
                <w:szCs w:val="18"/>
                <w:lang w:val="en-US"/>
              </w:rPr>
              <w:t>0.010</w:t>
            </w:r>
          </w:p>
        </w:tc>
        <w:tc>
          <w:tcPr>
            <w:tcW w:w="1125" w:type="dxa"/>
            <w:tcBorders>
              <w:top w:val="nil"/>
              <w:left w:val="nil"/>
              <w:bottom w:val="nil"/>
              <w:right w:val="nil"/>
            </w:tcBorders>
          </w:tcPr>
          <w:p w14:paraId="21C09D64"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6.04</w:t>
            </w:r>
          </w:p>
        </w:tc>
        <w:tc>
          <w:tcPr>
            <w:tcW w:w="1125" w:type="dxa"/>
            <w:tcBorders>
              <w:top w:val="nil"/>
              <w:left w:val="nil"/>
              <w:bottom w:val="nil"/>
              <w:right w:val="nil"/>
            </w:tcBorders>
            <w:tcMar>
              <w:left w:w="28" w:type="dxa"/>
              <w:right w:w="28" w:type="dxa"/>
            </w:tcMar>
          </w:tcPr>
          <w:p w14:paraId="7562B8CD" w14:textId="77777777" w:rsidR="00EB0BEF" w:rsidRPr="007F131A" w:rsidRDefault="00EB0BEF" w:rsidP="00A0419B">
            <w:pPr>
              <w:spacing w:after="0" w:line="240" w:lineRule="auto"/>
              <w:jc w:val="center"/>
              <w:rPr>
                <w:b/>
                <w:sz w:val="18"/>
                <w:szCs w:val="18"/>
                <w:lang w:val="en-US"/>
              </w:rPr>
            </w:pPr>
            <w:r w:rsidRPr="007F131A">
              <w:rPr>
                <w:sz w:val="18"/>
                <w:szCs w:val="18"/>
                <w:lang w:val="en-US"/>
              </w:rPr>
              <w:t>0.000</w:t>
            </w:r>
          </w:p>
        </w:tc>
        <w:tc>
          <w:tcPr>
            <w:tcW w:w="355" w:type="dxa"/>
            <w:tcBorders>
              <w:top w:val="nil"/>
              <w:left w:val="nil"/>
              <w:bottom w:val="nil"/>
              <w:right w:val="single" w:sz="4" w:space="0" w:color="auto"/>
            </w:tcBorders>
            <w:tcMar>
              <w:left w:w="28" w:type="dxa"/>
              <w:right w:w="28" w:type="dxa"/>
            </w:tcMar>
          </w:tcPr>
          <w:p w14:paraId="67588881"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r>
      <w:tr w:rsidR="00EB0BEF" w:rsidRPr="007F131A" w14:paraId="67E2BD20" w14:textId="77777777" w:rsidTr="00A0419B">
        <w:tc>
          <w:tcPr>
            <w:tcW w:w="2535" w:type="dxa"/>
            <w:tcBorders>
              <w:top w:val="nil"/>
              <w:left w:val="single" w:sz="4" w:space="0" w:color="auto"/>
              <w:bottom w:val="nil"/>
              <w:right w:val="nil"/>
            </w:tcBorders>
            <w:tcMar>
              <w:left w:w="28" w:type="dxa"/>
              <w:right w:w="28" w:type="dxa"/>
            </w:tcMar>
          </w:tcPr>
          <w:p w14:paraId="3B4B875E"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IND</w:t>
            </w:r>
          </w:p>
        </w:tc>
        <w:tc>
          <w:tcPr>
            <w:tcW w:w="878" w:type="dxa"/>
            <w:tcBorders>
              <w:top w:val="nil"/>
              <w:left w:val="nil"/>
              <w:bottom w:val="nil"/>
              <w:right w:val="nil"/>
            </w:tcBorders>
            <w:tcMar>
              <w:left w:w="28" w:type="dxa"/>
              <w:right w:w="28" w:type="dxa"/>
            </w:tcMar>
          </w:tcPr>
          <w:p w14:paraId="5B94E4A8"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7A14F41E"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0.464</w:t>
            </w:r>
          </w:p>
        </w:tc>
        <w:tc>
          <w:tcPr>
            <w:tcW w:w="1683" w:type="dxa"/>
            <w:tcBorders>
              <w:top w:val="nil"/>
              <w:left w:val="nil"/>
              <w:bottom w:val="nil"/>
              <w:right w:val="nil"/>
            </w:tcBorders>
            <w:tcMar>
              <w:left w:w="28" w:type="dxa"/>
              <w:right w:w="28" w:type="dxa"/>
            </w:tcMar>
          </w:tcPr>
          <w:p w14:paraId="10E6231B" w14:textId="77777777" w:rsidR="00EB0BEF" w:rsidRPr="007F131A" w:rsidRDefault="00EB0BEF" w:rsidP="00A0419B">
            <w:pPr>
              <w:spacing w:after="0" w:line="240" w:lineRule="auto"/>
              <w:jc w:val="center"/>
              <w:rPr>
                <w:b/>
                <w:sz w:val="18"/>
                <w:szCs w:val="18"/>
                <w:lang w:val="en-US"/>
              </w:rPr>
            </w:pPr>
            <w:r w:rsidRPr="007F131A">
              <w:rPr>
                <w:sz w:val="18"/>
                <w:szCs w:val="18"/>
                <w:lang w:val="en-US"/>
              </w:rPr>
              <w:t>0.143</w:t>
            </w:r>
          </w:p>
        </w:tc>
        <w:tc>
          <w:tcPr>
            <w:tcW w:w="1125" w:type="dxa"/>
            <w:tcBorders>
              <w:top w:val="nil"/>
              <w:left w:val="nil"/>
              <w:bottom w:val="nil"/>
              <w:right w:val="nil"/>
            </w:tcBorders>
          </w:tcPr>
          <w:p w14:paraId="67DD6E31"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3.25</w:t>
            </w:r>
          </w:p>
        </w:tc>
        <w:tc>
          <w:tcPr>
            <w:tcW w:w="1125" w:type="dxa"/>
            <w:tcBorders>
              <w:top w:val="nil"/>
              <w:left w:val="nil"/>
              <w:bottom w:val="nil"/>
              <w:right w:val="nil"/>
            </w:tcBorders>
            <w:tcMar>
              <w:left w:w="28" w:type="dxa"/>
              <w:right w:w="28" w:type="dxa"/>
            </w:tcMar>
          </w:tcPr>
          <w:p w14:paraId="34D92E29" w14:textId="77777777" w:rsidR="00EB0BEF" w:rsidRPr="007F131A" w:rsidRDefault="00EB0BEF" w:rsidP="00A0419B">
            <w:pPr>
              <w:spacing w:after="0" w:line="240" w:lineRule="auto"/>
              <w:jc w:val="center"/>
              <w:rPr>
                <w:b/>
                <w:sz w:val="18"/>
                <w:szCs w:val="18"/>
                <w:lang w:val="en-US"/>
              </w:rPr>
            </w:pPr>
            <w:r w:rsidRPr="007F131A">
              <w:rPr>
                <w:sz w:val="18"/>
                <w:szCs w:val="18"/>
                <w:lang w:val="en-US"/>
              </w:rPr>
              <w:t>0.001</w:t>
            </w:r>
          </w:p>
        </w:tc>
        <w:tc>
          <w:tcPr>
            <w:tcW w:w="355" w:type="dxa"/>
            <w:tcBorders>
              <w:top w:val="nil"/>
              <w:left w:val="nil"/>
              <w:bottom w:val="nil"/>
              <w:right w:val="single" w:sz="4" w:space="0" w:color="auto"/>
            </w:tcBorders>
            <w:tcMar>
              <w:left w:w="28" w:type="dxa"/>
              <w:right w:w="28" w:type="dxa"/>
            </w:tcMar>
          </w:tcPr>
          <w:p w14:paraId="0ACCA501"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r>
      <w:tr w:rsidR="00EB0BEF" w:rsidRPr="007F131A" w14:paraId="7D3FC3F3" w14:textId="77777777" w:rsidTr="00A0419B">
        <w:tc>
          <w:tcPr>
            <w:tcW w:w="2535" w:type="dxa"/>
            <w:tcBorders>
              <w:top w:val="nil"/>
              <w:left w:val="single" w:sz="4" w:space="0" w:color="auto"/>
              <w:bottom w:val="nil"/>
              <w:right w:val="nil"/>
            </w:tcBorders>
            <w:tcMar>
              <w:left w:w="28" w:type="dxa"/>
              <w:right w:w="28" w:type="dxa"/>
            </w:tcMar>
          </w:tcPr>
          <w:p w14:paraId="007E6373"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AUDIT</w:t>
            </w:r>
          </w:p>
        </w:tc>
        <w:tc>
          <w:tcPr>
            <w:tcW w:w="878" w:type="dxa"/>
            <w:tcBorders>
              <w:top w:val="nil"/>
              <w:left w:val="nil"/>
              <w:bottom w:val="nil"/>
              <w:right w:val="nil"/>
            </w:tcBorders>
            <w:tcMar>
              <w:left w:w="28" w:type="dxa"/>
              <w:right w:w="28" w:type="dxa"/>
            </w:tcMar>
          </w:tcPr>
          <w:p w14:paraId="0BB9D8B2"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73BAD4B1" w14:textId="77777777" w:rsidR="00EB0BEF" w:rsidRPr="007F131A" w:rsidRDefault="00EB0BEF" w:rsidP="00A0419B">
            <w:pPr>
              <w:spacing w:after="0" w:line="240" w:lineRule="auto"/>
              <w:jc w:val="center"/>
              <w:rPr>
                <w:sz w:val="18"/>
                <w:szCs w:val="18"/>
              </w:rPr>
            </w:pPr>
            <w:r w:rsidRPr="007F131A">
              <w:rPr>
                <w:sz w:val="18"/>
                <w:szCs w:val="18"/>
                <w:lang w:val="en-US"/>
              </w:rPr>
              <w:t>0.392</w:t>
            </w:r>
          </w:p>
        </w:tc>
        <w:tc>
          <w:tcPr>
            <w:tcW w:w="1683" w:type="dxa"/>
            <w:tcBorders>
              <w:top w:val="nil"/>
              <w:left w:val="nil"/>
              <w:bottom w:val="nil"/>
              <w:right w:val="nil"/>
            </w:tcBorders>
            <w:tcMar>
              <w:left w:w="28" w:type="dxa"/>
              <w:right w:w="28" w:type="dxa"/>
            </w:tcMar>
          </w:tcPr>
          <w:p w14:paraId="617E8033" w14:textId="77777777" w:rsidR="00EB0BEF" w:rsidRPr="007F131A" w:rsidRDefault="00EB0BEF" w:rsidP="00A0419B">
            <w:pPr>
              <w:spacing w:after="0" w:line="240" w:lineRule="auto"/>
              <w:jc w:val="center"/>
              <w:rPr>
                <w:b/>
                <w:sz w:val="18"/>
                <w:szCs w:val="18"/>
                <w:lang w:val="en-US"/>
              </w:rPr>
            </w:pPr>
            <w:r w:rsidRPr="007F131A">
              <w:rPr>
                <w:sz w:val="18"/>
                <w:szCs w:val="18"/>
                <w:lang w:val="en-US"/>
              </w:rPr>
              <w:t>0.173</w:t>
            </w:r>
          </w:p>
        </w:tc>
        <w:tc>
          <w:tcPr>
            <w:tcW w:w="1125" w:type="dxa"/>
            <w:tcBorders>
              <w:top w:val="nil"/>
              <w:left w:val="nil"/>
              <w:bottom w:val="nil"/>
              <w:right w:val="nil"/>
            </w:tcBorders>
          </w:tcPr>
          <w:p w14:paraId="4D090A5B" w14:textId="77777777" w:rsidR="00EB0BEF" w:rsidRPr="007F131A" w:rsidRDefault="00EB0BEF" w:rsidP="00A0419B">
            <w:pPr>
              <w:spacing w:after="0" w:line="240" w:lineRule="auto"/>
              <w:jc w:val="center"/>
              <w:rPr>
                <w:sz w:val="18"/>
                <w:szCs w:val="18"/>
              </w:rPr>
            </w:pPr>
            <w:r w:rsidRPr="007F131A">
              <w:rPr>
                <w:sz w:val="18"/>
                <w:szCs w:val="18"/>
                <w:lang w:val="en-US"/>
              </w:rPr>
              <w:t>2.27</w:t>
            </w:r>
          </w:p>
        </w:tc>
        <w:tc>
          <w:tcPr>
            <w:tcW w:w="1125" w:type="dxa"/>
            <w:tcBorders>
              <w:top w:val="nil"/>
              <w:left w:val="nil"/>
              <w:bottom w:val="nil"/>
              <w:right w:val="nil"/>
            </w:tcBorders>
            <w:tcMar>
              <w:left w:w="28" w:type="dxa"/>
              <w:right w:w="28" w:type="dxa"/>
            </w:tcMar>
          </w:tcPr>
          <w:p w14:paraId="6EDF1920" w14:textId="77777777" w:rsidR="00EB0BEF" w:rsidRPr="007F131A" w:rsidRDefault="00EB0BEF" w:rsidP="00A0419B">
            <w:pPr>
              <w:spacing w:after="0" w:line="240" w:lineRule="auto"/>
              <w:jc w:val="center"/>
              <w:rPr>
                <w:b/>
                <w:sz w:val="18"/>
                <w:szCs w:val="18"/>
                <w:lang w:val="en-US"/>
              </w:rPr>
            </w:pPr>
            <w:r w:rsidRPr="007F131A">
              <w:rPr>
                <w:sz w:val="18"/>
                <w:szCs w:val="18"/>
                <w:lang w:val="en-US"/>
              </w:rPr>
              <w:t>0.024</w:t>
            </w:r>
          </w:p>
        </w:tc>
        <w:tc>
          <w:tcPr>
            <w:tcW w:w="355" w:type="dxa"/>
            <w:tcBorders>
              <w:top w:val="nil"/>
              <w:left w:val="nil"/>
              <w:bottom w:val="nil"/>
              <w:right w:val="single" w:sz="4" w:space="0" w:color="auto"/>
            </w:tcBorders>
            <w:tcMar>
              <w:left w:w="28" w:type="dxa"/>
              <w:right w:w="28" w:type="dxa"/>
            </w:tcMar>
          </w:tcPr>
          <w:p w14:paraId="7FD3D92E" w14:textId="77777777" w:rsidR="00EB0BEF" w:rsidRPr="007F131A" w:rsidRDefault="00EB0BEF" w:rsidP="00A0419B">
            <w:pPr>
              <w:spacing w:after="0" w:line="240" w:lineRule="auto"/>
              <w:rPr>
                <w:b/>
                <w:sz w:val="20"/>
                <w:szCs w:val="20"/>
                <w:lang w:val="en-US"/>
              </w:rPr>
            </w:pPr>
            <w:r w:rsidRPr="007F131A">
              <w:rPr>
                <w:b/>
                <w:sz w:val="20"/>
                <w:szCs w:val="20"/>
                <w:lang w:val="en-US"/>
              </w:rPr>
              <w:t>**</w:t>
            </w:r>
          </w:p>
        </w:tc>
      </w:tr>
      <w:tr w:rsidR="00EB0BEF" w:rsidRPr="007F131A" w14:paraId="7A6726D9" w14:textId="77777777" w:rsidTr="00A0419B">
        <w:tc>
          <w:tcPr>
            <w:tcW w:w="2535" w:type="dxa"/>
            <w:tcBorders>
              <w:top w:val="nil"/>
              <w:left w:val="single" w:sz="4" w:space="0" w:color="auto"/>
              <w:bottom w:val="nil"/>
              <w:right w:val="nil"/>
            </w:tcBorders>
            <w:tcMar>
              <w:left w:w="28" w:type="dxa"/>
              <w:right w:w="28" w:type="dxa"/>
            </w:tcMar>
          </w:tcPr>
          <w:p w14:paraId="124D466E"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OWN</w:t>
            </w:r>
          </w:p>
        </w:tc>
        <w:tc>
          <w:tcPr>
            <w:tcW w:w="878" w:type="dxa"/>
            <w:tcBorders>
              <w:top w:val="nil"/>
              <w:left w:val="nil"/>
              <w:bottom w:val="nil"/>
              <w:right w:val="nil"/>
            </w:tcBorders>
            <w:tcMar>
              <w:left w:w="28" w:type="dxa"/>
              <w:right w:w="28" w:type="dxa"/>
            </w:tcMar>
          </w:tcPr>
          <w:p w14:paraId="399394E5"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6DC3F21A"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-0.090</w:t>
            </w:r>
          </w:p>
        </w:tc>
        <w:tc>
          <w:tcPr>
            <w:tcW w:w="1683" w:type="dxa"/>
            <w:tcBorders>
              <w:top w:val="nil"/>
              <w:left w:val="nil"/>
              <w:bottom w:val="nil"/>
              <w:right w:val="nil"/>
            </w:tcBorders>
            <w:tcMar>
              <w:left w:w="28" w:type="dxa"/>
              <w:right w:w="28" w:type="dxa"/>
            </w:tcMar>
          </w:tcPr>
          <w:p w14:paraId="112BB247" w14:textId="77777777" w:rsidR="00EB0BEF" w:rsidRPr="007F131A" w:rsidRDefault="00EB0BEF" w:rsidP="00A0419B">
            <w:pPr>
              <w:spacing w:after="0" w:line="240" w:lineRule="auto"/>
              <w:jc w:val="center"/>
              <w:rPr>
                <w:b/>
                <w:sz w:val="18"/>
                <w:szCs w:val="18"/>
                <w:lang w:val="en-US"/>
              </w:rPr>
            </w:pPr>
            <w:r w:rsidRPr="007F131A">
              <w:rPr>
                <w:sz w:val="18"/>
                <w:szCs w:val="18"/>
                <w:lang w:val="en-US"/>
              </w:rPr>
              <w:t>0.123</w:t>
            </w:r>
          </w:p>
        </w:tc>
        <w:tc>
          <w:tcPr>
            <w:tcW w:w="1125" w:type="dxa"/>
            <w:tcBorders>
              <w:top w:val="nil"/>
              <w:left w:val="nil"/>
              <w:bottom w:val="nil"/>
              <w:right w:val="nil"/>
            </w:tcBorders>
          </w:tcPr>
          <w:p w14:paraId="546317BF"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-0.73</w:t>
            </w:r>
          </w:p>
        </w:tc>
        <w:tc>
          <w:tcPr>
            <w:tcW w:w="1125" w:type="dxa"/>
            <w:tcBorders>
              <w:top w:val="nil"/>
              <w:left w:val="nil"/>
              <w:bottom w:val="nil"/>
              <w:right w:val="nil"/>
            </w:tcBorders>
            <w:tcMar>
              <w:left w:w="28" w:type="dxa"/>
              <w:right w:w="28" w:type="dxa"/>
            </w:tcMar>
          </w:tcPr>
          <w:p w14:paraId="7892DEF0" w14:textId="77777777" w:rsidR="00EB0BEF" w:rsidRPr="007F131A" w:rsidRDefault="00EB0BEF" w:rsidP="00A0419B">
            <w:pPr>
              <w:spacing w:after="0" w:line="240" w:lineRule="auto"/>
              <w:jc w:val="center"/>
              <w:rPr>
                <w:b/>
                <w:sz w:val="18"/>
                <w:szCs w:val="18"/>
                <w:lang w:val="en-US"/>
              </w:rPr>
            </w:pPr>
            <w:r w:rsidRPr="007F131A">
              <w:rPr>
                <w:sz w:val="18"/>
                <w:szCs w:val="18"/>
                <w:lang w:val="en-US"/>
              </w:rPr>
              <w:t>0.463</w:t>
            </w:r>
          </w:p>
        </w:tc>
        <w:tc>
          <w:tcPr>
            <w:tcW w:w="355" w:type="dxa"/>
            <w:tcBorders>
              <w:top w:val="nil"/>
              <w:left w:val="nil"/>
              <w:bottom w:val="nil"/>
              <w:right w:val="single" w:sz="4" w:space="0" w:color="auto"/>
            </w:tcBorders>
            <w:tcMar>
              <w:left w:w="28" w:type="dxa"/>
              <w:right w:w="28" w:type="dxa"/>
            </w:tcMar>
          </w:tcPr>
          <w:p w14:paraId="357F9440" w14:textId="77777777" w:rsidR="00EB0BEF" w:rsidRPr="007F131A" w:rsidRDefault="00EB0BEF" w:rsidP="00A0419B">
            <w:pPr>
              <w:spacing w:after="0" w:line="240" w:lineRule="auto"/>
              <w:rPr>
                <w:b/>
                <w:sz w:val="20"/>
                <w:szCs w:val="20"/>
                <w:lang w:val="en-US"/>
              </w:rPr>
            </w:pPr>
          </w:p>
        </w:tc>
      </w:tr>
      <w:tr w:rsidR="00EB0BEF" w:rsidRPr="007F131A" w14:paraId="26CB024E" w14:textId="77777777" w:rsidTr="00A0419B">
        <w:tc>
          <w:tcPr>
            <w:tcW w:w="2535" w:type="dxa"/>
            <w:tcBorders>
              <w:top w:val="nil"/>
              <w:left w:val="single" w:sz="4" w:space="0" w:color="auto"/>
              <w:bottom w:val="nil"/>
              <w:right w:val="nil"/>
            </w:tcBorders>
            <w:tcMar>
              <w:left w:w="28" w:type="dxa"/>
              <w:right w:w="28" w:type="dxa"/>
            </w:tcMar>
          </w:tcPr>
          <w:p w14:paraId="624A5D99"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FAM</w:t>
            </w:r>
          </w:p>
        </w:tc>
        <w:tc>
          <w:tcPr>
            <w:tcW w:w="878" w:type="dxa"/>
            <w:tcBorders>
              <w:top w:val="nil"/>
              <w:left w:val="nil"/>
              <w:bottom w:val="nil"/>
              <w:right w:val="nil"/>
            </w:tcBorders>
            <w:tcMar>
              <w:left w:w="28" w:type="dxa"/>
              <w:right w:w="28" w:type="dxa"/>
            </w:tcMar>
          </w:tcPr>
          <w:p w14:paraId="59F59FB5"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390" w:type="dxa"/>
            <w:tcBorders>
              <w:top w:val="nil"/>
              <w:left w:val="nil"/>
              <w:bottom w:val="nil"/>
              <w:right w:val="nil"/>
            </w:tcBorders>
          </w:tcPr>
          <w:p w14:paraId="3EFCB686"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0.307</w:t>
            </w:r>
          </w:p>
        </w:tc>
        <w:tc>
          <w:tcPr>
            <w:tcW w:w="1683" w:type="dxa"/>
            <w:tcBorders>
              <w:top w:val="nil"/>
              <w:left w:val="nil"/>
              <w:bottom w:val="nil"/>
              <w:right w:val="nil"/>
            </w:tcBorders>
            <w:tcMar>
              <w:left w:w="28" w:type="dxa"/>
              <w:right w:w="28" w:type="dxa"/>
            </w:tcMar>
          </w:tcPr>
          <w:p w14:paraId="7FF30F5D" w14:textId="77777777" w:rsidR="00EB0BEF" w:rsidRPr="007F131A" w:rsidRDefault="00EB0BEF" w:rsidP="00A0419B">
            <w:pPr>
              <w:spacing w:after="0" w:line="240" w:lineRule="auto"/>
              <w:jc w:val="center"/>
              <w:rPr>
                <w:b/>
                <w:sz w:val="18"/>
                <w:szCs w:val="18"/>
                <w:lang w:val="en-US"/>
              </w:rPr>
            </w:pPr>
            <w:r w:rsidRPr="007F131A">
              <w:rPr>
                <w:sz w:val="18"/>
                <w:szCs w:val="18"/>
                <w:lang w:val="en-US"/>
              </w:rPr>
              <w:t>0.144</w:t>
            </w:r>
          </w:p>
        </w:tc>
        <w:tc>
          <w:tcPr>
            <w:tcW w:w="1125" w:type="dxa"/>
            <w:tcBorders>
              <w:top w:val="nil"/>
              <w:left w:val="nil"/>
              <w:bottom w:val="nil"/>
              <w:right w:val="nil"/>
            </w:tcBorders>
          </w:tcPr>
          <w:p w14:paraId="2AA15713" w14:textId="77777777" w:rsidR="00EB0BEF" w:rsidRPr="007F131A" w:rsidRDefault="00EB0BEF" w:rsidP="00A0419B">
            <w:pPr>
              <w:spacing w:after="0" w:line="240" w:lineRule="auto"/>
              <w:jc w:val="center"/>
              <w:rPr>
                <w:rFonts w:eastAsia="MS Mincho"/>
                <w:sz w:val="18"/>
                <w:szCs w:val="18"/>
                <w:lang w:val="en-GB" w:eastAsia="ja-JP"/>
              </w:rPr>
            </w:pPr>
            <w:r w:rsidRPr="007F131A">
              <w:rPr>
                <w:sz w:val="18"/>
                <w:szCs w:val="18"/>
                <w:lang w:val="en-US"/>
              </w:rPr>
              <w:t>2.13</w:t>
            </w:r>
          </w:p>
        </w:tc>
        <w:tc>
          <w:tcPr>
            <w:tcW w:w="1125" w:type="dxa"/>
            <w:tcBorders>
              <w:top w:val="nil"/>
              <w:left w:val="nil"/>
              <w:bottom w:val="nil"/>
              <w:right w:val="nil"/>
            </w:tcBorders>
            <w:tcMar>
              <w:left w:w="28" w:type="dxa"/>
              <w:right w:w="28" w:type="dxa"/>
            </w:tcMar>
          </w:tcPr>
          <w:p w14:paraId="0A964A26" w14:textId="77777777" w:rsidR="00EB0BEF" w:rsidRPr="007F131A" w:rsidRDefault="00EB0BEF" w:rsidP="00A0419B">
            <w:pPr>
              <w:spacing w:after="0" w:line="240" w:lineRule="auto"/>
              <w:jc w:val="center"/>
              <w:rPr>
                <w:b/>
                <w:sz w:val="18"/>
                <w:szCs w:val="18"/>
                <w:lang w:val="en-US"/>
              </w:rPr>
            </w:pPr>
            <w:r w:rsidRPr="007F131A">
              <w:rPr>
                <w:sz w:val="18"/>
                <w:szCs w:val="18"/>
                <w:lang w:val="en-US"/>
              </w:rPr>
              <w:t>0.033</w:t>
            </w:r>
          </w:p>
        </w:tc>
        <w:tc>
          <w:tcPr>
            <w:tcW w:w="355" w:type="dxa"/>
            <w:tcBorders>
              <w:top w:val="nil"/>
              <w:left w:val="nil"/>
              <w:bottom w:val="nil"/>
              <w:right w:val="single" w:sz="4" w:space="0" w:color="auto"/>
            </w:tcBorders>
            <w:tcMar>
              <w:left w:w="28" w:type="dxa"/>
              <w:right w:w="28" w:type="dxa"/>
            </w:tcMar>
          </w:tcPr>
          <w:p w14:paraId="42A749E7" w14:textId="77777777" w:rsidR="00EB0BEF" w:rsidRPr="007F131A" w:rsidRDefault="00EB0BEF" w:rsidP="00A0419B">
            <w:pPr>
              <w:spacing w:after="0" w:line="240" w:lineRule="auto"/>
              <w:rPr>
                <w:b/>
                <w:sz w:val="20"/>
                <w:szCs w:val="20"/>
                <w:lang w:val="en-US"/>
              </w:rPr>
            </w:pPr>
            <w:r w:rsidRPr="007F131A">
              <w:rPr>
                <w:b/>
                <w:sz w:val="20"/>
                <w:szCs w:val="20"/>
                <w:lang w:val="en-US"/>
              </w:rPr>
              <w:t>**</w:t>
            </w:r>
          </w:p>
        </w:tc>
      </w:tr>
      <w:tr w:rsidR="00EB0BEF" w:rsidRPr="007F131A" w14:paraId="0143D77A" w14:textId="77777777" w:rsidTr="00A0419B">
        <w:tc>
          <w:tcPr>
            <w:tcW w:w="2535" w:type="dxa"/>
            <w:tcBorders>
              <w:top w:val="nil"/>
              <w:left w:val="single" w:sz="4" w:space="0" w:color="auto"/>
              <w:bottom w:val="nil"/>
              <w:right w:val="nil"/>
            </w:tcBorders>
            <w:tcMar>
              <w:left w:w="28" w:type="dxa"/>
              <w:right w:w="28" w:type="dxa"/>
            </w:tcMar>
          </w:tcPr>
          <w:p w14:paraId="55242694"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Year control:</w:t>
            </w:r>
          </w:p>
        </w:tc>
        <w:tc>
          <w:tcPr>
            <w:tcW w:w="878" w:type="dxa"/>
            <w:tcBorders>
              <w:top w:val="nil"/>
              <w:left w:val="nil"/>
              <w:bottom w:val="nil"/>
              <w:right w:val="nil"/>
            </w:tcBorders>
            <w:tcMar>
              <w:left w:w="28" w:type="dxa"/>
              <w:right w:w="28" w:type="dxa"/>
            </w:tcMar>
          </w:tcPr>
          <w:p w14:paraId="66E8D71A" w14:textId="77777777" w:rsidR="00EB0BEF" w:rsidRPr="007F131A" w:rsidRDefault="00EB0BEF" w:rsidP="00A0419B">
            <w:pPr>
              <w:spacing w:after="0" w:line="240" w:lineRule="auto"/>
              <w:rPr>
                <w:b/>
                <w:sz w:val="20"/>
                <w:szCs w:val="20"/>
                <w:lang w:val="en-US"/>
              </w:rPr>
            </w:pPr>
          </w:p>
        </w:tc>
        <w:tc>
          <w:tcPr>
            <w:tcW w:w="1390" w:type="dxa"/>
            <w:tcBorders>
              <w:top w:val="nil"/>
              <w:left w:val="nil"/>
              <w:bottom w:val="nil"/>
              <w:right w:val="nil"/>
            </w:tcBorders>
          </w:tcPr>
          <w:p w14:paraId="0D90EA66" w14:textId="77777777" w:rsidR="00EB0BEF" w:rsidRPr="007F131A" w:rsidRDefault="00EB0BEF" w:rsidP="00A0419B">
            <w:pPr>
              <w:spacing w:after="0" w:line="240" w:lineRule="auto"/>
              <w:jc w:val="center"/>
              <w:rPr>
                <w:b/>
                <w:sz w:val="20"/>
                <w:szCs w:val="20"/>
                <w:lang w:val="en-US"/>
              </w:rPr>
            </w:pPr>
          </w:p>
        </w:tc>
        <w:tc>
          <w:tcPr>
            <w:tcW w:w="1683" w:type="dxa"/>
            <w:tcBorders>
              <w:top w:val="nil"/>
              <w:left w:val="nil"/>
              <w:bottom w:val="nil"/>
              <w:right w:val="nil"/>
            </w:tcBorders>
            <w:tcMar>
              <w:left w:w="28" w:type="dxa"/>
              <w:right w:w="28" w:type="dxa"/>
            </w:tcMar>
          </w:tcPr>
          <w:p w14:paraId="0B7CF864" w14:textId="77777777" w:rsidR="00EB0BEF" w:rsidRPr="007F131A" w:rsidRDefault="00EB0BEF" w:rsidP="00A0419B">
            <w:pPr>
              <w:spacing w:after="0" w:line="240" w:lineRule="auto"/>
              <w:jc w:val="center"/>
              <w:rPr>
                <w:b/>
                <w:sz w:val="20"/>
                <w:szCs w:val="20"/>
                <w:lang w:val="en-US"/>
              </w:rPr>
            </w:pPr>
          </w:p>
        </w:tc>
        <w:tc>
          <w:tcPr>
            <w:tcW w:w="1125" w:type="dxa"/>
            <w:tcBorders>
              <w:top w:val="nil"/>
              <w:left w:val="nil"/>
              <w:bottom w:val="nil"/>
              <w:right w:val="nil"/>
            </w:tcBorders>
          </w:tcPr>
          <w:p w14:paraId="5451C3AF" w14:textId="77777777" w:rsidR="00EB0BEF" w:rsidRPr="007F131A" w:rsidRDefault="00EB0BEF" w:rsidP="00A0419B">
            <w:pPr>
              <w:spacing w:after="0" w:line="240" w:lineRule="auto"/>
              <w:jc w:val="center"/>
              <w:rPr>
                <w:b/>
                <w:sz w:val="20"/>
                <w:szCs w:val="20"/>
                <w:lang w:val="en-US"/>
              </w:rPr>
            </w:pPr>
          </w:p>
        </w:tc>
        <w:tc>
          <w:tcPr>
            <w:tcW w:w="1125" w:type="dxa"/>
            <w:tcBorders>
              <w:top w:val="nil"/>
              <w:left w:val="nil"/>
              <w:bottom w:val="nil"/>
              <w:right w:val="nil"/>
            </w:tcBorders>
            <w:tcMar>
              <w:left w:w="28" w:type="dxa"/>
              <w:right w:w="28" w:type="dxa"/>
            </w:tcMar>
          </w:tcPr>
          <w:p w14:paraId="5FCCE29E" w14:textId="77777777" w:rsidR="00EB0BEF" w:rsidRPr="007F131A" w:rsidRDefault="00EB0BEF" w:rsidP="00A0419B">
            <w:pPr>
              <w:spacing w:after="0" w:line="240" w:lineRule="auto"/>
              <w:jc w:val="center"/>
              <w:rPr>
                <w:b/>
                <w:sz w:val="20"/>
                <w:szCs w:val="20"/>
                <w:lang w:val="en-US"/>
              </w:rPr>
            </w:pPr>
          </w:p>
        </w:tc>
        <w:tc>
          <w:tcPr>
            <w:tcW w:w="355" w:type="dxa"/>
            <w:tcBorders>
              <w:top w:val="nil"/>
              <w:left w:val="nil"/>
              <w:bottom w:val="nil"/>
              <w:right w:val="single" w:sz="4" w:space="0" w:color="auto"/>
            </w:tcBorders>
            <w:tcMar>
              <w:left w:w="28" w:type="dxa"/>
              <w:right w:w="28" w:type="dxa"/>
            </w:tcMar>
          </w:tcPr>
          <w:p w14:paraId="521EC3A1" w14:textId="77777777" w:rsidR="00EB0BEF" w:rsidRPr="007F131A" w:rsidRDefault="00EB0BEF" w:rsidP="00A0419B">
            <w:pPr>
              <w:spacing w:after="0" w:line="240" w:lineRule="auto"/>
              <w:rPr>
                <w:b/>
                <w:sz w:val="20"/>
                <w:szCs w:val="20"/>
                <w:lang w:val="en-US"/>
              </w:rPr>
            </w:pPr>
          </w:p>
        </w:tc>
      </w:tr>
      <w:tr w:rsidR="00EB0BEF" w:rsidRPr="007F131A" w14:paraId="5D3D2BEA" w14:textId="77777777" w:rsidTr="00A0419B">
        <w:tc>
          <w:tcPr>
            <w:tcW w:w="2535" w:type="dxa"/>
            <w:tcBorders>
              <w:top w:val="nil"/>
              <w:left w:val="single" w:sz="4" w:space="0" w:color="auto"/>
              <w:bottom w:val="nil"/>
              <w:right w:val="nil"/>
            </w:tcBorders>
            <w:tcMar>
              <w:left w:w="28" w:type="dxa"/>
              <w:right w:w="28" w:type="dxa"/>
            </w:tcMar>
          </w:tcPr>
          <w:p w14:paraId="22AE0A96"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 xml:space="preserve">   2010</w:t>
            </w:r>
          </w:p>
        </w:tc>
        <w:tc>
          <w:tcPr>
            <w:tcW w:w="878" w:type="dxa"/>
            <w:tcBorders>
              <w:top w:val="nil"/>
              <w:left w:val="nil"/>
              <w:bottom w:val="nil"/>
              <w:right w:val="nil"/>
            </w:tcBorders>
            <w:tcMar>
              <w:left w:w="28" w:type="dxa"/>
              <w:right w:w="28" w:type="dxa"/>
            </w:tcMar>
          </w:tcPr>
          <w:p w14:paraId="09D8D6DE" w14:textId="77777777" w:rsidR="00EB0BEF" w:rsidRPr="007F131A" w:rsidRDefault="00EB0BEF" w:rsidP="00A0419B">
            <w:pPr>
              <w:spacing w:after="0" w:line="240" w:lineRule="auto"/>
              <w:rPr>
                <w:b/>
                <w:sz w:val="20"/>
                <w:szCs w:val="20"/>
                <w:lang w:val="en-US"/>
              </w:rPr>
            </w:pPr>
          </w:p>
        </w:tc>
        <w:tc>
          <w:tcPr>
            <w:tcW w:w="1390" w:type="dxa"/>
            <w:tcBorders>
              <w:top w:val="nil"/>
              <w:left w:val="nil"/>
              <w:bottom w:val="nil"/>
              <w:right w:val="nil"/>
            </w:tcBorders>
          </w:tcPr>
          <w:p w14:paraId="5EB7AE5E" w14:textId="77777777" w:rsidR="00EB0BEF" w:rsidRPr="007F131A" w:rsidRDefault="00EB0BEF" w:rsidP="00A0419B">
            <w:pPr>
              <w:spacing w:after="0" w:line="240" w:lineRule="auto"/>
              <w:jc w:val="center"/>
              <w:rPr>
                <w:sz w:val="18"/>
                <w:szCs w:val="18"/>
              </w:rPr>
            </w:pPr>
            <w:r w:rsidRPr="007F131A">
              <w:rPr>
                <w:sz w:val="18"/>
                <w:szCs w:val="18"/>
                <w:lang w:val="en-US"/>
              </w:rPr>
              <w:t>0.149</w:t>
            </w:r>
          </w:p>
        </w:tc>
        <w:tc>
          <w:tcPr>
            <w:tcW w:w="1683" w:type="dxa"/>
            <w:tcBorders>
              <w:top w:val="nil"/>
              <w:left w:val="nil"/>
              <w:bottom w:val="nil"/>
              <w:right w:val="nil"/>
            </w:tcBorders>
            <w:tcMar>
              <w:left w:w="28" w:type="dxa"/>
              <w:right w:w="28" w:type="dxa"/>
            </w:tcMar>
          </w:tcPr>
          <w:p w14:paraId="47A938AF" w14:textId="77777777" w:rsidR="00EB0BEF" w:rsidRPr="007F131A" w:rsidRDefault="00EB0BEF" w:rsidP="00A0419B">
            <w:pPr>
              <w:spacing w:after="0" w:line="240" w:lineRule="auto"/>
              <w:jc w:val="center"/>
              <w:rPr>
                <w:b/>
                <w:sz w:val="18"/>
                <w:szCs w:val="18"/>
                <w:lang w:val="en-US"/>
              </w:rPr>
            </w:pPr>
            <w:r w:rsidRPr="007F131A">
              <w:rPr>
                <w:sz w:val="18"/>
                <w:szCs w:val="18"/>
                <w:lang w:val="en-US"/>
              </w:rPr>
              <w:t>0.167</w:t>
            </w:r>
          </w:p>
        </w:tc>
        <w:tc>
          <w:tcPr>
            <w:tcW w:w="1125" w:type="dxa"/>
            <w:tcBorders>
              <w:top w:val="nil"/>
              <w:left w:val="nil"/>
              <w:bottom w:val="nil"/>
              <w:right w:val="nil"/>
            </w:tcBorders>
          </w:tcPr>
          <w:p w14:paraId="41F05C5A" w14:textId="77777777" w:rsidR="00EB0BEF" w:rsidRPr="007F131A" w:rsidRDefault="00EB0BEF" w:rsidP="00A0419B">
            <w:pPr>
              <w:spacing w:after="0" w:line="240" w:lineRule="auto"/>
              <w:jc w:val="center"/>
              <w:rPr>
                <w:sz w:val="18"/>
                <w:szCs w:val="18"/>
              </w:rPr>
            </w:pPr>
            <w:r w:rsidRPr="007F131A">
              <w:rPr>
                <w:sz w:val="18"/>
                <w:szCs w:val="18"/>
                <w:lang w:val="en-US"/>
              </w:rPr>
              <w:t>0.89</w:t>
            </w:r>
          </w:p>
        </w:tc>
        <w:tc>
          <w:tcPr>
            <w:tcW w:w="1125" w:type="dxa"/>
            <w:tcBorders>
              <w:top w:val="nil"/>
              <w:left w:val="nil"/>
              <w:bottom w:val="nil"/>
              <w:right w:val="nil"/>
            </w:tcBorders>
            <w:tcMar>
              <w:left w:w="28" w:type="dxa"/>
              <w:right w:w="28" w:type="dxa"/>
            </w:tcMar>
          </w:tcPr>
          <w:p w14:paraId="3D13CD2D" w14:textId="77777777" w:rsidR="00EB0BEF" w:rsidRPr="007F131A" w:rsidRDefault="00EB0BEF" w:rsidP="00A0419B">
            <w:pPr>
              <w:spacing w:after="0" w:line="240" w:lineRule="auto"/>
              <w:jc w:val="center"/>
              <w:rPr>
                <w:b/>
                <w:sz w:val="18"/>
                <w:szCs w:val="18"/>
                <w:lang w:val="en-US"/>
              </w:rPr>
            </w:pPr>
            <w:r w:rsidRPr="007F131A">
              <w:rPr>
                <w:sz w:val="18"/>
                <w:szCs w:val="18"/>
                <w:lang w:val="en-US"/>
              </w:rPr>
              <w:t>0.373</w:t>
            </w:r>
          </w:p>
        </w:tc>
        <w:tc>
          <w:tcPr>
            <w:tcW w:w="355" w:type="dxa"/>
            <w:tcBorders>
              <w:top w:val="nil"/>
              <w:left w:val="nil"/>
              <w:bottom w:val="nil"/>
              <w:right w:val="single" w:sz="4" w:space="0" w:color="auto"/>
            </w:tcBorders>
            <w:tcMar>
              <w:left w:w="28" w:type="dxa"/>
              <w:right w:w="28" w:type="dxa"/>
            </w:tcMar>
          </w:tcPr>
          <w:p w14:paraId="3BB30114" w14:textId="77777777" w:rsidR="00EB0BEF" w:rsidRPr="007F131A" w:rsidRDefault="00EB0BEF" w:rsidP="00A0419B">
            <w:pPr>
              <w:spacing w:after="0" w:line="240" w:lineRule="auto"/>
              <w:rPr>
                <w:b/>
                <w:sz w:val="20"/>
                <w:szCs w:val="20"/>
                <w:lang w:val="en-US"/>
              </w:rPr>
            </w:pPr>
          </w:p>
        </w:tc>
      </w:tr>
      <w:tr w:rsidR="00EB0BEF" w:rsidRPr="007F131A" w14:paraId="5A397EE6" w14:textId="77777777" w:rsidTr="00A0419B">
        <w:tc>
          <w:tcPr>
            <w:tcW w:w="2535" w:type="dxa"/>
            <w:tcBorders>
              <w:top w:val="nil"/>
              <w:left w:val="single" w:sz="4" w:space="0" w:color="auto"/>
              <w:bottom w:val="nil"/>
              <w:right w:val="nil"/>
            </w:tcBorders>
            <w:tcMar>
              <w:left w:w="28" w:type="dxa"/>
              <w:right w:w="28" w:type="dxa"/>
            </w:tcMar>
          </w:tcPr>
          <w:p w14:paraId="0ECA8D12"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 xml:space="preserve">   2011</w:t>
            </w:r>
          </w:p>
        </w:tc>
        <w:tc>
          <w:tcPr>
            <w:tcW w:w="878" w:type="dxa"/>
            <w:tcBorders>
              <w:top w:val="nil"/>
              <w:left w:val="nil"/>
              <w:bottom w:val="nil"/>
              <w:right w:val="nil"/>
            </w:tcBorders>
            <w:tcMar>
              <w:left w:w="28" w:type="dxa"/>
              <w:right w:w="28" w:type="dxa"/>
            </w:tcMar>
          </w:tcPr>
          <w:p w14:paraId="0B92B5F2" w14:textId="77777777" w:rsidR="00EB0BEF" w:rsidRPr="007F131A" w:rsidRDefault="00EB0BEF" w:rsidP="00A0419B">
            <w:pPr>
              <w:spacing w:after="0" w:line="240" w:lineRule="auto"/>
              <w:rPr>
                <w:b/>
                <w:sz w:val="20"/>
                <w:szCs w:val="20"/>
                <w:lang w:val="en-US"/>
              </w:rPr>
            </w:pPr>
          </w:p>
        </w:tc>
        <w:tc>
          <w:tcPr>
            <w:tcW w:w="1390" w:type="dxa"/>
            <w:tcBorders>
              <w:top w:val="nil"/>
              <w:left w:val="nil"/>
              <w:bottom w:val="nil"/>
              <w:right w:val="nil"/>
            </w:tcBorders>
          </w:tcPr>
          <w:p w14:paraId="165AC68E" w14:textId="77777777" w:rsidR="00EB0BEF" w:rsidRPr="007F131A" w:rsidRDefault="00EB0BEF" w:rsidP="00A0419B">
            <w:pPr>
              <w:spacing w:after="0" w:line="240" w:lineRule="auto"/>
              <w:jc w:val="center"/>
              <w:rPr>
                <w:sz w:val="18"/>
                <w:szCs w:val="18"/>
              </w:rPr>
            </w:pPr>
            <w:r w:rsidRPr="007F131A">
              <w:rPr>
                <w:sz w:val="18"/>
                <w:szCs w:val="18"/>
                <w:lang w:val="en-US"/>
              </w:rPr>
              <w:t>0.057</w:t>
            </w:r>
          </w:p>
        </w:tc>
        <w:tc>
          <w:tcPr>
            <w:tcW w:w="1683" w:type="dxa"/>
            <w:tcBorders>
              <w:top w:val="nil"/>
              <w:left w:val="nil"/>
              <w:bottom w:val="nil"/>
              <w:right w:val="nil"/>
            </w:tcBorders>
            <w:tcMar>
              <w:left w:w="28" w:type="dxa"/>
              <w:right w:w="28" w:type="dxa"/>
            </w:tcMar>
          </w:tcPr>
          <w:p w14:paraId="337FED8F" w14:textId="77777777" w:rsidR="00EB0BEF" w:rsidRPr="007F131A" w:rsidRDefault="00EB0BEF" w:rsidP="00A0419B">
            <w:pPr>
              <w:spacing w:after="0" w:line="240" w:lineRule="auto"/>
              <w:jc w:val="center"/>
              <w:rPr>
                <w:b/>
                <w:sz w:val="18"/>
                <w:szCs w:val="18"/>
                <w:lang w:val="en-US"/>
              </w:rPr>
            </w:pPr>
            <w:r w:rsidRPr="007F131A">
              <w:rPr>
                <w:sz w:val="18"/>
                <w:szCs w:val="18"/>
                <w:lang w:val="en-US"/>
              </w:rPr>
              <w:t>0.167</w:t>
            </w:r>
          </w:p>
        </w:tc>
        <w:tc>
          <w:tcPr>
            <w:tcW w:w="1125" w:type="dxa"/>
            <w:tcBorders>
              <w:top w:val="nil"/>
              <w:left w:val="nil"/>
              <w:bottom w:val="nil"/>
              <w:right w:val="nil"/>
            </w:tcBorders>
          </w:tcPr>
          <w:p w14:paraId="4DC954B9" w14:textId="77777777" w:rsidR="00EB0BEF" w:rsidRPr="007F131A" w:rsidRDefault="00EB0BEF" w:rsidP="00A0419B">
            <w:pPr>
              <w:spacing w:after="0" w:line="240" w:lineRule="auto"/>
              <w:jc w:val="center"/>
              <w:rPr>
                <w:sz w:val="18"/>
                <w:szCs w:val="18"/>
              </w:rPr>
            </w:pPr>
            <w:r w:rsidRPr="007F131A">
              <w:rPr>
                <w:sz w:val="18"/>
                <w:szCs w:val="18"/>
                <w:lang w:val="en-US"/>
              </w:rPr>
              <w:t>0.34</w:t>
            </w:r>
          </w:p>
        </w:tc>
        <w:tc>
          <w:tcPr>
            <w:tcW w:w="1125" w:type="dxa"/>
            <w:tcBorders>
              <w:top w:val="nil"/>
              <w:left w:val="nil"/>
              <w:bottom w:val="nil"/>
              <w:right w:val="nil"/>
            </w:tcBorders>
            <w:tcMar>
              <w:left w:w="28" w:type="dxa"/>
              <w:right w:w="28" w:type="dxa"/>
            </w:tcMar>
          </w:tcPr>
          <w:p w14:paraId="3FC42BE0" w14:textId="77777777" w:rsidR="00EB0BEF" w:rsidRPr="007F131A" w:rsidRDefault="00EB0BEF" w:rsidP="00A0419B">
            <w:pPr>
              <w:spacing w:after="0" w:line="240" w:lineRule="auto"/>
              <w:jc w:val="center"/>
              <w:rPr>
                <w:b/>
                <w:sz w:val="18"/>
                <w:szCs w:val="18"/>
                <w:lang w:val="en-US"/>
              </w:rPr>
            </w:pPr>
            <w:r w:rsidRPr="007F131A">
              <w:rPr>
                <w:sz w:val="18"/>
                <w:szCs w:val="18"/>
                <w:lang w:val="en-US"/>
              </w:rPr>
              <w:t>0.732</w:t>
            </w:r>
          </w:p>
        </w:tc>
        <w:tc>
          <w:tcPr>
            <w:tcW w:w="355" w:type="dxa"/>
            <w:tcBorders>
              <w:top w:val="nil"/>
              <w:left w:val="nil"/>
              <w:bottom w:val="nil"/>
              <w:right w:val="single" w:sz="4" w:space="0" w:color="auto"/>
            </w:tcBorders>
            <w:tcMar>
              <w:left w:w="28" w:type="dxa"/>
              <w:right w:w="28" w:type="dxa"/>
            </w:tcMar>
          </w:tcPr>
          <w:p w14:paraId="63D41514" w14:textId="77777777" w:rsidR="00EB0BEF" w:rsidRPr="007F131A" w:rsidRDefault="00EB0BEF" w:rsidP="00A0419B">
            <w:pPr>
              <w:spacing w:after="0" w:line="240" w:lineRule="auto"/>
              <w:rPr>
                <w:b/>
                <w:sz w:val="20"/>
                <w:szCs w:val="20"/>
                <w:lang w:val="en-US"/>
              </w:rPr>
            </w:pPr>
          </w:p>
        </w:tc>
      </w:tr>
      <w:tr w:rsidR="00EB0BEF" w:rsidRPr="007F131A" w14:paraId="433FCD30" w14:textId="77777777" w:rsidTr="00A0419B">
        <w:tc>
          <w:tcPr>
            <w:tcW w:w="2535" w:type="dxa"/>
            <w:tcBorders>
              <w:top w:val="nil"/>
              <w:left w:val="single" w:sz="4" w:space="0" w:color="auto"/>
              <w:bottom w:val="nil"/>
              <w:right w:val="nil"/>
            </w:tcBorders>
            <w:tcMar>
              <w:left w:w="28" w:type="dxa"/>
              <w:right w:w="28" w:type="dxa"/>
            </w:tcMar>
          </w:tcPr>
          <w:p w14:paraId="6AC62734"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 xml:space="preserve">   2012</w:t>
            </w:r>
          </w:p>
        </w:tc>
        <w:tc>
          <w:tcPr>
            <w:tcW w:w="878" w:type="dxa"/>
            <w:tcBorders>
              <w:top w:val="nil"/>
              <w:left w:val="nil"/>
              <w:bottom w:val="nil"/>
              <w:right w:val="nil"/>
            </w:tcBorders>
            <w:tcMar>
              <w:left w:w="28" w:type="dxa"/>
              <w:right w:w="28" w:type="dxa"/>
            </w:tcMar>
          </w:tcPr>
          <w:p w14:paraId="4EDAD413" w14:textId="77777777" w:rsidR="00EB0BEF" w:rsidRPr="007F131A" w:rsidRDefault="00EB0BEF" w:rsidP="00A0419B">
            <w:pPr>
              <w:spacing w:after="0" w:line="240" w:lineRule="auto"/>
              <w:rPr>
                <w:b/>
                <w:sz w:val="20"/>
                <w:szCs w:val="20"/>
                <w:lang w:val="en-US"/>
              </w:rPr>
            </w:pPr>
          </w:p>
        </w:tc>
        <w:tc>
          <w:tcPr>
            <w:tcW w:w="1390" w:type="dxa"/>
            <w:tcBorders>
              <w:top w:val="nil"/>
              <w:left w:val="nil"/>
              <w:bottom w:val="nil"/>
              <w:right w:val="nil"/>
            </w:tcBorders>
          </w:tcPr>
          <w:p w14:paraId="3C06C32E" w14:textId="77777777" w:rsidR="00EB0BEF" w:rsidRPr="007F131A" w:rsidRDefault="00EB0BEF" w:rsidP="00A0419B">
            <w:pPr>
              <w:spacing w:after="0" w:line="240" w:lineRule="auto"/>
              <w:jc w:val="center"/>
              <w:rPr>
                <w:sz w:val="18"/>
                <w:szCs w:val="18"/>
              </w:rPr>
            </w:pPr>
            <w:r w:rsidRPr="007F131A">
              <w:rPr>
                <w:sz w:val="18"/>
                <w:szCs w:val="18"/>
                <w:lang w:val="en-US"/>
              </w:rPr>
              <w:t>-0.249</w:t>
            </w:r>
          </w:p>
        </w:tc>
        <w:tc>
          <w:tcPr>
            <w:tcW w:w="1683" w:type="dxa"/>
            <w:tcBorders>
              <w:top w:val="nil"/>
              <w:left w:val="nil"/>
              <w:bottom w:val="nil"/>
              <w:right w:val="nil"/>
            </w:tcBorders>
            <w:tcMar>
              <w:left w:w="28" w:type="dxa"/>
              <w:right w:w="28" w:type="dxa"/>
            </w:tcMar>
          </w:tcPr>
          <w:p w14:paraId="6A7A933A" w14:textId="77777777" w:rsidR="00EB0BEF" w:rsidRPr="007F131A" w:rsidRDefault="00EB0BEF" w:rsidP="00A0419B">
            <w:pPr>
              <w:spacing w:after="0" w:line="240" w:lineRule="auto"/>
              <w:jc w:val="center"/>
              <w:rPr>
                <w:b/>
                <w:sz w:val="18"/>
                <w:szCs w:val="18"/>
                <w:lang w:val="en-US"/>
              </w:rPr>
            </w:pPr>
            <w:r w:rsidRPr="007F131A">
              <w:rPr>
                <w:sz w:val="18"/>
                <w:szCs w:val="18"/>
                <w:lang w:val="en-US"/>
              </w:rPr>
              <w:t>0.168</w:t>
            </w:r>
          </w:p>
        </w:tc>
        <w:tc>
          <w:tcPr>
            <w:tcW w:w="1125" w:type="dxa"/>
            <w:tcBorders>
              <w:top w:val="nil"/>
              <w:left w:val="nil"/>
              <w:bottom w:val="nil"/>
              <w:right w:val="nil"/>
            </w:tcBorders>
          </w:tcPr>
          <w:p w14:paraId="7B6EF7E6" w14:textId="77777777" w:rsidR="00EB0BEF" w:rsidRPr="007F131A" w:rsidRDefault="00EB0BEF" w:rsidP="00A0419B">
            <w:pPr>
              <w:spacing w:after="0" w:line="240" w:lineRule="auto"/>
              <w:jc w:val="center"/>
              <w:rPr>
                <w:sz w:val="18"/>
                <w:szCs w:val="18"/>
              </w:rPr>
            </w:pPr>
            <w:r w:rsidRPr="007F131A">
              <w:rPr>
                <w:sz w:val="18"/>
                <w:szCs w:val="18"/>
                <w:lang w:val="en-US"/>
              </w:rPr>
              <w:t>-1.49</w:t>
            </w:r>
          </w:p>
        </w:tc>
        <w:tc>
          <w:tcPr>
            <w:tcW w:w="1125" w:type="dxa"/>
            <w:tcBorders>
              <w:top w:val="nil"/>
              <w:left w:val="nil"/>
              <w:bottom w:val="nil"/>
              <w:right w:val="nil"/>
            </w:tcBorders>
            <w:tcMar>
              <w:left w:w="28" w:type="dxa"/>
              <w:right w:w="28" w:type="dxa"/>
            </w:tcMar>
          </w:tcPr>
          <w:p w14:paraId="6B293EF8" w14:textId="77777777" w:rsidR="00EB0BEF" w:rsidRPr="007F131A" w:rsidRDefault="00EB0BEF" w:rsidP="00A0419B">
            <w:pPr>
              <w:spacing w:after="0" w:line="240" w:lineRule="auto"/>
              <w:jc w:val="center"/>
              <w:rPr>
                <w:b/>
                <w:sz w:val="18"/>
                <w:szCs w:val="18"/>
                <w:lang w:val="en-US"/>
              </w:rPr>
            </w:pPr>
            <w:r w:rsidRPr="007F131A">
              <w:rPr>
                <w:sz w:val="18"/>
                <w:szCs w:val="18"/>
                <w:lang w:val="en-US"/>
              </w:rPr>
              <w:t>0.138</w:t>
            </w:r>
          </w:p>
        </w:tc>
        <w:tc>
          <w:tcPr>
            <w:tcW w:w="355" w:type="dxa"/>
            <w:tcBorders>
              <w:top w:val="nil"/>
              <w:left w:val="nil"/>
              <w:bottom w:val="nil"/>
              <w:right w:val="single" w:sz="4" w:space="0" w:color="auto"/>
            </w:tcBorders>
            <w:tcMar>
              <w:left w:w="28" w:type="dxa"/>
              <w:right w:w="28" w:type="dxa"/>
            </w:tcMar>
          </w:tcPr>
          <w:p w14:paraId="28619938" w14:textId="77777777" w:rsidR="00EB0BEF" w:rsidRPr="007F131A" w:rsidRDefault="00EB0BEF" w:rsidP="00A0419B">
            <w:pPr>
              <w:spacing w:after="0" w:line="240" w:lineRule="auto"/>
              <w:rPr>
                <w:b/>
                <w:sz w:val="20"/>
                <w:szCs w:val="20"/>
                <w:lang w:val="en-US"/>
              </w:rPr>
            </w:pPr>
          </w:p>
        </w:tc>
      </w:tr>
      <w:tr w:rsidR="00EB0BEF" w:rsidRPr="007F131A" w14:paraId="058FB371" w14:textId="77777777" w:rsidTr="00A0419B">
        <w:tc>
          <w:tcPr>
            <w:tcW w:w="2535" w:type="dxa"/>
            <w:tcBorders>
              <w:top w:val="nil"/>
              <w:left w:val="single" w:sz="4" w:space="0" w:color="auto"/>
              <w:bottom w:val="single" w:sz="4" w:space="0" w:color="auto"/>
              <w:right w:val="nil"/>
            </w:tcBorders>
            <w:tcMar>
              <w:left w:w="28" w:type="dxa"/>
              <w:right w:w="28" w:type="dxa"/>
            </w:tcMar>
          </w:tcPr>
          <w:p w14:paraId="01AF8E19"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 xml:space="preserve">   2013</w:t>
            </w:r>
          </w:p>
        </w:tc>
        <w:tc>
          <w:tcPr>
            <w:tcW w:w="878" w:type="dxa"/>
            <w:tcBorders>
              <w:top w:val="nil"/>
              <w:left w:val="nil"/>
              <w:bottom w:val="single" w:sz="4" w:space="0" w:color="auto"/>
              <w:right w:val="nil"/>
            </w:tcBorders>
            <w:tcMar>
              <w:left w:w="28" w:type="dxa"/>
              <w:right w:w="28" w:type="dxa"/>
            </w:tcMar>
          </w:tcPr>
          <w:p w14:paraId="46EAF886" w14:textId="77777777" w:rsidR="00EB0BEF" w:rsidRPr="007F131A" w:rsidRDefault="00EB0BEF" w:rsidP="00A0419B">
            <w:pPr>
              <w:spacing w:after="0" w:line="240" w:lineRule="auto"/>
              <w:rPr>
                <w:b/>
                <w:sz w:val="20"/>
                <w:szCs w:val="20"/>
                <w:lang w:val="en-US"/>
              </w:rPr>
            </w:pPr>
          </w:p>
        </w:tc>
        <w:tc>
          <w:tcPr>
            <w:tcW w:w="1390" w:type="dxa"/>
            <w:tcBorders>
              <w:top w:val="nil"/>
              <w:left w:val="nil"/>
              <w:bottom w:val="single" w:sz="4" w:space="0" w:color="auto"/>
              <w:right w:val="nil"/>
            </w:tcBorders>
          </w:tcPr>
          <w:p w14:paraId="3F4D034D" w14:textId="77777777" w:rsidR="00EB0BEF" w:rsidRPr="007F131A" w:rsidRDefault="00EB0BEF" w:rsidP="00A0419B">
            <w:pPr>
              <w:spacing w:after="0" w:line="240" w:lineRule="auto"/>
              <w:jc w:val="center"/>
              <w:rPr>
                <w:sz w:val="18"/>
                <w:szCs w:val="18"/>
              </w:rPr>
            </w:pPr>
            <w:r w:rsidRPr="007F131A">
              <w:rPr>
                <w:sz w:val="18"/>
                <w:szCs w:val="18"/>
                <w:lang w:val="en-US"/>
              </w:rPr>
              <w:t>0.121</w:t>
            </w:r>
          </w:p>
        </w:tc>
        <w:tc>
          <w:tcPr>
            <w:tcW w:w="1683" w:type="dxa"/>
            <w:tcBorders>
              <w:top w:val="nil"/>
              <w:left w:val="nil"/>
              <w:bottom w:val="single" w:sz="4" w:space="0" w:color="auto"/>
              <w:right w:val="nil"/>
            </w:tcBorders>
            <w:tcMar>
              <w:left w:w="28" w:type="dxa"/>
              <w:right w:w="28" w:type="dxa"/>
            </w:tcMar>
          </w:tcPr>
          <w:p w14:paraId="08846A8E" w14:textId="77777777" w:rsidR="00EB0BEF" w:rsidRPr="007F131A" w:rsidRDefault="00EB0BEF" w:rsidP="00A0419B">
            <w:pPr>
              <w:spacing w:after="0" w:line="240" w:lineRule="auto"/>
              <w:jc w:val="center"/>
              <w:rPr>
                <w:b/>
                <w:sz w:val="18"/>
                <w:szCs w:val="18"/>
                <w:lang w:val="en-US"/>
              </w:rPr>
            </w:pPr>
            <w:r w:rsidRPr="007F131A">
              <w:rPr>
                <w:sz w:val="18"/>
                <w:szCs w:val="18"/>
                <w:lang w:val="en-US"/>
              </w:rPr>
              <w:t>0.168</w:t>
            </w:r>
          </w:p>
        </w:tc>
        <w:tc>
          <w:tcPr>
            <w:tcW w:w="1125" w:type="dxa"/>
            <w:tcBorders>
              <w:top w:val="nil"/>
              <w:left w:val="nil"/>
              <w:bottom w:val="single" w:sz="4" w:space="0" w:color="auto"/>
              <w:right w:val="nil"/>
            </w:tcBorders>
          </w:tcPr>
          <w:p w14:paraId="5AF88B4C" w14:textId="77777777" w:rsidR="00EB0BEF" w:rsidRPr="007F131A" w:rsidRDefault="00EB0BEF" w:rsidP="00A0419B">
            <w:pPr>
              <w:spacing w:after="0" w:line="240" w:lineRule="auto"/>
              <w:jc w:val="center"/>
              <w:rPr>
                <w:sz w:val="18"/>
                <w:szCs w:val="18"/>
              </w:rPr>
            </w:pPr>
            <w:r w:rsidRPr="007F131A">
              <w:rPr>
                <w:sz w:val="18"/>
                <w:szCs w:val="18"/>
                <w:lang w:val="en-US"/>
              </w:rPr>
              <w:t>0.72</w:t>
            </w:r>
          </w:p>
        </w:tc>
        <w:tc>
          <w:tcPr>
            <w:tcW w:w="1125" w:type="dxa"/>
            <w:tcBorders>
              <w:top w:val="nil"/>
              <w:left w:val="nil"/>
              <w:bottom w:val="single" w:sz="4" w:space="0" w:color="auto"/>
              <w:right w:val="nil"/>
            </w:tcBorders>
            <w:tcMar>
              <w:left w:w="28" w:type="dxa"/>
              <w:right w:w="28" w:type="dxa"/>
            </w:tcMar>
          </w:tcPr>
          <w:p w14:paraId="0C04C7EA" w14:textId="77777777" w:rsidR="00EB0BEF" w:rsidRPr="007F131A" w:rsidRDefault="00EB0BEF" w:rsidP="00A0419B">
            <w:pPr>
              <w:spacing w:after="0" w:line="240" w:lineRule="auto"/>
              <w:jc w:val="center"/>
              <w:rPr>
                <w:b/>
                <w:sz w:val="18"/>
                <w:szCs w:val="18"/>
                <w:lang w:val="en-US"/>
              </w:rPr>
            </w:pPr>
            <w:r w:rsidRPr="007F131A">
              <w:rPr>
                <w:sz w:val="18"/>
                <w:szCs w:val="18"/>
                <w:lang w:val="en-US"/>
              </w:rPr>
              <w:t>0.471</w:t>
            </w:r>
          </w:p>
        </w:tc>
        <w:tc>
          <w:tcPr>
            <w:tcW w:w="355" w:type="dxa"/>
            <w:tcBorders>
              <w:top w:val="nil"/>
              <w:left w:val="nil"/>
              <w:bottom w:val="single" w:sz="4" w:space="0" w:color="auto"/>
              <w:right w:val="single" w:sz="4" w:space="0" w:color="auto"/>
            </w:tcBorders>
            <w:tcMar>
              <w:left w:w="28" w:type="dxa"/>
              <w:right w:w="28" w:type="dxa"/>
            </w:tcMar>
          </w:tcPr>
          <w:p w14:paraId="2E7625AA" w14:textId="77777777" w:rsidR="00EB0BEF" w:rsidRPr="007F131A" w:rsidRDefault="00EB0BEF" w:rsidP="00A0419B">
            <w:pPr>
              <w:spacing w:after="0" w:line="240" w:lineRule="auto"/>
              <w:rPr>
                <w:b/>
                <w:sz w:val="20"/>
                <w:szCs w:val="20"/>
                <w:lang w:val="en-US"/>
              </w:rPr>
            </w:pPr>
          </w:p>
        </w:tc>
      </w:tr>
      <w:tr w:rsidR="00EB0BEF" w:rsidRPr="007F131A" w14:paraId="54E0D591" w14:textId="77777777" w:rsidTr="00A0419B">
        <w:tc>
          <w:tcPr>
            <w:tcW w:w="9091" w:type="dxa"/>
            <w:gridSpan w:val="7"/>
            <w:tcBorders>
              <w:top w:val="single" w:sz="4" w:space="0" w:color="auto"/>
            </w:tcBorders>
          </w:tcPr>
          <w:p w14:paraId="74E3B0DE" w14:textId="77777777" w:rsidR="00EB0BEF" w:rsidRPr="007F131A" w:rsidRDefault="00EB0BEF" w:rsidP="00A0419B">
            <w:pPr>
              <w:spacing w:after="0" w:line="240" w:lineRule="auto"/>
              <w:rPr>
                <w:rFonts w:eastAsia="MS Mincho"/>
                <w:i/>
                <w:sz w:val="18"/>
                <w:szCs w:val="18"/>
                <w:lang w:val="en-GB" w:eastAsia="ja-JP"/>
              </w:rPr>
            </w:pPr>
            <w:r w:rsidRPr="007F131A">
              <w:rPr>
                <w:rFonts w:eastAsia="MS Mincho"/>
                <w:i/>
                <w:sz w:val="18"/>
                <w:szCs w:val="18"/>
                <w:lang w:val="en-GB" w:eastAsia="ja-JP"/>
              </w:rPr>
              <w:t>Model specification (model 1):</w:t>
            </w:r>
          </w:p>
          <w:p w14:paraId="5E05250A" w14:textId="77777777" w:rsidR="00EB0BEF" w:rsidRPr="007F131A" w:rsidRDefault="00EB0BEF" w:rsidP="00A0419B">
            <w:pPr>
              <w:keepNext/>
              <w:tabs>
                <w:tab w:val="left" w:pos="3092"/>
                <w:tab w:val="left" w:pos="5841"/>
              </w:tabs>
              <w:spacing w:after="0" w:line="240" w:lineRule="auto"/>
              <w:ind w:left="28"/>
              <w:rPr>
                <w:rFonts w:eastAsia="MS Mincho"/>
                <w:sz w:val="20"/>
                <w:szCs w:val="20"/>
                <w:lang w:val="en-GB" w:eastAsia="ja-JP"/>
              </w:rPr>
            </w:pPr>
            <w:r w:rsidRPr="007F131A">
              <w:rPr>
                <w:rFonts w:eastAsia="MS Mincho"/>
                <w:sz w:val="20"/>
                <w:szCs w:val="20"/>
                <w:lang w:val="en-GB" w:eastAsia="ja-JP"/>
              </w:rPr>
              <w:t>Adj. R-square</w:t>
            </w:r>
            <w:r w:rsidRPr="007F131A">
              <w:rPr>
                <w:rFonts w:eastAsia="MS Mincho"/>
                <w:sz w:val="20"/>
                <w:szCs w:val="20"/>
                <w:vertAlign w:val="superscript"/>
                <w:lang w:val="en-GB" w:eastAsia="ja-JP"/>
              </w:rPr>
              <w:t xml:space="preserve"> </w:t>
            </w:r>
            <w:r w:rsidRPr="007F131A">
              <w:rPr>
                <w:rFonts w:eastAsia="MS Mincho"/>
                <w:sz w:val="20"/>
                <w:szCs w:val="20"/>
                <w:lang w:val="en-GB" w:eastAsia="ja-JP"/>
              </w:rPr>
              <w:t>= 13.94%</w:t>
            </w:r>
            <w:r w:rsidRPr="007F131A">
              <w:rPr>
                <w:rFonts w:eastAsia="MS Mincho"/>
                <w:sz w:val="20"/>
                <w:szCs w:val="20"/>
                <w:lang w:val="en-GB" w:eastAsia="ja-JP"/>
              </w:rPr>
              <w:tab/>
              <w:t>F(13.686)= 9.71</w:t>
            </w:r>
          </w:p>
          <w:p w14:paraId="066ADC29" w14:textId="77777777" w:rsidR="00EB0BEF" w:rsidRPr="007F131A" w:rsidRDefault="00EB0BEF" w:rsidP="00A0419B">
            <w:pPr>
              <w:keepNext/>
              <w:tabs>
                <w:tab w:val="left" w:pos="3092"/>
                <w:tab w:val="left" w:pos="5841"/>
              </w:tabs>
              <w:spacing w:after="0" w:line="240" w:lineRule="auto"/>
              <w:ind w:left="28"/>
              <w:rPr>
                <w:rFonts w:eastAsia="MS Mincho"/>
                <w:sz w:val="20"/>
                <w:szCs w:val="20"/>
                <w:lang w:val="en-GB" w:eastAsia="ja-JP"/>
              </w:rPr>
            </w:pPr>
            <w:r w:rsidRPr="007F131A">
              <w:rPr>
                <w:rFonts w:eastAsia="MS Mincho"/>
                <w:sz w:val="20"/>
                <w:szCs w:val="20"/>
                <w:lang w:val="en-GB" w:eastAsia="ja-JP"/>
              </w:rPr>
              <w:t>R-squared = 15.54%</w:t>
            </w:r>
          </w:p>
          <w:p w14:paraId="4C8CB71C" w14:textId="77777777" w:rsidR="00EB0BEF" w:rsidRPr="007F131A" w:rsidRDefault="00EB0BEF" w:rsidP="00A0419B">
            <w:pPr>
              <w:keepNext/>
              <w:tabs>
                <w:tab w:val="left" w:pos="3092"/>
                <w:tab w:val="left" w:pos="5415"/>
                <w:tab w:val="left" w:pos="5491"/>
              </w:tabs>
              <w:spacing w:after="0" w:line="240" w:lineRule="auto"/>
              <w:ind w:left="28"/>
              <w:rPr>
                <w:rFonts w:eastAsia="MS Mincho"/>
                <w:sz w:val="20"/>
                <w:szCs w:val="20"/>
                <w:lang w:val="en-GB" w:eastAsia="ja-JP"/>
              </w:rPr>
            </w:pPr>
            <w:r w:rsidRPr="007F131A">
              <w:rPr>
                <w:rFonts w:eastAsia="MS Mincho"/>
                <w:sz w:val="20"/>
                <w:szCs w:val="20"/>
                <w:lang w:val="en-GB" w:eastAsia="ja-JP"/>
              </w:rPr>
              <w:t>Prob&gt;F = 0.000</w:t>
            </w:r>
          </w:p>
          <w:p w14:paraId="4D597913" w14:textId="77777777" w:rsidR="00EB0BEF" w:rsidRPr="007F131A" w:rsidRDefault="00EB0BEF" w:rsidP="00A0419B">
            <w:pPr>
              <w:spacing w:after="0" w:line="240" w:lineRule="auto"/>
              <w:rPr>
                <w:rFonts w:eastAsia="MS Mincho"/>
                <w:i/>
                <w:sz w:val="18"/>
                <w:szCs w:val="18"/>
                <w:lang w:val="en-GB" w:eastAsia="ja-JP"/>
              </w:rPr>
            </w:pPr>
            <w:r w:rsidRPr="007F131A">
              <w:rPr>
                <w:rFonts w:eastAsia="MS Mincho"/>
                <w:sz w:val="20"/>
                <w:szCs w:val="20"/>
                <w:lang w:val="en-GB" w:eastAsia="ja-JP"/>
              </w:rPr>
              <w:t>Year control: Yes</w:t>
            </w:r>
          </w:p>
          <w:p w14:paraId="7C86A7D0" w14:textId="77777777" w:rsidR="00EB0BEF" w:rsidRPr="007F131A" w:rsidRDefault="00EB0BEF" w:rsidP="00A0419B">
            <w:pPr>
              <w:spacing w:after="0" w:line="240" w:lineRule="auto"/>
              <w:rPr>
                <w:b/>
                <w:sz w:val="18"/>
                <w:szCs w:val="18"/>
                <w:lang w:val="en-US"/>
              </w:rPr>
            </w:pPr>
            <w:r w:rsidRPr="007F131A">
              <w:rPr>
                <w:rFonts w:eastAsia="MS Mincho"/>
                <w:sz w:val="20"/>
                <w:szCs w:val="20"/>
                <w:lang w:val="en-GB" w:eastAsia="ja-JP"/>
              </w:rPr>
              <w:t>VIF &lt; 2% for all variables</w:t>
            </w:r>
          </w:p>
        </w:tc>
      </w:tr>
      <w:tr w:rsidR="00EB0BEF" w:rsidRPr="007F131A" w14:paraId="24C42263" w14:textId="77777777" w:rsidTr="00A0419B">
        <w:tc>
          <w:tcPr>
            <w:tcW w:w="9091" w:type="dxa"/>
            <w:gridSpan w:val="7"/>
          </w:tcPr>
          <w:p w14:paraId="506DF105" w14:textId="77777777" w:rsidR="00EB0BEF" w:rsidRPr="007F131A" w:rsidRDefault="00EB0BEF" w:rsidP="00A0419B">
            <w:pPr>
              <w:spacing w:after="0" w:line="240" w:lineRule="auto"/>
              <w:jc w:val="both"/>
              <w:rPr>
                <w:rFonts w:eastAsia="MS Mincho"/>
                <w:i/>
                <w:sz w:val="18"/>
                <w:szCs w:val="18"/>
                <w:lang w:val="en-GB" w:eastAsia="ja-JP"/>
              </w:rPr>
            </w:pPr>
            <w:r w:rsidRPr="007F131A">
              <w:rPr>
                <w:rFonts w:eastAsia="MS Mincho"/>
                <w:i/>
                <w:sz w:val="20"/>
                <w:szCs w:val="20"/>
                <w:lang w:val="en-GB" w:eastAsia="ja-JP"/>
              </w:rPr>
              <w:t>Note:</w:t>
            </w:r>
            <w:r w:rsidRPr="007F131A">
              <w:rPr>
                <w:rFonts w:eastAsia="MS Mincho"/>
                <w:sz w:val="20"/>
                <w:szCs w:val="20"/>
                <w:lang w:val="en-GB" w:eastAsia="ja-JP"/>
              </w:rPr>
              <w:t xml:space="preserve"> This table presents the results of the pooled panel regression model. The model is estimated for the full sample of 700 firm-year observations over the period 2009 to 2013. </w:t>
            </w:r>
            <w:r w:rsidRPr="007F131A">
              <w:rPr>
                <w:rFonts w:eastAsia="MS Mincho"/>
                <w:i/>
                <w:sz w:val="20"/>
                <w:szCs w:val="20"/>
                <w:lang w:val="en-GB" w:eastAsia="ja-JP"/>
              </w:rPr>
              <w:t>MTB</w:t>
            </w:r>
            <w:r w:rsidRPr="007F131A">
              <w:rPr>
                <w:rFonts w:eastAsia="MS Mincho"/>
                <w:sz w:val="20"/>
                <w:szCs w:val="20"/>
                <w:lang w:val="en-GB" w:eastAsia="ja-JP"/>
              </w:rPr>
              <w:t xml:space="preserve"> = market to book ratio dependent variable</w:t>
            </w:r>
            <w:r w:rsidRPr="007F131A">
              <w:rPr>
                <w:rFonts w:eastAsia="MS Mincho"/>
                <w:i/>
                <w:sz w:val="20"/>
                <w:szCs w:val="20"/>
                <w:lang w:val="en-GB" w:eastAsia="ja-JP"/>
              </w:rPr>
              <w:t>; AGE</w:t>
            </w:r>
            <w:r w:rsidRPr="007F131A">
              <w:rPr>
                <w:rFonts w:eastAsia="MS Mincho"/>
                <w:sz w:val="20"/>
                <w:szCs w:val="20"/>
                <w:lang w:val="en-GB" w:eastAsia="ja-JP"/>
              </w:rPr>
              <w:t xml:space="preserve"> = natural logarithm of firm’s length of establishment in years; </w:t>
            </w:r>
            <w:r w:rsidRPr="007F131A">
              <w:rPr>
                <w:rFonts w:eastAsia="MS Mincho"/>
                <w:i/>
                <w:sz w:val="20"/>
                <w:szCs w:val="20"/>
                <w:lang w:val="en-GB" w:eastAsia="ja-JP"/>
              </w:rPr>
              <w:t>DE</w:t>
            </w:r>
            <w:r w:rsidRPr="007F131A">
              <w:rPr>
                <w:rFonts w:eastAsia="MS Mincho"/>
                <w:sz w:val="20"/>
                <w:szCs w:val="20"/>
                <w:lang w:val="en-GB" w:eastAsia="ja-JP"/>
              </w:rPr>
              <w:t xml:space="preserve"> = debt-equity ratio; </w:t>
            </w:r>
            <w:r w:rsidRPr="007F131A">
              <w:rPr>
                <w:rFonts w:eastAsia="MS Mincho"/>
                <w:i/>
                <w:sz w:val="20"/>
                <w:szCs w:val="20"/>
                <w:lang w:val="en-GB" w:eastAsia="ja-JP"/>
              </w:rPr>
              <w:t>OWN</w:t>
            </w:r>
            <w:r w:rsidRPr="007F131A">
              <w:rPr>
                <w:rFonts w:eastAsia="MS Mincho"/>
                <w:sz w:val="20"/>
                <w:szCs w:val="20"/>
                <w:lang w:val="en-GB" w:eastAsia="ja-JP"/>
              </w:rPr>
              <w:t xml:space="preserve"> = ownership concentration dummy variable; </w:t>
            </w:r>
            <w:r w:rsidRPr="007F131A">
              <w:rPr>
                <w:rFonts w:eastAsia="MS Mincho"/>
                <w:i/>
                <w:sz w:val="20"/>
                <w:szCs w:val="20"/>
                <w:lang w:val="en-GB" w:eastAsia="ja-JP"/>
              </w:rPr>
              <w:t>FAM</w:t>
            </w:r>
            <w:r w:rsidRPr="007F131A">
              <w:rPr>
                <w:rFonts w:eastAsia="MS Mincho"/>
                <w:sz w:val="20"/>
                <w:szCs w:val="20"/>
                <w:lang w:val="en-GB" w:eastAsia="ja-JP"/>
              </w:rPr>
              <w:t xml:space="preserve"> = family ownership concentration dummy variable; </w:t>
            </w:r>
            <w:r w:rsidRPr="007F131A">
              <w:rPr>
                <w:rFonts w:eastAsia="MS Mincho"/>
                <w:i/>
                <w:sz w:val="20"/>
                <w:szCs w:val="20"/>
                <w:lang w:val="en-GB" w:eastAsia="ja-JP"/>
              </w:rPr>
              <w:t>TINT</w:t>
            </w:r>
            <w:r w:rsidRPr="007F131A">
              <w:rPr>
                <w:rFonts w:eastAsia="MS Mincho"/>
                <w:sz w:val="20"/>
                <w:szCs w:val="20"/>
                <w:lang w:val="en-GB" w:eastAsia="ja-JP"/>
              </w:rPr>
              <w:t xml:space="preserve"> = total intangibles assets; </w:t>
            </w:r>
            <w:r w:rsidRPr="007F131A">
              <w:rPr>
                <w:rFonts w:eastAsia="MS Mincho"/>
                <w:i/>
                <w:sz w:val="20"/>
                <w:szCs w:val="20"/>
                <w:lang w:val="en-GB" w:eastAsia="ja-JP"/>
              </w:rPr>
              <w:t>SIZE</w:t>
            </w:r>
            <w:r w:rsidRPr="007F131A">
              <w:rPr>
                <w:rFonts w:eastAsia="MS Mincho"/>
                <w:sz w:val="20"/>
                <w:szCs w:val="20"/>
                <w:lang w:val="en-GB" w:eastAsia="ja-JP"/>
              </w:rPr>
              <w:t xml:space="preserve"> = natural logarithm of total assets; </w:t>
            </w:r>
            <w:r w:rsidRPr="007F131A">
              <w:rPr>
                <w:rFonts w:eastAsia="MS Mincho"/>
                <w:i/>
                <w:sz w:val="20"/>
                <w:szCs w:val="20"/>
                <w:lang w:val="en-GB" w:eastAsia="ja-JP"/>
              </w:rPr>
              <w:t>IND</w:t>
            </w:r>
            <w:r w:rsidRPr="007F131A">
              <w:rPr>
                <w:rFonts w:eastAsia="MS Mincho"/>
                <w:sz w:val="20"/>
                <w:szCs w:val="20"/>
                <w:lang w:val="en-GB" w:eastAsia="ja-JP"/>
              </w:rPr>
              <w:t xml:space="preserve"> = industry type dummy variable (see table 2); </w:t>
            </w:r>
            <w:r w:rsidRPr="007F131A">
              <w:rPr>
                <w:rFonts w:eastAsia="MS Mincho"/>
                <w:i/>
                <w:sz w:val="20"/>
                <w:szCs w:val="20"/>
                <w:lang w:val="en-GB" w:eastAsia="ja-JP"/>
              </w:rPr>
              <w:t>ROE</w:t>
            </w:r>
            <w:r w:rsidRPr="007F131A">
              <w:rPr>
                <w:rFonts w:eastAsia="MS Mincho"/>
                <w:sz w:val="20"/>
                <w:szCs w:val="20"/>
                <w:lang w:val="en-GB" w:eastAsia="ja-JP"/>
              </w:rPr>
              <w:t xml:space="preserve"> = return on equity ratio; </w:t>
            </w:r>
            <w:r w:rsidRPr="007F131A">
              <w:rPr>
                <w:rFonts w:eastAsia="MS Mincho"/>
                <w:i/>
                <w:sz w:val="20"/>
                <w:szCs w:val="20"/>
                <w:lang w:val="en-GB" w:eastAsia="ja-JP"/>
              </w:rPr>
              <w:t>AUDIT</w:t>
            </w:r>
            <w:r w:rsidRPr="007F131A">
              <w:rPr>
                <w:rFonts w:eastAsia="MS Mincho"/>
                <w:sz w:val="20"/>
                <w:szCs w:val="20"/>
                <w:lang w:val="en-GB" w:eastAsia="ja-JP"/>
              </w:rPr>
              <w:t xml:space="preserve"> = auditor type dummy variable; and ε = model error term. The asterisks indicate statistical significance at the following levels: *** = 1%; ** 5%; * = 10%.</w:t>
            </w:r>
          </w:p>
        </w:tc>
      </w:tr>
    </w:tbl>
    <w:p w14:paraId="1367F414" w14:textId="77777777" w:rsidR="00EB0BEF" w:rsidRPr="007F131A" w:rsidRDefault="00EB0BEF" w:rsidP="00EB0BEF">
      <w:pPr>
        <w:spacing w:after="0" w:line="360" w:lineRule="auto"/>
        <w:jc w:val="both"/>
        <w:rPr>
          <w:sz w:val="24"/>
          <w:szCs w:val="24"/>
          <w:lang w:val="en-US"/>
        </w:rPr>
      </w:pPr>
    </w:p>
    <w:p w14:paraId="160B5B04" w14:textId="77777777" w:rsidR="00EB0BEF" w:rsidRPr="007F131A" w:rsidRDefault="00EB0BEF" w:rsidP="00EB0BEF">
      <w:pPr>
        <w:spacing w:after="0" w:line="360" w:lineRule="auto"/>
        <w:jc w:val="both"/>
        <w:rPr>
          <w:sz w:val="24"/>
          <w:szCs w:val="24"/>
          <w:lang w:val="en-US"/>
        </w:rPr>
      </w:pPr>
    </w:p>
    <w:p w14:paraId="4CAF6153" w14:textId="77777777" w:rsidR="00EB0BEF" w:rsidRPr="007F131A" w:rsidRDefault="00EB0BEF" w:rsidP="00EB0BEF">
      <w:pPr>
        <w:spacing w:after="0" w:line="240" w:lineRule="auto"/>
        <w:rPr>
          <w:b/>
          <w:sz w:val="24"/>
          <w:szCs w:val="24"/>
          <w:lang w:val="en-US"/>
        </w:rPr>
      </w:pPr>
    </w:p>
    <w:p w14:paraId="7F3581D1" w14:textId="77777777" w:rsidR="00EB0BEF" w:rsidRPr="007F131A" w:rsidRDefault="00EB0BEF" w:rsidP="00EB0BEF">
      <w:pPr>
        <w:spacing w:after="0" w:line="240" w:lineRule="auto"/>
        <w:rPr>
          <w:b/>
          <w:sz w:val="24"/>
          <w:szCs w:val="24"/>
          <w:lang w:val="en-US"/>
        </w:rPr>
        <w:sectPr w:rsidR="00EB0BEF" w:rsidRPr="007F131A" w:rsidSect="00FC702D">
          <w:footerReference w:type="even" r:id="rId10"/>
          <w:footerReference w:type="default" r:id="rId11"/>
          <w:footnotePr>
            <w:numFmt w:val="chicago"/>
          </w:footnotePr>
          <w:pgSz w:w="11906" w:h="16838"/>
          <w:pgMar w:top="1417" w:right="1134" w:bottom="1134" w:left="1134" w:header="708" w:footer="708" w:gutter="0"/>
          <w:cols w:space="708"/>
          <w:docGrid w:linePitch="360"/>
        </w:sectPr>
      </w:pPr>
    </w:p>
    <w:p w14:paraId="42C238DE" w14:textId="77777777" w:rsidR="00EB0BEF" w:rsidRPr="007F131A" w:rsidRDefault="00EB0BEF" w:rsidP="00EB0BEF">
      <w:pPr>
        <w:spacing w:after="60" w:line="240" w:lineRule="auto"/>
        <w:rPr>
          <w:b/>
          <w:sz w:val="24"/>
          <w:szCs w:val="24"/>
          <w:lang w:val="en-US"/>
        </w:rPr>
      </w:pPr>
      <w:bookmarkStart w:id="0" w:name="_GoBack"/>
      <w:bookmarkEnd w:id="0"/>
      <w:r w:rsidRPr="007F131A">
        <w:rPr>
          <w:b/>
          <w:sz w:val="24"/>
          <w:szCs w:val="24"/>
          <w:lang w:val="en-US"/>
        </w:rPr>
        <w:lastRenderedPageBreak/>
        <w:t>Table IX. Pooled regression model (Robustness tests) (</w:t>
      </w:r>
      <w:r w:rsidRPr="007F131A">
        <w:rPr>
          <w:rFonts w:asciiTheme="minorHAnsi" w:hAnsiTheme="minorHAnsi"/>
          <w:b/>
          <w:sz w:val="24"/>
          <w:szCs w:val="24"/>
          <w:lang w:val="en-US"/>
        </w:rPr>
        <w:t>Obs: 700</w:t>
      </w:r>
      <w:r w:rsidRPr="007F131A">
        <w:rPr>
          <w:b/>
          <w:sz w:val="24"/>
          <w:szCs w:val="24"/>
          <w:lang w:val="en-US"/>
        </w:rPr>
        <w:t>)</w:t>
      </w:r>
    </w:p>
    <w:p w14:paraId="300C85ED" w14:textId="77777777" w:rsidR="00EB0BEF" w:rsidRPr="007F131A" w:rsidRDefault="00EB0BEF" w:rsidP="00EB0BEF">
      <w:pPr>
        <w:spacing w:after="0" w:line="240" w:lineRule="auto"/>
        <w:rPr>
          <w:lang w:val="en-US"/>
        </w:rPr>
      </w:pPr>
    </w:p>
    <w:tbl>
      <w:tblPr>
        <w:tblStyle w:val="TableGrid"/>
        <w:tblW w:w="13067" w:type="dxa"/>
        <w:tblLook w:val="04A0" w:firstRow="1" w:lastRow="0" w:firstColumn="1" w:lastColumn="0" w:noHBand="0" w:noVBand="1"/>
      </w:tblPr>
      <w:tblGrid>
        <w:gridCol w:w="1160"/>
        <w:gridCol w:w="706"/>
        <w:gridCol w:w="1127"/>
        <w:gridCol w:w="847"/>
        <w:gridCol w:w="704"/>
        <w:gridCol w:w="893"/>
        <w:gridCol w:w="987"/>
        <w:gridCol w:w="846"/>
        <w:gridCol w:w="987"/>
        <w:gridCol w:w="846"/>
        <w:gridCol w:w="991"/>
        <w:gridCol w:w="991"/>
        <w:gridCol w:w="991"/>
        <w:gridCol w:w="991"/>
      </w:tblGrid>
      <w:tr w:rsidR="00EB0BEF" w:rsidRPr="007F131A" w14:paraId="54475622" w14:textId="77777777" w:rsidTr="00A0419B">
        <w:tc>
          <w:tcPr>
            <w:tcW w:w="1160" w:type="dxa"/>
            <w:tcMar>
              <w:left w:w="28" w:type="dxa"/>
              <w:right w:w="28" w:type="dxa"/>
            </w:tcMar>
          </w:tcPr>
          <w:p w14:paraId="6B7A9070" w14:textId="77777777" w:rsidR="00EB0BEF" w:rsidRPr="007F131A" w:rsidRDefault="00EB0BEF" w:rsidP="00A0419B">
            <w:pPr>
              <w:spacing w:after="0" w:line="240" w:lineRule="auto"/>
              <w:rPr>
                <w:b/>
                <w:sz w:val="20"/>
                <w:szCs w:val="20"/>
                <w:lang w:val="en-US"/>
              </w:rPr>
            </w:pPr>
          </w:p>
        </w:tc>
        <w:tc>
          <w:tcPr>
            <w:tcW w:w="706" w:type="dxa"/>
            <w:tcBorders>
              <w:bottom w:val="single" w:sz="4" w:space="0" w:color="auto"/>
            </w:tcBorders>
            <w:tcMar>
              <w:left w:w="28" w:type="dxa"/>
              <w:right w:w="28" w:type="dxa"/>
            </w:tcMar>
          </w:tcPr>
          <w:p w14:paraId="5804137E" w14:textId="77777777" w:rsidR="00EB0BEF" w:rsidRPr="007F131A" w:rsidRDefault="00EB0BEF" w:rsidP="00A0419B">
            <w:pPr>
              <w:spacing w:after="0" w:line="240" w:lineRule="auto"/>
              <w:rPr>
                <w:b/>
                <w:sz w:val="20"/>
                <w:szCs w:val="20"/>
                <w:lang w:val="en-US"/>
              </w:rPr>
            </w:pPr>
          </w:p>
        </w:tc>
        <w:tc>
          <w:tcPr>
            <w:tcW w:w="2678" w:type="dxa"/>
            <w:gridSpan w:val="3"/>
            <w:tcMar>
              <w:left w:w="28" w:type="dxa"/>
              <w:right w:w="28" w:type="dxa"/>
            </w:tcMar>
          </w:tcPr>
          <w:p w14:paraId="2F6CBDE3" w14:textId="77777777" w:rsidR="00EB0BEF" w:rsidRPr="007F131A" w:rsidRDefault="00EB0BEF" w:rsidP="00A0419B">
            <w:pPr>
              <w:spacing w:after="0" w:line="240" w:lineRule="auto"/>
              <w:jc w:val="center"/>
              <w:rPr>
                <w:b/>
                <w:sz w:val="20"/>
                <w:szCs w:val="20"/>
                <w:lang w:val="en-US"/>
              </w:rPr>
            </w:pPr>
            <w:r w:rsidRPr="007F131A">
              <w:rPr>
                <w:b/>
                <w:sz w:val="20"/>
                <w:szCs w:val="20"/>
                <w:lang w:val="en-US"/>
              </w:rPr>
              <w:t xml:space="preserve">Model 2 </w:t>
            </w:r>
          </w:p>
        </w:tc>
        <w:tc>
          <w:tcPr>
            <w:tcW w:w="2726" w:type="dxa"/>
            <w:gridSpan w:val="3"/>
            <w:tcMar>
              <w:left w:w="28" w:type="dxa"/>
              <w:right w:w="28" w:type="dxa"/>
            </w:tcMar>
          </w:tcPr>
          <w:p w14:paraId="79BD83A1" w14:textId="77777777" w:rsidR="00EB0BEF" w:rsidRPr="007F131A" w:rsidRDefault="00EB0BEF" w:rsidP="00A0419B">
            <w:pPr>
              <w:spacing w:after="0" w:line="240" w:lineRule="auto"/>
              <w:jc w:val="center"/>
              <w:rPr>
                <w:b/>
                <w:sz w:val="20"/>
                <w:szCs w:val="20"/>
                <w:lang w:val="en-US"/>
              </w:rPr>
            </w:pPr>
            <w:r w:rsidRPr="007F131A">
              <w:rPr>
                <w:b/>
                <w:sz w:val="20"/>
                <w:szCs w:val="20"/>
                <w:lang w:val="en-US"/>
              </w:rPr>
              <w:t xml:space="preserve">Model 3 </w:t>
            </w:r>
          </w:p>
        </w:tc>
        <w:tc>
          <w:tcPr>
            <w:tcW w:w="2824" w:type="dxa"/>
            <w:gridSpan w:val="3"/>
            <w:tcMar>
              <w:left w:w="28" w:type="dxa"/>
              <w:right w:w="28" w:type="dxa"/>
            </w:tcMar>
          </w:tcPr>
          <w:p w14:paraId="766FB357" w14:textId="77777777" w:rsidR="00EB0BEF" w:rsidRPr="007F131A" w:rsidRDefault="00EB0BEF" w:rsidP="00A0419B">
            <w:pPr>
              <w:spacing w:after="0" w:line="240" w:lineRule="auto"/>
              <w:jc w:val="center"/>
              <w:rPr>
                <w:b/>
                <w:sz w:val="20"/>
                <w:szCs w:val="20"/>
                <w:lang w:val="en-US"/>
              </w:rPr>
            </w:pPr>
            <w:r w:rsidRPr="007F131A">
              <w:rPr>
                <w:b/>
                <w:sz w:val="20"/>
                <w:szCs w:val="20"/>
                <w:lang w:val="en-US"/>
              </w:rPr>
              <w:t xml:space="preserve">Model 4 </w:t>
            </w:r>
          </w:p>
        </w:tc>
        <w:tc>
          <w:tcPr>
            <w:tcW w:w="2973" w:type="dxa"/>
            <w:gridSpan w:val="3"/>
          </w:tcPr>
          <w:p w14:paraId="36401A8D" w14:textId="77777777" w:rsidR="00EB0BEF" w:rsidRPr="007F131A" w:rsidRDefault="00EB0BEF" w:rsidP="00A0419B">
            <w:pPr>
              <w:spacing w:after="0" w:line="240" w:lineRule="auto"/>
              <w:jc w:val="center"/>
              <w:rPr>
                <w:b/>
                <w:sz w:val="20"/>
                <w:szCs w:val="20"/>
                <w:lang w:val="en-US"/>
              </w:rPr>
            </w:pPr>
            <w:r w:rsidRPr="007F131A">
              <w:rPr>
                <w:b/>
                <w:sz w:val="20"/>
                <w:szCs w:val="20"/>
                <w:lang w:val="en-US"/>
              </w:rPr>
              <w:t xml:space="preserve">Model 5 </w:t>
            </w:r>
          </w:p>
        </w:tc>
      </w:tr>
      <w:tr w:rsidR="00EB0BEF" w:rsidRPr="007F131A" w14:paraId="23C8A8A6" w14:textId="77777777" w:rsidTr="00A0419B">
        <w:tc>
          <w:tcPr>
            <w:tcW w:w="1160" w:type="dxa"/>
            <w:tcBorders>
              <w:right w:val="nil"/>
            </w:tcBorders>
            <w:tcMar>
              <w:left w:w="28" w:type="dxa"/>
              <w:right w:w="28" w:type="dxa"/>
            </w:tcMar>
          </w:tcPr>
          <w:p w14:paraId="4FC0380F" w14:textId="77777777" w:rsidR="00EB0BEF" w:rsidRPr="007F131A" w:rsidRDefault="00EB0BEF" w:rsidP="00A0419B">
            <w:pPr>
              <w:spacing w:after="0" w:line="240" w:lineRule="auto"/>
              <w:rPr>
                <w:b/>
                <w:sz w:val="20"/>
                <w:szCs w:val="20"/>
                <w:lang w:val="en-US"/>
              </w:rPr>
            </w:pPr>
            <w:r w:rsidRPr="007F131A">
              <w:rPr>
                <w:b/>
                <w:sz w:val="20"/>
                <w:szCs w:val="20"/>
                <w:lang w:val="en-US"/>
              </w:rPr>
              <w:t>Variables</w:t>
            </w:r>
          </w:p>
        </w:tc>
        <w:tc>
          <w:tcPr>
            <w:tcW w:w="706" w:type="dxa"/>
            <w:tcBorders>
              <w:left w:val="nil"/>
            </w:tcBorders>
            <w:tcMar>
              <w:left w:w="28" w:type="dxa"/>
              <w:right w:w="28" w:type="dxa"/>
            </w:tcMar>
          </w:tcPr>
          <w:p w14:paraId="1C336BE5" w14:textId="77777777" w:rsidR="00EB0BEF" w:rsidRPr="007F131A" w:rsidRDefault="00EB0BEF" w:rsidP="00A0419B">
            <w:pPr>
              <w:spacing w:after="0" w:line="240" w:lineRule="auto"/>
              <w:rPr>
                <w:b/>
                <w:sz w:val="20"/>
                <w:szCs w:val="20"/>
                <w:lang w:val="en-US"/>
              </w:rPr>
            </w:pPr>
            <w:r w:rsidRPr="007F131A">
              <w:rPr>
                <w:b/>
                <w:sz w:val="20"/>
                <w:szCs w:val="20"/>
                <w:lang w:val="en-US"/>
              </w:rPr>
              <w:t>Exp. sign</w:t>
            </w:r>
          </w:p>
        </w:tc>
        <w:tc>
          <w:tcPr>
            <w:tcW w:w="1127" w:type="dxa"/>
            <w:tcBorders>
              <w:bottom w:val="single" w:sz="4" w:space="0" w:color="auto"/>
              <w:right w:val="nil"/>
            </w:tcBorders>
            <w:tcMar>
              <w:left w:w="28" w:type="dxa"/>
              <w:right w:w="28" w:type="dxa"/>
            </w:tcMar>
          </w:tcPr>
          <w:p w14:paraId="7BBEFEDD" w14:textId="77777777" w:rsidR="00EB0BEF" w:rsidRPr="007F131A" w:rsidRDefault="00EB0BEF" w:rsidP="00A0419B">
            <w:pPr>
              <w:spacing w:after="0" w:line="240" w:lineRule="auto"/>
              <w:jc w:val="center"/>
              <w:rPr>
                <w:b/>
                <w:sz w:val="20"/>
                <w:szCs w:val="20"/>
                <w:lang w:val="en-US"/>
              </w:rPr>
            </w:pPr>
            <w:r w:rsidRPr="007F131A">
              <w:rPr>
                <w:b/>
                <w:sz w:val="20"/>
                <w:szCs w:val="20"/>
                <w:lang w:val="en-US"/>
              </w:rPr>
              <w:t>Coeff.</w:t>
            </w:r>
          </w:p>
        </w:tc>
        <w:tc>
          <w:tcPr>
            <w:tcW w:w="847" w:type="dxa"/>
            <w:tcBorders>
              <w:left w:val="nil"/>
            </w:tcBorders>
            <w:tcMar>
              <w:left w:w="28" w:type="dxa"/>
              <w:right w:w="28" w:type="dxa"/>
            </w:tcMar>
          </w:tcPr>
          <w:p w14:paraId="694459D8" w14:textId="77777777" w:rsidR="00EB0BEF" w:rsidRPr="007F131A" w:rsidRDefault="00EB0BEF" w:rsidP="00A0419B">
            <w:pPr>
              <w:spacing w:after="0" w:line="240" w:lineRule="auto"/>
              <w:jc w:val="center"/>
              <w:rPr>
                <w:b/>
                <w:sz w:val="20"/>
                <w:szCs w:val="20"/>
                <w:lang w:val="en-US"/>
              </w:rPr>
            </w:pPr>
            <w:r w:rsidRPr="007F131A">
              <w:rPr>
                <w:b/>
                <w:sz w:val="20"/>
                <w:szCs w:val="20"/>
                <w:lang w:val="en-US"/>
              </w:rPr>
              <w:t>p-value</w:t>
            </w:r>
          </w:p>
        </w:tc>
        <w:tc>
          <w:tcPr>
            <w:tcW w:w="704" w:type="dxa"/>
            <w:tcBorders>
              <w:bottom w:val="single" w:sz="4" w:space="0" w:color="auto"/>
            </w:tcBorders>
            <w:tcMar>
              <w:left w:w="28" w:type="dxa"/>
              <w:right w:w="28" w:type="dxa"/>
            </w:tcMar>
          </w:tcPr>
          <w:p w14:paraId="7E37B385" w14:textId="77777777" w:rsidR="00EB0BEF" w:rsidRPr="007F131A" w:rsidRDefault="00EB0BEF" w:rsidP="00A0419B">
            <w:pPr>
              <w:spacing w:after="0" w:line="240" w:lineRule="auto"/>
              <w:jc w:val="center"/>
              <w:rPr>
                <w:b/>
                <w:sz w:val="20"/>
                <w:szCs w:val="20"/>
                <w:lang w:val="en-US"/>
              </w:rPr>
            </w:pPr>
          </w:p>
        </w:tc>
        <w:tc>
          <w:tcPr>
            <w:tcW w:w="893" w:type="dxa"/>
            <w:tcMar>
              <w:left w:w="28" w:type="dxa"/>
              <w:right w:w="28" w:type="dxa"/>
            </w:tcMar>
          </w:tcPr>
          <w:p w14:paraId="39EEDF6A" w14:textId="77777777" w:rsidR="00EB0BEF" w:rsidRPr="007F131A" w:rsidRDefault="00EB0BEF" w:rsidP="00A0419B">
            <w:pPr>
              <w:spacing w:after="0" w:line="240" w:lineRule="auto"/>
              <w:jc w:val="center"/>
              <w:rPr>
                <w:b/>
                <w:sz w:val="20"/>
                <w:szCs w:val="20"/>
                <w:lang w:val="en-US"/>
              </w:rPr>
            </w:pPr>
            <w:r w:rsidRPr="007F131A">
              <w:rPr>
                <w:b/>
                <w:sz w:val="20"/>
                <w:szCs w:val="20"/>
                <w:lang w:val="en-US"/>
              </w:rPr>
              <w:t>Coeff.</w:t>
            </w:r>
          </w:p>
        </w:tc>
        <w:tc>
          <w:tcPr>
            <w:tcW w:w="987" w:type="dxa"/>
            <w:tcBorders>
              <w:bottom w:val="single" w:sz="4" w:space="0" w:color="auto"/>
            </w:tcBorders>
            <w:tcMar>
              <w:left w:w="28" w:type="dxa"/>
              <w:right w:w="28" w:type="dxa"/>
            </w:tcMar>
          </w:tcPr>
          <w:p w14:paraId="1BFDC724" w14:textId="77777777" w:rsidR="00EB0BEF" w:rsidRPr="007F131A" w:rsidRDefault="00EB0BEF" w:rsidP="00A0419B">
            <w:pPr>
              <w:spacing w:after="0" w:line="240" w:lineRule="auto"/>
              <w:jc w:val="center"/>
              <w:rPr>
                <w:b/>
                <w:sz w:val="20"/>
                <w:szCs w:val="20"/>
                <w:lang w:val="en-US"/>
              </w:rPr>
            </w:pPr>
            <w:r w:rsidRPr="007F131A">
              <w:rPr>
                <w:b/>
                <w:sz w:val="20"/>
                <w:szCs w:val="20"/>
                <w:lang w:val="en-US"/>
              </w:rPr>
              <w:t>p-value</w:t>
            </w:r>
          </w:p>
        </w:tc>
        <w:tc>
          <w:tcPr>
            <w:tcW w:w="846" w:type="dxa"/>
            <w:tcBorders>
              <w:bottom w:val="single" w:sz="4" w:space="0" w:color="auto"/>
            </w:tcBorders>
            <w:tcMar>
              <w:left w:w="28" w:type="dxa"/>
              <w:right w:w="28" w:type="dxa"/>
            </w:tcMar>
          </w:tcPr>
          <w:p w14:paraId="71CD7D8D" w14:textId="77777777" w:rsidR="00EB0BEF" w:rsidRPr="007F131A" w:rsidRDefault="00EB0BEF" w:rsidP="00A0419B">
            <w:pPr>
              <w:spacing w:after="0" w:line="240" w:lineRule="auto"/>
              <w:jc w:val="center"/>
              <w:rPr>
                <w:b/>
                <w:sz w:val="20"/>
                <w:szCs w:val="20"/>
                <w:lang w:val="en-US"/>
              </w:rPr>
            </w:pPr>
          </w:p>
        </w:tc>
        <w:tc>
          <w:tcPr>
            <w:tcW w:w="987" w:type="dxa"/>
            <w:tcMar>
              <w:left w:w="28" w:type="dxa"/>
              <w:right w:w="28" w:type="dxa"/>
            </w:tcMar>
          </w:tcPr>
          <w:p w14:paraId="73568361" w14:textId="77777777" w:rsidR="00EB0BEF" w:rsidRPr="007F131A" w:rsidRDefault="00EB0BEF" w:rsidP="00A0419B">
            <w:pPr>
              <w:spacing w:after="0" w:line="240" w:lineRule="auto"/>
              <w:jc w:val="center"/>
              <w:rPr>
                <w:b/>
                <w:sz w:val="20"/>
                <w:szCs w:val="20"/>
                <w:lang w:val="en-US"/>
              </w:rPr>
            </w:pPr>
            <w:r w:rsidRPr="007F131A">
              <w:rPr>
                <w:b/>
                <w:sz w:val="20"/>
                <w:szCs w:val="20"/>
                <w:lang w:val="en-US"/>
              </w:rPr>
              <w:t>Coeff.</w:t>
            </w:r>
          </w:p>
        </w:tc>
        <w:tc>
          <w:tcPr>
            <w:tcW w:w="846" w:type="dxa"/>
            <w:tcBorders>
              <w:bottom w:val="single" w:sz="4" w:space="0" w:color="auto"/>
            </w:tcBorders>
            <w:tcMar>
              <w:left w:w="28" w:type="dxa"/>
              <w:right w:w="28" w:type="dxa"/>
            </w:tcMar>
          </w:tcPr>
          <w:p w14:paraId="58FB1580" w14:textId="77777777" w:rsidR="00EB0BEF" w:rsidRPr="007F131A" w:rsidRDefault="00EB0BEF" w:rsidP="00A0419B">
            <w:pPr>
              <w:spacing w:after="0" w:line="240" w:lineRule="auto"/>
              <w:jc w:val="center"/>
              <w:rPr>
                <w:b/>
                <w:sz w:val="20"/>
                <w:szCs w:val="20"/>
                <w:lang w:val="en-US"/>
              </w:rPr>
            </w:pPr>
            <w:r w:rsidRPr="007F131A">
              <w:rPr>
                <w:b/>
                <w:sz w:val="20"/>
                <w:szCs w:val="20"/>
                <w:lang w:val="en-US"/>
              </w:rPr>
              <w:t>p-value</w:t>
            </w:r>
          </w:p>
        </w:tc>
        <w:tc>
          <w:tcPr>
            <w:tcW w:w="991" w:type="dxa"/>
            <w:tcBorders>
              <w:bottom w:val="single" w:sz="4" w:space="0" w:color="auto"/>
            </w:tcBorders>
            <w:tcMar>
              <w:left w:w="28" w:type="dxa"/>
              <w:right w:w="28" w:type="dxa"/>
            </w:tcMar>
          </w:tcPr>
          <w:p w14:paraId="3374B3AE" w14:textId="77777777" w:rsidR="00EB0BEF" w:rsidRPr="007F131A" w:rsidRDefault="00EB0BEF" w:rsidP="00A0419B">
            <w:pPr>
              <w:spacing w:after="0" w:line="240" w:lineRule="auto"/>
              <w:rPr>
                <w:b/>
                <w:sz w:val="20"/>
                <w:szCs w:val="20"/>
                <w:lang w:val="en-US"/>
              </w:rPr>
            </w:pPr>
          </w:p>
        </w:tc>
        <w:tc>
          <w:tcPr>
            <w:tcW w:w="991" w:type="dxa"/>
          </w:tcPr>
          <w:p w14:paraId="1F1DEE6F" w14:textId="77777777" w:rsidR="00EB0BEF" w:rsidRPr="007F131A" w:rsidRDefault="00EB0BEF" w:rsidP="00A0419B">
            <w:pPr>
              <w:spacing w:after="0" w:line="240" w:lineRule="auto"/>
              <w:rPr>
                <w:b/>
                <w:sz w:val="20"/>
                <w:szCs w:val="20"/>
                <w:lang w:val="en-US"/>
              </w:rPr>
            </w:pPr>
            <w:r w:rsidRPr="007F131A">
              <w:rPr>
                <w:b/>
                <w:sz w:val="20"/>
                <w:szCs w:val="20"/>
                <w:lang w:val="en-US"/>
              </w:rPr>
              <w:t>Coeff.</w:t>
            </w:r>
          </w:p>
        </w:tc>
        <w:tc>
          <w:tcPr>
            <w:tcW w:w="991" w:type="dxa"/>
            <w:tcBorders>
              <w:bottom w:val="single" w:sz="4" w:space="0" w:color="auto"/>
            </w:tcBorders>
          </w:tcPr>
          <w:p w14:paraId="5A50D218" w14:textId="77777777" w:rsidR="00EB0BEF" w:rsidRPr="007F131A" w:rsidRDefault="00EB0BEF" w:rsidP="00A0419B">
            <w:pPr>
              <w:spacing w:after="0" w:line="240" w:lineRule="auto"/>
              <w:rPr>
                <w:b/>
                <w:sz w:val="20"/>
                <w:szCs w:val="20"/>
                <w:lang w:val="en-US"/>
              </w:rPr>
            </w:pPr>
            <w:r w:rsidRPr="007F131A">
              <w:rPr>
                <w:b/>
                <w:sz w:val="20"/>
                <w:szCs w:val="20"/>
                <w:lang w:val="en-US"/>
              </w:rPr>
              <w:t>p-value</w:t>
            </w:r>
          </w:p>
        </w:tc>
        <w:tc>
          <w:tcPr>
            <w:tcW w:w="991" w:type="dxa"/>
            <w:tcBorders>
              <w:bottom w:val="single" w:sz="4" w:space="0" w:color="auto"/>
            </w:tcBorders>
          </w:tcPr>
          <w:p w14:paraId="6998BE47" w14:textId="77777777" w:rsidR="00EB0BEF" w:rsidRPr="007F131A" w:rsidRDefault="00EB0BEF" w:rsidP="00A0419B">
            <w:pPr>
              <w:spacing w:after="0" w:line="240" w:lineRule="auto"/>
              <w:rPr>
                <w:b/>
                <w:sz w:val="20"/>
                <w:szCs w:val="20"/>
                <w:lang w:val="en-US"/>
              </w:rPr>
            </w:pPr>
          </w:p>
        </w:tc>
      </w:tr>
      <w:tr w:rsidR="00EB0BEF" w:rsidRPr="007F131A" w14:paraId="1FD7E14A" w14:textId="77777777" w:rsidTr="00A0419B">
        <w:tc>
          <w:tcPr>
            <w:tcW w:w="1160" w:type="dxa"/>
            <w:tcBorders>
              <w:right w:val="nil"/>
            </w:tcBorders>
            <w:tcMar>
              <w:left w:w="28" w:type="dxa"/>
              <w:right w:w="28" w:type="dxa"/>
            </w:tcMar>
          </w:tcPr>
          <w:p w14:paraId="63FAAFA2"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Constant</w:t>
            </w:r>
          </w:p>
        </w:tc>
        <w:tc>
          <w:tcPr>
            <w:tcW w:w="706" w:type="dxa"/>
            <w:tcBorders>
              <w:left w:val="nil"/>
              <w:right w:val="nil"/>
            </w:tcBorders>
            <w:tcMar>
              <w:left w:w="28" w:type="dxa"/>
              <w:right w:w="28" w:type="dxa"/>
            </w:tcMar>
          </w:tcPr>
          <w:p w14:paraId="2330D70F" w14:textId="77777777" w:rsidR="00EB0BEF" w:rsidRPr="007F131A" w:rsidRDefault="00EB0BEF" w:rsidP="00A0419B">
            <w:pPr>
              <w:spacing w:after="0" w:line="240" w:lineRule="auto"/>
              <w:rPr>
                <w:b/>
                <w:sz w:val="20"/>
                <w:szCs w:val="20"/>
                <w:lang w:val="en-US"/>
              </w:rPr>
            </w:pPr>
          </w:p>
        </w:tc>
        <w:tc>
          <w:tcPr>
            <w:tcW w:w="1127" w:type="dxa"/>
            <w:tcBorders>
              <w:left w:val="nil"/>
              <w:right w:val="nil"/>
            </w:tcBorders>
            <w:tcMar>
              <w:left w:w="28" w:type="dxa"/>
              <w:right w:w="28" w:type="dxa"/>
            </w:tcMar>
          </w:tcPr>
          <w:p w14:paraId="23B721EF" w14:textId="77777777" w:rsidR="00EB0BEF" w:rsidRPr="007F131A" w:rsidRDefault="00EB0BEF" w:rsidP="00A0419B">
            <w:pPr>
              <w:spacing w:after="0" w:line="240" w:lineRule="auto"/>
              <w:jc w:val="center"/>
              <w:rPr>
                <w:b/>
                <w:sz w:val="20"/>
                <w:szCs w:val="20"/>
                <w:lang w:val="en-US"/>
              </w:rPr>
            </w:pPr>
            <w:r w:rsidRPr="007F131A">
              <w:rPr>
                <w:lang w:val="en-US"/>
              </w:rPr>
              <w:t>2.816</w:t>
            </w:r>
          </w:p>
        </w:tc>
        <w:tc>
          <w:tcPr>
            <w:tcW w:w="847" w:type="dxa"/>
            <w:tcBorders>
              <w:left w:val="nil"/>
              <w:right w:val="nil"/>
            </w:tcBorders>
            <w:tcMar>
              <w:left w:w="28" w:type="dxa"/>
              <w:right w:w="28" w:type="dxa"/>
            </w:tcMar>
          </w:tcPr>
          <w:p w14:paraId="439D8C3D" w14:textId="77777777" w:rsidR="00EB0BEF" w:rsidRPr="007F131A" w:rsidRDefault="00EB0BEF" w:rsidP="00A0419B">
            <w:pPr>
              <w:spacing w:after="0" w:line="240" w:lineRule="auto"/>
              <w:jc w:val="center"/>
              <w:rPr>
                <w:b/>
                <w:sz w:val="20"/>
                <w:szCs w:val="20"/>
                <w:lang w:val="en-US"/>
              </w:rPr>
            </w:pPr>
            <w:r w:rsidRPr="007F131A">
              <w:rPr>
                <w:lang w:val="en-US"/>
              </w:rPr>
              <w:t>0.000</w:t>
            </w:r>
          </w:p>
        </w:tc>
        <w:tc>
          <w:tcPr>
            <w:tcW w:w="704" w:type="dxa"/>
            <w:tcBorders>
              <w:left w:val="nil"/>
            </w:tcBorders>
            <w:tcMar>
              <w:left w:w="28" w:type="dxa"/>
              <w:right w:w="28" w:type="dxa"/>
            </w:tcMar>
          </w:tcPr>
          <w:p w14:paraId="0E19E5C4"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893" w:type="dxa"/>
            <w:tcBorders>
              <w:right w:val="nil"/>
            </w:tcBorders>
            <w:tcMar>
              <w:left w:w="28" w:type="dxa"/>
              <w:right w:w="28" w:type="dxa"/>
            </w:tcMar>
          </w:tcPr>
          <w:p w14:paraId="12904F5F" w14:textId="77777777" w:rsidR="00EB0BEF" w:rsidRPr="007F131A" w:rsidRDefault="00EB0BEF" w:rsidP="00A0419B">
            <w:pPr>
              <w:spacing w:after="0" w:line="240" w:lineRule="auto"/>
              <w:jc w:val="center"/>
              <w:rPr>
                <w:b/>
                <w:sz w:val="20"/>
                <w:szCs w:val="20"/>
                <w:lang w:val="en-US"/>
              </w:rPr>
            </w:pPr>
            <w:r w:rsidRPr="007F131A">
              <w:rPr>
                <w:lang w:val="en-US"/>
              </w:rPr>
              <w:t>3.692</w:t>
            </w:r>
          </w:p>
        </w:tc>
        <w:tc>
          <w:tcPr>
            <w:tcW w:w="987" w:type="dxa"/>
            <w:tcBorders>
              <w:left w:val="nil"/>
              <w:right w:val="nil"/>
            </w:tcBorders>
            <w:tcMar>
              <w:left w:w="28" w:type="dxa"/>
              <w:right w:w="28" w:type="dxa"/>
            </w:tcMar>
          </w:tcPr>
          <w:p w14:paraId="4541A7B5" w14:textId="77777777" w:rsidR="00EB0BEF" w:rsidRPr="007F131A" w:rsidRDefault="00EB0BEF" w:rsidP="00A0419B">
            <w:pPr>
              <w:spacing w:after="0" w:line="240" w:lineRule="auto"/>
              <w:jc w:val="center"/>
              <w:rPr>
                <w:b/>
                <w:sz w:val="20"/>
                <w:szCs w:val="20"/>
                <w:lang w:val="en-US"/>
              </w:rPr>
            </w:pPr>
            <w:r w:rsidRPr="007F131A">
              <w:rPr>
                <w:lang w:val="en-US"/>
              </w:rPr>
              <w:t>0.000</w:t>
            </w:r>
          </w:p>
        </w:tc>
        <w:tc>
          <w:tcPr>
            <w:tcW w:w="846" w:type="dxa"/>
            <w:tcBorders>
              <w:left w:val="nil"/>
            </w:tcBorders>
            <w:tcMar>
              <w:left w:w="28" w:type="dxa"/>
              <w:right w:w="28" w:type="dxa"/>
            </w:tcMar>
          </w:tcPr>
          <w:p w14:paraId="02CBAD70"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87" w:type="dxa"/>
            <w:tcBorders>
              <w:right w:val="nil"/>
            </w:tcBorders>
            <w:tcMar>
              <w:left w:w="28" w:type="dxa"/>
              <w:right w:w="28" w:type="dxa"/>
            </w:tcMar>
          </w:tcPr>
          <w:p w14:paraId="5AC95DA1" w14:textId="77777777" w:rsidR="00EB0BEF" w:rsidRPr="007F131A" w:rsidRDefault="00EB0BEF" w:rsidP="00A0419B">
            <w:pPr>
              <w:spacing w:after="0" w:line="240" w:lineRule="auto"/>
              <w:jc w:val="center"/>
              <w:rPr>
                <w:b/>
                <w:sz w:val="20"/>
                <w:szCs w:val="20"/>
                <w:lang w:val="en-US"/>
              </w:rPr>
            </w:pPr>
            <w:r w:rsidRPr="007F131A">
              <w:rPr>
                <w:lang w:val="en-US"/>
              </w:rPr>
              <w:t>3.474</w:t>
            </w:r>
          </w:p>
        </w:tc>
        <w:tc>
          <w:tcPr>
            <w:tcW w:w="846" w:type="dxa"/>
            <w:tcBorders>
              <w:left w:val="nil"/>
              <w:right w:val="nil"/>
            </w:tcBorders>
            <w:tcMar>
              <w:left w:w="28" w:type="dxa"/>
              <w:right w:w="28" w:type="dxa"/>
            </w:tcMar>
          </w:tcPr>
          <w:p w14:paraId="7A19CF51" w14:textId="77777777" w:rsidR="00EB0BEF" w:rsidRPr="007F131A" w:rsidRDefault="00EB0BEF" w:rsidP="00A0419B">
            <w:pPr>
              <w:spacing w:after="0" w:line="240" w:lineRule="auto"/>
              <w:jc w:val="center"/>
              <w:rPr>
                <w:b/>
                <w:sz w:val="20"/>
                <w:szCs w:val="20"/>
                <w:lang w:val="en-US"/>
              </w:rPr>
            </w:pPr>
            <w:r w:rsidRPr="007F131A">
              <w:rPr>
                <w:lang w:val="en-US"/>
              </w:rPr>
              <w:t>0.000</w:t>
            </w:r>
          </w:p>
        </w:tc>
        <w:tc>
          <w:tcPr>
            <w:tcW w:w="991" w:type="dxa"/>
            <w:tcBorders>
              <w:left w:val="nil"/>
            </w:tcBorders>
            <w:tcMar>
              <w:left w:w="28" w:type="dxa"/>
              <w:right w:w="28" w:type="dxa"/>
            </w:tcMar>
          </w:tcPr>
          <w:p w14:paraId="4B33417F"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91" w:type="dxa"/>
            <w:tcBorders>
              <w:right w:val="nil"/>
            </w:tcBorders>
          </w:tcPr>
          <w:p w14:paraId="086494B5" w14:textId="77777777" w:rsidR="00EB0BEF" w:rsidRPr="007F131A" w:rsidRDefault="00EB0BEF" w:rsidP="00A0419B">
            <w:pPr>
              <w:spacing w:after="0" w:line="240" w:lineRule="auto"/>
              <w:rPr>
                <w:rFonts w:eastAsia="MS Mincho"/>
                <w:sz w:val="20"/>
                <w:szCs w:val="20"/>
                <w:lang w:val="en-GB" w:eastAsia="ja-JP"/>
              </w:rPr>
            </w:pPr>
            <w:r w:rsidRPr="007F131A">
              <w:t>3.282</w:t>
            </w:r>
          </w:p>
        </w:tc>
        <w:tc>
          <w:tcPr>
            <w:tcW w:w="991" w:type="dxa"/>
            <w:tcBorders>
              <w:left w:val="nil"/>
              <w:right w:val="nil"/>
            </w:tcBorders>
          </w:tcPr>
          <w:p w14:paraId="15A9A8FE" w14:textId="77777777" w:rsidR="00EB0BEF" w:rsidRPr="007F131A" w:rsidRDefault="00EB0BEF" w:rsidP="00A0419B">
            <w:pPr>
              <w:spacing w:after="0" w:line="240" w:lineRule="auto"/>
              <w:rPr>
                <w:rFonts w:eastAsia="MS Mincho"/>
                <w:sz w:val="20"/>
                <w:szCs w:val="20"/>
                <w:lang w:val="en-GB" w:eastAsia="ja-JP"/>
              </w:rPr>
            </w:pPr>
            <w:r w:rsidRPr="007F131A">
              <w:t>0.000</w:t>
            </w:r>
          </w:p>
        </w:tc>
        <w:tc>
          <w:tcPr>
            <w:tcW w:w="991" w:type="dxa"/>
            <w:tcBorders>
              <w:left w:val="nil"/>
            </w:tcBorders>
          </w:tcPr>
          <w:p w14:paraId="28C4C575" w14:textId="77777777" w:rsidR="00EB0BEF" w:rsidRPr="007F131A" w:rsidRDefault="00EB0BEF" w:rsidP="00A0419B">
            <w:pPr>
              <w:spacing w:after="0" w:line="240" w:lineRule="auto"/>
              <w:rPr>
                <w:rFonts w:eastAsia="MS Mincho"/>
                <w:sz w:val="20"/>
                <w:szCs w:val="20"/>
                <w:lang w:val="en-GB" w:eastAsia="ja-JP"/>
              </w:rPr>
            </w:pPr>
            <w:r w:rsidRPr="007F131A">
              <w:rPr>
                <w:rFonts w:eastAsia="MS Mincho"/>
                <w:sz w:val="20"/>
                <w:szCs w:val="20"/>
                <w:lang w:val="en-GB" w:eastAsia="ja-JP"/>
              </w:rPr>
              <w:t>***</w:t>
            </w:r>
          </w:p>
        </w:tc>
      </w:tr>
      <w:tr w:rsidR="00EB0BEF" w:rsidRPr="007F131A" w14:paraId="45882299" w14:textId="77777777" w:rsidTr="00A0419B">
        <w:tc>
          <w:tcPr>
            <w:tcW w:w="1160" w:type="dxa"/>
            <w:tcBorders>
              <w:right w:val="nil"/>
            </w:tcBorders>
            <w:tcMar>
              <w:left w:w="28" w:type="dxa"/>
              <w:right w:w="28" w:type="dxa"/>
            </w:tcMar>
          </w:tcPr>
          <w:p w14:paraId="37EA87CF"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TINT</w:t>
            </w:r>
          </w:p>
        </w:tc>
        <w:tc>
          <w:tcPr>
            <w:tcW w:w="706" w:type="dxa"/>
            <w:tcBorders>
              <w:left w:val="nil"/>
              <w:right w:val="nil"/>
            </w:tcBorders>
            <w:tcMar>
              <w:left w:w="28" w:type="dxa"/>
              <w:right w:w="28" w:type="dxa"/>
            </w:tcMar>
          </w:tcPr>
          <w:p w14:paraId="3B68E552"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42323B74" w14:textId="77777777" w:rsidR="00EB0BEF" w:rsidRPr="007F131A" w:rsidRDefault="00EB0BEF" w:rsidP="00A0419B">
            <w:pPr>
              <w:spacing w:after="0" w:line="240" w:lineRule="auto"/>
              <w:jc w:val="center"/>
              <w:rPr>
                <w:b/>
                <w:sz w:val="20"/>
                <w:szCs w:val="20"/>
                <w:lang w:val="en-US"/>
              </w:rPr>
            </w:pPr>
            <w:r w:rsidRPr="007F131A">
              <w:rPr>
                <w:lang w:val="en-US"/>
              </w:rPr>
              <w:t>1.229</w:t>
            </w:r>
          </w:p>
        </w:tc>
        <w:tc>
          <w:tcPr>
            <w:tcW w:w="847" w:type="dxa"/>
            <w:tcBorders>
              <w:left w:val="nil"/>
              <w:right w:val="nil"/>
            </w:tcBorders>
            <w:tcMar>
              <w:left w:w="28" w:type="dxa"/>
              <w:right w:w="28" w:type="dxa"/>
            </w:tcMar>
          </w:tcPr>
          <w:p w14:paraId="1C1FA19E" w14:textId="77777777" w:rsidR="00EB0BEF" w:rsidRPr="007F131A" w:rsidRDefault="00EB0BEF" w:rsidP="00A0419B">
            <w:pPr>
              <w:spacing w:after="0" w:line="240" w:lineRule="auto"/>
              <w:jc w:val="center"/>
              <w:rPr>
                <w:b/>
                <w:sz w:val="20"/>
                <w:szCs w:val="20"/>
                <w:lang w:val="en-US"/>
              </w:rPr>
            </w:pPr>
            <w:r w:rsidRPr="007F131A">
              <w:rPr>
                <w:lang w:val="en-US"/>
              </w:rPr>
              <w:t>0.006</w:t>
            </w:r>
          </w:p>
        </w:tc>
        <w:tc>
          <w:tcPr>
            <w:tcW w:w="704" w:type="dxa"/>
            <w:tcBorders>
              <w:left w:val="nil"/>
            </w:tcBorders>
            <w:tcMar>
              <w:left w:w="28" w:type="dxa"/>
              <w:right w:w="28" w:type="dxa"/>
            </w:tcMar>
          </w:tcPr>
          <w:p w14:paraId="0487E106"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893" w:type="dxa"/>
            <w:tcBorders>
              <w:right w:val="nil"/>
            </w:tcBorders>
            <w:tcMar>
              <w:left w:w="28" w:type="dxa"/>
              <w:right w:w="28" w:type="dxa"/>
            </w:tcMar>
          </w:tcPr>
          <w:p w14:paraId="6BD0669D" w14:textId="77777777" w:rsidR="00EB0BEF" w:rsidRPr="007F131A" w:rsidRDefault="00EB0BEF" w:rsidP="00A0419B">
            <w:pPr>
              <w:spacing w:after="0" w:line="240" w:lineRule="auto"/>
              <w:jc w:val="center"/>
              <w:rPr>
                <w:b/>
                <w:sz w:val="20"/>
                <w:szCs w:val="20"/>
                <w:lang w:val="en-US"/>
              </w:rPr>
            </w:pPr>
            <w:r w:rsidRPr="007F131A">
              <w:rPr>
                <w:lang w:val="en-US"/>
              </w:rPr>
              <w:t>1.594</w:t>
            </w:r>
          </w:p>
        </w:tc>
        <w:tc>
          <w:tcPr>
            <w:tcW w:w="987" w:type="dxa"/>
            <w:tcBorders>
              <w:left w:val="nil"/>
              <w:right w:val="nil"/>
            </w:tcBorders>
            <w:tcMar>
              <w:left w:w="28" w:type="dxa"/>
              <w:right w:w="28" w:type="dxa"/>
            </w:tcMar>
          </w:tcPr>
          <w:p w14:paraId="34FD8128" w14:textId="77777777" w:rsidR="00EB0BEF" w:rsidRPr="007F131A" w:rsidRDefault="00EB0BEF" w:rsidP="00A0419B">
            <w:pPr>
              <w:spacing w:after="0" w:line="240" w:lineRule="auto"/>
              <w:jc w:val="center"/>
              <w:rPr>
                <w:b/>
                <w:sz w:val="20"/>
                <w:szCs w:val="20"/>
                <w:lang w:val="en-US"/>
              </w:rPr>
            </w:pPr>
            <w:r w:rsidRPr="007F131A">
              <w:rPr>
                <w:lang w:val="en-US"/>
              </w:rPr>
              <w:t>0.004</w:t>
            </w:r>
          </w:p>
        </w:tc>
        <w:tc>
          <w:tcPr>
            <w:tcW w:w="846" w:type="dxa"/>
            <w:tcBorders>
              <w:left w:val="nil"/>
            </w:tcBorders>
            <w:tcMar>
              <w:left w:w="28" w:type="dxa"/>
              <w:right w:w="28" w:type="dxa"/>
            </w:tcMar>
          </w:tcPr>
          <w:p w14:paraId="7C50B990"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87" w:type="dxa"/>
            <w:tcBorders>
              <w:right w:val="nil"/>
            </w:tcBorders>
            <w:tcMar>
              <w:left w:w="28" w:type="dxa"/>
              <w:right w:w="28" w:type="dxa"/>
            </w:tcMar>
          </w:tcPr>
          <w:p w14:paraId="3FEBC7F1" w14:textId="77777777" w:rsidR="00EB0BEF" w:rsidRPr="007F131A" w:rsidRDefault="00EB0BEF" w:rsidP="00A0419B">
            <w:pPr>
              <w:spacing w:after="0" w:line="240" w:lineRule="auto"/>
              <w:jc w:val="center"/>
              <w:rPr>
                <w:b/>
                <w:sz w:val="20"/>
                <w:szCs w:val="20"/>
                <w:lang w:val="en-US"/>
              </w:rPr>
            </w:pPr>
            <w:r w:rsidRPr="007F131A">
              <w:rPr>
                <w:lang w:val="en-US"/>
              </w:rPr>
              <w:t>1.506</w:t>
            </w:r>
          </w:p>
        </w:tc>
        <w:tc>
          <w:tcPr>
            <w:tcW w:w="846" w:type="dxa"/>
            <w:tcBorders>
              <w:left w:val="nil"/>
              <w:right w:val="nil"/>
            </w:tcBorders>
            <w:tcMar>
              <w:left w:w="28" w:type="dxa"/>
              <w:right w:w="28" w:type="dxa"/>
            </w:tcMar>
          </w:tcPr>
          <w:p w14:paraId="5362417D" w14:textId="77777777" w:rsidR="00EB0BEF" w:rsidRPr="007F131A" w:rsidRDefault="00EB0BEF" w:rsidP="00A0419B">
            <w:pPr>
              <w:spacing w:after="0" w:line="240" w:lineRule="auto"/>
              <w:jc w:val="center"/>
              <w:rPr>
                <w:b/>
                <w:sz w:val="20"/>
                <w:szCs w:val="20"/>
                <w:lang w:val="en-US"/>
              </w:rPr>
            </w:pPr>
            <w:r w:rsidRPr="007F131A">
              <w:rPr>
                <w:lang w:val="en-US"/>
              </w:rPr>
              <w:t>0.007</w:t>
            </w:r>
          </w:p>
        </w:tc>
        <w:tc>
          <w:tcPr>
            <w:tcW w:w="991" w:type="dxa"/>
            <w:tcBorders>
              <w:left w:val="nil"/>
            </w:tcBorders>
            <w:tcMar>
              <w:left w:w="28" w:type="dxa"/>
              <w:right w:w="28" w:type="dxa"/>
            </w:tcMar>
          </w:tcPr>
          <w:p w14:paraId="7B77498C"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91" w:type="dxa"/>
            <w:tcBorders>
              <w:right w:val="nil"/>
            </w:tcBorders>
          </w:tcPr>
          <w:p w14:paraId="2A4D8AB4" w14:textId="77777777" w:rsidR="00EB0BEF" w:rsidRPr="007F131A" w:rsidRDefault="00EB0BEF" w:rsidP="00A0419B">
            <w:pPr>
              <w:spacing w:after="0" w:line="240" w:lineRule="auto"/>
              <w:rPr>
                <w:rFonts w:eastAsia="MS Mincho"/>
                <w:sz w:val="20"/>
                <w:szCs w:val="20"/>
                <w:lang w:val="en-GB" w:eastAsia="ja-JP"/>
              </w:rPr>
            </w:pPr>
            <w:r w:rsidRPr="007F131A">
              <w:rPr>
                <w:lang w:val="en-US"/>
              </w:rPr>
              <w:t>1.234</w:t>
            </w:r>
          </w:p>
        </w:tc>
        <w:tc>
          <w:tcPr>
            <w:tcW w:w="991" w:type="dxa"/>
            <w:tcBorders>
              <w:left w:val="nil"/>
              <w:right w:val="nil"/>
            </w:tcBorders>
          </w:tcPr>
          <w:p w14:paraId="7BCEE531" w14:textId="77777777" w:rsidR="00EB0BEF" w:rsidRPr="007F131A" w:rsidRDefault="00EB0BEF" w:rsidP="00A0419B">
            <w:pPr>
              <w:spacing w:after="0" w:line="240" w:lineRule="auto"/>
              <w:rPr>
                <w:rFonts w:eastAsia="MS Mincho"/>
                <w:sz w:val="20"/>
                <w:szCs w:val="20"/>
                <w:lang w:val="en-GB" w:eastAsia="ja-JP"/>
              </w:rPr>
            </w:pPr>
            <w:r w:rsidRPr="007F131A">
              <w:rPr>
                <w:lang w:val="en-US"/>
              </w:rPr>
              <w:t>0.005</w:t>
            </w:r>
          </w:p>
        </w:tc>
        <w:tc>
          <w:tcPr>
            <w:tcW w:w="991" w:type="dxa"/>
            <w:tcBorders>
              <w:left w:val="nil"/>
            </w:tcBorders>
          </w:tcPr>
          <w:p w14:paraId="4B3B85C8" w14:textId="77777777" w:rsidR="00EB0BEF" w:rsidRPr="007F131A" w:rsidRDefault="00EB0BEF" w:rsidP="00A0419B">
            <w:pPr>
              <w:spacing w:after="0" w:line="240" w:lineRule="auto"/>
              <w:rPr>
                <w:rFonts w:eastAsia="MS Mincho"/>
                <w:sz w:val="20"/>
                <w:szCs w:val="20"/>
                <w:lang w:val="en-GB" w:eastAsia="ja-JP"/>
              </w:rPr>
            </w:pPr>
            <w:r w:rsidRPr="007F131A">
              <w:rPr>
                <w:rFonts w:eastAsia="MS Mincho"/>
                <w:sz w:val="20"/>
                <w:szCs w:val="20"/>
                <w:lang w:val="en-GB" w:eastAsia="ja-JP"/>
              </w:rPr>
              <w:t>***</w:t>
            </w:r>
          </w:p>
        </w:tc>
      </w:tr>
      <w:tr w:rsidR="00EB0BEF" w:rsidRPr="007F131A" w14:paraId="2DFEB129" w14:textId="77777777" w:rsidTr="00A0419B">
        <w:tc>
          <w:tcPr>
            <w:tcW w:w="1160" w:type="dxa"/>
            <w:tcBorders>
              <w:right w:val="nil"/>
            </w:tcBorders>
            <w:tcMar>
              <w:left w:w="28" w:type="dxa"/>
              <w:right w:w="28" w:type="dxa"/>
            </w:tcMar>
          </w:tcPr>
          <w:p w14:paraId="12A4125D"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SIZE</w:t>
            </w:r>
          </w:p>
        </w:tc>
        <w:tc>
          <w:tcPr>
            <w:tcW w:w="706" w:type="dxa"/>
            <w:tcBorders>
              <w:left w:val="nil"/>
              <w:right w:val="nil"/>
            </w:tcBorders>
            <w:tcMar>
              <w:left w:w="28" w:type="dxa"/>
              <w:right w:w="28" w:type="dxa"/>
            </w:tcMar>
          </w:tcPr>
          <w:p w14:paraId="3B6137E7"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1BAA62A6" w14:textId="77777777" w:rsidR="00EB0BEF" w:rsidRPr="007F131A" w:rsidRDefault="00EB0BEF" w:rsidP="00A0419B">
            <w:pPr>
              <w:spacing w:after="0" w:line="240" w:lineRule="auto"/>
              <w:jc w:val="center"/>
              <w:rPr>
                <w:b/>
                <w:sz w:val="20"/>
                <w:szCs w:val="20"/>
                <w:lang w:val="en-US"/>
              </w:rPr>
            </w:pPr>
            <w:r w:rsidRPr="007F131A">
              <w:rPr>
                <w:lang w:val="en-US"/>
              </w:rPr>
              <w:t>-0.096</w:t>
            </w:r>
          </w:p>
        </w:tc>
        <w:tc>
          <w:tcPr>
            <w:tcW w:w="847" w:type="dxa"/>
            <w:tcBorders>
              <w:left w:val="nil"/>
              <w:right w:val="nil"/>
            </w:tcBorders>
            <w:tcMar>
              <w:left w:w="28" w:type="dxa"/>
              <w:right w:w="28" w:type="dxa"/>
            </w:tcMar>
          </w:tcPr>
          <w:p w14:paraId="729749F3" w14:textId="77777777" w:rsidR="00EB0BEF" w:rsidRPr="007F131A" w:rsidRDefault="00EB0BEF" w:rsidP="00A0419B">
            <w:pPr>
              <w:spacing w:after="0" w:line="240" w:lineRule="auto"/>
              <w:jc w:val="center"/>
              <w:rPr>
                <w:b/>
                <w:sz w:val="20"/>
                <w:szCs w:val="20"/>
                <w:lang w:val="en-US"/>
              </w:rPr>
            </w:pPr>
            <w:r w:rsidRPr="007F131A">
              <w:rPr>
                <w:lang w:val="en-US"/>
              </w:rPr>
              <w:t>0.008</w:t>
            </w:r>
          </w:p>
        </w:tc>
        <w:tc>
          <w:tcPr>
            <w:tcW w:w="704" w:type="dxa"/>
            <w:tcBorders>
              <w:left w:val="nil"/>
            </w:tcBorders>
            <w:tcMar>
              <w:left w:w="28" w:type="dxa"/>
              <w:right w:w="28" w:type="dxa"/>
            </w:tcMar>
          </w:tcPr>
          <w:p w14:paraId="30FCF2B4"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893" w:type="dxa"/>
            <w:tcBorders>
              <w:right w:val="nil"/>
            </w:tcBorders>
            <w:tcMar>
              <w:left w:w="28" w:type="dxa"/>
              <w:right w:w="28" w:type="dxa"/>
            </w:tcMar>
          </w:tcPr>
          <w:p w14:paraId="72F7ADF1" w14:textId="77777777" w:rsidR="00EB0BEF" w:rsidRPr="007F131A" w:rsidRDefault="00EB0BEF" w:rsidP="00A0419B">
            <w:pPr>
              <w:spacing w:after="0" w:line="240" w:lineRule="auto"/>
              <w:jc w:val="center"/>
              <w:rPr>
                <w:b/>
                <w:sz w:val="20"/>
                <w:szCs w:val="20"/>
                <w:lang w:val="en-US"/>
              </w:rPr>
            </w:pPr>
            <w:r w:rsidRPr="007F131A">
              <w:rPr>
                <w:lang w:val="en-US"/>
              </w:rPr>
              <w:t>-0.160</w:t>
            </w:r>
          </w:p>
        </w:tc>
        <w:tc>
          <w:tcPr>
            <w:tcW w:w="987" w:type="dxa"/>
            <w:tcBorders>
              <w:left w:val="nil"/>
              <w:right w:val="nil"/>
            </w:tcBorders>
            <w:tcMar>
              <w:left w:w="28" w:type="dxa"/>
              <w:right w:w="28" w:type="dxa"/>
            </w:tcMar>
          </w:tcPr>
          <w:p w14:paraId="22D8EC7D" w14:textId="77777777" w:rsidR="00EB0BEF" w:rsidRPr="007F131A" w:rsidRDefault="00EB0BEF" w:rsidP="00A0419B">
            <w:pPr>
              <w:spacing w:after="0" w:line="240" w:lineRule="auto"/>
              <w:jc w:val="center"/>
              <w:rPr>
                <w:b/>
                <w:sz w:val="20"/>
                <w:szCs w:val="20"/>
                <w:lang w:val="en-US"/>
              </w:rPr>
            </w:pPr>
            <w:r w:rsidRPr="007F131A">
              <w:rPr>
                <w:lang w:val="en-US"/>
              </w:rPr>
              <w:t>0.000</w:t>
            </w:r>
          </w:p>
        </w:tc>
        <w:tc>
          <w:tcPr>
            <w:tcW w:w="846" w:type="dxa"/>
            <w:tcBorders>
              <w:left w:val="nil"/>
            </w:tcBorders>
            <w:tcMar>
              <w:left w:w="28" w:type="dxa"/>
              <w:right w:w="28" w:type="dxa"/>
            </w:tcMar>
          </w:tcPr>
          <w:p w14:paraId="76F54DA6"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87" w:type="dxa"/>
            <w:tcBorders>
              <w:right w:val="nil"/>
            </w:tcBorders>
            <w:tcMar>
              <w:left w:w="28" w:type="dxa"/>
              <w:right w:w="28" w:type="dxa"/>
            </w:tcMar>
          </w:tcPr>
          <w:p w14:paraId="3BB0DC21" w14:textId="77777777" w:rsidR="00EB0BEF" w:rsidRPr="007F131A" w:rsidRDefault="00EB0BEF" w:rsidP="00A0419B">
            <w:pPr>
              <w:spacing w:after="0" w:line="240" w:lineRule="auto"/>
              <w:jc w:val="center"/>
              <w:rPr>
                <w:b/>
                <w:sz w:val="20"/>
                <w:szCs w:val="20"/>
                <w:lang w:val="en-US"/>
              </w:rPr>
            </w:pPr>
            <w:r w:rsidRPr="007F131A">
              <w:rPr>
                <w:lang w:val="en-US"/>
              </w:rPr>
              <w:t>-0.141</w:t>
            </w:r>
          </w:p>
        </w:tc>
        <w:tc>
          <w:tcPr>
            <w:tcW w:w="846" w:type="dxa"/>
            <w:tcBorders>
              <w:left w:val="nil"/>
              <w:right w:val="nil"/>
            </w:tcBorders>
            <w:tcMar>
              <w:left w:w="28" w:type="dxa"/>
              <w:right w:w="28" w:type="dxa"/>
            </w:tcMar>
          </w:tcPr>
          <w:p w14:paraId="0AF9BD87" w14:textId="77777777" w:rsidR="00EB0BEF" w:rsidRPr="007F131A" w:rsidRDefault="00EB0BEF" w:rsidP="00A0419B">
            <w:pPr>
              <w:spacing w:after="0" w:line="240" w:lineRule="auto"/>
              <w:jc w:val="center"/>
              <w:rPr>
                <w:b/>
                <w:sz w:val="20"/>
                <w:szCs w:val="20"/>
                <w:lang w:val="en-US"/>
              </w:rPr>
            </w:pPr>
            <w:r w:rsidRPr="007F131A">
              <w:rPr>
                <w:lang w:val="en-US"/>
              </w:rPr>
              <w:t>0.002</w:t>
            </w:r>
          </w:p>
        </w:tc>
        <w:tc>
          <w:tcPr>
            <w:tcW w:w="991" w:type="dxa"/>
            <w:tcBorders>
              <w:left w:val="nil"/>
            </w:tcBorders>
            <w:tcMar>
              <w:left w:w="28" w:type="dxa"/>
              <w:right w:w="28" w:type="dxa"/>
            </w:tcMar>
          </w:tcPr>
          <w:p w14:paraId="29E887DC"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91" w:type="dxa"/>
            <w:tcBorders>
              <w:right w:val="nil"/>
            </w:tcBorders>
          </w:tcPr>
          <w:p w14:paraId="58B0D604" w14:textId="77777777" w:rsidR="00EB0BEF" w:rsidRPr="007F131A" w:rsidRDefault="00EB0BEF" w:rsidP="00A0419B">
            <w:pPr>
              <w:spacing w:after="0" w:line="240" w:lineRule="auto"/>
              <w:rPr>
                <w:rFonts w:eastAsia="MS Mincho"/>
                <w:sz w:val="20"/>
                <w:szCs w:val="20"/>
                <w:lang w:val="en-GB" w:eastAsia="ja-JP"/>
              </w:rPr>
            </w:pPr>
            <w:r w:rsidRPr="007F131A">
              <w:rPr>
                <w:lang w:val="en-US"/>
              </w:rPr>
              <w:t>-0.109</w:t>
            </w:r>
          </w:p>
        </w:tc>
        <w:tc>
          <w:tcPr>
            <w:tcW w:w="991" w:type="dxa"/>
            <w:tcBorders>
              <w:left w:val="nil"/>
              <w:right w:val="nil"/>
            </w:tcBorders>
          </w:tcPr>
          <w:p w14:paraId="130F4227" w14:textId="77777777" w:rsidR="00EB0BEF" w:rsidRPr="007F131A" w:rsidRDefault="00EB0BEF" w:rsidP="00A0419B">
            <w:pPr>
              <w:spacing w:after="0" w:line="240" w:lineRule="auto"/>
              <w:rPr>
                <w:rFonts w:eastAsia="MS Mincho"/>
                <w:sz w:val="20"/>
                <w:szCs w:val="20"/>
                <w:lang w:val="en-GB" w:eastAsia="ja-JP"/>
              </w:rPr>
            </w:pPr>
            <w:r w:rsidRPr="007F131A">
              <w:rPr>
                <w:lang w:val="en-US"/>
              </w:rPr>
              <w:t>0.002</w:t>
            </w:r>
          </w:p>
        </w:tc>
        <w:tc>
          <w:tcPr>
            <w:tcW w:w="991" w:type="dxa"/>
            <w:tcBorders>
              <w:left w:val="nil"/>
            </w:tcBorders>
          </w:tcPr>
          <w:p w14:paraId="4B699ED2" w14:textId="77777777" w:rsidR="00EB0BEF" w:rsidRPr="007F131A" w:rsidRDefault="00EB0BEF" w:rsidP="00A0419B">
            <w:pPr>
              <w:spacing w:after="0" w:line="240" w:lineRule="auto"/>
              <w:rPr>
                <w:rFonts w:eastAsia="MS Mincho"/>
                <w:sz w:val="20"/>
                <w:szCs w:val="20"/>
                <w:lang w:val="en-GB" w:eastAsia="ja-JP"/>
              </w:rPr>
            </w:pPr>
            <w:r w:rsidRPr="007F131A">
              <w:rPr>
                <w:rFonts w:eastAsia="MS Mincho"/>
                <w:sz w:val="20"/>
                <w:szCs w:val="20"/>
                <w:lang w:val="en-GB" w:eastAsia="ja-JP"/>
              </w:rPr>
              <w:t>***</w:t>
            </w:r>
          </w:p>
        </w:tc>
      </w:tr>
      <w:tr w:rsidR="00EB0BEF" w:rsidRPr="007F131A" w14:paraId="519005E2" w14:textId="77777777" w:rsidTr="00A0419B">
        <w:tc>
          <w:tcPr>
            <w:tcW w:w="1160" w:type="dxa"/>
            <w:tcBorders>
              <w:right w:val="nil"/>
            </w:tcBorders>
            <w:tcMar>
              <w:left w:w="28" w:type="dxa"/>
              <w:right w:w="28" w:type="dxa"/>
            </w:tcMar>
          </w:tcPr>
          <w:p w14:paraId="1EDF47B1"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AGE</w:t>
            </w:r>
          </w:p>
        </w:tc>
        <w:tc>
          <w:tcPr>
            <w:tcW w:w="706" w:type="dxa"/>
            <w:tcBorders>
              <w:left w:val="nil"/>
              <w:right w:val="nil"/>
            </w:tcBorders>
            <w:tcMar>
              <w:left w:w="28" w:type="dxa"/>
              <w:right w:w="28" w:type="dxa"/>
            </w:tcMar>
          </w:tcPr>
          <w:p w14:paraId="76CE03F3"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587A7963" w14:textId="77777777" w:rsidR="00EB0BEF" w:rsidRPr="007F131A" w:rsidRDefault="00EB0BEF" w:rsidP="00A0419B">
            <w:pPr>
              <w:spacing w:after="0" w:line="240" w:lineRule="auto"/>
              <w:jc w:val="center"/>
              <w:rPr>
                <w:b/>
                <w:sz w:val="20"/>
                <w:szCs w:val="20"/>
                <w:lang w:val="en-US"/>
              </w:rPr>
            </w:pPr>
            <w:r w:rsidRPr="007F131A">
              <w:rPr>
                <w:lang w:val="en-US"/>
              </w:rPr>
              <w:t>-0.246</w:t>
            </w:r>
          </w:p>
        </w:tc>
        <w:tc>
          <w:tcPr>
            <w:tcW w:w="847" w:type="dxa"/>
            <w:tcBorders>
              <w:left w:val="nil"/>
              <w:right w:val="nil"/>
            </w:tcBorders>
            <w:tcMar>
              <w:left w:w="28" w:type="dxa"/>
              <w:right w:w="28" w:type="dxa"/>
            </w:tcMar>
          </w:tcPr>
          <w:p w14:paraId="6D8FAB65" w14:textId="77777777" w:rsidR="00EB0BEF" w:rsidRPr="007F131A" w:rsidRDefault="00EB0BEF" w:rsidP="00A0419B">
            <w:pPr>
              <w:spacing w:after="0" w:line="240" w:lineRule="auto"/>
              <w:jc w:val="center"/>
              <w:rPr>
                <w:b/>
                <w:sz w:val="20"/>
                <w:szCs w:val="20"/>
                <w:lang w:val="en-US"/>
              </w:rPr>
            </w:pPr>
            <w:r w:rsidRPr="007F131A">
              <w:rPr>
                <w:lang w:val="en-US"/>
              </w:rPr>
              <w:t>0.001</w:t>
            </w:r>
          </w:p>
        </w:tc>
        <w:tc>
          <w:tcPr>
            <w:tcW w:w="704" w:type="dxa"/>
            <w:tcBorders>
              <w:left w:val="nil"/>
            </w:tcBorders>
            <w:tcMar>
              <w:left w:w="28" w:type="dxa"/>
              <w:right w:w="28" w:type="dxa"/>
            </w:tcMar>
          </w:tcPr>
          <w:p w14:paraId="3BAF3921"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893" w:type="dxa"/>
            <w:tcBorders>
              <w:right w:val="nil"/>
            </w:tcBorders>
            <w:tcMar>
              <w:left w:w="28" w:type="dxa"/>
              <w:right w:w="28" w:type="dxa"/>
            </w:tcMar>
          </w:tcPr>
          <w:p w14:paraId="4C2F6F25" w14:textId="77777777" w:rsidR="00EB0BEF" w:rsidRPr="007F131A" w:rsidRDefault="00EB0BEF" w:rsidP="00A0419B">
            <w:pPr>
              <w:spacing w:after="0" w:line="240" w:lineRule="auto"/>
              <w:jc w:val="center"/>
              <w:rPr>
                <w:b/>
                <w:sz w:val="20"/>
                <w:szCs w:val="20"/>
                <w:lang w:val="en-US"/>
              </w:rPr>
            </w:pPr>
            <w:r w:rsidRPr="007F131A">
              <w:rPr>
                <w:lang w:val="en-US"/>
              </w:rPr>
              <w:t>-.0268</w:t>
            </w:r>
          </w:p>
        </w:tc>
        <w:tc>
          <w:tcPr>
            <w:tcW w:w="987" w:type="dxa"/>
            <w:tcBorders>
              <w:left w:val="nil"/>
              <w:right w:val="nil"/>
            </w:tcBorders>
            <w:tcMar>
              <w:left w:w="28" w:type="dxa"/>
              <w:right w:w="28" w:type="dxa"/>
            </w:tcMar>
          </w:tcPr>
          <w:p w14:paraId="52C7B535" w14:textId="77777777" w:rsidR="00EB0BEF" w:rsidRPr="007F131A" w:rsidRDefault="00EB0BEF" w:rsidP="00A0419B">
            <w:pPr>
              <w:spacing w:after="0" w:line="240" w:lineRule="auto"/>
              <w:jc w:val="center"/>
              <w:rPr>
                <w:b/>
                <w:sz w:val="20"/>
                <w:szCs w:val="20"/>
                <w:lang w:val="en-US"/>
              </w:rPr>
            </w:pPr>
            <w:r w:rsidRPr="007F131A">
              <w:rPr>
                <w:lang w:val="en-US"/>
              </w:rPr>
              <w:t>0.003</w:t>
            </w:r>
          </w:p>
        </w:tc>
        <w:tc>
          <w:tcPr>
            <w:tcW w:w="846" w:type="dxa"/>
            <w:tcBorders>
              <w:left w:val="nil"/>
            </w:tcBorders>
            <w:tcMar>
              <w:left w:w="28" w:type="dxa"/>
              <w:right w:w="28" w:type="dxa"/>
            </w:tcMar>
          </w:tcPr>
          <w:p w14:paraId="527F9921"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87" w:type="dxa"/>
            <w:tcBorders>
              <w:right w:val="nil"/>
            </w:tcBorders>
            <w:tcMar>
              <w:left w:w="28" w:type="dxa"/>
              <w:right w:w="28" w:type="dxa"/>
            </w:tcMar>
          </w:tcPr>
          <w:p w14:paraId="04226FE4" w14:textId="77777777" w:rsidR="00EB0BEF" w:rsidRPr="007F131A" w:rsidRDefault="00EB0BEF" w:rsidP="00A0419B">
            <w:pPr>
              <w:spacing w:after="0" w:line="240" w:lineRule="auto"/>
              <w:jc w:val="center"/>
              <w:rPr>
                <w:b/>
                <w:sz w:val="20"/>
                <w:szCs w:val="20"/>
                <w:lang w:val="en-US"/>
              </w:rPr>
            </w:pPr>
            <w:r w:rsidRPr="007F131A">
              <w:rPr>
                <w:lang w:val="en-US"/>
              </w:rPr>
              <w:t>-0.270</w:t>
            </w:r>
          </w:p>
        </w:tc>
        <w:tc>
          <w:tcPr>
            <w:tcW w:w="846" w:type="dxa"/>
            <w:tcBorders>
              <w:left w:val="nil"/>
              <w:right w:val="nil"/>
            </w:tcBorders>
            <w:tcMar>
              <w:left w:w="28" w:type="dxa"/>
              <w:right w:w="28" w:type="dxa"/>
            </w:tcMar>
          </w:tcPr>
          <w:p w14:paraId="382B3CB2" w14:textId="77777777" w:rsidR="00EB0BEF" w:rsidRPr="007F131A" w:rsidRDefault="00EB0BEF" w:rsidP="00A0419B">
            <w:pPr>
              <w:spacing w:after="0" w:line="240" w:lineRule="auto"/>
              <w:jc w:val="center"/>
              <w:rPr>
                <w:b/>
                <w:sz w:val="20"/>
                <w:szCs w:val="20"/>
                <w:lang w:val="en-US"/>
              </w:rPr>
            </w:pPr>
            <w:r w:rsidRPr="007F131A">
              <w:rPr>
                <w:lang w:val="en-US"/>
              </w:rPr>
              <w:t>0.003</w:t>
            </w:r>
          </w:p>
        </w:tc>
        <w:tc>
          <w:tcPr>
            <w:tcW w:w="991" w:type="dxa"/>
            <w:tcBorders>
              <w:left w:val="nil"/>
            </w:tcBorders>
            <w:tcMar>
              <w:left w:w="28" w:type="dxa"/>
              <w:right w:w="28" w:type="dxa"/>
            </w:tcMar>
          </w:tcPr>
          <w:p w14:paraId="6DC43B59"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91" w:type="dxa"/>
            <w:tcBorders>
              <w:right w:val="nil"/>
            </w:tcBorders>
          </w:tcPr>
          <w:p w14:paraId="1C25B880" w14:textId="77777777" w:rsidR="00EB0BEF" w:rsidRPr="007F131A" w:rsidRDefault="00EB0BEF" w:rsidP="00A0419B">
            <w:pPr>
              <w:spacing w:after="0" w:line="240" w:lineRule="auto"/>
              <w:rPr>
                <w:rFonts w:eastAsia="MS Mincho"/>
                <w:sz w:val="20"/>
                <w:szCs w:val="20"/>
                <w:lang w:val="en-GB" w:eastAsia="ja-JP"/>
              </w:rPr>
            </w:pPr>
            <w:r w:rsidRPr="007F131A">
              <w:rPr>
                <w:lang w:val="en-US"/>
              </w:rPr>
              <w:t>-0.296</w:t>
            </w:r>
          </w:p>
        </w:tc>
        <w:tc>
          <w:tcPr>
            <w:tcW w:w="991" w:type="dxa"/>
            <w:tcBorders>
              <w:left w:val="nil"/>
              <w:right w:val="nil"/>
            </w:tcBorders>
          </w:tcPr>
          <w:p w14:paraId="6E23C104" w14:textId="77777777" w:rsidR="00EB0BEF" w:rsidRPr="007F131A" w:rsidRDefault="00EB0BEF" w:rsidP="00A0419B">
            <w:pPr>
              <w:spacing w:after="0" w:line="240" w:lineRule="auto"/>
              <w:rPr>
                <w:rFonts w:eastAsia="MS Mincho"/>
                <w:sz w:val="20"/>
                <w:szCs w:val="20"/>
                <w:lang w:val="en-GB" w:eastAsia="ja-JP"/>
              </w:rPr>
            </w:pPr>
            <w:r w:rsidRPr="007F131A">
              <w:rPr>
                <w:lang w:val="en-US"/>
              </w:rPr>
              <w:t>0.000</w:t>
            </w:r>
          </w:p>
        </w:tc>
        <w:tc>
          <w:tcPr>
            <w:tcW w:w="991" w:type="dxa"/>
            <w:tcBorders>
              <w:left w:val="nil"/>
            </w:tcBorders>
          </w:tcPr>
          <w:p w14:paraId="6CB0B155" w14:textId="77777777" w:rsidR="00EB0BEF" w:rsidRPr="007F131A" w:rsidRDefault="00EB0BEF" w:rsidP="00A0419B">
            <w:pPr>
              <w:spacing w:after="0" w:line="240" w:lineRule="auto"/>
              <w:rPr>
                <w:rFonts w:eastAsia="MS Mincho"/>
                <w:sz w:val="20"/>
                <w:szCs w:val="20"/>
                <w:lang w:val="en-GB" w:eastAsia="ja-JP"/>
              </w:rPr>
            </w:pPr>
            <w:r w:rsidRPr="007F131A">
              <w:rPr>
                <w:rFonts w:eastAsia="MS Mincho"/>
                <w:sz w:val="20"/>
                <w:szCs w:val="20"/>
                <w:lang w:val="en-GB" w:eastAsia="ja-JP"/>
              </w:rPr>
              <w:t>***</w:t>
            </w:r>
          </w:p>
        </w:tc>
      </w:tr>
      <w:tr w:rsidR="00EB0BEF" w:rsidRPr="007F131A" w14:paraId="1FB285C8" w14:textId="77777777" w:rsidTr="00A0419B">
        <w:tc>
          <w:tcPr>
            <w:tcW w:w="1160" w:type="dxa"/>
            <w:tcBorders>
              <w:right w:val="nil"/>
            </w:tcBorders>
            <w:tcMar>
              <w:left w:w="28" w:type="dxa"/>
              <w:right w:w="28" w:type="dxa"/>
            </w:tcMar>
          </w:tcPr>
          <w:p w14:paraId="1D3EA09F"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ROE</w:t>
            </w:r>
          </w:p>
        </w:tc>
        <w:tc>
          <w:tcPr>
            <w:tcW w:w="706" w:type="dxa"/>
            <w:tcBorders>
              <w:left w:val="nil"/>
              <w:right w:val="nil"/>
            </w:tcBorders>
            <w:tcMar>
              <w:left w:w="28" w:type="dxa"/>
              <w:right w:w="28" w:type="dxa"/>
            </w:tcMar>
          </w:tcPr>
          <w:p w14:paraId="06A4AE5C"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76C1B48B"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847" w:type="dxa"/>
            <w:tcBorders>
              <w:left w:val="nil"/>
              <w:right w:val="nil"/>
            </w:tcBorders>
            <w:tcMar>
              <w:left w:w="28" w:type="dxa"/>
              <w:right w:w="28" w:type="dxa"/>
            </w:tcMar>
          </w:tcPr>
          <w:p w14:paraId="00383063"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704" w:type="dxa"/>
            <w:tcBorders>
              <w:left w:val="nil"/>
            </w:tcBorders>
            <w:tcMar>
              <w:left w:w="28" w:type="dxa"/>
              <w:right w:w="28" w:type="dxa"/>
            </w:tcMar>
          </w:tcPr>
          <w:p w14:paraId="06A4EB0F" w14:textId="77777777" w:rsidR="00EB0BEF" w:rsidRPr="007F131A" w:rsidRDefault="00EB0BEF" w:rsidP="00A0419B">
            <w:pPr>
              <w:spacing w:after="0" w:line="240" w:lineRule="auto"/>
              <w:rPr>
                <w:b/>
                <w:sz w:val="20"/>
                <w:szCs w:val="20"/>
                <w:lang w:val="en-US"/>
              </w:rPr>
            </w:pPr>
          </w:p>
        </w:tc>
        <w:tc>
          <w:tcPr>
            <w:tcW w:w="893" w:type="dxa"/>
            <w:tcBorders>
              <w:right w:val="nil"/>
            </w:tcBorders>
            <w:tcMar>
              <w:left w:w="28" w:type="dxa"/>
              <w:right w:w="28" w:type="dxa"/>
            </w:tcMar>
          </w:tcPr>
          <w:p w14:paraId="7FDA4E8D" w14:textId="77777777" w:rsidR="00EB0BEF" w:rsidRPr="007F131A" w:rsidRDefault="00EB0BEF" w:rsidP="00A0419B">
            <w:pPr>
              <w:spacing w:after="0" w:line="240" w:lineRule="auto"/>
              <w:jc w:val="center"/>
              <w:rPr>
                <w:b/>
                <w:sz w:val="20"/>
                <w:szCs w:val="20"/>
                <w:lang w:val="en-US"/>
              </w:rPr>
            </w:pPr>
            <w:r w:rsidRPr="007F131A">
              <w:rPr>
                <w:lang w:val="en-US"/>
              </w:rPr>
              <w:t>0.009</w:t>
            </w:r>
          </w:p>
        </w:tc>
        <w:tc>
          <w:tcPr>
            <w:tcW w:w="987" w:type="dxa"/>
            <w:tcBorders>
              <w:left w:val="nil"/>
              <w:right w:val="nil"/>
            </w:tcBorders>
            <w:tcMar>
              <w:left w:w="28" w:type="dxa"/>
              <w:right w:w="28" w:type="dxa"/>
            </w:tcMar>
          </w:tcPr>
          <w:p w14:paraId="750476F5" w14:textId="77777777" w:rsidR="00EB0BEF" w:rsidRPr="007F131A" w:rsidRDefault="00EB0BEF" w:rsidP="00A0419B">
            <w:pPr>
              <w:spacing w:after="0" w:line="240" w:lineRule="auto"/>
              <w:jc w:val="center"/>
              <w:rPr>
                <w:b/>
                <w:sz w:val="20"/>
                <w:szCs w:val="20"/>
                <w:lang w:val="en-US"/>
              </w:rPr>
            </w:pPr>
            <w:r w:rsidRPr="007F131A">
              <w:rPr>
                <w:lang w:val="en-US"/>
              </w:rPr>
              <w:t>0.008</w:t>
            </w:r>
          </w:p>
        </w:tc>
        <w:tc>
          <w:tcPr>
            <w:tcW w:w="846" w:type="dxa"/>
            <w:tcBorders>
              <w:left w:val="nil"/>
            </w:tcBorders>
            <w:tcMar>
              <w:left w:w="28" w:type="dxa"/>
              <w:right w:w="28" w:type="dxa"/>
            </w:tcMar>
          </w:tcPr>
          <w:p w14:paraId="4754991A" w14:textId="77777777" w:rsidR="00EB0BEF" w:rsidRPr="007F131A" w:rsidRDefault="00EB0BEF" w:rsidP="00A0419B">
            <w:pPr>
              <w:spacing w:after="0" w:line="240" w:lineRule="auto"/>
              <w:rPr>
                <w:b/>
                <w:sz w:val="20"/>
                <w:szCs w:val="20"/>
                <w:lang w:val="en-US"/>
              </w:rPr>
            </w:pPr>
            <w:r w:rsidRPr="007F131A">
              <w:rPr>
                <w:b/>
                <w:sz w:val="20"/>
                <w:szCs w:val="20"/>
                <w:lang w:val="en-US"/>
              </w:rPr>
              <w:t>***</w:t>
            </w:r>
          </w:p>
        </w:tc>
        <w:tc>
          <w:tcPr>
            <w:tcW w:w="987" w:type="dxa"/>
            <w:tcBorders>
              <w:right w:val="nil"/>
            </w:tcBorders>
            <w:tcMar>
              <w:left w:w="28" w:type="dxa"/>
              <w:right w:w="28" w:type="dxa"/>
            </w:tcMar>
          </w:tcPr>
          <w:p w14:paraId="13825D47"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846" w:type="dxa"/>
            <w:tcBorders>
              <w:left w:val="nil"/>
              <w:right w:val="nil"/>
            </w:tcBorders>
            <w:tcMar>
              <w:left w:w="28" w:type="dxa"/>
              <w:right w:w="28" w:type="dxa"/>
            </w:tcMar>
          </w:tcPr>
          <w:p w14:paraId="0B4136AD" w14:textId="77777777" w:rsidR="00EB0BEF" w:rsidRPr="007F131A" w:rsidRDefault="00EB0BEF" w:rsidP="00A0419B">
            <w:pPr>
              <w:spacing w:after="0" w:line="240" w:lineRule="auto"/>
              <w:jc w:val="center"/>
              <w:rPr>
                <w:b/>
                <w:sz w:val="20"/>
                <w:szCs w:val="20"/>
                <w:lang w:val="en-US"/>
              </w:rPr>
            </w:pPr>
            <w:r w:rsidRPr="007F131A">
              <w:rPr>
                <w:b/>
                <w:sz w:val="20"/>
                <w:szCs w:val="20"/>
                <w:lang w:val="en-US"/>
              </w:rPr>
              <w:t>---</w:t>
            </w:r>
          </w:p>
        </w:tc>
        <w:tc>
          <w:tcPr>
            <w:tcW w:w="991" w:type="dxa"/>
            <w:tcBorders>
              <w:left w:val="nil"/>
            </w:tcBorders>
            <w:tcMar>
              <w:left w:w="28" w:type="dxa"/>
              <w:right w:w="28" w:type="dxa"/>
            </w:tcMar>
          </w:tcPr>
          <w:p w14:paraId="5FDB4211" w14:textId="77777777" w:rsidR="00EB0BEF" w:rsidRPr="007F131A" w:rsidRDefault="00EB0BEF" w:rsidP="00A0419B">
            <w:pPr>
              <w:spacing w:after="0" w:line="240" w:lineRule="auto"/>
              <w:rPr>
                <w:b/>
                <w:sz w:val="20"/>
                <w:szCs w:val="20"/>
                <w:lang w:val="en-US"/>
              </w:rPr>
            </w:pPr>
          </w:p>
        </w:tc>
        <w:tc>
          <w:tcPr>
            <w:tcW w:w="991" w:type="dxa"/>
            <w:tcBorders>
              <w:right w:val="nil"/>
            </w:tcBorders>
          </w:tcPr>
          <w:p w14:paraId="7982815B" w14:textId="77777777" w:rsidR="00EB0BEF" w:rsidRPr="007F131A" w:rsidRDefault="00EB0BEF" w:rsidP="00A0419B">
            <w:pPr>
              <w:spacing w:after="0" w:line="240" w:lineRule="auto"/>
              <w:jc w:val="center"/>
              <w:rPr>
                <w:b/>
                <w:sz w:val="20"/>
                <w:szCs w:val="20"/>
                <w:lang w:val="en-US"/>
              </w:rPr>
            </w:pPr>
            <w:r w:rsidRPr="007F131A">
              <w:rPr>
                <w:lang w:val="en-US"/>
              </w:rPr>
              <w:t>0.014</w:t>
            </w:r>
          </w:p>
        </w:tc>
        <w:tc>
          <w:tcPr>
            <w:tcW w:w="991" w:type="dxa"/>
            <w:tcBorders>
              <w:left w:val="nil"/>
              <w:right w:val="nil"/>
            </w:tcBorders>
          </w:tcPr>
          <w:p w14:paraId="1EA97194" w14:textId="77777777" w:rsidR="00EB0BEF" w:rsidRPr="007F131A" w:rsidRDefault="00EB0BEF" w:rsidP="00A0419B">
            <w:pPr>
              <w:spacing w:after="0" w:line="240" w:lineRule="auto"/>
              <w:jc w:val="center"/>
              <w:rPr>
                <w:b/>
                <w:sz w:val="20"/>
                <w:szCs w:val="20"/>
                <w:lang w:val="en-US"/>
              </w:rPr>
            </w:pPr>
            <w:r w:rsidRPr="007F131A">
              <w:rPr>
                <w:lang w:val="en-US"/>
              </w:rPr>
              <w:t>0.000</w:t>
            </w:r>
          </w:p>
        </w:tc>
        <w:tc>
          <w:tcPr>
            <w:tcW w:w="991" w:type="dxa"/>
            <w:tcBorders>
              <w:left w:val="nil"/>
            </w:tcBorders>
          </w:tcPr>
          <w:p w14:paraId="6576F56F" w14:textId="77777777" w:rsidR="00EB0BEF" w:rsidRPr="007F131A" w:rsidRDefault="00EB0BEF" w:rsidP="00A0419B">
            <w:pPr>
              <w:spacing w:after="0" w:line="240" w:lineRule="auto"/>
              <w:rPr>
                <w:b/>
                <w:sz w:val="20"/>
                <w:szCs w:val="20"/>
                <w:lang w:val="en-US"/>
              </w:rPr>
            </w:pPr>
            <w:r w:rsidRPr="007F131A">
              <w:rPr>
                <w:b/>
                <w:sz w:val="20"/>
                <w:szCs w:val="20"/>
                <w:lang w:val="en-US"/>
              </w:rPr>
              <w:t>***</w:t>
            </w:r>
          </w:p>
        </w:tc>
      </w:tr>
      <w:tr w:rsidR="00EB0BEF" w:rsidRPr="007F131A" w14:paraId="273DE568" w14:textId="77777777" w:rsidTr="00A0419B">
        <w:tc>
          <w:tcPr>
            <w:tcW w:w="1160" w:type="dxa"/>
            <w:tcBorders>
              <w:right w:val="nil"/>
            </w:tcBorders>
            <w:tcMar>
              <w:left w:w="28" w:type="dxa"/>
              <w:right w:w="28" w:type="dxa"/>
            </w:tcMar>
          </w:tcPr>
          <w:p w14:paraId="1EC3170F" w14:textId="77777777" w:rsidR="00EB0BEF" w:rsidRPr="007F131A" w:rsidRDefault="00EB0BEF" w:rsidP="00A0419B">
            <w:pPr>
              <w:spacing w:after="0" w:line="240" w:lineRule="auto"/>
              <w:rPr>
                <w:rFonts w:eastAsia="MS Mincho"/>
                <w:b/>
                <w:sz w:val="20"/>
                <w:szCs w:val="20"/>
                <w:lang w:val="en-GB" w:eastAsia="ja-JP"/>
              </w:rPr>
            </w:pPr>
            <w:r w:rsidRPr="007F131A">
              <w:rPr>
                <w:rFonts w:eastAsia="MS Mincho"/>
                <w:b/>
                <w:sz w:val="20"/>
                <w:szCs w:val="20"/>
                <w:lang w:val="en-GB" w:eastAsia="ja-JP"/>
              </w:rPr>
              <w:t>ROA</w:t>
            </w:r>
          </w:p>
        </w:tc>
        <w:tc>
          <w:tcPr>
            <w:tcW w:w="706" w:type="dxa"/>
            <w:tcBorders>
              <w:left w:val="nil"/>
              <w:right w:val="nil"/>
            </w:tcBorders>
            <w:tcMar>
              <w:left w:w="28" w:type="dxa"/>
              <w:right w:w="28" w:type="dxa"/>
            </w:tcMar>
          </w:tcPr>
          <w:p w14:paraId="3D586647" w14:textId="77777777" w:rsidR="00EB0BEF" w:rsidRPr="007F131A" w:rsidRDefault="00EB0BEF" w:rsidP="00A0419B">
            <w:pPr>
              <w:spacing w:after="0" w:line="240" w:lineRule="auto"/>
              <w:jc w:val="center"/>
              <w:rPr>
                <w:rFonts w:eastAsia="MS Mincho"/>
                <w:sz w:val="20"/>
                <w:szCs w:val="20"/>
                <w:lang w:val="en-GB" w:eastAsia="ja-JP"/>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035884BE" w14:textId="77777777" w:rsidR="00EB0BEF" w:rsidRPr="007F131A" w:rsidRDefault="00EB0BEF" w:rsidP="00A0419B">
            <w:pPr>
              <w:spacing w:after="0" w:line="240" w:lineRule="auto"/>
              <w:jc w:val="center"/>
              <w:rPr>
                <w:b/>
                <w:sz w:val="20"/>
                <w:szCs w:val="20"/>
                <w:lang w:val="en-US"/>
              </w:rPr>
            </w:pPr>
            <w:r w:rsidRPr="007F131A">
              <w:t>0.949</w:t>
            </w:r>
          </w:p>
        </w:tc>
        <w:tc>
          <w:tcPr>
            <w:tcW w:w="847" w:type="dxa"/>
            <w:tcBorders>
              <w:left w:val="nil"/>
              <w:right w:val="nil"/>
            </w:tcBorders>
            <w:tcMar>
              <w:left w:w="28" w:type="dxa"/>
              <w:right w:w="28" w:type="dxa"/>
            </w:tcMar>
          </w:tcPr>
          <w:p w14:paraId="75E9236B" w14:textId="77777777" w:rsidR="00EB0BEF" w:rsidRPr="007F131A" w:rsidRDefault="00EB0BEF" w:rsidP="00A0419B">
            <w:pPr>
              <w:spacing w:after="0" w:line="240" w:lineRule="auto"/>
              <w:jc w:val="center"/>
              <w:rPr>
                <w:b/>
                <w:sz w:val="20"/>
                <w:szCs w:val="20"/>
                <w:lang w:val="en-US"/>
              </w:rPr>
            </w:pPr>
            <w:r w:rsidRPr="007F131A">
              <w:t>0.111</w:t>
            </w:r>
          </w:p>
        </w:tc>
        <w:tc>
          <w:tcPr>
            <w:tcW w:w="704" w:type="dxa"/>
            <w:tcBorders>
              <w:left w:val="nil"/>
            </w:tcBorders>
            <w:tcMar>
              <w:left w:w="28" w:type="dxa"/>
              <w:right w:w="28" w:type="dxa"/>
            </w:tcMar>
          </w:tcPr>
          <w:p w14:paraId="0C00BB22" w14:textId="77777777" w:rsidR="00EB0BEF" w:rsidRPr="007F131A" w:rsidRDefault="00EB0BEF" w:rsidP="00A0419B">
            <w:pPr>
              <w:spacing w:after="0" w:line="240" w:lineRule="auto"/>
              <w:rPr>
                <w:b/>
                <w:sz w:val="20"/>
                <w:szCs w:val="20"/>
                <w:lang w:val="en-US"/>
              </w:rPr>
            </w:pPr>
          </w:p>
        </w:tc>
        <w:tc>
          <w:tcPr>
            <w:tcW w:w="893" w:type="dxa"/>
            <w:tcBorders>
              <w:right w:val="nil"/>
            </w:tcBorders>
            <w:tcMar>
              <w:left w:w="28" w:type="dxa"/>
              <w:right w:w="28" w:type="dxa"/>
            </w:tcMar>
          </w:tcPr>
          <w:p w14:paraId="1317B330" w14:textId="77777777" w:rsidR="00EB0BEF" w:rsidRPr="007F131A" w:rsidRDefault="00EB0BEF" w:rsidP="00A0419B">
            <w:pPr>
              <w:spacing w:after="0" w:line="240" w:lineRule="auto"/>
              <w:jc w:val="center"/>
              <w:rPr>
                <w:rFonts w:eastAsia="MS Mincho"/>
                <w:sz w:val="20"/>
                <w:szCs w:val="20"/>
                <w:lang w:val="en-GB" w:eastAsia="ja-JP"/>
              </w:rPr>
            </w:pPr>
            <w:r w:rsidRPr="007F131A">
              <w:rPr>
                <w:rFonts w:eastAsia="MS Mincho"/>
                <w:sz w:val="20"/>
                <w:szCs w:val="20"/>
                <w:lang w:val="en-GB" w:eastAsia="ja-JP"/>
              </w:rPr>
              <w:t>---</w:t>
            </w:r>
          </w:p>
        </w:tc>
        <w:tc>
          <w:tcPr>
            <w:tcW w:w="987" w:type="dxa"/>
            <w:tcBorders>
              <w:left w:val="nil"/>
              <w:right w:val="nil"/>
            </w:tcBorders>
            <w:tcMar>
              <w:left w:w="28" w:type="dxa"/>
              <w:right w:w="28" w:type="dxa"/>
            </w:tcMar>
          </w:tcPr>
          <w:p w14:paraId="0F41F5E2" w14:textId="77777777" w:rsidR="00EB0BEF" w:rsidRPr="007F131A" w:rsidRDefault="00EB0BEF" w:rsidP="00A0419B">
            <w:pPr>
              <w:spacing w:after="0" w:line="240" w:lineRule="auto"/>
              <w:jc w:val="center"/>
              <w:rPr>
                <w:rFonts w:eastAsia="MS Mincho"/>
                <w:sz w:val="20"/>
                <w:szCs w:val="20"/>
                <w:lang w:val="en-GB" w:eastAsia="ja-JP"/>
              </w:rPr>
            </w:pPr>
            <w:r w:rsidRPr="007F131A">
              <w:rPr>
                <w:rFonts w:eastAsia="MS Mincho"/>
                <w:sz w:val="20"/>
                <w:szCs w:val="20"/>
                <w:lang w:val="en-GB" w:eastAsia="ja-JP"/>
              </w:rPr>
              <w:t>---</w:t>
            </w:r>
          </w:p>
        </w:tc>
        <w:tc>
          <w:tcPr>
            <w:tcW w:w="846" w:type="dxa"/>
            <w:tcBorders>
              <w:left w:val="nil"/>
            </w:tcBorders>
            <w:tcMar>
              <w:left w:w="28" w:type="dxa"/>
              <w:right w:w="28" w:type="dxa"/>
            </w:tcMar>
          </w:tcPr>
          <w:p w14:paraId="7082907A" w14:textId="77777777" w:rsidR="00EB0BEF" w:rsidRPr="007F131A" w:rsidRDefault="00EB0BEF" w:rsidP="00A0419B">
            <w:pPr>
              <w:spacing w:after="0" w:line="240" w:lineRule="auto"/>
              <w:rPr>
                <w:rFonts w:eastAsia="MS Mincho"/>
                <w:sz w:val="20"/>
                <w:szCs w:val="20"/>
                <w:lang w:val="en-GB" w:eastAsia="ja-JP"/>
              </w:rPr>
            </w:pPr>
          </w:p>
        </w:tc>
        <w:tc>
          <w:tcPr>
            <w:tcW w:w="987" w:type="dxa"/>
            <w:tcBorders>
              <w:right w:val="nil"/>
            </w:tcBorders>
            <w:tcMar>
              <w:left w:w="28" w:type="dxa"/>
              <w:right w:w="28" w:type="dxa"/>
            </w:tcMar>
          </w:tcPr>
          <w:p w14:paraId="5BED8D0F" w14:textId="77777777" w:rsidR="00EB0BEF" w:rsidRPr="007F131A" w:rsidRDefault="00EB0BEF" w:rsidP="00A0419B">
            <w:pPr>
              <w:spacing w:after="0" w:line="240" w:lineRule="auto"/>
              <w:jc w:val="center"/>
              <w:rPr>
                <w:rFonts w:eastAsia="MS Mincho"/>
                <w:sz w:val="20"/>
                <w:szCs w:val="20"/>
                <w:lang w:val="en-GB" w:eastAsia="ja-JP"/>
              </w:rPr>
            </w:pPr>
            <w:r w:rsidRPr="007F131A">
              <w:t>0.022</w:t>
            </w:r>
          </w:p>
        </w:tc>
        <w:tc>
          <w:tcPr>
            <w:tcW w:w="846" w:type="dxa"/>
            <w:tcBorders>
              <w:left w:val="nil"/>
              <w:right w:val="nil"/>
            </w:tcBorders>
            <w:tcMar>
              <w:left w:w="28" w:type="dxa"/>
              <w:right w:w="28" w:type="dxa"/>
            </w:tcMar>
          </w:tcPr>
          <w:p w14:paraId="4349524A" w14:textId="77777777" w:rsidR="00EB0BEF" w:rsidRPr="007F131A" w:rsidRDefault="00EB0BEF" w:rsidP="00A0419B">
            <w:pPr>
              <w:spacing w:after="0" w:line="240" w:lineRule="auto"/>
              <w:jc w:val="center"/>
              <w:rPr>
                <w:rFonts w:eastAsia="MS Mincho"/>
                <w:sz w:val="20"/>
                <w:szCs w:val="20"/>
                <w:lang w:val="en-GB" w:eastAsia="ja-JP"/>
              </w:rPr>
            </w:pPr>
            <w:r w:rsidRPr="007F131A">
              <w:t>0.976</w:t>
            </w:r>
          </w:p>
        </w:tc>
        <w:tc>
          <w:tcPr>
            <w:tcW w:w="991" w:type="dxa"/>
            <w:tcBorders>
              <w:left w:val="nil"/>
            </w:tcBorders>
            <w:tcMar>
              <w:left w:w="28" w:type="dxa"/>
              <w:right w:w="28" w:type="dxa"/>
            </w:tcMar>
          </w:tcPr>
          <w:p w14:paraId="6EE6B28D" w14:textId="77777777" w:rsidR="00EB0BEF" w:rsidRPr="007F131A" w:rsidRDefault="00EB0BEF" w:rsidP="00A0419B">
            <w:pPr>
              <w:spacing w:after="0" w:line="240" w:lineRule="auto"/>
              <w:rPr>
                <w:b/>
                <w:sz w:val="20"/>
                <w:szCs w:val="20"/>
                <w:lang w:val="en-US"/>
              </w:rPr>
            </w:pPr>
          </w:p>
        </w:tc>
        <w:tc>
          <w:tcPr>
            <w:tcW w:w="991" w:type="dxa"/>
            <w:tcBorders>
              <w:right w:val="nil"/>
            </w:tcBorders>
          </w:tcPr>
          <w:p w14:paraId="235CCAFA" w14:textId="77777777" w:rsidR="00EB0BEF" w:rsidRPr="007F131A" w:rsidRDefault="00EB0BEF" w:rsidP="00A0419B">
            <w:pPr>
              <w:spacing w:after="0" w:line="240" w:lineRule="auto"/>
              <w:rPr>
                <w:b/>
                <w:sz w:val="20"/>
                <w:szCs w:val="20"/>
                <w:lang w:val="en-US"/>
              </w:rPr>
            </w:pPr>
            <w:r w:rsidRPr="007F131A">
              <w:rPr>
                <w:sz w:val="20"/>
                <w:szCs w:val="20"/>
                <w:lang w:val="en-US"/>
              </w:rPr>
              <w:t>---</w:t>
            </w:r>
          </w:p>
        </w:tc>
        <w:tc>
          <w:tcPr>
            <w:tcW w:w="991" w:type="dxa"/>
            <w:tcBorders>
              <w:left w:val="nil"/>
              <w:right w:val="nil"/>
            </w:tcBorders>
          </w:tcPr>
          <w:p w14:paraId="39E3A71F" w14:textId="77777777" w:rsidR="00EB0BEF" w:rsidRPr="007F131A" w:rsidRDefault="00EB0BEF" w:rsidP="00A0419B">
            <w:pPr>
              <w:spacing w:after="0" w:line="240" w:lineRule="auto"/>
              <w:rPr>
                <w:b/>
                <w:sz w:val="20"/>
                <w:szCs w:val="20"/>
                <w:lang w:val="en-US"/>
              </w:rPr>
            </w:pPr>
            <w:r w:rsidRPr="007F131A">
              <w:rPr>
                <w:sz w:val="20"/>
                <w:szCs w:val="20"/>
                <w:lang w:val="en-US"/>
              </w:rPr>
              <w:t>---</w:t>
            </w:r>
          </w:p>
        </w:tc>
        <w:tc>
          <w:tcPr>
            <w:tcW w:w="991" w:type="dxa"/>
            <w:tcBorders>
              <w:left w:val="nil"/>
            </w:tcBorders>
          </w:tcPr>
          <w:p w14:paraId="6D8F22FB" w14:textId="77777777" w:rsidR="00EB0BEF" w:rsidRPr="007F131A" w:rsidRDefault="00EB0BEF" w:rsidP="00A0419B">
            <w:pPr>
              <w:spacing w:after="0" w:line="240" w:lineRule="auto"/>
              <w:rPr>
                <w:b/>
                <w:sz w:val="20"/>
                <w:szCs w:val="20"/>
                <w:lang w:val="en-US"/>
              </w:rPr>
            </w:pPr>
          </w:p>
        </w:tc>
      </w:tr>
      <w:tr w:rsidR="00EB0BEF" w:rsidRPr="007F131A" w14:paraId="7A9ED583" w14:textId="77777777" w:rsidTr="00A0419B">
        <w:tc>
          <w:tcPr>
            <w:tcW w:w="1160" w:type="dxa"/>
            <w:tcBorders>
              <w:right w:val="nil"/>
            </w:tcBorders>
            <w:tcMar>
              <w:left w:w="28" w:type="dxa"/>
              <w:right w:w="28" w:type="dxa"/>
            </w:tcMar>
          </w:tcPr>
          <w:p w14:paraId="0C9681C1"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DE</w:t>
            </w:r>
          </w:p>
        </w:tc>
        <w:tc>
          <w:tcPr>
            <w:tcW w:w="706" w:type="dxa"/>
            <w:tcBorders>
              <w:left w:val="nil"/>
              <w:right w:val="nil"/>
            </w:tcBorders>
            <w:tcMar>
              <w:left w:w="28" w:type="dxa"/>
              <w:right w:w="28" w:type="dxa"/>
            </w:tcMar>
          </w:tcPr>
          <w:p w14:paraId="04FC7AB8"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64FCA1C2" w14:textId="77777777" w:rsidR="00EB0BEF" w:rsidRPr="007F131A" w:rsidRDefault="00EB0BEF" w:rsidP="00A0419B">
            <w:pPr>
              <w:spacing w:after="0" w:line="240" w:lineRule="auto"/>
              <w:jc w:val="center"/>
              <w:rPr>
                <w:b/>
                <w:sz w:val="20"/>
                <w:szCs w:val="20"/>
                <w:lang w:val="en-US"/>
              </w:rPr>
            </w:pPr>
            <w:r w:rsidRPr="007F131A">
              <w:t>0.061</w:t>
            </w:r>
          </w:p>
        </w:tc>
        <w:tc>
          <w:tcPr>
            <w:tcW w:w="847" w:type="dxa"/>
            <w:tcBorders>
              <w:left w:val="nil"/>
              <w:right w:val="nil"/>
            </w:tcBorders>
            <w:tcMar>
              <w:left w:w="28" w:type="dxa"/>
              <w:right w:w="28" w:type="dxa"/>
            </w:tcMar>
          </w:tcPr>
          <w:p w14:paraId="4AD6832A" w14:textId="77777777" w:rsidR="00EB0BEF" w:rsidRPr="007F131A" w:rsidRDefault="00EB0BEF" w:rsidP="00A0419B">
            <w:pPr>
              <w:spacing w:after="0" w:line="240" w:lineRule="auto"/>
              <w:jc w:val="center"/>
              <w:rPr>
                <w:b/>
                <w:sz w:val="20"/>
                <w:szCs w:val="20"/>
                <w:lang w:val="en-US"/>
              </w:rPr>
            </w:pPr>
            <w:r w:rsidRPr="007F131A">
              <w:t>0.000</w:t>
            </w:r>
          </w:p>
        </w:tc>
        <w:tc>
          <w:tcPr>
            <w:tcW w:w="704" w:type="dxa"/>
            <w:tcBorders>
              <w:left w:val="nil"/>
            </w:tcBorders>
            <w:tcMar>
              <w:left w:w="28" w:type="dxa"/>
              <w:right w:w="28" w:type="dxa"/>
            </w:tcMar>
          </w:tcPr>
          <w:p w14:paraId="2272CD7B" w14:textId="77777777" w:rsidR="00EB0BEF" w:rsidRPr="007F131A" w:rsidRDefault="00EB0BEF" w:rsidP="00A0419B">
            <w:pPr>
              <w:spacing w:after="0" w:line="240" w:lineRule="auto"/>
              <w:rPr>
                <w:b/>
                <w:sz w:val="20"/>
                <w:szCs w:val="20"/>
                <w:lang w:val="en-US"/>
              </w:rPr>
            </w:pPr>
            <w:r w:rsidRPr="007F131A">
              <w:rPr>
                <w:b/>
                <w:sz w:val="20"/>
                <w:szCs w:val="20"/>
                <w:lang w:val="en-US"/>
              </w:rPr>
              <w:t>***</w:t>
            </w:r>
          </w:p>
        </w:tc>
        <w:tc>
          <w:tcPr>
            <w:tcW w:w="893" w:type="dxa"/>
            <w:tcBorders>
              <w:right w:val="nil"/>
            </w:tcBorders>
            <w:tcMar>
              <w:left w:w="28" w:type="dxa"/>
              <w:right w:w="28" w:type="dxa"/>
            </w:tcMar>
          </w:tcPr>
          <w:p w14:paraId="2941BEC1" w14:textId="77777777" w:rsidR="00EB0BEF" w:rsidRPr="007F131A" w:rsidRDefault="00EB0BEF" w:rsidP="00A0419B">
            <w:pPr>
              <w:spacing w:after="0" w:line="240" w:lineRule="auto"/>
              <w:jc w:val="center"/>
              <w:rPr>
                <w:b/>
                <w:sz w:val="20"/>
                <w:szCs w:val="20"/>
                <w:lang w:val="en-US"/>
              </w:rPr>
            </w:pPr>
            <w:r w:rsidRPr="007F131A">
              <w:rPr>
                <w:lang w:val="en-US"/>
              </w:rPr>
              <w:t>0.578</w:t>
            </w:r>
          </w:p>
        </w:tc>
        <w:tc>
          <w:tcPr>
            <w:tcW w:w="987" w:type="dxa"/>
            <w:tcBorders>
              <w:left w:val="nil"/>
              <w:right w:val="nil"/>
            </w:tcBorders>
            <w:tcMar>
              <w:left w:w="28" w:type="dxa"/>
              <w:right w:w="28" w:type="dxa"/>
            </w:tcMar>
          </w:tcPr>
          <w:p w14:paraId="5A3FA823" w14:textId="77777777" w:rsidR="00EB0BEF" w:rsidRPr="007F131A" w:rsidRDefault="00EB0BEF" w:rsidP="00A0419B">
            <w:pPr>
              <w:spacing w:after="0" w:line="240" w:lineRule="auto"/>
              <w:jc w:val="center"/>
              <w:rPr>
                <w:b/>
                <w:sz w:val="20"/>
                <w:szCs w:val="20"/>
                <w:lang w:val="en-US"/>
              </w:rPr>
            </w:pPr>
            <w:r w:rsidRPr="007F131A">
              <w:rPr>
                <w:lang w:val="en-US"/>
              </w:rPr>
              <w:t>0.001</w:t>
            </w:r>
          </w:p>
        </w:tc>
        <w:tc>
          <w:tcPr>
            <w:tcW w:w="846" w:type="dxa"/>
            <w:tcBorders>
              <w:left w:val="nil"/>
            </w:tcBorders>
            <w:tcMar>
              <w:left w:w="28" w:type="dxa"/>
              <w:right w:w="28" w:type="dxa"/>
            </w:tcMar>
          </w:tcPr>
          <w:p w14:paraId="57221F21" w14:textId="77777777" w:rsidR="00EB0BEF" w:rsidRPr="007F131A" w:rsidRDefault="00EB0BEF" w:rsidP="00A0419B">
            <w:pPr>
              <w:spacing w:after="0" w:line="240" w:lineRule="auto"/>
              <w:rPr>
                <w:b/>
                <w:sz w:val="20"/>
                <w:szCs w:val="20"/>
                <w:lang w:val="en-US"/>
              </w:rPr>
            </w:pPr>
            <w:r w:rsidRPr="007F131A">
              <w:rPr>
                <w:b/>
                <w:sz w:val="20"/>
                <w:szCs w:val="20"/>
                <w:lang w:val="en-US"/>
              </w:rPr>
              <w:t>***</w:t>
            </w:r>
          </w:p>
        </w:tc>
        <w:tc>
          <w:tcPr>
            <w:tcW w:w="987" w:type="dxa"/>
            <w:tcBorders>
              <w:right w:val="nil"/>
            </w:tcBorders>
            <w:tcMar>
              <w:left w:w="28" w:type="dxa"/>
              <w:right w:w="28" w:type="dxa"/>
            </w:tcMar>
          </w:tcPr>
          <w:p w14:paraId="53111BB7" w14:textId="77777777" w:rsidR="00EB0BEF" w:rsidRPr="007F131A" w:rsidRDefault="00EB0BEF" w:rsidP="00A0419B">
            <w:pPr>
              <w:spacing w:after="0" w:line="240" w:lineRule="auto"/>
              <w:jc w:val="center"/>
              <w:rPr>
                <w:b/>
                <w:sz w:val="20"/>
                <w:szCs w:val="20"/>
                <w:lang w:val="en-US"/>
              </w:rPr>
            </w:pPr>
            <w:r w:rsidRPr="007F131A">
              <w:t>0.026</w:t>
            </w:r>
          </w:p>
        </w:tc>
        <w:tc>
          <w:tcPr>
            <w:tcW w:w="846" w:type="dxa"/>
            <w:tcBorders>
              <w:left w:val="nil"/>
              <w:right w:val="nil"/>
            </w:tcBorders>
            <w:tcMar>
              <w:left w:w="28" w:type="dxa"/>
              <w:right w:w="28" w:type="dxa"/>
            </w:tcMar>
          </w:tcPr>
          <w:p w14:paraId="52611671" w14:textId="77777777" w:rsidR="00EB0BEF" w:rsidRPr="007F131A" w:rsidRDefault="00EB0BEF" w:rsidP="00A0419B">
            <w:pPr>
              <w:spacing w:after="0" w:line="240" w:lineRule="auto"/>
              <w:jc w:val="center"/>
              <w:rPr>
                <w:b/>
                <w:sz w:val="20"/>
                <w:szCs w:val="20"/>
                <w:lang w:val="en-US"/>
              </w:rPr>
            </w:pPr>
            <w:r w:rsidRPr="007F131A">
              <w:t>0.040</w:t>
            </w:r>
          </w:p>
        </w:tc>
        <w:tc>
          <w:tcPr>
            <w:tcW w:w="991" w:type="dxa"/>
            <w:tcBorders>
              <w:left w:val="nil"/>
            </w:tcBorders>
            <w:tcMar>
              <w:left w:w="28" w:type="dxa"/>
              <w:right w:w="28" w:type="dxa"/>
            </w:tcMar>
          </w:tcPr>
          <w:p w14:paraId="71A6DA85" w14:textId="77777777" w:rsidR="00EB0BEF" w:rsidRPr="007F131A" w:rsidRDefault="00EB0BEF" w:rsidP="00A0419B">
            <w:pPr>
              <w:spacing w:after="0" w:line="240" w:lineRule="auto"/>
              <w:rPr>
                <w:b/>
                <w:sz w:val="20"/>
                <w:szCs w:val="20"/>
                <w:lang w:val="en-US"/>
              </w:rPr>
            </w:pPr>
            <w:r w:rsidRPr="007F131A">
              <w:rPr>
                <w:b/>
                <w:sz w:val="20"/>
                <w:szCs w:val="20"/>
                <w:lang w:val="en-US"/>
              </w:rPr>
              <w:t>**</w:t>
            </w:r>
          </w:p>
        </w:tc>
        <w:tc>
          <w:tcPr>
            <w:tcW w:w="991" w:type="dxa"/>
            <w:tcBorders>
              <w:right w:val="nil"/>
            </w:tcBorders>
          </w:tcPr>
          <w:p w14:paraId="291A089E" w14:textId="77777777" w:rsidR="00EB0BEF" w:rsidRPr="007F131A" w:rsidRDefault="00EB0BEF" w:rsidP="00A0419B">
            <w:pPr>
              <w:spacing w:after="0" w:line="240" w:lineRule="auto"/>
              <w:rPr>
                <w:b/>
                <w:sz w:val="20"/>
                <w:szCs w:val="20"/>
                <w:lang w:val="en-US"/>
              </w:rPr>
            </w:pPr>
            <w:r w:rsidRPr="007F131A">
              <w:rPr>
                <w:lang w:val="en-US"/>
              </w:rPr>
              <w:t>0.060</w:t>
            </w:r>
          </w:p>
        </w:tc>
        <w:tc>
          <w:tcPr>
            <w:tcW w:w="991" w:type="dxa"/>
            <w:tcBorders>
              <w:left w:val="nil"/>
              <w:right w:val="nil"/>
            </w:tcBorders>
          </w:tcPr>
          <w:p w14:paraId="66C9693E" w14:textId="77777777" w:rsidR="00EB0BEF" w:rsidRPr="007F131A" w:rsidRDefault="00EB0BEF" w:rsidP="00A0419B">
            <w:pPr>
              <w:spacing w:after="0" w:line="240" w:lineRule="auto"/>
              <w:rPr>
                <w:b/>
                <w:sz w:val="20"/>
                <w:szCs w:val="20"/>
                <w:lang w:val="en-US"/>
              </w:rPr>
            </w:pPr>
            <w:r w:rsidRPr="007F131A">
              <w:rPr>
                <w:lang w:val="en-US"/>
              </w:rPr>
              <w:t>0.000</w:t>
            </w:r>
          </w:p>
        </w:tc>
        <w:tc>
          <w:tcPr>
            <w:tcW w:w="991" w:type="dxa"/>
            <w:tcBorders>
              <w:left w:val="nil"/>
            </w:tcBorders>
          </w:tcPr>
          <w:p w14:paraId="57D7532D" w14:textId="77777777" w:rsidR="00EB0BEF" w:rsidRPr="007F131A" w:rsidRDefault="00EB0BEF" w:rsidP="00A0419B">
            <w:pPr>
              <w:spacing w:after="0" w:line="240" w:lineRule="auto"/>
              <w:rPr>
                <w:b/>
                <w:sz w:val="20"/>
                <w:szCs w:val="20"/>
                <w:lang w:val="en-US"/>
              </w:rPr>
            </w:pPr>
            <w:r w:rsidRPr="007F131A">
              <w:rPr>
                <w:b/>
                <w:sz w:val="20"/>
                <w:szCs w:val="20"/>
                <w:lang w:val="en-US"/>
              </w:rPr>
              <w:t>***</w:t>
            </w:r>
          </w:p>
        </w:tc>
      </w:tr>
      <w:tr w:rsidR="00EB0BEF" w:rsidRPr="007F131A" w14:paraId="61C47125" w14:textId="77777777" w:rsidTr="00A0419B">
        <w:tc>
          <w:tcPr>
            <w:tcW w:w="1160" w:type="dxa"/>
            <w:tcBorders>
              <w:right w:val="nil"/>
            </w:tcBorders>
            <w:tcMar>
              <w:left w:w="28" w:type="dxa"/>
              <w:right w:w="28" w:type="dxa"/>
            </w:tcMar>
          </w:tcPr>
          <w:p w14:paraId="3A71FF92"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IND</w:t>
            </w:r>
          </w:p>
        </w:tc>
        <w:tc>
          <w:tcPr>
            <w:tcW w:w="706" w:type="dxa"/>
            <w:tcBorders>
              <w:left w:val="nil"/>
              <w:right w:val="nil"/>
            </w:tcBorders>
            <w:tcMar>
              <w:left w:w="28" w:type="dxa"/>
              <w:right w:w="28" w:type="dxa"/>
            </w:tcMar>
          </w:tcPr>
          <w:p w14:paraId="42665CFB"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6C09D3F6" w14:textId="77777777" w:rsidR="00EB0BEF" w:rsidRPr="007F131A" w:rsidRDefault="00EB0BEF" w:rsidP="00A0419B">
            <w:pPr>
              <w:spacing w:after="0" w:line="240" w:lineRule="auto"/>
              <w:jc w:val="center"/>
              <w:rPr>
                <w:b/>
                <w:sz w:val="20"/>
                <w:szCs w:val="20"/>
                <w:lang w:val="en-US"/>
              </w:rPr>
            </w:pPr>
            <w:r w:rsidRPr="007F131A">
              <w:t>0.490</w:t>
            </w:r>
          </w:p>
        </w:tc>
        <w:tc>
          <w:tcPr>
            <w:tcW w:w="847" w:type="dxa"/>
            <w:tcBorders>
              <w:left w:val="nil"/>
              <w:right w:val="nil"/>
            </w:tcBorders>
            <w:tcMar>
              <w:left w:w="28" w:type="dxa"/>
              <w:right w:w="28" w:type="dxa"/>
            </w:tcMar>
          </w:tcPr>
          <w:p w14:paraId="501568D8" w14:textId="77777777" w:rsidR="00EB0BEF" w:rsidRPr="007F131A" w:rsidRDefault="00EB0BEF" w:rsidP="00A0419B">
            <w:pPr>
              <w:spacing w:after="0" w:line="240" w:lineRule="auto"/>
              <w:jc w:val="center"/>
              <w:rPr>
                <w:b/>
                <w:sz w:val="20"/>
                <w:szCs w:val="20"/>
                <w:lang w:val="en-US"/>
              </w:rPr>
            </w:pPr>
            <w:r w:rsidRPr="007F131A">
              <w:t>0.001</w:t>
            </w:r>
          </w:p>
        </w:tc>
        <w:tc>
          <w:tcPr>
            <w:tcW w:w="704" w:type="dxa"/>
            <w:tcBorders>
              <w:left w:val="nil"/>
            </w:tcBorders>
            <w:tcMar>
              <w:left w:w="28" w:type="dxa"/>
              <w:right w:w="28" w:type="dxa"/>
            </w:tcMar>
          </w:tcPr>
          <w:p w14:paraId="606416A2"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893" w:type="dxa"/>
            <w:tcBorders>
              <w:right w:val="nil"/>
            </w:tcBorders>
            <w:tcMar>
              <w:left w:w="28" w:type="dxa"/>
              <w:right w:w="28" w:type="dxa"/>
            </w:tcMar>
          </w:tcPr>
          <w:p w14:paraId="7AC541D4" w14:textId="77777777" w:rsidR="00EB0BEF" w:rsidRPr="007F131A" w:rsidRDefault="00EB0BEF" w:rsidP="00A0419B">
            <w:pPr>
              <w:spacing w:after="0" w:line="240" w:lineRule="auto"/>
              <w:jc w:val="center"/>
              <w:rPr>
                <w:b/>
                <w:sz w:val="20"/>
                <w:szCs w:val="20"/>
                <w:lang w:val="en-US"/>
              </w:rPr>
            </w:pPr>
            <w:r w:rsidRPr="007F131A">
              <w:rPr>
                <w:lang w:val="en-US"/>
              </w:rPr>
              <w:t>0.614</w:t>
            </w:r>
          </w:p>
        </w:tc>
        <w:tc>
          <w:tcPr>
            <w:tcW w:w="987" w:type="dxa"/>
            <w:tcBorders>
              <w:left w:val="nil"/>
              <w:right w:val="nil"/>
            </w:tcBorders>
            <w:tcMar>
              <w:left w:w="28" w:type="dxa"/>
              <w:right w:w="28" w:type="dxa"/>
            </w:tcMar>
          </w:tcPr>
          <w:p w14:paraId="7C7B6151" w14:textId="77777777" w:rsidR="00EB0BEF" w:rsidRPr="007F131A" w:rsidRDefault="00EB0BEF" w:rsidP="00A0419B">
            <w:pPr>
              <w:spacing w:after="0" w:line="240" w:lineRule="auto"/>
              <w:jc w:val="center"/>
              <w:rPr>
                <w:b/>
                <w:sz w:val="20"/>
                <w:szCs w:val="20"/>
                <w:lang w:val="en-US"/>
              </w:rPr>
            </w:pPr>
            <w:r w:rsidRPr="007F131A">
              <w:rPr>
                <w:lang w:val="en-US"/>
              </w:rPr>
              <w:t>0.005</w:t>
            </w:r>
          </w:p>
        </w:tc>
        <w:tc>
          <w:tcPr>
            <w:tcW w:w="846" w:type="dxa"/>
            <w:tcBorders>
              <w:left w:val="nil"/>
            </w:tcBorders>
            <w:tcMar>
              <w:left w:w="28" w:type="dxa"/>
              <w:right w:w="28" w:type="dxa"/>
            </w:tcMar>
          </w:tcPr>
          <w:p w14:paraId="245151A5"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87" w:type="dxa"/>
            <w:tcBorders>
              <w:right w:val="nil"/>
            </w:tcBorders>
            <w:tcMar>
              <w:left w:w="28" w:type="dxa"/>
              <w:right w:w="28" w:type="dxa"/>
            </w:tcMar>
          </w:tcPr>
          <w:p w14:paraId="5EB5EC19" w14:textId="77777777" w:rsidR="00EB0BEF" w:rsidRPr="007F131A" w:rsidRDefault="00EB0BEF" w:rsidP="00A0419B">
            <w:pPr>
              <w:spacing w:after="0" w:line="240" w:lineRule="auto"/>
              <w:jc w:val="center"/>
              <w:rPr>
                <w:b/>
                <w:sz w:val="20"/>
                <w:szCs w:val="20"/>
                <w:lang w:val="en-US"/>
              </w:rPr>
            </w:pPr>
            <w:r w:rsidRPr="007F131A">
              <w:t>0.567</w:t>
            </w:r>
          </w:p>
        </w:tc>
        <w:tc>
          <w:tcPr>
            <w:tcW w:w="846" w:type="dxa"/>
            <w:tcBorders>
              <w:left w:val="nil"/>
              <w:right w:val="nil"/>
            </w:tcBorders>
            <w:tcMar>
              <w:left w:w="28" w:type="dxa"/>
              <w:right w:w="28" w:type="dxa"/>
            </w:tcMar>
          </w:tcPr>
          <w:p w14:paraId="042F6E07" w14:textId="77777777" w:rsidR="00EB0BEF" w:rsidRPr="007F131A" w:rsidRDefault="00EB0BEF" w:rsidP="00A0419B">
            <w:pPr>
              <w:spacing w:after="0" w:line="240" w:lineRule="auto"/>
              <w:jc w:val="center"/>
              <w:rPr>
                <w:b/>
                <w:sz w:val="20"/>
                <w:szCs w:val="20"/>
                <w:lang w:val="en-US"/>
              </w:rPr>
            </w:pPr>
            <w:r w:rsidRPr="007F131A">
              <w:t>0.002</w:t>
            </w:r>
          </w:p>
        </w:tc>
        <w:tc>
          <w:tcPr>
            <w:tcW w:w="991" w:type="dxa"/>
            <w:tcBorders>
              <w:left w:val="nil"/>
            </w:tcBorders>
            <w:tcMar>
              <w:left w:w="28" w:type="dxa"/>
              <w:right w:w="28" w:type="dxa"/>
            </w:tcMar>
          </w:tcPr>
          <w:p w14:paraId="2A9CA815"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91" w:type="dxa"/>
            <w:tcBorders>
              <w:right w:val="nil"/>
            </w:tcBorders>
          </w:tcPr>
          <w:p w14:paraId="56E9078B" w14:textId="77777777" w:rsidR="00EB0BEF" w:rsidRPr="007F131A" w:rsidRDefault="00EB0BEF" w:rsidP="00A0419B">
            <w:pPr>
              <w:spacing w:after="0" w:line="240" w:lineRule="auto"/>
              <w:rPr>
                <w:rFonts w:eastAsia="MS Mincho"/>
                <w:sz w:val="20"/>
                <w:szCs w:val="20"/>
                <w:lang w:val="en-GB" w:eastAsia="ja-JP"/>
              </w:rPr>
            </w:pPr>
            <w:r w:rsidRPr="007F131A">
              <w:rPr>
                <w:lang w:val="en-US"/>
              </w:rPr>
              <w:t>---</w:t>
            </w:r>
          </w:p>
        </w:tc>
        <w:tc>
          <w:tcPr>
            <w:tcW w:w="991" w:type="dxa"/>
            <w:tcBorders>
              <w:left w:val="nil"/>
              <w:right w:val="nil"/>
            </w:tcBorders>
          </w:tcPr>
          <w:p w14:paraId="44D33823" w14:textId="77777777" w:rsidR="00EB0BEF" w:rsidRPr="007F131A" w:rsidRDefault="00EB0BEF" w:rsidP="00A0419B">
            <w:pPr>
              <w:spacing w:after="0" w:line="240" w:lineRule="auto"/>
              <w:rPr>
                <w:rFonts w:eastAsia="MS Mincho"/>
                <w:sz w:val="20"/>
                <w:szCs w:val="20"/>
                <w:lang w:val="en-GB" w:eastAsia="ja-JP"/>
              </w:rPr>
            </w:pPr>
            <w:r w:rsidRPr="007F131A">
              <w:rPr>
                <w:lang w:val="en-US"/>
              </w:rPr>
              <w:t>---</w:t>
            </w:r>
          </w:p>
        </w:tc>
        <w:tc>
          <w:tcPr>
            <w:tcW w:w="991" w:type="dxa"/>
            <w:tcBorders>
              <w:left w:val="nil"/>
            </w:tcBorders>
          </w:tcPr>
          <w:p w14:paraId="761D6BFB" w14:textId="77777777" w:rsidR="00EB0BEF" w:rsidRPr="007F131A" w:rsidRDefault="00EB0BEF" w:rsidP="00A0419B">
            <w:pPr>
              <w:spacing w:after="0" w:line="240" w:lineRule="auto"/>
              <w:rPr>
                <w:rFonts w:eastAsia="MS Mincho"/>
                <w:sz w:val="20"/>
                <w:szCs w:val="20"/>
                <w:lang w:val="en-GB" w:eastAsia="ja-JP"/>
              </w:rPr>
            </w:pPr>
          </w:p>
        </w:tc>
      </w:tr>
      <w:tr w:rsidR="00EB0BEF" w:rsidRPr="007F131A" w14:paraId="0B24FEFA" w14:textId="77777777" w:rsidTr="00A0419B">
        <w:tc>
          <w:tcPr>
            <w:tcW w:w="1160" w:type="dxa"/>
            <w:tcBorders>
              <w:right w:val="nil"/>
            </w:tcBorders>
            <w:tcMar>
              <w:left w:w="28" w:type="dxa"/>
              <w:right w:w="28" w:type="dxa"/>
            </w:tcMar>
          </w:tcPr>
          <w:p w14:paraId="4835871C"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AUDIT</w:t>
            </w:r>
          </w:p>
        </w:tc>
        <w:tc>
          <w:tcPr>
            <w:tcW w:w="706" w:type="dxa"/>
            <w:tcBorders>
              <w:left w:val="nil"/>
              <w:right w:val="nil"/>
            </w:tcBorders>
            <w:tcMar>
              <w:left w:w="28" w:type="dxa"/>
              <w:right w:w="28" w:type="dxa"/>
            </w:tcMar>
          </w:tcPr>
          <w:p w14:paraId="488D21E0"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69596D02" w14:textId="77777777" w:rsidR="00EB0BEF" w:rsidRPr="007F131A" w:rsidRDefault="00EB0BEF" w:rsidP="00A0419B">
            <w:pPr>
              <w:spacing w:after="0" w:line="240" w:lineRule="auto"/>
              <w:jc w:val="center"/>
              <w:rPr>
                <w:b/>
                <w:sz w:val="20"/>
                <w:szCs w:val="20"/>
                <w:lang w:val="en-US"/>
              </w:rPr>
            </w:pPr>
            <w:r w:rsidRPr="007F131A">
              <w:rPr>
                <w:lang w:val="en-US"/>
              </w:rPr>
              <w:t>0.383</w:t>
            </w:r>
          </w:p>
        </w:tc>
        <w:tc>
          <w:tcPr>
            <w:tcW w:w="847" w:type="dxa"/>
            <w:tcBorders>
              <w:left w:val="nil"/>
              <w:right w:val="nil"/>
            </w:tcBorders>
            <w:tcMar>
              <w:left w:w="28" w:type="dxa"/>
              <w:right w:w="28" w:type="dxa"/>
            </w:tcMar>
          </w:tcPr>
          <w:p w14:paraId="26B7CF61" w14:textId="77777777" w:rsidR="00EB0BEF" w:rsidRPr="007F131A" w:rsidRDefault="00EB0BEF" w:rsidP="00A0419B">
            <w:pPr>
              <w:spacing w:after="0" w:line="240" w:lineRule="auto"/>
              <w:jc w:val="center"/>
              <w:rPr>
                <w:b/>
                <w:sz w:val="20"/>
                <w:szCs w:val="20"/>
                <w:lang w:val="en-US"/>
              </w:rPr>
            </w:pPr>
            <w:r w:rsidRPr="007F131A">
              <w:rPr>
                <w:lang w:val="en-US"/>
              </w:rPr>
              <w:t>0.031</w:t>
            </w:r>
          </w:p>
        </w:tc>
        <w:tc>
          <w:tcPr>
            <w:tcW w:w="704" w:type="dxa"/>
            <w:tcBorders>
              <w:left w:val="nil"/>
            </w:tcBorders>
            <w:tcMar>
              <w:left w:w="28" w:type="dxa"/>
              <w:right w:w="28" w:type="dxa"/>
            </w:tcMar>
          </w:tcPr>
          <w:p w14:paraId="749B740F"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893" w:type="dxa"/>
            <w:tcBorders>
              <w:right w:val="nil"/>
            </w:tcBorders>
            <w:tcMar>
              <w:left w:w="28" w:type="dxa"/>
              <w:right w:w="28" w:type="dxa"/>
            </w:tcMar>
          </w:tcPr>
          <w:p w14:paraId="0AC049A8" w14:textId="77777777" w:rsidR="00EB0BEF" w:rsidRPr="007F131A" w:rsidRDefault="00EB0BEF" w:rsidP="00A0419B">
            <w:pPr>
              <w:spacing w:after="0" w:line="240" w:lineRule="auto"/>
              <w:jc w:val="center"/>
              <w:rPr>
                <w:b/>
                <w:sz w:val="20"/>
                <w:szCs w:val="20"/>
                <w:lang w:val="en-US"/>
              </w:rPr>
            </w:pPr>
            <w:r w:rsidRPr="007F131A">
              <w:rPr>
                <w:lang w:val="en-US"/>
              </w:rPr>
              <w:t>0.021</w:t>
            </w:r>
          </w:p>
        </w:tc>
        <w:tc>
          <w:tcPr>
            <w:tcW w:w="987" w:type="dxa"/>
            <w:tcBorders>
              <w:left w:val="nil"/>
              <w:right w:val="nil"/>
            </w:tcBorders>
            <w:tcMar>
              <w:left w:w="28" w:type="dxa"/>
              <w:right w:w="28" w:type="dxa"/>
            </w:tcMar>
          </w:tcPr>
          <w:p w14:paraId="0DD65C38" w14:textId="77777777" w:rsidR="00EB0BEF" w:rsidRPr="007F131A" w:rsidRDefault="00EB0BEF" w:rsidP="00A0419B">
            <w:pPr>
              <w:spacing w:after="0" w:line="240" w:lineRule="auto"/>
              <w:jc w:val="center"/>
              <w:rPr>
                <w:b/>
                <w:sz w:val="20"/>
                <w:szCs w:val="20"/>
                <w:lang w:val="en-US"/>
              </w:rPr>
            </w:pPr>
            <w:r w:rsidRPr="007F131A">
              <w:rPr>
                <w:lang w:val="en-US"/>
              </w:rPr>
              <w:t>0.894</w:t>
            </w:r>
          </w:p>
        </w:tc>
        <w:tc>
          <w:tcPr>
            <w:tcW w:w="846" w:type="dxa"/>
            <w:tcBorders>
              <w:left w:val="nil"/>
            </w:tcBorders>
            <w:tcMar>
              <w:left w:w="28" w:type="dxa"/>
              <w:right w:w="28" w:type="dxa"/>
            </w:tcMar>
          </w:tcPr>
          <w:p w14:paraId="739C8DEF" w14:textId="77777777" w:rsidR="00EB0BEF" w:rsidRPr="007F131A" w:rsidRDefault="00EB0BEF" w:rsidP="00A0419B">
            <w:pPr>
              <w:spacing w:after="0" w:line="240" w:lineRule="auto"/>
              <w:rPr>
                <w:b/>
                <w:sz w:val="20"/>
                <w:szCs w:val="20"/>
                <w:lang w:val="en-US"/>
              </w:rPr>
            </w:pPr>
          </w:p>
        </w:tc>
        <w:tc>
          <w:tcPr>
            <w:tcW w:w="987" w:type="dxa"/>
            <w:tcBorders>
              <w:right w:val="nil"/>
            </w:tcBorders>
            <w:tcMar>
              <w:left w:w="28" w:type="dxa"/>
              <w:right w:w="28" w:type="dxa"/>
            </w:tcMar>
          </w:tcPr>
          <w:p w14:paraId="57FDEF80" w14:textId="77777777" w:rsidR="00EB0BEF" w:rsidRPr="007F131A" w:rsidRDefault="00EB0BEF" w:rsidP="00A0419B">
            <w:pPr>
              <w:spacing w:after="0" w:line="240" w:lineRule="auto"/>
              <w:jc w:val="center"/>
              <w:rPr>
                <w:b/>
                <w:sz w:val="20"/>
                <w:szCs w:val="20"/>
                <w:lang w:val="en-US"/>
              </w:rPr>
            </w:pPr>
            <w:r w:rsidRPr="007F131A">
              <w:rPr>
                <w:lang w:val="en-US"/>
              </w:rPr>
              <w:t>0.592</w:t>
            </w:r>
          </w:p>
        </w:tc>
        <w:tc>
          <w:tcPr>
            <w:tcW w:w="846" w:type="dxa"/>
            <w:tcBorders>
              <w:left w:val="nil"/>
              <w:right w:val="nil"/>
            </w:tcBorders>
            <w:tcMar>
              <w:left w:w="28" w:type="dxa"/>
              <w:right w:w="28" w:type="dxa"/>
            </w:tcMar>
          </w:tcPr>
          <w:p w14:paraId="43D9EE12" w14:textId="77777777" w:rsidR="00EB0BEF" w:rsidRPr="007F131A" w:rsidRDefault="00EB0BEF" w:rsidP="00A0419B">
            <w:pPr>
              <w:spacing w:after="0" w:line="240" w:lineRule="auto"/>
              <w:jc w:val="center"/>
              <w:rPr>
                <w:b/>
                <w:sz w:val="20"/>
                <w:szCs w:val="20"/>
                <w:lang w:val="en-US"/>
              </w:rPr>
            </w:pPr>
            <w:r w:rsidRPr="007F131A">
              <w:rPr>
                <w:lang w:val="en-US"/>
              </w:rPr>
              <w:t>0.007</w:t>
            </w:r>
          </w:p>
        </w:tc>
        <w:tc>
          <w:tcPr>
            <w:tcW w:w="991" w:type="dxa"/>
            <w:tcBorders>
              <w:left w:val="nil"/>
            </w:tcBorders>
            <w:tcMar>
              <w:left w:w="28" w:type="dxa"/>
              <w:right w:w="28" w:type="dxa"/>
            </w:tcMar>
          </w:tcPr>
          <w:p w14:paraId="1A8F09F3"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91" w:type="dxa"/>
            <w:tcBorders>
              <w:right w:val="nil"/>
            </w:tcBorders>
          </w:tcPr>
          <w:p w14:paraId="7C7D67D8" w14:textId="77777777" w:rsidR="00EB0BEF" w:rsidRPr="007F131A" w:rsidRDefault="00EB0BEF" w:rsidP="00A0419B">
            <w:pPr>
              <w:spacing w:after="0" w:line="240" w:lineRule="auto"/>
              <w:rPr>
                <w:rFonts w:eastAsia="MS Mincho"/>
                <w:sz w:val="20"/>
                <w:szCs w:val="20"/>
                <w:lang w:val="en-GB" w:eastAsia="ja-JP"/>
              </w:rPr>
            </w:pPr>
            <w:r w:rsidRPr="007F131A">
              <w:rPr>
                <w:lang w:val="en-US"/>
              </w:rPr>
              <w:t>0.371</w:t>
            </w:r>
          </w:p>
        </w:tc>
        <w:tc>
          <w:tcPr>
            <w:tcW w:w="991" w:type="dxa"/>
            <w:tcBorders>
              <w:left w:val="nil"/>
              <w:right w:val="nil"/>
            </w:tcBorders>
          </w:tcPr>
          <w:p w14:paraId="7205CEFD" w14:textId="77777777" w:rsidR="00EB0BEF" w:rsidRPr="007F131A" w:rsidRDefault="00EB0BEF" w:rsidP="00A0419B">
            <w:pPr>
              <w:spacing w:after="0" w:line="240" w:lineRule="auto"/>
              <w:rPr>
                <w:rFonts w:eastAsia="MS Mincho"/>
                <w:sz w:val="20"/>
                <w:szCs w:val="20"/>
                <w:lang w:val="en-GB" w:eastAsia="ja-JP"/>
              </w:rPr>
            </w:pPr>
            <w:r w:rsidRPr="007F131A">
              <w:rPr>
                <w:lang w:val="en-US"/>
              </w:rPr>
              <w:t>0.033</w:t>
            </w:r>
          </w:p>
        </w:tc>
        <w:tc>
          <w:tcPr>
            <w:tcW w:w="991" w:type="dxa"/>
            <w:tcBorders>
              <w:left w:val="nil"/>
            </w:tcBorders>
          </w:tcPr>
          <w:p w14:paraId="63E2B41F" w14:textId="77777777" w:rsidR="00EB0BEF" w:rsidRPr="007F131A" w:rsidRDefault="00EB0BEF" w:rsidP="00A0419B">
            <w:pPr>
              <w:spacing w:after="0" w:line="240" w:lineRule="auto"/>
              <w:rPr>
                <w:rFonts w:eastAsia="MS Mincho"/>
                <w:sz w:val="20"/>
                <w:szCs w:val="20"/>
                <w:lang w:val="en-GB" w:eastAsia="ja-JP"/>
              </w:rPr>
            </w:pPr>
            <w:r w:rsidRPr="007F131A">
              <w:rPr>
                <w:b/>
                <w:sz w:val="20"/>
                <w:szCs w:val="20"/>
                <w:lang w:val="en-US"/>
              </w:rPr>
              <w:t>**</w:t>
            </w:r>
          </w:p>
        </w:tc>
      </w:tr>
      <w:tr w:rsidR="00EB0BEF" w:rsidRPr="007F131A" w14:paraId="108E6C78" w14:textId="77777777" w:rsidTr="00A0419B">
        <w:tc>
          <w:tcPr>
            <w:tcW w:w="1160" w:type="dxa"/>
            <w:tcBorders>
              <w:right w:val="nil"/>
            </w:tcBorders>
            <w:tcMar>
              <w:left w:w="28" w:type="dxa"/>
              <w:right w:w="28" w:type="dxa"/>
            </w:tcMar>
          </w:tcPr>
          <w:p w14:paraId="25567E03"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OWN</w:t>
            </w:r>
          </w:p>
        </w:tc>
        <w:tc>
          <w:tcPr>
            <w:tcW w:w="706" w:type="dxa"/>
            <w:tcBorders>
              <w:left w:val="nil"/>
              <w:right w:val="nil"/>
            </w:tcBorders>
            <w:tcMar>
              <w:left w:w="28" w:type="dxa"/>
              <w:right w:w="28" w:type="dxa"/>
            </w:tcMar>
          </w:tcPr>
          <w:p w14:paraId="022CED9E"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10A4868A" w14:textId="77777777" w:rsidR="00EB0BEF" w:rsidRPr="007F131A" w:rsidRDefault="00EB0BEF" w:rsidP="00A0419B">
            <w:pPr>
              <w:spacing w:after="0" w:line="240" w:lineRule="auto"/>
              <w:jc w:val="center"/>
              <w:rPr>
                <w:b/>
                <w:sz w:val="20"/>
                <w:szCs w:val="20"/>
                <w:lang w:val="en-US"/>
              </w:rPr>
            </w:pPr>
            <w:r w:rsidRPr="007F131A">
              <w:rPr>
                <w:lang w:val="en-US"/>
              </w:rPr>
              <w:t>-0.047</w:t>
            </w:r>
          </w:p>
        </w:tc>
        <w:tc>
          <w:tcPr>
            <w:tcW w:w="847" w:type="dxa"/>
            <w:tcBorders>
              <w:left w:val="nil"/>
              <w:right w:val="nil"/>
            </w:tcBorders>
            <w:tcMar>
              <w:left w:w="28" w:type="dxa"/>
              <w:right w:w="28" w:type="dxa"/>
            </w:tcMar>
          </w:tcPr>
          <w:p w14:paraId="12CA2232" w14:textId="77777777" w:rsidR="00EB0BEF" w:rsidRPr="007F131A" w:rsidRDefault="00EB0BEF" w:rsidP="00A0419B">
            <w:pPr>
              <w:spacing w:after="0" w:line="240" w:lineRule="auto"/>
              <w:jc w:val="center"/>
              <w:rPr>
                <w:b/>
                <w:sz w:val="20"/>
                <w:szCs w:val="20"/>
                <w:lang w:val="en-US"/>
              </w:rPr>
            </w:pPr>
            <w:r w:rsidRPr="007F131A">
              <w:rPr>
                <w:lang w:val="en-US"/>
              </w:rPr>
              <w:t>0.704</w:t>
            </w:r>
          </w:p>
        </w:tc>
        <w:tc>
          <w:tcPr>
            <w:tcW w:w="704" w:type="dxa"/>
            <w:tcBorders>
              <w:left w:val="nil"/>
            </w:tcBorders>
            <w:tcMar>
              <w:left w:w="28" w:type="dxa"/>
              <w:right w:w="28" w:type="dxa"/>
            </w:tcMar>
          </w:tcPr>
          <w:p w14:paraId="6F8E9C45" w14:textId="77777777" w:rsidR="00EB0BEF" w:rsidRPr="007F131A" w:rsidRDefault="00EB0BEF" w:rsidP="00A0419B">
            <w:pPr>
              <w:spacing w:after="0" w:line="240" w:lineRule="auto"/>
              <w:rPr>
                <w:b/>
                <w:sz w:val="20"/>
                <w:szCs w:val="20"/>
                <w:lang w:val="en-US"/>
              </w:rPr>
            </w:pPr>
          </w:p>
        </w:tc>
        <w:tc>
          <w:tcPr>
            <w:tcW w:w="893" w:type="dxa"/>
            <w:tcBorders>
              <w:right w:val="nil"/>
            </w:tcBorders>
            <w:tcMar>
              <w:left w:w="28" w:type="dxa"/>
              <w:right w:w="28" w:type="dxa"/>
            </w:tcMar>
          </w:tcPr>
          <w:p w14:paraId="4D0E078A" w14:textId="77777777" w:rsidR="00EB0BEF" w:rsidRPr="007F131A" w:rsidRDefault="00EB0BEF" w:rsidP="00A0419B">
            <w:pPr>
              <w:spacing w:after="0" w:line="240" w:lineRule="auto"/>
              <w:jc w:val="center"/>
              <w:rPr>
                <w:b/>
                <w:sz w:val="20"/>
                <w:szCs w:val="20"/>
                <w:lang w:val="en-US"/>
              </w:rPr>
            </w:pPr>
            <w:r w:rsidRPr="007F131A">
              <w:rPr>
                <w:lang w:val="en-US"/>
              </w:rPr>
              <w:t>0.257</w:t>
            </w:r>
          </w:p>
        </w:tc>
        <w:tc>
          <w:tcPr>
            <w:tcW w:w="987" w:type="dxa"/>
            <w:tcBorders>
              <w:left w:val="nil"/>
              <w:right w:val="nil"/>
            </w:tcBorders>
            <w:tcMar>
              <w:left w:w="28" w:type="dxa"/>
              <w:right w:w="28" w:type="dxa"/>
            </w:tcMar>
          </w:tcPr>
          <w:p w14:paraId="2E44185E" w14:textId="77777777" w:rsidR="00EB0BEF" w:rsidRPr="007F131A" w:rsidRDefault="00EB0BEF" w:rsidP="00A0419B">
            <w:pPr>
              <w:spacing w:after="0" w:line="240" w:lineRule="auto"/>
              <w:jc w:val="center"/>
              <w:rPr>
                <w:b/>
                <w:sz w:val="20"/>
                <w:szCs w:val="20"/>
                <w:lang w:val="en-US"/>
              </w:rPr>
            </w:pPr>
            <w:r w:rsidRPr="007F131A">
              <w:rPr>
                <w:lang w:val="en-US"/>
              </w:rPr>
              <w:t>0.159</w:t>
            </w:r>
          </w:p>
        </w:tc>
        <w:tc>
          <w:tcPr>
            <w:tcW w:w="846" w:type="dxa"/>
            <w:tcBorders>
              <w:left w:val="nil"/>
            </w:tcBorders>
            <w:tcMar>
              <w:left w:w="28" w:type="dxa"/>
              <w:right w:w="28" w:type="dxa"/>
            </w:tcMar>
          </w:tcPr>
          <w:p w14:paraId="0567A2D2" w14:textId="77777777" w:rsidR="00EB0BEF" w:rsidRPr="007F131A" w:rsidRDefault="00EB0BEF" w:rsidP="00A0419B">
            <w:pPr>
              <w:spacing w:after="0" w:line="240" w:lineRule="auto"/>
              <w:rPr>
                <w:b/>
                <w:sz w:val="20"/>
                <w:szCs w:val="20"/>
                <w:lang w:val="en-US"/>
              </w:rPr>
            </w:pPr>
          </w:p>
        </w:tc>
        <w:tc>
          <w:tcPr>
            <w:tcW w:w="987" w:type="dxa"/>
            <w:tcBorders>
              <w:right w:val="nil"/>
            </w:tcBorders>
            <w:tcMar>
              <w:left w:w="28" w:type="dxa"/>
              <w:right w:w="28" w:type="dxa"/>
            </w:tcMar>
          </w:tcPr>
          <w:p w14:paraId="73DE0F81" w14:textId="77777777" w:rsidR="00EB0BEF" w:rsidRPr="007F131A" w:rsidRDefault="00EB0BEF" w:rsidP="00A0419B">
            <w:pPr>
              <w:spacing w:after="0" w:line="240" w:lineRule="auto"/>
              <w:jc w:val="center"/>
              <w:rPr>
                <w:b/>
                <w:sz w:val="20"/>
                <w:szCs w:val="20"/>
                <w:lang w:val="en-US"/>
              </w:rPr>
            </w:pPr>
            <w:r w:rsidRPr="007F131A">
              <w:rPr>
                <w:lang w:val="en-US"/>
              </w:rPr>
              <w:t>0.051</w:t>
            </w:r>
          </w:p>
        </w:tc>
        <w:tc>
          <w:tcPr>
            <w:tcW w:w="846" w:type="dxa"/>
            <w:tcBorders>
              <w:left w:val="nil"/>
              <w:right w:val="nil"/>
            </w:tcBorders>
            <w:tcMar>
              <w:left w:w="28" w:type="dxa"/>
              <w:right w:w="28" w:type="dxa"/>
            </w:tcMar>
          </w:tcPr>
          <w:p w14:paraId="2905B110" w14:textId="77777777" w:rsidR="00EB0BEF" w:rsidRPr="007F131A" w:rsidRDefault="00EB0BEF" w:rsidP="00A0419B">
            <w:pPr>
              <w:spacing w:after="0" w:line="240" w:lineRule="auto"/>
              <w:jc w:val="center"/>
              <w:rPr>
                <w:b/>
                <w:sz w:val="20"/>
                <w:szCs w:val="20"/>
                <w:lang w:val="en-US"/>
              </w:rPr>
            </w:pPr>
            <w:r w:rsidRPr="007F131A">
              <w:rPr>
                <w:lang w:val="en-US"/>
              </w:rPr>
              <w:t>0.741</w:t>
            </w:r>
          </w:p>
        </w:tc>
        <w:tc>
          <w:tcPr>
            <w:tcW w:w="991" w:type="dxa"/>
            <w:tcBorders>
              <w:left w:val="nil"/>
            </w:tcBorders>
            <w:tcMar>
              <w:left w:w="28" w:type="dxa"/>
              <w:right w:w="28" w:type="dxa"/>
            </w:tcMar>
          </w:tcPr>
          <w:p w14:paraId="5A668D8D" w14:textId="77777777" w:rsidR="00EB0BEF" w:rsidRPr="007F131A" w:rsidRDefault="00EB0BEF" w:rsidP="00A0419B">
            <w:pPr>
              <w:spacing w:after="0" w:line="240" w:lineRule="auto"/>
              <w:rPr>
                <w:b/>
                <w:sz w:val="20"/>
                <w:szCs w:val="20"/>
                <w:lang w:val="en-US"/>
              </w:rPr>
            </w:pPr>
          </w:p>
        </w:tc>
        <w:tc>
          <w:tcPr>
            <w:tcW w:w="991" w:type="dxa"/>
            <w:tcBorders>
              <w:right w:val="nil"/>
            </w:tcBorders>
          </w:tcPr>
          <w:p w14:paraId="2B5132CA" w14:textId="77777777" w:rsidR="00EB0BEF" w:rsidRPr="007F131A" w:rsidRDefault="00EB0BEF" w:rsidP="00A0419B">
            <w:pPr>
              <w:spacing w:after="0" w:line="240" w:lineRule="auto"/>
              <w:rPr>
                <w:b/>
                <w:sz w:val="20"/>
                <w:szCs w:val="20"/>
                <w:lang w:val="en-US"/>
              </w:rPr>
            </w:pPr>
            <w:r w:rsidRPr="007F131A">
              <w:t>-0.141</w:t>
            </w:r>
          </w:p>
        </w:tc>
        <w:tc>
          <w:tcPr>
            <w:tcW w:w="991" w:type="dxa"/>
            <w:tcBorders>
              <w:left w:val="nil"/>
              <w:right w:val="nil"/>
            </w:tcBorders>
          </w:tcPr>
          <w:p w14:paraId="65163DAE" w14:textId="77777777" w:rsidR="00EB0BEF" w:rsidRPr="007F131A" w:rsidRDefault="00EB0BEF" w:rsidP="00A0419B">
            <w:pPr>
              <w:spacing w:after="0" w:line="240" w:lineRule="auto"/>
              <w:rPr>
                <w:b/>
                <w:sz w:val="20"/>
                <w:szCs w:val="20"/>
                <w:lang w:val="en-US"/>
              </w:rPr>
            </w:pPr>
            <w:r w:rsidRPr="007F131A">
              <w:t>0.249</w:t>
            </w:r>
          </w:p>
        </w:tc>
        <w:tc>
          <w:tcPr>
            <w:tcW w:w="991" w:type="dxa"/>
            <w:tcBorders>
              <w:left w:val="nil"/>
            </w:tcBorders>
          </w:tcPr>
          <w:p w14:paraId="2149354C" w14:textId="77777777" w:rsidR="00EB0BEF" w:rsidRPr="007F131A" w:rsidRDefault="00EB0BEF" w:rsidP="00A0419B">
            <w:pPr>
              <w:spacing w:after="0" w:line="240" w:lineRule="auto"/>
              <w:rPr>
                <w:b/>
                <w:sz w:val="20"/>
                <w:szCs w:val="20"/>
                <w:lang w:val="en-US"/>
              </w:rPr>
            </w:pPr>
          </w:p>
        </w:tc>
      </w:tr>
      <w:tr w:rsidR="00EB0BEF" w:rsidRPr="007F131A" w14:paraId="1B4F6A47" w14:textId="77777777" w:rsidTr="00A0419B">
        <w:tc>
          <w:tcPr>
            <w:tcW w:w="1160" w:type="dxa"/>
            <w:tcBorders>
              <w:right w:val="nil"/>
            </w:tcBorders>
            <w:tcMar>
              <w:left w:w="28" w:type="dxa"/>
              <w:right w:w="28" w:type="dxa"/>
            </w:tcMar>
          </w:tcPr>
          <w:p w14:paraId="42E3F27D" w14:textId="77777777" w:rsidR="00EB0BEF" w:rsidRPr="007F131A" w:rsidRDefault="00EB0BEF" w:rsidP="00A0419B">
            <w:pPr>
              <w:spacing w:after="0" w:line="240" w:lineRule="auto"/>
              <w:rPr>
                <w:b/>
                <w:sz w:val="20"/>
                <w:szCs w:val="20"/>
                <w:lang w:val="en-US"/>
              </w:rPr>
            </w:pPr>
            <w:r w:rsidRPr="007F131A">
              <w:rPr>
                <w:rFonts w:eastAsia="MS Mincho"/>
                <w:b/>
                <w:sz w:val="20"/>
                <w:szCs w:val="20"/>
                <w:lang w:val="en-GB" w:eastAsia="ja-JP"/>
              </w:rPr>
              <w:t>FAM</w:t>
            </w:r>
          </w:p>
        </w:tc>
        <w:tc>
          <w:tcPr>
            <w:tcW w:w="706" w:type="dxa"/>
            <w:tcBorders>
              <w:left w:val="nil"/>
              <w:right w:val="nil"/>
            </w:tcBorders>
            <w:tcMar>
              <w:left w:w="28" w:type="dxa"/>
              <w:right w:w="28" w:type="dxa"/>
            </w:tcMar>
          </w:tcPr>
          <w:p w14:paraId="3DDA7668" w14:textId="77777777" w:rsidR="00EB0BEF" w:rsidRPr="007F131A" w:rsidRDefault="00EB0BEF" w:rsidP="00A0419B">
            <w:pPr>
              <w:spacing w:after="0" w:line="240" w:lineRule="auto"/>
              <w:jc w:val="center"/>
              <w:rPr>
                <w:b/>
                <w:sz w:val="20"/>
                <w:szCs w:val="20"/>
                <w:lang w:val="en-US"/>
              </w:rPr>
            </w:pPr>
            <w:r w:rsidRPr="007F131A">
              <w:rPr>
                <w:rFonts w:eastAsia="MS Mincho"/>
                <w:sz w:val="20"/>
                <w:szCs w:val="20"/>
                <w:lang w:val="en-GB" w:eastAsia="ja-JP"/>
              </w:rPr>
              <w:t>+</w:t>
            </w:r>
          </w:p>
        </w:tc>
        <w:tc>
          <w:tcPr>
            <w:tcW w:w="1127" w:type="dxa"/>
            <w:tcBorders>
              <w:left w:val="nil"/>
              <w:right w:val="nil"/>
            </w:tcBorders>
            <w:tcMar>
              <w:left w:w="28" w:type="dxa"/>
              <w:right w:w="28" w:type="dxa"/>
            </w:tcMar>
          </w:tcPr>
          <w:p w14:paraId="00FD5B30" w14:textId="77777777" w:rsidR="00EB0BEF" w:rsidRPr="007F131A" w:rsidRDefault="00EB0BEF" w:rsidP="00A0419B">
            <w:pPr>
              <w:spacing w:after="0" w:line="240" w:lineRule="auto"/>
              <w:jc w:val="center"/>
              <w:rPr>
                <w:b/>
                <w:sz w:val="20"/>
                <w:szCs w:val="20"/>
                <w:lang w:val="en-US"/>
              </w:rPr>
            </w:pPr>
            <w:r w:rsidRPr="007F131A">
              <w:rPr>
                <w:lang w:val="en-US"/>
              </w:rPr>
              <w:t>0.260</w:t>
            </w:r>
          </w:p>
        </w:tc>
        <w:tc>
          <w:tcPr>
            <w:tcW w:w="847" w:type="dxa"/>
            <w:tcBorders>
              <w:left w:val="nil"/>
              <w:right w:val="nil"/>
            </w:tcBorders>
            <w:tcMar>
              <w:left w:w="28" w:type="dxa"/>
              <w:right w:w="28" w:type="dxa"/>
            </w:tcMar>
          </w:tcPr>
          <w:p w14:paraId="129FE707" w14:textId="77777777" w:rsidR="00EB0BEF" w:rsidRPr="007F131A" w:rsidRDefault="00EB0BEF" w:rsidP="00A0419B">
            <w:pPr>
              <w:spacing w:after="0" w:line="240" w:lineRule="auto"/>
              <w:jc w:val="center"/>
              <w:rPr>
                <w:b/>
                <w:sz w:val="20"/>
                <w:szCs w:val="20"/>
                <w:lang w:val="en-US"/>
              </w:rPr>
            </w:pPr>
            <w:r w:rsidRPr="007F131A">
              <w:rPr>
                <w:lang w:val="en-US"/>
              </w:rPr>
              <w:t>0.077</w:t>
            </w:r>
          </w:p>
        </w:tc>
        <w:tc>
          <w:tcPr>
            <w:tcW w:w="704" w:type="dxa"/>
            <w:tcBorders>
              <w:left w:val="nil"/>
            </w:tcBorders>
            <w:tcMar>
              <w:left w:w="28" w:type="dxa"/>
              <w:right w:w="28" w:type="dxa"/>
            </w:tcMar>
          </w:tcPr>
          <w:p w14:paraId="1B6EBFED" w14:textId="77777777" w:rsidR="00EB0BEF" w:rsidRPr="007F131A" w:rsidRDefault="00EB0BEF" w:rsidP="00A0419B">
            <w:pPr>
              <w:spacing w:after="0" w:line="240" w:lineRule="auto"/>
              <w:rPr>
                <w:b/>
                <w:sz w:val="20"/>
                <w:szCs w:val="20"/>
                <w:lang w:val="en-US"/>
              </w:rPr>
            </w:pPr>
            <w:r w:rsidRPr="007F131A">
              <w:rPr>
                <w:b/>
                <w:sz w:val="20"/>
                <w:szCs w:val="20"/>
                <w:lang w:val="en-US"/>
              </w:rPr>
              <w:t>*</w:t>
            </w:r>
          </w:p>
        </w:tc>
        <w:tc>
          <w:tcPr>
            <w:tcW w:w="893" w:type="dxa"/>
            <w:tcBorders>
              <w:right w:val="nil"/>
            </w:tcBorders>
            <w:tcMar>
              <w:left w:w="28" w:type="dxa"/>
              <w:right w:w="28" w:type="dxa"/>
            </w:tcMar>
          </w:tcPr>
          <w:p w14:paraId="02C5B7E9" w14:textId="77777777" w:rsidR="00EB0BEF" w:rsidRPr="007F131A" w:rsidRDefault="00EB0BEF" w:rsidP="00A0419B">
            <w:pPr>
              <w:spacing w:after="0" w:line="240" w:lineRule="auto"/>
              <w:jc w:val="center"/>
              <w:rPr>
                <w:b/>
                <w:sz w:val="20"/>
                <w:szCs w:val="20"/>
                <w:lang w:val="en-US"/>
              </w:rPr>
            </w:pPr>
            <w:r w:rsidRPr="007F131A">
              <w:rPr>
                <w:lang w:val="en-US"/>
              </w:rPr>
              <w:t>0.578</w:t>
            </w:r>
          </w:p>
        </w:tc>
        <w:tc>
          <w:tcPr>
            <w:tcW w:w="987" w:type="dxa"/>
            <w:tcBorders>
              <w:left w:val="nil"/>
              <w:right w:val="nil"/>
            </w:tcBorders>
            <w:tcMar>
              <w:left w:w="28" w:type="dxa"/>
              <w:right w:w="28" w:type="dxa"/>
            </w:tcMar>
          </w:tcPr>
          <w:p w14:paraId="762D2871" w14:textId="77777777" w:rsidR="00EB0BEF" w:rsidRPr="007F131A" w:rsidRDefault="00EB0BEF" w:rsidP="00A0419B">
            <w:pPr>
              <w:spacing w:after="0" w:line="240" w:lineRule="auto"/>
              <w:jc w:val="center"/>
              <w:rPr>
                <w:b/>
                <w:sz w:val="20"/>
                <w:szCs w:val="20"/>
                <w:lang w:val="en-US"/>
              </w:rPr>
            </w:pPr>
            <w:r w:rsidRPr="007F131A">
              <w:rPr>
                <w:lang w:val="en-US"/>
              </w:rPr>
              <w:t>0.001</w:t>
            </w:r>
          </w:p>
        </w:tc>
        <w:tc>
          <w:tcPr>
            <w:tcW w:w="846" w:type="dxa"/>
            <w:tcBorders>
              <w:left w:val="nil"/>
            </w:tcBorders>
            <w:tcMar>
              <w:left w:w="28" w:type="dxa"/>
              <w:right w:w="28" w:type="dxa"/>
            </w:tcMar>
          </w:tcPr>
          <w:p w14:paraId="3D75617D" w14:textId="77777777" w:rsidR="00EB0BEF" w:rsidRPr="007F131A" w:rsidRDefault="00EB0BEF" w:rsidP="00A0419B">
            <w:pPr>
              <w:spacing w:after="0" w:line="240" w:lineRule="auto"/>
              <w:rPr>
                <w:b/>
                <w:sz w:val="20"/>
                <w:szCs w:val="20"/>
                <w:lang w:val="en-US"/>
              </w:rPr>
            </w:pPr>
            <w:r w:rsidRPr="007F131A">
              <w:rPr>
                <w:b/>
                <w:sz w:val="20"/>
                <w:szCs w:val="20"/>
                <w:lang w:val="en-US"/>
              </w:rPr>
              <w:t>***</w:t>
            </w:r>
          </w:p>
        </w:tc>
        <w:tc>
          <w:tcPr>
            <w:tcW w:w="987" w:type="dxa"/>
            <w:tcBorders>
              <w:right w:val="nil"/>
            </w:tcBorders>
            <w:tcMar>
              <w:left w:w="28" w:type="dxa"/>
              <w:right w:w="28" w:type="dxa"/>
            </w:tcMar>
          </w:tcPr>
          <w:p w14:paraId="5B29D6E5" w14:textId="77777777" w:rsidR="00EB0BEF" w:rsidRPr="007F131A" w:rsidRDefault="00EB0BEF" w:rsidP="00A0419B">
            <w:pPr>
              <w:spacing w:after="0" w:line="240" w:lineRule="auto"/>
              <w:jc w:val="center"/>
              <w:rPr>
                <w:b/>
                <w:sz w:val="20"/>
                <w:szCs w:val="20"/>
                <w:lang w:val="en-US"/>
              </w:rPr>
            </w:pPr>
            <w:r w:rsidRPr="007F131A">
              <w:rPr>
                <w:lang w:val="en-US"/>
              </w:rPr>
              <w:t>0.236</w:t>
            </w:r>
          </w:p>
        </w:tc>
        <w:tc>
          <w:tcPr>
            <w:tcW w:w="846" w:type="dxa"/>
            <w:tcBorders>
              <w:left w:val="nil"/>
              <w:right w:val="nil"/>
            </w:tcBorders>
            <w:tcMar>
              <w:left w:w="28" w:type="dxa"/>
              <w:right w:w="28" w:type="dxa"/>
            </w:tcMar>
          </w:tcPr>
          <w:p w14:paraId="6F25EAE7" w14:textId="77777777" w:rsidR="00EB0BEF" w:rsidRPr="007F131A" w:rsidRDefault="00EB0BEF" w:rsidP="00A0419B">
            <w:pPr>
              <w:spacing w:after="0" w:line="240" w:lineRule="auto"/>
              <w:jc w:val="center"/>
              <w:rPr>
                <w:b/>
                <w:sz w:val="20"/>
                <w:szCs w:val="20"/>
                <w:lang w:val="en-US"/>
              </w:rPr>
            </w:pPr>
            <w:r w:rsidRPr="007F131A">
              <w:rPr>
                <w:lang w:val="en-US"/>
              </w:rPr>
              <w:t>0.198</w:t>
            </w:r>
          </w:p>
        </w:tc>
        <w:tc>
          <w:tcPr>
            <w:tcW w:w="991" w:type="dxa"/>
            <w:tcBorders>
              <w:left w:val="nil"/>
            </w:tcBorders>
            <w:tcMar>
              <w:left w:w="28" w:type="dxa"/>
              <w:right w:w="28" w:type="dxa"/>
            </w:tcMar>
          </w:tcPr>
          <w:p w14:paraId="1CB18659" w14:textId="77777777" w:rsidR="00EB0BEF" w:rsidRPr="007F131A" w:rsidRDefault="00EB0BEF" w:rsidP="00A0419B">
            <w:pPr>
              <w:spacing w:after="0" w:line="240" w:lineRule="auto"/>
              <w:rPr>
                <w:b/>
                <w:sz w:val="20"/>
                <w:szCs w:val="20"/>
                <w:lang w:val="en-US"/>
              </w:rPr>
            </w:pPr>
          </w:p>
        </w:tc>
        <w:tc>
          <w:tcPr>
            <w:tcW w:w="991" w:type="dxa"/>
            <w:tcBorders>
              <w:right w:val="nil"/>
            </w:tcBorders>
          </w:tcPr>
          <w:p w14:paraId="617BC37F" w14:textId="77777777" w:rsidR="00EB0BEF" w:rsidRPr="007F131A" w:rsidRDefault="00EB0BEF" w:rsidP="00A0419B">
            <w:pPr>
              <w:spacing w:after="0" w:line="240" w:lineRule="auto"/>
              <w:rPr>
                <w:b/>
                <w:sz w:val="20"/>
                <w:szCs w:val="20"/>
                <w:lang w:val="en-US"/>
              </w:rPr>
            </w:pPr>
            <w:r w:rsidRPr="007F131A">
              <w:rPr>
                <w:lang w:val="en-US"/>
              </w:rPr>
              <w:t>0.296</w:t>
            </w:r>
          </w:p>
        </w:tc>
        <w:tc>
          <w:tcPr>
            <w:tcW w:w="991" w:type="dxa"/>
            <w:tcBorders>
              <w:left w:val="nil"/>
              <w:right w:val="nil"/>
            </w:tcBorders>
          </w:tcPr>
          <w:p w14:paraId="6407BDB2" w14:textId="77777777" w:rsidR="00EB0BEF" w:rsidRPr="007F131A" w:rsidRDefault="00EB0BEF" w:rsidP="00A0419B">
            <w:pPr>
              <w:spacing w:after="0" w:line="240" w:lineRule="auto"/>
              <w:rPr>
                <w:b/>
                <w:sz w:val="20"/>
                <w:szCs w:val="20"/>
                <w:lang w:val="en-US"/>
              </w:rPr>
            </w:pPr>
            <w:r w:rsidRPr="007F131A">
              <w:rPr>
                <w:lang w:val="en-US"/>
              </w:rPr>
              <w:t>0.042</w:t>
            </w:r>
          </w:p>
        </w:tc>
        <w:tc>
          <w:tcPr>
            <w:tcW w:w="991" w:type="dxa"/>
            <w:tcBorders>
              <w:left w:val="nil"/>
            </w:tcBorders>
          </w:tcPr>
          <w:p w14:paraId="18053859" w14:textId="77777777" w:rsidR="00EB0BEF" w:rsidRPr="007F131A" w:rsidRDefault="00EB0BEF" w:rsidP="00A0419B">
            <w:pPr>
              <w:spacing w:after="0" w:line="240" w:lineRule="auto"/>
              <w:rPr>
                <w:b/>
                <w:sz w:val="20"/>
                <w:szCs w:val="20"/>
                <w:lang w:val="en-US"/>
              </w:rPr>
            </w:pPr>
            <w:r w:rsidRPr="007F131A">
              <w:rPr>
                <w:b/>
                <w:sz w:val="20"/>
                <w:szCs w:val="20"/>
                <w:lang w:val="en-US"/>
              </w:rPr>
              <w:t>**</w:t>
            </w:r>
          </w:p>
        </w:tc>
      </w:tr>
      <w:tr w:rsidR="00EB0BEF" w:rsidRPr="007F131A" w14:paraId="7A125130" w14:textId="77777777" w:rsidTr="00A0419B">
        <w:tc>
          <w:tcPr>
            <w:tcW w:w="1160" w:type="dxa"/>
            <w:tcBorders>
              <w:right w:val="nil"/>
            </w:tcBorders>
            <w:tcMar>
              <w:left w:w="28" w:type="dxa"/>
              <w:right w:w="28" w:type="dxa"/>
            </w:tcMar>
          </w:tcPr>
          <w:p w14:paraId="50ACE542"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Year control:</w:t>
            </w:r>
          </w:p>
        </w:tc>
        <w:tc>
          <w:tcPr>
            <w:tcW w:w="706" w:type="dxa"/>
            <w:tcBorders>
              <w:left w:val="nil"/>
              <w:right w:val="nil"/>
            </w:tcBorders>
            <w:tcMar>
              <w:left w:w="28" w:type="dxa"/>
              <w:right w:w="28" w:type="dxa"/>
            </w:tcMar>
          </w:tcPr>
          <w:p w14:paraId="13E3E90D" w14:textId="77777777" w:rsidR="00EB0BEF" w:rsidRPr="007F131A" w:rsidRDefault="00EB0BEF" w:rsidP="00A0419B">
            <w:pPr>
              <w:spacing w:after="0" w:line="240" w:lineRule="auto"/>
              <w:rPr>
                <w:b/>
                <w:sz w:val="20"/>
                <w:szCs w:val="20"/>
                <w:lang w:val="en-US"/>
              </w:rPr>
            </w:pPr>
          </w:p>
        </w:tc>
        <w:tc>
          <w:tcPr>
            <w:tcW w:w="1127" w:type="dxa"/>
            <w:tcBorders>
              <w:left w:val="nil"/>
              <w:right w:val="nil"/>
            </w:tcBorders>
            <w:tcMar>
              <w:left w:w="28" w:type="dxa"/>
              <w:right w:w="28" w:type="dxa"/>
            </w:tcMar>
          </w:tcPr>
          <w:p w14:paraId="2970438F" w14:textId="77777777" w:rsidR="00EB0BEF" w:rsidRPr="007F131A" w:rsidRDefault="00EB0BEF" w:rsidP="00A0419B">
            <w:pPr>
              <w:spacing w:after="0" w:line="240" w:lineRule="auto"/>
              <w:jc w:val="center"/>
              <w:rPr>
                <w:b/>
                <w:sz w:val="20"/>
                <w:szCs w:val="20"/>
                <w:lang w:val="en-US"/>
              </w:rPr>
            </w:pPr>
          </w:p>
        </w:tc>
        <w:tc>
          <w:tcPr>
            <w:tcW w:w="847" w:type="dxa"/>
            <w:tcBorders>
              <w:left w:val="nil"/>
              <w:right w:val="nil"/>
            </w:tcBorders>
            <w:tcMar>
              <w:left w:w="28" w:type="dxa"/>
              <w:right w:w="28" w:type="dxa"/>
            </w:tcMar>
          </w:tcPr>
          <w:p w14:paraId="52DC8264" w14:textId="77777777" w:rsidR="00EB0BEF" w:rsidRPr="007F131A" w:rsidRDefault="00EB0BEF" w:rsidP="00A0419B">
            <w:pPr>
              <w:spacing w:after="0" w:line="240" w:lineRule="auto"/>
              <w:jc w:val="center"/>
              <w:rPr>
                <w:b/>
                <w:sz w:val="20"/>
                <w:szCs w:val="20"/>
                <w:lang w:val="en-US"/>
              </w:rPr>
            </w:pPr>
          </w:p>
        </w:tc>
        <w:tc>
          <w:tcPr>
            <w:tcW w:w="704" w:type="dxa"/>
            <w:tcBorders>
              <w:left w:val="nil"/>
            </w:tcBorders>
            <w:tcMar>
              <w:left w:w="28" w:type="dxa"/>
              <w:right w:w="28" w:type="dxa"/>
            </w:tcMar>
          </w:tcPr>
          <w:p w14:paraId="70830E11" w14:textId="77777777" w:rsidR="00EB0BEF" w:rsidRPr="007F131A" w:rsidRDefault="00EB0BEF" w:rsidP="00A0419B">
            <w:pPr>
              <w:spacing w:after="0" w:line="240" w:lineRule="auto"/>
              <w:rPr>
                <w:b/>
                <w:sz w:val="20"/>
                <w:szCs w:val="20"/>
                <w:lang w:val="en-US"/>
              </w:rPr>
            </w:pPr>
          </w:p>
        </w:tc>
        <w:tc>
          <w:tcPr>
            <w:tcW w:w="893" w:type="dxa"/>
            <w:tcBorders>
              <w:right w:val="nil"/>
            </w:tcBorders>
            <w:tcMar>
              <w:left w:w="28" w:type="dxa"/>
              <w:right w:w="28" w:type="dxa"/>
            </w:tcMar>
          </w:tcPr>
          <w:p w14:paraId="6EBF96E9" w14:textId="77777777" w:rsidR="00EB0BEF" w:rsidRPr="007F131A" w:rsidRDefault="00EB0BEF" w:rsidP="00A0419B">
            <w:pPr>
              <w:spacing w:after="0" w:line="240" w:lineRule="auto"/>
              <w:jc w:val="center"/>
              <w:rPr>
                <w:b/>
                <w:sz w:val="20"/>
                <w:szCs w:val="20"/>
                <w:lang w:val="en-US"/>
              </w:rPr>
            </w:pPr>
          </w:p>
        </w:tc>
        <w:tc>
          <w:tcPr>
            <w:tcW w:w="987" w:type="dxa"/>
            <w:tcBorders>
              <w:left w:val="nil"/>
              <w:right w:val="nil"/>
            </w:tcBorders>
            <w:tcMar>
              <w:left w:w="28" w:type="dxa"/>
              <w:right w:w="28" w:type="dxa"/>
            </w:tcMar>
          </w:tcPr>
          <w:p w14:paraId="470D68D9" w14:textId="77777777" w:rsidR="00EB0BEF" w:rsidRPr="007F131A" w:rsidRDefault="00EB0BEF" w:rsidP="00A0419B">
            <w:pPr>
              <w:spacing w:after="0" w:line="240" w:lineRule="auto"/>
              <w:jc w:val="center"/>
              <w:rPr>
                <w:b/>
                <w:sz w:val="20"/>
                <w:szCs w:val="20"/>
                <w:lang w:val="en-US"/>
              </w:rPr>
            </w:pPr>
          </w:p>
        </w:tc>
        <w:tc>
          <w:tcPr>
            <w:tcW w:w="846" w:type="dxa"/>
            <w:tcBorders>
              <w:left w:val="nil"/>
            </w:tcBorders>
            <w:tcMar>
              <w:left w:w="28" w:type="dxa"/>
              <w:right w:w="28" w:type="dxa"/>
            </w:tcMar>
          </w:tcPr>
          <w:p w14:paraId="687C1E94" w14:textId="77777777" w:rsidR="00EB0BEF" w:rsidRPr="007F131A" w:rsidRDefault="00EB0BEF" w:rsidP="00A0419B">
            <w:pPr>
              <w:spacing w:after="0" w:line="240" w:lineRule="auto"/>
              <w:rPr>
                <w:b/>
                <w:sz w:val="20"/>
                <w:szCs w:val="20"/>
                <w:lang w:val="en-US"/>
              </w:rPr>
            </w:pPr>
          </w:p>
        </w:tc>
        <w:tc>
          <w:tcPr>
            <w:tcW w:w="987" w:type="dxa"/>
            <w:tcBorders>
              <w:right w:val="nil"/>
            </w:tcBorders>
            <w:tcMar>
              <w:left w:w="28" w:type="dxa"/>
              <w:right w:w="28" w:type="dxa"/>
            </w:tcMar>
          </w:tcPr>
          <w:p w14:paraId="7CADF41F" w14:textId="77777777" w:rsidR="00EB0BEF" w:rsidRPr="007F131A" w:rsidRDefault="00EB0BEF" w:rsidP="00A0419B">
            <w:pPr>
              <w:spacing w:after="0" w:line="240" w:lineRule="auto"/>
              <w:jc w:val="center"/>
              <w:rPr>
                <w:b/>
                <w:sz w:val="20"/>
                <w:szCs w:val="20"/>
                <w:lang w:val="en-US"/>
              </w:rPr>
            </w:pPr>
          </w:p>
        </w:tc>
        <w:tc>
          <w:tcPr>
            <w:tcW w:w="846" w:type="dxa"/>
            <w:tcBorders>
              <w:left w:val="nil"/>
              <w:right w:val="nil"/>
            </w:tcBorders>
            <w:tcMar>
              <w:left w:w="28" w:type="dxa"/>
              <w:right w:w="28" w:type="dxa"/>
            </w:tcMar>
          </w:tcPr>
          <w:p w14:paraId="387B39BB" w14:textId="77777777" w:rsidR="00EB0BEF" w:rsidRPr="007F131A" w:rsidRDefault="00EB0BEF" w:rsidP="00A0419B">
            <w:pPr>
              <w:spacing w:after="0" w:line="240" w:lineRule="auto"/>
              <w:jc w:val="center"/>
              <w:rPr>
                <w:b/>
                <w:sz w:val="20"/>
                <w:szCs w:val="20"/>
                <w:lang w:val="en-US"/>
              </w:rPr>
            </w:pPr>
          </w:p>
        </w:tc>
        <w:tc>
          <w:tcPr>
            <w:tcW w:w="991" w:type="dxa"/>
            <w:tcBorders>
              <w:left w:val="nil"/>
            </w:tcBorders>
            <w:tcMar>
              <w:left w:w="28" w:type="dxa"/>
              <w:right w:w="28" w:type="dxa"/>
            </w:tcMar>
          </w:tcPr>
          <w:p w14:paraId="6A628722" w14:textId="77777777" w:rsidR="00EB0BEF" w:rsidRPr="007F131A" w:rsidRDefault="00EB0BEF" w:rsidP="00A0419B">
            <w:pPr>
              <w:spacing w:after="0" w:line="240" w:lineRule="auto"/>
              <w:rPr>
                <w:b/>
                <w:sz w:val="20"/>
                <w:szCs w:val="20"/>
                <w:lang w:val="en-US"/>
              </w:rPr>
            </w:pPr>
          </w:p>
        </w:tc>
        <w:tc>
          <w:tcPr>
            <w:tcW w:w="991" w:type="dxa"/>
            <w:tcBorders>
              <w:right w:val="nil"/>
            </w:tcBorders>
          </w:tcPr>
          <w:p w14:paraId="60E71923" w14:textId="77777777" w:rsidR="00EB0BEF" w:rsidRPr="007F131A" w:rsidRDefault="00EB0BEF" w:rsidP="00A0419B">
            <w:pPr>
              <w:spacing w:after="0" w:line="240" w:lineRule="auto"/>
              <w:rPr>
                <w:b/>
                <w:sz w:val="20"/>
                <w:szCs w:val="20"/>
                <w:lang w:val="en-US"/>
              </w:rPr>
            </w:pPr>
          </w:p>
        </w:tc>
        <w:tc>
          <w:tcPr>
            <w:tcW w:w="991" w:type="dxa"/>
            <w:tcBorders>
              <w:left w:val="nil"/>
              <w:right w:val="nil"/>
            </w:tcBorders>
          </w:tcPr>
          <w:p w14:paraId="1CBC423D" w14:textId="77777777" w:rsidR="00EB0BEF" w:rsidRPr="007F131A" w:rsidRDefault="00EB0BEF" w:rsidP="00A0419B">
            <w:pPr>
              <w:spacing w:after="0" w:line="240" w:lineRule="auto"/>
              <w:rPr>
                <w:b/>
                <w:sz w:val="20"/>
                <w:szCs w:val="20"/>
                <w:lang w:val="en-US"/>
              </w:rPr>
            </w:pPr>
          </w:p>
        </w:tc>
        <w:tc>
          <w:tcPr>
            <w:tcW w:w="991" w:type="dxa"/>
            <w:tcBorders>
              <w:left w:val="nil"/>
            </w:tcBorders>
          </w:tcPr>
          <w:p w14:paraId="7D45CE8F" w14:textId="77777777" w:rsidR="00EB0BEF" w:rsidRPr="007F131A" w:rsidRDefault="00EB0BEF" w:rsidP="00A0419B">
            <w:pPr>
              <w:spacing w:after="0" w:line="240" w:lineRule="auto"/>
              <w:rPr>
                <w:b/>
                <w:sz w:val="20"/>
                <w:szCs w:val="20"/>
                <w:lang w:val="en-US"/>
              </w:rPr>
            </w:pPr>
          </w:p>
        </w:tc>
      </w:tr>
      <w:tr w:rsidR="00EB0BEF" w:rsidRPr="007F131A" w14:paraId="5E257001" w14:textId="77777777" w:rsidTr="00A0419B">
        <w:tc>
          <w:tcPr>
            <w:tcW w:w="1160" w:type="dxa"/>
            <w:tcBorders>
              <w:right w:val="nil"/>
            </w:tcBorders>
            <w:tcMar>
              <w:left w:w="28" w:type="dxa"/>
              <w:right w:w="28" w:type="dxa"/>
            </w:tcMar>
          </w:tcPr>
          <w:p w14:paraId="2BC1876A"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 xml:space="preserve">   2010</w:t>
            </w:r>
          </w:p>
        </w:tc>
        <w:tc>
          <w:tcPr>
            <w:tcW w:w="706" w:type="dxa"/>
            <w:tcBorders>
              <w:left w:val="nil"/>
              <w:right w:val="nil"/>
            </w:tcBorders>
            <w:tcMar>
              <w:left w:w="28" w:type="dxa"/>
              <w:right w:w="28" w:type="dxa"/>
            </w:tcMar>
          </w:tcPr>
          <w:p w14:paraId="3A74B36B" w14:textId="77777777" w:rsidR="00EB0BEF" w:rsidRPr="007F131A" w:rsidRDefault="00EB0BEF" w:rsidP="00A0419B">
            <w:pPr>
              <w:spacing w:after="0" w:line="240" w:lineRule="auto"/>
              <w:rPr>
                <w:b/>
                <w:sz w:val="20"/>
                <w:szCs w:val="20"/>
                <w:lang w:val="en-US"/>
              </w:rPr>
            </w:pPr>
          </w:p>
        </w:tc>
        <w:tc>
          <w:tcPr>
            <w:tcW w:w="1127" w:type="dxa"/>
            <w:tcBorders>
              <w:left w:val="nil"/>
              <w:right w:val="nil"/>
            </w:tcBorders>
            <w:tcMar>
              <w:left w:w="28" w:type="dxa"/>
              <w:right w:w="28" w:type="dxa"/>
            </w:tcMar>
          </w:tcPr>
          <w:p w14:paraId="2A13D568" w14:textId="77777777" w:rsidR="00EB0BEF" w:rsidRPr="007F131A" w:rsidRDefault="00EB0BEF" w:rsidP="00A0419B">
            <w:pPr>
              <w:spacing w:after="0" w:line="240" w:lineRule="auto"/>
              <w:jc w:val="center"/>
              <w:rPr>
                <w:b/>
                <w:sz w:val="20"/>
                <w:szCs w:val="20"/>
                <w:lang w:val="en-US"/>
              </w:rPr>
            </w:pPr>
            <w:r w:rsidRPr="007F131A">
              <w:rPr>
                <w:lang w:val="en-US"/>
              </w:rPr>
              <w:t>0.173</w:t>
            </w:r>
          </w:p>
        </w:tc>
        <w:tc>
          <w:tcPr>
            <w:tcW w:w="847" w:type="dxa"/>
            <w:tcBorders>
              <w:left w:val="nil"/>
              <w:right w:val="nil"/>
            </w:tcBorders>
            <w:tcMar>
              <w:left w:w="28" w:type="dxa"/>
              <w:right w:w="28" w:type="dxa"/>
            </w:tcMar>
          </w:tcPr>
          <w:p w14:paraId="55EEBFD6" w14:textId="77777777" w:rsidR="00EB0BEF" w:rsidRPr="007F131A" w:rsidRDefault="00EB0BEF" w:rsidP="00A0419B">
            <w:pPr>
              <w:spacing w:after="0" w:line="240" w:lineRule="auto"/>
              <w:jc w:val="center"/>
              <w:rPr>
                <w:b/>
                <w:sz w:val="20"/>
                <w:szCs w:val="20"/>
                <w:lang w:val="en-US"/>
              </w:rPr>
            </w:pPr>
            <w:r w:rsidRPr="007F131A">
              <w:rPr>
                <w:lang w:val="en-US"/>
              </w:rPr>
              <w:t>0.309</w:t>
            </w:r>
          </w:p>
        </w:tc>
        <w:tc>
          <w:tcPr>
            <w:tcW w:w="704" w:type="dxa"/>
            <w:tcBorders>
              <w:left w:val="nil"/>
            </w:tcBorders>
            <w:tcMar>
              <w:left w:w="28" w:type="dxa"/>
              <w:right w:w="28" w:type="dxa"/>
            </w:tcMar>
          </w:tcPr>
          <w:p w14:paraId="43425267" w14:textId="77777777" w:rsidR="00EB0BEF" w:rsidRPr="007F131A" w:rsidRDefault="00EB0BEF" w:rsidP="00A0419B">
            <w:pPr>
              <w:spacing w:after="0" w:line="240" w:lineRule="auto"/>
              <w:rPr>
                <w:b/>
                <w:sz w:val="20"/>
                <w:szCs w:val="20"/>
                <w:lang w:val="en-US"/>
              </w:rPr>
            </w:pPr>
          </w:p>
        </w:tc>
        <w:tc>
          <w:tcPr>
            <w:tcW w:w="893" w:type="dxa"/>
            <w:tcBorders>
              <w:right w:val="nil"/>
            </w:tcBorders>
            <w:tcMar>
              <w:left w:w="28" w:type="dxa"/>
              <w:right w:w="28" w:type="dxa"/>
            </w:tcMar>
          </w:tcPr>
          <w:p w14:paraId="62601534" w14:textId="77777777" w:rsidR="00EB0BEF" w:rsidRPr="007F131A" w:rsidRDefault="00EB0BEF" w:rsidP="00A0419B">
            <w:pPr>
              <w:spacing w:after="0" w:line="240" w:lineRule="auto"/>
              <w:jc w:val="center"/>
              <w:rPr>
                <w:b/>
                <w:sz w:val="20"/>
                <w:szCs w:val="20"/>
                <w:lang w:val="en-US"/>
              </w:rPr>
            </w:pPr>
            <w:r w:rsidRPr="007F131A">
              <w:rPr>
                <w:lang w:val="en-US"/>
              </w:rPr>
              <w:t>-0.141</w:t>
            </w:r>
          </w:p>
        </w:tc>
        <w:tc>
          <w:tcPr>
            <w:tcW w:w="987" w:type="dxa"/>
            <w:tcBorders>
              <w:left w:val="nil"/>
              <w:right w:val="nil"/>
            </w:tcBorders>
            <w:tcMar>
              <w:left w:w="28" w:type="dxa"/>
              <w:right w:w="28" w:type="dxa"/>
            </w:tcMar>
          </w:tcPr>
          <w:p w14:paraId="1B1A594A" w14:textId="77777777" w:rsidR="00EB0BEF" w:rsidRPr="007F131A" w:rsidRDefault="00EB0BEF" w:rsidP="00A0419B">
            <w:pPr>
              <w:spacing w:after="0" w:line="240" w:lineRule="auto"/>
              <w:jc w:val="center"/>
              <w:rPr>
                <w:b/>
                <w:sz w:val="20"/>
                <w:szCs w:val="20"/>
                <w:lang w:val="en-US"/>
              </w:rPr>
            </w:pPr>
            <w:r w:rsidRPr="007F131A">
              <w:rPr>
                <w:lang w:val="en-US"/>
              </w:rPr>
              <w:t>0.504</w:t>
            </w:r>
          </w:p>
        </w:tc>
        <w:tc>
          <w:tcPr>
            <w:tcW w:w="846" w:type="dxa"/>
            <w:tcBorders>
              <w:left w:val="nil"/>
            </w:tcBorders>
            <w:tcMar>
              <w:left w:w="28" w:type="dxa"/>
              <w:right w:w="28" w:type="dxa"/>
            </w:tcMar>
          </w:tcPr>
          <w:p w14:paraId="5CE026DA" w14:textId="77777777" w:rsidR="00EB0BEF" w:rsidRPr="007F131A" w:rsidRDefault="00EB0BEF" w:rsidP="00A0419B">
            <w:pPr>
              <w:spacing w:after="0" w:line="240" w:lineRule="auto"/>
              <w:rPr>
                <w:b/>
                <w:sz w:val="20"/>
                <w:szCs w:val="20"/>
                <w:lang w:val="en-US"/>
              </w:rPr>
            </w:pPr>
          </w:p>
        </w:tc>
        <w:tc>
          <w:tcPr>
            <w:tcW w:w="987" w:type="dxa"/>
            <w:tcBorders>
              <w:right w:val="nil"/>
            </w:tcBorders>
            <w:tcMar>
              <w:left w:w="28" w:type="dxa"/>
              <w:right w:w="28" w:type="dxa"/>
            </w:tcMar>
          </w:tcPr>
          <w:p w14:paraId="1E3F512A" w14:textId="77777777" w:rsidR="00EB0BEF" w:rsidRPr="007F131A" w:rsidRDefault="00EB0BEF" w:rsidP="00A0419B">
            <w:pPr>
              <w:spacing w:after="0" w:line="240" w:lineRule="auto"/>
              <w:jc w:val="center"/>
              <w:rPr>
                <w:b/>
                <w:sz w:val="20"/>
                <w:szCs w:val="20"/>
                <w:lang w:val="en-US"/>
              </w:rPr>
            </w:pPr>
            <w:r w:rsidRPr="007F131A">
              <w:rPr>
                <w:lang w:val="en-US"/>
              </w:rPr>
              <w:t>-0.122</w:t>
            </w:r>
          </w:p>
        </w:tc>
        <w:tc>
          <w:tcPr>
            <w:tcW w:w="846" w:type="dxa"/>
            <w:tcBorders>
              <w:left w:val="nil"/>
              <w:right w:val="nil"/>
            </w:tcBorders>
            <w:tcMar>
              <w:left w:w="28" w:type="dxa"/>
              <w:right w:w="28" w:type="dxa"/>
            </w:tcMar>
          </w:tcPr>
          <w:p w14:paraId="7E19752C" w14:textId="77777777" w:rsidR="00EB0BEF" w:rsidRPr="007F131A" w:rsidRDefault="00EB0BEF" w:rsidP="00A0419B">
            <w:pPr>
              <w:spacing w:after="0" w:line="240" w:lineRule="auto"/>
              <w:jc w:val="center"/>
              <w:rPr>
                <w:b/>
                <w:sz w:val="20"/>
                <w:szCs w:val="20"/>
                <w:lang w:val="en-US"/>
              </w:rPr>
            </w:pPr>
            <w:r w:rsidRPr="007F131A">
              <w:rPr>
                <w:lang w:val="en-US"/>
              </w:rPr>
              <w:t>0.567</w:t>
            </w:r>
          </w:p>
        </w:tc>
        <w:tc>
          <w:tcPr>
            <w:tcW w:w="991" w:type="dxa"/>
            <w:tcBorders>
              <w:left w:val="nil"/>
            </w:tcBorders>
            <w:tcMar>
              <w:left w:w="28" w:type="dxa"/>
              <w:right w:w="28" w:type="dxa"/>
            </w:tcMar>
          </w:tcPr>
          <w:p w14:paraId="31B10CAD" w14:textId="77777777" w:rsidR="00EB0BEF" w:rsidRPr="007F131A" w:rsidRDefault="00EB0BEF" w:rsidP="00A0419B">
            <w:pPr>
              <w:spacing w:after="0" w:line="240" w:lineRule="auto"/>
              <w:rPr>
                <w:b/>
                <w:sz w:val="20"/>
                <w:szCs w:val="20"/>
                <w:lang w:val="en-US"/>
              </w:rPr>
            </w:pPr>
          </w:p>
        </w:tc>
        <w:tc>
          <w:tcPr>
            <w:tcW w:w="991" w:type="dxa"/>
            <w:tcBorders>
              <w:right w:val="nil"/>
            </w:tcBorders>
          </w:tcPr>
          <w:p w14:paraId="70400DB4" w14:textId="77777777" w:rsidR="00EB0BEF" w:rsidRPr="007F131A" w:rsidRDefault="00EB0BEF" w:rsidP="00A0419B">
            <w:pPr>
              <w:spacing w:after="0" w:line="240" w:lineRule="auto"/>
              <w:rPr>
                <w:b/>
                <w:sz w:val="20"/>
                <w:szCs w:val="20"/>
                <w:lang w:val="en-US"/>
              </w:rPr>
            </w:pPr>
            <w:r w:rsidRPr="007F131A">
              <w:t>0.155</w:t>
            </w:r>
          </w:p>
        </w:tc>
        <w:tc>
          <w:tcPr>
            <w:tcW w:w="991" w:type="dxa"/>
            <w:tcBorders>
              <w:left w:val="nil"/>
              <w:right w:val="nil"/>
            </w:tcBorders>
          </w:tcPr>
          <w:p w14:paraId="645AAFD2" w14:textId="77777777" w:rsidR="00EB0BEF" w:rsidRPr="007F131A" w:rsidRDefault="00EB0BEF" w:rsidP="00A0419B">
            <w:pPr>
              <w:spacing w:after="0" w:line="240" w:lineRule="auto"/>
              <w:rPr>
                <w:b/>
                <w:sz w:val="20"/>
                <w:szCs w:val="20"/>
                <w:lang w:val="en-US"/>
              </w:rPr>
            </w:pPr>
            <w:r w:rsidRPr="007F131A">
              <w:t>0.358</w:t>
            </w:r>
          </w:p>
        </w:tc>
        <w:tc>
          <w:tcPr>
            <w:tcW w:w="991" w:type="dxa"/>
            <w:tcBorders>
              <w:left w:val="nil"/>
            </w:tcBorders>
          </w:tcPr>
          <w:p w14:paraId="0617E7D4" w14:textId="77777777" w:rsidR="00EB0BEF" w:rsidRPr="007F131A" w:rsidRDefault="00EB0BEF" w:rsidP="00A0419B">
            <w:pPr>
              <w:spacing w:after="0" w:line="240" w:lineRule="auto"/>
              <w:rPr>
                <w:b/>
                <w:sz w:val="20"/>
                <w:szCs w:val="20"/>
                <w:lang w:val="en-US"/>
              </w:rPr>
            </w:pPr>
          </w:p>
        </w:tc>
      </w:tr>
      <w:tr w:rsidR="00EB0BEF" w:rsidRPr="007F131A" w14:paraId="6FE3F393" w14:textId="77777777" w:rsidTr="00A0419B">
        <w:tc>
          <w:tcPr>
            <w:tcW w:w="1160" w:type="dxa"/>
            <w:tcBorders>
              <w:right w:val="nil"/>
            </w:tcBorders>
            <w:tcMar>
              <w:left w:w="28" w:type="dxa"/>
              <w:right w:w="28" w:type="dxa"/>
            </w:tcMar>
          </w:tcPr>
          <w:p w14:paraId="5D46B4D9"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 xml:space="preserve">   2011</w:t>
            </w:r>
          </w:p>
        </w:tc>
        <w:tc>
          <w:tcPr>
            <w:tcW w:w="706" w:type="dxa"/>
            <w:tcBorders>
              <w:left w:val="nil"/>
              <w:right w:val="nil"/>
            </w:tcBorders>
            <w:tcMar>
              <w:left w:w="28" w:type="dxa"/>
              <w:right w:w="28" w:type="dxa"/>
            </w:tcMar>
          </w:tcPr>
          <w:p w14:paraId="7C94C48A" w14:textId="77777777" w:rsidR="00EB0BEF" w:rsidRPr="007F131A" w:rsidRDefault="00EB0BEF" w:rsidP="00A0419B">
            <w:pPr>
              <w:spacing w:after="0" w:line="240" w:lineRule="auto"/>
              <w:rPr>
                <w:b/>
                <w:sz w:val="20"/>
                <w:szCs w:val="20"/>
                <w:lang w:val="en-US"/>
              </w:rPr>
            </w:pPr>
          </w:p>
        </w:tc>
        <w:tc>
          <w:tcPr>
            <w:tcW w:w="1127" w:type="dxa"/>
            <w:tcBorders>
              <w:left w:val="nil"/>
              <w:right w:val="nil"/>
            </w:tcBorders>
            <w:tcMar>
              <w:left w:w="28" w:type="dxa"/>
              <w:right w:w="28" w:type="dxa"/>
            </w:tcMar>
          </w:tcPr>
          <w:p w14:paraId="7244EEEC" w14:textId="77777777" w:rsidR="00EB0BEF" w:rsidRPr="007F131A" w:rsidRDefault="00EB0BEF" w:rsidP="00A0419B">
            <w:pPr>
              <w:spacing w:after="0" w:line="240" w:lineRule="auto"/>
              <w:jc w:val="center"/>
              <w:rPr>
                <w:b/>
                <w:sz w:val="20"/>
                <w:szCs w:val="20"/>
                <w:lang w:val="en-US"/>
              </w:rPr>
            </w:pPr>
            <w:r w:rsidRPr="007F131A">
              <w:rPr>
                <w:lang w:val="en-US"/>
              </w:rPr>
              <w:t>0.076</w:t>
            </w:r>
          </w:p>
        </w:tc>
        <w:tc>
          <w:tcPr>
            <w:tcW w:w="847" w:type="dxa"/>
            <w:tcBorders>
              <w:left w:val="nil"/>
              <w:right w:val="nil"/>
            </w:tcBorders>
            <w:tcMar>
              <w:left w:w="28" w:type="dxa"/>
              <w:right w:w="28" w:type="dxa"/>
            </w:tcMar>
          </w:tcPr>
          <w:p w14:paraId="598EB943" w14:textId="77777777" w:rsidR="00EB0BEF" w:rsidRPr="007F131A" w:rsidRDefault="00EB0BEF" w:rsidP="00A0419B">
            <w:pPr>
              <w:spacing w:after="0" w:line="240" w:lineRule="auto"/>
              <w:jc w:val="center"/>
              <w:rPr>
                <w:b/>
                <w:sz w:val="20"/>
                <w:szCs w:val="20"/>
                <w:lang w:val="en-US"/>
              </w:rPr>
            </w:pPr>
            <w:r w:rsidRPr="007F131A">
              <w:rPr>
                <w:lang w:val="en-US"/>
              </w:rPr>
              <w:t>0.656</w:t>
            </w:r>
          </w:p>
        </w:tc>
        <w:tc>
          <w:tcPr>
            <w:tcW w:w="704" w:type="dxa"/>
            <w:tcBorders>
              <w:left w:val="nil"/>
            </w:tcBorders>
            <w:tcMar>
              <w:left w:w="28" w:type="dxa"/>
              <w:right w:w="28" w:type="dxa"/>
            </w:tcMar>
          </w:tcPr>
          <w:p w14:paraId="53661DF9" w14:textId="77777777" w:rsidR="00EB0BEF" w:rsidRPr="007F131A" w:rsidRDefault="00EB0BEF" w:rsidP="00A0419B">
            <w:pPr>
              <w:spacing w:after="0" w:line="240" w:lineRule="auto"/>
              <w:rPr>
                <w:b/>
                <w:sz w:val="20"/>
                <w:szCs w:val="20"/>
                <w:lang w:val="en-US"/>
              </w:rPr>
            </w:pPr>
          </w:p>
        </w:tc>
        <w:tc>
          <w:tcPr>
            <w:tcW w:w="893" w:type="dxa"/>
            <w:tcBorders>
              <w:right w:val="nil"/>
            </w:tcBorders>
            <w:tcMar>
              <w:left w:w="28" w:type="dxa"/>
              <w:right w:w="28" w:type="dxa"/>
            </w:tcMar>
          </w:tcPr>
          <w:p w14:paraId="0F98C31C" w14:textId="77777777" w:rsidR="00EB0BEF" w:rsidRPr="007F131A" w:rsidRDefault="00EB0BEF" w:rsidP="00A0419B">
            <w:pPr>
              <w:spacing w:after="0" w:line="240" w:lineRule="auto"/>
              <w:jc w:val="center"/>
              <w:rPr>
                <w:b/>
                <w:sz w:val="20"/>
                <w:szCs w:val="20"/>
                <w:lang w:val="en-US"/>
              </w:rPr>
            </w:pPr>
            <w:r w:rsidRPr="007F131A">
              <w:rPr>
                <w:lang w:val="en-US"/>
              </w:rPr>
              <w:t>-0.511</w:t>
            </w:r>
          </w:p>
        </w:tc>
        <w:tc>
          <w:tcPr>
            <w:tcW w:w="987" w:type="dxa"/>
            <w:tcBorders>
              <w:left w:val="nil"/>
              <w:right w:val="nil"/>
            </w:tcBorders>
            <w:tcMar>
              <w:left w:w="28" w:type="dxa"/>
              <w:right w:w="28" w:type="dxa"/>
            </w:tcMar>
          </w:tcPr>
          <w:p w14:paraId="7281C0FE" w14:textId="77777777" w:rsidR="00EB0BEF" w:rsidRPr="007F131A" w:rsidRDefault="00EB0BEF" w:rsidP="00A0419B">
            <w:pPr>
              <w:spacing w:after="0" w:line="240" w:lineRule="auto"/>
              <w:jc w:val="center"/>
              <w:rPr>
                <w:b/>
                <w:sz w:val="20"/>
                <w:szCs w:val="20"/>
                <w:lang w:val="en-US"/>
              </w:rPr>
            </w:pPr>
            <w:r w:rsidRPr="007F131A">
              <w:rPr>
                <w:lang w:val="en-US"/>
              </w:rPr>
              <w:t>0.016</w:t>
            </w:r>
          </w:p>
        </w:tc>
        <w:tc>
          <w:tcPr>
            <w:tcW w:w="846" w:type="dxa"/>
            <w:tcBorders>
              <w:left w:val="nil"/>
            </w:tcBorders>
            <w:tcMar>
              <w:left w:w="28" w:type="dxa"/>
              <w:right w:w="28" w:type="dxa"/>
            </w:tcMar>
          </w:tcPr>
          <w:p w14:paraId="76D5B679"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87" w:type="dxa"/>
            <w:tcBorders>
              <w:right w:val="nil"/>
            </w:tcBorders>
            <w:tcMar>
              <w:left w:w="28" w:type="dxa"/>
              <w:right w:w="28" w:type="dxa"/>
            </w:tcMar>
          </w:tcPr>
          <w:p w14:paraId="7FC636DD" w14:textId="77777777" w:rsidR="00EB0BEF" w:rsidRPr="007F131A" w:rsidRDefault="00EB0BEF" w:rsidP="00A0419B">
            <w:pPr>
              <w:spacing w:after="0" w:line="240" w:lineRule="auto"/>
              <w:jc w:val="center"/>
              <w:rPr>
                <w:b/>
                <w:sz w:val="20"/>
                <w:szCs w:val="20"/>
                <w:lang w:val="en-US"/>
              </w:rPr>
            </w:pPr>
            <w:r w:rsidRPr="007F131A">
              <w:rPr>
                <w:lang w:val="en-US"/>
              </w:rPr>
              <w:t>-0.500</w:t>
            </w:r>
          </w:p>
        </w:tc>
        <w:tc>
          <w:tcPr>
            <w:tcW w:w="846" w:type="dxa"/>
            <w:tcBorders>
              <w:left w:val="nil"/>
              <w:right w:val="nil"/>
            </w:tcBorders>
            <w:tcMar>
              <w:left w:w="28" w:type="dxa"/>
              <w:right w:w="28" w:type="dxa"/>
            </w:tcMar>
          </w:tcPr>
          <w:p w14:paraId="7233C6AD" w14:textId="77777777" w:rsidR="00EB0BEF" w:rsidRPr="007F131A" w:rsidRDefault="00EB0BEF" w:rsidP="00A0419B">
            <w:pPr>
              <w:spacing w:after="0" w:line="240" w:lineRule="auto"/>
              <w:jc w:val="center"/>
              <w:rPr>
                <w:b/>
                <w:sz w:val="20"/>
                <w:szCs w:val="20"/>
                <w:lang w:val="en-US"/>
              </w:rPr>
            </w:pPr>
            <w:r w:rsidRPr="007F131A">
              <w:rPr>
                <w:lang w:val="en-US"/>
              </w:rPr>
              <w:t>0.019</w:t>
            </w:r>
          </w:p>
        </w:tc>
        <w:tc>
          <w:tcPr>
            <w:tcW w:w="991" w:type="dxa"/>
            <w:tcBorders>
              <w:left w:val="nil"/>
            </w:tcBorders>
            <w:tcMar>
              <w:left w:w="28" w:type="dxa"/>
              <w:right w:w="28" w:type="dxa"/>
            </w:tcMar>
          </w:tcPr>
          <w:p w14:paraId="4759C792"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w:t>
            </w:r>
          </w:p>
        </w:tc>
        <w:tc>
          <w:tcPr>
            <w:tcW w:w="991" w:type="dxa"/>
            <w:tcBorders>
              <w:right w:val="nil"/>
            </w:tcBorders>
          </w:tcPr>
          <w:p w14:paraId="5A49F518" w14:textId="77777777" w:rsidR="00EB0BEF" w:rsidRPr="007F131A" w:rsidRDefault="00EB0BEF" w:rsidP="00A0419B">
            <w:pPr>
              <w:spacing w:after="0" w:line="240" w:lineRule="auto"/>
              <w:rPr>
                <w:rFonts w:eastAsia="MS Mincho"/>
                <w:sz w:val="20"/>
                <w:szCs w:val="20"/>
                <w:lang w:val="en-GB" w:eastAsia="ja-JP"/>
              </w:rPr>
            </w:pPr>
            <w:r w:rsidRPr="007F131A">
              <w:t>0.064</w:t>
            </w:r>
          </w:p>
        </w:tc>
        <w:tc>
          <w:tcPr>
            <w:tcW w:w="991" w:type="dxa"/>
            <w:tcBorders>
              <w:left w:val="nil"/>
              <w:right w:val="nil"/>
            </w:tcBorders>
          </w:tcPr>
          <w:p w14:paraId="624C7761" w14:textId="77777777" w:rsidR="00EB0BEF" w:rsidRPr="007F131A" w:rsidRDefault="00EB0BEF" w:rsidP="00A0419B">
            <w:pPr>
              <w:spacing w:after="0" w:line="240" w:lineRule="auto"/>
              <w:rPr>
                <w:rFonts w:eastAsia="MS Mincho"/>
                <w:sz w:val="20"/>
                <w:szCs w:val="20"/>
                <w:lang w:val="en-GB" w:eastAsia="ja-JP"/>
              </w:rPr>
            </w:pPr>
            <w:r w:rsidRPr="007F131A">
              <w:t>0.702</w:t>
            </w:r>
          </w:p>
        </w:tc>
        <w:tc>
          <w:tcPr>
            <w:tcW w:w="991" w:type="dxa"/>
            <w:tcBorders>
              <w:left w:val="nil"/>
            </w:tcBorders>
          </w:tcPr>
          <w:p w14:paraId="2A8CA007" w14:textId="77777777" w:rsidR="00EB0BEF" w:rsidRPr="007F131A" w:rsidRDefault="00EB0BEF" w:rsidP="00A0419B">
            <w:pPr>
              <w:spacing w:after="0" w:line="240" w:lineRule="auto"/>
              <w:rPr>
                <w:rFonts w:eastAsia="MS Mincho"/>
                <w:sz w:val="20"/>
                <w:szCs w:val="20"/>
                <w:lang w:val="en-GB" w:eastAsia="ja-JP"/>
              </w:rPr>
            </w:pPr>
          </w:p>
        </w:tc>
      </w:tr>
      <w:tr w:rsidR="00EB0BEF" w:rsidRPr="007F131A" w14:paraId="4A170BB5" w14:textId="77777777" w:rsidTr="00A0419B">
        <w:trPr>
          <w:trHeight w:val="310"/>
        </w:trPr>
        <w:tc>
          <w:tcPr>
            <w:tcW w:w="1160" w:type="dxa"/>
            <w:tcBorders>
              <w:right w:val="nil"/>
            </w:tcBorders>
            <w:tcMar>
              <w:left w:w="28" w:type="dxa"/>
              <w:right w:w="28" w:type="dxa"/>
            </w:tcMar>
          </w:tcPr>
          <w:p w14:paraId="17042FBD"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 xml:space="preserve">   2012</w:t>
            </w:r>
          </w:p>
        </w:tc>
        <w:tc>
          <w:tcPr>
            <w:tcW w:w="706" w:type="dxa"/>
            <w:tcBorders>
              <w:left w:val="nil"/>
              <w:right w:val="nil"/>
            </w:tcBorders>
            <w:tcMar>
              <w:left w:w="28" w:type="dxa"/>
              <w:right w:w="28" w:type="dxa"/>
            </w:tcMar>
          </w:tcPr>
          <w:p w14:paraId="16A81757" w14:textId="77777777" w:rsidR="00EB0BEF" w:rsidRPr="007F131A" w:rsidRDefault="00EB0BEF" w:rsidP="00A0419B">
            <w:pPr>
              <w:spacing w:after="0" w:line="240" w:lineRule="auto"/>
              <w:rPr>
                <w:b/>
                <w:sz w:val="20"/>
                <w:szCs w:val="20"/>
                <w:lang w:val="en-US"/>
              </w:rPr>
            </w:pPr>
          </w:p>
        </w:tc>
        <w:tc>
          <w:tcPr>
            <w:tcW w:w="1127" w:type="dxa"/>
            <w:tcBorders>
              <w:left w:val="nil"/>
              <w:right w:val="nil"/>
            </w:tcBorders>
            <w:tcMar>
              <w:left w:w="28" w:type="dxa"/>
              <w:right w:w="28" w:type="dxa"/>
            </w:tcMar>
          </w:tcPr>
          <w:p w14:paraId="4994287E" w14:textId="77777777" w:rsidR="00EB0BEF" w:rsidRPr="007F131A" w:rsidRDefault="00EB0BEF" w:rsidP="00A0419B">
            <w:pPr>
              <w:spacing w:after="0" w:line="240" w:lineRule="auto"/>
              <w:jc w:val="center"/>
              <w:rPr>
                <w:b/>
                <w:sz w:val="20"/>
                <w:szCs w:val="20"/>
                <w:lang w:val="en-US"/>
              </w:rPr>
            </w:pPr>
            <w:r w:rsidRPr="007F131A">
              <w:rPr>
                <w:lang w:val="en-US"/>
              </w:rPr>
              <w:t>-0.261</w:t>
            </w:r>
          </w:p>
        </w:tc>
        <w:tc>
          <w:tcPr>
            <w:tcW w:w="847" w:type="dxa"/>
            <w:tcBorders>
              <w:left w:val="nil"/>
              <w:right w:val="nil"/>
            </w:tcBorders>
            <w:tcMar>
              <w:left w:w="28" w:type="dxa"/>
              <w:right w:w="28" w:type="dxa"/>
            </w:tcMar>
          </w:tcPr>
          <w:p w14:paraId="53E232FA" w14:textId="77777777" w:rsidR="00EB0BEF" w:rsidRPr="007F131A" w:rsidRDefault="00EB0BEF" w:rsidP="00A0419B">
            <w:pPr>
              <w:spacing w:after="0" w:line="240" w:lineRule="auto"/>
              <w:jc w:val="center"/>
              <w:rPr>
                <w:b/>
                <w:sz w:val="20"/>
                <w:szCs w:val="20"/>
                <w:lang w:val="en-US"/>
              </w:rPr>
            </w:pPr>
            <w:r w:rsidRPr="007F131A">
              <w:rPr>
                <w:lang w:val="en-US"/>
              </w:rPr>
              <w:t>0.127</w:t>
            </w:r>
          </w:p>
        </w:tc>
        <w:tc>
          <w:tcPr>
            <w:tcW w:w="704" w:type="dxa"/>
            <w:tcBorders>
              <w:left w:val="nil"/>
            </w:tcBorders>
            <w:tcMar>
              <w:left w:w="28" w:type="dxa"/>
              <w:right w:w="28" w:type="dxa"/>
            </w:tcMar>
          </w:tcPr>
          <w:p w14:paraId="27CA8C6B" w14:textId="77777777" w:rsidR="00EB0BEF" w:rsidRPr="007F131A" w:rsidRDefault="00EB0BEF" w:rsidP="00A0419B">
            <w:pPr>
              <w:spacing w:after="0" w:line="240" w:lineRule="auto"/>
              <w:rPr>
                <w:b/>
                <w:sz w:val="20"/>
                <w:szCs w:val="20"/>
                <w:lang w:val="en-US"/>
              </w:rPr>
            </w:pPr>
          </w:p>
        </w:tc>
        <w:tc>
          <w:tcPr>
            <w:tcW w:w="893" w:type="dxa"/>
            <w:tcBorders>
              <w:right w:val="nil"/>
            </w:tcBorders>
            <w:tcMar>
              <w:left w:w="28" w:type="dxa"/>
              <w:right w:w="28" w:type="dxa"/>
            </w:tcMar>
          </w:tcPr>
          <w:p w14:paraId="2079B86B" w14:textId="77777777" w:rsidR="00EB0BEF" w:rsidRPr="007F131A" w:rsidRDefault="00EB0BEF" w:rsidP="00A0419B">
            <w:pPr>
              <w:spacing w:after="0" w:line="240" w:lineRule="auto"/>
              <w:jc w:val="center"/>
              <w:rPr>
                <w:b/>
                <w:sz w:val="20"/>
                <w:szCs w:val="20"/>
                <w:lang w:val="en-US"/>
              </w:rPr>
            </w:pPr>
            <w:r w:rsidRPr="007F131A">
              <w:rPr>
                <w:lang w:val="en-US"/>
              </w:rPr>
              <w:t>-0.172</w:t>
            </w:r>
          </w:p>
        </w:tc>
        <w:tc>
          <w:tcPr>
            <w:tcW w:w="987" w:type="dxa"/>
            <w:tcBorders>
              <w:left w:val="nil"/>
              <w:right w:val="nil"/>
            </w:tcBorders>
            <w:tcMar>
              <w:left w:w="28" w:type="dxa"/>
              <w:right w:w="28" w:type="dxa"/>
            </w:tcMar>
          </w:tcPr>
          <w:p w14:paraId="78A4A8A6" w14:textId="77777777" w:rsidR="00EB0BEF" w:rsidRPr="007F131A" w:rsidRDefault="00EB0BEF" w:rsidP="00A0419B">
            <w:pPr>
              <w:spacing w:after="0" w:line="240" w:lineRule="auto"/>
              <w:jc w:val="center"/>
              <w:rPr>
                <w:b/>
                <w:sz w:val="20"/>
                <w:szCs w:val="20"/>
                <w:lang w:val="en-US"/>
              </w:rPr>
            </w:pPr>
            <w:r w:rsidRPr="007F131A">
              <w:rPr>
                <w:lang w:val="en-US"/>
              </w:rPr>
              <w:t>0.416</w:t>
            </w:r>
          </w:p>
        </w:tc>
        <w:tc>
          <w:tcPr>
            <w:tcW w:w="846" w:type="dxa"/>
            <w:tcBorders>
              <w:left w:val="nil"/>
            </w:tcBorders>
            <w:tcMar>
              <w:left w:w="28" w:type="dxa"/>
              <w:right w:w="28" w:type="dxa"/>
            </w:tcMar>
          </w:tcPr>
          <w:p w14:paraId="5FE6E8F4" w14:textId="77777777" w:rsidR="00EB0BEF" w:rsidRPr="007F131A" w:rsidRDefault="00EB0BEF" w:rsidP="00A0419B">
            <w:pPr>
              <w:spacing w:after="0" w:line="240" w:lineRule="auto"/>
              <w:rPr>
                <w:b/>
                <w:sz w:val="20"/>
                <w:szCs w:val="20"/>
                <w:lang w:val="en-US"/>
              </w:rPr>
            </w:pPr>
          </w:p>
        </w:tc>
        <w:tc>
          <w:tcPr>
            <w:tcW w:w="987" w:type="dxa"/>
            <w:tcBorders>
              <w:right w:val="nil"/>
            </w:tcBorders>
            <w:tcMar>
              <w:left w:w="28" w:type="dxa"/>
              <w:right w:w="28" w:type="dxa"/>
            </w:tcMar>
          </w:tcPr>
          <w:p w14:paraId="3883D433" w14:textId="77777777" w:rsidR="00EB0BEF" w:rsidRPr="007F131A" w:rsidRDefault="00EB0BEF" w:rsidP="00A0419B">
            <w:pPr>
              <w:spacing w:after="0" w:line="240" w:lineRule="auto"/>
              <w:jc w:val="center"/>
              <w:rPr>
                <w:b/>
                <w:sz w:val="20"/>
                <w:szCs w:val="20"/>
                <w:lang w:val="en-US"/>
              </w:rPr>
            </w:pPr>
            <w:r w:rsidRPr="007F131A">
              <w:rPr>
                <w:lang w:val="en-US"/>
              </w:rPr>
              <w:t>-0.183</w:t>
            </w:r>
          </w:p>
        </w:tc>
        <w:tc>
          <w:tcPr>
            <w:tcW w:w="846" w:type="dxa"/>
            <w:tcBorders>
              <w:left w:val="nil"/>
              <w:right w:val="nil"/>
            </w:tcBorders>
            <w:tcMar>
              <w:left w:w="28" w:type="dxa"/>
              <w:right w:w="28" w:type="dxa"/>
            </w:tcMar>
          </w:tcPr>
          <w:p w14:paraId="34707029" w14:textId="77777777" w:rsidR="00EB0BEF" w:rsidRPr="007F131A" w:rsidRDefault="00EB0BEF" w:rsidP="00A0419B">
            <w:pPr>
              <w:spacing w:after="0" w:line="240" w:lineRule="auto"/>
              <w:jc w:val="center"/>
              <w:rPr>
                <w:b/>
                <w:sz w:val="20"/>
                <w:szCs w:val="20"/>
                <w:lang w:val="en-US"/>
              </w:rPr>
            </w:pPr>
            <w:r w:rsidRPr="007F131A">
              <w:rPr>
                <w:lang w:val="en-US"/>
              </w:rPr>
              <w:t>0.389</w:t>
            </w:r>
          </w:p>
        </w:tc>
        <w:tc>
          <w:tcPr>
            <w:tcW w:w="991" w:type="dxa"/>
            <w:tcBorders>
              <w:left w:val="nil"/>
            </w:tcBorders>
            <w:tcMar>
              <w:left w:w="28" w:type="dxa"/>
              <w:right w:w="28" w:type="dxa"/>
            </w:tcMar>
          </w:tcPr>
          <w:p w14:paraId="588BA13F" w14:textId="77777777" w:rsidR="00EB0BEF" w:rsidRPr="007F131A" w:rsidRDefault="00EB0BEF" w:rsidP="00A0419B">
            <w:pPr>
              <w:spacing w:after="0" w:line="240" w:lineRule="auto"/>
              <w:rPr>
                <w:b/>
                <w:sz w:val="20"/>
                <w:szCs w:val="20"/>
                <w:lang w:val="en-US"/>
              </w:rPr>
            </w:pPr>
          </w:p>
        </w:tc>
        <w:tc>
          <w:tcPr>
            <w:tcW w:w="991" w:type="dxa"/>
            <w:tcBorders>
              <w:right w:val="nil"/>
            </w:tcBorders>
          </w:tcPr>
          <w:p w14:paraId="7FB5CB3E" w14:textId="77777777" w:rsidR="00EB0BEF" w:rsidRPr="007F131A" w:rsidRDefault="00EB0BEF" w:rsidP="00A0419B">
            <w:pPr>
              <w:spacing w:after="0" w:line="240" w:lineRule="auto"/>
              <w:rPr>
                <w:b/>
                <w:sz w:val="20"/>
                <w:szCs w:val="20"/>
                <w:lang w:val="en-US"/>
              </w:rPr>
            </w:pPr>
            <w:r w:rsidRPr="007F131A">
              <w:t>-0.241</w:t>
            </w:r>
          </w:p>
        </w:tc>
        <w:tc>
          <w:tcPr>
            <w:tcW w:w="991" w:type="dxa"/>
            <w:tcBorders>
              <w:left w:val="nil"/>
              <w:right w:val="nil"/>
            </w:tcBorders>
          </w:tcPr>
          <w:p w14:paraId="7C431629" w14:textId="77777777" w:rsidR="00EB0BEF" w:rsidRPr="007F131A" w:rsidRDefault="00EB0BEF" w:rsidP="00A0419B">
            <w:pPr>
              <w:spacing w:after="0" w:line="240" w:lineRule="auto"/>
              <w:rPr>
                <w:b/>
                <w:sz w:val="20"/>
                <w:szCs w:val="20"/>
                <w:lang w:val="en-US"/>
              </w:rPr>
            </w:pPr>
            <w:r w:rsidRPr="007F131A">
              <w:t>0.154</w:t>
            </w:r>
          </w:p>
        </w:tc>
        <w:tc>
          <w:tcPr>
            <w:tcW w:w="991" w:type="dxa"/>
            <w:tcBorders>
              <w:left w:val="nil"/>
            </w:tcBorders>
          </w:tcPr>
          <w:p w14:paraId="34B620DA" w14:textId="77777777" w:rsidR="00EB0BEF" w:rsidRPr="007F131A" w:rsidRDefault="00EB0BEF" w:rsidP="00A0419B">
            <w:pPr>
              <w:spacing w:after="0" w:line="240" w:lineRule="auto"/>
              <w:rPr>
                <w:b/>
                <w:sz w:val="20"/>
                <w:szCs w:val="20"/>
                <w:lang w:val="en-US"/>
              </w:rPr>
            </w:pPr>
          </w:p>
        </w:tc>
      </w:tr>
      <w:tr w:rsidR="00EB0BEF" w:rsidRPr="007F131A" w14:paraId="6206897E" w14:textId="77777777" w:rsidTr="00A0419B">
        <w:tc>
          <w:tcPr>
            <w:tcW w:w="1160" w:type="dxa"/>
            <w:tcBorders>
              <w:right w:val="nil"/>
            </w:tcBorders>
            <w:tcMar>
              <w:left w:w="28" w:type="dxa"/>
              <w:right w:w="28" w:type="dxa"/>
            </w:tcMar>
          </w:tcPr>
          <w:p w14:paraId="712907A7" w14:textId="77777777" w:rsidR="00EB0BEF" w:rsidRPr="007F131A" w:rsidRDefault="00EB0BEF" w:rsidP="00A0419B">
            <w:pPr>
              <w:spacing w:after="0" w:line="240" w:lineRule="auto"/>
              <w:rPr>
                <w:b/>
                <w:sz w:val="20"/>
                <w:szCs w:val="20"/>
                <w:lang w:val="en-US"/>
              </w:rPr>
            </w:pPr>
            <w:r w:rsidRPr="007F131A">
              <w:rPr>
                <w:rFonts w:eastAsia="MS Mincho"/>
                <w:b/>
                <w:i/>
                <w:sz w:val="20"/>
                <w:szCs w:val="20"/>
                <w:lang w:val="en-GB" w:eastAsia="ja-JP"/>
              </w:rPr>
              <w:t xml:space="preserve">   2013</w:t>
            </w:r>
          </w:p>
        </w:tc>
        <w:tc>
          <w:tcPr>
            <w:tcW w:w="706" w:type="dxa"/>
            <w:tcBorders>
              <w:left w:val="nil"/>
              <w:right w:val="nil"/>
            </w:tcBorders>
            <w:tcMar>
              <w:left w:w="28" w:type="dxa"/>
              <w:right w:w="28" w:type="dxa"/>
            </w:tcMar>
          </w:tcPr>
          <w:p w14:paraId="4E1776E5" w14:textId="77777777" w:rsidR="00EB0BEF" w:rsidRPr="007F131A" w:rsidRDefault="00EB0BEF" w:rsidP="00A0419B">
            <w:pPr>
              <w:spacing w:after="0" w:line="240" w:lineRule="auto"/>
              <w:rPr>
                <w:b/>
                <w:sz w:val="20"/>
                <w:szCs w:val="20"/>
                <w:lang w:val="en-US"/>
              </w:rPr>
            </w:pPr>
          </w:p>
        </w:tc>
        <w:tc>
          <w:tcPr>
            <w:tcW w:w="1127" w:type="dxa"/>
            <w:tcBorders>
              <w:left w:val="nil"/>
              <w:right w:val="nil"/>
            </w:tcBorders>
            <w:tcMar>
              <w:left w:w="28" w:type="dxa"/>
              <w:right w:w="28" w:type="dxa"/>
            </w:tcMar>
          </w:tcPr>
          <w:p w14:paraId="75391850" w14:textId="77777777" w:rsidR="00EB0BEF" w:rsidRPr="007F131A" w:rsidRDefault="00EB0BEF" w:rsidP="00A0419B">
            <w:pPr>
              <w:spacing w:after="0" w:line="240" w:lineRule="auto"/>
              <w:jc w:val="center"/>
              <w:rPr>
                <w:b/>
                <w:sz w:val="20"/>
                <w:szCs w:val="20"/>
                <w:lang w:val="en-US"/>
              </w:rPr>
            </w:pPr>
            <w:r w:rsidRPr="007F131A">
              <w:rPr>
                <w:lang w:val="en-US"/>
              </w:rPr>
              <w:t>0.091</w:t>
            </w:r>
          </w:p>
        </w:tc>
        <w:tc>
          <w:tcPr>
            <w:tcW w:w="847" w:type="dxa"/>
            <w:tcBorders>
              <w:left w:val="nil"/>
              <w:right w:val="nil"/>
            </w:tcBorders>
            <w:tcMar>
              <w:left w:w="28" w:type="dxa"/>
              <w:right w:w="28" w:type="dxa"/>
            </w:tcMar>
          </w:tcPr>
          <w:p w14:paraId="2A66AF33" w14:textId="77777777" w:rsidR="00EB0BEF" w:rsidRPr="007F131A" w:rsidRDefault="00EB0BEF" w:rsidP="00A0419B">
            <w:pPr>
              <w:spacing w:after="0" w:line="240" w:lineRule="auto"/>
              <w:jc w:val="center"/>
              <w:rPr>
                <w:b/>
                <w:sz w:val="20"/>
                <w:szCs w:val="20"/>
                <w:lang w:val="en-US"/>
              </w:rPr>
            </w:pPr>
            <w:r w:rsidRPr="007F131A">
              <w:rPr>
                <w:lang w:val="en-US"/>
              </w:rPr>
              <w:t>0.594</w:t>
            </w:r>
          </w:p>
        </w:tc>
        <w:tc>
          <w:tcPr>
            <w:tcW w:w="704" w:type="dxa"/>
            <w:tcBorders>
              <w:left w:val="nil"/>
            </w:tcBorders>
            <w:tcMar>
              <w:left w:w="28" w:type="dxa"/>
              <w:right w:w="28" w:type="dxa"/>
            </w:tcMar>
          </w:tcPr>
          <w:p w14:paraId="405BEE00" w14:textId="77777777" w:rsidR="00EB0BEF" w:rsidRPr="007F131A" w:rsidRDefault="00EB0BEF" w:rsidP="00A0419B">
            <w:pPr>
              <w:spacing w:after="0" w:line="240" w:lineRule="auto"/>
              <w:rPr>
                <w:b/>
                <w:sz w:val="20"/>
                <w:szCs w:val="20"/>
                <w:lang w:val="en-US"/>
              </w:rPr>
            </w:pPr>
          </w:p>
        </w:tc>
        <w:tc>
          <w:tcPr>
            <w:tcW w:w="893" w:type="dxa"/>
            <w:tcBorders>
              <w:right w:val="nil"/>
            </w:tcBorders>
            <w:tcMar>
              <w:left w:w="28" w:type="dxa"/>
              <w:right w:w="28" w:type="dxa"/>
            </w:tcMar>
          </w:tcPr>
          <w:p w14:paraId="21C651DD" w14:textId="77777777" w:rsidR="00EB0BEF" w:rsidRPr="007F131A" w:rsidRDefault="00EB0BEF" w:rsidP="00A0419B">
            <w:pPr>
              <w:spacing w:after="0" w:line="240" w:lineRule="auto"/>
              <w:jc w:val="center"/>
              <w:rPr>
                <w:b/>
                <w:sz w:val="20"/>
                <w:szCs w:val="20"/>
                <w:lang w:val="en-US"/>
              </w:rPr>
            </w:pPr>
            <w:r w:rsidRPr="007F131A">
              <w:rPr>
                <w:lang w:val="en-US"/>
              </w:rPr>
              <w:t>0.251</w:t>
            </w:r>
          </w:p>
        </w:tc>
        <w:tc>
          <w:tcPr>
            <w:tcW w:w="987" w:type="dxa"/>
            <w:tcBorders>
              <w:left w:val="nil"/>
              <w:right w:val="nil"/>
            </w:tcBorders>
            <w:tcMar>
              <w:left w:w="28" w:type="dxa"/>
              <w:right w:w="28" w:type="dxa"/>
            </w:tcMar>
          </w:tcPr>
          <w:p w14:paraId="503F5949" w14:textId="77777777" w:rsidR="00EB0BEF" w:rsidRPr="007F131A" w:rsidRDefault="00EB0BEF" w:rsidP="00A0419B">
            <w:pPr>
              <w:spacing w:after="0" w:line="240" w:lineRule="auto"/>
              <w:jc w:val="center"/>
              <w:rPr>
                <w:b/>
                <w:sz w:val="20"/>
                <w:szCs w:val="20"/>
                <w:lang w:val="en-US"/>
              </w:rPr>
            </w:pPr>
            <w:r w:rsidRPr="007F131A">
              <w:rPr>
                <w:lang w:val="en-US"/>
              </w:rPr>
              <w:t>0.236</w:t>
            </w:r>
          </w:p>
        </w:tc>
        <w:tc>
          <w:tcPr>
            <w:tcW w:w="846" w:type="dxa"/>
            <w:tcBorders>
              <w:left w:val="nil"/>
            </w:tcBorders>
            <w:tcMar>
              <w:left w:w="28" w:type="dxa"/>
              <w:right w:w="28" w:type="dxa"/>
            </w:tcMar>
          </w:tcPr>
          <w:p w14:paraId="295122BB" w14:textId="77777777" w:rsidR="00EB0BEF" w:rsidRPr="007F131A" w:rsidRDefault="00EB0BEF" w:rsidP="00A0419B">
            <w:pPr>
              <w:spacing w:after="0" w:line="240" w:lineRule="auto"/>
              <w:rPr>
                <w:b/>
                <w:sz w:val="20"/>
                <w:szCs w:val="20"/>
                <w:lang w:val="en-US"/>
              </w:rPr>
            </w:pPr>
          </w:p>
        </w:tc>
        <w:tc>
          <w:tcPr>
            <w:tcW w:w="987" w:type="dxa"/>
            <w:tcBorders>
              <w:right w:val="nil"/>
            </w:tcBorders>
            <w:tcMar>
              <w:left w:w="28" w:type="dxa"/>
              <w:right w:w="28" w:type="dxa"/>
            </w:tcMar>
          </w:tcPr>
          <w:p w14:paraId="28AE3847" w14:textId="77777777" w:rsidR="00EB0BEF" w:rsidRPr="007F131A" w:rsidRDefault="00EB0BEF" w:rsidP="00A0419B">
            <w:pPr>
              <w:spacing w:after="0" w:line="240" w:lineRule="auto"/>
              <w:jc w:val="center"/>
              <w:rPr>
                <w:b/>
                <w:sz w:val="20"/>
                <w:szCs w:val="20"/>
                <w:lang w:val="en-US"/>
              </w:rPr>
            </w:pPr>
            <w:r w:rsidRPr="007F131A">
              <w:rPr>
                <w:lang w:val="en-US"/>
              </w:rPr>
              <w:t>0.227</w:t>
            </w:r>
          </w:p>
        </w:tc>
        <w:tc>
          <w:tcPr>
            <w:tcW w:w="846" w:type="dxa"/>
            <w:tcBorders>
              <w:left w:val="nil"/>
              <w:right w:val="nil"/>
            </w:tcBorders>
            <w:tcMar>
              <w:left w:w="28" w:type="dxa"/>
              <w:right w:w="28" w:type="dxa"/>
            </w:tcMar>
          </w:tcPr>
          <w:p w14:paraId="3EB1B530" w14:textId="77777777" w:rsidR="00EB0BEF" w:rsidRPr="007F131A" w:rsidRDefault="00EB0BEF" w:rsidP="00A0419B">
            <w:pPr>
              <w:spacing w:after="0" w:line="240" w:lineRule="auto"/>
              <w:jc w:val="center"/>
              <w:rPr>
                <w:b/>
                <w:sz w:val="20"/>
                <w:szCs w:val="20"/>
                <w:lang w:val="en-US"/>
              </w:rPr>
            </w:pPr>
            <w:r w:rsidRPr="007F131A">
              <w:rPr>
                <w:lang w:val="en-US"/>
              </w:rPr>
              <w:t>0.285</w:t>
            </w:r>
          </w:p>
        </w:tc>
        <w:tc>
          <w:tcPr>
            <w:tcW w:w="991" w:type="dxa"/>
            <w:tcBorders>
              <w:left w:val="nil"/>
            </w:tcBorders>
            <w:tcMar>
              <w:left w:w="28" w:type="dxa"/>
              <w:right w:w="28" w:type="dxa"/>
            </w:tcMar>
          </w:tcPr>
          <w:p w14:paraId="4280D186" w14:textId="77777777" w:rsidR="00EB0BEF" w:rsidRPr="007F131A" w:rsidRDefault="00EB0BEF" w:rsidP="00A0419B">
            <w:pPr>
              <w:spacing w:after="0" w:line="240" w:lineRule="auto"/>
              <w:rPr>
                <w:b/>
                <w:sz w:val="20"/>
                <w:szCs w:val="20"/>
                <w:lang w:val="en-US"/>
              </w:rPr>
            </w:pPr>
          </w:p>
        </w:tc>
        <w:tc>
          <w:tcPr>
            <w:tcW w:w="991" w:type="dxa"/>
            <w:tcBorders>
              <w:right w:val="nil"/>
            </w:tcBorders>
          </w:tcPr>
          <w:p w14:paraId="62F2C869" w14:textId="77777777" w:rsidR="00EB0BEF" w:rsidRPr="007F131A" w:rsidRDefault="00EB0BEF" w:rsidP="00A0419B">
            <w:pPr>
              <w:spacing w:after="0" w:line="240" w:lineRule="auto"/>
              <w:rPr>
                <w:b/>
                <w:sz w:val="20"/>
                <w:szCs w:val="20"/>
                <w:lang w:val="en-US"/>
              </w:rPr>
            </w:pPr>
            <w:r w:rsidRPr="007F131A">
              <w:t>0.130</w:t>
            </w:r>
          </w:p>
        </w:tc>
        <w:tc>
          <w:tcPr>
            <w:tcW w:w="991" w:type="dxa"/>
            <w:tcBorders>
              <w:left w:val="nil"/>
              <w:right w:val="nil"/>
            </w:tcBorders>
          </w:tcPr>
          <w:p w14:paraId="16FF4FF8" w14:textId="77777777" w:rsidR="00EB0BEF" w:rsidRPr="007F131A" w:rsidRDefault="00EB0BEF" w:rsidP="00A0419B">
            <w:pPr>
              <w:spacing w:after="0" w:line="240" w:lineRule="auto"/>
              <w:rPr>
                <w:b/>
                <w:sz w:val="20"/>
                <w:szCs w:val="20"/>
                <w:lang w:val="en-US"/>
              </w:rPr>
            </w:pPr>
            <w:r w:rsidRPr="007F131A">
              <w:t>0.440</w:t>
            </w:r>
          </w:p>
        </w:tc>
        <w:tc>
          <w:tcPr>
            <w:tcW w:w="991" w:type="dxa"/>
            <w:tcBorders>
              <w:left w:val="nil"/>
            </w:tcBorders>
          </w:tcPr>
          <w:p w14:paraId="5BAB9F2E" w14:textId="77777777" w:rsidR="00EB0BEF" w:rsidRPr="007F131A" w:rsidRDefault="00EB0BEF" w:rsidP="00A0419B">
            <w:pPr>
              <w:spacing w:after="0" w:line="240" w:lineRule="auto"/>
              <w:rPr>
                <w:b/>
                <w:sz w:val="20"/>
                <w:szCs w:val="20"/>
                <w:lang w:val="en-US"/>
              </w:rPr>
            </w:pPr>
          </w:p>
        </w:tc>
      </w:tr>
      <w:tr w:rsidR="00EB0BEF" w:rsidRPr="007F131A" w14:paraId="4BDCF455" w14:textId="77777777" w:rsidTr="00A0419B">
        <w:tc>
          <w:tcPr>
            <w:tcW w:w="1160" w:type="dxa"/>
            <w:tcBorders>
              <w:right w:val="nil"/>
            </w:tcBorders>
            <w:tcMar>
              <w:left w:w="28" w:type="dxa"/>
              <w:right w:w="28" w:type="dxa"/>
            </w:tcMar>
          </w:tcPr>
          <w:p w14:paraId="2FD58230" w14:textId="77777777" w:rsidR="00EB0BEF" w:rsidRPr="007F131A" w:rsidRDefault="00EB0BEF" w:rsidP="00A0419B">
            <w:pPr>
              <w:spacing w:after="0" w:line="240" w:lineRule="auto"/>
              <w:rPr>
                <w:rFonts w:eastAsia="MS Mincho"/>
                <w:b/>
                <w:i/>
                <w:sz w:val="20"/>
                <w:szCs w:val="20"/>
                <w:lang w:val="en-GB" w:eastAsia="ja-JP"/>
              </w:rPr>
            </w:pPr>
          </w:p>
        </w:tc>
        <w:tc>
          <w:tcPr>
            <w:tcW w:w="706" w:type="dxa"/>
            <w:tcBorders>
              <w:left w:val="nil"/>
            </w:tcBorders>
            <w:tcMar>
              <w:left w:w="28" w:type="dxa"/>
              <w:right w:w="28" w:type="dxa"/>
            </w:tcMar>
          </w:tcPr>
          <w:p w14:paraId="2CF035FE" w14:textId="77777777" w:rsidR="00EB0BEF" w:rsidRPr="007F131A" w:rsidRDefault="00EB0BEF" w:rsidP="00A0419B">
            <w:pPr>
              <w:spacing w:after="0" w:line="240" w:lineRule="auto"/>
              <w:rPr>
                <w:b/>
                <w:sz w:val="20"/>
                <w:szCs w:val="20"/>
                <w:lang w:val="en-US"/>
              </w:rPr>
            </w:pPr>
          </w:p>
        </w:tc>
        <w:tc>
          <w:tcPr>
            <w:tcW w:w="2678" w:type="dxa"/>
            <w:gridSpan w:val="3"/>
            <w:tcMar>
              <w:left w:w="28" w:type="dxa"/>
              <w:right w:w="28" w:type="dxa"/>
            </w:tcMar>
          </w:tcPr>
          <w:p w14:paraId="165420DA" w14:textId="77777777" w:rsidR="00EB0BEF" w:rsidRPr="007F131A" w:rsidRDefault="00EB0BEF" w:rsidP="00A0419B">
            <w:pPr>
              <w:spacing w:after="0" w:line="240" w:lineRule="auto"/>
              <w:rPr>
                <w:rFonts w:eastAsia="MS Mincho"/>
                <w:i/>
                <w:sz w:val="20"/>
                <w:szCs w:val="20"/>
                <w:lang w:val="en-GB" w:eastAsia="ja-JP"/>
              </w:rPr>
            </w:pPr>
            <w:r w:rsidRPr="007F131A">
              <w:rPr>
                <w:rFonts w:eastAsia="MS Mincho"/>
                <w:i/>
                <w:sz w:val="20"/>
                <w:szCs w:val="20"/>
                <w:lang w:val="en-GB" w:eastAsia="ja-JP"/>
              </w:rPr>
              <w:t>Model specification (model 2):</w:t>
            </w:r>
          </w:p>
          <w:p w14:paraId="347CFAED" w14:textId="77777777" w:rsidR="00EB0BEF" w:rsidRPr="007F131A" w:rsidRDefault="00EB0BEF" w:rsidP="00A0419B">
            <w:pPr>
              <w:keepNext/>
              <w:tabs>
                <w:tab w:val="left" w:pos="3092"/>
                <w:tab w:val="left" w:pos="5841"/>
              </w:tabs>
              <w:spacing w:after="0" w:line="240" w:lineRule="auto"/>
              <w:ind w:left="28"/>
              <w:rPr>
                <w:rFonts w:eastAsia="MS Mincho"/>
                <w:sz w:val="20"/>
                <w:szCs w:val="20"/>
                <w:lang w:val="en-GB" w:eastAsia="ja-JP"/>
              </w:rPr>
            </w:pPr>
            <w:r w:rsidRPr="007F131A">
              <w:rPr>
                <w:rFonts w:eastAsia="MS Mincho"/>
                <w:sz w:val="20"/>
                <w:szCs w:val="20"/>
                <w:lang w:val="en-GB" w:eastAsia="ja-JP"/>
              </w:rPr>
              <w:t>Adj. R-square</w:t>
            </w:r>
            <w:r w:rsidRPr="007F131A">
              <w:rPr>
                <w:rFonts w:eastAsia="MS Mincho"/>
                <w:sz w:val="20"/>
                <w:szCs w:val="20"/>
                <w:vertAlign w:val="superscript"/>
                <w:lang w:val="en-GB" w:eastAsia="ja-JP"/>
              </w:rPr>
              <w:t xml:space="preserve"> </w:t>
            </w:r>
            <w:r w:rsidRPr="007F131A">
              <w:rPr>
                <w:rFonts w:eastAsia="MS Mincho"/>
                <w:sz w:val="20"/>
                <w:szCs w:val="20"/>
                <w:lang w:val="en-GB" w:eastAsia="ja-JP"/>
              </w:rPr>
              <w:t>= 10.61%</w:t>
            </w:r>
          </w:p>
          <w:p w14:paraId="39B324A0" w14:textId="77777777" w:rsidR="00EB0BEF" w:rsidRPr="007F131A" w:rsidRDefault="00EB0BEF" w:rsidP="00A0419B">
            <w:pPr>
              <w:keepNext/>
              <w:tabs>
                <w:tab w:val="left" w:pos="3092"/>
                <w:tab w:val="left" w:pos="5415"/>
              </w:tabs>
              <w:spacing w:after="0" w:line="240" w:lineRule="auto"/>
              <w:ind w:left="28"/>
              <w:rPr>
                <w:rFonts w:eastAsia="MS Mincho"/>
                <w:sz w:val="20"/>
                <w:szCs w:val="20"/>
                <w:lang w:val="en-GB" w:eastAsia="ja-JP"/>
              </w:rPr>
            </w:pPr>
            <w:r w:rsidRPr="007F131A">
              <w:rPr>
                <w:rFonts w:eastAsia="MS Mincho"/>
                <w:sz w:val="20"/>
                <w:szCs w:val="20"/>
                <w:lang w:val="en-GB" w:eastAsia="ja-JP"/>
              </w:rPr>
              <w:t>R-squared = 12.27%</w:t>
            </w:r>
          </w:p>
          <w:p w14:paraId="2890CF64" w14:textId="77777777" w:rsidR="00EB0BEF" w:rsidRPr="007F131A" w:rsidRDefault="00EB0BEF" w:rsidP="00A0419B">
            <w:pPr>
              <w:keepNext/>
              <w:tabs>
                <w:tab w:val="left" w:pos="3092"/>
                <w:tab w:val="left" w:pos="5415"/>
                <w:tab w:val="left" w:pos="5491"/>
              </w:tabs>
              <w:spacing w:after="0" w:line="240" w:lineRule="auto"/>
              <w:ind w:left="28"/>
              <w:rPr>
                <w:rFonts w:eastAsia="MS Mincho"/>
                <w:sz w:val="20"/>
                <w:szCs w:val="20"/>
                <w:lang w:val="en-GB" w:eastAsia="ja-JP"/>
              </w:rPr>
            </w:pPr>
            <w:r w:rsidRPr="007F131A">
              <w:rPr>
                <w:rFonts w:eastAsia="MS Mincho"/>
                <w:sz w:val="20"/>
                <w:szCs w:val="20"/>
                <w:lang w:val="en-GB" w:eastAsia="ja-JP"/>
              </w:rPr>
              <w:t>Prob&gt;F = 0.000</w:t>
            </w:r>
          </w:p>
          <w:p w14:paraId="5670EAD2" w14:textId="77777777" w:rsidR="00EB0BEF" w:rsidRPr="007F131A" w:rsidRDefault="00EB0BEF" w:rsidP="00A0419B">
            <w:pPr>
              <w:spacing w:after="0" w:line="240" w:lineRule="auto"/>
              <w:rPr>
                <w:rFonts w:eastAsia="MS Mincho"/>
                <w:sz w:val="20"/>
                <w:szCs w:val="20"/>
                <w:lang w:val="en-GB" w:eastAsia="ja-JP"/>
              </w:rPr>
            </w:pPr>
            <w:r w:rsidRPr="007F131A">
              <w:rPr>
                <w:rFonts w:eastAsia="MS Mincho"/>
                <w:sz w:val="20"/>
                <w:szCs w:val="20"/>
                <w:lang w:val="en-GB" w:eastAsia="ja-JP"/>
              </w:rPr>
              <w:t>F(13. 686)= 7.38</w:t>
            </w:r>
          </w:p>
          <w:p w14:paraId="44ED5CAC" w14:textId="77777777" w:rsidR="00EB0BEF" w:rsidRPr="007F131A" w:rsidRDefault="00EB0BEF" w:rsidP="00A0419B">
            <w:pPr>
              <w:spacing w:after="0" w:line="240" w:lineRule="auto"/>
              <w:rPr>
                <w:rFonts w:eastAsia="MS Mincho"/>
                <w:sz w:val="20"/>
                <w:szCs w:val="20"/>
                <w:lang w:val="en-GB" w:eastAsia="ja-JP"/>
              </w:rPr>
            </w:pPr>
            <w:r w:rsidRPr="007F131A">
              <w:rPr>
                <w:rFonts w:eastAsia="MS Mincho"/>
                <w:sz w:val="20"/>
                <w:szCs w:val="20"/>
                <w:lang w:val="en-GB" w:eastAsia="ja-JP"/>
              </w:rPr>
              <w:t>Year control: Yes</w:t>
            </w:r>
          </w:p>
          <w:p w14:paraId="6108F8EA"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VIF &lt; 2% for all variables</w:t>
            </w:r>
          </w:p>
        </w:tc>
        <w:tc>
          <w:tcPr>
            <w:tcW w:w="2726" w:type="dxa"/>
            <w:gridSpan w:val="3"/>
            <w:tcMar>
              <w:left w:w="28" w:type="dxa"/>
              <w:right w:w="28" w:type="dxa"/>
            </w:tcMar>
          </w:tcPr>
          <w:p w14:paraId="30421F52" w14:textId="77777777" w:rsidR="00EB0BEF" w:rsidRPr="007F131A" w:rsidRDefault="00EB0BEF" w:rsidP="00A0419B">
            <w:pPr>
              <w:spacing w:after="0" w:line="240" w:lineRule="auto"/>
              <w:rPr>
                <w:rFonts w:eastAsia="MS Mincho"/>
                <w:i/>
                <w:sz w:val="20"/>
                <w:szCs w:val="20"/>
                <w:lang w:val="en-GB" w:eastAsia="ja-JP"/>
              </w:rPr>
            </w:pPr>
            <w:r w:rsidRPr="007F131A">
              <w:rPr>
                <w:rFonts w:eastAsia="MS Mincho"/>
                <w:i/>
                <w:sz w:val="20"/>
                <w:szCs w:val="20"/>
                <w:lang w:val="en-GB" w:eastAsia="ja-JP"/>
              </w:rPr>
              <w:t>Model specification (model 3):</w:t>
            </w:r>
          </w:p>
          <w:p w14:paraId="73B85F5B" w14:textId="77777777" w:rsidR="00EB0BEF" w:rsidRPr="007F131A" w:rsidRDefault="00EB0BEF" w:rsidP="00A0419B">
            <w:pPr>
              <w:keepNext/>
              <w:tabs>
                <w:tab w:val="left" w:pos="3092"/>
                <w:tab w:val="left" w:pos="5841"/>
              </w:tabs>
              <w:spacing w:after="0" w:line="240" w:lineRule="auto"/>
              <w:ind w:left="28"/>
              <w:rPr>
                <w:rFonts w:eastAsia="MS Mincho"/>
                <w:sz w:val="20"/>
                <w:szCs w:val="20"/>
                <w:lang w:val="en-GB" w:eastAsia="ja-JP"/>
              </w:rPr>
            </w:pPr>
            <w:r w:rsidRPr="007F131A">
              <w:rPr>
                <w:rFonts w:eastAsia="MS Mincho"/>
                <w:sz w:val="20"/>
                <w:szCs w:val="20"/>
                <w:lang w:val="en-GB" w:eastAsia="ja-JP"/>
              </w:rPr>
              <w:t>Adj. R-square</w:t>
            </w:r>
            <w:r w:rsidRPr="007F131A">
              <w:rPr>
                <w:rFonts w:eastAsia="MS Mincho"/>
                <w:sz w:val="20"/>
                <w:szCs w:val="20"/>
                <w:vertAlign w:val="superscript"/>
                <w:lang w:val="en-GB" w:eastAsia="ja-JP"/>
              </w:rPr>
              <w:t xml:space="preserve"> </w:t>
            </w:r>
            <w:r w:rsidRPr="007F131A">
              <w:rPr>
                <w:rFonts w:eastAsia="MS Mincho"/>
                <w:sz w:val="20"/>
                <w:szCs w:val="20"/>
                <w:lang w:val="en-GB" w:eastAsia="ja-JP"/>
              </w:rPr>
              <w:t>= 7.92%</w:t>
            </w:r>
          </w:p>
          <w:p w14:paraId="032F2CB5" w14:textId="77777777" w:rsidR="00EB0BEF" w:rsidRPr="007F131A" w:rsidRDefault="00EB0BEF" w:rsidP="00A0419B">
            <w:pPr>
              <w:keepNext/>
              <w:tabs>
                <w:tab w:val="left" w:pos="3092"/>
                <w:tab w:val="left" w:pos="5415"/>
              </w:tabs>
              <w:spacing w:after="0" w:line="240" w:lineRule="auto"/>
              <w:ind w:left="28"/>
              <w:rPr>
                <w:rFonts w:eastAsia="MS Mincho"/>
                <w:sz w:val="20"/>
                <w:szCs w:val="20"/>
                <w:lang w:val="en-GB" w:eastAsia="ja-JP"/>
              </w:rPr>
            </w:pPr>
            <w:r w:rsidRPr="007F131A">
              <w:rPr>
                <w:rFonts w:eastAsia="MS Mincho"/>
                <w:sz w:val="20"/>
                <w:szCs w:val="20"/>
                <w:lang w:val="en-GB" w:eastAsia="ja-JP"/>
              </w:rPr>
              <w:t>R-squared = 9.64%</w:t>
            </w:r>
          </w:p>
          <w:p w14:paraId="43D2DEF7" w14:textId="77777777" w:rsidR="00EB0BEF" w:rsidRPr="007F131A" w:rsidRDefault="00EB0BEF" w:rsidP="00A0419B">
            <w:pPr>
              <w:keepNext/>
              <w:tabs>
                <w:tab w:val="left" w:pos="3092"/>
                <w:tab w:val="left" w:pos="5415"/>
                <w:tab w:val="left" w:pos="5491"/>
              </w:tabs>
              <w:spacing w:after="0" w:line="240" w:lineRule="auto"/>
              <w:ind w:left="28"/>
              <w:rPr>
                <w:rFonts w:eastAsia="MS Mincho"/>
                <w:sz w:val="20"/>
                <w:szCs w:val="20"/>
                <w:lang w:val="en-GB" w:eastAsia="ja-JP"/>
              </w:rPr>
            </w:pPr>
            <w:r w:rsidRPr="007F131A">
              <w:rPr>
                <w:rFonts w:eastAsia="MS Mincho"/>
                <w:sz w:val="20"/>
                <w:szCs w:val="20"/>
                <w:lang w:val="en-GB" w:eastAsia="ja-JP"/>
              </w:rPr>
              <w:t>Prob&gt;F = 0.000</w:t>
            </w:r>
          </w:p>
          <w:p w14:paraId="0BC080F4" w14:textId="77777777" w:rsidR="00EB0BEF" w:rsidRPr="007F131A" w:rsidRDefault="00EB0BEF" w:rsidP="00A0419B">
            <w:pPr>
              <w:keepNext/>
              <w:tabs>
                <w:tab w:val="left" w:pos="3092"/>
                <w:tab w:val="left" w:pos="5415"/>
                <w:tab w:val="left" w:pos="5491"/>
              </w:tabs>
              <w:spacing w:after="0" w:line="240" w:lineRule="auto"/>
              <w:ind w:left="28"/>
              <w:rPr>
                <w:rFonts w:eastAsia="MS Mincho"/>
                <w:sz w:val="20"/>
                <w:szCs w:val="20"/>
                <w:lang w:val="en-GB" w:eastAsia="ja-JP"/>
              </w:rPr>
            </w:pPr>
            <w:r w:rsidRPr="007F131A">
              <w:rPr>
                <w:rFonts w:eastAsia="MS Mincho"/>
                <w:sz w:val="20"/>
                <w:szCs w:val="20"/>
                <w:lang w:val="en-GB" w:eastAsia="ja-JP"/>
              </w:rPr>
              <w:t>F(13. 686)= 5.63</w:t>
            </w:r>
          </w:p>
          <w:p w14:paraId="731FC53D" w14:textId="77777777" w:rsidR="00EB0BEF" w:rsidRPr="007F131A" w:rsidRDefault="00EB0BEF" w:rsidP="00A0419B">
            <w:pPr>
              <w:spacing w:after="0" w:line="240" w:lineRule="auto"/>
              <w:rPr>
                <w:rFonts w:eastAsia="MS Mincho"/>
                <w:i/>
                <w:sz w:val="20"/>
                <w:szCs w:val="20"/>
                <w:lang w:val="en-GB" w:eastAsia="ja-JP"/>
              </w:rPr>
            </w:pPr>
            <w:r w:rsidRPr="007F131A">
              <w:rPr>
                <w:rFonts w:eastAsia="MS Mincho"/>
                <w:sz w:val="20"/>
                <w:szCs w:val="20"/>
                <w:lang w:val="en-GB" w:eastAsia="ja-JP"/>
              </w:rPr>
              <w:t>Year control: Yes</w:t>
            </w:r>
          </w:p>
          <w:p w14:paraId="24DEA2A2"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VIF &lt; 2% for all variables</w:t>
            </w:r>
          </w:p>
        </w:tc>
        <w:tc>
          <w:tcPr>
            <w:tcW w:w="2824" w:type="dxa"/>
            <w:gridSpan w:val="3"/>
            <w:tcMar>
              <w:left w:w="28" w:type="dxa"/>
              <w:right w:w="28" w:type="dxa"/>
            </w:tcMar>
          </w:tcPr>
          <w:p w14:paraId="0C11E2DE" w14:textId="77777777" w:rsidR="00EB0BEF" w:rsidRPr="007F131A" w:rsidRDefault="00EB0BEF" w:rsidP="00A0419B">
            <w:pPr>
              <w:spacing w:after="0" w:line="240" w:lineRule="auto"/>
              <w:rPr>
                <w:rFonts w:eastAsia="MS Mincho"/>
                <w:i/>
                <w:sz w:val="20"/>
                <w:szCs w:val="20"/>
                <w:lang w:val="en-GB" w:eastAsia="ja-JP"/>
              </w:rPr>
            </w:pPr>
            <w:r w:rsidRPr="007F131A">
              <w:rPr>
                <w:rFonts w:eastAsia="MS Mincho"/>
                <w:i/>
                <w:sz w:val="20"/>
                <w:szCs w:val="20"/>
                <w:lang w:val="en-GB" w:eastAsia="ja-JP"/>
              </w:rPr>
              <w:t>Model specification (model 4):</w:t>
            </w:r>
          </w:p>
          <w:p w14:paraId="2539131A" w14:textId="77777777" w:rsidR="00EB0BEF" w:rsidRPr="007F131A" w:rsidRDefault="00EB0BEF" w:rsidP="00A0419B">
            <w:pPr>
              <w:keepNext/>
              <w:tabs>
                <w:tab w:val="left" w:pos="3092"/>
                <w:tab w:val="left" w:pos="5841"/>
              </w:tabs>
              <w:spacing w:after="0" w:line="240" w:lineRule="auto"/>
              <w:ind w:left="28"/>
              <w:rPr>
                <w:rFonts w:eastAsia="MS Mincho"/>
                <w:sz w:val="20"/>
                <w:szCs w:val="20"/>
                <w:lang w:val="en-GB" w:eastAsia="ja-JP"/>
              </w:rPr>
            </w:pPr>
            <w:r w:rsidRPr="007F131A">
              <w:rPr>
                <w:rFonts w:eastAsia="MS Mincho"/>
                <w:sz w:val="20"/>
                <w:szCs w:val="20"/>
                <w:lang w:val="en-GB" w:eastAsia="ja-JP"/>
              </w:rPr>
              <w:t>Adj. R-square</w:t>
            </w:r>
            <w:r w:rsidRPr="007F131A">
              <w:rPr>
                <w:rFonts w:eastAsia="MS Mincho"/>
                <w:sz w:val="20"/>
                <w:szCs w:val="20"/>
                <w:vertAlign w:val="superscript"/>
                <w:lang w:val="en-GB" w:eastAsia="ja-JP"/>
              </w:rPr>
              <w:t xml:space="preserve"> </w:t>
            </w:r>
            <w:r w:rsidRPr="007F131A">
              <w:rPr>
                <w:rFonts w:eastAsia="MS Mincho"/>
                <w:sz w:val="20"/>
                <w:szCs w:val="20"/>
                <w:lang w:val="en-GB" w:eastAsia="ja-JP"/>
              </w:rPr>
              <w:t>= 9.96%</w:t>
            </w:r>
          </w:p>
          <w:p w14:paraId="199E859E" w14:textId="77777777" w:rsidR="00EB0BEF" w:rsidRPr="007F131A" w:rsidRDefault="00EB0BEF" w:rsidP="00A0419B">
            <w:pPr>
              <w:keepNext/>
              <w:tabs>
                <w:tab w:val="left" w:pos="3092"/>
                <w:tab w:val="left" w:pos="5415"/>
              </w:tabs>
              <w:spacing w:after="0" w:line="240" w:lineRule="auto"/>
              <w:ind w:left="28"/>
              <w:rPr>
                <w:rFonts w:eastAsia="MS Mincho"/>
                <w:sz w:val="20"/>
                <w:szCs w:val="20"/>
                <w:lang w:val="en-GB" w:eastAsia="ja-JP"/>
              </w:rPr>
            </w:pPr>
            <w:r w:rsidRPr="007F131A">
              <w:rPr>
                <w:rFonts w:eastAsia="MS Mincho"/>
                <w:sz w:val="20"/>
                <w:szCs w:val="20"/>
                <w:lang w:val="en-GB" w:eastAsia="ja-JP"/>
              </w:rPr>
              <w:t>R-squared = 8.69%</w:t>
            </w:r>
          </w:p>
          <w:p w14:paraId="7178C893" w14:textId="77777777" w:rsidR="00EB0BEF" w:rsidRPr="007F131A" w:rsidRDefault="00EB0BEF" w:rsidP="00A0419B">
            <w:pPr>
              <w:keepNext/>
              <w:tabs>
                <w:tab w:val="left" w:pos="3092"/>
                <w:tab w:val="left" w:pos="5415"/>
                <w:tab w:val="left" w:pos="5491"/>
              </w:tabs>
              <w:spacing w:after="0" w:line="240" w:lineRule="auto"/>
              <w:ind w:left="28"/>
              <w:rPr>
                <w:rFonts w:eastAsia="MS Mincho"/>
                <w:sz w:val="20"/>
                <w:szCs w:val="20"/>
                <w:lang w:val="en-GB" w:eastAsia="ja-JP"/>
              </w:rPr>
            </w:pPr>
            <w:r w:rsidRPr="007F131A">
              <w:rPr>
                <w:rFonts w:eastAsia="MS Mincho"/>
                <w:sz w:val="20"/>
                <w:szCs w:val="20"/>
                <w:lang w:val="en-GB" w:eastAsia="ja-JP"/>
              </w:rPr>
              <w:t>Prob&gt;F = 0.000</w:t>
            </w:r>
          </w:p>
          <w:p w14:paraId="41B3A8DD" w14:textId="77777777" w:rsidR="00EB0BEF" w:rsidRPr="007F131A" w:rsidRDefault="00EB0BEF" w:rsidP="00A0419B">
            <w:pPr>
              <w:keepNext/>
              <w:tabs>
                <w:tab w:val="left" w:pos="3092"/>
                <w:tab w:val="left" w:pos="5415"/>
                <w:tab w:val="left" w:pos="5491"/>
              </w:tabs>
              <w:spacing w:after="0" w:line="240" w:lineRule="auto"/>
              <w:ind w:left="28"/>
              <w:rPr>
                <w:rFonts w:eastAsia="MS Mincho"/>
                <w:sz w:val="20"/>
                <w:szCs w:val="20"/>
                <w:lang w:val="en-GB" w:eastAsia="ja-JP"/>
              </w:rPr>
            </w:pPr>
            <w:r w:rsidRPr="007F131A">
              <w:rPr>
                <w:rFonts w:eastAsia="MS Mincho"/>
                <w:sz w:val="20"/>
                <w:szCs w:val="20"/>
                <w:lang w:val="en-GB" w:eastAsia="ja-JP"/>
              </w:rPr>
              <w:t>F(13. 686)= 5.02</w:t>
            </w:r>
          </w:p>
          <w:p w14:paraId="2461EAB2" w14:textId="77777777" w:rsidR="00EB0BEF" w:rsidRPr="007F131A" w:rsidRDefault="00EB0BEF" w:rsidP="00A0419B">
            <w:pPr>
              <w:spacing w:after="0" w:line="240" w:lineRule="auto"/>
              <w:rPr>
                <w:rFonts w:eastAsia="MS Mincho"/>
                <w:i/>
                <w:sz w:val="20"/>
                <w:szCs w:val="20"/>
                <w:lang w:val="en-GB" w:eastAsia="ja-JP"/>
              </w:rPr>
            </w:pPr>
            <w:r w:rsidRPr="007F131A">
              <w:rPr>
                <w:rFonts w:eastAsia="MS Mincho"/>
                <w:sz w:val="20"/>
                <w:szCs w:val="20"/>
                <w:lang w:val="en-GB" w:eastAsia="ja-JP"/>
              </w:rPr>
              <w:t>Year control: Yes</w:t>
            </w:r>
          </w:p>
          <w:p w14:paraId="5B758248" w14:textId="77777777" w:rsidR="00EB0BEF" w:rsidRPr="007F131A" w:rsidRDefault="00EB0BEF" w:rsidP="00A0419B">
            <w:pPr>
              <w:spacing w:after="0" w:line="240" w:lineRule="auto"/>
              <w:rPr>
                <w:b/>
                <w:sz w:val="20"/>
                <w:szCs w:val="20"/>
                <w:lang w:val="en-US"/>
              </w:rPr>
            </w:pPr>
            <w:r w:rsidRPr="007F131A">
              <w:rPr>
                <w:rFonts w:eastAsia="MS Mincho"/>
                <w:sz w:val="20"/>
                <w:szCs w:val="20"/>
                <w:lang w:val="en-GB" w:eastAsia="ja-JP"/>
              </w:rPr>
              <w:t>VIF &lt; 2% for all variables</w:t>
            </w:r>
          </w:p>
        </w:tc>
        <w:tc>
          <w:tcPr>
            <w:tcW w:w="2973" w:type="dxa"/>
            <w:gridSpan w:val="3"/>
          </w:tcPr>
          <w:p w14:paraId="4613F945" w14:textId="77777777" w:rsidR="00EB0BEF" w:rsidRPr="007F131A" w:rsidRDefault="00EB0BEF" w:rsidP="00A0419B">
            <w:pPr>
              <w:spacing w:after="0" w:line="240" w:lineRule="auto"/>
              <w:rPr>
                <w:rFonts w:eastAsia="MS Mincho"/>
                <w:i/>
                <w:sz w:val="20"/>
                <w:szCs w:val="20"/>
                <w:lang w:val="en-GB" w:eastAsia="ja-JP"/>
              </w:rPr>
            </w:pPr>
            <w:r w:rsidRPr="007F131A">
              <w:rPr>
                <w:rFonts w:eastAsia="MS Mincho"/>
                <w:i/>
                <w:sz w:val="20"/>
                <w:szCs w:val="20"/>
                <w:lang w:val="en-GB" w:eastAsia="ja-JP"/>
              </w:rPr>
              <w:t>Model specification (model 5):</w:t>
            </w:r>
          </w:p>
          <w:p w14:paraId="074EA23D" w14:textId="77777777" w:rsidR="00EB0BEF" w:rsidRPr="007F131A" w:rsidRDefault="00EB0BEF" w:rsidP="00A0419B">
            <w:pPr>
              <w:keepNext/>
              <w:tabs>
                <w:tab w:val="left" w:pos="3092"/>
                <w:tab w:val="left" w:pos="5841"/>
              </w:tabs>
              <w:spacing w:after="0" w:line="240" w:lineRule="auto"/>
              <w:ind w:left="28"/>
              <w:rPr>
                <w:rFonts w:eastAsia="MS Mincho"/>
                <w:sz w:val="20"/>
                <w:szCs w:val="20"/>
                <w:lang w:val="en-GB" w:eastAsia="ja-JP"/>
              </w:rPr>
            </w:pPr>
            <w:r w:rsidRPr="007F131A">
              <w:rPr>
                <w:rFonts w:eastAsia="MS Mincho"/>
                <w:sz w:val="20"/>
                <w:szCs w:val="20"/>
                <w:lang w:val="en-GB" w:eastAsia="ja-JP"/>
              </w:rPr>
              <w:t>Adj. R-square</w:t>
            </w:r>
            <w:r w:rsidRPr="007F131A">
              <w:rPr>
                <w:rFonts w:eastAsia="MS Mincho"/>
                <w:sz w:val="20"/>
                <w:szCs w:val="20"/>
                <w:vertAlign w:val="superscript"/>
                <w:lang w:val="en-GB" w:eastAsia="ja-JP"/>
              </w:rPr>
              <w:t xml:space="preserve"> </w:t>
            </w:r>
            <w:r w:rsidRPr="007F131A">
              <w:rPr>
                <w:rFonts w:eastAsia="MS Mincho"/>
                <w:sz w:val="20"/>
                <w:szCs w:val="20"/>
                <w:lang w:val="en-GB" w:eastAsia="ja-JP"/>
              </w:rPr>
              <w:t>= 12.74%</w:t>
            </w:r>
          </w:p>
          <w:p w14:paraId="6EB2AD4A" w14:textId="77777777" w:rsidR="00EB0BEF" w:rsidRPr="007F131A" w:rsidRDefault="00EB0BEF" w:rsidP="00A0419B">
            <w:pPr>
              <w:keepNext/>
              <w:tabs>
                <w:tab w:val="left" w:pos="3092"/>
                <w:tab w:val="left" w:pos="5415"/>
              </w:tabs>
              <w:spacing w:after="0" w:line="240" w:lineRule="auto"/>
              <w:ind w:left="28"/>
              <w:rPr>
                <w:rFonts w:eastAsia="MS Mincho"/>
                <w:sz w:val="20"/>
                <w:szCs w:val="20"/>
                <w:lang w:val="en-GB" w:eastAsia="ja-JP"/>
              </w:rPr>
            </w:pPr>
            <w:r w:rsidRPr="007F131A">
              <w:rPr>
                <w:rFonts w:eastAsia="MS Mincho"/>
                <w:sz w:val="20"/>
                <w:szCs w:val="20"/>
                <w:lang w:val="en-GB" w:eastAsia="ja-JP"/>
              </w:rPr>
              <w:t>R-squared = 14.24%</w:t>
            </w:r>
          </w:p>
          <w:p w14:paraId="57AED363" w14:textId="77777777" w:rsidR="00EB0BEF" w:rsidRPr="007F131A" w:rsidRDefault="00EB0BEF" w:rsidP="00A0419B">
            <w:pPr>
              <w:keepNext/>
              <w:tabs>
                <w:tab w:val="left" w:pos="3092"/>
                <w:tab w:val="left" w:pos="5415"/>
                <w:tab w:val="left" w:pos="5491"/>
              </w:tabs>
              <w:spacing w:after="0" w:line="240" w:lineRule="auto"/>
              <w:ind w:left="28"/>
              <w:rPr>
                <w:rFonts w:eastAsia="MS Mincho"/>
                <w:sz w:val="20"/>
                <w:szCs w:val="20"/>
                <w:lang w:val="en-GB" w:eastAsia="ja-JP"/>
              </w:rPr>
            </w:pPr>
            <w:r w:rsidRPr="007F131A">
              <w:rPr>
                <w:rFonts w:eastAsia="MS Mincho"/>
                <w:sz w:val="20"/>
                <w:szCs w:val="20"/>
                <w:lang w:val="en-GB" w:eastAsia="ja-JP"/>
              </w:rPr>
              <w:t>Prob&gt;F = 0.000</w:t>
            </w:r>
          </w:p>
          <w:p w14:paraId="68F05F32" w14:textId="77777777" w:rsidR="00EB0BEF" w:rsidRPr="007F131A" w:rsidRDefault="00EB0BEF" w:rsidP="00A0419B">
            <w:pPr>
              <w:keepNext/>
              <w:tabs>
                <w:tab w:val="left" w:pos="3092"/>
                <w:tab w:val="left" w:pos="5415"/>
                <w:tab w:val="left" w:pos="5491"/>
              </w:tabs>
              <w:spacing w:after="0" w:line="240" w:lineRule="auto"/>
              <w:ind w:left="28"/>
              <w:rPr>
                <w:rFonts w:eastAsia="MS Mincho"/>
                <w:sz w:val="20"/>
                <w:szCs w:val="20"/>
                <w:lang w:val="en-GB" w:eastAsia="ja-JP"/>
              </w:rPr>
            </w:pPr>
            <w:r w:rsidRPr="007F131A">
              <w:rPr>
                <w:rFonts w:eastAsia="MS Mincho"/>
                <w:sz w:val="20"/>
                <w:szCs w:val="20"/>
                <w:lang w:val="en-GB" w:eastAsia="ja-JP"/>
              </w:rPr>
              <w:t>F(13. 686)=9.51</w:t>
            </w:r>
          </w:p>
          <w:p w14:paraId="6880E005" w14:textId="77777777" w:rsidR="00EB0BEF" w:rsidRPr="007F131A" w:rsidRDefault="00EB0BEF" w:rsidP="00A0419B">
            <w:pPr>
              <w:spacing w:after="0" w:line="240" w:lineRule="auto"/>
              <w:rPr>
                <w:rFonts w:eastAsia="MS Mincho"/>
                <w:sz w:val="20"/>
                <w:szCs w:val="20"/>
                <w:lang w:val="en-GB" w:eastAsia="ja-JP"/>
              </w:rPr>
            </w:pPr>
            <w:r w:rsidRPr="007F131A">
              <w:rPr>
                <w:rFonts w:eastAsia="MS Mincho"/>
                <w:sz w:val="20"/>
                <w:szCs w:val="20"/>
                <w:lang w:val="en-GB" w:eastAsia="ja-JP"/>
              </w:rPr>
              <w:t>Year control: Yes</w:t>
            </w:r>
          </w:p>
          <w:p w14:paraId="331F1E5F" w14:textId="77777777" w:rsidR="00EB0BEF" w:rsidRPr="007F131A" w:rsidRDefault="00EB0BEF" w:rsidP="00A0419B">
            <w:pPr>
              <w:spacing w:after="0" w:line="240" w:lineRule="auto"/>
              <w:rPr>
                <w:rFonts w:eastAsia="MS Mincho"/>
                <w:i/>
                <w:sz w:val="20"/>
                <w:szCs w:val="20"/>
                <w:lang w:val="en-GB" w:eastAsia="ja-JP"/>
              </w:rPr>
            </w:pPr>
            <w:r w:rsidRPr="007F131A">
              <w:rPr>
                <w:rFonts w:eastAsia="MS Mincho"/>
                <w:sz w:val="20"/>
                <w:szCs w:val="20"/>
                <w:lang w:val="en-GB" w:eastAsia="ja-JP"/>
              </w:rPr>
              <w:t>VIF &lt; 2% for all variables</w:t>
            </w:r>
          </w:p>
        </w:tc>
      </w:tr>
      <w:tr w:rsidR="00EB0BEF" w:rsidRPr="007F131A" w14:paraId="7E5CDF3C" w14:textId="77777777" w:rsidTr="00A0419B">
        <w:tc>
          <w:tcPr>
            <w:tcW w:w="13067" w:type="dxa"/>
            <w:gridSpan w:val="14"/>
            <w:tcMar>
              <w:left w:w="28" w:type="dxa"/>
              <w:right w:w="28" w:type="dxa"/>
            </w:tcMar>
          </w:tcPr>
          <w:p w14:paraId="76964834" w14:textId="77777777" w:rsidR="00EB0BEF" w:rsidRPr="007F131A" w:rsidRDefault="00EB0BEF" w:rsidP="00A0419B">
            <w:pPr>
              <w:spacing w:after="0" w:line="240" w:lineRule="auto"/>
              <w:jc w:val="both"/>
              <w:rPr>
                <w:rFonts w:eastAsia="MS Mincho"/>
                <w:i/>
                <w:sz w:val="20"/>
                <w:szCs w:val="20"/>
                <w:lang w:val="en-GB" w:eastAsia="ja-JP"/>
              </w:rPr>
            </w:pPr>
            <w:r w:rsidRPr="007F131A">
              <w:rPr>
                <w:rFonts w:eastAsia="MS Mincho"/>
                <w:i/>
                <w:sz w:val="20"/>
                <w:szCs w:val="20"/>
                <w:lang w:val="en-GB" w:eastAsia="ja-JP"/>
              </w:rPr>
              <w:t>Note:</w:t>
            </w:r>
            <w:r w:rsidRPr="007F131A">
              <w:rPr>
                <w:rFonts w:eastAsia="MS Mincho"/>
                <w:sz w:val="20"/>
                <w:szCs w:val="20"/>
                <w:lang w:val="en-GB" w:eastAsia="ja-JP"/>
              </w:rPr>
              <w:t xml:space="preserve"> This table presents the results of pooled panel regression model. The model is estimated for the full sample of 700 firm-year observations over the period 2009 to 2013. </w:t>
            </w:r>
            <w:r w:rsidRPr="007F131A">
              <w:rPr>
                <w:rFonts w:eastAsia="MS Mincho"/>
                <w:i/>
                <w:sz w:val="20"/>
                <w:szCs w:val="20"/>
                <w:lang w:val="en-GB" w:eastAsia="ja-JP"/>
              </w:rPr>
              <w:t>MTB</w:t>
            </w:r>
            <w:r w:rsidRPr="007F131A">
              <w:rPr>
                <w:rFonts w:eastAsia="MS Mincho"/>
                <w:sz w:val="20"/>
                <w:szCs w:val="20"/>
                <w:lang w:val="en-GB" w:eastAsia="ja-JP"/>
              </w:rPr>
              <w:t xml:space="preserve"> = market to book ratio dependent variable; MTBya = market to book ratio dependent variable</w:t>
            </w:r>
            <w:r w:rsidRPr="007F131A">
              <w:rPr>
                <w:rFonts w:eastAsia="MS Mincho"/>
                <w:i/>
                <w:sz w:val="20"/>
                <w:szCs w:val="20"/>
                <w:lang w:val="en-GB" w:eastAsia="ja-JP"/>
              </w:rPr>
              <w:t xml:space="preserve"> one-year lag; AGE</w:t>
            </w:r>
            <w:r w:rsidRPr="007F131A">
              <w:rPr>
                <w:rFonts w:eastAsia="MS Mincho"/>
                <w:sz w:val="20"/>
                <w:szCs w:val="20"/>
                <w:lang w:val="en-GB" w:eastAsia="ja-JP"/>
              </w:rPr>
              <w:t xml:space="preserve"> = natural logarithm of firm’s length of establishment in years; </w:t>
            </w:r>
            <w:r w:rsidRPr="007F131A">
              <w:rPr>
                <w:rFonts w:eastAsia="MS Mincho"/>
                <w:i/>
                <w:sz w:val="20"/>
                <w:szCs w:val="20"/>
                <w:lang w:val="en-GB" w:eastAsia="ja-JP"/>
              </w:rPr>
              <w:t>DE</w:t>
            </w:r>
            <w:r w:rsidRPr="007F131A">
              <w:rPr>
                <w:rFonts w:eastAsia="MS Mincho"/>
                <w:sz w:val="20"/>
                <w:szCs w:val="20"/>
                <w:lang w:val="en-GB" w:eastAsia="ja-JP"/>
              </w:rPr>
              <w:t xml:space="preserve"> = debt-equity ratio; </w:t>
            </w:r>
            <w:r w:rsidRPr="007F131A">
              <w:rPr>
                <w:rFonts w:eastAsia="MS Mincho"/>
                <w:i/>
                <w:sz w:val="20"/>
                <w:szCs w:val="20"/>
                <w:lang w:val="en-GB" w:eastAsia="ja-JP"/>
              </w:rPr>
              <w:t>OWN</w:t>
            </w:r>
            <w:r w:rsidRPr="007F131A">
              <w:rPr>
                <w:rFonts w:eastAsia="MS Mincho"/>
                <w:sz w:val="20"/>
                <w:szCs w:val="20"/>
                <w:lang w:val="en-GB" w:eastAsia="ja-JP"/>
              </w:rPr>
              <w:t xml:space="preserve"> = ownership concentration dummy variable; </w:t>
            </w:r>
            <w:r w:rsidRPr="007F131A">
              <w:rPr>
                <w:rFonts w:eastAsia="MS Mincho"/>
                <w:i/>
                <w:sz w:val="20"/>
                <w:szCs w:val="20"/>
                <w:lang w:val="en-GB" w:eastAsia="ja-JP"/>
              </w:rPr>
              <w:t>FAM</w:t>
            </w:r>
            <w:r w:rsidRPr="007F131A">
              <w:rPr>
                <w:rFonts w:eastAsia="MS Mincho"/>
                <w:sz w:val="20"/>
                <w:szCs w:val="20"/>
                <w:lang w:val="en-GB" w:eastAsia="ja-JP"/>
              </w:rPr>
              <w:t xml:space="preserve"> = family ownership concentration dummy variable; </w:t>
            </w:r>
            <w:r w:rsidRPr="007F131A">
              <w:rPr>
                <w:rFonts w:eastAsia="MS Mincho"/>
                <w:i/>
                <w:sz w:val="20"/>
                <w:szCs w:val="20"/>
                <w:lang w:val="en-GB" w:eastAsia="ja-JP"/>
              </w:rPr>
              <w:t>TINT</w:t>
            </w:r>
            <w:r w:rsidRPr="007F131A">
              <w:rPr>
                <w:rFonts w:eastAsia="MS Mincho"/>
                <w:sz w:val="20"/>
                <w:szCs w:val="20"/>
                <w:lang w:val="en-GB" w:eastAsia="ja-JP"/>
              </w:rPr>
              <w:t xml:space="preserve"> = total intangibles assets; </w:t>
            </w:r>
            <w:r w:rsidRPr="007F131A">
              <w:rPr>
                <w:rFonts w:eastAsia="MS Mincho"/>
                <w:i/>
                <w:sz w:val="20"/>
                <w:szCs w:val="20"/>
                <w:lang w:val="en-GB" w:eastAsia="ja-JP"/>
              </w:rPr>
              <w:t>SIZE</w:t>
            </w:r>
            <w:r w:rsidRPr="007F131A">
              <w:rPr>
                <w:rFonts w:eastAsia="MS Mincho"/>
                <w:sz w:val="20"/>
                <w:szCs w:val="20"/>
                <w:lang w:val="en-GB" w:eastAsia="ja-JP"/>
              </w:rPr>
              <w:t xml:space="preserve"> = natural logarithm of total assets; </w:t>
            </w:r>
            <w:r w:rsidRPr="007F131A">
              <w:rPr>
                <w:rFonts w:eastAsia="MS Mincho"/>
                <w:i/>
                <w:sz w:val="20"/>
                <w:szCs w:val="20"/>
                <w:lang w:val="en-GB" w:eastAsia="ja-JP"/>
              </w:rPr>
              <w:t>IND</w:t>
            </w:r>
            <w:r w:rsidRPr="007F131A">
              <w:rPr>
                <w:rFonts w:eastAsia="MS Mincho"/>
                <w:sz w:val="20"/>
                <w:szCs w:val="20"/>
                <w:lang w:val="en-GB" w:eastAsia="ja-JP"/>
              </w:rPr>
              <w:t xml:space="preserve"> = industry type dummy variable (see table 2); </w:t>
            </w:r>
            <w:r w:rsidRPr="007F131A">
              <w:rPr>
                <w:rFonts w:eastAsia="MS Mincho"/>
                <w:i/>
                <w:sz w:val="20"/>
                <w:szCs w:val="20"/>
                <w:lang w:val="en-GB" w:eastAsia="ja-JP"/>
              </w:rPr>
              <w:t>ROE</w:t>
            </w:r>
            <w:r w:rsidRPr="007F131A">
              <w:rPr>
                <w:rFonts w:eastAsia="MS Mincho"/>
                <w:sz w:val="20"/>
                <w:szCs w:val="20"/>
                <w:lang w:val="en-GB" w:eastAsia="ja-JP"/>
              </w:rPr>
              <w:t xml:space="preserve"> = return on equity ratio; ROA = Return on assets ratio; </w:t>
            </w:r>
            <w:r w:rsidRPr="007F131A">
              <w:rPr>
                <w:rFonts w:eastAsia="MS Mincho"/>
                <w:i/>
                <w:sz w:val="20"/>
                <w:szCs w:val="20"/>
                <w:lang w:val="en-GB" w:eastAsia="ja-JP"/>
              </w:rPr>
              <w:t>AUDIT</w:t>
            </w:r>
            <w:r w:rsidRPr="007F131A">
              <w:rPr>
                <w:rFonts w:eastAsia="MS Mincho"/>
                <w:sz w:val="20"/>
                <w:szCs w:val="20"/>
                <w:lang w:val="en-GB" w:eastAsia="ja-JP"/>
              </w:rPr>
              <w:t xml:space="preserve"> = auditor type dummy variable; and ε = model error term. The asterisks indicate statistical significance at the following levels: *** = 1%; ** 5%; * = 10%. Variations in the model 1: Model 2 uses MTB ratio (year t) as dependent and ROA to gauge firm profitability. Model 3 uses MTB ratio (one-year lag) as dependent and ROE to gauge firm profitability. Model 4 uses MTB ratio (one-year lag) as dependent and ROA to gauge firm profitability. Model 5 uses MTB ratio (year t) as dependent variable and the control variable </w:t>
            </w:r>
            <w:r w:rsidRPr="007F131A">
              <w:rPr>
                <w:rFonts w:eastAsia="MS Mincho"/>
                <w:i/>
                <w:sz w:val="20"/>
                <w:szCs w:val="20"/>
                <w:lang w:val="en-GB" w:eastAsia="ja-JP"/>
              </w:rPr>
              <w:t>IND</w:t>
            </w:r>
            <w:r w:rsidRPr="007F131A">
              <w:rPr>
                <w:rFonts w:eastAsia="MS Mincho"/>
                <w:sz w:val="20"/>
                <w:szCs w:val="20"/>
                <w:lang w:val="en-GB" w:eastAsia="ja-JP"/>
              </w:rPr>
              <w:t xml:space="preserve"> is removed.</w:t>
            </w:r>
          </w:p>
        </w:tc>
      </w:tr>
    </w:tbl>
    <w:p w14:paraId="4BECF3D0" w14:textId="77777777" w:rsidR="00EB0BEF" w:rsidRPr="007F131A" w:rsidRDefault="00EB0BEF" w:rsidP="00EB0BEF">
      <w:pPr>
        <w:spacing w:after="0" w:line="240" w:lineRule="auto"/>
        <w:rPr>
          <w:lang w:val="en-US"/>
        </w:rPr>
      </w:pPr>
    </w:p>
    <w:p w14:paraId="533F0E51" w14:textId="77777777" w:rsidR="004A628C" w:rsidRPr="0039046B" w:rsidRDefault="004A628C" w:rsidP="00A60025">
      <w:pPr>
        <w:spacing w:after="0" w:line="360" w:lineRule="auto"/>
        <w:ind w:left="709" w:hanging="709"/>
        <w:jc w:val="both"/>
        <w:rPr>
          <w:rFonts w:asciiTheme="minorHAnsi" w:hAnsiTheme="minorHAnsi"/>
          <w:b/>
          <w:color w:val="000000" w:themeColor="text1"/>
          <w:sz w:val="24"/>
          <w:szCs w:val="24"/>
          <w:lang w:val="en-US"/>
        </w:rPr>
      </w:pPr>
    </w:p>
    <w:sectPr w:rsidR="004A628C" w:rsidRPr="0039046B" w:rsidSect="00EB0BEF">
      <w:footerReference w:type="even" r:id="rId12"/>
      <w:footerReference w:type="default" r:id="rId13"/>
      <w:footnotePr>
        <w:numFmt w:val="chicago"/>
      </w:footnotePr>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E3DE5" w14:textId="77777777" w:rsidR="009D1842" w:rsidRDefault="009D1842" w:rsidP="00C009E8">
      <w:pPr>
        <w:spacing w:after="0" w:line="240" w:lineRule="auto"/>
      </w:pPr>
      <w:r>
        <w:separator/>
      </w:r>
    </w:p>
  </w:endnote>
  <w:endnote w:type="continuationSeparator" w:id="0">
    <w:p w14:paraId="35FFBA4C" w14:textId="77777777" w:rsidR="009D1842" w:rsidRDefault="009D1842" w:rsidP="00C0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4582" w14:textId="77777777" w:rsidR="00EB0BEF" w:rsidRDefault="00EB0BEF" w:rsidP="00094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168FD" w14:textId="77777777" w:rsidR="00EB0BEF" w:rsidRDefault="00EB0BEF" w:rsidP="003247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15EF6" w14:textId="77777777" w:rsidR="00EB0BEF" w:rsidRDefault="00EB0BEF" w:rsidP="00094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2D4B9D8" w14:textId="77777777" w:rsidR="00EB0BEF" w:rsidRDefault="00EB0BEF" w:rsidP="003247F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7DD7C" w14:textId="77777777" w:rsidR="00123BDC" w:rsidRDefault="00123BDC" w:rsidP="00094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F8B735" w14:textId="77777777" w:rsidR="00123BDC" w:rsidRDefault="00123BDC" w:rsidP="003247F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CC2A" w14:textId="5EAAB69A" w:rsidR="00123BDC" w:rsidRDefault="00123BDC" w:rsidP="00094D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BEF">
      <w:rPr>
        <w:rStyle w:val="PageNumber"/>
        <w:noProof/>
      </w:rPr>
      <w:t>32</w:t>
    </w:r>
    <w:r>
      <w:rPr>
        <w:rStyle w:val="PageNumber"/>
      </w:rPr>
      <w:fldChar w:fldCharType="end"/>
    </w:r>
  </w:p>
  <w:p w14:paraId="3C1F3914" w14:textId="77777777" w:rsidR="00123BDC" w:rsidRDefault="00123BDC" w:rsidP="003247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3EA2E" w14:textId="77777777" w:rsidR="009D1842" w:rsidRDefault="009D1842" w:rsidP="00C009E8">
      <w:pPr>
        <w:spacing w:after="0" w:line="240" w:lineRule="auto"/>
      </w:pPr>
      <w:r>
        <w:separator/>
      </w:r>
    </w:p>
  </w:footnote>
  <w:footnote w:type="continuationSeparator" w:id="0">
    <w:p w14:paraId="27B739AE" w14:textId="77777777" w:rsidR="009D1842" w:rsidRDefault="009D1842" w:rsidP="00C009E8">
      <w:pPr>
        <w:spacing w:after="0" w:line="240" w:lineRule="auto"/>
      </w:pPr>
      <w:r>
        <w:continuationSeparator/>
      </w:r>
    </w:p>
  </w:footnote>
  <w:footnote w:id="1">
    <w:p w14:paraId="7A19AB8E" w14:textId="77777777" w:rsidR="001F0FB1" w:rsidRPr="00BD334E" w:rsidRDefault="001F0FB1" w:rsidP="001F0FB1">
      <w:pPr>
        <w:pStyle w:val="FootnoteText"/>
        <w:rPr>
          <w:lang w:val="en-GB"/>
        </w:rPr>
      </w:pPr>
      <w:r w:rsidRPr="00BD334E">
        <w:rPr>
          <w:rStyle w:val="FootnoteReference"/>
          <w:lang w:val="en-GB"/>
        </w:rPr>
        <w:footnoteRef/>
      </w:r>
      <w:r w:rsidRPr="00BD334E">
        <w:rPr>
          <w:lang w:val="en-GB"/>
        </w:rPr>
        <w:t xml:space="preserve"> </w:t>
      </w:r>
      <w:r w:rsidRPr="00BD334E">
        <w:rPr>
          <w:sz w:val="20"/>
          <w:szCs w:val="20"/>
          <w:lang w:val="en-GB"/>
        </w:rPr>
        <w:t>Department of “Scienze Aziendali - Management &amp; Innovation System</w:t>
      </w:r>
      <w:r>
        <w:rPr>
          <w:sz w:val="20"/>
          <w:szCs w:val="20"/>
          <w:lang w:val="en-GB"/>
        </w:rPr>
        <w:t>s</w:t>
      </w:r>
      <w:r w:rsidRPr="00BD334E">
        <w:rPr>
          <w:sz w:val="20"/>
          <w:szCs w:val="20"/>
          <w:lang w:val="en-GB"/>
        </w:rPr>
        <w:t>” - University of Salerno.</w:t>
      </w:r>
    </w:p>
  </w:footnote>
  <w:footnote w:id="2">
    <w:p w14:paraId="45D750C2" w14:textId="77777777" w:rsidR="001F0FB1" w:rsidRPr="00036333" w:rsidRDefault="001F0FB1" w:rsidP="001F0FB1">
      <w:pPr>
        <w:pStyle w:val="FootnoteText"/>
        <w:rPr>
          <w:sz w:val="20"/>
          <w:szCs w:val="20"/>
          <w:lang w:val="en-GB"/>
        </w:rPr>
      </w:pPr>
      <w:r>
        <w:rPr>
          <w:rStyle w:val="FootnoteReference"/>
        </w:rPr>
        <w:footnoteRef/>
      </w:r>
      <w:r w:rsidRPr="00036333">
        <w:rPr>
          <w:lang w:val="en-US"/>
        </w:rPr>
        <w:t xml:space="preserve"> </w:t>
      </w:r>
      <w:r w:rsidRPr="00036333">
        <w:rPr>
          <w:sz w:val="20"/>
          <w:szCs w:val="20"/>
          <w:lang w:val="en-GB"/>
        </w:rPr>
        <w:t xml:space="preserve">Centre for Global Finance, University of the West of England, Bristol, UK </w:t>
      </w:r>
    </w:p>
  </w:footnote>
  <w:footnote w:id="3">
    <w:p w14:paraId="70420B26" w14:textId="77777777" w:rsidR="001F0FB1" w:rsidRPr="00BD334E" w:rsidRDefault="001F0FB1" w:rsidP="001F0FB1">
      <w:pPr>
        <w:pStyle w:val="FootnoteText"/>
        <w:rPr>
          <w:lang w:val="en-GB"/>
        </w:rPr>
      </w:pPr>
      <w:r w:rsidRPr="00BD334E">
        <w:rPr>
          <w:rStyle w:val="FootnoteReference"/>
          <w:lang w:val="en-GB"/>
        </w:rPr>
        <w:footnoteRef/>
      </w:r>
      <w:r w:rsidRPr="00BD334E">
        <w:rPr>
          <w:lang w:val="en-GB"/>
        </w:rPr>
        <w:t xml:space="preserve"> </w:t>
      </w:r>
      <w:r w:rsidRPr="00BD334E">
        <w:rPr>
          <w:sz w:val="20"/>
          <w:szCs w:val="20"/>
          <w:lang w:val="en-GB"/>
        </w:rPr>
        <w:t>Department of “Scienze Aziendali - Management &amp; Innovation System</w:t>
      </w:r>
      <w:r>
        <w:rPr>
          <w:sz w:val="20"/>
          <w:szCs w:val="20"/>
          <w:lang w:val="en-GB"/>
        </w:rPr>
        <w:t>s</w:t>
      </w:r>
      <w:r w:rsidRPr="00BD334E">
        <w:rPr>
          <w:sz w:val="20"/>
          <w:szCs w:val="20"/>
          <w:lang w:val="en-GB"/>
        </w:rPr>
        <w:t>” - University of Salerno.</w:t>
      </w:r>
      <w:r>
        <w:rPr>
          <w:sz w:val="20"/>
          <w:szCs w:val="20"/>
          <w:lang w:val="en-GB"/>
        </w:rPr>
        <w:t xml:space="preserve"> Corresponding Author: </w:t>
      </w:r>
      <w:hyperlink r:id="rId1" w:history="1">
        <w:r w:rsidRPr="001E4787">
          <w:rPr>
            <w:rStyle w:val="Hyperlink"/>
            <w:sz w:val="20"/>
            <w:szCs w:val="20"/>
            <w:lang w:val="en-GB"/>
          </w:rPr>
          <w:t>gmatonti@unisa.it</w:t>
        </w:r>
      </w:hyperlink>
      <w:r>
        <w:rPr>
          <w:sz w:val="20"/>
          <w:szCs w:val="20"/>
          <w:lang w:val="en-GB"/>
        </w:rPr>
        <w:t xml:space="preserve"> </w:t>
      </w:r>
    </w:p>
  </w:footnote>
  <w:footnote w:id="4">
    <w:p w14:paraId="30B2A77E" w14:textId="77777777" w:rsidR="001F0FB1" w:rsidRPr="00BD334E" w:rsidRDefault="001F0FB1" w:rsidP="001F0FB1">
      <w:pPr>
        <w:pStyle w:val="FootnoteText"/>
        <w:rPr>
          <w:lang w:val="en-GB"/>
        </w:rPr>
      </w:pPr>
      <w:r w:rsidRPr="00BD334E">
        <w:rPr>
          <w:rStyle w:val="FootnoteReference"/>
          <w:lang w:val="en-GB"/>
        </w:rPr>
        <w:footnoteRef/>
      </w:r>
      <w:r w:rsidRPr="00BD334E">
        <w:rPr>
          <w:lang w:val="en-GB"/>
        </w:rPr>
        <w:t xml:space="preserve"> </w:t>
      </w:r>
      <w:r w:rsidRPr="00BD334E">
        <w:rPr>
          <w:sz w:val="20"/>
          <w:szCs w:val="20"/>
          <w:lang w:val="en-GB"/>
        </w:rPr>
        <w:t>Department of “Scienze Aziendali - Management &amp; Innovation System</w:t>
      </w:r>
      <w:r>
        <w:rPr>
          <w:sz w:val="20"/>
          <w:szCs w:val="20"/>
          <w:lang w:val="en-GB"/>
        </w:rPr>
        <w:t>s</w:t>
      </w:r>
      <w:r w:rsidRPr="00BD334E">
        <w:rPr>
          <w:sz w:val="20"/>
          <w:szCs w:val="20"/>
          <w:lang w:val="en-GB"/>
        </w:rPr>
        <w:t>” - University of Salerno.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A5E"/>
    <w:multiLevelType w:val="hybridMultilevel"/>
    <w:tmpl w:val="B6A2E21A"/>
    <w:lvl w:ilvl="0" w:tplc="9840402E">
      <w:start w:val="1"/>
      <w:numFmt w:val="decimal"/>
      <w:lvlText w:val="%1."/>
      <w:lvlJc w:val="left"/>
      <w:pPr>
        <w:ind w:left="705" w:hanging="360"/>
      </w:pPr>
      <w:rPr>
        <w:rFonts w:cs="Times New Roman" w:hint="default"/>
      </w:rPr>
    </w:lvl>
    <w:lvl w:ilvl="1" w:tplc="04100019" w:tentative="1">
      <w:start w:val="1"/>
      <w:numFmt w:val="lowerLetter"/>
      <w:lvlText w:val="%2."/>
      <w:lvlJc w:val="left"/>
      <w:pPr>
        <w:ind w:left="1425" w:hanging="360"/>
      </w:pPr>
      <w:rPr>
        <w:rFonts w:cs="Times New Roman"/>
      </w:rPr>
    </w:lvl>
    <w:lvl w:ilvl="2" w:tplc="0410001B" w:tentative="1">
      <w:start w:val="1"/>
      <w:numFmt w:val="lowerRoman"/>
      <w:lvlText w:val="%3."/>
      <w:lvlJc w:val="right"/>
      <w:pPr>
        <w:ind w:left="2145" w:hanging="180"/>
      </w:pPr>
      <w:rPr>
        <w:rFonts w:cs="Times New Roman"/>
      </w:rPr>
    </w:lvl>
    <w:lvl w:ilvl="3" w:tplc="0410000F" w:tentative="1">
      <w:start w:val="1"/>
      <w:numFmt w:val="decimal"/>
      <w:lvlText w:val="%4."/>
      <w:lvlJc w:val="left"/>
      <w:pPr>
        <w:ind w:left="2865" w:hanging="360"/>
      </w:pPr>
      <w:rPr>
        <w:rFonts w:cs="Times New Roman"/>
      </w:rPr>
    </w:lvl>
    <w:lvl w:ilvl="4" w:tplc="04100019" w:tentative="1">
      <w:start w:val="1"/>
      <w:numFmt w:val="lowerLetter"/>
      <w:lvlText w:val="%5."/>
      <w:lvlJc w:val="left"/>
      <w:pPr>
        <w:ind w:left="3585" w:hanging="360"/>
      </w:pPr>
      <w:rPr>
        <w:rFonts w:cs="Times New Roman"/>
      </w:rPr>
    </w:lvl>
    <w:lvl w:ilvl="5" w:tplc="0410001B" w:tentative="1">
      <w:start w:val="1"/>
      <w:numFmt w:val="lowerRoman"/>
      <w:lvlText w:val="%6."/>
      <w:lvlJc w:val="right"/>
      <w:pPr>
        <w:ind w:left="4305" w:hanging="180"/>
      </w:pPr>
      <w:rPr>
        <w:rFonts w:cs="Times New Roman"/>
      </w:rPr>
    </w:lvl>
    <w:lvl w:ilvl="6" w:tplc="0410000F" w:tentative="1">
      <w:start w:val="1"/>
      <w:numFmt w:val="decimal"/>
      <w:lvlText w:val="%7."/>
      <w:lvlJc w:val="left"/>
      <w:pPr>
        <w:ind w:left="5025" w:hanging="360"/>
      </w:pPr>
      <w:rPr>
        <w:rFonts w:cs="Times New Roman"/>
      </w:rPr>
    </w:lvl>
    <w:lvl w:ilvl="7" w:tplc="04100019" w:tentative="1">
      <w:start w:val="1"/>
      <w:numFmt w:val="lowerLetter"/>
      <w:lvlText w:val="%8."/>
      <w:lvlJc w:val="left"/>
      <w:pPr>
        <w:ind w:left="5745" w:hanging="360"/>
      </w:pPr>
      <w:rPr>
        <w:rFonts w:cs="Times New Roman"/>
      </w:rPr>
    </w:lvl>
    <w:lvl w:ilvl="8" w:tplc="0410001B" w:tentative="1">
      <w:start w:val="1"/>
      <w:numFmt w:val="lowerRoman"/>
      <w:lvlText w:val="%9."/>
      <w:lvlJc w:val="right"/>
      <w:pPr>
        <w:ind w:left="6465" w:hanging="180"/>
      </w:pPr>
      <w:rPr>
        <w:rFonts w:cs="Times New Roman"/>
      </w:rPr>
    </w:lvl>
  </w:abstractNum>
  <w:abstractNum w:abstractNumId="1" w15:restartNumberingAfterBreak="0">
    <w:nsid w:val="0F9D37ED"/>
    <w:multiLevelType w:val="multilevel"/>
    <w:tmpl w:val="79E8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E5933"/>
    <w:multiLevelType w:val="hybridMultilevel"/>
    <w:tmpl w:val="9D6A6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DB099C"/>
    <w:multiLevelType w:val="hybridMultilevel"/>
    <w:tmpl w:val="8A10F18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1DE33C9"/>
    <w:multiLevelType w:val="multilevel"/>
    <w:tmpl w:val="B062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91737F"/>
    <w:multiLevelType w:val="hybridMultilevel"/>
    <w:tmpl w:val="D8C47F9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64376F6F"/>
    <w:multiLevelType w:val="multilevel"/>
    <w:tmpl w:val="9BA8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F04BE4"/>
    <w:multiLevelType w:val="hybridMultilevel"/>
    <w:tmpl w:val="6E2AACDA"/>
    <w:lvl w:ilvl="0" w:tplc="D47C225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41"/>
    <w:rsid w:val="000009D9"/>
    <w:rsid w:val="00000C0D"/>
    <w:rsid w:val="00000EDE"/>
    <w:rsid w:val="00000FFD"/>
    <w:rsid w:val="00001ECD"/>
    <w:rsid w:val="0000208F"/>
    <w:rsid w:val="0000224A"/>
    <w:rsid w:val="00002272"/>
    <w:rsid w:val="00002C57"/>
    <w:rsid w:val="00003780"/>
    <w:rsid w:val="00003A56"/>
    <w:rsid w:val="000043EC"/>
    <w:rsid w:val="000047D6"/>
    <w:rsid w:val="00004879"/>
    <w:rsid w:val="00004A8C"/>
    <w:rsid w:val="00004ACB"/>
    <w:rsid w:val="000052E7"/>
    <w:rsid w:val="0000555C"/>
    <w:rsid w:val="0000613E"/>
    <w:rsid w:val="00006A9E"/>
    <w:rsid w:val="000072EA"/>
    <w:rsid w:val="000079EA"/>
    <w:rsid w:val="00007EEE"/>
    <w:rsid w:val="00010B51"/>
    <w:rsid w:val="00010C5F"/>
    <w:rsid w:val="0001273E"/>
    <w:rsid w:val="0001296D"/>
    <w:rsid w:val="00012CC0"/>
    <w:rsid w:val="00013049"/>
    <w:rsid w:val="000143D0"/>
    <w:rsid w:val="00014A62"/>
    <w:rsid w:val="000150CE"/>
    <w:rsid w:val="000158CB"/>
    <w:rsid w:val="00015D05"/>
    <w:rsid w:val="00016466"/>
    <w:rsid w:val="00021376"/>
    <w:rsid w:val="00021784"/>
    <w:rsid w:val="00023327"/>
    <w:rsid w:val="00023446"/>
    <w:rsid w:val="00023BF4"/>
    <w:rsid w:val="0002475A"/>
    <w:rsid w:val="00024B22"/>
    <w:rsid w:val="00024C3A"/>
    <w:rsid w:val="000254A5"/>
    <w:rsid w:val="00026924"/>
    <w:rsid w:val="00026AA1"/>
    <w:rsid w:val="0003030E"/>
    <w:rsid w:val="00030526"/>
    <w:rsid w:val="00030ED6"/>
    <w:rsid w:val="000320F9"/>
    <w:rsid w:val="00032F9D"/>
    <w:rsid w:val="00033A38"/>
    <w:rsid w:val="000352AA"/>
    <w:rsid w:val="00035B4C"/>
    <w:rsid w:val="00036333"/>
    <w:rsid w:val="00036495"/>
    <w:rsid w:val="00036F81"/>
    <w:rsid w:val="00037D4A"/>
    <w:rsid w:val="000422BC"/>
    <w:rsid w:val="000426C9"/>
    <w:rsid w:val="00042DF9"/>
    <w:rsid w:val="0004307B"/>
    <w:rsid w:val="000441BA"/>
    <w:rsid w:val="000459D2"/>
    <w:rsid w:val="00045CC9"/>
    <w:rsid w:val="00045D05"/>
    <w:rsid w:val="00047EA3"/>
    <w:rsid w:val="0005047D"/>
    <w:rsid w:val="00050573"/>
    <w:rsid w:val="00050C89"/>
    <w:rsid w:val="00051C75"/>
    <w:rsid w:val="00051FF0"/>
    <w:rsid w:val="000520B0"/>
    <w:rsid w:val="00052233"/>
    <w:rsid w:val="00052B68"/>
    <w:rsid w:val="000537EA"/>
    <w:rsid w:val="00054489"/>
    <w:rsid w:val="00055865"/>
    <w:rsid w:val="00055B00"/>
    <w:rsid w:val="00055E68"/>
    <w:rsid w:val="00055FEF"/>
    <w:rsid w:val="0005688A"/>
    <w:rsid w:val="0005692A"/>
    <w:rsid w:val="00056D54"/>
    <w:rsid w:val="00060DAB"/>
    <w:rsid w:val="000617E5"/>
    <w:rsid w:val="0006206B"/>
    <w:rsid w:val="00062FB7"/>
    <w:rsid w:val="000639B2"/>
    <w:rsid w:val="00063C07"/>
    <w:rsid w:val="000647C8"/>
    <w:rsid w:val="00065603"/>
    <w:rsid w:val="00065AF8"/>
    <w:rsid w:val="00066CC6"/>
    <w:rsid w:val="00066CD6"/>
    <w:rsid w:val="0006733C"/>
    <w:rsid w:val="00070495"/>
    <w:rsid w:val="000704EF"/>
    <w:rsid w:val="000708CB"/>
    <w:rsid w:val="00070D31"/>
    <w:rsid w:val="00071211"/>
    <w:rsid w:val="000715B6"/>
    <w:rsid w:val="0007165D"/>
    <w:rsid w:val="00071A82"/>
    <w:rsid w:val="00071ACB"/>
    <w:rsid w:val="00071E90"/>
    <w:rsid w:val="00071FEF"/>
    <w:rsid w:val="00072E00"/>
    <w:rsid w:val="00073327"/>
    <w:rsid w:val="00075890"/>
    <w:rsid w:val="00075DC0"/>
    <w:rsid w:val="00076459"/>
    <w:rsid w:val="000767F0"/>
    <w:rsid w:val="0007733E"/>
    <w:rsid w:val="00077B09"/>
    <w:rsid w:val="00077C9A"/>
    <w:rsid w:val="00077CD7"/>
    <w:rsid w:val="00080A38"/>
    <w:rsid w:val="00080DE5"/>
    <w:rsid w:val="00081160"/>
    <w:rsid w:val="0008304F"/>
    <w:rsid w:val="00084BA5"/>
    <w:rsid w:val="000852BF"/>
    <w:rsid w:val="00086474"/>
    <w:rsid w:val="000867DB"/>
    <w:rsid w:val="00086AD1"/>
    <w:rsid w:val="00087007"/>
    <w:rsid w:val="00090641"/>
    <w:rsid w:val="00090BFC"/>
    <w:rsid w:val="00091258"/>
    <w:rsid w:val="000917BD"/>
    <w:rsid w:val="000917C1"/>
    <w:rsid w:val="0009235F"/>
    <w:rsid w:val="00092724"/>
    <w:rsid w:val="00092955"/>
    <w:rsid w:val="00092AA5"/>
    <w:rsid w:val="000934C5"/>
    <w:rsid w:val="00093574"/>
    <w:rsid w:val="00093E52"/>
    <w:rsid w:val="000944A9"/>
    <w:rsid w:val="0009481D"/>
    <w:rsid w:val="00094DE8"/>
    <w:rsid w:val="00095ECD"/>
    <w:rsid w:val="00096670"/>
    <w:rsid w:val="000968A7"/>
    <w:rsid w:val="00096CA4"/>
    <w:rsid w:val="0009703B"/>
    <w:rsid w:val="0009731B"/>
    <w:rsid w:val="000976E6"/>
    <w:rsid w:val="00097F0E"/>
    <w:rsid w:val="000A14C3"/>
    <w:rsid w:val="000A232A"/>
    <w:rsid w:val="000A253D"/>
    <w:rsid w:val="000A3034"/>
    <w:rsid w:val="000A3263"/>
    <w:rsid w:val="000A4429"/>
    <w:rsid w:val="000A4D17"/>
    <w:rsid w:val="000A5408"/>
    <w:rsid w:val="000A58B4"/>
    <w:rsid w:val="000A6D69"/>
    <w:rsid w:val="000A7A02"/>
    <w:rsid w:val="000B0669"/>
    <w:rsid w:val="000B0DFB"/>
    <w:rsid w:val="000B1AAB"/>
    <w:rsid w:val="000B1E64"/>
    <w:rsid w:val="000B3195"/>
    <w:rsid w:val="000B345B"/>
    <w:rsid w:val="000B3970"/>
    <w:rsid w:val="000B3E1E"/>
    <w:rsid w:val="000B3F92"/>
    <w:rsid w:val="000B4202"/>
    <w:rsid w:val="000B4A46"/>
    <w:rsid w:val="000B4FFF"/>
    <w:rsid w:val="000B5735"/>
    <w:rsid w:val="000B57A1"/>
    <w:rsid w:val="000B5E6F"/>
    <w:rsid w:val="000B649E"/>
    <w:rsid w:val="000B7287"/>
    <w:rsid w:val="000C0638"/>
    <w:rsid w:val="000C0A72"/>
    <w:rsid w:val="000C16C7"/>
    <w:rsid w:val="000C1B77"/>
    <w:rsid w:val="000C2279"/>
    <w:rsid w:val="000C22E7"/>
    <w:rsid w:val="000C2E93"/>
    <w:rsid w:val="000C2EF2"/>
    <w:rsid w:val="000C2F40"/>
    <w:rsid w:val="000C3393"/>
    <w:rsid w:val="000C4421"/>
    <w:rsid w:val="000C4D23"/>
    <w:rsid w:val="000C5C17"/>
    <w:rsid w:val="000D04BE"/>
    <w:rsid w:val="000D0936"/>
    <w:rsid w:val="000D19E0"/>
    <w:rsid w:val="000D20DF"/>
    <w:rsid w:val="000D2E23"/>
    <w:rsid w:val="000D3C73"/>
    <w:rsid w:val="000D3F04"/>
    <w:rsid w:val="000D485E"/>
    <w:rsid w:val="000D4A72"/>
    <w:rsid w:val="000D50DF"/>
    <w:rsid w:val="000D6748"/>
    <w:rsid w:val="000D6A20"/>
    <w:rsid w:val="000D73BD"/>
    <w:rsid w:val="000E05B1"/>
    <w:rsid w:val="000E1398"/>
    <w:rsid w:val="000E2556"/>
    <w:rsid w:val="000E26D3"/>
    <w:rsid w:val="000E2784"/>
    <w:rsid w:val="000E2B16"/>
    <w:rsid w:val="000E2C22"/>
    <w:rsid w:val="000E2DE6"/>
    <w:rsid w:val="000E316F"/>
    <w:rsid w:val="000E43FC"/>
    <w:rsid w:val="000E54E6"/>
    <w:rsid w:val="000E71ED"/>
    <w:rsid w:val="000F0173"/>
    <w:rsid w:val="000F01E3"/>
    <w:rsid w:val="000F127A"/>
    <w:rsid w:val="000F1637"/>
    <w:rsid w:val="000F1877"/>
    <w:rsid w:val="000F1BBB"/>
    <w:rsid w:val="000F1C61"/>
    <w:rsid w:val="000F4355"/>
    <w:rsid w:val="000F4FE2"/>
    <w:rsid w:val="000F524A"/>
    <w:rsid w:val="000F5746"/>
    <w:rsid w:val="000F57F9"/>
    <w:rsid w:val="000F607B"/>
    <w:rsid w:val="000F67E7"/>
    <w:rsid w:val="000F70C7"/>
    <w:rsid w:val="000F7BE3"/>
    <w:rsid w:val="001006E8"/>
    <w:rsid w:val="00101C82"/>
    <w:rsid w:val="00102BE1"/>
    <w:rsid w:val="00102F80"/>
    <w:rsid w:val="00103B46"/>
    <w:rsid w:val="001040CF"/>
    <w:rsid w:val="001046C5"/>
    <w:rsid w:val="00104A78"/>
    <w:rsid w:val="00104BF0"/>
    <w:rsid w:val="00104D4E"/>
    <w:rsid w:val="00105965"/>
    <w:rsid w:val="00106760"/>
    <w:rsid w:val="00106AC5"/>
    <w:rsid w:val="00107159"/>
    <w:rsid w:val="00107535"/>
    <w:rsid w:val="001075CB"/>
    <w:rsid w:val="001107C6"/>
    <w:rsid w:val="001111D6"/>
    <w:rsid w:val="001112DD"/>
    <w:rsid w:val="00111E1E"/>
    <w:rsid w:val="00111F18"/>
    <w:rsid w:val="0011213C"/>
    <w:rsid w:val="0011276F"/>
    <w:rsid w:val="00112DC8"/>
    <w:rsid w:val="00112E6F"/>
    <w:rsid w:val="00113A86"/>
    <w:rsid w:val="00113F03"/>
    <w:rsid w:val="001142A3"/>
    <w:rsid w:val="001144C5"/>
    <w:rsid w:val="00114621"/>
    <w:rsid w:val="001148AA"/>
    <w:rsid w:val="00115109"/>
    <w:rsid w:val="00115269"/>
    <w:rsid w:val="00115E8F"/>
    <w:rsid w:val="00115F3C"/>
    <w:rsid w:val="00115FBF"/>
    <w:rsid w:val="0011675A"/>
    <w:rsid w:val="001167E0"/>
    <w:rsid w:val="00117782"/>
    <w:rsid w:val="001178FA"/>
    <w:rsid w:val="0012013A"/>
    <w:rsid w:val="00120675"/>
    <w:rsid w:val="00120AA2"/>
    <w:rsid w:val="00120DD9"/>
    <w:rsid w:val="00121784"/>
    <w:rsid w:val="0012218D"/>
    <w:rsid w:val="00122425"/>
    <w:rsid w:val="001226B8"/>
    <w:rsid w:val="00123295"/>
    <w:rsid w:val="00123848"/>
    <w:rsid w:val="00123BDC"/>
    <w:rsid w:val="00123BE6"/>
    <w:rsid w:val="00123F80"/>
    <w:rsid w:val="0012489E"/>
    <w:rsid w:val="0012532D"/>
    <w:rsid w:val="00125B22"/>
    <w:rsid w:val="00126692"/>
    <w:rsid w:val="00126B38"/>
    <w:rsid w:val="00126D83"/>
    <w:rsid w:val="0012782D"/>
    <w:rsid w:val="00127930"/>
    <w:rsid w:val="00127E95"/>
    <w:rsid w:val="00130028"/>
    <w:rsid w:val="00130488"/>
    <w:rsid w:val="001318AD"/>
    <w:rsid w:val="00132E81"/>
    <w:rsid w:val="001331FC"/>
    <w:rsid w:val="0013333C"/>
    <w:rsid w:val="00134966"/>
    <w:rsid w:val="00136B19"/>
    <w:rsid w:val="0013727E"/>
    <w:rsid w:val="00137B47"/>
    <w:rsid w:val="001401B4"/>
    <w:rsid w:val="00140C90"/>
    <w:rsid w:val="00140EED"/>
    <w:rsid w:val="00141754"/>
    <w:rsid w:val="00142458"/>
    <w:rsid w:val="0014289D"/>
    <w:rsid w:val="00142A60"/>
    <w:rsid w:val="001431D1"/>
    <w:rsid w:val="0014344C"/>
    <w:rsid w:val="001440EB"/>
    <w:rsid w:val="00144C56"/>
    <w:rsid w:val="00144F71"/>
    <w:rsid w:val="00146925"/>
    <w:rsid w:val="00146E78"/>
    <w:rsid w:val="00146E9A"/>
    <w:rsid w:val="00150204"/>
    <w:rsid w:val="001515F3"/>
    <w:rsid w:val="0015165F"/>
    <w:rsid w:val="00151CBE"/>
    <w:rsid w:val="00152056"/>
    <w:rsid w:val="0015269A"/>
    <w:rsid w:val="0015307F"/>
    <w:rsid w:val="00153219"/>
    <w:rsid w:val="00153B94"/>
    <w:rsid w:val="00153F65"/>
    <w:rsid w:val="001540AA"/>
    <w:rsid w:val="00156D64"/>
    <w:rsid w:val="001571BE"/>
    <w:rsid w:val="00157223"/>
    <w:rsid w:val="001609B4"/>
    <w:rsid w:val="00160F5E"/>
    <w:rsid w:val="00161EC8"/>
    <w:rsid w:val="00162579"/>
    <w:rsid w:val="0016294E"/>
    <w:rsid w:val="00162B85"/>
    <w:rsid w:val="00162E58"/>
    <w:rsid w:val="00162F2C"/>
    <w:rsid w:val="00163A96"/>
    <w:rsid w:val="00163D5A"/>
    <w:rsid w:val="001640C2"/>
    <w:rsid w:val="001641E9"/>
    <w:rsid w:val="00164687"/>
    <w:rsid w:val="00164AF4"/>
    <w:rsid w:val="00164C20"/>
    <w:rsid w:val="00165DA7"/>
    <w:rsid w:val="00165F7E"/>
    <w:rsid w:val="00166319"/>
    <w:rsid w:val="00166396"/>
    <w:rsid w:val="00166FC8"/>
    <w:rsid w:val="00167374"/>
    <w:rsid w:val="00167858"/>
    <w:rsid w:val="00167DDD"/>
    <w:rsid w:val="0017185F"/>
    <w:rsid w:val="00171CEE"/>
    <w:rsid w:val="001736BE"/>
    <w:rsid w:val="001755F1"/>
    <w:rsid w:val="001757D8"/>
    <w:rsid w:val="0017663C"/>
    <w:rsid w:val="001779AC"/>
    <w:rsid w:val="00177EE8"/>
    <w:rsid w:val="00181C08"/>
    <w:rsid w:val="00183627"/>
    <w:rsid w:val="00183946"/>
    <w:rsid w:val="00183E9A"/>
    <w:rsid w:val="00184887"/>
    <w:rsid w:val="00184B17"/>
    <w:rsid w:val="00184C93"/>
    <w:rsid w:val="00184CD9"/>
    <w:rsid w:val="00185404"/>
    <w:rsid w:val="001857CA"/>
    <w:rsid w:val="00185850"/>
    <w:rsid w:val="0018619B"/>
    <w:rsid w:val="001863B4"/>
    <w:rsid w:val="00190126"/>
    <w:rsid w:val="001915A8"/>
    <w:rsid w:val="00191D30"/>
    <w:rsid w:val="0019205A"/>
    <w:rsid w:val="00192350"/>
    <w:rsid w:val="00192A35"/>
    <w:rsid w:val="00192C5E"/>
    <w:rsid w:val="00192D7B"/>
    <w:rsid w:val="00192E27"/>
    <w:rsid w:val="00192E4E"/>
    <w:rsid w:val="00193521"/>
    <w:rsid w:val="001937D4"/>
    <w:rsid w:val="00193E3A"/>
    <w:rsid w:val="00195364"/>
    <w:rsid w:val="001959E8"/>
    <w:rsid w:val="001960E6"/>
    <w:rsid w:val="001962AE"/>
    <w:rsid w:val="00196F8B"/>
    <w:rsid w:val="0019739A"/>
    <w:rsid w:val="001979C9"/>
    <w:rsid w:val="001A13EA"/>
    <w:rsid w:val="001A1EF9"/>
    <w:rsid w:val="001A1F4F"/>
    <w:rsid w:val="001A2396"/>
    <w:rsid w:val="001A2964"/>
    <w:rsid w:val="001A2DF5"/>
    <w:rsid w:val="001A301E"/>
    <w:rsid w:val="001A473A"/>
    <w:rsid w:val="001A4B2F"/>
    <w:rsid w:val="001A4FF6"/>
    <w:rsid w:val="001A51B3"/>
    <w:rsid w:val="001A5455"/>
    <w:rsid w:val="001A5751"/>
    <w:rsid w:val="001A60B2"/>
    <w:rsid w:val="001A67EA"/>
    <w:rsid w:val="001A71EB"/>
    <w:rsid w:val="001A7340"/>
    <w:rsid w:val="001A7730"/>
    <w:rsid w:val="001B0D3B"/>
    <w:rsid w:val="001B1201"/>
    <w:rsid w:val="001B1572"/>
    <w:rsid w:val="001B2082"/>
    <w:rsid w:val="001B283B"/>
    <w:rsid w:val="001B4089"/>
    <w:rsid w:val="001B4DBA"/>
    <w:rsid w:val="001B585A"/>
    <w:rsid w:val="001B629B"/>
    <w:rsid w:val="001B642A"/>
    <w:rsid w:val="001B6CA7"/>
    <w:rsid w:val="001C01A3"/>
    <w:rsid w:val="001C0975"/>
    <w:rsid w:val="001C0DCB"/>
    <w:rsid w:val="001C0ECE"/>
    <w:rsid w:val="001C0EDB"/>
    <w:rsid w:val="001C13CC"/>
    <w:rsid w:val="001C1586"/>
    <w:rsid w:val="001C1B27"/>
    <w:rsid w:val="001C2276"/>
    <w:rsid w:val="001C2520"/>
    <w:rsid w:val="001C5435"/>
    <w:rsid w:val="001C59EF"/>
    <w:rsid w:val="001C5F39"/>
    <w:rsid w:val="001C61A8"/>
    <w:rsid w:val="001C6BCE"/>
    <w:rsid w:val="001C7311"/>
    <w:rsid w:val="001D1A01"/>
    <w:rsid w:val="001D2BA1"/>
    <w:rsid w:val="001D30E9"/>
    <w:rsid w:val="001D3108"/>
    <w:rsid w:val="001D3229"/>
    <w:rsid w:val="001D3FB9"/>
    <w:rsid w:val="001D5080"/>
    <w:rsid w:val="001D590E"/>
    <w:rsid w:val="001D633A"/>
    <w:rsid w:val="001D689C"/>
    <w:rsid w:val="001D7047"/>
    <w:rsid w:val="001D7B93"/>
    <w:rsid w:val="001D7B98"/>
    <w:rsid w:val="001D7E99"/>
    <w:rsid w:val="001E0652"/>
    <w:rsid w:val="001E1AEA"/>
    <w:rsid w:val="001E1DF9"/>
    <w:rsid w:val="001E2362"/>
    <w:rsid w:val="001E2A96"/>
    <w:rsid w:val="001E4504"/>
    <w:rsid w:val="001E4A58"/>
    <w:rsid w:val="001E4F86"/>
    <w:rsid w:val="001E6249"/>
    <w:rsid w:val="001E6EC8"/>
    <w:rsid w:val="001E771A"/>
    <w:rsid w:val="001F0DB4"/>
    <w:rsid w:val="001F0EA4"/>
    <w:rsid w:val="001F0FB1"/>
    <w:rsid w:val="001F147E"/>
    <w:rsid w:val="001F16D7"/>
    <w:rsid w:val="001F25DD"/>
    <w:rsid w:val="001F291B"/>
    <w:rsid w:val="001F2F2B"/>
    <w:rsid w:val="001F3348"/>
    <w:rsid w:val="001F338E"/>
    <w:rsid w:val="001F3894"/>
    <w:rsid w:val="001F46D4"/>
    <w:rsid w:val="001F4C4F"/>
    <w:rsid w:val="001F6688"/>
    <w:rsid w:val="001F68C5"/>
    <w:rsid w:val="001F7168"/>
    <w:rsid w:val="001F742B"/>
    <w:rsid w:val="001F7F2E"/>
    <w:rsid w:val="002004D8"/>
    <w:rsid w:val="002004DE"/>
    <w:rsid w:val="00200813"/>
    <w:rsid w:val="00200C0A"/>
    <w:rsid w:val="00201C81"/>
    <w:rsid w:val="00201FF3"/>
    <w:rsid w:val="00202B3A"/>
    <w:rsid w:val="00202DA1"/>
    <w:rsid w:val="00203CC7"/>
    <w:rsid w:val="00203F8F"/>
    <w:rsid w:val="00203FAF"/>
    <w:rsid w:val="00204097"/>
    <w:rsid w:val="002040AA"/>
    <w:rsid w:val="002045EE"/>
    <w:rsid w:val="00204C6B"/>
    <w:rsid w:val="00204CB8"/>
    <w:rsid w:val="00205132"/>
    <w:rsid w:val="00205B2A"/>
    <w:rsid w:val="00205BE7"/>
    <w:rsid w:val="0020600E"/>
    <w:rsid w:val="0020606C"/>
    <w:rsid w:val="00206072"/>
    <w:rsid w:val="002063EC"/>
    <w:rsid w:val="0020643C"/>
    <w:rsid w:val="00206589"/>
    <w:rsid w:val="00206848"/>
    <w:rsid w:val="00206F8D"/>
    <w:rsid w:val="0020780C"/>
    <w:rsid w:val="002104C0"/>
    <w:rsid w:val="00210539"/>
    <w:rsid w:val="00211AD8"/>
    <w:rsid w:val="00212A83"/>
    <w:rsid w:val="0021378A"/>
    <w:rsid w:val="00213AD9"/>
    <w:rsid w:val="00214596"/>
    <w:rsid w:val="0021480B"/>
    <w:rsid w:val="00214882"/>
    <w:rsid w:val="00215301"/>
    <w:rsid w:val="00216C26"/>
    <w:rsid w:val="00217094"/>
    <w:rsid w:val="00217FAD"/>
    <w:rsid w:val="00221D0E"/>
    <w:rsid w:val="00222660"/>
    <w:rsid w:val="00222984"/>
    <w:rsid w:val="00222BA7"/>
    <w:rsid w:val="00224405"/>
    <w:rsid w:val="00224882"/>
    <w:rsid w:val="00225298"/>
    <w:rsid w:val="00227624"/>
    <w:rsid w:val="00227930"/>
    <w:rsid w:val="00227AAF"/>
    <w:rsid w:val="00227F6F"/>
    <w:rsid w:val="002307AF"/>
    <w:rsid w:val="00230D43"/>
    <w:rsid w:val="0023229C"/>
    <w:rsid w:val="0023234A"/>
    <w:rsid w:val="0023273D"/>
    <w:rsid w:val="0023334A"/>
    <w:rsid w:val="002345DB"/>
    <w:rsid w:val="00236D2D"/>
    <w:rsid w:val="00236D46"/>
    <w:rsid w:val="00236E65"/>
    <w:rsid w:val="0023704D"/>
    <w:rsid w:val="00237BBB"/>
    <w:rsid w:val="00237DBF"/>
    <w:rsid w:val="00240B4D"/>
    <w:rsid w:val="00240C63"/>
    <w:rsid w:val="0024257D"/>
    <w:rsid w:val="002429CA"/>
    <w:rsid w:val="00242E65"/>
    <w:rsid w:val="00243B55"/>
    <w:rsid w:val="00243E3E"/>
    <w:rsid w:val="00244401"/>
    <w:rsid w:val="002448D5"/>
    <w:rsid w:val="00244ADE"/>
    <w:rsid w:val="00244E1D"/>
    <w:rsid w:val="00244ECF"/>
    <w:rsid w:val="00245118"/>
    <w:rsid w:val="00245345"/>
    <w:rsid w:val="00246757"/>
    <w:rsid w:val="00246B1D"/>
    <w:rsid w:val="0024734B"/>
    <w:rsid w:val="002476B7"/>
    <w:rsid w:val="00247801"/>
    <w:rsid w:val="00250A87"/>
    <w:rsid w:val="00250CA0"/>
    <w:rsid w:val="00251182"/>
    <w:rsid w:val="00251A40"/>
    <w:rsid w:val="00251B8D"/>
    <w:rsid w:val="002521F4"/>
    <w:rsid w:val="002525AD"/>
    <w:rsid w:val="002525F3"/>
    <w:rsid w:val="00253081"/>
    <w:rsid w:val="002533E6"/>
    <w:rsid w:val="00253576"/>
    <w:rsid w:val="00255B60"/>
    <w:rsid w:val="00256BD1"/>
    <w:rsid w:val="002573C9"/>
    <w:rsid w:val="00257EF5"/>
    <w:rsid w:val="00257FA4"/>
    <w:rsid w:val="00260C7F"/>
    <w:rsid w:val="0026105C"/>
    <w:rsid w:val="0026120B"/>
    <w:rsid w:val="00261645"/>
    <w:rsid w:val="00261B72"/>
    <w:rsid w:val="00261BF0"/>
    <w:rsid w:val="00262617"/>
    <w:rsid w:val="002627F7"/>
    <w:rsid w:val="0026357F"/>
    <w:rsid w:val="00263D7D"/>
    <w:rsid w:val="00264090"/>
    <w:rsid w:val="00265541"/>
    <w:rsid w:val="002658F0"/>
    <w:rsid w:val="00265D79"/>
    <w:rsid w:val="00270334"/>
    <w:rsid w:val="00270563"/>
    <w:rsid w:val="00270900"/>
    <w:rsid w:val="00270C82"/>
    <w:rsid w:val="00271040"/>
    <w:rsid w:val="0027166A"/>
    <w:rsid w:val="00271B03"/>
    <w:rsid w:val="0027268D"/>
    <w:rsid w:val="002727CA"/>
    <w:rsid w:val="00272DD5"/>
    <w:rsid w:val="00273536"/>
    <w:rsid w:val="00273962"/>
    <w:rsid w:val="00273B6C"/>
    <w:rsid w:val="00273B8B"/>
    <w:rsid w:val="00273DE1"/>
    <w:rsid w:val="0027423E"/>
    <w:rsid w:val="00274447"/>
    <w:rsid w:val="00274C04"/>
    <w:rsid w:val="002750E7"/>
    <w:rsid w:val="00275365"/>
    <w:rsid w:val="00275748"/>
    <w:rsid w:val="0027792A"/>
    <w:rsid w:val="00277ACF"/>
    <w:rsid w:val="00280B5A"/>
    <w:rsid w:val="00281873"/>
    <w:rsid w:val="00282B8C"/>
    <w:rsid w:val="00282C3B"/>
    <w:rsid w:val="0028384A"/>
    <w:rsid w:val="00283EF5"/>
    <w:rsid w:val="002846FD"/>
    <w:rsid w:val="002854C2"/>
    <w:rsid w:val="00293436"/>
    <w:rsid w:val="0029368F"/>
    <w:rsid w:val="0029405D"/>
    <w:rsid w:val="002944CD"/>
    <w:rsid w:val="00294682"/>
    <w:rsid w:val="00295415"/>
    <w:rsid w:val="00295E06"/>
    <w:rsid w:val="002962CC"/>
    <w:rsid w:val="00296D98"/>
    <w:rsid w:val="00297896"/>
    <w:rsid w:val="002A02BC"/>
    <w:rsid w:val="002A059B"/>
    <w:rsid w:val="002A11C0"/>
    <w:rsid w:val="002A25E9"/>
    <w:rsid w:val="002A3289"/>
    <w:rsid w:val="002A387F"/>
    <w:rsid w:val="002A3AAE"/>
    <w:rsid w:val="002A593F"/>
    <w:rsid w:val="002A5F02"/>
    <w:rsid w:val="002A6CE4"/>
    <w:rsid w:val="002B142B"/>
    <w:rsid w:val="002B1C12"/>
    <w:rsid w:val="002B1C90"/>
    <w:rsid w:val="002B26D0"/>
    <w:rsid w:val="002B2DD8"/>
    <w:rsid w:val="002B354F"/>
    <w:rsid w:val="002B38E2"/>
    <w:rsid w:val="002B46C3"/>
    <w:rsid w:val="002B4901"/>
    <w:rsid w:val="002B49F5"/>
    <w:rsid w:val="002B63DB"/>
    <w:rsid w:val="002B69AB"/>
    <w:rsid w:val="002B6C50"/>
    <w:rsid w:val="002B7A92"/>
    <w:rsid w:val="002C02C3"/>
    <w:rsid w:val="002C077C"/>
    <w:rsid w:val="002C0B99"/>
    <w:rsid w:val="002C0F42"/>
    <w:rsid w:val="002C1685"/>
    <w:rsid w:val="002C1A2E"/>
    <w:rsid w:val="002C5208"/>
    <w:rsid w:val="002C5474"/>
    <w:rsid w:val="002C6ACE"/>
    <w:rsid w:val="002C70E8"/>
    <w:rsid w:val="002C7BC2"/>
    <w:rsid w:val="002D23A4"/>
    <w:rsid w:val="002D2424"/>
    <w:rsid w:val="002D2D11"/>
    <w:rsid w:val="002D3AFE"/>
    <w:rsid w:val="002D3BD0"/>
    <w:rsid w:val="002D4D44"/>
    <w:rsid w:val="002D4F81"/>
    <w:rsid w:val="002D517B"/>
    <w:rsid w:val="002D55FE"/>
    <w:rsid w:val="002D5A79"/>
    <w:rsid w:val="002D5D9C"/>
    <w:rsid w:val="002D6B60"/>
    <w:rsid w:val="002D7382"/>
    <w:rsid w:val="002D76F1"/>
    <w:rsid w:val="002D7F8B"/>
    <w:rsid w:val="002E1CB9"/>
    <w:rsid w:val="002E2845"/>
    <w:rsid w:val="002E2DA7"/>
    <w:rsid w:val="002E3168"/>
    <w:rsid w:val="002E337C"/>
    <w:rsid w:val="002E3AD5"/>
    <w:rsid w:val="002E43E8"/>
    <w:rsid w:val="002E4917"/>
    <w:rsid w:val="002E49AB"/>
    <w:rsid w:val="002E50D7"/>
    <w:rsid w:val="002E51FC"/>
    <w:rsid w:val="002E56A5"/>
    <w:rsid w:val="002E5890"/>
    <w:rsid w:val="002E5A14"/>
    <w:rsid w:val="002E6429"/>
    <w:rsid w:val="002E6753"/>
    <w:rsid w:val="002E67F0"/>
    <w:rsid w:val="002E6B41"/>
    <w:rsid w:val="002E74D7"/>
    <w:rsid w:val="002F05ED"/>
    <w:rsid w:val="002F3A48"/>
    <w:rsid w:val="002F3ECC"/>
    <w:rsid w:val="002F5EA3"/>
    <w:rsid w:val="002F624E"/>
    <w:rsid w:val="002F6579"/>
    <w:rsid w:val="002F7451"/>
    <w:rsid w:val="003009AD"/>
    <w:rsid w:val="00301B66"/>
    <w:rsid w:val="0030221D"/>
    <w:rsid w:val="00302BF5"/>
    <w:rsid w:val="00302D8F"/>
    <w:rsid w:val="00303272"/>
    <w:rsid w:val="00303784"/>
    <w:rsid w:val="00303BDD"/>
    <w:rsid w:val="00303D33"/>
    <w:rsid w:val="00304424"/>
    <w:rsid w:val="003047D8"/>
    <w:rsid w:val="00304E9B"/>
    <w:rsid w:val="003053FC"/>
    <w:rsid w:val="00305EA4"/>
    <w:rsid w:val="00306196"/>
    <w:rsid w:val="003068F5"/>
    <w:rsid w:val="00307C31"/>
    <w:rsid w:val="00310DB7"/>
    <w:rsid w:val="0031102F"/>
    <w:rsid w:val="00311056"/>
    <w:rsid w:val="00311928"/>
    <w:rsid w:val="00311E33"/>
    <w:rsid w:val="003120A0"/>
    <w:rsid w:val="00313203"/>
    <w:rsid w:val="0031354C"/>
    <w:rsid w:val="003135B3"/>
    <w:rsid w:val="0031366F"/>
    <w:rsid w:val="00314037"/>
    <w:rsid w:val="00314175"/>
    <w:rsid w:val="00314A1A"/>
    <w:rsid w:val="003161B8"/>
    <w:rsid w:val="00316490"/>
    <w:rsid w:val="00320108"/>
    <w:rsid w:val="0032063D"/>
    <w:rsid w:val="0032122C"/>
    <w:rsid w:val="003218C3"/>
    <w:rsid w:val="003219C1"/>
    <w:rsid w:val="00321C20"/>
    <w:rsid w:val="00321E23"/>
    <w:rsid w:val="0032279A"/>
    <w:rsid w:val="003229B3"/>
    <w:rsid w:val="00322C43"/>
    <w:rsid w:val="0032381F"/>
    <w:rsid w:val="00323D66"/>
    <w:rsid w:val="003244B3"/>
    <w:rsid w:val="003247F8"/>
    <w:rsid w:val="0032497E"/>
    <w:rsid w:val="00324AFF"/>
    <w:rsid w:val="00324D6D"/>
    <w:rsid w:val="00324E3A"/>
    <w:rsid w:val="0032617E"/>
    <w:rsid w:val="0032650E"/>
    <w:rsid w:val="00326E33"/>
    <w:rsid w:val="00327D6D"/>
    <w:rsid w:val="00330CCE"/>
    <w:rsid w:val="00331E74"/>
    <w:rsid w:val="00331FE2"/>
    <w:rsid w:val="003322C8"/>
    <w:rsid w:val="00333B2F"/>
    <w:rsid w:val="00333F63"/>
    <w:rsid w:val="003347A9"/>
    <w:rsid w:val="0033489D"/>
    <w:rsid w:val="00334EC3"/>
    <w:rsid w:val="00335433"/>
    <w:rsid w:val="00336A98"/>
    <w:rsid w:val="003376AE"/>
    <w:rsid w:val="003377D2"/>
    <w:rsid w:val="00337F70"/>
    <w:rsid w:val="003400C2"/>
    <w:rsid w:val="0034070E"/>
    <w:rsid w:val="003418EE"/>
    <w:rsid w:val="00342ABA"/>
    <w:rsid w:val="0034352E"/>
    <w:rsid w:val="00343868"/>
    <w:rsid w:val="003454C7"/>
    <w:rsid w:val="0034552F"/>
    <w:rsid w:val="00345549"/>
    <w:rsid w:val="00345CB3"/>
    <w:rsid w:val="00345FBA"/>
    <w:rsid w:val="00346ACB"/>
    <w:rsid w:val="00347911"/>
    <w:rsid w:val="00350EA5"/>
    <w:rsid w:val="003511DB"/>
    <w:rsid w:val="003512D9"/>
    <w:rsid w:val="003522C1"/>
    <w:rsid w:val="00353008"/>
    <w:rsid w:val="0035352C"/>
    <w:rsid w:val="00355152"/>
    <w:rsid w:val="00355478"/>
    <w:rsid w:val="003556CC"/>
    <w:rsid w:val="00355D2E"/>
    <w:rsid w:val="00355E9D"/>
    <w:rsid w:val="00356560"/>
    <w:rsid w:val="003577CC"/>
    <w:rsid w:val="003579FF"/>
    <w:rsid w:val="003603EA"/>
    <w:rsid w:val="00360D0E"/>
    <w:rsid w:val="00361E7C"/>
    <w:rsid w:val="00363D05"/>
    <w:rsid w:val="00363F9A"/>
    <w:rsid w:val="00364766"/>
    <w:rsid w:val="00364DCA"/>
    <w:rsid w:val="00365264"/>
    <w:rsid w:val="00365887"/>
    <w:rsid w:val="0036614C"/>
    <w:rsid w:val="00366252"/>
    <w:rsid w:val="00367E9D"/>
    <w:rsid w:val="0037094C"/>
    <w:rsid w:val="0037152E"/>
    <w:rsid w:val="00371B02"/>
    <w:rsid w:val="00371D1D"/>
    <w:rsid w:val="00372242"/>
    <w:rsid w:val="00372915"/>
    <w:rsid w:val="00372CB4"/>
    <w:rsid w:val="003730BD"/>
    <w:rsid w:val="00373C06"/>
    <w:rsid w:val="00374940"/>
    <w:rsid w:val="003759FE"/>
    <w:rsid w:val="00375F5A"/>
    <w:rsid w:val="00375F97"/>
    <w:rsid w:val="003773E1"/>
    <w:rsid w:val="00377435"/>
    <w:rsid w:val="00380420"/>
    <w:rsid w:val="00380463"/>
    <w:rsid w:val="00381033"/>
    <w:rsid w:val="00381FD3"/>
    <w:rsid w:val="00382A26"/>
    <w:rsid w:val="00382C29"/>
    <w:rsid w:val="003837B8"/>
    <w:rsid w:val="00383C3E"/>
    <w:rsid w:val="00383E95"/>
    <w:rsid w:val="00384277"/>
    <w:rsid w:val="00384E51"/>
    <w:rsid w:val="00385192"/>
    <w:rsid w:val="003867D5"/>
    <w:rsid w:val="00387956"/>
    <w:rsid w:val="00387A51"/>
    <w:rsid w:val="0039039F"/>
    <w:rsid w:val="0039041C"/>
    <w:rsid w:val="0039046B"/>
    <w:rsid w:val="00391D74"/>
    <w:rsid w:val="00392E9F"/>
    <w:rsid w:val="003937C1"/>
    <w:rsid w:val="00394156"/>
    <w:rsid w:val="0039459D"/>
    <w:rsid w:val="00394F90"/>
    <w:rsid w:val="003950F8"/>
    <w:rsid w:val="00396D00"/>
    <w:rsid w:val="003971E1"/>
    <w:rsid w:val="00397761"/>
    <w:rsid w:val="003A046F"/>
    <w:rsid w:val="003A1236"/>
    <w:rsid w:val="003A2362"/>
    <w:rsid w:val="003A27F1"/>
    <w:rsid w:val="003A2B2A"/>
    <w:rsid w:val="003A2D20"/>
    <w:rsid w:val="003A3102"/>
    <w:rsid w:val="003A344E"/>
    <w:rsid w:val="003A405B"/>
    <w:rsid w:val="003A419D"/>
    <w:rsid w:val="003A47A0"/>
    <w:rsid w:val="003A4B8B"/>
    <w:rsid w:val="003A503E"/>
    <w:rsid w:val="003A5833"/>
    <w:rsid w:val="003A661A"/>
    <w:rsid w:val="003A70D4"/>
    <w:rsid w:val="003A7974"/>
    <w:rsid w:val="003B008D"/>
    <w:rsid w:val="003B02CD"/>
    <w:rsid w:val="003B0BFE"/>
    <w:rsid w:val="003B1794"/>
    <w:rsid w:val="003B2C78"/>
    <w:rsid w:val="003B3EAD"/>
    <w:rsid w:val="003B40E3"/>
    <w:rsid w:val="003B441B"/>
    <w:rsid w:val="003B5223"/>
    <w:rsid w:val="003B5563"/>
    <w:rsid w:val="003B55FB"/>
    <w:rsid w:val="003B586D"/>
    <w:rsid w:val="003B58FB"/>
    <w:rsid w:val="003B5E21"/>
    <w:rsid w:val="003B607D"/>
    <w:rsid w:val="003C04BE"/>
    <w:rsid w:val="003C2934"/>
    <w:rsid w:val="003C37B7"/>
    <w:rsid w:val="003C4513"/>
    <w:rsid w:val="003C47B3"/>
    <w:rsid w:val="003C4D92"/>
    <w:rsid w:val="003C5275"/>
    <w:rsid w:val="003C53B7"/>
    <w:rsid w:val="003C5676"/>
    <w:rsid w:val="003C571F"/>
    <w:rsid w:val="003C5B8B"/>
    <w:rsid w:val="003C5C8D"/>
    <w:rsid w:val="003C5D58"/>
    <w:rsid w:val="003C5E8B"/>
    <w:rsid w:val="003C5EC7"/>
    <w:rsid w:val="003C636F"/>
    <w:rsid w:val="003C6CF7"/>
    <w:rsid w:val="003C6F41"/>
    <w:rsid w:val="003C6F5D"/>
    <w:rsid w:val="003D0048"/>
    <w:rsid w:val="003D0F30"/>
    <w:rsid w:val="003D221A"/>
    <w:rsid w:val="003D25F3"/>
    <w:rsid w:val="003D309A"/>
    <w:rsid w:val="003D4107"/>
    <w:rsid w:val="003D4750"/>
    <w:rsid w:val="003D5161"/>
    <w:rsid w:val="003D7B0B"/>
    <w:rsid w:val="003E0081"/>
    <w:rsid w:val="003E1579"/>
    <w:rsid w:val="003E1A64"/>
    <w:rsid w:val="003E1B1C"/>
    <w:rsid w:val="003E2B6F"/>
    <w:rsid w:val="003E2CA5"/>
    <w:rsid w:val="003E3C79"/>
    <w:rsid w:val="003E3E31"/>
    <w:rsid w:val="003E41DD"/>
    <w:rsid w:val="003E579C"/>
    <w:rsid w:val="003E693F"/>
    <w:rsid w:val="003E6DA0"/>
    <w:rsid w:val="003E6DC6"/>
    <w:rsid w:val="003E7012"/>
    <w:rsid w:val="003E72F6"/>
    <w:rsid w:val="003E742D"/>
    <w:rsid w:val="003E78C1"/>
    <w:rsid w:val="003F0212"/>
    <w:rsid w:val="003F093E"/>
    <w:rsid w:val="003F154C"/>
    <w:rsid w:val="003F1DEE"/>
    <w:rsid w:val="003F2EF6"/>
    <w:rsid w:val="003F331F"/>
    <w:rsid w:val="003F3368"/>
    <w:rsid w:val="003F3B8D"/>
    <w:rsid w:val="003F56D5"/>
    <w:rsid w:val="003F578B"/>
    <w:rsid w:val="003F627B"/>
    <w:rsid w:val="003F6577"/>
    <w:rsid w:val="003F657F"/>
    <w:rsid w:val="003F6C46"/>
    <w:rsid w:val="003F6FD2"/>
    <w:rsid w:val="003F727B"/>
    <w:rsid w:val="00400232"/>
    <w:rsid w:val="004002E2"/>
    <w:rsid w:val="00400F4E"/>
    <w:rsid w:val="0040316A"/>
    <w:rsid w:val="0040371F"/>
    <w:rsid w:val="00403E37"/>
    <w:rsid w:val="00403F97"/>
    <w:rsid w:val="004056F6"/>
    <w:rsid w:val="00406F86"/>
    <w:rsid w:val="00406FFB"/>
    <w:rsid w:val="004071CD"/>
    <w:rsid w:val="00407B30"/>
    <w:rsid w:val="00407DA2"/>
    <w:rsid w:val="00407DBE"/>
    <w:rsid w:val="0041055F"/>
    <w:rsid w:val="00411553"/>
    <w:rsid w:val="00411AF7"/>
    <w:rsid w:val="00411CA2"/>
    <w:rsid w:val="00412ADA"/>
    <w:rsid w:val="00412F6A"/>
    <w:rsid w:val="00413DE3"/>
    <w:rsid w:val="0041430F"/>
    <w:rsid w:val="0041460F"/>
    <w:rsid w:val="00414A9A"/>
    <w:rsid w:val="004150BB"/>
    <w:rsid w:val="0041512A"/>
    <w:rsid w:val="00417302"/>
    <w:rsid w:val="0041795A"/>
    <w:rsid w:val="0042125B"/>
    <w:rsid w:val="0042157D"/>
    <w:rsid w:val="0042192D"/>
    <w:rsid w:val="00421E67"/>
    <w:rsid w:val="00422821"/>
    <w:rsid w:val="00422FF0"/>
    <w:rsid w:val="0042340D"/>
    <w:rsid w:val="00423509"/>
    <w:rsid w:val="00423C6D"/>
    <w:rsid w:val="004249C4"/>
    <w:rsid w:val="00424B29"/>
    <w:rsid w:val="00425C08"/>
    <w:rsid w:val="00425D5E"/>
    <w:rsid w:val="004265B0"/>
    <w:rsid w:val="00426D89"/>
    <w:rsid w:val="00426FE3"/>
    <w:rsid w:val="00427A63"/>
    <w:rsid w:val="0043059F"/>
    <w:rsid w:val="00430CB6"/>
    <w:rsid w:val="00430FA9"/>
    <w:rsid w:val="00431049"/>
    <w:rsid w:val="004311F4"/>
    <w:rsid w:val="00431ED8"/>
    <w:rsid w:val="00432DDC"/>
    <w:rsid w:val="00433070"/>
    <w:rsid w:val="0043371F"/>
    <w:rsid w:val="0043379B"/>
    <w:rsid w:val="00433CD0"/>
    <w:rsid w:val="00433FB4"/>
    <w:rsid w:val="00434A2E"/>
    <w:rsid w:val="0043531F"/>
    <w:rsid w:val="00436336"/>
    <w:rsid w:val="004363C6"/>
    <w:rsid w:val="00436876"/>
    <w:rsid w:val="00436B65"/>
    <w:rsid w:val="00436E84"/>
    <w:rsid w:val="00436F1B"/>
    <w:rsid w:val="0043789E"/>
    <w:rsid w:val="00440E22"/>
    <w:rsid w:val="00443377"/>
    <w:rsid w:val="00443F52"/>
    <w:rsid w:val="0044430A"/>
    <w:rsid w:val="00445106"/>
    <w:rsid w:val="00445604"/>
    <w:rsid w:val="004468CB"/>
    <w:rsid w:val="00447E86"/>
    <w:rsid w:val="00450474"/>
    <w:rsid w:val="00452B80"/>
    <w:rsid w:val="00452C59"/>
    <w:rsid w:val="0045307B"/>
    <w:rsid w:val="00453362"/>
    <w:rsid w:val="004539EB"/>
    <w:rsid w:val="0045516E"/>
    <w:rsid w:val="0045587A"/>
    <w:rsid w:val="004563CD"/>
    <w:rsid w:val="00456771"/>
    <w:rsid w:val="004567E1"/>
    <w:rsid w:val="00457BA8"/>
    <w:rsid w:val="00457D08"/>
    <w:rsid w:val="00460B32"/>
    <w:rsid w:val="004611F4"/>
    <w:rsid w:val="00461DA5"/>
    <w:rsid w:val="00463027"/>
    <w:rsid w:val="004635A0"/>
    <w:rsid w:val="0046544A"/>
    <w:rsid w:val="0046565A"/>
    <w:rsid w:val="00465886"/>
    <w:rsid w:val="00465C57"/>
    <w:rsid w:val="00465DE3"/>
    <w:rsid w:val="00466328"/>
    <w:rsid w:val="00466EE4"/>
    <w:rsid w:val="004673A3"/>
    <w:rsid w:val="00470316"/>
    <w:rsid w:val="00470D66"/>
    <w:rsid w:val="00471502"/>
    <w:rsid w:val="00471754"/>
    <w:rsid w:val="00471C3E"/>
    <w:rsid w:val="0047207E"/>
    <w:rsid w:val="004727EE"/>
    <w:rsid w:val="00472985"/>
    <w:rsid w:val="004734C7"/>
    <w:rsid w:val="004737E1"/>
    <w:rsid w:val="00473C7D"/>
    <w:rsid w:val="00475035"/>
    <w:rsid w:val="0047516C"/>
    <w:rsid w:val="00475CF9"/>
    <w:rsid w:val="00477651"/>
    <w:rsid w:val="00477F8E"/>
    <w:rsid w:val="00480197"/>
    <w:rsid w:val="00480412"/>
    <w:rsid w:val="004804B7"/>
    <w:rsid w:val="0048060F"/>
    <w:rsid w:val="00480E34"/>
    <w:rsid w:val="00481273"/>
    <w:rsid w:val="00481C7A"/>
    <w:rsid w:val="004825D9"/>
    <w:rsid w:val="004827C8"/>
    <w:rsid w:val="00482DE3"/>
    <w:rsid w:val="00483153"/>
    <w:rsid w:val="00483223"/>
    <w:rsid w:val="004835CF"/>
    <w:rsid w:val="00483CD1"/>
    <w:rsid w:val="00483CDA"/>
    <w:rsid w:val="0048401E"/>
    <w:rsid w:val="0048431D"/>
    <w:rsid w:val="00484730"/>
    <w:rsid w:val="004851DE"/>
    <w:rsid w:val="00486BD5"/>
    <w:rsid w:val="00486F8A"/>
    <w:rsid w:val="00487D25"/>
    <w:rsid w:val="00487F0E"/>
    <w:rsid w:val="00487F92"/>
    <w:rsid w:val="00490659"/>
    <w:rsid w:val="00490719"/>
    <w:rsid w:val="00490C59"/>
    <w:rsid w:val="00491235"/>
    <w:rsid w:val="00491707"/>
    <w:rsid w:val="00492BAA"/>
    <w:rsid w:val="00493605"/>
    <w:rsid w:val="004940A9"/>
    <w:rsid w:val="00495882"/>
    <w:rsid w:val="00496494"/>
    <w:rsid w:val="00496D58"/>
    <w:rsid w:val="0049754C"/>
    <w:rsid w:val="00497C86"/>
    <w:rsid w:val="004A0647"/>
    <w:rsid w:val="004A0C1D"/>
    <w:rsid w:val="004A1680"/>
    <w:rsid w:val="004A2775"/>
    <w:rsid w:val="004A3D71"/>
    <w:rsid w:val="004A43C4"/>
    <w:rsid w:val="004A45A5"/>
    <w:rsid w:val="004A4783"/>
    <w:rsid w:val="004A49D1"/>
    <w:rsid w:val="004A5912"/>
    <w:rsid w:val="004A597E"/>
    <w:rsid w:val="004A5C06"/>
    <w:rsid w:val="004A628C"/>
    <w:rsid w:val="004A68C4"/>
    <w:rsid w:val="004A70C7"/>
    <w:rsid w:val="004A75BF"/>
    <w:rsid w:val="004B1126"/>
    <w:rsid w:val="004B1412"/>
    <w:rsid w:val="004B1513"/>
    <w:rsid w:val="004B1608"/>
    <w:rsid w:val="004B22EB"/>
    <w:rsid w:val="004B2636"/>
    <w:rsid w:val="004B29C7"/>
    <w:rsid w:val="004B2C25"/>
    <w:rsid w:val="004B34A6"/>
    <w:rsid w:val="004B40E5"/>
    <w:rsid w:val="004B4269"/>
    <w:rsid w:val="004B4DE4"/>
    <w:rsid w:val="004B56ED"/>
    <w:rsid w:val="004B6E34"/>
    <w:rsid w:val="004B70E9"/>
    <w:rsid w:val="004C0085"/>
    <w:rsid w:val="004C0E0D"/>
    <w:rsid w:val="004C0F96"/>
    <w:rsid w:val="004C17CE"/>
    <w:rsid w:val="004C1E3F"/>
    <w:rsid w:val="004C23D1"/>
    <w:rsid w:val="004C25E5"/>
    <w:rsid w:val="004C2DC3"/>
    <w:rsid w:val="004C50F1"/>
    <w:rsid w:val="004C52B4"/>
    <w:rsid w:val="004C5736"/>
    <w:rsid w:val="004C6109"/>
    <w:rsid w:val="004C68C3"/>
    <w:rsid w:val="004C6D86"/>
    <w:rsid w:val="004D0393"/>
    <w:rsid w:val="004D0F17"/>
    <w:rsid w:val="004D160D"/>
    <w:rsid w:val="004D3CF3"/>
    <w:rsid w:val="004D40EF"/>
    <w:rsid w:val="004D414F"/>
    <w:rsid w:val="004D419D"/>
    <w:rsid w:val="004D49A2"/>
    <w:rsid w:val="004D5443"/>
    <w:rsid w:val="004D5B91"/>
    <w:rsid w:val="004D6898"/>
    <w:rsid w:val="004E0A20"/>
    <w:rsid w:val="004E0F68"/>
    <w:rsid w:val="004E148B"/>
    <w:rsid w:val="004E1BBF"/>
    <w:rsid w:val="004E2933"/>
    <w:rsid w:val="004E29BB"/>
    <w:rsid w:val="004E2C4C"/>
    <w:rsid w:val="004E4161"/>
    <w:rsid w:val="004E5360"/>
    <w:rsid w:val="004E5A01"/>
    <w:rsid w:val="004E5F19"/>
    <w:rsid w:val="004E5FD5"/>
    <w:rsid w:val="004E60BD"/>
    <w:rsid w:val="004E688E"/>
    <w:rsid w:val="004E71DE"/>
    <w:rsid w:val="004E798F"/>
    <w:rsid w:val="004E7D68"/>
    <w:rsid w:val="004E7DA8"/>
    <w:rsid w:val="004F06A6"/>
    <w:rsid w:val="004F0E6A"/>
    <w:rsid w:val="004F144A"/>
    <w:rsid w:val="004F1459"/>
    <w:rsid w:val="004F1C02"/>
    <w:rsid w:val="004F2534"/>
    <w:rsid w:val="004F3F45"/>
    <w:rsid w:val="004F41FB"/>
    <w:rsid w:val="004F4570"/>
    <w:rsid w:val="004F4743"/>
    <w:rsid w:val="004F48F6"/>
    <w:rsid w:val="004F4A10"/>
    <w:rsid w:val="004F4C14"/>
    <w:rsid w:val="004F4CD3"/>
    <w:rsid w:val="004F4EAF"/>
    <w:rsid w:val="004F559C"/>
    <w:rsid w:val="004F5731"/>
    <w:rsid w:val="004F5B8B"/>
    <w:rsid w:val="004F5BC2"/>
    <w:rsid w:val="004F6AA8"/>
    <w:rsid w:val="004F7898"/>
    <w:rsid w:val="00500B8A"/>
    <w:rsid w:val="00500DB9"/>
    <w:rsid w:val="00501226"/>
    <w:rsid w:val="005035C4"/>
    <w:rsid w:val="0050404B"/>
    <w:rsid w:val="0050428A"/>
    <w:rsid w:val="00504372"/>
    <w:rsid w:val="00504544"/>
    <w:rsid w:val="005056AF"/>
    <w:rsid w:val="0050589D"/>
    <w:rsid w:val="00505BC7"/>
    <w:rsid w:val="005061BE"/>
    <w:rsid w:val="005065E4"/>
    <w:rsid w:val="00506B3D"/>
    <w:rsid w:val="00507261"/>
    <w:rsid w:val="005074C2"/>
    <w:rsid w:val="005100AB"/>
    <w:rsid w:val="00510217"/>
    <w:rsid w:val="005106AA"/>
    <w:rsid w:val="00510BBC"/>
    <w:rsid w:val="00510CC0"/>
    <w:rsid w:val="00512AB5"/>
    <w:rsid w:val="0051313D"/>
    <w:rsid w:val="00513AF3"/>
    <w:rsid w:val="00513BFC"/>
    <w:rsid w:val="005144C3"/>
    <w:rsid w:val="00516226"/>
    <w:rsid w:val="0051684B"/>
    <w:rsid w:val="0051688F"/>
    <w:rsid w:val="00516A6F"/>
    <w:rsid w:val="00516B18"/>
    <w:rsid w:val="00517455"/>
    <w:rsid w:val="005175C1"/>
    <w:rsid w:val="00520C4A"/>
    <w:rsid w:val="00520D9C"/>
    <w:rsid w:val="00521122"/>
    <w:rsid w:val="00521126"/>
    <w:rsid w:val="00521321"/>
    <w:rsid w:val="0052157A"/>
    <w:rsid w:val="0052174F"/>
    <w:rsid w:val="00521986"/>
    <w:rsid w:val="00521CCD"/>
    <w:rsid w:val="0052243D"/>
    <w:rsid w:val="00523773"/>
    <w:rsid w:val="005245A0"/>
    <w:rsid w:val="005247C8"/>
    <w:rsid w:val="005247F4"/>
    <w:rsid w:val="00524D22"/>
    <w:rsid w:val="00524DBC"/>
    <w:rsid w:val="005254D7"/>
    <w:rsid w:val="0052591F"/>
    <w:rsid w:val="0052660E"/>
    <w:rsid w:val="0052778B"/>
    <w:rsid w:val="00527BF7"/>
    <w:rsid w:val="00527E9F"/>
    <w:rsid w:val="00530187"/>
    <w:rsid w:val="00530E85"/>
    <w:rsid w:val="0053105F"/>
    <w:rsid w:val="00531E20"/>
    <w:rsid w:val="00531F1B"/>
    <w:rsid w:val="005323EE"/>
    <w:rsid w:val="00532B20"/>
    <w:rsid w:val="00532C33"/>
    <w:rsid w:val="005330F2"/>
    <w:rsid w:val="005337E0"/>
    <w:rsid w:val="005342D0"/>
    <w:rsid w:val="00534862"/>
    <w:rsid w:val="00534BC4"/>
    <w:rsid w:val="00534BF6"/>
    <w:rsid w:val="00537EA6"/>
    <w:rsid w:val="00540697"/>
    <w:rsid w:val="00540E10"/>
    <w:rsid w:val="00540FFF"/>
    <w:rsid w:val="00541199"/>
    <w:rsid w:val="00543214"/>
    <w:rsid w:val="00543995"/>
    <w:rsid w:val="00543FF9"/>
    <w:rsid w:val="00544071"/>
    <w:rsid w:val="005445B2"/>
    <w:rsid w:val="00544907"/>
    <w:rsid w:val="00545403"/>
    <w:rsid w:val="005463FF"/>
    <w:rsid w:val="0055026C"/>
    <w:rsid w:val="00550770"/>
    <w:rsid w:val="00550D9E"/>
    <w:rsid w:val="005516BE"/>
    <w:rsid w:val="00551CA5"/>
    <w:rsid w:val="005527FC"/>
    <w:rsid w:val="00552AF9"/>
    <w:rsid w:val="00553F30"/>
    <w:rsid w:val="005547AF"/>
    <w:rsid w:val="00555149"/>
    <w:rsid w:val="0055517A"/>
    <w:rsid w:val="005554DC"/>
    <w:rsid w:val="00555934"/>
    <w:rsid w:val="00555952"/>
    <w:rsid w:val="00556A82"/>
    <w:rsid w:val="00556B07"/>
    <w:rsid w:val="00556C65"/>
    <w:rsid w:val="00557498"/>
    <w:rsid w:val="00560509"/>
    <w:rsid w:val="00561DE0"/>
    <w:rsid w:val="00561FE5"/>
    <w:rsid w:val="00562386"/>
    <w:rsid w:val="005624FB"/>
    <w:rsid w:val="00562616"/>
    <w:rsid w:val="00562E4E"/>
    <w:rsid w:val="005635AC"/>
    <w:rsid w:val="00563AA3"/>
    <w:rsid w:val="00564809"/>
    <w:rsid w:val="00567251"/>
    <w:rsid w:val="0056738D"/>
    <w:rsid w:val="00567651"/>
    <w:rsid w:val="00567A0D"/>
    <w:rsid w:val="00570048"/>
    <w:rsid w:val="00570075"/>
    <w:rsid w:val="0057015E"/>
    <w:rsid w:val="00570217"/>
    <w:rsid w:val="00570FB5"/>
    <w:rsid w:val="005718CA"/>
    <w:rsid w:val="00571CCC"/>
    <w:rsid w:val="00572926"/>
    <w:rsid w:val="00572D22"/>
    <w:rsid w:val="00573102"/>
    <w:rsid w:val="005735C6"/>
    <w:rsid w:val="005737FF"/>
    <w:rsid w:val="005748BF"/>
    <w:rsid w:val="00575FBF"/>
    <w:rsid w:val="005770ED"/>
    <w:rsid w:val="00577241"/>
    <w:rsid w:val="0057756D"/>
    <w:rsid w:val="00580837"/>
    <w:rsid w:val="0058136B"/>
    <w:rsid w:val="005813F3"/>
    <w:rsid w:val="0058229C"/>
    <w:rsid w:val="00582B26"/>
    <w:rsid w:val="00582D67"/>
    <w:rsid w:val="00583C3E"/>
    <w:rsid w:val="00584414"/>
    <w:rsid w:val="00586688"/>
    <w:rsid w:val="00587233"/>
    <w:rsid w:val="00587508"/>
    <w:rsid w:val="00587526"/>
    <w:rsid w:val="0058798A"/>
    <w:rsid w:val="00587AE2"/>
    <w:rsid w:val="00591EB9"/>
    <w:rsid w:val="00592169"/>
    <w:rsid w:val="005922DC"/>
    <w:rsid w:val="00592E18"/>
    <w:rsid w:val="00594D9E"/>
    <w:rsid w:val="00595A35"/>
    <w:rsid w:val="00595CD9"/>
    <w:rsid w:val="005964E4"/>
    <w:rsid w:val="00596F04"/>
    <w:rsid w:val="005970D5"/>
    <w:rsid w:val="005974AB"/>
    <w:rsid w:val="00597AD0"/>
    <w:rsid w:val="005A033B"/>
    <w:rsid w:val="005A073F"/>
    <w:rsid w:val="005A0FF5"/>
    <w:rsid w:val="005A1251"/>
    <w:rsid w:val="005A26BD"/>
    <w:rsid w:val="005A2E71"/>
    <w:rsid w:val="005A395C"/>
    <w:rsid w:val="005A490E"/>
    <w:rsid w:val="005A6247"/>
    <w:rsid w:val="005B007A"/>
    <w:rsid w:val="005B1FF7"/>
    <w:rsid w:val="005B2B3B"/>
    <w:rsid w:val="005B2E7A"/>
    <w:rsid w:val="005B3050"/>
    <w:rsid w:val="005B457B"/>
    <w:rsid w:val="005B4ED2"/>
    <w:rsid w:val="005B5A7D"/>
    <w:rsid w:val="005B5A98"/>
    <w:rsid w:val="005B6193"/>
    <w:rsid w:val="005B64B5"/>
    <w:rsid w:val="005B6827"/>
    <w:rsid w:val="005B6F88"/>
    <w:rsid w:val="005C046C"/>
    <w:rsid w:val="005C0A24"/>
    <w:rsid w:val="005C0A71"/>
    <w:rsid w:val="005C0B15"/>
    <w:rsid w:val="005C0F08"/>
    <w:rsid w:val="005C13A8"/>
    <w:rsid w:val="005C1481"/>
    <w:rsid w:val="005C2048"/>
    <w:rsid w:val="005C2FDE"/>
    <w:rsid w:val="005C3AAA"/>
    <w:rsid w:val="005C4941"/>
    <w:rsid w:val="005C5D14"/>
    <w:rsid w:val="005C6180"/>
    <w:rsid w:val="005C6A07"/>
    <w:rsid w:val="005C728A"/>
    <w:rsid w:val="005D0217"/>
    <w:rsid w:val="005D0333"/>
    <w:rsid w:val="005D12DE"/>
    <w:rsid w:val="005D1BDE"/>
    <w:rsid w:val="005D21D7"/>
    <w:rsid w:val="005D2512"/>
    <w:rsid w:val="005D285B"/>
    <w:rsid w:val="005D2F01"/>
    <w:rsid w:val="005D4330"/>
    <w:rsid w:val="005D5D3E"/>
    <w:rsid w:val="005D6148"/>
    <w:rsid w:val="005D78A3"/>
    <w:rsid w:val="005D7CCB"/>
    <w:rsid w:val="005E012F"/>
    <w:rsid w:val="005E08B7"/>
    <w:rsid w:val="005E0FFC"/>
    <w:rsid w:val="005E111A"/>
    <w:rsid w:val="005E25FA"/>
    <w:rsid w:val="005E2699"/>
    <w:rsid w:val="005E37E3"/>
    <w:rsid w:val="005E462D"/>
    <w:rsid w:val="005E53B7"/>
    <w:rsid w:val="005E5744"/>
    <w:rsid w:val="005E611E"/>
    <w:rsid w:val="005E72A2"/>
    <w:rsid w:val="005E7E59"/>
    <w:rsid w:val="005F00D5"/>
    <w:rsid w:val="005F0352"/>
    <w:rsid w:val="005F0519"/>
    <w:rsid w:val="005F0DCD"/>
    <w:rsid w:val="005F17AE"/>
    <w:rsid w:val="005F2C5E"/>
    <w:rsid w:val="005F4040"/>
    <w:rsid w:val="005F445B"/>
    <w:rsid w:val="005F4A78"/>
    <w:rsid w:val="005F4ED2"/>
    <w:rsid w:val="005F6079"/>
    <w:rsid w:val="005F62DB"/>
    <w:rsid w:val="005F6349"/>
    <w:rsid w:val="005F66B8"/>
    <w:rsid w:val="005F67CC"/>
    <w:rsid w:val="005F6F45"/>
    <w:rsid w:val="005F6F8D"/>
    <w:rsid w:val="005F7AAF"/>
    <w:rsid w:val="00600355"/>
    <w:rsid w:val="00601271"/>
    <w:rsid w:val="00601283"/>
    <w:rsid w:val="00602C12"/>
    <w:rsid w:val="00603A2D"/>
    <w:rsid w:val="0060426A"/>
    <w:rsid w:val="00604654"/>
    <w:rsid w:val="00604880"/>
    <w:rsid w:val="006050B9"/>
    <w:rsid w:val="00606761"/>
    <w:rsid w:val="00606C9B"/>
    <w:rsid w:val="00606EB9"/>
    <w:rsid w:val="0060770F"/>
    <w:rsid w:val="00607F8C"/>
    <w:rsid w:val="00611985"/>
    <w:rsid w:val="00611E66"/>
    <w:rsid w:val="00611EFB"/>
    <w:rsid w:val="00612726"/>
    <w:rsid w:val="006135FA"/>
    <w:rsid w:val="006137C9"/>
    <w:rsid w:val="00613802"/>
    <w:rsid w:val="00613D12"/>
    <w:rsid w:val="0061445A"/>
    <w:rsid w:val="00614D22"/>
    <w:rsid w:val="0061516B"/>
    <w:rsid w:val="006151D6"/>
    <w:rsid w:val="00616380"/>
    <w:rsid w:val="006164E9"/>
    <w:rsid w:val="00616B92"/>
    <w:rsid w:val="00617567"/>
    <w:rsid w:val="0061796C"/>
    <w:rsid w:val="00617CEC"/>
    <w:rsid w:val="00620F92"/>
    <w:rsid w:val="0062150E"/>
    <w:rsid w:val="006217C9"/>
    <w:rsid w:val="00622E60"/>
    <w:rsid w:val="0062315C"/>
    <w:rsid w:val="0062320C"/>
    <w:rsid w:val="00623233"/>
    <w:rsid w:val="0062350F"/>
    <w:rsid w:val="006237AC"/>
    <w:rsid w:val="00623A32"/>
    <w:rsid w:val="00623BD4"/>
    <w:rsid w:val="00623D99"/>
    <w:rsid w:val="00623FCD"/>
    <w:rsid w:val="00624412"/>
    <w:rsid w:val="00624F87"/>
    <w:rsid w:val="006265FF"/>
    <w:rsid w:val="00626FC7"/>
    <w:rsid w:val="0062714B"/>
    <w:rsid w:val="00627305"/>
    <w:rsid w:val="00627FB0"/>
    <w:rsid w:val="00627FC6"/>
    <w:rsid w:val="00630347"/>
    <w:rsid w:val="006304CF"/>
    <w:rsid w:val="00631653"/>
    <w:rsid w:val="00631777"/>
    <w:rsid w:val="00631B81"/>
    <w:rsid w:val="00632CCB"/>
    <w:rsid w:val="006330B2"/>
    <w:rsid w:val="006338DB"/>
    <w:rsid w:val="006350F7"/>
    <w:rsid w:val="006351A4"/>
    <w:rsid w:val="006351E3"/>
    <w:rsid w:val="00636706"/>
    <w:rsid w:val="00636BB6"/>
    <w:rsid w:val="00636BBE"/>
    <w:rsid w:val="00640003"/>
    <w:rsid w:val="006404C0"/>
    <w:rsid w:val="00640AE8"/>
    <w:rsid w:val="00641058"/>
    <w:rsid w:val="006414B0"/>
    <w:rsid w:val="00641698"/>
    <w:rsid w:val="00641A77"/>
    <w:rsid w:val="006427C4"/>
    <w:rsid w:val="00643464"/>
    <w:rsid w:val="00643776"/>
    <w:rsid w:val="0064379C"/>
    <w:rsid w:val="00644201"/>
    <w:rsid w:val="00646ABD"/>
    <w:rsid w:val="006478AD"/>
    <w:rsid w:val="0064797C"/>
    <w:rsid w:val="0065004D"/>
    <w:rsid w:val="006503AA"/>
    <w:rsid w:val="00650DF1"/>
    <w:rsid w:val="00650EB6"/>
    <w:rsid w:val="00650F06"/>
    <w:rsid w:val="00651F72"/>
    <w:rsid w:val="0065229F"/>
    <w:rsid w:val="00652731"/>
    <w:rsid w:val="00652D0D"/>
    <w:rsid w:val="00652EA4"/>
    <w:rsid w:val="006532C3"/>
    <w:rsid w:val="00653BFE"/>
    <w:rsid w:val="00653C05"/>
    <w:rsid w:val="0065434A"/>
    <w:rsid w:val="0065446D"/>
    <w:rsid w:val="00654E1E"/>
    <w:rsid w:val="006560FF"/>
    <w:rsid w:val="006564A5"/>
    <w:rsid w:val="00656B5A"/>
    <w:rsid w:val="00657D4F"/>
    <w:rsid w:val="00660202"/>
    <w:rsid w:val="00661D2D"/>
    <w:rsid w:val="00662041"/>
    <w:rsid w:val="00662819"/>
    <w:rsid w:val="00663078"/>
    <w:rsid w:val="0066402B"/>
    <w:rsid w:val="006642C7"/>
    <w:rsid w:val="00664C8C"/>
    <w:rsid w:val="00664D22"/>
    <w:rsid w:val="00664EEC"/>
    <w:rsid w:val="00665AFA"/>
    <w:rsid w:val="006667BC"/>
    <w:rsid w:val="0066684E"/>
    <w:rsid w:val="00666883"/>
    <w:rsid w:val="00666E81"/>
    <w:rsid w:val="006674F7"/>
    <w:rsid w:val="0067043D"/>
    <w:rsid w:val="00670B7E"/>
    <w:rsid w:val="00670F62"/>
    <w:rsid w:val="0067103E"/>
    <w:rsid w:val="00671930"/>
    <w:rsid w:val="00671B7A"/>
    <w:rsid w:val="006731B5"/>
    <w:rsid w:val="00673783"/>
    <w:rsid w:val="00673F01"/>
    <w:rsid w:val="00674014"/>
    <w:rsid w:val="006743AF"/>
    <w:rsid w:val="00674BF1"/>
    <w:rsid w:val="00674EDB"/>
    <w:rsid w:val="00675A64"/>
    <w:rsid w:val="00675E1C"/>
    <w:rsid w:val="00676637"/>
    <w:rsid w:val="00677DC7"/>
    <w:rsid w:val="006806D6"/>
    <w:rsid w:val="00680FCE"/>
    <w:rsid w:val="0068106A"/>
    <w:rsid w:val="00681ED8"/>
    <w:rsid w:val="00682B9E"/>
    <w:rsid w:val="006831CA"/>
    <w:rsid w:val="006834C6"/>
    <w:rsid w:val="0068377A"/>
    <w:rsid w:val="00683FAD"/>
    <w:rsid w:val="006842D3"/>
    <w:rsid w:val="0068613B"/>
    <w:rsid w:val="0069073D"/>
    <w:rsid w:val="00690BFE"/>
    <w:rsid w:val="00690D8F"/>
    <w:rsid w:val="006910C2"/>
    <w:rsid w:val="00691274"/>
    <w:rsid w:val="00692868"/>
    <w:rsid w:val="00692A7E"/>
    <w:rsid w:val="0069383A"/>
    <w:rsid w:val="00693DB9"/>
    <w:rsid w:val="00694CBB"/>
    <w:rsid w:val="00694D59"/>
    <w:rsid w:val="00695193"/>
    <w:rsid w:val="00695457"/>
    <w:rsid w:val="00695E16"/>
    <w:rsid w:val="0069663F"/>
    <w:rsid w:val="00697660"/>
    <w:rsid w:val="00697888"/>
    <w:rsid w:val="006A214D"/>
    <w:rsid w:val="006A26CD"/>
    <w:rsid w:val="006A3CEB"/>
    <w:rsid w:val="006A4054"/>
    <w:rsid w:val="006A53AE"/>
    <w:rsid w:val="006A53E6"/>
    <w:rsid w:val="006A6F60"/>
    <w:rsid w:val="006A6FB5"/>
    <w:rsid w:val="006B0657"/>
    <w:rsid w:val="006B0B92"/>
    <w:rsid w:val="006B0BBD"/>
    <w:rsid w:val="006B112B"/>
    <w:rsid w:val="006B21B7"/>
    <w:rsid w:val="006B2540"/>
    <w:rsid w:val="006B2762"/>
    <w:rsid w:val="006B294A"/>
    <w:rsid w:val="006B29FE"/>
    <w:rsid w:val="006B3E2A"/>
    <w:rsid w:val="006B448B"/>
    <w:rsid w:val="006B4EEA"/>
    <w:rsid w:val="006B5476"/>
    <w:rsid w:val="006B5886"/>
    <w:rsid w:val="006B5D7C"/>
    <w:rsid w:val="006B67B2"/>
    <w:rsid w:val="006B6972"/>
    <w:rsid w:val="006B7776"/>
    <w:rsid w:val="006B79A7"/>
    <w:rsid w:val="006B7CA1"/>
    <w:rsid w:val="006C3618"/>
    <w:rsid w:val="006C3EEA"/>
    <w:rsid w:val="006C60FD"/>
    <w:rsid w:val="006C6919"/>
    <w:rsid w:val="006D0710"/>
    <w:rsid w:val="006D1126"/>
    <w:rsid w:val="006D1533"/>
    <w:rsid w:val="006D1C67"/>
    <w:rsid w:val="006D1D44"/>
    <w:rsid w:val="006D3058"/>
    <w:rsid w:val="006D4563"/>
    <w:rsid w:val="006D46F2"/>
    <w:rsid w:val="006D4FA6"/>
    <w:rsid w:val="006D5D22"/>
    <w:rsid w:val="006D5DEB"/>
    <w:rsid w:val="006D5E64"/>
    <w:rsid w:val="006D620E"/>
    <w:rsid w:val="006D639B"/>
    <w:rsid w:val="006D63BC"/>
    <w:rsid w:val="006D6CBC"/>
    <w:rsid w:val="006D6F07"/>
    <w:rsid w:val="006D71C2"/>
    <w:rsid w:val="006E03D8"/>
    <w:rsid w:val="006E0BC6"/>
    <w:rsid w:val="006E11FA"/>
    <w:rsid w:val="006E1692"/>
    <w:rsid w:val="006E176D"/>
    <w:rsid w:val="006E18FF"/>
    <w:rsid w:val="006E29C7"/>
    <w:rsid w:val="006E3BB1"/>
    <w:rsid w:val="006E3C47"/>
    <w:rsid w:val="006E3D47"/>
    <w:rsid w:val="006E3D99"/>
    <w:rsid w:val="006E4240"/>
    <w:rsid w:val="006E44C1"/>
    <w:rsid w:val="006E4602"/>
    <w:rsid w:val="006E4EFF"/>
    <w:rsid w:val="006E4FC5"/>
    <w:rsid w:val="006E5A0F"/>
    <w:rsid w:val="006E71FC"/>
    <w:rsid w:val="006E77A3"/>
    <w:rsid w:val="006E7829"/>
    <w:rsid w:val="006E78BC"/>
    <w:rsid w:val="006E7958"/>
    <w:rsid w:val="006E7DFB"/>
    <w:rsid w:val="006F0873"/>
    <w:rsid w:val="006F2222"/>
    <w:rsid w:val="006F2473"/>
    <w:rsid w:val="006F25F7"/>
    <w:rsid w:val="006F2652"/>
    <w:rsid w:val="006F2EEA"/>
    <w:rsid w:val="006F3551"/>
    <w:rsid w:val="006F3791"/>
    <w:rsid w:val="006F3C9C"/>
    <w:rsid w:val="006F433B"/>
    <w:rsid w:val="006F43A1"/>
    <w:rsid w:val="006F4E9D"/>
    <w:rsid w:val="006F5604"/>
    <w:rsid w:val="006F5B5E"/>
    <w:rsid w:val="006F6896"/>
    <w:rsid w:val="006F7DFE"/>
    <w:rsid w:val="006F7E65"/>
    <w:rsid w:val="00701944"/>
    <w:rsid w:val="00701B5E"/>
    <w:rsid w:val="00702C4F"/>
    <w:rsid w:val="00703126"/>
    <w:rsid w:val="007038B8"/>
    <w:rsid w:val="0070413F"/>
    <w:rsid w:val="00704453"/>
    <w:rsid w:val="00705A92"/>
    <w:rsid w:val="007062E4"/>
    <w:rsid w:val="00706F35"/>
    <w:rsid w:val="00707B6E"/>
    <w:rsid w:val="00707C82"/>
    <w:rsid w:val="00707F00"/>
    <w:rsid w:val="00710BE4"/>
    <w:rsid w:val="007119D4"/>
    <w:rsid w:val="0071244D"/>
    <w:rsid w:val="007124C1"/>
    <w:rsid w:val="0071252B"/>
    <w:rsid w:val="00712A13"/>
    <w:rsid w:val="00712C12"/>
    <w:rsid w:val="00712CE9"/>
    <w:rsid w:val="007133BF"/>
    <w:rsid w:val="00713C3C"/>
    <w:rsid w:val="007144A8"/>
    <w:rsid w:val="00715124"/>
    <w:rsid w:val="00715344"/>
    <w:rsid w:val="00716CF7"/>
    <w:rsid w:val="00716E2B"/>
    <w:rsid w:val="0072094E"/>
    <w:rsid w:val="00720A65"/>
    <w:rsid w:val="00720BA7"/>
    <w:rsid w:val="00721B38"/>
    <w:rsid w:val="0072207D"/>
    <w:rsid w:val="00722C64"/>
    <w:rsid w:val="0072325D"/>
    <w:rsid w:val="00724185"/>
    <w:rsid w:val="007242C8"/>
    <w:rsid w:val="0072472B"/>
    <w:rsid w:val="00724CA6"/>
    <w:rsid w:val="00725549"/>
    <w:rsid w:val="007259BF"/>
    <w:rsid w:val="00725B61"/>
    <w:rsid w:val="00725FBB"/>
    <w:rsid w:val="00725FDA"/>
    <w:rsid w:val="00726529"/>
    <w:rsid w:val="00726698"/>
    <w:rsid w:val="00731360"/>
    <w:rsid w:val="00731792"/>
    <w:rsid w:val="00733D14"/>
    <w:rsid w:val="00734A6A"/>
    <w:rsid w:val="00734B8F"/>
    <w:rsid w:val="00734CD7"/>
    <w:rsid w:val="00735ADD"/>
    <w:rsid w:val="00735D14"/>
    <w:rsid w:val="007376F8"/>
    <w:rsid w:val="007401F8"/>
    <w:rsid w:val="00740FBB"/>
    <w:rsid w:val="007416CA"/>
    <w:rsid w:val="00741A0D"/>
    <w:rsid w:val="00742191"/>
    <w:rsid w:val="00742C48"/>
    <w:rsid w:val="0074361E"/>
    <w:rsid w:val="0074372E"/>
    <w:rsid w:val="007444B1"/>
    <w:rsid w:val="00744AAF"/>
    <w:rsid w:val="00747A86"/>
    <w:rsid w:val="00747D91"/>
    <w:rsid w:val="007506A8"/>
    <w:rsid w:val="007511E0"/>
    <w:rsid w:val="00751E73"/>
    <w:rsid w:val="00751F2D"/>
    <w:rsid w:val="0075214F"/>
    <w:rsid w:val="007521BC"/>
    <w:rsid w:val="00752C6B"/>
    <w:rsid w:val="00753FC5"/>
    <w:rsid w:val="0075471C"/>
    <w:rsid w:val="00754E91"/>
    <w:rsid w:val="007557D3"/>
    <w:rsid w:val="00755972"/>
    <w:rsid w:val="00755BED"/>
    <w:rsid w:val="0075664A"/>
    <w:rsid w:val="00756C86"/>
    <w:rsid w:val="0075717B"/>
    <w:rsid w:val="0076050D"/>
    <w:rsid w:val="00760701"/>
    <w:rsid w:val="007608A5"/>
    <w:rsid w:val="007609B0"/>
    <w:rsid w:val="00760FA4"/>
    <w:rsid w:val="007615C4"/>
    <w:rsid w:val="00761F65"/>
    <w:rsid w:val="007649FB"/>
    <w:rsid w:val="00766B58"/>
    <w:rsid w:val="007677B6"/>
    <w:rsid w:val="00770859"/>
    <w:rsid w:val="00770EDA"/>
    <w:rsid w:val="00770F17"/>
    <w:rsid w:val="0077222C"/>
    <w:rsid w:val="00772CBA"/>
    <w:rsid w:val="00773320"/>
    <w:rsid w:val="00774211"/>
    <w:rsid w:val="00775B1E"/>
    <w:rsid w:val="00775FDE"/>
    <w:rsid w:val="007767FA"/>
    <w:rsid w:val="00776B4C"/>
    <w:rsid w:val="00776BF8"/>
    <w:rsid w:val="00776D56"/>
    <w:rsid w:val="00777EA9"/>
    <w:rsid w:val="007806B6"/>
    <w:rsid w:val="007809C7"/>
    <w:rsid w:val="00780D8C"/>
    <w:rsid w:val="00781595"/>
    <w:rsid w:val="007819A3"/>
    <w:rsid w:val="0078234C"/>
    <w:rsid w:val="00782A85"/>
    <w:rsid w:val="00782AAC"/>
    <w:rsid w:val="00783037"/>
    <w:rsid w:val="0078380F"/>
    <w:rsid w:val="00784226"/>
    <w:rsid w:val="0078496D"/>
    <w:rsid w:val="007850F0"/>
    <w:rsid w:val="0078519A"/>
    <w:rsid w:val="0078564E"/>
    <w:rsid w:val="0078568B"/>
    <w:rsid w:val="00785BEE"/>
    <w:rsid w:val="00785D9B"/>
    <w:rsid w:val="007863CA"/>
    <w:rsid w:val="0078649E"/>
    <w:rsid w:val="0078657C"/>
    <w:rsid w:val="00786B0C"/>
    <w:rsid w:val="0078773E"/>
    <w:rsid w:val="0078788D"/>
    <w:rsid w:val="00787D45"/>
    <w:rsid w:val="00790186"/>
    <w:rsid w:val="00790243"/>
    <w:rsid w:val="007912EB"/>
    <w:rsid w:val="00791870"/>
    <w:rsid w:val="007918BF"/>
    <w:rsid w:val="00791A4E"/>
    <w:rsid w:val="00792292"/>
    <w:rsid w:val="00792977"/>
    <w:rsid w:val="00792A36"/>
    <w:rsid w:val="00794093"/>
    <w:rsid w:val="00794F85"/>
    <w:rsid w:val="00794F8F"/>
    <w:rsid w:val="00795F39"/>
    <w:rsid w:val="007960FD"/>
    <w:rsid w:val="00796232"/>
    <w:rsid w:val="007976A2"/>
    <w:rsid w:val="00797A48"/>
    <w:rsid w:val="007A05B8"/>
    <w:rsid w:val="007A08AE"/>
    <w:rsid w:val="007A09DE"/>
    <w:rsid w:val="007A10A6"/>
    <w:rsid w:val="007A1255"/>
    <w:rsid w:val="007A1631"/>
    <w:rsid w:val="007A2E71"/>
    <w:rsid w:val="007A2F86"/>
    <w:rsid w:val="007A3E64"/>
    <w:rsid w:val="007A3F24"/>
    <w:rsid w:val="007A4292"/>
    <w:rsid w:val="007A4630"/>
    <w:rsid w:val="007A4E46"/>
    <w:rsid w:val="007A5ED7"/>
    <w:rsid w:val="007A6254"/>
    <w:rsid w:val="007A6307"/>
    <w:rsid w:val="007A63ED"/>
    <w:rsid w:val="007A6DBB"/>
    <w:rsid w:val="007A7198"/>
    <w:rsid w:val="007A72B5"/>
    <w:rsid w:val="007A76A9"/>
    <w:rsid w:val="007A7902"/>
    <w:rsid w:val="007A7C88"/>
    <w:rsid w:val="007B0289"/>
    <w:rsid w:val="007B078F"/>
    <w:rsid w:val="007B12FB"/>
    <w:rsid w:val="007B4120"/>
    <w:rsid w:val="007B439A"/>
    <w:rsid w:val="007B4449"/>
    <w:rsid w:val="007B45BF"/>
    <w:rsid w:val="007B5A71"/>
    <w:rsid w:val="007B617D"/>
    <w:rsid w:val="007B619C"/>
    <w:rsid w:val="007B653B"/>
    <w:rsid w:val="007B7C52"/>
    <w:rsid w:val="007C0668"/>
    <w:rsid w:val="007C1095"/>
    <w:rsid w:val="007C1FEE"/>
    <w:rsid w:val="007C22CC"/>
    <w:rsid w:val="007C2EC2"/>
    <w:rsid w:val="007C315A"/>
    <w:rsid w:val="007C37D3"/>
    <w:rsid w:val="007C3DFA"/>
    <w:rsid w:val="007C3F95"/>
    <w:rsid w:val="007D026B"/>
    <w:rsid w:val="007D03EA"/>
    <w:rsid w:val="007D09D3"/>
    <w:rsid w:val="007D37FC"/>
    <w:rsid w:val="007D3A09"/>
    <w:rsid w:val="007D3ADF"/>
    <w:rsid w:val="007D4901"/>
    <w:rsid w:val="007D4F0D"/>
    <w:rsid w:val="007D515B"/>
    <w:rsid w:val="007D5259"/>
    <w:rsid w:val="007D57B8"/>
    <w:rsid w:val="007D60BD"/>
    <w:rsid w:val="007D6724"/>
    <w:rsid w:val="007D6C05"/>
    <w:rsid w:val="007D7867"/>
    <w:rsid w:val="007E20A9"/>
    <w:rsid w:val="007E2B9E"/>
    <w:rsid w:val="007E30C2"/>
    <w:rsid w:val="007E33A9"/>
    <w:rsid w:val="007E3C34"/>
    <w:rsid w:val="007E47B7"/>
    <w:rsid w:val="007E4B8C"/>
    <w:rsid w:val="007E57F2"/>
    <w:rsid w:val="007E7747"/>
    <w:rsid w:val="007F0575"/>
    <w:rsid w:val="007F106D"/>
    <w:rsid w:val="007F13BA"/>
    <w:rsid w:val="007F1A83"/>
    <w:rsid w:val="007F244D"/>
    <w:rsid w:val="007F25D9"/>
    <w:rsid w:val="007F2853"/>
    <w:rsid w:val="007F29E3"/>
    <w:rsid w:val="007F35B8"/>
    <w:rsid w:val="007F399C"/>
    <w:rsid w:val="007F4542"/>
    <w:rsid w:val="007F5809"/>
    <w:rsid w:val="007F691D"/>
    <w:rsid w:val="007F7875"/>
    <w:rsid w:val="007F7EE9"/>
    <w:rsid w:val="007F7F45"/>
    <w:rsid w:val="008003CB"/>
    <w:rsid w:val="00800E07"/>
    <w:rsid w:val="00800F63"/>
    <w:rsid w:val="00802392"/>
    <w:rsid w:val="008025CB"/>
    <w:rsid w:val="00802F09"/>
    <w:rsid w:val="00803299"/>
    <w:rsid w:val="008034EC"/>
    <w:rsid w:val="00803810"/>
    <w:rsid w:val="0080396A"/>
    <w:rsid w:val="0080416E"/>
    <w:rsid w:val="008043FB"/>
    <w:rsid w:val="00804651"/>
    <w:rsid w:val="008054F3"/>
    <w:rsid w:val="0080586A"/>
    <w:rsid w:val="00805DF1"/>
    <w:rsid w:val="00806458"/>
    <w:rsid w:val="008124E0"/>
    <w:rsid w:val="00812992"/>
    <w:rsid w:val="008129DF"/>
    <w:rsid w:val="0081333E"/>
    <w:rsid w:val="008153EB"/>
    <w:rsid w:val="0081561D"/>
    <w:rsid w:val="00815CCD"/>
    <w:rsid w:val="008162FD"/>
    <w:rsid w:val="00817025"/>
    <w:rsid w:val="008176AD"/>
    <w:rsid w:val="00817C1B"/>
    <w:rsid w:val="00820481"/>
    <w:rsid w:val="008207E6"/>
    <w:rsid w:val="00822315"/>
    <w:rsid w:val="00822A36"/>
    <w:rsid w:val="00823071"/>
    <w:rsid w:val="008236D1"/>
    <w:rsid w:val="00823DF8"/>
    <w:rsid w:val="00824182"/>
    <w:rsid w:val="00824378"/>
    <w:rsid w:val="00824F04"/>
    <w:rsid w:val="008254D5"/>
    <w:rsid w:val="00825901"/>
    <w:rsid w:val="008271E9"/>
    <w:rsid w:val="00827247"/>
    <w:rsid w:val="00827E4C"/>
    <w:rsid w:val="0083062B"/>
    <w:rsid w:val="00830A3A"/>
    <w:rsid w:val="00830BF6"/>
    <w:rsid w:val="0083100D"/>
    <w:rsid w:val="008319C3"/>
    <w:rsid w:val="00831ACA"/>
    <w:rsid w:val="00831F04"/>
    <w:rsid w:val="00832A47"/>
    <w:rsid w:val="00832F6C"/>
    <w:rsid w:val="00833899"/>
    <w:rsid w:val="00834432"/>
    <w:rsid w:val="00834B9B"/>
    <w:rsid w:val="008352B4"/>
    <w:rsid w:val="0083535A"/>
    <w:rsid w:val="008370B8"/>
    <w:rsid w:val="00837E6D"/>
    <w:rsid w:val="0084036D"/>
    <w:rsid w:val="00841FA0"/>
    <w:rsid w:val="00842998"/>
    <w:rsid w:val="00842B50"/>
    <w:rsid w:val="008436BB"/>
    <w:rsid w:val="00843DEA"/>
    <w:rsid w:val="00844454"/>
    <w:rsid w:val="008444FD"/>
    <w:rsid w:val="00845C07"/>
    <w:rsid w:val="00846094"/>
    <w:rsid w:val="008461DA"/>
    <w:rsid w:val="00846370"/>
    <w:rsid w:val="008469D1"/>
    <w:rsid w:val="00846E57"/>
    <w:rsid w:val="00847652"/>
    <w:rsid w:val="008509C0"/>
    <w:rsid w:val="00850A2E"/>
    <w:rsid w:val="00850A69"/>
    <w:rsid w:val="00850A83"/>
    <w:rsid w:val="00850C81"/>
    <w:rsid w:val="00854257"/>
    <w:rsid w:val="008542CD"/>
    <w:rsid w:val="00854E26"/>
    <w:rsid w:val="00855423"/>
    <w:rsid w:val="00855A04"/>
    <w:rsid w:val="00855DE2"/>
    <w:rsid w:val="00855EDD"/>
    <w:rsid w:val="00856015"/>
    <w:rsid w:val="00856B9F"/>
    <w:rsid w:val="00856CFB"/>
    <w:rsid w:val="00856F40"/>
    <w:rsid w:val="008571D4"/>
    <w:rsid w:val="00860042"/>
    <w:rsid w:val="0086036A"/>
    <w:rsid w:val="008617AC"/>
    <w:rsid w:val="00861A47"/>
    <w:rsid w:val="00861DCE"/>
    <w:rsid w:val="00862396"/>
    <w:rsid w:val="00864613"/>
    <w:rsid w:val="00865816"/>
    <w:rsid w:val="00865D4A"/>
    <w:rsid w:val="00866626"/>
    <w:rsid w:val="00866D84"/>
    <w:rsid w:val="00867DEF"/>
    <w:rsid w:val="00870A2B"/>
    <w:rsid w:val="008711A2"/>
    <w:rsid w:val="008715E7"/>
    <w:rsid w:val="008717E7"/>
    <w:rsid w:val="008723A8"/>
    <w:rsid w:val="008734FA"/>
    <w:rsid w:val="00874024"/>
    <w:rsid w:val="00874091"/>
    <w:rsid w:val="00874365"/>
    <w:rsid w:val="00874D1A"/>
    <w:rsid w:val="008757AE"/>
    <w:rsid w:val="00875966"/>
    <w:rsid w:val="00876B63"/>
    <w:rsid w:val="0087752D"/>
    <w:rsid w:val="00877653"/>
    <w:rsid w:val="00880827"/>
    <w:rsid w:val="00880844"/>
    <w:rsid w:val="00880BB5"/>
    <w:rsid w:val="00881B34"/>
    <w:rsid w:val="00881E42"/>
    <w:rsid w:val="00882631"/>
    <w:rsid w:val="00882FCA"/>
    <w:rsid w:val="00884F27"/>
    <w:rsid w:val="008851BE"/>
    <w:rsid w:val="00885911"/>
    <w:rsid w:val="008872A9"/>
    <w:rsid w:val="008873EE"/>
    <w:rsid w:val="00887900"/>
    <w:rsid w:val="00887955"/>
    <w:rsid w:val="008912FB"/>
    <w:rsid w:val="0089158E"/>
    <w:rsid w:val="008920F9"/>
    <w:rsid w:val="0089296F"/>
    <w:rsid w:val="00892F6E"/>
    <w:rsid w:val="0089323D"/>
    <w:rsid w:val="00893DD7"/>
    <w:rsid w:val="0089401D"/>
    <w:rsid w:val="00894724"/>
    <w:rsid w:val="00894929"/>
    <w:rsid w:val="008951F1"/>
    <w:rsid w:val="0089553B"/>
    <w:rsid w:val="008956C7"/>
    <w:rsid w:val="00895A84"/>
    <w:rsid w:val="00895D8F"/>
    <w:rsid w:val="00896185"/>
    <w:rsid w:val="008967DA"/>
    <w:rsid w:val="00896AA3"/>
    <w:rsid w:val="008A016F"/>
    <w:rsid w:val="008A116E"/>
    <w:rsid w:val="008A3286"/>
    <w:rsid w:val="008A395F"/>
    <w:rsid w:val="008A3C34"/>
    <w:rsid w:val="008A3C39"/>
    <w:rsid w:val="008A4365"/>
    <w:rsid w:val="008A4422"/>
    <w:rsid w:val="008A5D54"/>
    <w:rsid w:val="008A5DB2"/>
    <w:rsid w:val="008A62F4"/>
    <w:rsid w:val="008A7396"/>
    <w:rsid w:val="008A740D"/>
    <w:rsid w:val="008B025B"/>
    <w:rsid w:val="008B0693"/>
    <w:rsid w:val="008B1426"/>
    <w:rsid w:val="008B1626"/>
    <w:rsid w:val="008B1C89"/>
    <w:rsid w:val="008B1CCE"/>
    <w:rsid w:val="008B1FE6"/>
    <w:rsid w:val="008B2389"/>
    <w:rsid w:val="008B2735"/>
    <w:rsid w:val="008B3D19"/>
    <w:rsid w:val="008B3EC1"/>
    <w:rsid w:val="008B4919"/>
    <w:rsid w:val="008B4E76"/>
    <w:rsid w:val="008B5C7D"/>
    <w:rsid w:val="008B71B5"/>
    <w:rsid w:val="008B75A2"/>
    <w:rsid w:val="008C017D"/>
    <w:rsid w:val="008C01E4"/>
    <w:rsid w:val="008C01E7"/>
    <w:rsid w:val="008C0D9D"/>
    <w:rsid w:val="008C16E1"/>
    <w:rsid w:val="008C174D"/>
    <w:rsid w:val="008C2001"/>
    <w:rsid w:val="008C2A85"/>
    <w:rsid w:val="008C2B9A"/>
    <w:rsid w:val="008C37EE"/>
    <w:rsid w:val="008C38B9"/>
    <w:rsid w:val="008C40A4"/>
    <w:rsid w:val="008C457F"/>
    <w:rsid w:val="008C46C5"/>
    <w:rsid w:val="008C49F0"/>
    <w:rsid w:val="008C5CC2"/>
    <w:rsid w:val="008C5FD3"/>
    <w:rsid w:val="008C7329"/>
    <w:rsid w:val="008C75F5"/>
    <w:rsid w:val="008D0001"/>
    <w:rsid w:val="008D05BD"/>
    <w:rsid w:val="008D1B13"/>
    <w:rsid w:val="008D24CD"/>
    <w:rsid w:val="008D2663"/>
    <w:rsid w:val="008D3549"/>
    <w:rsid w:val="008D3EBA"/>
    <w:rsid w:val="008D3ED4"/>
    <w:rsid w:val="008D44C0"/>
    <w:rsid w:val="008D5513"/>
    <w:rsid w:val="008D56D0"/>
    <w:rsid w:val="008D5753"/>
    <w:rsid w:val="008D6019"/>
    <w:rsid w:val="008D6F41"/>
    <w:rsid w:val="008D7349"/>
    <w:rsid w:val="008D74AC"/>
    <w:rsid w:val="008D7997"/>
    <w:rsid w:val="008D7DA5"/>
    <w:rsid w:val="008E046B"/>
    <w:rsid w:val="008E05B9"/>
    <w:rsid w:val="008E09E7"/>
    <w:rsid w:val="008E0F10"/>
    <w:rsid w:val="008E13A7"/>
    <w:rsid w:val="008E14D8"/>
    <w:rsid w:val="008E29E2"/>
    <w:rsid w:val="008E2A8D"/>
    <w:rsid w:val="008E3563"/>
    <w:rsid w:val="008E39BE"/>
    <w:rsid w:val="008E433A"/>
    <w:rsid w:val="008E4398"/>
    <w:rsid w:val="008E4630"/>
    <w:rsid w:val="008E46FF"/>
    <w:rsid w:val="008E4E26"/>
    <w:rsid w:val="008E5339"/>
    <w:rsid w:val="008E56BB"/>
    <w:rsid w:val="008E6772"/>
    <w:rsid w:val="008E6EE4"/>
    <w:rsid w:val="008E729F"/>
    <w:rsid w:val="008E7500"/>
    <w:rsid w:val="008E7609"/>
    <w:rsid w:val="008E7794"/>
    <w:rsid w:val="008E7FCE"/>
    <w:rsid w:val="008F0A25"/>
    <w:rsid w:val="008F161F"/>
    <w:rsid w:val="008F17BF"/>
    <w:rsid w:val="008F1E58"/>
    <w:rsid w:val="008F1EBB"/>
    <w:rsid w:val="008F2061"/>
    <w:rsid w:val="008F258F"/>
    <w:rsid w:val="008F2A8D"/>
    <w:rsid w:val="008F2E72"/>
    <w:rsid w:val="008F3A6C"/>
    <w:rsid w:val="008F4A18"/>
    <w:rsid w:val="008F5696"/>
    <w:rsid w:val="008F5E9A"/>
    <w:rsid w:val="008F6166"/>
    <w:rsid w:val="008F61B0"/>
    <w:rsid w:val="008F623C"/>
    <w:rsid w:val="008F6602"/>
    <w:rsid w:val="008F7934"/>
    <w:rsid w:val="008F7DB9"/>
    <w:rsid w:val="00900332"/>
    <w:rsid w:val="009011D8"/>
    <w:rsid w:val="00901237"/>
    <w:rsid w:val="009015A9"/>
    <w:rsid w:val="00901678"/>
    <w:rsid w:val="00901968"/>
    <w:rsid w:val="00901A85"/>
    <w:rsid w:val="00901C99"/>
    <w:rsid w:val="00903139"/>
    <w:rsid w:val="00903C4B"/>
    <w:rsid w:val="00903D47"/>
    <w:rsid w:val="0090491F"/>
    <w:rsid w:val="0090499F"/>
    <w:rsid w:val="009053EF"/>
    <w:rsid w:val="00905BB0"/>
    <w:rsid w:val="00906619"/>
    <w:rsid w:val="009067E2"/>
    <w:rsid w:val="00906997"/>
    <w:rsid w:val="00907919"/>
    <w:rsid w:val="00907BD4"/>
    <w:rsid w:val="009102D3"/>
    <w:rsid w:val="00910FE0"/>
    <w:rsid w:val="00911336"/>
    <w:rsid w:val="00911C4C"/>
    <w:rsid w:val="00911EFC"/>
    <w:rsid w:val="00912086"/>
    <w:rsid w:val="0091230C"/>
    <w:rsid w:val="0091250E"/>
    <w:rsid w:val="00912D85"/>
    <w:rsid w:val="009130CC"/>
    <w:rsid w:val="00913E07"/>
    <w:rsid w:val="00914958"/>
    <w:rsid w:val="00914D77"/>
    <w:rsid w:val="0091590E"/>
    <w:rsid w:val="00915B3F"/>
    <w:rsid w:val="00916393"/>
    <w:rsid w:val="0091717E"/>
    <w:rsid w:val="009176AF"/>
    <w:rsid w:val="0091775B"/>
    <w:rsid w:val="0092032D"/>
    <w:rsid w:val="009206E1"/>
    <w:rsid w:val="009209E0"/>
    <w:rsid w:val="009219CF"/>
    <w:rsid w:val="00921CDA"/>
    <w:rsid w:val="0092249D"/>
    <w:rsid w:val="00922C34"/>
    <w:rsid w:val="00922CA6"/>
    <w:rsid w:val="0092374C"/>
    <w:rsid w:val="00923E6C"/>
    <w:rsid w:val="009248C0"/>
    <w:rsid w:val="00925922"/>
    <w:rsid w:val="00925D42"/>
    <w:rsid w:val="00926846"/>
    <w:rsid w:val="00927911"/>
    <w:rsid w:val="00927A0B"/>
    <w:rsid w:val="00927B74"/>
    <w:rsid w:val="009305AD"/>
    <w:rsid w:val="00930C7A"/>
    <w:rsid w:val="009317EA"/>
    <w:rsid w:val="00931DA1"/>
    <w:rsid w:val="009325A5"/>
    <w:rsid w:val="00932F14"/>
    <w:rsid w:val="00933AAE"/>
    <w:rsid w:val="00933AFB"/>
    <w:rsid w:val="00933E67"/>
    <w:rsid w:val="00934220"/>
    <w:rsid w:val="00934C94"/>
    <w:rsid w:val="00935074"/>
    <w:rsid w:val="0093514F"/>
    <w:rsid w:val="00936693"/>
    <w:rsid w:val="00936710"/>
    <w:rsid w:val="00936F67"/>
    <w:rsid w:val="0094142A"/>
    <w:rsid w:val="0094329C"/>
    <w:rsid w:val="009435DB"/>
    <w:rsid w:val="00944829"/>
    <w:rsid w:val="0094494B"/>
    <w:rsid w:val="00944B16"/>
    <w:rsid w:val="00945C14"/>
    <w:rsid w:val="00945D7C"/>
    <w:rsid w:val="00945F4E"/>
    <w:rsid w:val="009468BA"/>
    <w:rsid w:val="00946C88"/>
    <w:rsid w:val="00947797"/>
    <w:rsid w:val="00947B7D"/>
    <w:rsid w:val="009503D6"/>
    <w:rsid w:val="009505B4"/>
    <w:rsid w:val="00950F2B"/>
    <w:rsid w:val="009521BA"/>
    <w:rsid w:val="009526BB"/>
    <w:rsid w:val="0095298D"/>
    <w:rsid w:val="00952ABA"/>
    <w:rsid w:val="00952B03"/>
    <w:rsid w:val="00952BF4"/>
    <w:rsid w:val="00952C4F"/>
    <w:rsid w:val="009536EC"/>
    <w:rsid w:val="0095411E"/>
    <w:rsid w:val="009551D1"/>
    <w:rsid w:val="00955369"/>
    <w:rsid w:val="00955AF0"/>
    <w:rsid w:val="00955DCB"/>
    <w:rsid w:val="00955E57"/>
    <w:rsid w:val="009563FC"/>
    <w:rsid w:val="0095744A"/>
    <w:rsid w:val="0095752F"/>
    <w:rsid w:val="00960FAC"/>
    <w:rsid w:val="00962261"/>
    <w:rsid w:val="00963572"/>
    <w:rsid w:val="009647C4"/>
    <w:rsid w:val="00964C3F"/>
    <w:rsid w:val="00964E3D"/>
    <w:rsid w:val="00965449"/>
    <w:rsid w:val="00965956"/>
    <w:rsid w:val="00965E57"/>
    <w:rsid w:val="00966622"/>
    <w:rsid w:val="0096684D"/>
    <w:rsid w:val="00966DA5"/>
    <w:rsid w:val="00966F8E"/>
    <w:rsid w:val="009673BA"/>
    <w:rsid w:val="00967460"/>
    <w:rsid w:val="00967A9D"/>
    <w:rsid w:val="00970080"/>
    <w:rsid w:val="00971EE6"/>
    <w:rsid w:val="009721CB"/>
    <w:rsid w:val="00972525"/>
    <w:rsid w:val="00972FF7"/>
    <w:rsid w:val="00974294"/>
    <w:rsid w:val="009742C4"/>
    <w:rsid w:val="009743D9"/>
    <w:rsid w:val="00974ADD"/>
    <w:rsid w:val="00974F6B"/>
    <w:rsid w:val="009753CB"/>
    <w:rsid w:val="0097552D"/>
    <w:rsid w:val="00975A7E"/>
    <w:rsid w:val="00975C72"/>
    <w:rsid w:val="009767BA"/>
    <w:rsid w:val="00977712"/>
    <w:rsid w:val="00980B57"/>
    <w:rsid w:val="00981726"/>
    <w:rsid w:val="0098253E"/>
    <w:rsid w:val="00982A29"/>
    <w:rsid w:val="00982AE1"/>
    <w:rsid w:val="00982DD5"/>
    <w:rsid w:val="009838D5"/>
    <w:rsid w:val="009851FE"/>
    <w:rsid w:val="009855E4"/>
    <w:rsid w:val="009858DA"/>
    <w:rsid w:val="00986530"/>
    <w:rsid w:val="00986562"/>
    <w:rsid w:val="0098659A"/>
    <w:rsid w:val="009868B2"/>
    <w:rsid w:val="00987392"/>
    <w:rsid w:val="00987865"/>
    <w:rsid w:val="00987F2D"/>
    <w:rsid w:val="00990172"/>
    <w:rsid w:val="00990457"/>
    <w:rsid w:val="00990B03"/>
    <w:rsid w:val="00990BCB"/>
    <w:rsid w:val="00990DA8"/>
    <w:rsid w:val="00990E61"/>
    <w:rsid w:val="00991596"/>
    <w:rsid w:val="009928DC"/>
    <w:rsid w:val="00992EBE"/>
    <w:rsid w:val="00993550"/>
    <w:rsid w:val="00993F49"/>
    <w:rsid w:val="0099537F"/>
    <w:rsid w:val="00996A7D"/>
    <w:rsid w:val="00996DE9"/>
    <w:rsid w:val="00996E02"/>
    <w:rsid w:val="00996EF4"/>
    <w:rsid w:val="0099760C"/>
    <w:rsid w:val="00997F27"/>
    <w:rsid w:val="009A0948"/>
    <w:rsid w:val="009A1171"/>
    <w:rsid w:val="009A11FD"/>
    <w:rsid w:val="009A1316"/>
    <w:rsid w:val="009A1696"/>
    <w:rsid w:val="009A21CB"/>
    <w:rsid w:val="009A2304"/>
    <w:rsid w:val="009A25E2"/>
    <w:rsid w:val="009A2644"/>
    <w:rsid w:val="009A3023"/>
    <w:rsid w:val="009A3098"/>
    <w:rsid w:val="009A30EB"/>
    <w:rsid w:val="009A4947"/>
    <w:rsid w:val="009A4E81"/>
    <w:rsid w:val="009A526A"/>
    <w:rsid w:val="009A5573"/>
    <w:rsid w:val="009A5C49"/>
    <w:rsid w:val="009A5CDF"/>
    <w:rsid w:val="009A65CB"/>
    <w:rsid w:val="009A7330"/>
    <w:rsid w:val="009A75A1"/>
    <w:rsid w:val="009B053A"/>
    <w:rsid w:val="009B0630"/>
    <w:rsid w:val="009B15DA"/>
    <w:rsid w:val="009B242B"/>
    <w:rsid w:val="009B2AC0"/>
    <w:rsid w:val="009B3487"/>
    <w:rsid w:val="009B384B"/>
    <w:rsid w:val="009B438F"/>
    <w:rsid w:val="009B4629"/>
    <w:rsid w:val="009B4674"/>
    <w:rsid w:val="009B555C"/>
    <w:rsid w:val="009B5EB8"/>
    <w:rsid w:val="009B60D2"/>
    <w:rsid w:val="009B7D69"/>
    <w:rsid w:val="009C0E16"/>
    <w:rsid w:val="009C105A"/>
    <w:rsid w:val="009C23B8"/>
    <w:rsid w:val="009C269B"/>
    <w:rsid w:val="009C3999"/>
    <w:rsid w:val="009C3D7B"/>
    <w:rsid w:val="009C3EE3"/>
    <w:rsid w:val="009C46ED"/>
    <w:rsid w:val="009C5B35"/>
    <w:rsid w:val="009C61C8"/>
    <w:rsid w:val="009C61DD"/>
    <w:rsid w:val="009C6FC2"/>
    <w:rsid w:val="009C6FF8"/>
    <w:rsid w:val="009C7478"/>
    <w:rsid w:val="009C7CCE"/>
    <w:rsid w:val="009D0096"/>
    <w:rsid w:val="009D0202"/>
    <w:rsid w:val="009D0DB5"/>
    <w:rsid w:val="009D1842"/>
    <w:rsid w:val="009D19A9"/>
    <w:rsid w:val="009D1EF1"/>
    <w:rsid w:val="009D4B36"/>
    <w:rsid w:val="009D4E04"/>
    <w:rsid w:val="009D5CE2"/>
    <w:rsid w:val="009D5EF6"/>
    <w:rsid w:val="009D6726"/>
    <w:rsid w:val="009D6ED3"/>
    <w:rsid w:val="009D721C"/>
    <w:rsid w:val="009D78DD"/>
    <w:rsid w:val="009E0405"/>
    <w:rsid w:val="009E06A3"/>
    <w:rsid w:val="009E0ADD"/>
    <w:rsid w:val="009E211C"/>
    <w:rsid w:val="009E2B1E"/>
    <w:rsid w:val="009E2BFC"/>
    <w:rsid w:val="009E2E4B"/>
    <w:rsid w:val="009E2EC9"/>
    <w:rsid w:val="009E34E9"/>
    <w:rsid w:val="009E353D"/>
    <w:rsid w:val="009E4BE0"/>
    <w:rsid w:val="009E6182"/>
    <w:rsid w:val="009E6E71"/>
    <w:rsid w:val="009E6EAE"/>
    <w:rsid w:val="009E6F4E"/>
    <w:rsid w:val="009E7671"/>
    <w:rsid w:val="009E793A"/>
    <w:rsid w:val="009F02AA"/>
    <w:rsid w:val="009F0601"/>
    <w:rsid w:val="009F14C1"/>
    <w:rsid w:val="009F1588"/>
    <w:rsid w:val="009F1B47"/>
    <w:rsid w:val="009F1B85"/>
    <w:rsid w:val="009F278A"/>
    <w:rsid w:val="009F32CF"/>
    <w:rsid w:val="009F37B5"/>
    <w:rsid w:val="009F3B08"/>
    <w:rsid w:val="009F3DF3"/>
    <w:rsid w:val="009F4D86"/>
    <w:rsid w:val="009F4E90"/>
    <w:rsid w:val="009F5EA2"/>
    <w:rsid w:val="009F6654"/>
    <w:rsid w:val="009F6BB3"/>
    <w:rsid w:val="009F7225"/>
    <w:rsid w:val="009F7C75"/>
    <w:rsid w:val="00A001E9"/>
    <w:rsid w:val="00A003BA"/>
    <w:rsid w:val="00A005A4"/>
    <w:rsid w:val="00A019AD"/>
    <w:rsid w:val="00A019D7"/>
    <w:rsid w:val="00A01B90"/>
    <w:rsid w:val="00A0249D"/>
    <w:rsid w:val="00A0288E"/>
    <w:rsid w:val="00A02A8B"/>
    <w:rsid w:val="00A02C32"/>
    <w:rsid w:val="00A03292"/>
    <w:rsid w:val="00A039F2"/>
    <w:rsid w:val="00A03A1E"/>
    <w:rsid w:val="00A0469E"/>
    <w:rsid w:val="00A049C9"/>
    <w:rsid w:val="00A0578B"/>
    <w:rsid w:val="00A06329"/>
    <w:rsid w:val="00A06350"/>
    <w:rsid w:val="00A064B5"/>
    <w:rsid w:val="00A06CB4"/>
    <w:rsid w:val="00A06CC5"/>
    <w:rsid w:val="00A07356"/>
    <w:rsid w:val="00A10529"/>
    <w:rsid w:val="00A105A8"/>
    <w:rsid w:val="00A1121C"/>
    <w:rsid w:val="00A11D7D"/>
    <w:rsid w:val="00A11E94"/>
    <w:rsid w:val="00A12008"/>
    <w:rsid w:val="00A1227C"/>
    <w:rsid w:val="00A12DC2"/>
    <w:rsid w:val="00A134BE"/>
    <w:rsid w:val="00A136E5"/>
    <w:rsid w:val="00A1456A"/>
    <w:rsid w:val="00A1456E"/>
    <w:rsid w:val="00A1531A"/>
    <w:rsid w:val="00A16241"/>
    <w:rsid w:val="00A163B9"/>
    <w:rsid w:val="00A17397"/>
    <w:rsid w:val="00A17F82"/>
    <w:rsid w:val="00A200F6"/>
    <w:rsid w:val="00A20117"/>
    <w:rsid w:val="00A2033F"/>
    <w:rsid w:val="00A2141A"/>
    <w:rsid w:val="00A21686"/>
    <w:rsid w:val="00A2258F"/>
    <w:rsid w:val="00A23961"/>
    <w:rsid w:val="00A24267"/>
    <w:rsid w:val="00A24D58"/>
    <w:rsid w:val="00A265CB"/>
    <w:rsid w:val="00A274CB"/>
    <w:rsid w:val="00A27846"/>
    <w:rsid w:val="00A303C4"/>
    <w:rsid w:val="00A30A0E"/>
    <w:rsid w:val="00A329F9"/>
    <w:rsid w:val="00A3343B"/>
    <w:rsid w:val="00A33571"/>
    <w:rsid w:val="00A34A66"/>
    <w:rsid w:val="00A34F58"/>
    <w:rsid w:val="00A35168"/>
    <w:rsid w:val="00A35BED"/>
    <w:rsid w:val="00A35EFE"/>
    <w:rsid w:val="00A3628D"/>
    <w:rsid w:val="00A37459"/>
    <w:rsid w:val="00A374F0"/>
    <w:rsid w:val="00A37A10"/>
    <w:rsid w:val="00A4040A"/>
    <w:rsid w:val="00A406B0"/>
    <w:rsid w:val="00A408D6"/>
    <w:rsid w:val="00A4144C"/>
    <w:rsid w:val="00A41607"/>
    <w:rsid w:val="00A41EFB"/>
    <w:rsid w:val="00A4205C"/>
    <w:rsid w:val="00A438A9"/>
    <w:rsid w:val="00A438B1"/>
    <w:rsid w:val="00A4408A"/>
    <w:rsid w:val="00A44260"/>
    <w:rsid w:val="00A4496F"/>
    <w:rsid w:val="00A44A33"/>
    <w:rsid w:val="00A44BC2"/>
    <w:rsid w:val="00A4515C"/>
    <w:rsid w:val="00A455B2"/>
    <w:rsid w:val="00A45E8F"/>
    <w:rsid w:val="00A4625D"/>
    <w:rsid w:val="00A46BA3"/>
    <w:rsid w:val="00A46BD5"/>
    <w:rsid w:val="00A4719E"/>
    <w:rsid w:val="00A50CD7"/>
    <w:rsid w:val="00A51177"/>
    <w:rsid w:val="00A5124B"/>
    <w:rsid w:val="00A5135F"/>
    <w:rsid w:val="00A523E6"/>
    <w:rsid w:val="00A528D1"/>
    <w:rsid w:val="00A5367B"/>
    <w:rsid w:val="00A53F11"/>
    <w:rsid w:val="00A5401C"/>
    <w:rsid w:val="00A5448F"/>
    <w:rsid w:val="00A55005"/>
    <w:rsid w:val="00A55038"/>
    <w:rsid w:val="00A5520A"/>
    <w:rsid w:val="00A5533D"/>
    <w:rsid w:val="00A5634E"/>
    <w:rsid w:val="00A56CB0"/>
    <w:rsid w:val="00A56D46"/>
    <w:rsid w:val="00A57335"/>
    <w:rsid w:val="00A57B28"/>
    <w:rsid w:val="00A60025"/>
    <w:rsid w:val="00A604D4"/>
    <w:rsid w:val="00A6094E"/>
    <w:rsid w:val="00A60BF2"/>
    <w:rsid w:val="00A6124D"/>
    <w:rsid w:val="00A61493"/>
    <w:rsid w:val="00A6215D"/>
    <w:rsid w:val="00A622A8"/>
    <w:rsid w:val="00A629AB"/>
    <w:rsid w:val="00A63321"/>
    <w:rsid w:val="00A63DD2"/>
    <w:rsid w:val="00A63FA3"/>
    <w:rsid w:val="00A6480E"/>
    <w:rsid w:val="00A648C3"/>
    <w:rsid w:val="00A65704"/>
    <w:rsid w:val="00A66497"/>
    <w:rsid w:val="00A6683F"/>
    <w:rsid w:val="00A671E0"/>
    <w:rsid w:val="00A67424"/>
    <w:rsid w:val="00A700AA"/>
    <w:rsid w:val="00A70535"/>
    <w:rsid w:val="00A70714"/>
    <w:rsid w:val="00A709A0"/>
    <w:rsid w:val="00A70E04"/>
    <w:rsid w:val="00A710EA"/>
    <w:rsid w:val="00A71306"/>
    <w:rsid w:val="00A71EE5"/>
    <w:rsid w:val="00A74253"/>
    <w:rsid w:val="00A7513F"/>
    <w:rsid w:val="00A769C3"/>
    <w:rsid w:val="00A76A06"/>
    <w:rsid w:val="00A76D4C"/>
    <w:rsid w:val="00A772C2"/>
    <w:rsid w:val="00A77A95"/>
    <w:rsid w:val="00A77C2A"/>
    <w:rsid w:val="00A80ACA"/>
    <w:rsid w:val="00A81B9A"/>
    <w:rsid w:val="00A81C40"/>
    <w:rsid w:val="00A8254D"/>
    <w:rsid w:val="00A829F9"/>
    <w:rsid w:val="00A831DE"/>
    <w:rsid w:val="00A83E2B"/>
    <w:rsid w:val="00A84CCE"/>
    <w:rsid w:val="00A85261"/>
    <w:rsid w:val="00A85724"/>
    <w:rsid w:val="00A85927"/>
    <w:rsid w:val="00A85CE1"/>
    <w:rsid w:val="00A86284"/>
    <w:rsid w:val="00A8718A"/>
    <w:rsid w:val="00A90D4C"/>
    <w:rsid w:val="00A91077"/>
    <w:rsid w:val="00A9118E"/>
    <w:rsid w:val="00A92A90"/>
    <w:rsid w:val="00A92DE7"/>
    <w:rsid w:val="00A930EF"/>
    <w:rsid w:val="00A935C1"/>
    <w:rsid w:val="00A942E5"/>
    <w:rsid w:val="00A948BC"/>
    <w:rsid w:val="00A95890"/>
    <w:rsid w:val="00A95E4A"/>
    <w:rsid w:val="00A95F86"/>
    <w:rsid w:val="00A9673E"/>
    <w:rsid w:val="00A97D21"/>
    <w:rsid w:val="00AA08C7"/>
    <w:rsid w:val="00AA0B4D"/>
    <w:rsid w:val="00AA0EB3"/>
    <w:rsid w:val="00AA0FBF"/>
    <w:rsid w:val="00AA1A02"/>
    <w:rsid w:val="00AA207B"/>
    <w:rsid w:val="00AA270C"/>
    <w:rsid w:val="00AA3B17"/>
    <w:rsid w:val="00AA51DA"/>
    <w:rsid w:val="00AA535E"/>
    <w:rsid w:val="00AA657B"/>
    <w:rsid w:val="00AA7136"/>
    <w:rsid w:val="00AA78AC"/>
    <w:rsid w:val="00AB05EF"/>
    <w:rsid w:val="00AB0A35"/>
    <w:rsid w:val="00AB0D8D"/>
    <w:rsid w:val="00AB1121"/>
    <w:rsid w:val="00AB14A5"/>
    <w:rsid w:val="00AB14E2"/>
    <w:rsid w:val="00AB15BE"/>
    <w:rsid w:val="00AB1974"/>
    <w:rsid w:val="00AB1A6B"/>
    <w:rsid w:val="00AB20B7"/>
    <w:rsid w:val="00AB27FE"/>
    <w:rsid w:val="00AB3222"/>
    <w:rsid w:val="00AB3C3A"/>
    <w:rsid w:val="00AB3FEB"/>
    <w:rsid w:val="00AB405B"/>
    <w:rsid w:val="00AB521C"/>
    <w:rsid w:val="00AB642F"/>
    <w:rsid w:val="00AB6CC3"/>
    <w:rsid w:val="00AB7265"/>
    <w:rsid w:val="00AB7864"/>
    <w:rsid w:val="00AB7B25"/>
    <w:rsid w:val="00AB7E17"/>
    <w:rsid w:val="00AB7E22"/>
    <w:rsid w:val="00AC0A16"/>
    <w:rsid w:val="00AC1394"/>
    <w:rsid w:val="00AC31AD"/>
    <w:rsid w:val="00AC3419"/>
    <w:rsid w:val="00AC4B77"/>
    <w:rsid w:val="00AC4E68"/>
    <w:rsid w:val="00AC5008"/>
    <w:rsid w:val="00AC59EB"/>
    <w:rsid w:val="00AC5A43"/>
    <w:rsid w:val="00AC62D4"/>
    <w:rsid w:val="00AC653E"/>
    <w:rsid w:val="00AC65D0"/>
    <w:rsid w:val="00AC6915"/>
    <w:rsid w:val="00AC6CA5"/>
    <w:rsid w:val="00AC76DB"/>
    <w:rsid w:val="00AD0B8F"/>
    <w:rsid w:val="00AD0C21"/>
    <w:rsid w:val="00AD1706"/>
    <w:rsid w:val="00AD1DDE"/>
    <w:rsid w:val="00AD23D3"/>
    <w:rsid w:val="00AD40B1"/>
    <w:rsid w:val="00AD5099"/>
    <w:rsid w:val="00AD5301"/>
    <w:rsid w:val="00AD5658"/>
    <w:rsid w:val="00AD7260"/>
    <w:rsid w:val="00AD72BF"/>
    <w:rsid w:val="00AE046C"/>
    <w:rsid w:val="00AE0D2F"/>
    <w:rsid w:val="00AE125A"/>
    <w:rsid w:val="00AE1341"/>
    <w:rsid w:val="00AE15FF"/>
    <w:rsid w:val="00AE1E4C"/>
    <w:rsid w:val="00AE26D0"/>
    <w:rsid w:val="00AE2729"/>
    <w:rsid w:val="00AE2D53"/>
    <w:rsid w:val="00AE2FFB"/>
    <w:rsid w:val="00AE3138"/>
    <w:rsid w:val="00AE31E1"/>
    <w:rsid w:val="00AE3863"/>
    <w:rsid w:val="00AE42F1"/>
    <w:rsid w:val="00AE4B49"/>
    <w:rsid w:val="00AE4B83"/>
    <w:rsid w:val="00AE502F"/>
    <w:rsid w:val="00AE54EE"/>
    <w:rsid w:val="00AE5FB1"/>
    <w:rsid w:val="00AE6A6F"/>
    <w:rsid w:val="00AE79E3"/>
    <w:rsid w:val="00AE7E1F"/>
    <w:rsid w:val="00AE7FFD"/>
    <w:rsid w:val="00AF0F2E"/>
    <w:rsid w:val="00AF13EE"/>
    <w:rsid w:val="00AF25B8"/>
    <w:rsid w:val="00AF284D"/>
    <w:rsid w:val="00AF2AA7"/>
    <w:rsid w:val="00AF2D4B"/>
    <w:rsid w:val="00AF35DB"/>
    <w:rsid w:val="00AF3613"/>
    <w:rsid w:val="00AF3A6D"/>
    <w:rsid w:val="00AF44A7"/>
    <w:rsid w:val="00AF460C"/>
    <w:rsid w:val="00AF4E97"/>
    <w:rsid w:val="00AF5432"/>
    <w:rsid w:val="00AF5A57"/>
    <w:rsid w:val="00AF5B85"/>
    <w:rsid w:val="00B0066A"/>
    <w:rsid w:val="00B00A1F"/>
    <w:rsid w:val="00B011C1"/>
    <w:rsid w:val="00B012ED"/>
    <w:rsid w:val="00B01874"/>
    <w:rsid w:val="00B023A0"/>
    <w:rsid w:val="00B02459"/>
    <w:rsid w:val="00B02798"/>
    <w:rsid w:val="00B0313C"/>
    <w:rsid w:val="00B03788"/>
    <w:rsid w:val="00B03CE8"/>
    <w:rsid w:val="00B045E2"/>
    <w:rsid w:val="00B04DE1"/>
    <w:rsid w:val="00B0512A"/>
    <w:rsid w:val="00B06A94"/>
    <w:rsid w:val="00B07464"/>
    <w:rsid w:val="00B076C9"/>
    <w:rsid w:val="00B07E36"/>
    <w:rsid w:val="00B10720"/>
    <w:rsid w:val="00B10A49"/>
    <w:rsid w:val="00B10F64"/>
    <w:rsid w:val="00B1137D"/>
    <w:rsid w:val="00B11B24"/>
    <w:rsid w:val="00B11FD8"/>
    <w:rsid w:val="00B12A27"/>
    <w:rsid w:val="00B13461"/>
    <w:rsid w:val="00B13E1A"/>
    <w:rsid w:val="00B14DBF"/>
    <w:rsid w:val="00B14F46"/>
    <w:rsid w:val="00B150F1"/>
    <w:rsid w:val="00B152CF"/>
    <w:rsid w:val="00B16C67"/>
    <w:rsid w:val="00B17A4A"/>
    <w:rsid w:val="00B17C14"/>
    <w:rsid w:val="00B2088B"/>
    <w:rsid w:val="00B209D3"/>
    <w:rsid w:val="00B22A7A"/>
    <w:rsid w:val="00B22D56"/>
    <w:rsid w:val="00B2341E"/>
    <w:rsid w:val="00B240A7"/>
    <w:rsid w:val="00B25905"/>
    <w:rsid w:val="00B25C66"/>
    <w:rsid w:val="00B26236"/>
    <w:rsid w:val="00B273AA"/>
    <w:rsid w:val="00B275A9"/>
    <w:rsid w:val="00B27C8F"/>
    <w:rsid w:val="00B3227E"/>
    <w:rsid w:val="00B322BC"/>
    <w:rsid w:val="00B323ED"/>
    <w:rsid w:val="00B334D5"/>
    <w:rsid w:val="00B33D60"/>
    <w:rsid w:val="00B3575E"/>
    <w:rsid w:val="00B35D1F"/>
    <w:rsid w:val="00B36089"/>
    <w:rsid w:val="00B364E0"/>
    <w:rsid w:val="00B37603"/>
    <w:rsid w:val="00B379ED"/>
    <w:rsid w:val="00B37D91"/>
    <w:rsid w:val="00B37EC0"/>
    <w:rsid w:val="00B40057"/>
    <w:rsid w:val="00B4154E"/>
    <w:rsid w:val="00B415CD"/>
    <w:rsid w:val="00B41780"/>
    <w:rsid w:val="00B42EF2"/>
    <w:rsid w:val="00B438AA"/>
    <w:rsid w:val="00B44094"/>
    <w:rsid w:val="00B442F9"/>
    <w:rsid w:val="00B443F0"/>
    <w:rsid w:val="00B4531D"/>
    <w:rsid w:val="00B47887"/>
    <w:rsid w:val="00B50044"/>
    <w:rsid w:val="00B512E0"/>
    <w:rsid w:val="00B529FB"/>
    <w:rsid w:val="00B52F19"/>
    <w:rsid w:val="00B52F43"/>
    <w:rsid w:val="00B5407F"/>
    <w:rsid w:val="00B54C19"/>
    <w:rsid w:val="00B54F44"/>
    <w:rsid w:val="00B560C4"/>
    <w:rsid w:val="00B562DF"/>
    <w:rsid w:val="00B563FF"/>
    <w:rsid w:val="00B56ACB"/>
    <w:rsid w:val="00B57F38"/>
    <w:rsid w:val="00B60B88"/>
    <w:rsid w:val="00B61924"/>
    <w:rsid w:val="00B62216"/>
    <w:rsid w:val="00B636AB"/>
    <w:rsid w:val="00B64AB0"/>
    <w:rsid w:val="00B64FC3"/>
    <w:rsid w:val="00B6551F"/>
    <w:rsid w:val="00B65C06"/>
    <w:rsid w:val="00B6639D"/>
    <w:rsid w:val="00B66B51"/>
    <w:rsid w:val="00B66CB4"/>
    <w:rsid w:val="00B66E4B"/>
    <w:rsid w:val="00B67AE8"/>
    <w:rsid w:val="00B7094E"/>
    <w:rsid w:val="00B714BC"/>
    <w:rsid w:val="00B71762"/>
    <w:rsid w:val="00B71C9B"/>
    <w:rsid w:val="00B72FB9"/>
    <w:rsid w:val="00B7373C"/>
    <w:rsid w:val="00B73921"/>
    <w:rsid w:val="00B73A82"/>
    <w:rsid w:val="00B73F8C"/>
    <w:rsid w:val="00B7445D"/>
    <w:rsid w:val="00B74B3F"/>
    <w:rsid w:val="00B75E1D"/>
    <w:rsid w:val="00B75EDA"/>
    <w:rsid w:val="00B763B4"/>
    <w:rsid w:val="00B7674F"/>
    <w:rsid w:val="00B76763"/>
    <w:rsid w:val="00B76F94"/>
    <w:rsid w:val="00B77318"/>
    <w:rsid w:val="00B802F4"/>
    <w:rsid w:val="00B80A88"/>
    <w:rsid w:val="00B81227"/>
    <w:rsid w:val="00B824AB"/>
    <w:rsid w:val="00B826EF"/>
    <w:rsid w:val="00B82F1D"/>
    <w:rsid w:val="00B8354F"/>
    <w:rsid w:val="00B8360B"/>
    <w:rsid w:val="00B8371D"/>
    <w:rsid w:val="00B83A62"/>
    <w:rsid w:val="00B83D4A"/>
    <w:rsid w:val="00B8508C"/>
    <w:rsid w:val="00B8556C"/>
    <w:rsid w:val="00B856C3"/>
    <w:rsid w:val="00B86049"/>
    <w:rsid w:val="00B866CB"/>
    <w:rsid w:val="00B867EC"/>
    <w:rsid w:val="00B86956"/>
    <w:rsid w:val="00B86F1C"/>
    <w:rsid w:val="00B87E19"/>
    <w:rsid w:val="00B90434"/>
    <w:rsid w:val="00B90C8A"/>
    <w:rsid w:val="00B90DBA"/>
    <w:rsid w:val="00B918ED"/>
    <w:rsid w:val="00B91A7A"/>
    <w:rsid w:val="00B923D1"/>
    <w:rsid w:val="00B92421"/>
    <w:rsid w:val="00B9305B"/>
    <w:rsid w:val="00B93A31"/>
    <w:rsid w:val="00B952E5"/>
    <w:rsid w:val="00B95966"/>
    <w:rsid w:val="00B95DF7"/>
    <w:rsid w:val="00B977D8"/>
    <w:rsid w:val="00B97DD0"/>
    <w:rsid w:val="00BA1BC8"/>
    <w:rsid w:val="00BA1F21"/>
    <w:rsid w:val="00BA2257"/>
    <w:rsid w:val="00BA25AB"/>
    <w:rsid w:val="00BA27DE"/>
    <w:rsid w:val="00BA2933"/>
    <w:rsid w:val="00BA2A2A"/>
    <w:rsid w:val="00BA2A80"/>
    <w:rsid w:val="00BA3B3B"/>
    <w:rsid w:val="00BA3BB4"/>
    <w:rsid w:val="00BA4615"/>
    <w:rsid w:val="00BA4F87"/>
    <w:rsid w:val="00BA51E1"/>
    <w:rsid w:val="00BA5AB8"/>
    <w:rsid w:val="00BA620E"/>
    <w:rsid w:val="00BA6465"/>
    <w:rsid w:val="00BA6641"/>
    <w:rsid w:val="00BA7104"/>
    <w:rsid w:val="00BA7960"/>
    <w:rsid w:val="00BB099F"/>
    <w:rsid w:val="00BB0A06"/>
    <w:rsid w:val="00BB0D4A"/>
    <w:rsid w:val="00BB1C33"/>
    <w:rsid w:val="00BB1C72"/>
    <w:rsid w:val="00BB342B"/>
    <w:rsid w:val="00BB3D5B"/>
    <w:rsid w:val="00BB50B0"/>
    <w:rsid w:val="00BB5D1C"/>
    <w:rsid w:val="00BB5D45"/>
    <w:rsid w:val="00BB5F6F"/>
    <w:rsid w:val="00BB701D"/>
    <w:rsid w:val="00BB7118"/>
    <w:rsid w:val="00BB752A"/>
    <w:rsid w:val="00BC0890"/>
    <w:rsid w:val="00BC0DD6"/>
    <w:rsid w:val="00BC0F33"/>
    <w:rsid w:val="00BC1006"/>
    <w:rsid w:val="00BC2B51"/>
    <w:rsid w:val="00BC2FA2"/>
    <w:rsid w:val="00BC3551"/>
    <w:rsid w:val="00BC5684"/>
    <w:rsid w:val="00BC5A72"/>
    <w:rsid w:val="00BC6272"/>
    <w:rsid w:val="00BC77A0"/>
    <w:rsid w:val="00BC7A0A"/>
    <w:rsid w:val="00BD12D7"/>
    <w:rsid w:val="00BD1F99"/>
    <w:rsid w:val="00BD2C88"/>
    <w:rsid w:val="00BD334E"/>
    <w:rsid w:val="00BD3B8D"/>
    <w:rsid w:val="00BD4773"/>
    <w:rsid w:val="00BD5EAD"/>
    <w:rsid w:val="00BD6AE1"/>
    <w:rsid w:val="00BD7084"/>
    <w:rsid w:val="00BD71BD"/>
    <w:rsid w:val="00BD7AB6"/>
    <w:rsid w:val="00BD7B2A"/>
    <w:rsid w:val="00BE015B"/>
    <w:rsid w:val="00BE0CFA"/>
    <w:rsid w:val="00BE1BD1"/>
    <w:rsid w:val="00BE309A"/>
    <w:rsid w:val="00BE47DA"/>
    <w:rsid w:val="00BE49CD"/>
    <w:rsid w:val="00BE5261"/>
    <w:rsid w:val="00BE5CA0"/>
    <w:rsid w:val="00BE6C61"/>
    <w:rsid w:val="00BE6DCF"/>
    <w:rsid w:val="00BE6F9F"/>
    <w:rsid w:val="00BE771B"/>
    <w:rsid w:val="00BF046B"/>
    <w:rsid w:val="00BF059B"/>
    <w:rsid w:val="00BF06C5"/>
    <w:rsid w:val="00BF0DDF"/>
    <w:rsid w:val="00BF0EB3"/>
    <w:rsid w:val="00BF1BC4"/>
    <w:rsid w:val="00BF2171"/>
    <w:rsid w:val="00BF2E1B"/>
    <w:rsid w:val="00BF4AD7"/>
    <w:rsid w:val="00BF4AF5"/>
    <w:rsid w:val="00BF4EBD"/>
    <w:rsid w:val="00BF5E78"/>
    <w:rsid w:val="00BF66B3"/>
    <w:rsid w:val="00BF6C5B"/>
    <w:rsid w:val="00BF6E2D"/>
    <w:rsid w:val="00BF7953"/>
    <w:rsid w:val="00BF7A1F"/>
    <w:rsid w:val="00BF7FF1"/>
    <w:rsid w:val="00C006F8"/>
    <w:rsid w:val="00C009DA"/>
    <w:rsid w:val="00C009E8"/>
    <w:rsid w:val="00C00AE3"/>
    <w:rsid w:val="00C013ED"/>
    <w:rsid w:val="00C0144A"/>
    <w:rsid w:val="00C01520"/>
    <w:rsid w:val="00C0156F"/>
    <w:rsid w:val="00C0172F"/>
    <w:rsid w:val="00C019AC"/>
    <w:rsid w:val="00C02310"/>
    <w:rsid w:val="00C0362D"/>
    <w:rsid w:val="00C03733"/>
    <w:rsid w:val="00C0403B"/>
    <w:rsid w:val="00C052F9"/>
    <w:rsid w:val="00C056BB"/>
    <w:rsid w:val="00C05820"/>
    <w:rsid w:val="00C05A64"/>
    <w:rsid w:val="00C05EE6"/>
    <w:rsid w:val="00C07F4B"/>
    <w:rsid w:val="00C111DC"/>
    <w:rsid w:val="00C12030"/>
    <w:rsid w:val="00C12C22"/>
    <w:rsid w:val="00C135E0"/>
    <w:rsid w:val="00C13613"/>
    <w:rsid w:val="00C139B4"/>
    <w:rsid w:val="00C13AD1"/>
    <w:rsid w:val="00C1408C"/>
    <w:rsid w:val="00C151C0"/>
    <w:rsid w:val="00C15227"/>
    <w:rsid w:val="00C15405"/>
    <w:rsid w:val="00C16466"/>
    <w:rsid w:val="00C16A1C"/>
    <w:rsid w:val="00C1715D"/>
    <w:rsid w:val="00C200F6"/>
    <w:rsid w:val="00C204BE"/>
    <w:rsid w:val="00C2079A"/>
    <w:rsid w:val="00C212E5"/>
    <w:rsid w:val="00C213BF"/>
    <w:rsid w:val="00C215C6"/>
    <w:rsid w:val="00C216E7"/>
    <w:rsid w:val="00C221BB"/>
    <w:rsid w:val="00C2225B"/>
    <w:rsid w:val="00C2290B"/>
    <w:rsid w:val="00C230B3"/>
    <w:rsid w:val="00C239EE"/>
    <w:rsid w:val="00C23DC1"/>
    <w:rsid w:val="00C246F2"/>
    <w:rsid w:val="00C24754"/>
    <w:rsid w:val="00C25686"/>
    <w:rsid w:val="00C25BD8"/>
    <w:rsid w:val="00C26C7C"/>
    <w:rsid w:val="00C274D6"/>
    <w:rsid w:val="00C27B8E"/>
    <w:rsid w:val="00C30075"/>
    <w:rsid w:val="00C3032C"/>
    <w:rsid w:val="00C3088D"/>
    <w:rsid w:val="00C30E71"/>
    <w:rsid w:val="00C32707"/>
    <w:rsid w:val="00C334E1"/>
    <w:rsid w:val="00C335A4"/>
    <w:rsid w:val="00C33783"/>
    <w:rsid w:val="00C348C7"/>
    <w:rsid w:val="00C3531D"/>
    <w:rsid w:val="00C353B9"/>
    <w:rsid w:val="00C35498"/>
    <w:rsid w:val="00C357CA"/>
    <w:rsid w:val="00C36945"/>
    <w:rsid w:val="00C36DC3"/>
    <w:rsid w:val="00C37703"/>
    <w:rsid w:val="00C37954"/>
    <w:rsid w:val="00C41080"/>
    <w:rsid w:val="00C41225"/>
    <w:rsid w:val="00C41936"/>
    <w:rsid w:val="00C41C9E"/>
    <w:rsid w:val="00C41DA7"/>
    <w:rsid w:val="00C420B1"/>
    <w:rsid w:val="00C428CB"/>
    <w:rsid w:val="00C43844"/>
    <w:rsid w:val="00C438F5"/>
    <w:rsid w:val="00C43936"/>
    <w:rsid w:val="00C43C95"/>
    <w:rsid w:val="00C43EEA"/>
    <w:rsid w:val="00C44AF0"/>
    <w:rsid w:val="00C4580F"/>
    <w:rsid w:val="00C468E6"/>
    <w:rsid w:val="00C4753E"/>
    <w:rsid w:val="00C51F17"/>
    <w:rsid w:val="00C5206A"/>
    <w:rsid w:val="00C5229F"/>
    <w:rsid w:val="00C528DF"/>
    <w:rsid w:val="00C544B7"/>
    <w:rsid w:val="00C54813"/>
    <w:rsid w:val="00C55C57"/>
    <w:rsid w:val="00C563BE"/>
    <w:rsid w:val="00C56F78"/>
    <w:rsid w:val="00C57049"/>
    <w:rsid w:val="00C574E8"/>
    <w:rsid w:val="00C6050E"/>
    <w:rsid w:val="00C6126C"/>
    <w:rsid w:val="00C61475"/>
    <w:rsid w:val="00C61AEE"/>
    <w:rsid w:val="00C61B0A"/>
    <w:rsid w:val="00C626E8"/>
    <w:rsid w:val="00C6294F"/>
    <w:rsid w:val="00C62AB7"/>
    <w:rsid w:val="00C62C21"/>
    <w:rsid w:val="00C62CB7"/>
    <w:rsid w:val="00C63CA9"/>
    <w:rsid w:val="00C6468B"/>
    <w:rsid w:val="00C6577D"/>
    <w:rsid w:val="00C659C5"/>
    <w:rsid w:val="00C65E36"/>
    <w:rsid w:val="00C7011F"/>
    <w:rsid w:val="00C708D8"/>
    <w:rsid w:val="00C70E77"/>
    <w:rsid w:val="00C7131B"/>
    <w:rsid w:val="00C719D9"/>
    <w:rsid w:val="00C71A08"/>
    <w:rsid w:val="00C71A54"/>
    <w:rsid w:val="00C72029"/>
    <w:rsid w:val="00C7358F"/>
    <w:rsid w:val="00C73963"/>
    <w:rsid w:val="00C73C95"/>
    <w:rsid w:val="00C73E79"/>
    <w:rsid w:val="00C744C5"/>
    <w:rsid w:val="00C74638"/>
    <w:rsid w:val="00C74BEB"/>
    <w:rsid w:val="00C74CBE"/>
    <w:rsid w:val="00C74DAB"/>
    <w:rsid w:val="00C75478"/>
    <w:rsid w:val="00C75565"/>
    <w:rsid w:val="00C7603D"/>
    <w:rsid w:val="00C763B2"/>
    <w:rsid w:val="00C768EF"/>
    <w:rsid w:val="00C775F0"/>
    <w:rsid w:val="00C77647"/>
    <w:rsid w:val="00C80AEA"/>
    <w:rsid w:val="00C814A1"/>
    <w:rsid w:val="00C81D27"/>
    <w:rsid w:val="00C81E64"/>
    <w:rsid w:val="00C82092"/>
    <w:rsid w:val="00C8254E"/>
    <w:rsid w:val="00C840F6"/>
    <w:rsid w:val="00C853B9"/>
    <w:rsid w:val="00C8562B"/>
    <w:rsid w:val="00C86665"/>
    <w:rsid w:val="00C871D9"/>
    <w:rsid w:val="00C876D4"/>
    <w:rsid w:val="00C87FE5"/>
    <w:rsid w:val="00C91A66"/>
    <w:rsid w:val="00C91BED"/>
    <w:rsid w:val="00C92150"/>
    <w:rsid w:val="00C92398"/>
    <w:rsid w:val="00C92F52"/>
    <w:rsid w:val="00C93305"/>
    <w:rsid w:val="00C936F9"/>
    <w:rsid w:val="00C939BB"/>
    <w:rsid w:val="00C93A40"/>
    <w:rsid w:val="00C9460B"/>
    <w:rsid w:val="00C949CD"/>
    <w:rsid w:val="00C94BA6"/>
    <w:rsid w:val="00C95CEB"/>
    <w:rsid w:val="00C95DF4"/>
    <w:rsid w:val="00C9614C"/>
    <w:rsid w:val="00C963D3"/>
    <w:rsid w:val="00C9643D"/>
    <w:rsid w:val="00C966DC"/>
    <w:rsid w:val="00C96D7F"/>
    <w:rsid w:val="00CA0406"/>
    <w:rsid w:val="00CA081D"/>
    <w:rsid w:val="00CA0E3B"/>
    <w:rsid w:val="00CA11F1"/>
    <w:rsid w:val="00CA131C"/>
    <w:rsid w:val="00CA1536"/>
    <w:rsid w:val="00CA214F"/>
    <w:rsid w:val="00CA2717"/>
    <w:rsid w:val="00CA32BC"/>
    <w:rsid w:val="00CA36D6"/>
    <w:rsid w:val="00CA382F"/>
    <w:rsid w:val="00CA544E"/>
    <w:rsid w:val="00CA59EA"/>
    <w:rsid w:val="00CA6001"/>
    <w:rsid w:val="00CA6E47"/>
    <w:rsid w:val="00CB0120"/>
    <w:rsid w:val="00CB01D9"/>
    <w:rsid w:val="00CB0EB8"/>
    <w:rsid w:val="00CB1CFE"/>
    <w:rsid w:val="00CB2059"/>
    <w:rsid w:val="00CB234F"/>
    <w:rsid w:val="00CB3D24"/>
    <w:rsid w:val="00CB4182"/>
    <w:rsid w:val="00CB4437"/>
    <w:rsid w:val="00CB5655"/>
    <w:rsid w:val="00CB5ADB"/>
    <w:rsid w:val="00CB6FBC"/>
    <w:rsid w:val="00CB715E"/>
    <w:rsid w:val="00CB7424"/>
    <w:rsid w:val="00CC07E4"/>
    <w:rsid w:val="00CC08CD"/>
    <w:rsid w:val="00CC1576"/>
    <w:rsid w:val="00CC2047"/>
    <w:rsid w:val="00CC2561"/>
    <w:rsid w:val="00CC2563"/>
    <w:rsid w:val="00CC27E9"/>
    <w:rsid w:val="00CC374C"/>
    <w:rsid w:val="00CC3972"/>
    <w:rsid w:val="00CC45CA"/>
    <w:rsid w:val="00CC496B"/>
    <w:rsid w:val="00CC4B89"/>
    <w:rsid w:val="00CC4F08"/>
    <w:rsid w:val="00CC53CD"/>
    <w:rsid w:val="00CC53FF"/>
    <w:rsid w:val="00CC5992"/>
    <w:rsid w:val="00CC6E8B"/>
    <w:rsid w:val="00CC7013"/>
    <w:rsid w:val="00CC7137"/>
    <w:rsid w:val="00CC723D"/>
    <w:rsid w:val="00CC73AE"/>
    <w:rsid w:val="00CC73FE"/>
    <w:rsid w:val="00CC7ACF"/>
    <w:rsid w:val="00CC7CE1"/>
    <w:rsid w:val="00CD06F9"/>
    <w:rsid w:val="00CD086D"/>
    <w:rsid w:val="00CD14BA"/>
    <w:rsid w:val="00CD27B5"/>
    <w:rsid w:val="00CD29F4"/>
    <w:rsid w:val="00CD2F80"/>
    <w:rsid w:val="00CD348C"/>
    <w:rsid w:val="00CD412B"/>
    <w:rsid w:val="00CD4193"/>
    <w:rsid w:val="00CD4AAF"/>
    <w:rsid w:val="00CD5972"/>
    <w:rsid w:val="00CD5C72"/>
    <w:rsid w:val="00CD5D9E"/>
    <w:rsid w:val="00CD62D4"/>
    <w:rsid w:val="00CD68B0"/>
    <w:rsid w:val="00CD6DB1"/>
    <w:rsid w:val="00CD727E"/>
    <w:rsid w:val="00CD7A77"/>
    <w:rsid w:val="00CE03E6"/>
    <w:rsid w:val="00CE0BA4"/>
    <w:rsid w:val="00CE0CCD"/>
    <w:rsid w:val="00CE130E"/>
    <w:rsid w:val="00CE28F3"/>
    <w:rsid w:val="00CE2DCB"/>
    <w:rsid w:val="00CE2FD1"/>
    <w:rsid w:val="00CE37D4"/>
    <w:rsid w:val="00CE3885"/>
    <w:rsid w:val="00CE4378"/>
    <w:rsid w:val="00CE56E3"/>
    <w:rsid w:val="00CE5EBB"/>
    <w:rsid w:val="00CE6577"/>
    <w:rsid w:val="00CE6FBA"/>
    <w:rsid w:val="00CE7B98"/>
    <w:rsid w:val="00CE7DFC"/>
    <w:rsid w:val="00CE7F9E"/>
    <w:rsid w:val="00CF029D"/>
    <w:rsid w:val="00CF02D8"/>
    <w:rsid w:val="00CF07CE"/>
    <w:rsid w:val="00CF0BD5"/>
    <w:rsid w:val="00CF12A4"/>
    <w:rsid w:val="00CF18A5"/>
    <w:rsid w:val="00CF2EA8"/>
    <w:rsid w:val="00CF3560"/>
    <w:rsid w:val="00CF3672"/>
    <w:rsid w:val="00CF3954"/>
    <w:rsid w:val="00CF4658"/>
    <w:rsid w:val="00CF560A"/>
    <w:rsid w:val="00CF5764"/>
    <w:rsid w:val="00CF5E90"/>
    <w:rsid w:val="00CF645B"/>
    <w:rsid w:val="00CF6AC9"/>
    <w:rsid w:val="00CF739F"/>
    <w:rsid w:val="00CF7B86"/>
    <w:rsid w:val="00CF7E94"/>
    <w:rsid w:val="00D0167E"/>
    <w:rsid w:val="00D01AA6"/>
    <w:rsid w:val="00D01CB1"/>
    <w:rsid w:val="00D02563"/>
    <w:rsid w:val="00D02910"/>
    <w:rsid w:val="00D0304E"/>
    <w:rsid w:val="00D03B0B"/>
    <w:rsid w:val="00D03F3F"/>
    <w:rsid w:val="00D04D7F"/>
    <w:rsid w:val="00D05521"/>
    <w:rsid w:val="00D056F1"/>
    <w:rsid w:val="00D05B46"/>
    <w:rsid w:val="00D05BC1"/>
    <w:rsid w:val="00D06233"/>
    <w:rsid w:val="00D0653D"/>
    <w:rsid w:val="00D1012B"/>
    <w:rsid w:val="00D104EA"/>
    <w:rsid w:val="00D1271F"/>
    <w:rsid w:val="00D12F15"/>
    <w:rsid w:val="00D12F28"/>
    <w:rsid w:val="00D13F4F"/>
    <w:rsid w:val="00D14558"/>
    <w:rsid w:val="00D14B2C"/>
    <w:rsid w:val="00D15541"/>
    <w:rsid w:val="00D15AA5"/>
    <w:rsid w:val="00D15F61"/>
    <w:rsid w:val="00D168DC"/>
    <w:rsid w:val="00D1691F"/>
    <w:rsid w:val="00D17247"/>
    <w:rsid w:val="00D17506"/>
    <w:rsid w:val="00D17BB1"/>
    <w:rsid w:val="00D17D6D"/>
    <w:rsid w:val="00D20072"/>
    <w:rsid w:val="00D203F1"/>
    <w:rsid w:val="00D205A7"/>
    <w:rsid w:val="00D20CC0"/>
    <w:rsid w:val="00D211AE"/>
    <w:rsid w:val="00D21483"/>
    <w:rsid w:val="00D21B9B"/>
    <w:rsid w:val="00D21D2B"/>
    <w:rsid w:val="00D22201"/>
    <w:rsid w:val="00D22E3D"/>
    <w:rsid w:val="00D232DC"/>
    <w:rsid w:val="00D2341F"/>
    <w:rsid w:val="00D23465"/>
    <w:rsid w:val="00D2379B"/>
    <w:rsid w:val="00D23F6F"/>
    <w:rsid w:val="00D24CF5"/>
    <w:rsid w:val="00D25B01"/>
    <w:rsid w:val="00D265B7"/>
    <w:rsid w:val="00D26C51"/>
    <w:rsid w:val="00D2757C"/>
    <w:rsid w:val="00D27588"/>
    <w:rsid w:val="00D27B3E"/>
    <w:rsid w:val="00D30019"/>
    <w:rsid w:val="00D3002E"/>
    <w:rsid w:val="00D31129"/>
    <w:rsid w:val="00D319BB"/>
    <w:rsid w:val="00D32327"/>
    <w:rsid w:val="00D32D49"/>
    <w:rsid w:val="00D32F19"/>
    <w:rsid w:val="00D3420D"/>
    <w:rsid w:val="00D3487D"/>
    <w:rsid w:val="00D34DE0"/>
    <w:rsid w:val="00D34F40"/>
    <w:rsid w:val="00D34FB9"/>
    <w:rsid w:val="00D350C3"/>
    <w:rsid w:val="00D35FF7"/>
    <w:rsid w:val="00D365B3"/>
    <w:rsid w:val="00D379EC"/>
    <w:rsid w:val="00D400B4"/>
    <w:rsid w:val="00D41003"/>
    <w:rsid w:val="00D41824"/>
    <w:rsid w:val="00D42720"/>
    <w:rsid w:val="00D4296B"/>
    <w:rsid w:val="00D42E3C"/>
    <w:rsid w:val="00D43539"/>
    <w:rsid w:val="00D43FAB"/>
    <w:rsid w:val="00D4470F"/>
    <w:rsid w:val="00D44C6A"/>
    <w:rsid w:val="00D46B81"/>
    <w:rsid w:val="00D4785F"/>
    <w:rsid w:val="00D479F9"/>
    <w:rsid w:val="00D47E32"/>
    <w:rsid w:val="00D5031F"/>
    <w:rsid w:val="00D503C9"/>
    <w:rsid w:val="00D510D9"/>
    <w:rsid w:val="00D5195B"/>
    <w:rsid w:val="00D52890"/>
    <w:rsid w:val="00D53911"/>
    <w:rsid w:val="00D53BDE"/>
    <w:rsid w:val="00D541CF"/>
    <w:rsid w:val="00D55FA8"/>
    <w:rsid w:val="00D56575"/>
    <w:rsid w:val="00D572A9"/>
    <w:rsid w:val="00D573B1"/>
    <w:rsid w:val="00D577C8"/>
    <w:rsid w:val="00D57998"/>
    <w:rsid w:val="00D57BD2"/>
    <w:rsid w:val="00D6062E"/>
    <w:rsid w:val="00D60A98"/>
    <w:rsid w:val="00D615E0"/>
    <w:rsid w:val="00D615FF"/>
    <w:rsid w:val="00D61DA9"/>
    <w:rsid w:val="00D620F1"/>
    <w:rsid w:val="00D63DEC"/>
    <w:rsid w:val="00D64641"/>
    <w:rsid w:val="00D64766"/>
    <w:rsid w:val="00D649E6"/>
    <w:rsid w:val="00D6533C"/>
    <w:rsid w:val="00D655EF"/>
    <w:rsid w:val="00D65940"/>
    <w:rsid w:val="00D65FE2"/>
    <w:rsid w:val="00D660BC"/>
    <w:rsid w:val="00D66777"/>
    <w:rsid w:val="00D667BE"/>
    <w:rsid w:val="00D669B6"/>
    <w:rsid w:val="00D66B9D"/>
    <w:rsid w:val="00D66D53"/>
    <w:rsid w:val="00D67069"/>
    <w:rsid w:val="00D67317"/>
    <w:rsid w:val="00D704D9"/>
    <w:rsid w:val="00D705E8"/>
    <w:rsid w:val="00D70838"/>
    <w:rsid w:val="00D709A6"/>
    <w:rsid w:val="00D710E0"/>
    <w:rsid w:val="00D71DBF"/>
    <w:rsid w:val="00D725A6"/>
    <w:rsid w:val="00D72BBC"/>
    <w:rsid w:val="00D72CD6"/>
    <w:rsid w:val="00D72D5B"/>
    <w:rsid w:val="00D73332"/>
    <w:rsid w:val="00D753F7"/>
    <w:rsid w:val="00D760D7"/>
    <w:rsid w:val="00D7623D"/>
    <w:rsid w:val="00D763EC"/>
    <w:rsid w:val="00D76A3F"/>
    <w:rsid w:val="00D7750A"/>
    <w:rsid w:val="00D77F41"/>
    <w:rsid w:val="00D80610"/>
    <w:rsid w:val="00D80FA4"/>
    <w:rsid w:val="00D81601"/>
    <w:rsid w:val="00D831D6"/>
    <w:rsid w:val="00D8372D"/>
    <w:rsid w:val="00D83959"/>
    <w:rsid w:val="00D83BFC"/>
    <w:rsid w:val="00D84261"/>
    <w:rsid w:val="00D843DA"/>
    <w:rsid w:val="00D84841"/>
    <w:rsid w:val="00D84CA0"/>
    <w:rsid w:val="00D85898"/>
    <w:rsid w:val="00D858A3"/>
    <w:rsid w:val="00D8628F"/>
    <w:rsid w:val="00D86A8D"/>
    <w:rsid w:val="00D871C4"/>
    <w:rsid w:val="00D877F5"/>
    <w:rsid w:val="00D900CE"/>
    <w:rsid w:val="00D91C26"/>
    <w:rsid w:val="00D9207E"/>
    <w:rsid w:val="00D9273B"/>
    <w:rsid w:val="00D92AAB"/>
    <w:rsid w:val="00D93166"/>
    <w:rsid w:val="00D953E6"/>
    <w:rsid w:val="00D95A50"/>
    <w:rsid w:val="00D95D18"/>
    <w:rsid w:val="00D96445"/>
    <w:rsid w:val="00D96853"/>
    <w:rsid w:val="00D9755B"/>
    <w:rsid w:val="00DA0472"/>
    <w:rsid w:val="00DA16CB"/>
    <w:rsid w:val="00DA1782"/>
    <w:rsid w:val="00DA1B04"/>
    <w:rsid w:val="00DA288F"/>
    <w:rsid w:val="00DA2AE1"/>
    <w:rsid w:val="00DA34A6"/>
    <w:rsid w:val="00DA4242"/>
    <w:rsid w:val="00DA440E"/>
    <w:rsid w:val="00DA4547"/>
    <w:rsid w:val="00DA4B65"/>
    <w:rsid w:val="00DA5EE7"/>
    <w:rsid w:val="00DA67C3"/>
    <w:rsid w:val="00DA6F6D"/>
    <w:rsid w:val="00DA7052"/>
    <w:rsid w:val="00DB067B"/>
    <w:rsid w:val="00DB070B"/>
    <w:rsid w:val="00DB0D9E"/>
    <w:rsid w:val="00DB1610"/>
    <w:rsid w:val="00DB1ADC"/>
    <w:rsid w:val="00DB1B69"/>
    <w:rsid w:val="00DB1FBE"/>
    <w:rsid w:val="00DB1FD5"/>
    <w:rsid w:val="00DB204A"/>
    <w:rsid w:val="00DB31C8"/>
    <w:rsid w:val="00DB4A7F"/>
    <w:rsid w:val="00DB62C4"/>
    <w:rsid w:val="00DB63F3"/>
    <w:rsid w:val="00DB6878"/>
    <w:rsid w:val="00DB6DC4"/>
    <w:rsid w:val="00DB76EB"/>
    <w:rsid w:val="00DC02F3"/>
    <w:rsid w:val="00DC0CAE"/>
    <w:rsid w:val="00DC106E"/>
    <w:rsid w:val="00DC189F"/>
    <w:rsid w:val="00DC1ADE"/>
    <w:rsid w:val="00DC1CE4"/>
    <w:rsid w:val="00DC3171"/>
    <w:rsid w:val="00DC3714"/>
    <w:rsid w:val="00DC38F0"/>
    <w:rsid w:val="00DC3F16"/>
    <w:rsid w:val="00DC474C"/>
    <w:rsid w:val="00DC55D8"/>
    <w:rsid w:val="00DC62D3"/>
    <w:rsid w:val="00DC6DA7"/>
    <w:rsid w:val="00DC747E"/>
    <w:rsid w:val="00DC7A03"/>
    <w:rsid w:val="00DD0078"/>
    <w:rsid w:val="00DD03F1"/>
    <w:rsid w:val="00DD074A"/>
    <w:rsid w:val="00DD1669"/>
    <w:rsid w:val="00DD1789"/>
    <w:rsid w:val="00DD1DDA"/>
    <w:rsid w:val="00DD226E"/>
    <w:rsid w:val="00DD37F5"/>
    <w:rsid w:val="00DD3943"/>
    <w:rsid w:val="00DD3EF1"/>
    <w:rsid w:val="00DD415E"/>
    <w:rsid w:val="00DD47F4"/>
    <w:rsid w:val="00DD4969"/>
    <w:rsid w:val="00DD4A42"/>
    <w:rsid w:val="00DD5253"/>
    <w:rsid w:val="00DD5C84"/>
    <w:rsid w:val="00DD628A"/>
    <w:rsid w:val="00DD692F"/>
    <w:rsid w:val="00DD6FC8"/>
    <w:rsid w:val="00DD7424"/>
    <w:rsid w:val="00DE0F25"/>
    <w:rsid w:val="00DE0FE2"/>
    <w:rsid w:val="00DE123D"/>
    <w:rsid w:val="00DE13EA"/>
    <w:rsid w:val="00DE170D"/>
    <w:rsid w:val="00DE1A2F"/>
    <w:rsid w:val="00DE200B"/>
    <w:rsid w:val="00DE2716"/>
    <w:rsid w:val="00DE35F2"/>
    <w:rsid w:val="00DE49C6"/>
    <w:rsid w:val="00DE5606"/>
    <w:rsid w:val="00DE61C3"/>
    <w:rsid w:val="00DE6BDA"/>
    <w:rsid w:val="00DF166E"/>
    <w:rsid w:val="00DF1772"/>
    <w:rsid w:val="00DF2960"/>
    <w:rsid w:val="00DF2A6F"/>
    <w:rsid w:val="00DF49B6"/>
    <w:rsid w:val="00DF5BD0"/>
    <w:rsid w:val="00DF6634"/>
    <w:rsid w:val="00DF71DF"/>
    <w:rsid w:val="00DF74B1"/>
    <w:rsid w:val="00DF7BCF"/>
    <w:rsid w:val="00DF7EFB"/>
    <w:rsid w:val="00E003E2"/>
    <w:rsid w:val="00E008E3"/>
    <w:rsid w:val="00E01355"/>
    <w:rsid w:val="00E01847"/>
    <w:rsid w:val="00E021A6"/>
    <w:rsid w:val="00E02B50"/>
    <w:rsid w:val="00E02B7D"/>
    <w:rsid w:val="00E02BCF"/>
    <w:rsid w:val="00E03052"/>
    <w:rsid w:val="00E03609"/>
    <w:rsid w:val="00E03616"/>
    <w:rsid w:val="00E03CA1"/>
    <w:rsid w:val="00E0441C"/>
    <w:rsid w:val="00E0442F"/>
    <w:rsid w:val="00E04C72"/>
    <w:rsid w:val="00E05703"/>
    <w:rsid w:val="00E05892"/>
    <w:rsid w:val="00E0604A"/>
    <w:rsid w:val="00E06494"/>
    <w:rsid w:val="00E072E1"/>
    <w:rsid w:val="00E075E8"/>
    <w:rsid w:val="00E0798D"/>
    <w:rsid w:val="00E07CDA"/>
    <w:rsid w:val="00E07E24"/>
    <w:rsid w:val="00E107EA"/>
    <w:rsid w:val="00E10C5D"/>
    <w:rsid w:val="00E12C73"/>
    <w:rsid w:val="00E1379E"/>
    <w:rsid w:val="00E13B3F"/>
    <w:rsid w:val="00E14452"/>
    <w:rsid w:val="00E1475C"/>
    <w:rsid w:val="00E15834"/>
    <w:rsid w:val="00E159DF"/>
    <w:rsid w:val="00E17354"/>
    <w:rsid w:val="00E1772D"/>
    <w:rsid w:val="00E208D0"/>
    <w:rsid w:val="00E20E75"/>
    <w:rsid w:val="00E23910"/>
    <w:rsid w:val="00E24969"/>
    <w:rsid w:val="00E25F93"/>
    <w:rsid w:val="00E26ADC"/>
    <w:rsid w:val="00E26D2A"/>
    <w:rsid w:val="00E270A4"/>
    <w:rsid w:val="00E27532"/>
    <w:rsid w:val="00E277F1"/>
    <w:rsid w:val="00E27803"/>
    <w:rsid w:val="00E302D5"/>
    <w:rsid w:val="00E32034"/>
    <w:rsid w:val="00E3207F"/>
    <w:rsid w:val="00E32267"/>
    <w:rsid w:val="00E32840"/>
    <w:rsid w:val="00E32BA0"/>
    <w:rsid w:val="00E339EB"/>
    <w:rsid w:val="00E341E8"/>
    <w:rsid w:val="00E3423F"/>
    <w:rsid w:val="00E34713"/>
    <w:rsid w:val="00E35C05"/>
    <w:rsid w:val="00E36804"/>
    <w:rsid w:val="00E37B01"/>
    <w:rsid w:val="00E4036B"/>
    <w:rsid w:val="00E4043D"/>
    <w:rsid w:val="00E41109"/>
    <w:rsid w:val="00E41175"/>
    <w:rsid w:val="00E411E6"/>
    <w:rsid w:val="00E41FB7"/>
    <w:rsid w:val="00E42DEF"/>
    <w:rsid w:val="00E43269"/>
    <w:rsid w:val="00E432F7"/>
    <w:rsid w:val="00E438CD"/>
    <w:rsid w:val="00E4396B"/>
    <w:rsid w:val="00E45750"/>
    <w:rsid w:val="00E46B9F"/>
    <w:rsid w:val="00E46C79"/>
    <w:rsid w:val="00E46F29"/>
    <w:rsid w:val="00E47BDF"/>
    <w:rsid w:val="00E50A2C"/>
    <w:rsid w:val="00E51205"/>
    <w:rsid w:val="00E5162B"/>
    <w:rsid w:val="00E51A8A"/>
    <w:rsid w:val="00E52515"/>
    <w:rsid w:val="00E53831"/>
    <w:rsid w:val="00E53B4E"/>
    <w:rsid w:val="00E53CA5"/>
    <w:rsid w:val="00E53DB7"/>
    <w:rsid w:val="00E54234"/>
    <w:rsid w:val="00E54663"/>
    <w:rsid w:val="00E54744"/>
    <w:rsid w:val="00E54B95"/>
    <w:rsid w:val="00E561BF"/>
    <w:rsid w:val="00E56693"/>
    <w:rsid w:val="00E56EFF"/>
    <w:rsid w:val="00E5729C"/>
    <w:rsid w:val="00E57F71"/>
    <w:rsid w:val="00E60B57"/>
    <w:rsid w:val="00E612B2"/>
    <w:rsid w:val="00E61686"/>
    <w:rsid w:val="00E61FBF"/>
    <w:rsid w:val="00E6251F"/>
    <w:rsid w:val="00E63361"/>
    <w:rsid w:val="00E63D94"/>
    <w:rsid w:val="00E63DCE"/>
    <w:rsid w:val="00E63EA7"/>
    <w:rsid w:val="00E64BF8"/>
    <w:rsid w:val="00E656F6"/>
    <w:rsid w:val="00E65B32"/>
    <w:rsid w:val="00E65D10"/>
    <w:rsid w:val="00E665E8"/>
    <w:rsid w:val="00E672F1"/>
    <w:rsid w:val="00E67692"/>
    <w:rsid w:val="00E67EAA"/>
    <w:rsid w:val="00E70625"/>
    <w:rsid w:val="00E72032"/>
    <w:rsid w:val="00E73BF2"/>
    <w:rsid w:val="00E7453D"/>
    <w:rsid w:val="00E74796"/>
    <w:rsid w:val="00E749DA"/>
    <w:rsid w:val="00E75139"/>
    <w:rsid w:val="00E754CA"/>
    <w:rsid w:val="00E76395"/>
    <w:rsid w:val="00E7665E"/>
    <w:rsid w:val="00E76BC3"/>
    <w:rsid w:val="00E77056"/>
    <w:rsid w:val="00E772A7"/>
    <w:rsid w:val="00E77458"/>
    <w:rsid w:val="00E775B7"/>
    <w:rsid w:val="00E808FC"/>
    <w:rsid w:val="00E8137C"/>
    <w:rsid w:val="00E81AE3"/>
    <w:rsid w:val="00E83B38"/>
    <w:rsid w:val="00E84844"/>
    <w:rsid w:val="00E84D3D"/>
    <w:rsid w:val="00E85ADB"/>
    <w:rsid w:val="00E85D48"/>
    <w:rsid w:val="00E864FF"/>
    <w:rsid w:val="00E86CA0"/>
    <w:rsid w:val="00E87C3A"/>
    <w:rsid w:val="00E87FC1"/>
    <w:rsid w:val="00E915BF"/>
    <w:rsid w:val="00E9341A"/>
    <w:rsid w:val="00E9493D"/>
    <w:rsid w:val="00E94CBE"/>
    <w:rsid w:val="00E94FCA"/>
    <w:rsid w:val="00E9518B"/>
    <w:rsid w:val="00E953D3"/>
    <w:rsid w:val="00E95626"/>
    <w:rsid w:val="00E9610B"/>
    <w:rsid w:val="00E96240"/>
    <w:rsid w:val="00E96249"/>
    <w:rsid w:val="00E9635A"/>
    <w:rsid w:val="00E9673B"/>
    <w:rsid w:val="00E96A77"/>
    <w:rsid w:val="00E96E82"/>
    <w:rsid w:val="00E9710C"/>
    <w:rsid w:val="00E97517"/>
    <w:rsid w:val="00E9769D"/>
    <w:rsid w:val="00E977C9"/>
    <w:rsid w:val="00E97EC8"/>
    <w:rsid w:val="00EA099D"/>
    <w:rsid w:val="00EA1610"/>
    <w:rsid w:val="00EA24D1"/>
    <w:rsid w:val="00EA24E4"/>
    <w:rsid w:val="00EA32C3"/>
    <w:rsid w:val="00EA36F4"/>
    <w:rsid w:val="00EA3846"/>
    <w:rsid w:val="00EA3BF0"/>
    <w:rsid w:val="00EA4862"/>
    <w:rsid w:val="00EA4B66"/>
    <w:rsid w:val="00EA588F"/>
    <w:rsid w:val="00EA675D"/>
    <w:rsid w:val="00EA6966"/>
    <w:rsid w:val="00EA6CBC"/>
    <w:rsid w:val="00EA71C7"/>
    <w:rsid w:val="00EA781A"/>
    <w:rsid w:val="00EA7ACA"/>
    <w:rsid w:val="00EA7C11"/>
    <w:rsid w:val="00EB050D"/>
    <w:rsid w:val="00EB0517"/>
    <w:rsid w:val="00EB0BEF"/>
    <w:rsid w:val="00EB2637"/>
    <w:rsid w:val="00EB2FE9"/>
    <w:rsid w:val="00EB42E4"/>
    <w:rsid w:val="00EB43BA"/>
    <w:rsid w:val="00EB459F"/>
    <w:rsid w:val="00EB46C6"/>
    <w:rsid w:val="00EB4808"/>
    <w:rsid w:val="00EB5007"/>
    <w:rsid w:val="00EB6060"/>
    <w:rsid w:val="00EB61A2"/>
    <w:rsid w:val="00EB6619"/>
    <w:rsid w:val="00EB7244"/>
    <w:rsid w:val="00EB74E7"/>
    <w:rsid w:val="00EB76C0"/>
    <w:rsid w:val="00EB76DE"/>
    <w:rsid w:val="00EB7C8F"/>
    <w:rsid w:val="00EC115C"/>
    <w:rsid w:val="00EC11AB"/>
    <w:rsid w:val="00EC1200"/>
    <w:rsid w:val="00EC352C"/>
    <w:rsid w:val="00EC3907"/>
    <w:rsid w:val="00EC4270"/>
    <w:rsid w:val="00EC4731"/>
    <w:rsid w:val="00EC4D6A"/>
    <w:rsid w:val="00EC5DC6"/>
    <w:rsid w:val="00EC5F62"/>
    <w:rsid w:val="00EC675E"/>
    <w:rsid w:val="00ED0CA1"/>
    <w:rsid w:val="00ED1849"/>
    <w:rsid w:val="00ED19DD"/>
    <w:rsid w:val="00ED24EC"/>
    <w:rsid w:val="00ED2B90"/>
    <w:rsid w:val="00ED3730"/>
    <w:rsid w:val="00ED388D"/>
    <w:rsid w:val="00ED4453"/>
    <w:rsid w:val="00ED47A0"/>
    <w:rsid w:val="00ED4941"/>
    <w:rsid w:val="00ED4B12"/>
    <w:rsid w:val="00ED4CB5"/>
    <w:rsid w:val="00ED4E9E"/>
    <w:rsid w:val="00ED519C"/>
    <w:rsid w:val="00ED68AC"/>
    <w:rsid w:val="00EE1218"/>
    <w:rsid w:val="00EE2396"/>
    <w:rsid w:val="00EE2531"/>
    <w:rsid w:val="00EE2C4B"/>
    <w:rsid w:val="00EE2FAC"/>
    <w:rsid w:val="00EE3066"/>
    <w:rsid w:val="00EE34B5"/>
    <w:rsid w:val="00EE37D4"/>
    <w:rsid w:val="00EE5039"/>
    <w:rsid w:val="00EE60A6"/>
    <w:rsid w:val="00EE6573"/>
    <w:rsid w:val="00EE6581"/>
    <w:rsid w:val="00EE6D86"/>
    <w:rsid w:val="00EE6F0F"/>
    <w:rsid w:val="00EE7380"/>
    <w:rsid w:val="00EE746A"/>
    <w:rsid w:val="00EE765D"/>
    <w:rsid w:val="00EE7C00"/>
    <w:rsid w:val="00EF181A"/>
    <w:rsid w:val="00EF1E02"/>
    <w:rsid w:val="00EF25F1"/>
    <w:rsid w:val="00EF27BF"/>
    <w:rsid w:val="00EF2C68"/>
    <w:rsid w:val="00EF4237"/>
    <w:rsid w:val="00EF4385"/>
    <w:rsid w:val="00EF6FF0"/>
    <w:rsid w:val="00EF73B7"/>
    <w:rsid w:val="00EF75F4"/>
    <w:rsid w:val="00EF7E8D"/>
    <w:rsid w:val="00F00941"/>
    <w:rsid w:val="00F017BE"/>
    <w:rsid w:val="00F034B8"/>
    <w:rsid w:val="00F03B30"/>
    <w:rsid w:val="00F0514C"/>
    <w:rsid w:val="00F06755"/>
    <w:rsid w:val="00F0754C"/>
    <w:rsid w:val="00F105A9"/>
    <w:rsid w:val="00F10CC3"/>
    <w:rsid w:val="00F11D9E"/>
    <w:rsid w:val="00F1341D"/>
    <w:rsid w:val="00F13723"/>
    <w:rsid w:val="00F13E9D"/>
    <w:rsid w:val="00F17093"/>
    <w:rsid w:val="00F170E8"/>
    <w:rsid w:val="00F17224"/>
    <w:rsid w:val="00F177A9"/>
    <w:rsid w:val="00F17968"/>
    <w:rsid w:val="00F206E6"/>
    <w:rsid w:val="00F20A1E"/>
    <w:rsid w:val="00F20ABF"/>
    <w:rsid w:val="00F210E3"/>
    <w:rsid w:val="00F2116C"/>
    <w:rsid w:val="00F21275"/>
    <w:rsid w:val="00F212CE"/>
    <w:rsid w:val="00F213EC"/>
    <w:rsid w:val="00F21AD4"/>
    <w:rsid w:val="00F22B71"/>
    <w:rsid w:val="00F23793"/>
    <w:rsid w:val="00F242E4"/>
    <w:rsid w:val="00F24499"/>
    <w:rsid w:val="00F24F78"/>
    <w:rsid w:val="00F2563F"/>
    <w:rsid w:val="00F2621D"/>
    <w:rsid w:val="00F2673C"/>
    <w:rsid w:val="00F3013D"/>
    <w:rsid w:val="00F3130C"/>
    <w:rsid w:val="00F32FE2"/>
    <w:rsid w:val="00F337CA"/>
    <w:rsid w:val="00F33CCE"/>
    <w:rsid w:val="00F34AE6"/>
    <w:rsid w:val="00F35E35"/>
    <w:rsid w:val="00F360AD"/>
    <w:rsid w:val="00F36C1C"/>
    <w:rsid w:val="00F3725B"/>
    <w:rsid w:val="00F378EF"/>
    <w:rsid w:val="00F401B5"/>
    <w:rsid w:val="00F403E6"/>
    <w:rsid w:val="00F41105"/>
    <w:rsid w:val="00F4140F"/>
    <w:rsid w:val="00F414ED"/>
    <w:rsid w:val="00F4182D"/>
    <w:rsid w:val="00F4262B"/>
    <w:rsid w:val="00F42BB8"/>
    <w:rsid w:val="00F43277"/>
    <w:rsid w:val="00F43A9E"/>
    <w:rsid w:val="00F447BF"/>
    <w:rsid w:val="00F449CB"/>
    <w:rsid w:val="00F44C0C"/>
    <w:rsid w:val="00F45AF2"/>
    <w:rsid w:val="00F45BC2"/>
    <w:rsid w:val="00F46383"/>
    <w:rsid w:val="00F465C8"/>
    <w:rsid w:val="00F46AC5"/>
    <w:rsid w:val="00F47C33"/>
    <w:rsid w:val="00F502DE"/>
    <w:rsid w:val="00F5094A"/>
    <w:rsid w:val="00F50B09"/>
    <w:rsid w:val="00F50B43"/>
    <w:rsid w:val="00F50F91"/>
    <w:rsid w:val="00F51B88"/>
    <w:rsid w:val="00F51FAE"/>
    <w:rsid w:val="00F53B44"/>
    <w:rsid w:val="00F54042"/>
    <w:rsid w:val="00F5409C"/>
    <w:rsid w:val="00F54E43"/>
    <w:rsid w:val="00F54F3A"/>
    <w:rsid w:val="00F5595C"/>
    <w:rsid w:val="00F55ED7"/>
    <w:rsid w:val="00F60246"/>
    <w:rsid w:val="00F61E32"/>
    <w:rsid w:val="00F61F96"/>
    <w:rsid w:val="00F6217E"/>
    <w:rsid w:val="00F62A82"/>
    <w:rsid w:val="00F62BDA"/>
    <w:rsid w:val="00F63947"/>
    <w:rsid w:val="00F64029"/>
    <w:rsid w:val="00F656BB"/>
    <w:rsid w:val="00F667BF"/>
    <w:rsid w:val="00F66E06"/>
    <w:rsid w:val="00F673A3"/>
    <w:rsid w:val="00F67A62"/>
    <w:rsid w:val="00F67FD8"/>
    <w:rsid w:val="00F70347"/>
    <w:rsid w:val="00F70913"/>
    <w:rsid w:val="00F70C50"/>
    <w:rsid w:val="00F7277B"/>
    <w:rsid w:val="00F746A4"/>
    <w:rsid w:val="00F748F0"/>
    <w:rsid w:val="00F752E5"/>
    <w:rsid w:val="00F7666A"/>
    <w:rsid w:val="00F77285"/>
    <w:rsid w:val="00F77942"/>
    <w:rsid w:val="00F77B09"/>
    <w:rsid w:val="00F77C87"/>
    <w:rsid w:val="00F77FE8"/>
    <w:rsid w:val="00F8094B"/>
    <w:rsid w:val="00F81773"/>
    <w:rsid w:val="00F818A7"/>
    <w:rsid w:val="00F8233F"/>
    <w:rsid w:val="00F826C7"/>
    <w:rsid w:val="00F82E28"/>
    <w:rsid w:val="00F82FD9"/>
    <w:rsid w:val="00F83274"/>
    <w:rsid w:val="00F83337"/>
    <w:rsid w:val="00F83CB7"/>
    <w:rsid w:val="00F84255"/>
    <w:rsid w:val="00F846D6"/>
    <w:rsid w:val="00F84990"/>
    <w:rsid w:val="00F8613D"/>
    <w:rsid w:val="00F87A67"/>
    <w:rsid w:val="00F90080"/>
    <w:rsid w:val="00F904D7"/>
    <w:rsid w:val="00F90ADA"/>
    <w:rsid w:val="00F90CC4"/>
    <w:rsid w:val="00F91007"/>
    <w:rsid w:val="00F92A2F"/>
    <w:rsid w:val="00F92A8B"/>
    <w:rsid w:val="00F92E65"/>
    <w:rsid w:val="00F932A0"/>
    <w:rsid w:val="00F937A2"/>
    <w:rsid w:val="00F93A58"/>
    <w:rsid w:val="00F93B26"/>
    <w:rsid w:val="00F93F39"/>
    <w:rsid w:val="00F943F8"/>
    <w:rsid w:val="00F9496B"/>
    <w:rsid w:val="00F94F91"/>
    <w:rsid w:val="00F951BD"/>
    <w:rsid w:val="00F958C0"/>
    <w:rsid w:val="00F959DC"/>
    <w:rsid w:val="00F95C09"/>
    <w:rsid w:val="00F9622D"/>
    <w:rsid w:val="00F97436"/>
    <w:rsid w:val="00F97DE6"/>
    <w:rsid w:val="00FA098F"/>
    <w:rsid w:val="00FA0B3E"/>
    <w:rsid w:val="00FA0D2A"/>
    <w:rsid w:val="00FA11AF"/>
    <w:rsid w:val="00FA1811"/>
    <w:rsid w:val="00FA29EA"/>
    <w:rsid w:val="00FA2E3E"/>
    <w:rsid w:val="00FA3406"/>
    <w:rsid w:val="00FA3887"/>
    <w:rsid w:val="00FA38DC"/>
    <w:rsid w:val="00FA3F82"/>
    <w:rsid w:val="00FA54BB"/>
    <w:rsid w:val="00FA64AF"/>
    <w:rsid w:val="00FA6542"/>
    <w:rsid w:val="00FA67D6"/>
    <w:rsid w:val="00FA69A1"/>
    <w:rsid w:val="00FB0039"/>
    <w:rsid w:val="00FB0E59"/>
    <w:rsid w:val="00FB100F"/>
    <w:rsid w:val="00FB10BF"/>
    <w:rsid w:val="00FB112E"/>
    <w:rsid w:val="00FB2BE0"/>
    <w:rsid w:val="00FB2F21"/>
    <w:rsid w:val="00FB3099"/>
    <w:rsid w:val="00FB3D09"/>
    <w:rsid w:val="00FB4A3E"/>
    <w:rsid w:val="00FB4B95"/>
    <w:rsid w:val="00FB567A"/>
    <w:rsid w:val="00FB59AE"/>
    <w:rsid w:val="00FB5E8A"/>
    <w:rsid w:val="00FB768E"/>
    <w:rsid w:val="00FB78E0"/>
    <w:rsid w:val="00FB7ABD"/>
    <w:rsid w:val="00FB7C05"/>
    <w:rsid w:val="00FC00F7"/>
    <w:rsid w:val="00FC065C"/>
    <w:rsid w:val="00FC09D7"/>
    <w:rsid w:val="00FC16E3"/>
    <w:rsid w:val="00FC2287"/>
    <w:rsid w:val="00FC269D"/>
    <w:rsid w:val="00FC2767"/>
    <w:rsid w:val="00FC2C30"/>
    <w:rsid w:val="00FC2EC1"/>
    <w:rsid w:val="00FC3495"/>
    <w:rsid w:val="00FC3E9B"/>
    <w:rsid w:val="00FC41B5"/>
    <w:rsid w:val="00FC4466"/>
    <w:rsid w:val="00FC472D"/>
    <w:rsid w:val="00FC478D"/>
    <w:rsid w:val="00FC661F"/>
    <w:rsid w:val="00FC702D"/>
    <w:rsid w:val="00FC71B2"/>
    <w:rsid w:val="00FC7D05"/>
    <w:rsid w:val="00FD03DE"/>
    <w:rsid w:val="00FD09DE"/>
    <w:rsid w:val="00FD18C4"/>
    <w:rsid w:val="00FD1C12"/>
    <w:rsid w:val="00FD1E04"/>
    <w:rsid w:val="00FD1F80"/>
    <w:rsid w:val="00FD2CB4"/>
    <w:rsid w:val="00FD2E91"/>
    <w:rsid w:val="00FD3ECD"/>
    <w:rsid w:val="00FD48A1"/>
    <w:rsid w:val="00FD4BB8"/>
    <w:rsid w:val="00FD54E4"/>
    <w:rsid w:val="00FD5568"/>
    <w:rsid w:val="00FD6EFA"/>
    <w:rsid w:val="00FD7AF0"/>
    <w:rsid w:val="00FD7BF2"/>
    <w:rsid w:val="00FD7EE2"/>
    <w:rsid w:val="00FE0253"/>
    <w:rsid w:val="00FE044D"/>
    <w:rsid w:val="00FE0856"/>
    <w:rsid w:val="00FE0BC8"/>
    <w:rsid w:val="00FE10D8"/>
    <w:rsid w:val="00FE17B8"/>
    <w:rsid w:val="00FE1859"/>
    <w:rsid w:val="00FE1FB6"/>
    <w:rsid w:val="00FE2208"/>
    <w:rsid w:val="00FE2CA7"/>
    <w:rsid w:val="00FE3136"/>
    <w:rsid w:val="00FE359E"/>
    <w:rsid w:val="00FE520D"/>
    <w:rsid w:val="00FE5834"/>
    <w:rsid w:val="00FE5A82"/>
    <w:rsid w:val="00FE5FE7"/>
    <w:rsid w:val="00FE6818"/>
    <w:rsid w:val="00FF0FD4"/>
    <w:rsid w:val="00FF1091"/>
    <w:rsid w:val="00FF1098"/>
    <w:rsid w:val="00FF248F"/>
    <w:rsid w:val="00FF38BF"/>
    <w:rsid w:val="00FF4C09"/>
    <w:rsid w:val="00FF5576"/>
    <w:rsid w:val="00FF56D8"/>
    <w:rsid w:val="0BD3DF6B"/>
    <w:rsid w:val="0E69EEEA"/>
    <w:rsid w:val="0EECC886"/>
    <w:rsid w:val="1255ECD5"/>
    <w:rsid w:val="135AE40B"/>
    <w:rsid w:val="16023023"/>
    <w:rsid w:val="1A1E3955"/>
    <w:rsid w:val="26CF32C4"/>
    <w:rsid w:val="2A3C2CD7"/>
    <w:rsid w:val="2D099D82"/>
    <w:rsid w:val="30989F24"/>
    <w:rsid w:val="32312B44"/>
    <w:rsid w:val="374D550A"/>
    <w:rsid w:val="3A07D017"/>
    <w:rsid w:val="3BD0B70C"/>
    <w:rsid w:val="44A8F64B"/>
    <w:rsid w:val="44B1532C"/>
    <w:rsid w:val="4A9D21DB"/>
    <w:rsid w:val="53D9ABBD"/>
    <w:rsid w:val="57E81C9E"/>
    <w:rsid w:val="5AEC744A"/>
    <w:rsid w:val="5D432238"/>
    <w:rsid w:val="5D8DC9E4"/>
    <w:rsid w:val="600ABC83"/>
    <w:rsid w:val="7E4BC41A"/>
    <w:rsid w:val="7E82ED1C"/>
    <w:rsid w:val="7ECCD0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FC7F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2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50DF"/>
    <w:pPr>
      <w:ind w:left="720"/>
      <w:contextualSpacing/>
    </w:pPr>
  </w:style>
  <w:style w:type="character" w:styleId="Hyperlink">
    <w:name w:val="Hyperlink"/>
    <w:uiPriority w:val="99"/>
    <w:rsid w:val="00DC38F0"/>
    <w:rPr>
      <w:rFonts w:cs="Times New Roman"/>
      <w:color w:val="0563C1"/>
      <w:u w:val="single"/>
    </w:rPr>
  </w:style>
  <w:style w:type="paragraph" w:styleId="Header">
    <w:name w:val="header"/>
    <w:basedOn w:val="Normal"/>
    <w:link w:val="HeaderChar"/>
    <w:uiPriority w:val="99"/>
    <w:rsid w:val="00C009E8"/>
    <w:pPr>
      <w:tabs>
        <w:tab w:val="center" w:pos="4819"/>
        <w:tab w:val="right" w:pos="9638"/>
      </w:tabs>
      <w:spacing w:after="0" w:line="240" w:lineRule="auto"/>
    </w:pPr>
  </w:style>
  <w:style w:type="character" w:customStyle="1" w:styleId="HeaderChar">
    <w:name w:val="Header Char"/>
    <w:link w:val="Header"/>
    <w:uiPriority w:val="99"/>
    <w:locked/>
    <w:rsid w:val="00C009E8"/>
    <w:rPr>
      <w:rFonts w:cs="Times New Roman"/>
    </w:rPr>
  </w:style>
  <w:style w:type="paragraph" w:styleId="Footer">
    <w:name w:val="footer"/>
    <w:basedOn w:val="Normal"/>
    <w:link w:val="FooterChar"/>
    <w:uiPriority w:val="99"/>
    <w:rsid w:val="00C009E8"/>
    <w:pPr>
      <w:tabs>
        <w:tab w:val="center" w:pos="4819"/>
        <w:tab w:val="right" w:pos="9638"/>
      </w:tabs>
      <w:spacing w:after="0" w:line="240" w:lineRule="auto"/>
    </w:pPr>
  </w:style>
  <w:style w:type="character" w:customStyle="1" w:styleId="FooterChar">
    <w:name w:val="Footer Char"/>
    <w:link w:val="Footer"/>
    <w:uiPriority w:val="99"/>
    <w:locked/>
    <w:rsid w:val="00C009E8"/>
    <w:rPr>
      <w:rFonts w:cs="Times New Roman"/>
    </w:rPr>
  </w:style>
  <w:style w:type="table" w:styleId="TableGrid">
    <w:name w:val="Table Grid"/>
    <w:basedOn w:val="TableNormal"/>
    <w:uiPriority w:val="59"/>
    <w:locked/>
    <w:rsid w:val="003551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1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152"/>
    <w:rPr>
      <w:rFonts w:ascii="Lucida Grande" w:hAnsi="Lucida Grande" w:cs="Lucida Grande"/>
      <w:sz w:val="18"/>
      <w:szCs w:val="18"/>
      <w:lang w:eastAsia="en-US"/>
    </w:rPr>
  </w:style>
  <w:style w:type="character" w:styleId="PageNumber">
    <w:name w:val="page number"/>
    <w:basedOn w:val="DefaultParagraphFont"/>
    <w:uiPriority w:val="99"/>
    <w:semiHidden/>
    <w:unhideWhenUsed/>
    <w:rsid w:val="003247F8"/>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lang w:eastAsia="en-US"/>
    </w:rPr>
  </w:style>
  <w:style w:type="character" w:styleId="CommentReference">
    <w:name w:val="annotation reference"/>
    <w:basedOn w:val="DefaultParagraphFont"/>
    <w:uiPriority w:val="99"/>
    <w:semiHidden/>
    <w:unhideWhenUsed/>
    <w:rPr>
      <w:sz w:val="18"/>
      <w:szCs w:val="18"/>
    </w:rPr>
  </w:style>
  <w:style w:type="character" w:customStyle="1" w:styleId="shorttext">
    <w:name w:val="short_text"/>
    <w:basedOn w:val="DefaultParagraphFont"/>
    <w:rsid w:val="00607F8C"/>
  </w:style>
  <w:style w:type="character" w:customStyle="1" w:styleId="hps">
    <w:name w:val="hps"/>
    <w:basedOn w:val="DefaultParagraphFont"/>
    <w:rsid w:val="00607F8C"/>
  </w:style>
  <w:style w:type="paragraph" w:styleId="Revision">
    <w:name w:val="Revision"/>
    <w:hidden/>
    <w:uiPriority w:val="99"/>
    <w:semiHidden/>
    <w:rsid w:val="00FC09D7"/>
    <w:rPr>
      <w:sz w:val="22"/>
      <w:szCs w:val="22"/>
      <w:lang w:eastAsia="en-US"/>
    </w:rPr>
  </w:style>
  <w:style w:type="paragraph" w:styleId="CommentSubject">
    <w:name w:val="annotation subject"/>
    <w:basedOn w:val="CommentText"/>
    <w:next w:val="CommentText"/>
    <w:link w:val="CommentSubjectChar"/>
    <w:uiPriority w:val="99"/>
    <w:semiHidden/>
    <w:unhideWhenUsed/>
    <w:rsid w:val="00CD5972"/>
    <w:rPr>
      <w:b/>
      <w:bCs/>
      <w:sz w:val="20"/>
      <w:szCs w:val="20"/>
    </w:rPr>
  </w:style>
  <w:style w:type="character" w:customStyle="1" w:styleId="CommentSubjectChar">
    <w:name w:val="Comment Subject Char"/>
    <w:basedOn w:val="CommentTextChar"/>
    <w:link w:val="CommentSubject"/>
    <w:uiPriority w:val="99"/>
    <w:semiHidden/>
    <w:rsid w:val="00CD5972"/>
    <w:rPr>
      <w:b/>
      <w:bCs/>
      <w:sz w:val="24"/>
      <w:szCs w:val="24"/>
      <w:lang w:eastAsia="en-US"/>
    </w:rPr>
  </w:style>
  <w:style w:type="character" w:customStyle="1" w:styleId="apple-converted-space">
    <w:name w:val="apple-converted-space"/>
    <w:basedOn w:val="DefaultParagraphFont"/>
    <w:rsid w:val="006B448B"/>
  </w:style>
  <w:style w:type="paragraph" w:styleId="FootnoteText">
    <w:name w:val="footnote text"/>
    <w:basedOn w:val="Normal"/>
    <w:link w:val="FootnoteTextChar"/>
    <w:uiPriority w:val="99"/>
    <w:unhideWhenUsed/>
    <w:rsid w:val="00BD334E"/>
    <w:pPr>
      <w:spacing w:after="0" w:line="240" w:lineRule="auto"/>
    </w:pPr>
    <w:rPr>
      <w:sz w:val="24"/>
      <w:szCs w:val="24"/>
    </w:rPr>
  </w:style>
  <w:style w:type="character" w:customStyle="1" w:styleId="FootnoteTextChar">
    <w:name w:val="Footnote Text Char"/>
    <w:basedOn w:val="DefaultParagraphFont"/>
    <w:link w:val="FootnoteText"/>
    <w:uiPriority w:val="99"/>
    <w:rsid w:val="00BD334E"/>
    <w:rPr>
      <w:sz w:val="24"/>
      <w:szCs w:val="24"/>
      <w:lang w:eastAsia="en-US"/>
    </w:rPr>
  </w:style>
  <w:style w:type="character" w:styleId="FootnoteReference">
    <w:name w:val="footnote reference"/>
    <w:basedOn w:val="DefaultParagraphFont"/>
    <w:uiPriority w:val="99"/>
    <w:unhideWhenUsed/>
    <w:rsid w:val="00BD334E"/>
    <w:rPr>
      <w:vertAlign w:val="superscript"/>
    </w:rPr>
  </w:style>
  <w:style w:type="character" w:styleId="Strong">
    <w:name w:val="Strong"/>
    <w:basedOn w:val="DefaultParagraphFont"/>
    <w:qFormat/>
    <w:locked/>
    <w:rsid w:val="00CC08CD"/>
    <w:rPr>
      <w:b/>
      <w:bCs/>
    </w:rPr>
  </w:style>
  <w:style w:type="character" w:styleId="FollowedHyperlink">
    <w:name w:val="FollowedHyperlink"/>
    <w:basedOn w:val="DefaultParagraphFont"/>
    <w:uiPriority w:val="99"/>
    <w:semiHidden/>
    <w:unhideWhenUsed/>
    <w:rsid w:val="00641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213">
      <w:bodyDiv w:val="1"/>
      <w:marLeft w:val="0"/>
      <w:marRight w:val="0"/>
      <w:marTop w:val="0"/>
      <w:marBottom w:val="0"/>
      <w:divBdr>
        <w:top w:val="none" w:sz="0" w:space="0" w:color="auto"/>
        <w:left w:val="none" w:sz="0" w:space="0" w:color="auto"/>
        <w:bottom w:val="none" w:sz="0" w:space="0" w:color="auto"/>
        <w:right w:val="none" w:sz="0" w:space="0" w:color="auto"/>
      </w:divBdr>
    </w:div>
    <w:div w:id="45568932">
      <w:bodyDiv w:val="1"/>
      <w:marLeft w:val="0"/>
      <w:marRight w:val="0"/>
      <w:marTop w:val="0"/>
      <w:marBottom w:val="0"/>
      <w:divBdr>
        <w:top w:val="none" w:sz="0" w:space="0" w:color="auto"/>
        <w:left w:val="none" w:sz="0" w:space="0" w:color="auto"/>
        <w:bottom w:val="none" w:sz="0" w:space="0" w:color="auto"/>
        <w:right w:val="none" w:sz="0" w:space="0" w:color="auto"/>
      </w:divBdr>
    </w:div>
    <w:div w:id="49698451">
      <w:bodyDiv w:val="1"/>
      <w:marLeft w:val="0"/>
      <w:marRight w:val="0"/>
      <w:marTop w:val="0"/>
      <w:marBottom w:val="0"/>
      <w:divBdr>
        <w:top w:val="none" w:sz="0" w:space="0" w:color="auto"/>
        <w:left w:val="none" w:sz="0" w:space="0" w:color="auto"/>
        <w:bottom w:val="none" w:sz="0" w:space="0" w:color="auto"/>
        <w:right w:val="none" w:sz="0" w:space="0" w:color="auto"/>
      </w:divBdr>
    </w:div>
    <w:div w:id="68963622">
      <w:bodyDiv w:val="1"/>
      <w:marLeft w:val="0"/>
      <w:marRight w:val="0"/>
      <w:marTop w:val="0"/>
      <w:marBottom w:val="0"/>
      <w:divBdr>
        <w:top w:val="none" w:sz="0" w:space="0" w:color="auto"/>
        <w:left w:val="none" w:sz="0" w:space="0" w:color="auto"/>
        <w:bottom w:val="none" w:sz="0" w:space="0" w:color="auto"/>
        <w:right w:val="none" w:sz="0" w:space="0" w:color="auto"/>
      </w:divBdr>
    </w:div>
    <w:div w:id="85152164">
      <w:bodyDiv w:val="1"/>
      <w:marLeft w:val="0"/>
      <w:marRight w:val="0"/>
      <w:marTop w:val="0"/>
      <w:marBottom w:val="0"/>
      <w:divBdr>
        <w:top w:val="none" w:sz="0" w:space="0" w:color="auto"/>
        <w:left w:val="none" w:sz="0" w:space="0" w:color="auto"/>
        <w:bottom w:val="none" w:sz="0" w:space="0" w:color="auto"/>
        <w:right w:val="none" w:sz="0" w:space="0" w:color="auto"/>
      </w:divBdr>
    </w:div>
    <w:div w:id="96995047">
      <w:bodyDiv w:val="1"/>
      <w:marLeft w:val="0"/>
      <w:marRight w:val="0"/>
      <w:marTop w:val="0"/>
      <w:marBottom w:val="0"/>
      <w:divBdr>
        <w:top w:val="none" w:sz="0" w:space="0" w:color="auto"/>
        <w:left w:val="none" w:sz="0" w:space="0" w:color="auto"/>
        <w:bottom w:val="none" w:sz="0" w:space="0" w:color="auto"/>
        <w:right w:val="none" w:sz="0" w:space="0" w:color="auto"/>
      </w:divBdr>
    </w:div>
    <w:div w:id="131678963">
      <w:bodyDiv w:val="1"/>
      <w:marLeft w:val="0"/>
      <w:marRight w:val="0"/>
      <w:marTop w:val="0"/>
      <w:marBottom w:val="0"/>
      <w:divBdr>
        <w:top w:val="none" w:sz="0" w:space="0" w:color="auto"/>
        <w:left w:val="none" w:sz="0" w:space="0" w:color="auto"/>
        <w:bottom w:val="none" w:sz="0" w:space="0" w:color="auto"/>
        <w:right w:val="none" w:sz="0" w:space="0" w:color="auto"/>
      </w:divBdr>
    </w:div>
    <w:div w:id="132137996">
      <w:bodyDiv w:val="1"/>
      <w:marLeft w:val="0"/>
      <w:marRight w:val="0"/>
      <w:marTop w:val="0"/>
      <w:marBottom w:val="0"/>
      <w:divBdr>
        <w:top w:val="none" w:sz="0" w:space="0" w:color="auto"/>
        <w:left w:val="none" w:sz="0" w:space="0" w:color="auto"/>
        <w:bottom w:val="none" w:sz="0" w:space="0" w:color="auto"/>
        <w:right w:val="none" w:sz="0" w:space="0" w:color="auto"/>
      </w:divBdr>
    </w:div>
    <w:div w:id="133304702">
      <w:bodyDiv w:val="1"/>
      <w:marLeft w:val="0"/>
      <w:marRight w:val="0"/>
      <w:marTop w:val="0"/>
      <w:marBottom w:val="0"/>
      <w:divBdr>
        <w:top w:val="none" w:sz="0" w:space="0" w:color="auto"/>
        <w:left w:val="none" w:sz="0" w:space="0" w:color="auto"/>
        <w:bottom w:val="none" w:sz="0" w:space="0" w:color="auto"/>
        <w:right w:val="none" w:sz="0" w:space="0" w:color="auto"/>
      </w:divBdr>
    </w:div>
    <w:div w:id="169178271">
      <w:bodyDiv w:val="1"/>
      <w:marLeft w:val="0"/>
      <w:marRight w:val="0"/>
      <w:marTop w:val="0"/>
      <w:marBottom w:val="0"/>
      <w:divBdr>
        <w:top w:val="none" w:sz="0" w:space="0" w:color="auto"/>
        <w:left w:val="none" w:sz="0" w:space="0" w:color="auto"/>
        <w:bottom w:val="none" w:sz="0" w:space="0" w:color="auto"/>
        <w:right w:val="none" w:sz="0" w:space="0" w:color="auto"/>
      </w:divBdr>
    </w:div>
    <w:div w:id="173081451">
      <w:bodyDiv w:val="1"/>
      <w:marLeft w:val="0"/>
      <w:marRight w:val="0"/>
      <w:marTop w:val="0"/>
      <w:marBottom w:val="0"/>
      <w:divBdr>
        <w:top w:val="none" w:sz="0" w:space="0" w:color="auto"/>
        <w:left w:val="none" w:sz="0" w:space="0" w:color="auto"/>
        <w:bottom w:val="none" w:sz="0" w:space="0" w:color="auto"/>
        <w:right w:val="none" w:sz="0" w:space="0" w:color="auto"/>
      </w:divBdr>
    </w:div>
    <w:div w:id="215943679">
      <w:bodyDiv w:val="1"/>
      <w:marLeft w:val="0"/>
      <w:marRight w:val="0"/>
      <w:marTop w:val="0"/>
      <w:marBottom w:val="0"/>
      <w:divBdr>
        <w:top w:val="none" w:sz="0" w:space="0" w:color="auto"/>
        <w:left w:val="none" w:sz="0" w:space="0" w:color="auto"/>
        <w:bottom w:val="none" w:sz="0" w:space="0" w:color="auto"/>
        <w:right w:val="none" w:sz="0" w:space="0" w:color="auto"/>
      </w:divBdr>
    </w:div>
    <w:div w:id="255790217">
      <w:bodyDiv w:val="1"/>
      <w:marLeft w:val="0"/>
      <w:marRight w:val="0"/>
      <w:marTop w:val="0"/>
      <w:marBottom w:val="0"/>
      <w:divBdr>
        <w:top w:val="none" w:sz="0" w:space="0" w:color="auto"/>
        <w:left w:val="none" w:sz="0" w:space="0" w:color="auto"/>
        <w:bottom w:val="none" w:sz="0" w:space="0" w:color="auto"/>
        <w:right w:val="none" w:sz="0" w:space="0" w:color="auto"/>
      </w:divBdr>
    </w:div>
    <w:div w:id="262341602">
      <w:bodyDiv w:val="1"/>
      <w:marLeft w:val="0"/>
      <w:marRight w:val="0"/>
      <w:marTop w:val="0"/>
      <w:marBottom w:val="0"/>
      <w:divBdr>
        <w:top w:val="none" w:sz="0" w:space="0" w:color="auto"/>
        <w:left w:val="none" w:sz="0" w:space="0" w:color="auto"/>
        <w:bottom w:val="none" w:sz="0" w:space="0" w:color="auto"/>
        <w:right w:val="none" w:sz="0" w:space="0" w:color="auto"/>
      </w:divBdr>
    </w:div>
    <w:div w:id="295180107">
      <w:bodyDiv w:val="1"/>
      <w:marLeft w:val="0"/>
      <w:marRight w:val="0"/>
      <w:marTop w:val="0"/>
      <w:marBottom w:val="0"/>
      <w:divBdr>
        <w:top w:val="none" w:sz="0" w:space="0" w:color="auto"/>
        <w:left w:val="none" w:sz="0" w:space="0" w:color="auto"/>
        <w:bottom w:val="none" w:sz="0" w:space="0" w:color="auto"/>
        <w:right w:val="none" w:sz="0" w:space="0" w:color="auto"/>
      </w:divBdr>
    </w:div>
    <w:div w:id="302321138">
      <w:bodyDiv w:val="1"/>
      <w:marLeft w:val="0"/>
      <w:marRight w:val="0"/>
      <w:marTop w:val="0"/>
      <w:marBottom w:val="0"/>
      <w:divBdr>
        <w:top w:val="none" w:sz="0" w:space="0" w:color="auto"/>
        <w:left w:val="none" w:sz="0" w:space="0" w:color="auto"/>
        <w:bottom w:val="none" w:sz="0" w:space="0" w:color="auto"/>
        <w:right w:val="none" w:sz="0" w:space="0" w:color="auto"/>
      </w:divBdr>
    </w:div>
    <w:div w:id="348995464">
      <w:bodyDiv w:val="1"/>
      <w:marLeft w:val="0"/>
      <w:marRight w:val="0"/>
      <w:marTop w:val="0"/>
      <w:marBottom w:val="0"/>
      <w:divBdr>
        <w:top w:val="none" w:sz="0" w:space="0" w:color="auto"/>
        <w:left w:val="none" w:sz="0" w:space="0" w:color="auto"/>
        <w:bottom w:val="none" w:sz="0" w:space="0" w:color="auto"/>
        <w:right w:val="none" w:sz="0" w:space="0" w:color="auto"/>
      </w:divBdr>
    </w:div>
    <w:div w:id="349987773">
      <w:bodyDiv w:val="1"/>
      <w:marLeft w:val="0"/>
      <w:marRight w:val="0"/>
      <w:marTop w:val="0"/>
      <w:marBottom w:val="0"/>
      <w:divBdr>
        <w:top w:val="none" w:sz="0" w:space="0" w:color="auto"/>
        <w:left w:val="none" w:sz="0" w:space="0" w:color="auto"/>
        <w:bottom w:val="none" w:sz="0" w:space="0" w:color="auto"/>
        <w:right w:val="none" w:sz="0" w:space="0" w:color="auto"/>
      </w:divBdr>
    </w:div>
    <w:div w:id="391972982">
      <w:bodyDiv w:val="1"/>
      <w:marLeft w:val="0"/>
      <w:marRight w:val="0"/>
      <w:marTop w:val="0"/>
      <w:marBottom w:val="0"/>
      <w:divBdr>
        <w:top w:val="none" w:sz="0" w:space="0" w:color="auto"/>
        <w:left w:val="none" w:sz="0" w:space="0" w:color="auto"/>
        <w:bottom w:val="none" w:sz="0" w:space="0" w:color="auto"/>
        <w:right w:val="none" w:sz="0" w:space="0" w:color="auto"/>
      </w:divBdr>
    </w:div>
    <w:div w:id="496386677">
      <w:bodyDiv w:val="1"/>
      <w:marLeft w:val="0"/>
      <w:marRight w:val="0"/>
      <w:marTop w:val="0"/>
      <w:marBottom w:val="0"/>
      <w:divBdr>
        <w:top w:val="none" w:sz="0" w:space="0" w:color="auto"/>
        <w:left w:val="none" w:sz="0" w:space="0" w:color="auto"/>
        <w:bottom w:val="none" w:sz="0" w:space="0" w:color="auto"/>
        <w:right w:val="none" w:sz="0" w:space="0" w:color="auto"/>
      </w:divBdr>
    </w:div>
    <w:div w:id="505097411">
      <w:bodyDiv w:val="1"/>
      <w:marLeft w:val="0"/>
      <w:marRight w:val="0"/>
      <w:marTop w:val="0"/>
      <w:marBottom w:val="0"/>
      <w:divBdr>
        <w:top w:val="none" w:sz="0" w:space="0" w:color="auto"/>
        <w:left w:val="none" w:sz="0" w:space="0" w:color="auto"/>
        <w:bottom w:val="none" w:sz="0" w:space="0" w:color="auto"/>
        <w:right w:val="none" w:sz="0" w:space="0" w:color="auto"/>
      </w:divBdr>
    </w:div>
    <w:div w:id="510146575">
      <w:bodyDiv w:val="1"/>
      <w:marLeft w:val="0"/>
      <w:marRight w:val="0"/>
      <w:marTop w:val="0"/>
      <w:marBottom w:val="0"/>
      <w:divBdr>
        <w:top w:val="none" w:sz="0" w:space="0" w:color="auto"/>
        <w:left w:val="none" w:sz="0" w:space="0" w:color="auto"/>
        <w:bottom w:val="none" w:sz="0" w:space="0" w:color="auto"/>
        <w:right w:val="none" w:sz="0" w:space="0" w:color="auto"/>
      </w:divBdr>
    </w:div>
    <w:div w:id="512065148">
      <w:bodyDiv w:val="1"/>
      <w:marLeft w:val="0"/>
      <w:marRight w:val="0"/>
      <w:marTop w:val="0"/>
      <w:marBottom w:val="0"/>
      <w:divBdr>
        <w:top w:val="none" w:sz="0" w:space="0" w:color="auto"/>
        <w:left w:val="none" w:sz="0" w:space="0" w:color="auto"/>
        <w:bottom w:val="none" w:sz="0" w:space="0" w:color="auto"/>
        <w:right w:val="none" w:sz="0" w:space="0" w:color="auto"/>
      </w:divBdr>
    </w:div>
    <w:div w:id="526987151">
      <w:bodyDiv w:val="1"/>
      <w:marLeft w:val="0"/>
      <w:marRight w:val="0"/>
      <w:marTop w:val="0"/>
      <w:marBottom w:val="0"/>
      <w:divBdr>
        <w:top w:val="none" w:sz="0" w:space="0" w:color="auto"/>
        <w:left w:val="none" w:sz="0" w:space="0" w:color="auto"/>
        <w:bottom w:val="none" w:sz="0" w:space="0" w:color="auto"/>
        <w:right w:val="none" w:sz="0" w:space="0" w:color="auto"/>
      </w:divBdr>
    </w:div>
    <w:div w:id="531695176">
      <w:bodyDiv w:val="1"/>
      <w:marLeft w:val="0"/>
      <w:marRight w:val="0"/>
      <w:marTop w:val="0"/>
      <w:marBottom w:val="0"/>
      <w:divBdr>
        <w:top w:val="none" w:sz="0" w:space="0" w:color="auto"/>
        <w:left w:val="none" w:sz="0" w:space="0" w:color="auto"/>
        <w:bottom w:val="none" w:sz="0" w:space="0" w:color="auto"/>
        <w:right w:val="none" w:sz="0" w:space="0" w:color="auto"/>
      </w:divBdr>
    </w:div>
    <w:div w:id="549851035">
      <w:bodyDiv w:val="1"/>
      <w:marLeft w:val="0"/>
      <w:marRight w:val="0"/>
      <w:marTop w:val="0"/>
      <w:marBottom w:val="0"/>
      <w:divBdr>
        <w:top w:val="none" w:sz="0" w:space="0" w:color="auto"/>
        <w:left w:val="none" w:sz="0" w:space="0" w:color="auto"/>
        <w:bottom w:val="none" w:sz="0" w:space="0" w:color="auto"/>
        <w:right w:val="none" w:sz="0" w:space="0" w:color="auto"/>
      </w:divBdr>
    </w:div>
    <w:div w:id="566109488">
      <w:bodyDiv w:val="1"/>
      <w:marLeft w:val="0"/>
      <w:marRight w:val="0"/>
      <w:marTop w:val="0"/>
      <w:marBottom w:val="0"/>
      <w:divBdr>
        <w:top w:val="none" w:sz="0" w:space="0" w:color="auto"/>
        <w:left w:val="none" w:sz="0" w:space="0" w:color="auto"/>
        <w:bottom w:val="none" w:sz="0" w:space="0" w:color="auto"/>
        <w:right w:val="none" w:sz="0" w:space="0" w:color="auto"/>
      </w:divBdr>
    </w:div>
    <w:div w:id="570772462">
      <w:bodyDiv w:val="1"/>
      <w:marLeft w:val="0"/>
      <w:marRight w:val="0"/>
      <w:marTop w:val="0"/>
      <w:marBottom w:val="0"/>
      <w:divBdr>
        <w:top w:val="none" w:sz="0" w:space="0" w:color="auto"/>
        <w:left w:val="none" w:sz="0" w:space="0" w:color="auto"/>
        <w:bottom w:val="none" w:sz="0" w:space="0" w:color="auto"/>
        <w:right w:val="none" w:sz="0" w:space="0" w:color="auto"/>
      </w:divBdr>
    </w:div>
    <w:div w:id="571082505">
      <w:bodyDiv w:val="1"/>
      <w:marLeft w:val="0"/>
      <w:marRight w:val="0"/>
      <w:marTop w:val="0"/>
      <w:marBottom w:val="0"/>
      <w:divBdr>
        <w:top w:val="none" w:sz="0" w:space="0" w:color="auto"/>
        <w:left w:val="none" w:sz="0" w:space="0" w:color="auto"/>
        <w:bottom w:val="none" w:sz="0" w:space="0" w:color="auto"/>
        <w:right w:val="none" w:sz="0" w:space="0" w:color="auto"/>
      </w:divBdr>
    </w:div>
    <w:div w:id="593904659">
      <w:bodyDiv w:val="1"/>
      <w:marLeft w:val="0"/>
      <w:marRight w:val="0"/>
      <w:marTop w:val="0"/>
      <w:marBottom w:val="0"/>
      <w:divBdr>
        <w:top w:val="none" w:sz="0" w:space="0" w:color="auto"/>
        <w:left w:val="none" w:sz="0" w:space="0" w:color="auto"/>
        <w:bottom w:val="none" w:sz="0" w:space="0" w:color="auto"/>
        <w:right w:val="none" w:sz="0" w:space="0" w:color="auto"/>
      </w:divBdr>
    </w:div>
    <w:div w:id="609319189">
      <w:bodyDiv w:val="1"/>
      <w:marLeft w:val="0"/>
      <w:marRight w:val="0"/>
      <w:marTop w:val="0"/>
      <w:marBottom w:val="0"/>
      <w:divBdr>
        <w:top w:val="none" w:sz="0" w:space="0" w:color="auto"/>
        <w:left w:val="none" w:sz="0" w:space="0" w:color="auto"/>
        <w:bottom w:val="none" w:sz="0" w:space="0" w:color="auto"/>
        <w:right w:val="none" w:sz="0" w:space="0" w:color="auto"/>
      </w:divBdr>
    </w:div>
    <w:div w:id="612442370">
      <w:bodyDiv w:val="1"/>
      <w:marLeft w:val="0"/>
      <w:marRight w:val="0"/>
      <w:marTop w:val="0"/>
      <w:marBottom w:val="0"/>
      <w:divBdr>
        <w:top w:val="none" w:sz="0" w:space="0" w:color="auto"/>
        <w:left w:val="none" w:sz="0" w:space="0" w:color="auto"/>
        <w:bottom w:val="none" w:sz="0" w:space="0" w:color="auto"/>
        <w:right w:val="none" w:sz="0" w:space="0" w:color="auto"/>
      </w:divBdr>
    </w:div>
    <w:div w:id="650718781">
      <w:bodyDiv w:val="1"/>
      <w:marLeft w:val="0"/>
      <w:marRight w:val="0"/>
      <w:marTop w:val="0"/>
      <w:marBottom w:val="0"/>
      <w:divBdr>
        <w:top w:val="none" w:sz="0" w:space="0" w:color="auto"/>
        <w:left w:val="none" w:sz="0" w:space="0" w:color="auto"/>
        <w:bottom w:val="none" w:sz="0" w:space="0" w:color="auto"/>
        <w:right w:val="none" w:sz="0" w:space="0" w:color="auto"/>
      </w:divBdr>
    </w:div>
    <w:div w:id="735319599">
      <w:bodyDiv w:val="1"/>
      <w:marLeft w:val="0"/>
      <w:marRight w:val="0"/>
      <w:marTop w:val="0"/>
      <w:marBottom w:val="0"/>
      <w:divBdr>
        <w:top w:val="none" w:sz="0" w:space="0" w:color="auto"/>
        <w:left w:val="none" w:sz="0" w:space="0" w:color="auto"/>
        <w:bottom w:val="none" w:sz="0" w:space="0" w:color="auto"/>
        <w:right w:val="none" w:sz="0" w:space="0" w:color="auto"/>
      </w:divBdr>
    </w:div>
    <w:div w:id="760184072">
      <w:bodyDiv w:val="1"/>
      <w:marLeft w:val="0"/>
      <w:marRight w:val="0"/>
      <w:marTop w:val="0"/>
      <w:marBottom w:val="0"/>
      <w:divBdr>
        <w:top w:val="none" w:sz="0" w:space="0" w:color="auto"/>
        <w:left w:val="none" w:sz="0" w:space="0" w:color="auto"/>
        <w:bottom w:val="none" w:sz="0" w:space="0" w:color="auto"/>
        <w:right w:val="none" w:sz="0" w:space="0" w:color="auto"/>
      </w:divBdr>
    </w:div>
    <w:div w:id="773785459">
      <w:bodyDiv w:val="1"/>
      <w:marLeft w:val="0"/>
      <w:marRight w:val="0"/>
      <w:marTop w:val="0"/>
      <w:marBottom w:val="0"/>
      <w:divBdr>
        <w:top w:val="none" w:sz="0" w:space="0" w:color="auto"/>
        <w:left w:val="none" w:sz="0" w:space="0" w:color="auto"/>
        <w:bottom w:val="none" w:sz="0" w:space="0" w:color="auto"/>
        <w:right w:val="none" w:sz="0" w:space="0" w:color="auto"/>
      </w:divBdr>
    </w:div>
    <w:div w:id="784811217">
      <w:bodyDiv w:val="1"/>
      <w:marLeft w:val="0"/>
      <w:marRight w:val="0"/>
      <w:marTop w:val="0"/>
      <w:marBottom w:val="0"/>
      <w:divBdr>
        <w:top w:val="none" w:sz="0" w:space="0" w:color="auto"/>
        <w:left w:val="none" w:sz="0" w:space="0" w:color="auto"/>
        <w:bottom w:val="none" w:sz="0" w:space="0" w:color="auto"/>
        <w:right w:val="none" w:sz="0" w:space="0" w:color="auto"/>
      </w:divBdr>
    </w:div>
    <w:div w:id="794566440">
      <w:bodyDiv w:val="1"/>
      <w:marLeft w:val="0"/>
      <w:marRight w:val="0"/>
      <w:marTop w:val="0"/>
      <w:marBottom w:val="0"/>
      <w:divBdr>
        <w:top w:val="none" w:sz="0" w:space="0" w:color="auto"/>
        <w:left w:val="none" w:sz="0" w:space="0" w:color="auto"/>
        <w:bottom w:val="none" w:sz="0" w:space="0" w:color="auto"/>
        <w:right w:val="none" w:sz="0" w:space="0" w:color="auto"/>
      </w:divBdr>
    </w:div>
    <w:div w:id="811024880">
      <w:bodyDiv w:val="1"/>
      <w:marLeft w:val="0"/>
      <w:marRight w:val="0"/>
      <w:marTop w:val="0"/>
      <w:marBottom w:val="0"/>
      <w:divBdr>
        <w:top w:val="none" w:sz="0" w:space="0" w:color="auto"/>
        <w:left w:val="none" w:sz="0" w:space="0" w:color="auto"/>
        <w:bottom w:val="none" w:sz="0" w:space="0" w:color="auto"/>
        <w:right w:val="none" w:sz="0" w:space="0" w:color="auto"/>
      </w:divBdr>
    </w:div>
    <w:div w:id="813521052">
      <w:bodyDiv w:val="1"/>
      <w:marLeft w:val="0"/>
      <w:marRight w:val="0"/>
      <w:marTop w:val="0"/>
      <w:marBottom w:val="0"/>
      <w:divBdr>
        <w:top w:val="none" w:sz="0" w:space="0" w:color="auto"/>
        <w:left w:val="none" w:sz="0" w:space="0" w:color="auto"/>
        <w:bottom w:val="none" w:sz="0" w:space="0" w:color="auto"/>
        <w:right w:val="none" w:sz="0" w:space="0" w:color="auto"/>
      </w:divBdr>
    </w:div>
    <w:div w:id="825975345">
      <w:bodyDiv w:val="1"/>
      <w:marLeft w:val="0"/>
      <w:marRight w:val="0"/>
      <w:marTop w:val="0"/>
      <w:marBottom w:val="0"/>
      <w:divBdr>
        <w:top w:val="none" w:sz="0" w:space="0" w:color="auto"/>
        <w:left w:val="none" w:sz="0" w:space="0" w:color="auto"/>
        <w:bottom w:val="none" w:sz="0" w:space="0" w:color="auto"/>
        <w:right w:val="none" w:sz="0" w:space="0" w:color="auto"/>
      </w:divBdr>
    </w:div>
    <w:div w:id="833885592">
      <w:bodyDiv w:val="1"/>
      <w:marLeft w:val="0"/>
      <w:marRight w:val="0"/>
      <w:marTop w:val="0"/>
      <w:marBottom w:val="0"/>
      <w:divBdr>
        <w:top w:val="none" w:sz="0" w:space="0" w:color="auto"/>
        <w:left w:val="none" w:sz="0" w:space="0" w:color="auto"/>
        <w:bottom w:val="none" w:sz="0" w:space="0" w:color="auto"/>
        <w:right w:val="none" w:sz="0" w:space="0" w:color="auto"/>
      </w:divBdr>
    </w:div>
    <w:div w:id="853033258">
      <w:bodyDiv w:val="1"/>
      <w:marLeft w:val="0"/>
      <w:marRight w:val="0"/>
      <w:marTop w:val="0"/>
      <w:marBottom w:val="0"/>
      <w:divBdr>
        <w:top w:val="none" w:sz="0" w:space="0" w:color="auto"/>
        <w:left w:val="none" w:sz="0" w:space="0" w:color="auto"/>
        <w:bottom w:val="none" w:sz="0" w:space="0" w:color="auto"/>
        <w:right w:val="none" w:sz="0" w:space="0" w:color="auto"/>
      </w:divBdr>
    </w:div>
    <w:div w:id="874535691">
      <w:bodyDiv w:val="1"/>
      <w:marLeft w:val="0"/>
      <w:marRight w:val="0"/>
      <w:marTop w:val="0"/>
      <w:marBottom w:val="0"/>
      <w:divBdr>
        <w:top w:val="none" w:sz="0" w:space="0" w:color="auto"/>
        <w:left w:val="none" w:sz="0" w:space="0" w:color="auto"/>
        <w:bottom w:val="none" w:sz="0" w:space="0" w:color="auto"/>
        <w:right w:val="none" w:sz="0" w:space="0" w:color="auto"/>
      </w:divBdr>
    </w:div>
    <w:div w:id="879707473">
      <w:bodyDiv w:val="1"/>
      <w:marLeft w:val="0"/>
      <w:marRight w:val="0"/>
      <w:marTop w:val="0"/>
      <w:marBottom w:val="0"/>
      <w:divBdr>
        <w:top w:val="none" w:sz="0" w:space="0" w:color="auto"/>
        <w:left w:val="none" w:sz="0" w:space="0" w:color="auto"/>
        <w:bottom w:val="none" w:sz="0" w:space="0" w:color="auto"/>
        <w:right w:val="none" w:sz="0" w:space="0" w:color="auto"/>
      </w:divBdr>
    </w:div>
    <w:div w:id="892539234">
      <w:bodyDiv w:val="1"/>
      <w:marLeft w:val="0"/>
      <w:marRight w:val="0"/>
      <w:marTop w:val="0"/>
      <w:marBottom w:val="0"/>
      <w:divBdr>
        <w:top w:val="none" w:sz="0" w:space="0" w:color="auto"/>
        <w:left w:val="none" w:sz="0" w:space="0" w:color="auto"/>
        <w:bottom w:val="none" w:sz="0" w:space="0" w:color="auto"/>
        <w:right w:val="none" w:sz="0" w:space="0" w:color="auto"/>
      </w:divBdr>
    </w:div>
    <w:div w:id="904417943">
      <w:bodyDiv w:val="1"/>
      <w:marLeft w:val="0"/>
      <w:marRight w:val="0"/>
      <w:marTop w:val="0"/>
      <w:marBottom w:val="0"/>
      <w:divBdr>
        <w:top w:val="none" w:sz="0" w:space="0" w:color="auto"/>
        <w:left w:val="none" w:sz="0" w:space="0" w:color="auto"/>
        <w:bottom w:val="none" w:sz="0" w:space="0" w:color="auto"/>
        <w:right w:val="none" w:sz="0" w:space="0" w:color="auto"/>
      </w:divBdr>
    </w:div>
    <w:div w:id="934480790">
      <w:bodyDiv w:val="1"/>
      <w:marLeft w:val="0"/>
      <w:marRight w:val="0"/>
      <w:marTop w:val="0"/>
      <w:marBottom w:val="0"/>
      <w:divBdr>
        <w:top w:val="none" w:sz="0" w:space="0" w:color="auto"/>
        <w:left w:val="none" w:sz="0" w:space="0" w:color="auto"/>
        <w:bottom w:val="none" w:sz="0" w:space="0" w:color="auto"/>
        <w:right w:val="none" w:sz="0" w:space="0" w:color="auto"/>
      </w:divBdr>
    </w:div>
    <w:div w:id="947545505">
      <w:bodyDiv w:val="1"/>
      <w:marLeft w:val="0"/>
      <w:marRight w:val="0"/>
      <w:marTop w:val="0"/>
      <w:marBottom w:val="0"/>
      <w:divBdr>
        <w:top w:val="none" w:sz="0" w:space="0" w:color="auto"/>
        <w:left w:val="none" w:sz="0" w:space="0" w:color="auto"/>
        <w:bottom w:val="none" w:sz="0" w:space="0" w:color="auto"/>
        <w:right w:val="none" w:sz="0" w:space="0" w:color="auto"/>
      </w:divBdr>
    </w:div>
    <w:div w:id="955676388">
      <w:bodyDiv w:val="1"/>
      <w:marLeft w:val="0"/>
      <w:marRight w:val="0"/>
      <w:marTop w:val="0"/>
      <w:marBottom w:val="0"/>
      <w:divBdr>
        <w:top w:val="none" w:sz="0" w:space="0" w:color="auto"/>
        <w:left w:val="none" w:sz="0" w:space="0" w:color="auto"/>
        <w:bottom w:val="none" w:sz="0" w:space="0" w:color="auto"/>
        <w:right w:val="none" w:sz="0" w:space="0" w:color="auto"/>
      </w:divBdr>
    </w:div>
    <w:div w:id="986739712">
      <w:bodyDiv w:val="1"/>
      <w:marLeft w:val="0"/>
      <w:marRight w:val="0"/>
      <w:marTop w:val="0"/>
      <w:marBottom w:val="0"/>
      <w:divBdr>
        <w:top w:val="none" w:sz="0" w:space="0" w:color="auto"/>
        <w:left w:val="none" w:sz="0" w:space="0" w:color="auto"/>
        <w:bottom w:val="none" w:sz="0" w:space="0" w:color="auto"/>
        <w:right w:val="none" w:sz="0" w:space="0" w:color="auto"/>
      </w:divBdr>
    </w:div>
    <w:div w:id="993803547">
      <w:bodyDiv w:val="1"/>
      <w:marLeft w:val="0"/>
      <w:marRight w:val="0"/>
      <w:marTop w:val="0"/>
      <w:marBottom w:val="0"/>
      <w:divBdr>
        <w:top w:val="none" w:sz="0" w:space="0" w:color="auto"/>
        <w:left w:val="none" w:sz="0" w:space="0" w:color="auto"/>
        <w:bottom w:val="none" w:sz="0" w:space="0" w:color="auto"/>
        <w:right w:val="none" w:sz="0" w:space="0" w:color="auto"/>
      </w:divBdr>
    </w:div>
    <w:div w:id="1068265622">
      <w:bodyDiv w:val="1"/>
      <w:marLeft w:val="0"/>
      <w:marRight w:val="0"/>
      <w:marTop w:val="0"/>
      <w:marBottom w:val="0"/>
      <w:divBdr>
        <w:top w:val="none" w:sz="0" w:space="0" w:color="auto"/>
        <w:left w:val="none" w:sz="0" w:space="0" w:color="auto"/>
        <w:bottom w:val="none" w:sz="0" w:space="0" w:color="auto"/>
        <w:right w:val="none" w:sz="0" w:space="0" w:color="auto"/>
      </w:divBdr>
    </w:div>
    <w:div w:id="1075276826">
      <w:bodyDiv w:val="1"/>
      <w:marLeft w:val="0"/>
      <w:marRight w:val="0"/>
      <w:marTop w:val="0"/>
      <w:marBottom w:val="0"/>
      <w:divBdr>
        <w:top w:val="none" w:sz="0" w:space="0" w:color="auto"/>
        <w:left w:val="none" w:sz="0" w:space="0" w:color="auto"/>
        <w:bottom w:val="none" w:sz="0" w:space="0" w:color="auto"/>
        <w:right w:val="none" w:sz="0" w:space="0" w:color="auto"/>
      </w:divBdr>
    </w:div>
    <w:div w:id="1087579376">
      <w:bodyDiv w:val="1"/>
      <w:marLeft w:val="0"/>
      <w:marRight w:val="0"/>
      <w:marTop w:val="0"/>
      <w:marBottom w:val="0"/>
      <w:divBdr>
        <w:top w:val="none" w:sz="0" w:space="0" w:color="auto"/>
        <w:left w:val="none" w:sz="0" w:space="0" w:color="auto"/>
        <w:bottom w:val="none" w:sz="0" w:space="0" w:color="auto"/>
        <w:right w:val="none" w:sz="0" w:space="0" w:color="auto"/>
      </w:divBdr>
    </w:div>
    <w:div w:id="1090854999">
      <w:bodyDiv w:val="1"/>
      <w:marLeft w:val="0"/>
      <w:marRight w:val="0"/>
      <w:marTop w:val="0"/>
      <w:marBottom w:val="0"/>
      <w:divBdr>
        <w:top w:val="none" w:sz="0" w:space="0" w:color="auto"/>
        <w:left w:val="none" w:sz="0" w:space="0" w:color="auto"/>
        <w:bottom w:val="none" w:sz="0" w:space="0" w:color="auto"/>
        <w:right w:val="none" w:sz="0" w:space="0" w:color="auto"/>
      </w:divBdr>
    </w:div>
    <w:div w:id="1140267196">
      <w:bodyDiv w:val="1"/>
      <w:marLeft w:val="0"/>
      <w:marRight w:val="0"/>
      <w:marTop w:val="0"/>
      <w:marBottom w:val="0"/>
      <w:divBdr>
        <w:top w:val="none" w:sz="0" w:space="0" w:color="auto"/>
        <w:left w:val="none" w:sz="0" w:space="0" w:color="auto"/>
        <w:bottom w:val="none" w:sz="0" w:space="0" w:color="auto"/>
        <w:right w:val="none" w:sz="0" w:space="0" w:color="auto"/>
      </w:divBdr>
    </w:div>
    <w:div w:id="1186678341">
      <w:bodyDiv w:val="1"/>
      <w:marLeft w:val="0"/>
      <w:marRight w:val="0"/>
      <w:marTop w:val="0"/>
      <w:marBottom w:val="0"/>
      <w:divBdr>
        <w:top w:val="none" w:sz="0" w:space="0" w:color="auto"/>
        <w:left w:val="none" w:sz="0" w:space="0" w:color="auto"/>
        <w:bottom w:val="none" w:sz="0" w:space="0" w:color="auto"/>
        <w:right w:val="none" w:sz="0" w:space="0" w:color="auto"/>
      </w:divBdr>
    </w:div>
    <w:div w:id="1207719931">
      <w:bodyDiv w:val="1"/>
      <w:marLeft w:val="0"/>
      <w:marRight w:val="0"/>
      <w:marTop w:val="0"/>
      <w:marBottom w:val="0"/>
      <w:divBdr>
        <w:top w:val="none" w:sz="0" w:space="0" w:color="auto"/>
        <w:left w:val="none" w:sz="0" w:space="0" w:color="auto"/>
        <w:bottom w:val="none" w:sz="0" w:space="0" w:color="auto"/>
        <w:right w:val="none" w:sz="0" w:space="0" w:color="auto"/>
      </w:divBdr>
    </w:div>
    <w:div w:id="1215656598">
      <w:bodyDiv w:val="1"/>
      <w:marLeft w:val="0"/>
      <w:marRight w:val="0"/>
      <w:marTop w:val="0"/>
      <w:marBottom w:val="0"/>
      <w:divBdr>
        <w:top w:val="none" w:sz="0" w:space="0" w:color="auto"/>
        <w:left w:val="none" w:sz="0" w:space="0" w:color="auto"/>
        <w:bottom w:val="none" w:sz="0" w:space="0" w:color="auto"/>
        <w:right w:val="none" w:sz="0" w:space="0" w:color="auto"/>
      </w:divBdr>
    </w:div>
    <w:div w:id="1220091033">
      <w:bodyDiv w:val="1"/>
      <w:marLeft w:val="0"/>
      <w:marRight w:val="0"/>
      <w:marTop w:val="0"/>
      <w:marBottom w:val="0"/>
      <w:divBdr>
        <w:top w:val="none" w:sz="0" w:space="0" w:color="auto"/>
        <w:left w:val="none" w:sz="0" w:space="0" w:color="auto"/>
        <w:bottom w:val="none" w:sz="0" w:space="0" w:color="auto"/>
        <w:right w:val="none" w:sz="0" w:space="0" w:color="auto"/>
      </w:divBdr>
    </w:div>
    <w:div w:id="1251813153">
      <w:bodyDiv w:val="1"/>
      <w:marLeft w:val="0"/>
      <w:marRight w:val="0"/>
      <w:marTop w:val="0"/>
      <w:marBottom w:val="0"/>
      <w:divBdr>
        <w:top w:val="none" w:sz="0" w:space="0" w:color="auto"/>
        <w:left w:val="none" w:sz="0" w:space="0" w:color="auto"/>
        <w:bottom w:val="none" w:sz="0" w:space="0" w:color="auto"/>
        <w:right w:val="none" w:sz="0" w:space="0" w:color="auto"/>
      </w:divBdr>
    </w:div>
    <w:div w:id="1259870840">
      <w:bodyDiv w:val="1"/>
      <w:marLeft w:val="0"/>
      <w:marRight w:val="0"/>
      <w:marTop w:val="0"/>
      <w:marBottom w:val="0"/>
      <w:divBdr>
        <w:top w:val="none" w:sz="0" w:space="0" w:color="auto"/>
        <w:left w:val="none" w:sz="0" w:space="0" w:color="auto"/>
        <w:bottom w:val="none" w:sz="0" w:space="0" w:color="auto"/>
        <w:right w:val="none" w:sz="0" w:space="0" w:color="auto"/>
      </w:divBdr>
    </w:div>
    <w:div w:id="1269125267">
      <w:bodyDiv w:val="1"/>
      <w:marLeft w:val="0"/>
      <w:marRight w:val="0"/>
      <w:marTop w:val="0"/>
      <w:marBottom w:val="0"/>
      <w:divBdr>
        <w:top w:val="none" w:sz="0" w:space="0" w:color="auto"/>
        <w:left w:val="none" w:sz="0" w:space="0" w:color="auto"/>
        <w:bottom w:val="none" w:sz="0" w:space="0" w:color="auto"/>
        <w:right w:val="none" w:sz="0" w:space="0" w:color="auto"/>
      </w:divBdr>
    </w:div>
    <w:div w:id="1271622683">
      <w:bodyDiv w:val="1"/>
      <w:marLeft w:val="0"/>
      <w:marRight w:val="0"/>
      <w:marTop w:val="0"/>
      <w:marBottom w:val="0"/>
      <w:divBdr>
        <w:top w:val="none" w:sz="0" w:space="0" w:color="auto"/>
        <w:left w:val="none" w:sz="0" w:space="0" w:color="auto"/>
        <w:bottom w:val="none" w:sz="0" w:space="0" w:color="auto"/>
        <w:right w:val="none" w:sz="0" w:space="0" w:color="auto"/>
      </w:divBdr>
    </w:div>
    <w:div w:id="1368798892">
      <w:bodyDiv w:val="1"/>
      <w:marLeft w:val="0"/>
      <w:marRight w:val="0"/>
      <w:marTop w:val="0"/>
      <w:marBottom w:val="0"/>
      <w:divBdr>
        <w:top w:val="none" w:sz="0" w:space="0" w:color="auto"/>
        <w:left w:val="none" w:sz="0" w:space="0" w:color="auto"/>
        <w:bottom w:val="none" w:sz="0" w:space="0" w:color="auto"/>
        <w:right w:val="none" w:sz="0" w:space="0" w:color="auto"/>
      </w:divBdr>
    </w:div>
    <w:div w:id="1372653270">
      <w:bodyDiv w:val="1"/>
      <w:marLeft w:val="0"/>
      <w:marRight w:val="0"/>
      <w:marTop w:val="0"/>
      <w:marBottom w:val="0"/>
      <w:divBdr>
        <w:top w:val="none" w:sz="0" w:space="0" w:color="auto"/>
        <w:left w:val="none" w:sz="0" w:space="0" w:color="auto"/>
        <w:bottom w:val="none" w:sz="0" w:space="0" w:color="auto"/>
        <w:right w:val="none" w:sz="0" w:space="0" w:color="auto"/>
      </w:divBdr>
    </w:div>
    <w:div w:id="1421441712">
      <w:bodyDiv w:val="1"/>
      <w:marLeft w:val="0"/>
      <w:marRight w:val="0"/>
      <w:marTop w:val="0"/>
      <w:marBottom w:val="0"/>
      <w:divBdr>
        <w:top w:val="none" w:sz="0" w:space="0" w:color="auto"/>
        <w:left w:val="none" w:sz="0" w:space="0" w:color="auto"/>
        <w:bottom w:val="none" w:sz="0" w:space="0" w:color="auto"/>
        <w:right w:val="none" w:sz="0" w:space="0" w:color="auto"/>
      </w:divBdr>
    </w:div>
    <w:div w:id="1450204849">
      <w:bodyDiv w:val="1"/>
      <w:marLeft w:val="0"/>
      <w:marRight w:val="0"/>
      <w:marTop w:val="0"/>
      <w:marBottom w:val="0"/>
      <w:divBdr>
        <w:top w:val="none" w:sz="0" w:space="0" w:color="auto"/>
        <w:left w:val="none" w:sz="0" w:space="0" w:color="auto"/>
        <w:bottom w:val="none" w:sz="0" w:space="0" w:color="auto"/>
        <w:right w:val="none" w:sz="0" w:space="0" w:color="auto"/>
      </w:divBdr>
    </w:div>
    <w:div w:id="1451243507">
      <w:bodyDiv w:val="1"/>
      <w:marLeft w:val="0"/>
      <w:marRight w:val="0"/>
      <w:marTop w:val="0"/>
      <w:marBottom w:val="0"/>
      <w:divBdr>
        <w:top w:val="none" w:sz="0" w:space="0" w:color="auto"/>
        <w:left w:val="none" w:sz="0" w:space="0" w:color="auto"/>
        <w:bottom w:val="none" w:sz="0" w:space="0" w:color="auto"/>
        <w:right w:val="none" w:sz="0" w:space="0" w:color="auto"/>
      </w:divBdr>
    </w:div>
    <w:div w:id="1479034070">
      <w:bodyDiv w:val="1"/>
      <w:marLeft w:val="0"/>
      <w:marRight w:val="0"/>
      <w:marTop w:val="0"/>
      <w:marBottom w:val="0"/>
      <w:divBdr>
        <w:top w:val="none" w:sz="0" w:space="0" w:color="auto"/>
        <w:left w:val="none" w:sz="0" w:space="0" w:color="auto"/>
        <w:bottom w:val="none" w:sz="0" w:space="0" w:color="auto"/>
        <w:right w:val="none" w:sz="0" w:space="0" w:color="auto"/>
      </w:divBdr>
    </w:div>
    <w:div w:id="1500729505">
      <w:bodyDiv w:val="1"/>
      <w:marLeft w:val="0"/>
      <w:marRight w:val="0"/>
      <w:marTop w:val="0"/>
      <w:marBottom w:val="0"/>
      <w:divBdr>
        <w:top w:val="none" w:sz="0" w:space="0" w:color="auto"/>
        <w:left w:val="none" w:sz="0" w:space="0" w:color="auto"/>
        <w:bottom w:val="none" w:sz="0" w:space="0" w:color="auto"/>
        <w:right w:val="none" w:sz="0" w:space="0" w:color="auto"/>
      </w:divBdr>
    </w:div>
    <w:div w:id="1519349875">
      <w:bodyDiv w:val="1"/>
      <w:marLeft w:val="0"/>
      <w:marRight w:val="0"/>
      <w:marTop w:val="0"/>
      <w:marBottom w:val="0"/>
      <w:divBdr>
        <w:top w:val="none" w:sz="0" w:space="0" w:color="auto"/>
        <w:left w:val="none" w:sz="0" w:space="0" w:color="auto"/>
        <w:bottom w:val="none" w:sz="0" w:space="0" w:color="auto"/>
        <w:right w:val="none" w:sz="0" w:space="0" w:color="auto"/>
      </w:divBdr>
    </w:div>
    <w:div w:id="1526213499">
      <w:bodyDiv w:val="1"/>
      <w:marLeft w:val="0"/>
      <w:marRight w:val="0"/>
      <w:marTop w:val="0"/>
      <w:marBottom w:val="0"/>
      <w:divBdr>
        <w:top w:val="none" w:sz="0" w:space="0" w:color="auto"/>
        <w:left w:val="none" w:sz="0" w:space="0" w:color="auto"/>
        <w:bottom w:val="none" w:sz="0" w:space="0" w:color="auto"/>
        <w:right w:val="none" w:sz="0" w:space="0" w:color="auto"/>
      </w:divBdr>
    </w:div>
    <w:div w:id="1529181765">
      <w:bodyDiv w:val="1"/>
      <w:marLeft w:val="0"/>
      <w:marRight w:val="0"/>
      <w:marTop w:val="0"/>
      <w:marBottom w:val="0"/>
      <w:divBdr>
        <w:top w:val="none" w:sz="0" w:space="0" w:color="auto"/>
        <w:left w:val="none" w:sz="0" w:space="0" w:color="auto"/>
        <w:bottom w:val="none" w:sz="0" w:space="0" w:color="auto"/>
        <w:right w:val="none" w:sz="0" w:space="0" w:color="auto"/>
      </w:divBdr>
    </w:div>
    <w:div w:id="1535771403">
      <w:bodyDiv w:val="1"/>
      <w:marLeft w:val="0"/>
      <w:marRight w:val="0"/>
      <w:marTop w:val="0"/>
      <w:marBottom w:val="0"/>
      <w:divBdr>
        <w:top w:val="none" w:sz="0" w:space="0" w:color="auto"/>
        <w:left w:val="none" w:sz="0" w:space="0" w:color="auto"/>
        <w:bottom w:val="none" w:sz="0" w:space="0" w:color="auto"/>
        <w:right w:val="none" w:sz="0" w:space="0" w:color="auto"/>
      </w:divBdr>
    </w:div>
    <w:div w:id="1574776679">
      <w:bodyDiv w:val="1"/>
      <w:marLeft w:val="0"/>
      <w:marRight w:val="0"/>
      <w:marTop w:val="0"/>
      <w:marBottom w:val="0"/>
      <w:divBdr>
        <w:top w:val="none" w:sz="0" w:space="0" w:color="auto"/>
        <w:left w:val="none" w:sz="0" w:space="0" w:color="auto"/>
        <w:bottom w:val="none" w:sz="0" w:space="0" w:color="auto"/>
        <w:right w:val="none" w:sz="0" w:space="0" w:color="auto"/>
      </w:divBdr>
    </w:div>
    <w:div w:id="1599174468">
      <w:bodyDiv w:val="1"/>
      <w:marLeft w:val="0"/>
      <w:marRight w:val="0"/>
      <w:marTop w:val="0"/>
      <w:marBottom w:val="0"/>
      <w:divBdr>
        <w:top w:val="none" w:sz="0" w:space="0" w:color="auto"/>
        <w:left w:val="none" w:sz="0" w:space="0" w:color="auto"/>
        <w:bottom w:val="none" w:sz="0" w:space="0" w:color="auto"/>
        <w:right w:val="none" w:sz="0" w:space="0" w:color="auto"/>
      </w:divBdr>
    </w:div>
    <w:div w:id="1654873816">
      <w:bodyDiv w:val="1"/>
      <w:marLeft w:val="0"/>
      <w:marRight w:val="0"/>
      <w:marTop w:val="0"/>
      <w:marBottom w:val="0"/>
      <w:divBdr>
        <w:top w:val="none" w:sz="0" w:space="0" w:color="auto"/>
        <w:left w:val="none" w:sz="0" w:space="0" w:color="auto"/>
        <w:bottom w:val="none" w:sz="0" w:space="0" w:color="auto"/>
        <w:right w:val="none" w:sz="0" w:space="0" w:color="auto"/>
      </w:divBdr>
    </w:div>
    <w:div w:id="1657765338">
      <w:bodyDiv w:val="1"/>
      <w:marLeft w:val="0"/>
      <w:marRight w:val="0"/>
      <w:marTop w:val="0"/>
      <w:marBottom w:val="0"/>
      <w:divBdr>
        <w:top w:val="none" w:sz="0" w:space="0" w:color="auto"/>
        <w:left w:val="none" w:sz="0" w:space="0" w:color="auto"/>
        <w:bottom w:val="none" w:sz="0" w:space="0" w:color="auto"/>
        <w:right w:val="none" w:sz="0" w:space="0" w:color="auto"/>
      </w:divBdr>
    </w:div>
    <w:div w:id="1663118336">
      <w:bodyDiv w:val="1"/>
      <w:marLeft w:val="0"/>
      <w:marRight w:val="0"/>
      <w:marTop w:val="0"/>
      <w:marBottom w:val="0"/>
      <w:divBdr>
        <w:top w:val="none" w:sz="0" w:space="0" w:color="auto"/>
        <w:left w:val="none" w:sz="0" w:space="0" w:color="auto"/>
        <w:bottom w:val="none" w:sz="0" w:space="0" w:color="auto"/>
        <w:right w:val="none" w:sz="0" w:space="0" w:color="auto"/>
      </w:divBdr>
    </w:div>
    <w:div w:id="1715077188">
      <w:bodyDiv w:val="1"/>
      <w:marLeft w:val="0"/>
      <w:marRight w:val="0"/>
      <w:marTop w:val="0"/>
      <w:marBottom w:val="0"/>
      <w:divBdr>
        <w:top w:val="none" w:sz="0" w:space="0" w:color="auto"/>
        <w:left w:val="none" w:sz="0" w:space="0" w:color="auto"/>
        <w:bottom w:val="none" w:sz="0" w:space="0" w:color="auto"/>
        <w:right w:val="none" w:sz="0" w:space="0" w:color="auto"/>
      </w:divBdr>
    </w:div>
    <w:div w:id="1733041473">
      <w:bodyDiv w:val="1"/>
      <w:marLeft w:val="0"/>
      <w:marRight w:val="0"/>
      <w:marTop w:val="0"/>
      <w:marBottom w:val="0"/>
      <w:divBdr>
        <w:top w:val="none" w:sz="0" w:space="0" w:color="auto"/>
        <w:left w:val="none" w:sz="0" w:space="0" w:color="auto"/>
        <w:bottom w:val="none" w:sz="0" w:space="0" w:color="auto"/>
        <w:right w:val="none" w:sz="0" w:space="0" w:color="auto"/>
      </w:divBdr>
    </w:div>
    <w:div w:id="1752383111">
      <w:bodyDiv w:val="1"/>
      <w:marLeft w:val="0"/>
      <w:marRight w:val="0"/>
      <w:marTop w:val="0"/>
      <w:marBottom w:val="0"/>
      <w:divBdr>
        <w:top w:val="none" w:sz="0" w:space="0" w:color="auto"/>
        <w:left w:val="none" w:sz="0" w:space="0" w:color="auto"/>
        <w:bottom w:val="none" w:sz="0" w:space="0" w:color="auto"/>
        <w:right w:val="none" w:sz="0" w:space="0" w:color="auto"/>
      </w:divBdr>
    </w:div>
    <w:div w:id="1774007270">
      <w:bodyDiv w:val="1"/>
      <w:marLeft w:val="0"/>
      <w:marRight w:val="0"/>
      <w:marTop w:val="0"/>
      <w:marBottom w:val="0"/>
      <w:divBdr>
        <w:top w:val="none" w:sz="0" w:space="0" w:color="auto"/>
        <w:left w:val="none" w:sz="0" w:space="0" w:color="auto"/>
        <w:bottom w:val="none" w:sz="0" w:space="0" w:color="auto"/>
        <w:right w:val="none" w:sz="0" w:space="0" w:color="auto"/>
      </w:divBdr>
    </w:div>
    <w:div w:id="1788963358">
      <w:bodyDiv w:val="1"/>
      <w:marLeft w:val="0"/>
      <w:marRight w:val="0"/>
      <w:marTop w:val="0"/>
      <w:marBottom w:val="0"/>
      <w:divBdr>
        <w:top w:val="none" w:sz="0" w:space="0" w:color="auto"/>
        <w:left w:val="none" w:sz="0" w:space="0" w:color="auto"/>
        <w:bottom w:val="none" w:sz="0" w:space="0" w:color="auto"/>
        <w:right w:val="none" w:sz="0" w:space="0" w:color="auto"/>
      </w:divBdr>
    </w:div>
    <w:div w:id="1790929301">
      <w:bodyDiv w:val="1"/>
      <w:marLeft w:val="0"/>
      <w:marRight w:val="0"/>
      <w:marTop w:val="0"/>
      <w:marBottom w:val="0"/>
      <w:divBdr>
        <w:top w:val="none" w:sz="0" w:space="0" w:color="auto"/>
        <w:left w:val="none" w:sz="0" w:space="0" w:color="auto"/>
        <w:bottom w:val="none" w:sz="0" w:space="0" w:color="auto"/>
        <w:right w:val="none" w:sz="0" w:space="0" w:color="auto"/>
      </w:divBdr>
    </w:div>
    <w:div w:id="1808745765">
      <w:bodyDiv w:val="1"/>
      <w:marLeft w:val="0"/>
      <w:marRight w:val="0"/>
      <w:marTop w:val="0"/>
      <w:marBottom w:val="0"/>
      <w:divBdr>
        <w:top w:val="none" w:sz="0" w:space="0" w:color="auto"/>
        <w:left w:val="none" w:sz="0" w:space="0" w:color="auto"/>
        <w:bottom w:val="none" w:sz="0" w:space="0" w:color="auto"/>
        <w:right w:val="none" w:sz="0" w:space="0" w:color="auto"/>
      </w:divBdr>
    </w:div>
    <w:div w:id="1815753136">
      <w:bodyDiv w:val="1"/>
      <w:marLeft w:val="0"/>
      <w:marRight w:val="0"/>
      <w:marTop w:val="0"/>
      <w:marBottom w:val="0"/>
      <w:divBdr>
        <w:top w:val="none" w:sz="0" w:space="0" w:color="auto"/>
        <w:left w:val="none" w:sz="0" w:space="0" w:color="auto"/>
        <w:bottom w:val="none" w:sz="0" w:space="0" w:color="auto"/>
        <w:right w:val="none" w:sz="0" w:space="0" w:color="auto"/>
      </w:divBdr>
    </w:div>
    <w:div w:id="1859342799">
      <w:bodyDiv w:val="1"/>
      <w:marLeft w:val="0"/>
      <w:marRight w:val="0"/>
      <w:marTop w:val="0"/>
      <w:marBottom w:val="0"/>
      <w:divBdr>
        <w:top w:val="none" w:sz="0" w:space="0" w:color="auto"/>
        <w:left w:val="none" w:sz="0" w:space="0" w:color="auto"/>
        <w:bottom w:val="none" w:sz="0" w:space="0" w:color="auto"/>
        <w:right w:val="none" w:sz="0" w:space="0" w:color="auto"/>
      </w:divBdr>
    </w:div>
    <w:div w:id="1941638743">
      <w:bodyDiv w:val="1"/>
      <w:marLeft w:val="0"/>
      <w:marRight w:val="0"/>
      <w:marTop w:val="0"/>
      <w:marBottom w:val="0"/>
      <w:divBdr>
        <w:top w:val="none" w:sz="0" w:space="0" w:color="auto"/>
        <w:left w:val="none" w:sz="0" w:space="0" w:color="auto"/>
        <w:bottom w:val="none" w:sz="0" w:space="0" w:color="auto"/>
        <w:right w:val="none" w:sz="0" w:space="0" w:color="auto"/>
      </w:divBdr>
    </w:div>
    <w:div w:id="2005278716">
      <w:bodyDiv w:val="1"/>
      <w:marLeft w:val="0"/>
      <w:marRight w:val="0"/>
      <w:marTop w:val="0"/>
      <w:marBottom w:val="0"/>
      <w:divBdr>
        <w:top w:val="none" w:sz="0" w:space="0" w:color="auto"/>
        <w:left w:val="none" w:sz="0" w:space="0" w:color="auto"/>
        <w:bottom w:val="none" w:sz="0" w:space="0" w:color="auto"/>
        <w:right w:val="none" w:sz="0" w:space="0" w:color="auto"/>
      </w:divBdr>
    </w:div>
    <w:div w:id="2006087598">
      <w:bodyDiv w:val="1"/>
      <w:marLeft w:val="0"/>
      <w:marRight w:val="0"/>
      <w:marTop w:val="0"/>
      <w:marBottom w:val="0"/>
      <w:divBdr>
        <w:top w:val="none" w:sz="0" w:space="0" w:color="auto"/>
        <w:left w:val="none" w:sz="0" w:space="0" w:color="auto"/>
        <w:bottom w:val="none" w:sz="0" w:space="0" w:color="auto"/>
        <w:right w:val="none" w:sz="0" w:space="0" w:color="auto"/>
      </w:divBdr>
    </w:div>
    <w:div w:id="2016027683">
      <w:bodyDiv w:val="1"/>
      <w:marLeft w:val="0"/>
      <w:marRight w:val="0"/>
      <w:marTop w:val="0"/>
      <w:marBottom w:val="0"/>
      <w:divBdr>
        <w:top w:val="none" w:sz="0" w:space="0" w:color="auto"/>
        <w:left w:val="none" w:sz="0" w:space="0" w:color="auto"/>
        <w:bottom w:val="none" w:sz="0" w:space="0" w:color="auto"/>
        <w:right w:val="none" w:sz="0" w:space="0" w:color="auto"/>
      </w:divBdr>
      <w:divsChild>
        <w:div w:id="1118258154">
          <w:marLeft w:val="0"/>
          <w:marRight w:val="0"/>
          <w:marTop w:val="0"/>
          <w:marBottom w:val="0"/>
          <w:divBdr>
            <w:top w:val="none" w:sz="0" w:space="0" w:color="auto"/>
            <w:left w:val="none" w:sz="0" w:space="0" w:color="auto"/>
            <w:bottom w:val="none" w:sz="0" w:space="0" w:color="auto"/>
            <w:right w:val="none" w:sz="0" w:space="0" w:color="auto"/>
          </w:divBdr>
          <w:divsChild>
            <w:div w:id="1890452445">
              <w:marLeft w:val="0"/>
              <w:marRight w:val="0"/>
              <w:marTop w:val="0"/>
              <w:marBottom w:val="0"/>
              <w:divBdr>
                <w:top w:val="none" w:sz="0" w:space="0" w:color="auto"/>
                <w:left w:val="none" w:sz="0" w:space="0" w:color="auto"/>
                <w:bottom w:val="none" w:sz="0" w:space="0" w:color="auto"/>
                <w:right w:val="none" w:sz="0" w:space="0" w:color="auto"/>
              </w:divBdr>
              <w:divsChild>
                <w:div w:id="415327108">
                  <w:marLeft w:val="0"/>
                  <w:marRight w:val="0"/>
                  <w:marTop w:val="0"/>
                  <w:marBottom w:val="0"/>
                  <w:divBdr>
                    <w:top w:val="none" w:sz="0" w:space="0" w:color="auto"/>
                    <w:left w:val="none" w:sz="0" w:space="0" w:color="auto"/>
                    <w:bottom w:val="none" w:sz="0" w:space="0" w:color="auto"/>
                    <w:right w:val="none" w:sz="0" w:space="0" w:color="auto"/>
                  </w:divBdr>
                  <w:divsChild>
                    <w:div w:id="1018657034">
                      <w:marLeft w:val="0"/>
                      <w:marRight w:val="0"/>
                      <w:marTop w:val="0"/>
                      <w:marBottom w:val="0"/>
                      <w:divBdr>
                        <w:top w:val="none" w:sz="0" w:space="0" w:color="auto"/>
                        <w:left w:val="none" w:sz="0" w:space="0" w:color="auto"/>
                        <w:bottom w:val="none" w:sz="0" w:space="0" w:color="auto"/>
                        <w:right w:val="none" w:sz="0" w:space="0" w:color="auto"/>
                      </w:divBdr>
                      <w:divsChild>
                        <w:div w:id="16328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69001">
      <w:bodyDiv w:val="1"/>
      <w:marLeft w:val="0"/>
      <w:marRight w:val="0"/>
      <w:marTop w:val="0"/>
      <w:marBottom w:val="0"/>
      <w:divBdr>
        <w:top w:val="none" w:sz="0" w:space="0" w:color="auto"/>
        <w:left w:val="none" w:sz="0" w:space="0" w:color="auto"/>
        <w:bottom w:val="none" w:sz="0" w:space="0" w:color="auto"/>
        <w:right w:val="none" w:sz="0" w:space="0" w:color="auto"/>
      </w:divBdr>
    </w:div>
    <w:div w:id="2079011264">
      <w:bodyDiv w:val="1"/>
      <w:marLeft w:val="0"/>
      <w:marRight w:val="0"/>
      <w:marTop w:val="0"/>
      <w:marBottom w:val="0"/>
      <w:divBdr>
        <w:top w:val="none" w:sz="0" w:space="0" w:color="auto"/>
        <w:left w:val="none" w:sz="0" w:space="0" w:color="auto"/>
        <w:bottom w:val="none" w:sz="0" w:space="0" w:color="auto"/>
        <w:right w:val="none" w:sz="0" w:space="0" w:color="auto"/>
      </w:divBdr>
    </w:div>
    <w:div w:id="21227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1342248"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int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gmatonti@unis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1976C-8155-410B-B7B4-55FF4EDA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12964</Words>
  <Characters>73900</Characters>
  <Application>Microsoft Office Word</Application>
  <DocSecurity>0</DocSecurity>
  <Lines>615</Lines>
  <Paragraphs>173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86691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Tucker</dc:creator>
  <cp:keywords/>
  <dc:description/>
  <cp:lastModifiedBy>Jon Tucker</cp:lastModifiedBy>
  <cp:revision>3</cp:revision>
  <cp:lastPrinted>2017-01-04T11:54:00Z</cp:lastPrinted>
  <dcterms:created xsi:type="dcterms:W3CDTF">2017-01-18T13:51:00Z</dcterms:created>
  <dcterms:modified xsi:type="dcterms:W3CDTF">2017-01-18T13:52:00Z</dcterms:modified>
  <cp:category/>
</cp:coreProperties>
</file>