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039" w:rsidRDefault="005D516B" w:rsidP="005D516B">
      <w:pPr>
        <w:spacing w:line="360" w:lineRule="auto"/>
        <w:ind w:left="1440" w:hanging="1440"/>
        <w:rPr>
          <w:rFonts w:cstheme="minorHAnsi"/>
        </w:rPr>
      </w:pPr>
      <w:bookmarkStart w:id="0" w:name="_GoBack"/>
      <w:bookmarkEnd w:id="0"/>
      <w:r w:rsidRPr="00A67DC9">
        <w:rPr>
          <w:rFonts w:cstheme="minorHAnsi"/>
          <w:b/>
        </w:rPr>
        <w:t>Article Title</w:t>
      </w:r>
      <w:r>
        <w:rPr>
          <w:rFonts w:cstheme="minorHAnsi"/>
        </w:rPr>
        <w:t xml:space="preserve">: </w:t>
      </w:r>
      <w:r>
        <w:rPr>
          <w:rFonts w:cstheme="minorHAnsi"/>
        </w:rPr>
        <w:tab/>
        <w:t>What universities might learn from professional associations in marking large undergraduate modules</w:t>
      </w:r>
    </w:p>
    <w:p w:rsidR="00076039" w:rsidRPr="00A67DC9" w:rsidRDefault="00076039" w:rsidP="004B7525">
      <w:pPr>
        <w:spacing w:line="360" w:lineRule="auto"/>
        <w:rPr>
          <w:rFonts w:cstheme="minorHAnsi"/>
          <w:b/>
        </w:rPr>
      </w:pPr>
      <w:r w:rsidRPr="00A67DC9">
        <w:rPr>
          <w:rFonts w:cstheme="minorHAnsi"/>
          <w:b/>
        </w:rPr>
        <w:t>Abstract</w:t>
      </w:r>
    </w:p>
    <w:p w:rsidR="00076039" w:rsidRDefault="00076039" w:rsidP="004B7525">
      <w:pPr>
        <w:spacing w:line="360" w:lineRule="auto"/>
        <w:rPr>
          <w:rFonts w:cstheme="minorHAnsi"/>
        </w:rPr>
      </w:pPr>
      <w:r w:rsidRPr="005653E9">
        <w:rPr>
          <w:rFonts w:cstheme="minorHAnsi"/>
          <w:b/>
        </w:rPr>
        <w:t>Purpose</w:t>
      </w:r>
      <w:r>
        <w:rPr>
          <w:rFonts w:cstheme="minorHAnsi"/>
        </w:rPr>
        <w:t>:</w:t>
      </w:r>
      <w:r w:rsidR="00302D3E">
        <w:rPr>
          <w:rFonts w:cstheme="minorHAnsi"/>
        </w:rPr>
        <w:t xml:space="preserve"> The purpose of this viewpoint paper is to highlight to universities the approach of professional associations in marking large volumes of assessments.</w:t>
      </w:r>
    </w:p>
    <w:p w:rsidR="00076039" w:rsidRDefault="00076039" w:rsidP="004B7525">
      <w:pPr>
        <w:spacing w:line="360" w:lineRule="auto"/>
        <w:rPr>
          <w:rFonts w:cstheme="minorHAnsi"/>
        </w:rPr>
      </w:pPr>
      <w:r w:rsidRPr="005653E9">
        <w:rPr>
          <w:rFonts w:cstheme="minorHAnsi"/>
          <w:b/>
        </w:rPr>
        <w:t>Design</w:t>
      </w:r>
      <w:r>
        <w:rPr>
          <w:rFonts w:cstheme="minorHAnsi"/>
        </w:rPr>
        <w:t>:</w:t>
      </w:r>
      <w:r w:rsidR="00302D3E">
        <w:rPr>
          <w:rFonts w:cstheme="minorHAnsi"/>
        </w:rPr>
        <w:t xml:space="preserve"> The issues arising in marking large undergraduate modules in universities are discussed, before describing the approach typically adopted by professional associations. The benefit for universities of adopting such an approach is then examined.</w:t>
      </w:r>
    </w:p>
    <w:p w:rsidR="00076039" w:rsidRDefault="00076039" w:rsidP="004B7525">
      <w:pPr>
        <w:spacing w:line="360" w:lineRule="auto"/>
        <w:rPr>
          <w:rFonts w:cstheme="minorHAnsi"/>
        </w:rPr>
      </w:pPr>
      <w:r w:rsidRPr="005653E9">
        <w:rPr>
          <w:rFonts w:cstheme="minorHAnsi"/>
          <w:b/>
        </w:rPr>
        <w:t>Findings</w:t>
      </w:r>
      <w:r>
        <w:rPr>
          <w:rFonts w:cstheme="minorHAnsi"/>
        </w:rPr>
        <w:t>:</w:t>
      </w:r>
      <w:r w:rsidR="00302D3E">
        <w:rPr>
          <w:rFonts w:cstheme="minorHAnsi"/>
        </w:rPr>
        <w:t xml:space="preserve"> The key to marking large volumes for professional associations lies in the initial standardisation meeting, on-going discussions between markers, and an abi</w:t>
      </w:r>
      <w:r w:rsidR="00D77391">
        <w:rPr>
          <w:rFonts w:cstheme="minorHAnsi"/>
        </w:rPr>
        <w:t xml:space="preserve">lity to check and if necessary </w:t>
      </w:r>
      <w:r w:rsidR="00302D3E">
        <w:rPr>
          <w:rFonts w:cstheme="minorHAnsi"/>
        </w:rPr>
        <w:t>stop the marking process at several points in the marking cycle, until agreement and consistency between markers is achieved.</w:t>
      </w:r>
    </w:p>
    <w:p w:rsidR="00076039" w:rsidRDefault="00076039" w:rsidP="004B7525">
      <w:pPr>
        <w:spacing w:line="360" w:lineRule="auto"/>
        <w:rPr>
          <w:rFonts w:cstheme="minorHAnsi"/>
        </w:rPr>
      </w:pPr>
      <w:r w:rsidRPr="005653E9">
        <w:rPr>
          <w:rFonts w:cstheme="minorHAnsi"/>
          <w:b/>
        </w:rPr>
        <w:t>Research limitations</w:t>
      </w:r>
      <w:r>
        <w:rPr>
          <w:rFonts w:cstheme="minorHAnsi"/>
        </w:rPr>
        <w:t>:</w:t>
      </w:r>
      <w:r w:rsidR="00302D3E">
        <w:rPr>
          <w:rFonts w:cstheme="minorHAnsi"/>
        </w:rPr>
        <w:t xml:space="preserve"> This viewpoint paper is based on the experiences of the two authors in assessing for professional business management associations, and </w:t>
      </w:r>
      <w:r w:rsidR="005653E9">
        <w:rPr>
          <w:rFonts w:cstheme="minorHAnsi"/>
        </w:rPr>
        <w:t>not</w:t>
      </w:r>
      <w:r w:rsidR="00302D3E">
        <w:rPr>
          <w:rFonts w:cstheme="minorHAnsi"/>
        </w:rPr>
        <w:t xml:space="preserve"> empirical research.</w:t>
      </w:r>
    </w:p>
    <w:p w:rsidR="00E73433" w:rsidRDefault="00076039" w:rsidP="004B7525">
      <w:pPr>
        <w:spacing w:line="360" w:lineRule="auto"/>
        <w:rPr>
          <w:rFonts w:cstheme="minorHAnsi"/>
        </w:rPr>
      </w:pPr>
      <w:r w:rsidRPr="005653E9">
        <w:rPr>
          <w:rFonts w:cstheme="minorHAnsi"/>
          <w:b/>
        </w:rPr>
        <w:t>Practical implications</w:t>
      </w:r>
      <w:r>
        <w:rPr>
          <w:rFonts w:cstheme="minorHAnsi"/>
        </w:rPr>
        <w:t xml:space="preserve">: </w:t>
      </w:r>
      <w:r w:rsidR="00165D22">
        <w:rPr>
          <w:rFonts w:cstheme="minorHAnsi"/>
        </w:rPr>
        <w:t xml:space="preserve">The approach described here to marking large volumes of undergraduate assessments offers a </w:t>
      </w:r>
      <w:r w:rsidR="00E73433">
        <w:rPr>
          <w:rFonts w:cstheme="minorHAnsi"/>
        </w:rPr>
        <w:t xml:space="preserve">practical </w:t>
      </w:r>
      <w:r w:rsidR="00165D22">
        <w:rPr>
          <w:rFonts w:cstheme="minorHAnsi"/>
        </w:rPr>
        <w:t>solution to the prevailing issues concern</w:t>
      </w:r>
      <w:r w:rsidR="00E73433">
        <w:rPr>
          <w:rFonts w:cstheme="minorHAnsi"/>
        </w:rPr>
        <w:t>ing</w:t>
      </w:r>
      <w:r w:rsidR="00165D22">
        <w:rPr>
          <w:rFonts w:cstheme="minorHAnsi"/>
        </w:rPr>
        <w:t xml:space="preserve"> consistency </w:t>
      </w:r>
      <w:r w:rsidR="00E73433">
        <w:rPr>
          <w:rFonts w:cstheme="minorHAnsi"/>
        </w:rPr>
        <w:t xml:space="preserve">across teaching teams. </w:t>
      </w:r>
    </w:p>
    <w:p w:rsidR="00076039" w:rsidRDefault="00076039" w:rsidP="004B7525">
      <w:pPr>
        <w:spacing w:line="360" w:lineRule="auto"/>
        <w:rPr>
          <w:rFonts w:cstheme="minorHAnsi"/>
        </w:rPr>
      </w:pPr>
      <w:r w:rsidRPr="005653E9">
        <w:rPr>
          <w:rFonts w:cstheme="minorHAnsi"/>
          <w:b/>
        </w:rPr>
        <w:t>Originality/Value</w:t>
      </w:r>
      <w:r>
        <w:rPr>
          <w:rFonts w:cstheme="minorHAnsi"/>
        </w:rPr>
        <w:t>:</w:t>
      </w:r>
      <w:r w:rsidR="00E73433">
        <w:rPr>
          <w:rFonts w:cstheme="minorHAnsi"/>
        </w:rPr>
        <w:t xml:space="preserve"> </w:t>
      </w:r>
      <w:r w:rsidR="00664A20">
        <w:rPr>
          <w:rFonts w:cstheme="minorHAnsi"/>
        </w:rPr>
        <w:t>The application of the approach of professional associations to the issues surrounding marking large undergraduate modules offers a unique proposition for university staff to consider.</w:t>
      </w:r>
    </w:p>
    <w:p w:rsidR="00076039" w:rsidRDefault="00076039" w:rsidP="004B7525">
      <w:pPr>
        <w:spacing w:line="360" w:lineRule="auto"/>
        <w:rPr>
          <w:rFonts w:cstheme="minorHAnsi"/>
        </w:rPr>
      </w:pPr>
    </w:p>
    <w:p w:rsidR="00076039" w:rsidRDefault="00076039" w:rsidP="004B7525">
      <w:pPr>
        <w:spacing w:line="360" w:lineRule="auto"/>
        <w:rPr>
          <w:rFonts w:cstheme="minorHAnsi"/>
        </w:rPr>
      </w:pPr>
      <w:r w:rsidRPr="003624ED">
        <w:rPr>
          <w:rFonts w:cstheme="minorHAnsi"/>
          <w:b/>
        </w:rPr>
        <w:t>Keywords</w:t>
      </w:r>
      <w:r>
        <w:rPr>
          <w:rFonts w:cstheme="minorHAnsi"/>
        </w:rPr>
        <w:t>:</w:t>
      </w:r>
      <w:r w:rsidR="005C7439">
        <w:rPr>
          <w:rFonts w:cstheme="minorHAnsi"/>
        </w:rPr>
        <w:t xml:space="preserve"> Assessment, Higher Education, Professional Associations</w:t>
      </w:r>
      <w:r w:rsidR="003624ED">
        <w:rPr>
          <w:rFonts w:cstheme="minorHAnsi"/>
        </w:rPr>
        <w:t xml:space="preserve">, </w:t>
      </w:r>
    </w:p>
    <w:p w:rsidR="00076039" w:rsidRDefault="00076039" w:rsidP="004B7525">
      <w:pPr>
        <w:spacing w:line="360" w:lineRule="auto"/>
        <w:rPr>
          <w:rFonts w:cstheme="minorHAnsi"/>
        </w:rPr>
      </w:pPr>
      <w:r w:rsidRPr="00A67DC9">
        <w:rPr>
          <w:rFonts w:cstheme="minorHAnsi"/>
          <w:b/>
        </w:rPr>
        <w:t>Article Classification</w:t>
      </w:r>
      <w:r>
        <w:rPr>
          <w:rFonts w:cstheme="minorHAnsi"/>
        </w:rPr>
        <w:t>: Assessment Policy Article</w:t>
      </w:r>
    </w:p>
    <w:p w:rsidR="00076039" w:rsidRDefault="00076039" w:rsidP="004B7525">
      <w:pPr>
        <w:spacing w:line="360" w:lineRule="auto"/>
        <w:rPr>
          <w:rFonts w:cstheme="minorHAnsi"/>
        </w:rPr>
      </w:pPr>
      <w:r w:rsidRPr="00A67DC9">
        <w:rPr>
          <w:rFonts w:cstheme="minorHAnsi"/>
          <w:b/>
        </w:rPr>
        <w:t>Paper Type</w:t>
      </w:r>
      <w:r>
        <w:rPr>
          <w:rFonts w:cstheme="minorHAnsi"/>
        </w:rPr>
        <w:t>: Viewpoint</w:t>
      </w:r>
    </w:p>
    <w:p w:rsidR="00076039" w:rsidRDefault="0007603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5653E9" w:rsidRDefault="005653E9" w:rsidP="004B7525">
      <w:pPr>
        <w:spacing w:line="360" w:lineRule="auto"/>
        <w:rPr>
          <w:rFonts w:cstheme="minorHAnsi"/>
        </w:rPr>
      </w:pPr>
    </w:p>
    <w:p w:rsidR="00E0315A" w:rsidRDefault="00E0315A" w:rsidP="00E0315A">
      <w:pPr>
        <w:spacing w:line="360" w:lineRule="auto"/>
        <w:jc w:val="center"/>
        <w:rPr>
          <w:rFonts w:cstheme="minorHAnsi"/>
          <w:b/>
        </w:rPr>
      </w:pPr>
      <w:r w:rsidRPr="00E0315A">
        <w:rPr>
          <w:rFonts w:cstheme="minorHAnsi"/>
          <w:b/>
        </w:rPr>
        <w:t xml:space="preserve">What universities might learn from professional associations </w:t>
      </w:r>
    </w:p>
    <w:p w:rsidR="00076039" w:rsidRPr="00E0315A" w:rsidRDefault="00E0315A" w:rsidP="00E0315A">
      <w:pPr>
        <w:spacing w:line="360" w:lineRule="auto"/>
        <w:jc w:val="center"/>
        <w:rPr>
          <w:rFonts w:cstheme="minorHAnsi"/>
          <w:b/>
        </w:rPr>
      </w:pPr>
      <w:r w:rsidRPr="00E0315A">
        <w:rPr>
          <w:rFonts w:cstheme="minorHAnsi"/>
          <w:b/>
        </w:rPr>
        <w:t>in marking large undergraduate modules</w:t>
      </w:r>
    </w:p>
    <w:p w:rsidR="00076039" w:rsidRPr="004B7525" w:rsidRDefault="00076039" w:rsidP="004B7525">
      <w:pPr>
        <w:spacing w:line="360" w:lineRule="auto"/>
        <w:rPr>
          <w:rFonts w:cstheme="minorHAnsi"/>
        </w:rPr>
      </w:pPr>
    </w:p>
    <w:p w:rsidR="004B7525" w:rsidRPr="00E0315A" w:rsidRDefault="00F874A1" w:rsidP="004B7525">
      <w:pPr>
        <w:spacing w:line="360" w:lineRule="auto"/>
        <w:rPr>
          <w:rFonts w:cstheme="minorHAnsi"/>
          <w:i/>
        </w:rPr>
      </w:pPr>
      <w:r w:rsidRPr="00E0315A">
        <w:rPr>
          <w:rFonts w:cstheme="minorHAnsi"/>
          <w:i/>
        </w:rPr>
        <w:t>Mass Higher Education</w:t>
      </w:r>
    </w:p>
    <w:p w:rsidR="00367609" w:rsidRPr="004B7525" w:rsidRDefault="00367609" w:rsidP="004B7525">
      <w:pPr>
        <w:spacing w:line="360" w:lineRule="auto"/>
        <w:rPr>
          <w:rFonts w:cstheme="minorHAnsi"/>
        </w:rPr>
      </w:pPr>
      <w:r w:rsidRPr="004B7525">
        <w:rPr>
          <w:rFonts w:cstheme="minorHAnsi"/>
          <w:lang w:bidi="en-US"/>
        </w:rPr>
        <w:t>While the growth in students applying for degree programmes at UK universities has recently slowed (</w:t>
      </w:r>
      <w:proofErr w:type="spellStart"/>
      <w:r w:rsidRPr="004B7525">
        <w:rPr>
          <w:rFonts w:cstheme="minorHAnsi"/>
          <w:lang w:bidi="en-US"/>
        </w:rPr>
        <w:t>Havergal</w:t>
      </w:r>
      <w:proofErr w:type="spellEnd"/>
      <w:r w:rsidRPr="004B7525">
        <w:rPr>
          <w:rFonts w:cstheme="minorHAnsi"/>
          <w:lang w:bidi="en-US"/>
        </w:rPr>
        <w:t xml:space="preserve">, 2015), the numbers registered to undergraduate level studies in the </w:t>
      </w:r>
      <w:r w:rsidR="003631F3" w:rsidRPr="004B7525">
        <w:rPr>
          <w:rFonts w:cstheme="minorHAnsi"/>
          <w:lang w:bidi="en-US"/>
        </w:rPr>
        <w:t xml:space="preserve">UK have increased </w:t>
      </w:r>
      <w:r w:rsidRPr="004B7525">
        <w:rPr>
          <w:rFonts w:cstheme="minorHAnsi"/>
          <w:lang w:bidi="en-US"/>
        </w:rPr>
        <w:t>fr</w:t>
      </w:r>
      <w:r w:rsidR="003631F3" w:rsidRPr="004B7525">
        <w:rPr>
          <w:rFonts w:cstheme="minorHAnsi"/>
          <w:lang w:bidi="en-US"/>
        </w:rPr>
        <w:t>om 1541225 in 2000</w:t>
      </w:r>
      <w:r w:rsidR="003E4BE0" w:rsidRPr="004B7525">
        <w:rPr>
          <w:rFonts w:cstheme="minorHAnsi"/>
          <w:lang w:bidi="en-US"/>
        </w:rPr>
        <w:t>/01 to 1747855 in 2015/16</w:t>
      </w:r>
      <w:r w:rsidRPr="004B7525">
        <w:rPr>
          <w:rFonts w:cstheme="minorHAnsi"/>
          <w:lang w:bidi="en-US"/>
        </w:rPr>
        <w:t xml:space="preserve"> (</w:t>
      </w:r>
      <w:r w:rsidR="003E4BE0" w:rsidRPr="004B7525">
        <w:rPr>
          <w:rFonts w:cstheme="minorHAnsi"/>
          <w:lang w:bidi="en-US"/>
        </w:rPr>
        <w:t>https://www.hesa.ac.uk/data-and-analysis/students</w:t>
      </w:r>
      <w:r w:rsidR="003631F3" w:rsidRPr="004B7525">
        <w:rPr>
          <w:rFonts w:cstheme="minorHAnsi"/>
          <w:lang w:bidi="en-US"/>
        </w:rPr>
        <w:t>). This growth in</w:t>
      </w:r>
      <w:r w:rsidR="003A2F61" w:rsidRPr="004B7525">
        <w:rPr>
          <w:rFonts w:cstheme="minorHAnsi"/>
          <w:lang w:bidi="en-US"/>
        </w:rPr>
        <w:t xml:space="preserve"> higher education (Mayhew et al., 2004); Scott, 2005; Smith, 2006) </w:t>
      </w:r>
      <w:r w:rsidRPr="004B7525">
        <w:rPr>
          <w:rFonts w:cstheme="minorHAnsi"/>
          <w:lang w:bidi="en-US"/>
        </w:rPr>
        <w:t>has resulted in some lar</w:t>
      </w:r>
      <w:r w:rsidR="008A3AD8">
        <w:rPr>
          <w:rFonts w:cstheme="minorHAnsi"/>
          <w:lang w:bidi="en-US"/>
        </w:rPr>
        <w:t>ge class sizes (</w:t>
      </w:r>
      <w:proofErr w:type="spellStart"/>
      <w:r w:rsidR="008A3AD8">
        <w:rPr>
          <w:rFonts w:cstheme="minorHAnsi"/>
          <w:lang w:bidi="en-US"/>
        </w:rPr>
        <w:t>Bandiera</w:t>
      </w:r>
      <w:proofErr w:type="spellEnd"/>
      <w:r w:rsidR="008A3AD8">
        <w:rPr>
          <w:rFonts w:cstheme="minorHAnsi"/>
          <w:lang w:bidi="en-US"/>
        </w:rPr>
        <w:t>, 2010)</w:t>
      </w:r>
      <w:r w:rsidRPr="004B7525">
        <w:rPr>
          <w:rFonts w:cstheme="minorHAnsi"/>
          <w:lang w:bidi="en-US"/>
        </w:rPr>
        <w:t xml:space="preserve"> </w:t>
      </w:r>
      <w:r w:rsidR="00FA5E2C" w:rsidRPr="004B7525">
        <w:rPr>
          <w:rFonts w:cstheme="minorHAnsi"/>
          <w:lang w:bidi="en-US"/>
        </w:rPr>
        <w:t xml:space="preserve">especially in first year undergraduate programmes, </w:t>
      </w:r>
      <w:r w:rsidRPr="004B7525">
        <w:rPr>
          <w:rFonts w:cstheme="minorHAnsi"/>
          <w:lang w:bidi="en-US"/>
        </w:rPr>
        <w:t>although there is some e</w:t>
      </w:r>
      <w:r w:rsidR="00FA5E2C" w:rsidRPr="004B7525">
        <w:rPr>
          <w:rFonts w:cstheme="minorHAnsi"/>
          <w:lang w:bidi="en-US"/>
        </w:rPr>
        <w:t>vidence to suggest this scenario</w:t>
      </w:r>
      <w:r w:rsidRPr="004B7525">
        <w:rPr>
          <w:rFonts w:cstheme="minorHAnsi"/>
          <w:lang w:bidi="en-US"/>
        </w:rPr>
        <w:t xml:space="preserve"> is marginally improving (Guardian, 2015).</w:t>
      </w:r>
    </w:p>
    <w:p w:rsidR="00367609" w:rsidRPr="004B7525" w:rsidRDefault="00367609" w:rsidP="004B7525">
      <w:pPr>
        <w:autoSpaceDE w:val="0"/>
        <w:autoSpaceDN w:val="0"/>
        <w:adjustRightInd w:val="0"/>
        <w:spacing w:after="0" w:line="360" w:lineRule="auto"/>
        <w:rPr>
          <w:rFonts w:cstheme="minorHAnsi"/>
          <w:lang w:bidi="en-US"/>
        </w:rPr>
      </w:pPr>
    </w:p>
    <w:p w:rsidR="00F874A1" w:rsidRPr="00E0315A" w:rsidRDefault="00E0315A" w:rsidP="004B7525">
      <w:pPr>
        <w:autoSpaceDE w:val="0"/>
        <w:autoSpaceDN w:val="0"/>
        <w:adjustRightInd w:val="0"/>
        <w:spacing w:after="0" w:line="360" w:lineRule="auto"/>
        <w:rPr>
          <w:rFonts w:cstheme="minorHAnsi"/>
          <w:i/>
          <w:lang w:bidi="en-US"/>
        </w:rPr>
      </w:pPr>
      <w:r w:rsidRPr="00E0315A">
        <w:rPr>
          <w:rFonts w:cstheme="minorHAnsi"/>
          <w:i/>
          <w:lang w:bidi="en-US"/>
        </w:rPr>
        <w:t>Current issues</w:t>
      </w:r>
      <w:r w:rsidR="00F874A1" w:rsidRPr="00E0315A">
        <w:rPr>
          <w:rFonts w:cstheme="minorHAnsi"/>
          <w:i/>
          <w:lang w:bidi="en-US"/>
        </w:rPr>
        <w:t xml:space="preserve"> wi</w:t>
      </w:r>
      <w:r w:rsidRPr="00E0315A">
        <w:rPr>
          <w:rFonts w:cstheme="minorHAnsi"/>
          <w:i/>
          <w:lang w:bidi="en-US"/>
        </w:rPr>
        <w:t xml:space="preserve">th </w:t>
      </w:r>
      <w:r w:rsidR="00F874A1" w:rsidRPr="00E0315A">
        <w:rPr>
          <w:rFonts w:cstheme="minorHAnsi"/>
          <w:i/>
          <w:lang w:bidi="en-US"/>
        </w:rPr>
        <w:t>marking</w:t>
      </w:r>
      <w:r w:rsidRPr="00E0315A">
        <w:rPr>
          <w:rFonts w:cstheme="minorHAnsi"/>
          <w:i/>
          <w:lang w:bidi="en-US"/>
        </w:rPr>
        <w:t xml:space="preserve"> assessments</w:t>
      </w:r>
    </w:p>
    <w:p w:rsidR="00463600" w:rsidRPr="004B7525" w:rsidRDefault="00463600" w:rsidP="004B7525">
      <w:pPr>
        <w:autoSpaceDE w:val="0"/>
        <w:autoSpaceDN w:val="0"/>
        <w:adjustRightInd w:val="0"/>
        <w:spacing w:after="0" w:line="360" w:lineRule="auto"/>
        <w:rPr>
          <w:rFonts w:cstheme="minorHAnsi"/>
          <w:lang w:bidi="en-US"/>
        </w:rPr>
      </w:pPr>
    </w:p>
    <w:p w:rsidR="00061E1E" w:rsidRPr="004B7525" w:rsidRDefault="00367609" w:rsidP="004B7525">
      <w:pPr>
        <w:autoSpaceDE w:val="0"/>
        <w:autoSpaceDN w:val="0"/>
        <w:adjustRightInd w:val="0"/>
        <w:spacing w:after="0" w:line="360" w:lineRule="auto"/>
        <w:rPr>
          <w:rFonts w:cstheme="minorHAnsi"/>
          <w:lang w:bidi="en-US"/>
        </w:rPr>
      </w:pPr>
      <w:r w:rsidRPr="004B7525">
        <w:rPr>
          <w:rFonts w:cstheme="minorHAnsi"/>
          <w:lang w:bidi="en-US"/>
        </w:rPr>
        <w:t>Nonetheless, not only do large class sizes create problems for learning and teaching</w:t>
      </w:r>
      <w:r w:rsidR="00DD7868" w:rsidRPr="004B7525">
        <w:rPr>
          <w:rFonts w:cstheme="minorHAnsi"/>
          <w:lang w:bidi="en-US"/>
        </w:rPr>
        <w:t xml:space="preserve"> (</w:t>
      </w:r>
      <w:proofErr w:type="spellStart"/>
      <w:r w:rsidR="00DD7868" w:rsidRPr="004B7525">
        <w:rPr>
          <w:rFonts w:cstheme="minorHAnsi"/>
          <w:lang w:bidi="en-US"/>
        </w:rPr>
        <w:t>Mulryan-Kyne</w:t>
      </w:r>
      <w:proofErr w:type="spellEnd"/>
      <w:r w:rsidR="00DD7868" w:rsidRPr="004B7525">
        <w:rPr>
          <w:rFonts w:cstheme="minorHAnsi"/>
          <w:lang w:bidi="en-US"/>
        </w:rPr>
        <w:t>, 2010)</w:t>
      </w:r>
      <w:r w:rsidRPr="004B7525">
        <w:rPr>
          <w:rFonts w:cstheme="minorHAnsi"/>
          <w:lang w:bidi="en-US"/>
        </w:rPr>
        <w:t xml:space="preserve">, issues surrounding assessments especially </w:t>
      </w:r>
      <w:r w:rsidR="00162ADD" w:rsidRPr="004B7525">
        <w:rPr>
          <w:rFonts w:cstheme="minorHAnsi"/>
          <w:lang w:bidi="en-US"/>
        </w:rPr>
        <w:t xml:space="preserve">quality of feedback (Nicol, 2010) and </w:t>
      </w:r>
      <w:r w:rsidRPr="004B7525">
        <w:rPr>
          <w:rFonts w:cstheme="minorHAnsi"/>
          <w:lang w:bidi="en-US"/>
        </w:rPr>
        <w:t>ensuring reliability and consistency in marking</w:t>
      </w:r>
      <w:r w:rsidR="00162ADD" w:rsidRPr="004B7525">
        <w:rPr>
          <w:rFonts w:cstheme="minorHAnsi"/>
          <w:lang w:bidi="en-US"/>
        </w:rPr>
        <w:t xml:space="preserve"> </w:t>
      </w:r>
      <w:r w:rsidR="00DC6700" w:rsidRPr="004B7525">
        <w:rPr>
          <w:rFonts w:cstheme="minorHAnsi"/>
          <w:lang w:bidi="en-US"/>
        </w:rPr>
        <w:t>(O’Hagan and Wigglesworth, 2015)</w:t>
      </w:r>
      <w:r w:rsidR="00162ADD" w:rsidRPr="004B7525">
        <w:rPr>
          <w:rFonts w:cstheme="minorHAnsi"/>
          <w:lang w:bidi="en-US"/>
        </w:rPr>
        <w:t xml:space="preserve"> remain perennial concerns</w:t>
      </w:r>
      <w:r w:rsidR="00DC6700" w:rsidRPr="004B7525">
        <w:rPr>
          <w:rFonts w:cstheme="minorHAnsi"/>
          <w:lang w:bidi="en-US"/>
        </w:rPr>
        <w:t xml:space="preserve">. </w:t>
      </w:r>
      <w:r w:rsidR="00D66361" w:rsidRPr="004B7525">
        <w:rPr>
          <w:rFonts w:cstheme="minorHAnsi"/>
          <w:lang w:bidi="en-US"/>
        </w:rPr>
        <w:t xml:space="preserve">It </w:t>
      </w:r>
      <w:r w:rsidR="00061E1E" w:rsidRPr="004B7525">
        <w:rPr>
          <w:rFonts w:cstheme="minorHAnsi"/>
          <w:lang w:bidi="en-US"/>
        </w:rPr>
        <w:t>would be logical to assume</w:t>
      </w:r>
      <w:r w:rsidR="00D66361" w:rsidRPr="004B7525">
        <w:rPr>
          <w:rFonts w:cstheme="minorHAnsi"/>
          <w:lang w:bidi="en-US"/>
        </w:rPr>
        <w:t xml:space="preserve"> that the progression to mass higher education</w:t>
      </w:r>
      <w:r w:rsidR="00061E1E" w:rsidRPr="004B7525">
        <w:rPr>
          <w:rFonts w:cstheme="minorHAnsi"/>
          <w:lang w:bidi="en-US"/>
        </w:rPr>
        <w:t xml:space="preserve"> would result</w:t>
      </w:r>
      <w:r w:rsidR="00D66361" w:rsidRPr="004B7525">
        <w:rPr>
          <w:rFonts w:cstheme="minorHAnsi"/>
          <w:lang w:bidi="en-US"/>
        </w:rPr>
        <w:t xml:space="preserve"> in</w:t>
      </w:r>
      <w:r w:rsidR="00061E1E" w:rsidRPr="004B7525">
        <w:rPr>
          <w:rFonts w:cstheme="minorHAnsi"/>
          <w:lang w:bidi="en-US"/>
        </w:rPr>
        <w:t xml:space="preserve"> greater standardisation of</w:t>
      </w:r>
      <w:r w:rsidR="00D66361" w:rsidRPr="004B7525">
        <w:rPr>
          <w:rFonts w:cstheme="minorHAnsi"/>
          <w:lang w:bidi="en-US"/>
        </w:rPr>
        <w:t xml:space="preserve"> knowledge, programmes a</w:t>
      </w:r>
      <w:r w:rsidR="00061E1E" w:rsidRPr="004B7525">
        <w:rPr>
          <w:rFonts w:cstheme="minorHAnsi"/>
          <w:lang w:bidi="en-US"/>
        </w:rPr>
        <w:t>nd assessments (</w:t>
      </w:r>
      <w:proofErr w:type="spellStart"/>
      <w:r w:rsidR="00061E1E" w:rsidRPr="004B7525">
        <w:rPr>
          <w:rFonts w:cstheme="minorHAnsi"/>
          <w:lang w:bidi="en-US"/>
        </w:rPr>
        <w:t>Teschler</w:t>
      </w:r>
      <w:proofErr w:type="spellEnd"/>
      <w:r w:rsidR="00061E1E" w:rsidRPr="004B7525">
        <w:rPr>
          <w:rFonts w:cstheme="minorHAnsi"/>
          <w:lang w:bidi="en-US"/>
        </w:rPr>
        <w:t>, 2001)</w:t>
      </w:r>
      <w:r w:rsidR="00DF4AFD" w:rsidRPr="004B7525">
        <w:rPr>
          <w:rFonts w:cstheme="minorHAnsi"/>
          <w:lang w:bidi="en-US"/>
        </w:rPr>
        <w:t xml:space="preserve"> which would resolve any marking discrepancies</w:t>
      </w:r>
      <w:r w:rsidR="00061E1E" w:rsidRPr="004B7525">
        <w:rPr>
          <w:rFonts w:cstheme="minorHAnsi"/>
          <w:lang w:bidi="en-US"/>
        </w:rPr>
        <w:t xml:space="preserve">. </w:t>
      </w:r>
      <w:r w:rsidR="00DD7868" w:rsidRPr="004B7525">
        <w:rPr>
          <w:rFonts w:cstheme="minorHAnsi"/>
          <w:lang w:bidi="en-US"/>
        </w:rPr>
        <w:t xml:space="preserve">However, </w:t>
      </w:r>
      <w:r w:rsidR="008A3AD8">
        <w:rPr>
          <w:rFonts w:cstheme="minorHAnsi"/>
          <w:lang w:bidi="en-US"/>
        </w:rPr>
        <w:t xml:space="preserve">in </w:t>
      </w:r>
      <w:r w:rsidR="00DD7868" w:rsidRPr="004B7525">
        <w:rPr>
          <w:rFonts w:cstheme="minorHAnsi"/>
          <w:lang w:bidi="en-US"/>
        </w:rPr>
        <w:t xml:space="preserve">modules with large student cohorts, assessments tend to be marked by a team of Tutors, which can result in problems of consistency across </w:t>
      </w:r>
      <w:proofErr w:type="gramStart"/>
      <w:r w:rsidR="00DD7868" w:rsidRPr="004B7525">
        <w:rPr>
          <w:rFonts w:cstheme="minorHAnsi"/>
          <w:lang w:bidi="en-US"/>
        </w:rPr>
        <w:t xml:space="preserve">all </w:t>
      </w:r>
      <w:r w:rsidR="008A3AD8">
        <w:rPr>
          <w:rFonts w:cstheme="minorHAnsi"/>
          <w:lang w:bidi="en-US"/>
        </w:rPr>
        <w:t>of</w:t>
      </w:r>
      <w:proofErr w:type="gramEnd"/>
      <w:r w:rsidR="008A3AD8">
        <w:rPr>
          <w:rFonts w:cstheme="minorHAnsi"/>
          <w:lang w:bidi="en-US"/>
        </w:rPr>
        <w:t xml:space="preserve"> the </w:t>
      </w:r>
      <w:r w:rsidR="00DD7868" w:rsidRPr="004B7525">
        <w:rPr>
          <w:rFonts w:cstheme="minorHAnsi"/>
          <w:lang w:bidi="en-US"/>
        </w:rPr>
        <w:t>members. A</w:t>
      </w:r>
      <w:r w:rsidR="00D66361" w:rsidRPr="004B7525">
        <w:rPr>
          <w:rFonts w:cstheme="minorHAnsi"/>
          <w:lang w:bidi="en-US"/>
        </w:rPr>
        <w:t xml:space="preserve">s </w:t>
      </w:r>
      <w:r w:rsidR="00DD7868" w:rsidRPr="004B7525">
        <w:rPr>
          <w:rFonts w:cstheme="minorHAnsi"/>
          <w:lang w:bidi="en-US"/>
        </w:rPr>
        <w:t xml:space="preserve">Dunn et al. (2005) note, </w:t>
      </w:r>
      <w:r w:rsidRPr="004B7525">
        <w:rPr>
          <w:rFonts w:cstheme="minorHAnsi"/>
          <w:lang w:bidi="en-US"/>
        </w:rPr>
        <w:t xml:space="preserve">even with </w:t>
      </w:r>
      <w:r w:rsidR="008A3AD8">
        <w:rPr>
          <w:rFonts w:cstheme="minorHAnsi"/>
          <w:lang w:bidi="en-US"/>
        </w:rPr>
        <w:t>criterion-referenced assessment</w:t>
      </w:r>
      <w:r w:rsidRPr="004B7525">
        <w:rPr>
          <w:rFonts w:cstheme="minorHAnsi"/>
          <w:lang w:bidi="en-US"/>
        </w:rPr>
        <w:t xml:space="preserve"> assessors can differ in their respective interpretations, particularly in essays or similar discursive pieces</w:t>
      </w:r>
      <w:r w:rsidR="005A15CF" w:rsidRPr="004B7525">
        <w:rPr>
          <w:rFonts w:cstheme="minorHAnsi"/>
          <w:lang w:bidi="en-US"/>
        </w:rPr>
        <w:t xml:space="preserve"> (Brooks, 2012)</w:t>
      </w:r>
      <w:r w:rsidRPr="004B7525">
        <w:rPr>
          <w:rFonts w:cstheme="minorHAnsi"/>
          <w:lang w:bidi="en-US"/>
        </w:rPr>
        <w:t>.</w:t>
      </w:r>
      <w:r w:rsidR="00DD7868" w:rsidRPr="004B7525">
        <w:rPr>
          <w:rFonts w:cstheme="minorHAnsi"/>
          <w:lang w:bidi="en-US"/>
        </w:rPr>
        <w:t xml:space="preserve"> </w:t>
      </w:r>
      <w:r w:rsidRPr="004B7525">
        <w:rPr>
          <w:rFonts w:cstheme="minorHAnsi"/>
          <w:lang w:bidi="en-US"/>
        </w:rPr>
        <w:t xml:space="preserve">This results in assessors tending to </w:t>
      </w:r>
      <w:r w:rsidR="008A3AD8">
        <w:rPr>
          <w:rFonts w:cstheme="minorHAnsi"/>
          <w:lang w:bidi="en-US"/>
        </w:rPr>
        <w:t xml:space="preserve">mark work in a holistic manner </w:t>
      </w:r>
      <w:r w:rsidRPr="004B7525">
        <w:rPr>
          <w:rFonts w:cstheme="minorHAnsi"/>
          <w:lang w:bidi="en-US"/>
        </w:rPr>
        <w:t xml:space="preserve">rather than in a precise, analytical method (Bloxham et al., 2011; </w:t>
      </w:r>
      <w:proofErr w:type="spellStart"/>
      <w:r w:rsidRPr="004B7525">
        <w:rPr>
          <w:rFonts w:cstheme="minorHAnsi"/>
          <w:lang w:bidi="en-US"/>
        </w:rPr>
        <w:t>Kalthoff</w:t>
      </w:r>
      <w:proofErr w:type="spellEnd"/>
      <w:r w:rsidRPr="004B7525">
        <w:rPr>
          <w:rFonts w:cstheme="minorHAnsi"/>
          <w:lang w:bidi="en-US"/>
        </w:rPr>
        <w:t>, 2013; Sadler, 2005)</w:t>
      </w:r>
      <w:r w:rsidR="003355A6" w:rsidRPr="004B7525">
        <w:rPr>
          <w:rFonts w:cstheme="minorHAnsi"/>
          <w:lang w:bidi="en-US"/>
        </w:rPr>
        <w:t xml:space="preserve"> which can thus create</w:t>
      </w:r>
      <w:r w:rsidR="00804939" w:rsidRPr="004B7525">
        <w:rPr>
          <w:rFonts w:cstheme="minorHAnsi"/>
          <w:lang w:bidi="en-US"/>
        </w:rPr>
        <w:t xml:space="preserve"> discrepancies </w:t>
      </w:r>
      <w:r w:rsidR="00131A70" w:rsidRPr="004B7525">
        <w:rPr>
          <w:rFonts w:cstheme="minorHAnsi"/>
          <w:lang w:bidi="en-US"/>
        </w:rPr>
        <w:t>across</w:t>
      </w:r>
      <w:r w:rsidR="00804939" w:rsidRPr="004B7525">
        <w:rPr>
          <w:rFonts w:cstheme="minorHAnsi"/>
          <w:lang w:bidi="en-US"/>
        </w:rPr>
        <w:t xml:space="preserve"> marking teams</w:t>
      </w:r>
      <w:r w:rsidRPr="004B7525">
        <w:rPr>
          <w:rFonts w:cstheme="minorHAnsi"/>
          <w:lang w:bidi="en-US"/>
        </w:rPr>
        <w:t xml:space="preserve">. </w:t>
      </w:r>
    </w:p>
    <w:p w:rsidR="00061E1E" w:rsidRPr="004B7525" w:rsidRDefault="00061E1E" w:rsidP="004B7525">
      <w:pPr>
        <w:autoSpaceDE w:val="0"/>
        <w:autoSpaceDN w:val="0"/>
        <w:adjustRightInd w:val="0"/>
        <w:spacing w:after="0" w:line="360" w:lineRule="auto"/>
        <w:rPr>
          <w:rFonts w:cstheme="minorHAnsi"/>
          <w:lang w:bidi="en-US"/>
        </w:rPr>
      </w:pPr>
    </w:p>
    <w:p w:rsidR="00343409" w:rsidRPr="004B7525" w:rsidRDefault="00367609" w:rsidP="004B7525">
      <w:pPr>
        <w:autoSpaceDE w:val="0"/>
        <w:autoSpaceDN w:val="0"/>
        <w:adjustRightInd w:val="0"/>
        <w:spacing w:after="0" w:line="360" w:lineRule="auto"/>
        <w:rPr>
          <w:rFonts w:cstheme="minorHAnsi"/>
          <w:lang w:bidi="en-US"/>
        </w:rPr>
      </w:pPr>
      <w:r w:rsidRPr="004B7525">
        <w:rPr>
          <w:rFonts w:cstheme="minorHAnsi"/>
          <w:lang w:bidi="en-US"/>
        </w:rPr>
        <w:t xml:space="preserve">These discrepancies </w:t>
      </w:r>
      <w:r w:rsidR="00CB17B9" w:rsidRPr="004B7525">
        <w:rPr>
          <w:rFonts w:cstheme="minorHAnsi"/>
          <w:lang w:bidi="en-US"/>
        </w:rPr>
        <w:t>can be exacerbated by using</w:t>
      </w:r>
      <w:r w:rsidRPr="004B7525">
        <w:rPr>
          <w:rFonts w:cstheme="minorHAnsi"/>
          <w:lang w:bidi="en-US"/>
        </w:rPr>
        <w:t xml:space="preserve"> sessional staff or graduate</w:t>
      </w:r>
      <w:r w:rsidR="008A3AD8">
        <w:rPr>
          <w:rFonts w:cstheme="minorHAnsi"/>
          <w:lang w:bidi="en-US"/>
        </w:rPr>
        <w:t xml:space="preserve"> assistants</w:t>
      </w:r>
      <w:r w:rsidR="005A15CF" w:rsidRPr="004B7525">
        <w:rPr>
          <w:rFonts w:cstheme="minorHAnsi"/>
          <w:lang w:bidi="en-US"/>
        </w:rPr>
        <w:t xml:space="preserve"> who might </w:t>
      </w:r>
      <w:r w:rsidRPr="004B7525">
        <w:rPr>
          <w:rFonts w:cstheme="minorHAnsi"/>
          <w:lang w:bidi="en-US"/>
        </w:rPr>
        <w:t>have little assessment experience</w:t>
      </w:r>
      <w:r w:rsidR="005A15CF" w:rsidRPr="004B7525">
        <w:rPr>
          <w:rFonts w:cstheme="minorHAnsi"/>
          <w:lang w:bidi="en-US"/>
        </w:rPr>
        <w:t xml:space="preserve"> (</w:t>
      </w:r>
      <w:proofErr w:type="spellStart"/>
      <w:r w:rsidR="005A15CF" w:rsidRPr="004B7525">
        <w:rPr>
          <w:rFonts w:cstheme="minorHAnsi"/>
          <w:lang w:bidi="en-US"/>
        </w:rPr>
        <w:t>Bearman</w:t>
      </w:r>
      <w:proofErr w:type="spellEnd"/>
      <w:r w:rsidR="005A15CF" w:rsidRPr="004B7525">
        <w:rPr>
          <w:rFonts w:cstheme="minorHAnsi"/>
          <w:lang w:bidi="en-US"/>
        </w:rPr>
        <w:t xml:space="preserve"> et al</w:t>
      </w:r>
      <w:r w:rsidR="00CF41ED">
        <w:rPr>
          <w:rFonts w:cstheme="minorHAnsi"/>
          <w:lang w:bidi="en-US"/>
        </w:rPr>
        <w:t>.</w:t>
      </w:r>
      <w:r w:rsidR="005A15CF" w:rsidRPr="004B7525">
        <w:rPr>
          <w:rFonts w:cstheme="minorHAnsi"/>
          <w:lang w:bidi="en-US"/>
        </w:rPr>
        <w:t>, 2016)</w:t>
      </w:r>
      <w:r w:rsidR="00463600">
        <w:rPr>
          <w:rFonts w:cstheme="minorHAnsi"/>
          <w:lang w:bidi="en-US"/>
        </w:rPr>
        <w:t xml:space="preserve"> </w:t>
      </w:r>
      <w:r w:rsidR="00DF4AFD" w:rsidRPr="004B7525">
        <w:rPr>
          <w:rFonts w:cstheme="minorHAnsi"/>
          <w:lang w:bidi="en-US"/>
        </w:rPr>
        <w:t>or</w:t>
      </w:r>
      <w:r w:rsidR="00463600">
        <w:rPr>
          <w:rFonts w:cstheme="minorHAnsi"/>
          <w:lang w:bidi="en-US"/>
        </w:rPr>
        <w:t xml:space="preserve"> may</w:t>
      </w:r>
      <w:r w:rsidR="00DF4AFD" w:rsidRPr="004B7525">
        <w:rPr>
          <w:rFonts w:cstheme="minorHAnsi"/>
          <w:lang w:bidi="en-US"/>
        </w:rPr>
        <w:t xml:space="preserve"> have received little training (Smith and Coombe, 2006)</w:t>
      </w:r>
      <w:r w:rsidR="005A15CF" w:rsidRPr="004B7525">
        <w:rPr>
          <w:rFonts w:cstheme="minorHAnsi"/>
          <w:lang w:bidi="en-US"/>
        </w:rPr>
        <w:t xml:space="preserve">. They can also </w:t>
      </w:r>
      <w:r w:rsidRPr="004B7525">
        <w:rPr>
          <w:rFonts w:cstheme="minorHAnsi"/>
          <w:lang w:bidi="en-US"/>
        </w:rPr>
        <w:t xml:space="preserve">potentially adopt risk-adverse practices due to unequal power relations (Bloxham, 2009; Grainger </w:t>
      </w:r>
      <w:r w:rsidRPr="004B7525">
        <w:rPr>
          <w:rFonts w:cstheme="minorHAnsi"/>
          <w:i/>
          <w:lang w:bidi="en-US"/>
        </w:rPr>
        <w:t>et al</w:t>
      </w:r>
      <w:r w:rsidRPr="004B7525">
        <w:rPr>
          <w:rFonts w:cstheme="minorHAnsi"/>
          <w:lang w:bidi="en-US"/>
        </w:rPr>
        <w:t xml:space="preserve">., 2015; </w:t>
      </w:r>
      <w:proofErr w:type="spellStart"/>
      <w:r w:rsidRPr="004B7525">
        <w:rPr>
          <w:rFonts w:cstheme="minorHAnsi"/>
          <w:lang w:bidi="en-US"/>
        </w:rPr>
        <w:t>Salamonso</w:t>
      </w:r>
      <w:r w:rsidR="00B701B3" w:rsidRPr="004B7525">
        <w:rPr>
          <w:rFonts w:cstheme="minorHAnsi"/>
          <w:lang w:bidi="en-US"/>
        </w:rPr>
        <w:t>n</w:t>
      </w:r>
      <w:proofErr w:type="spellEnd"/>
      <w:r w:rsidR="00B701B3" w:rsidRPr="004B7525">
        <w:rPr>
          <w:rFonts w:cstheme="minorHAnsi"/>
          <w:lang w:bidi="en-US"/>
        </w:rPr>
        <w:t xml:space="preserve"> et al., 2010)</w:t>
      </w:r>
      <w:r w:rsidR="00DF4AFD" w:rsidRPr="004B7525">
        <w:rPr>
          <w:rFonts w:cstheme="minorHAnsi"/>
          <w:lang w:bidi="en-US"/>
        </w:rPr>
        <w:t xml:space="preserve"> manipulating marks to what they think would appease those in senior positions</w:t>
      </w:r>
      <w:r w:rsidR="00B701B3" w:rsidRPr="004B7525">
        <w:rPr>
          <w:rFonts w:cstheme="minorHAnsi"/>
          <w:lang w:bidi="en-US"/>
        </w:rPr>
        <w:t xml:space="preserve">. </w:t>
      </w:r>
      <w:r w:rsidR="00BF30ED" w:rsidRPr="004B7525">
        <w:rPr>
          <w:rFonts w:cstheme="minorHAnsi"/>
        </w:rPr>
        <w:t>E</w:t>
      </w:r>
      <w:r w:rsidR="00424D9C" w:rsidRPr="004B7525">
        <w:rPr>
          <w:rFonts w:cstheme="minorHAnsi"/>
        </w:rPr>
        <w:t xml:space="preserve">ven though marking schemes may be tightly enumerated to remove any personal interpretation on behalf of the </w:t>
      </w:r>
      <w:r w:rsidR="00DF4AFD" w:rsidRPr="004B7525">
        <w:rPr>
          <w:rFonts w:cstheme="minorHAnsi"/>
        </w:rPr>
        <w:t xml:space="preserve">respective </w:t>
      </w:r>
      <w:r w:rsidR="00424D9C" w:rsidRPr="004B7525">
        <w:rPr>
          <w:rFonts w:cstheme="minorHAnsi"/>
        </w:rPr>
        <w:t>marking tutor</w:t>
      </w:r>
      <w:r w:rsidR="00424D9C" w:rsidRPr="004B7525">
        <w:rPr>
          <w:rFonts w:cstheme="minorHAnsi"/>
          <w:lang w:bidi="en-US"/>
        </w:rPr>
        <w:t>, m</w:t>
      </w:r>
      <w:r w:rsidRPr="004B7525">
        <w:rPr>
          <w:rFonts w:cstheme="minorHAnsi"/>
          <w:lang w:bidi="en-US"/>
        </w:rPr>
        <w:t>arks</w:t>
      </w:r>
      <w:r w:rsidR="00463600">
        <w:rPr>
          <w:rFonts w:cstheme="minorHAnsi"/>
          <w:lang w:bidi="en-US"/>
        </w:rPr>
        <w:t xml:space="preserve"> can still </w:t>
      </w:r>
      <w:r w:rsidR="00B701B3" w:rsidRPr="004B7525">
        <w:rPr>
          <w:rFonts w:cstheme="minorHAnsi"/>
          <w:lang w:bidi="en-US"/>
        </w:rPr>
        <w:t>be adjusted,</w:t>
      </w:r>
      <w:r w:rsidRPr="004B7525">
        <w:rPr>
          <w:rFonts w:cstheme="minorHAnsi"/>
          <w:lang w:bidi="en-US"/>
        </w:rPr>
        <w:t xml:space="preserve"> in accordance with perceptions, rather than </w:t>
      </w:r>
      <w:r w:rsidR="00424D9C" w:rsidRPr="004B7525">
        <w:rPr>
          <w:rFonts w:cstheme="minorHAnsi"/>
          <w:lang w:bidi="en-US"/>
        </w:rPr>
        <w:t>the e</w:t>
      </w:r>
      <w:r w:rsidR="008B7CA3" w:rsidRPr="004B7525">
        <w:rPr>
          <w:rFonts w:cstheme="minorHAnsi"/>
          <w:lang w:bidi="en-US"/>
        </w:rPr>
        <w:t xml:space="preserve">stablished assessment </w:t>
      </w:r>
      <w:r w:rsidR="00463600">
        <w:rPr>
          <w:rFonts w:cstheme="minorHAnsi"/>
          <w:lang w:bidi="en-US"/>
        </w:rPr>
        <w:t>criteria. Additionally, t</w:t>
      </w:r>
      <w:r w:rsidRPr="004B7525">
        <w:rPr>
          <w:rFonts w:cstheme="minorHAnsi"/>
          <w:lang w:bidi="en-US"/>
        </w:rPr>
        <w:t xml:space="preserve">here is even evidence to suggest that individual </w:t>
      </w:r>
      <w:r w:rsidR="008A3AD8">
        <w:rPr>
          <w:rFonts w:cstheme="minorHAnsi"/>
          <w:lang w:bidi="en-US"/>
        </w:rPr>
        <w:t>marking consistency will change</w:t>
      </w:r>
      <w:r w:rsidRPr="004B7525">
        <w:rPr>
          <w:rFonts w:cstheme="minorHAnsi"/>
          <w:lang w:bidi="en-US"/>
        </w:rPr>
        <w:t xml:space="preserve"> as an assessor works through a large batch of assessments (</w:t>
      </w:r>
      <w:proofErr w:type="spellStart"/>
      <w:r w:rsidRPr="004B7525">
        <w:rPr>
          <w:rFonts w:cstheme="minorHAnsi"/>
          <w:lang w:bidi="en-US"/>
        </w:rPr>
        <w:t>Dracup</w:t>
      </w:r>
      <w:proofErr w:type="spellEnd"/>
      <w:r w:rsidRPr="004B7525">
        <w:rPr>
          <w:rFonts w:cstheme="minorHAnsi"/>
          <w:lang w:bidi="en-US"/>
        </w:rPr>
        <w:t xml:space="preserve">, 1997; Pinot de Moira, 2002). </w:t>
      </w:r>
    </w:p>
    <w:p w:rsidR="00343409" w:rsidRPr="004B7525" w:rsidRDefault="00343409" w:rsidP="004B7525">
      <w:pPr>
        <w:autoSpaceDE w:val="0"/>
        <w:autoSpaceDN w:val="0"/>
        <w:adjustRightInd w:val="0"/>
        <w:spacing w:after="0" w:line="360" w:lineRule="auto"/>
        <w:rPr>
          <w:rFonts w:cstheme="minorHAnsi"/>
          <w:lang w:bidi="en-US"/>
        </w:rPr>
      </w:pPr>
    </w:p>
    <w:p w:rsidR="00367609" w:rsidRPr="004B7525" w:rsidRDefault="00367609" w:rsidP="004B7525">
      <w:pPr>
        <w:autoSpaceDE w:val="0"/>
        <w:autoSpaceDN w:val="0"/>
        <w:adjustRightInd w:val="0"/>
        <w:spacing w:after="0" w:line="360" w:lineRule="auto"/>
        <w:rPr>
          <w:rFonts w:cstheme="minorHAnsi"/>
          <w:lang w:bidi="en-US"/>
        </w:rPr>
      </w:pPr>
      <w:r w:rsidRPr="004B7525">
        <w:rPr>
          <w:rFonts w:cstheme="minorHAnsi"/>
          <w:lang w:bidi="en-US"/>
        </w:rPr>
        <w:t>While marked work is usually subject to moderation, some authors have been critical of this practice (see for example, Light et al., 2014)</w:t>
      </w:r>
      <w:r w:rsidR="00B55D6C" w:rsidRPr="004B7525">
        <w:rPr>
          <w:rFonts w:cstheme="minorHAnsi"/>
          <w:lang w:bidi="en-US"/>
        </w:rPr>
        <w:t xml:space="preserve"> especially regarding the extent of the subjective nature of moderating (Smith, 2012)</w:t>
      </w:r>
      <w:r w:rsidR="00FA5E2C" w:rsidRPr="004B7525">
        <w:rPr>
          <w:rFonts w:cstheme="minorHAnsi"/>
          <w:lang w:bidi="en-US"/>
        </w:rPr>
        <w:t>. Moreover, moderation at the end</w:t>
      </w:r>
      <w:r w:rsidR="004E70BE" w:rsidRPr="004B7525">
        <w:rPr>
          <w:rFonts w:cstheme="minorHAnsi"/>
          <w:lang w:bidi="en-US"/>
        </w:rPr>
        <w:t xml:space="preserve"> of a module is somewhat akin</w:t>
      </w:r>
      <w:r w:rsidR="00FA5E2C" w:rsidRPr="004B7525">
        <w:rPr>
          <w:rFonts w:cstheme="minorHAnsi"/>
          <w:lang w:bidi="en-US"/>
        </w:rPr>
        <w:t xml:space="preserve"> to a quality control process, in that it is an end-point check - the substantial work of marking has already been undertaken. </w:t>
      </w:r>
      <w:r w:rsidR="0055788F" w:rsidRPr="004B7525">
        <w:rPr>
          <w:rFonts w:cstheme="minorHAnsi"/>
          <w:lang w:bidi="en-US"/>
        </w:rPr>
        <w:t xml:space="preserve">If it is </w:t>
      </w:r>
      <w:r w:rsidR="00CC1748" w:rsidRPr="004B7525">
        <w:rPr>
          <w:rFonts w:cstheme="minorHAnsi"/>
          <w:lang w:bidi="en-US"/>
        </w:rPr>
        <w:t xml:space="preserve">then </w:t>
      </w:r>
      <w:r w:rsidR="0055788F" w:rsidRPr="004B7525">
        <w:rPr>
          <w:rFonts w:cstheme="minorHAnsi"/>
          <w:lang w:bidi="en-US"/>
        </w:rPr>
        <w:t xml:space="preserve">found to be </w:t>
      </w:r>
      <w:r w:rsidR="007C1E42" w:rsidRPr="004B7525">
        <w:rPr>
          <w:rFonts w:cstheme="minorHAnsi"/>
          <w:lang w:bidi="en-US"/>
        </w:rPr>
        <w:t>erroneous, then a</w:t>
      </w:r>
      <w:r w:rsidR="0055788F" w:rsidRPr="004B7525">
        <w:rPr>
          <w:rFonts w:cstheme="minorHAnsi"/>
          <w:lang w:bidi="en-US"/>
        </w:rPr>
        <w:t xml:space="preserve"> process of re-working (re</w:t>
      </w:r>
      <w:r w:rsidR="008A3AD8">
        <w:rPr>
          <w:rFonts w:cstheme="minorHAnsi"/>
          <w:lang w:bidi="en-US"/>
        </w:rPr>
        <w:t xml:space="preserve">-marking) </w:t>
      </w:r>
      <w:proofErr w:type="gramStart"/>
      <w:r w:rsidR="008A3AD8">
        <w:rPr>
          <w:rFonts w:cstheme="minorHAnsi"/>
          <w:lang w:bidi="en-US"/>
        </w:rPr>
        <w:t>has to</w:t>
      </w:r>
      <w:proofErr w:type="gramEnd"/>
      <w:r w:rsidR="008A3AD8">
        <w:rPr>
          <w:rFonts w:cstheme="minorHAnsi"/>
          <w:lang w:bidi="en-US"/>
        </w:rPr>
        <w:t xml:space="preserve"> be carried out</w:t>
      </w:r>
      <w:r w:rsidR="0055788F" w:rsidRPr="004B7525">
        <w:rPr>
          <w:rFonts w:cstheme="minorHAnsi"/>
          <w:lang w:bidi="en-US"/>
        </w:rPr>
        <w:t xml:space="preserve"> or an adjustment made to all students’ work to </w:t>
      </w:r>
      <w:r w:rsidR="00131A70" w:rsidRPr="004B7525">
        <w:rPr>
          <w:rFonts w:cstheme="minorHAnsi"/>
          <w:lang w:bidi="en-US"/>
        </w:rPr>
        <w:t xml:space="preserve">correct </w:t>
      </w:r>
      <w:r w:rsidR="0055788F" w:rsidRPr="004B7525">
        <w:rPr>
          <w:rFonts w:cstheme="minorHAnsi"/>
          <w:lang w:bidi="en-US"/>
        </w:rPr>
        <w:t xml:space="preserve">the already given marks. </w:t>
      </w:r>
      <w:r w:rsidR="00FA5E2C" w:rsidRPr="004B7525">
        <w:rPr>
          <w:rFonts w:cstheme="minorHAnsi"/>
          <w:lang w:bidi="en-US"/>
        </w:rPr>
        <w:t>What is therefore required is a more rob</w:t>
      </w:r>
      <w:r w:rsidR="008A3AD8">
        <w:rPr>
          <w:rFonts w:cstheme="minorHAnsi"/>
          <w:lang w:bidi="en-US"/>
        </w:rPr>
        <w:t>ust system of quality assurance</w:t>
      </w:r>
      <w:r w:rsidR="00FA5E2C" w:rsidRPr="004B7525">
        <w:rPr>
          <w:rFonts w:cstheme="minorHAnsi"/>
          <w:lang w:bidi="en-US"/>
        </w:rPr>
        <w:t xml:space="preserve"> </w:t>
      </w:r>
      <w:r w:rsidR="00557BDB" w:rsidRPr="004B7525">
        <w:rPr>
          <w:rFonts w:cstheme="minorHAnsi"/>
          <w:lang w:bidi="en-US"/>
        </w:rPr>
        <w:t xml:space="preserve">with effective communication between team members to examine issues when and where they occur, </w:t>
      </w:r>
      <w:r w:rsidR="00FA5E2C" w:rsidRPr="004B7525">
        <w:rPr>
          <w:rFonts w:cstheme="minorHAnsi"/>
          <w:lang w:bidi="en-US"/>
        </w:rPr>
        <w:t>to ensure consistency of quality is maintained</w:t>
      </w:r>
      <w:r w:rsidR="00FC1703" w:rsidRPr="004B7525">
        <w:rPr>
          <w:rFonts w:cstheme="minorHAnsi"/>
          <w:lang w:bidi="en-US"/>
        </w:rPr>
        <w:t xml:space="preserve"> throu</w:t>
      </w:r>
      <w:r w:rsidR="007C1E42" w:rsidRPr="004B7525">
        <w:rPr>
          <w:rFonts w:cstheme="minorHAnsi"/>
          <w:lang w:bidi="en-US"/>
        </w:rPr>
        <w:t>ghout the marking process. This</w:t>
      </w:r>
      <w:r w:rsidR="007E0AC6" w:rsidRPr="004B7525">
        <w:rPr>
          <w:rFonts w:cstheme="minorHAnsi"/>
          <w:lang w:bidi="en-US"/>
        </w:rPr>
        <w:t xml:space="preserve"> can </w:t>
      </w:r>
      <w:r w:rsidR="00FC1703" w:rsidRPr="004B7525">
        <w:rPr>
          <w:rFonts w:cstheme="minorHAnsi"/>
          <w:lang w:bidi="en-US"/>
        </w:rPr>
        <w:t>correspondingly</w:t>
      </w:r>
      <w:r w:rsidR="007C1E42" w:rsidRPr="004B7525">
        <w:rPr>
          <w:rFonts w:cstheme="minorHAnsi"/>
          <w:lang w:bidi="en-US"/>
        </w:rPr>
        <w:t>,</w:t>
      </w:r>
      <w:r w:rsidR="00FC1703" w:rsidRPr="004B7525">
        <w:rPr>
          <w:rFonts w:cstheme="minorHAnsi"/>
          <w:lang w:bidi="en-US"/>
        </w:rPr>
        <w:t xml:space="preserve"> </w:t>
      </w:r>
      <w:r w:rsidR="007E0AC6" w:rsidRPr="004B7525">
        <w:rPr>
          <w:rFonts w:cstheme="minorHAnsi"/>
          <w:lang w:bidi="en-US"/>
        </w:rPr>
        <w:t>raise confidence levels of students and staff in the marking process.</w:t>
      </w:r>
    </w:p>
    <w:p w:rsidR="007E0AC6" w:rsidRPr="004B7525" w:rsidRDefault="007E0AC6" w:rsidP="004B7525">
      <w:pPr>
        <w:autoSpaceDE w:val="0"/>
        <w:autoSpaceDN w:val="0"/>
        <w:adjustRightInd w:val="0"/>
        <w:spacing w:after="0" w:line="360" w:lineRule="auto"/>
        <w:rPr>
          <w:rFonts w:cstheme="minorHAnsi"/>
          <w:lang w:bidi="en-US"/>
        </w:rPr>
      </w:pPr>
    </w:p>
    <w:p w:rsidR="004835A6" w:rsidRPr="004B7525" w:rsidRDefault="00FA5E2C" w:rsidP="004B7525">
      <w:pPr>
        <w:autoSpaceDE w:val="0"/>
        <w:autoSpaceDN w:val="0"/>
        <w:adjustRightInd w:val="0"/>
        <w:spacing w:after="0" w:line="360" w:lineRule="auto"/>
        <w:rPr>
          <w:rFonts w:cstheme="minorHAnsi"/>
          <w:lang w:bidi="en-US"/>
        </w:rPr>
      </w:pPr>
      <w:r w:rsidRPr="004B7525">
        <w:rPr>
          <w:rFonts w:cstheme="minorHAnsi"/>
          <w:lang w:bidi="en-US"/>
        </w:rPr>
        <w:t>W</w:t>
      </w:r>
      <w:r w:rsidR="00367609" w:rsidRPr="004B7525">
        <w:rPr>
          <w:rFonts w:cstheme="minorHAnsi"/>
          <w:lang w:bidi="en-US"/>
        </w:rPr>
        <w:t xml:space="preserve">hile universities </w:t>
      </w:r>
      <w:r w:rsidR="008A3AD8">
        <w:rPr>
          <w:rFonts w:cstheme="minorHAnsi"/>
          <w:lang w:bidi="en-US"/>
        </w:rPr>
        <w:t>therefore</w:t>
      </w:r>
      <w:r w:rsidR="00343409" w:rsidRPr="004B7525">
        <w:rPr>
          <w:rFonts w:cstheme="minorHAnsi"/>
          <w:lang w:bidi="en-US"/>
        </w:rPr>
        <w:t xml:space="preserve"> </w:t>
      </w:r>
      <w:r w:rsidR="00367609" w:rsidRPr="004B7525">
        <w:rPr>
          <w:rFonts w:cstheme="minorHAnsi"/>
          <w:lang w:bidi="en-US"/>
        </w:rPr>
        <w:t xml:space="preserve">wrestle with </w:t>
      </w:r>
      <w:r w:rsidR="0055788F" w:rsidRPr="004B7525">
        <w:rPr>
          <w:rFonts w:cstheme="minorHAnsi"/>
          <w:lang w:bidi="en-US"/>
        </w:rPr>
        <w:t>the issue of consistency of mark</w:t>
      </w:r>
      <w:r w:rsidR="00367609" w:rsidRPr="004B7525">
        <w:rPr>
          <w:rFonts w:cstheme="minorHAnsi"/>
          <w:lang w:bidi="en-US"/>
        </w:rPr>
        <w:t>ing across large student modules, professional associations</w:t>
      </w:r>
      <w:r w:rsidR="008A3AD8">
        <w:rPr>
          <w:rFonts w:cstheme="minorHAnsi"/>
          <w:lang w:bidi="en-US"/>
        </w:rPr>
        <w:t xml:space="preserve"> with an awarding function</w:t>
      </w:r>
      <w:r w:rsidR="00367609" w:rsidRPr="004B7525">
        <w:rPr>
          <w:rFonts w:cstheme="minorHAnsi"/>
          <w:lang w:bidi="en-US"/>
        </w:rPr>
        <w:t xml:space="preserve"> </w:t>
      </w:r>
      <w:r w:rsidR="00F874A1" w:rsidRPr="004B7525">
        <w:rPr>
          <w:rFonts w:cstheme="minorHAnsi"/>
          <w:lang w:bidi="en-US"/>
        </w:rPr>
        <w:t xml:space="preserve">typically </w:t>
      </w:r>
      <w:r w:rsidR="00367609" w:rsidRPr="004B7525">
        <w:rPr>
          <w:rFonts w:cstheme="minorHAnsi"/>
          <w:lang w:bidi="en-US"/>
        </w:rPr>
        <w:t>have a long history of assessing large volumes of work, and maintaining standards appropriate to the professional discipline</w:t>
      </w:r>
      <w:r w:rsidRPr="004B7525">
        <w:rPr>
          <w:rFonts w:cstheme="minorHAnsi"/>
          <w:lang w:bidi="en-US"/>
        </w:rPr>
        <w:t xml:space="preserve"> and for external regulation, such as </w:t>
      </w:r>
      <w:r w:rsidR="00BF30ED" w:rsidRPr="004B7525">
        <w:rPr>
          <w:rFonts w:cstheme="minorHAnsi"/>
          <w:lang w:bidi="en-US"/>
        </w:rPr>
        <w:t xml:space="preserve">meeting RQF </w:t>
      </w:r>
      <w:r w:rsidR="007B1120" w:rsidRPr="004B7525">
        <w:rPr>
          <w:rFonts w:cstheme="minorHAnsi"/>
          <w:lang w:bidi="en-US"/>
        </w:rPr>
        <w:t>requirements</w:t>
      </w:r>
      <w:r w:rsidR="00557BDB" w:rsidRPr="004B7525">
        <w:rPr>
          <w:rFonts w:cstheme="minorHAnsi"/>
          <w:lang w:bidi="en-US"/>
        </w:rPr>
        <w:t xml:space="preserve"> (see: </w:t>
      </w:r>
      <w:hyperlink r:id="rId4" w:history="1">
        <w:r w:rsidR="00557BDB" w:rsidRPr="004B7525">
          <w:rPr>
            <w:rStyle w:val="Hyperlink"/>
            <w:rFonts w:cstheme="minorHAnsi"/>
            <w:lang w:bidi="en-US"/>
          </w:rPr>
          <w:t>https://www.gov.uk/government/organisations/ofqual</w:t>
        </w:r>
      </w:hyperlink>
      <w:r w:rsidR="00557BDB" w:rsidRPr="004B7525">
        <w:rPr>
          <w:rFonts w:cstheme="minorHAnsi"/>
          <w:lang w:bidi="en-US"/>
        </w:rPr>
        <w:t xml:space="preserve">) </w:t>
      </w:r>
      <w:r w:rsidR="00367609" w:rsidRPr="004B7525">
        <w:rPr>
          <w:rFonts w:cstheme="minorHAnsi"/>
          <w:lang w:bidi="en-US"/>
        </w:rPr>
        <w:t xml:space="preserve"> </w:t>
      </w:r>
    </w:p>
    <w:p w:rsidR="004835A6" w:rsidRPr="004B7525" w:rsidRDefault="004835A6" w:rsidP="004B7525">
      <w:pPr>
        <w:autoSpaceDE w:val="0"/>
        <w:autoSpaceDN w:val="0"/>
        <w:adjustRightInd w:val="0"/>
        <w:spacing w:after="0" w:line="360" w:lineRule="auto"/>
        <w:rPr>
          <w:rFonts w:cstheme="minorHAnsi"/>
          <w:lang w:bidi="en-US"/>
        </w:rPr>
      </w:pPr>
    </w:p>
    <w:p w:rsidR="00367609" w:rsidRPr="004B7525" w:rsidRDefault="00961EF9" w:rsidP="004B7525">
      <w:pPr>
        <w:autoSpaceDE w:val="0"/>
        <w:autoSpaceDN w:val="0"/>
        <w:adjustRightInd w:val="0"/>
        <w:spacing w:after="0" w:line="360" w:lineRule="auto"/>
        <w:rPr>
          <w:rFonts w:cstheme="minorHAnsi"/>
          <w:lang w:bidi="en-US"/>
        </w:rPr>
      </w:pPr>
      <w:r>
        <w:rPr>
          <w:rFonts w:cstheme="minorHAnsi"/>
          <w:lang w:bidi="en-US"/>
        </w:rPr>
        <w:t>The suggestion in this viewpoint</w:t>
      </w:r>
      <w:r w:rsidR="004835A6" w:rsidRPr="004B7525">
        <w:rPr>
          <w:rFonts w:cstheme="minorHAnsi"/>
          <w:lang w:bidi="en-US"/>
        </w:rPr>
        <w:t xml:space="preserve"> paper is for </w:t>
      </w:r>
      <w:r w:rsidR="00333319" w:rsidRPr="004B7525">
        <w:rPr>
          <w:rFonts w:cstheme="minorHAnsi"/>
          <w:lang w:bidi="en-US"/>
        </w:rPr>
        <w:t>university colleagues to consider adopting the work practices of t</w:t>
      </w:r>
      <w:r w:rsidR="00343409" w:rsidRPr="004B7525">
        <w:rPr>
          <w:rFonts w:cstheme="minorHAnsi"/>
          <w:lang w:bidi="en-US"/>
        </w:rPr>
        <w:t>hose professional associations</w:t>
      </w:r>
      <w:r w:rsidR="00367609" w:rsidRPr="004B7525">
        <w:rPr>
          <w:rFonts w:cstheme="minorHAnsi"/>
          <w:lang w:bidi="en-US"/>
        </w:rPr>
        <w:t xml:space="preserve"> in</w:t>
      </w:r>
      <w:r w:rsidR="00343409" w:rsidRPr="004B7525">
        <w:rPr>
          <w:rFonts w:cstheme="minorHAnsi"/>
          <w:lang w:bidi="en-US"/>
        </w:rPr>
        <w:t xml:space="preserve"> marking large student modules.</w:t>
      </w:r>
      <w:r w:rsidR="007E0AC6" w:rsidRPr="004B7525">
        <w:rPr>
          <w:rFonts w:cstheme="minorHAnsi"/>
          <w:lang w:bidi="en-US"/>
        </w:rPr>
        <w:t xml:space="preserve"> This is based on our personal involvement of assessing for </w:t>
      </w:r>
      <w:r w:rsidR="00826CB7" w:rsidRPr="004B7525">
        <w:rPr>
          <w:rFonts w:cstheme="minorHAnsi"/>
          <w:lang w:bidi="en-US"/>
        </w:rPr>
        <w:t>s</w:t>
      </w:r>
      <w:r w:rsidR="00873B17" w:rsidRPr="004B7525">
        <w:rPr>
          <w:rFonts w:cstheme="minorHAnsi"/>
          <w:lang w:bidi="en-US"/>
        </w:rPr>
        <w:t>everal professional</w:t>
      </w:r>
      <w:r w:rsidR="005A15CF" w:rsidRPr="004B7525">
        <w:rPr>
          <w:rFonts w:cstheme="minorHAnsi"/>
          <w:lang w:bidi="en-US"/>
        </w:rPr>
        <w:t xml:space="preserve"> business</w:t>
      </w:r>
      <w:r w:rsidR="00873B17" w:rsidRPr="004B7525">
        <w:rPr>
          <w:rFonts w:cstheme="minorHAnsi"/>
          <w:lang w:bidi="en-US"/>
        </w:rPr>
        <w:t xml:space="preserve"> </w:t>
      </w:r>
      <w:r w:rsidR="005A15CF" w:rsidRPr="004B7525">
        <w:rPr>
          <w:rFonts w:cstheme="minorHAnsi"/>
          <w:lang w:bidi="en-US"/>
        </w:rPr>
        <w:t xml:space="preserve">management </w:t>
      </w:r>
      <w:r w:rsidR="00873B17" w:rsidRPr="004B7525">
        <w:rPr>
          <w:rFonts w:cstheme="minorHAnsi"/>
          <w:lang w:bidi="en-US"/>
        </w:rPr>
        <w:t xml:space="preserve">bodies during our full-time </w:t>
      </w:r>
      <w:r w:rsidR="00B25C53" w:rsidRPr="004B7525">
        <w:rPr>
          <w:rFonts w:cstheme="minorHAnsi"/>
          <w:lang w:bidi="en-US"/>
        </w:rPr>
        <w:t>employment in the higher education sector.</w:t>
      </w:r>
    </w:p>
    <w:p w:rsidR="00B25C53" w:rsidRPr="004B7525" w:rsidRDefault="00B25C53" w:rsidP="004B7525">
      <w:pPr>
        <w:autoSpaceDE w:val="0"/>
        <w:autoSpaceDN w:val="0"/>
        <w:adjustRightInd w:val="0"/>
        <w:spacing w:after="0" w:line="360" w:lineRule="auto"/>
        <w:rPr>
          <w:rFonts w:cstheme="minorHAnsi"/>
          <w:lang w:bidi="en-US"/>
        </w:rPr>
      </w:pPr>
    </w:p>
    <w:p w:rsidR="00B25C53" w:rsidRPr="00E0315A" w:rsidRDefault="00DE75D0" w:rsidP="004B7525">
      <w:pPr>
        <w:autoSpaceDE w:val="0"/>
        <w:autoSpaceDN w:val="0"/>
        <w:adjustRightInd w:val="0"/>
        <w:spacing w:after="0" w:line="360" w:lineRule="auto"/>
        <w:rPr>
          <w:rFonts w:cstheme="minorHAnsi"/>
          <w:i/>
          <w:lang w:bidi="en-US"/>
        </w:rPr>
      </w:pPr>
      <w:r w:rsidRPr="00E0315A">
        <w:rPr>
          <w:rFonts w:cstheme="minorHAnsi"/>
          <w:i/>
          <w:lang w:bidi="en-US"/>
        </w:rPr>
        <w:t>A possible solution</w:t>
      </w:r>
      <w:r w:rsidR="00BE1DF0" w:rsidRPr="00E0315A">
        <w:rPr>
          <w:rFonts w:cstheme="minorHAnsi"/>
          <w:i/>
          <w:lang w:bidi="en-US"/>
        </w:rPr>
        <w:t xml:space="preserve"> to the marking dilemma</w:t>
      </w:r>
      <w:r w:rsidRPr="00E0315A">
        <w:rPr>
          <w:rFonts w:cstheme="minorHAnsi"/>
          <w:i/>
          <w:lang w:bidi="en-US"/>
        </w:rPr>
        <w:t>? T</w:t>
      </w:r>
      <w:r w:rsidR="00585E27" w:rsidRPr="00E0315A">
        <w:rPr>
          <w:rFonts w:cstheme="minorHAnsi"/>
          <w:i/>
          <w:lang w:bidi="en-US"/>
        </w:rPr>
        <w:t>he professional a</w:t>
      </w:r>
      <w:r w:rsidR="00B25C53" w:rsidRPr="00E0315A">
        <w:rPr>
          <w:rFonts w:cstheme="minorHAnsi"/>
          <w:i/>
          <w:lang w:bidi="en-US"/>
        </w:rPr>
        <w:t>ssociation approach</w:t>
      </w:r>
    </w:p>
    <w:p w:rsidR="00B25C53" w:rsidRPr="004B7525" w:rsidRDefault="00B25C53" w:rsidP="004B7525">
      <w:pPr>
        <w:autoSpaceDE w:val="0"/>
        <w:autoSpaceDN w:val="0"/>
        <w:adjustRightInd w:val="0"/>
        <w:spacing w:after="0" w:line="360" w:lineRule="auto"/>
        <w:rPr>
          <w:rFonts w:cstheme="minorHAnsi"/>
          <w:lang w:bidi="en-US"/>
        </w:rPr>
      </w:pPr>
    </w:p>
    <w:p w:rsidR="00AE4AC9" w:rsidRPr="004B7525" w:rsidRDefault="00B701B3" w:rsidP="004B7525">
      <w:pPr>
        <w:autoSpaceDE w:val="0"/>
        <w:autoSpaceDN w:val="0"/>
        <w:adjustRightInd w:val="0"/>
        <w:spacing w:after="0" w:line="360" w:lineRule="auto"/>
        <w:rPr>
          <w:rFonts w:cstheme="minorHAnsi"/>
          <w:lang w:bidi="en-US"/>
        </w:rPr>
      </w:pPr>
      <w:r w:rsidRPr="004B7525">
        <w:rPr>
          <w:rFonts w:cstheme="minorHAnsi"/>
          <w:lang w:bidi="en-US"/>
        </w:rPr>
        <w:t>We have found that t</w:t>
      </w:r>
      <w:r w:rsidR="000E3F1A" w:rsidRPr="004B7525">
        <w:rPr>
          <w:rFonts w:cstheme="minorHAnsi"/>
          <w:lang w:bidi="en-US"/>
        </w:rPr>
        <w:t>he typical marking pro</w:t>
      </w:r>
      <w:r w:rsidR="005653E9">
        <w:rPr>
          <w:rFonts w:cstheme="minorHAnsi"/>
          <w:lang w:bidi="en-US"/>
        </w:rPr>
        <w:t>cess for a professional body comprises</w:t>
      </w:r>
      <w:r w:rsidR="000E3F1A" w:rsidRPr="004B7525">
        <w:rPr>
          <w:rFonts w:cstheme="minorHAnsi"/>
          <w:lang w:bidi="en-US"/>
        </w:rPr>
        <w:t xml:space="preserve"> several stages</w:t>
      </w:r>
      <w:r w:rsidRPr="004B7525">
        <w:rPr>
          <w:rFonts w:cstheme="minorHAnsi"/>
          <w:lang w:bidi="en-US"/>
        </w:rPr>
        <w:t xml:space="preserve"> with checks </w:t>
      </w:r>
      <w:r w:rsidR="004F52BD" w:rsidRPr="004B7525">
        <w:rPr>
          <w:rFonts w:cstheme="minorHAnsi"/>
          <w:lang w:bidi="en-US"/>
        </w:rPr>
        <w:t xml:space="preserve">at each stage, </w:t>
      </w:r>
      <w:r w:rsidRPr="004B7525">
        <w:rPr>
          <w:rFonts w:cstheme="minorHAnsi"/>
          <w:lang w:bidi="en-US"/>
        </w:rPr>
        <w:t xml:space="preserve">and a facility to </w:t>
      </w:r>
      <w:r w:rsidR="004F52BD" w:rsidRPr="004B7525">
        <w:rPr>
          <w:rFonts w:cstheme="minorHAnsi"/>
          <w:lang w:bidi="en-US"/>
        </w:rPr>
        <w:t>stop marking</w:t>
      </w:r>
      <w:r w:rsidRPr="004B7525">
        <w:rPr>
          <w:rFonts w:cstheme="minorHAnsi"/>
          <w:lang w:bidi="en-US"/>
        </w:rPr>
        <w:t xml:space="preserve"> should </w:t>
      </w:r>
      <w:r w:rsidR="005E7F06" w:rsidRPr="004B7525">
        <w:rPr>
          <w:rFonts w:cstheme="minorHAnsi"/>
          <w:lang w:bidi="en-US"/>
        </w:rPr>
        <w:t xml:space="preserve">any </w:t>
      </w:r>
      <w:r w:rsidRPr="004B7525">
        <w:rPr>
          <w:rFonts w:cstheme="minorHAnsi"/>
          <w:lang w:bidi="en-US"/>
        </w:rPr>
        <w:t>discrepancies be noted</w:t>
      </w:r>
      <w:r w:rsidR="000E3F1A" w:rsidRPr="004B7525">
        <w:rPr>
          <w:rFonts w:cstheme="minorHAnsi"/>
          <w:lang w:bidi="en-US"/>
        </w:rPr>
        <w:t xml:space="preserve">. </w:t>
      </w:r>
      <w:r w:rsidR="005E7F06" w:rsidRPr="004B7525">
        <w:rPr>
          <w:rFonts w:cstheme="minorHAnsi"/>
          <w:lang w:bidi="en-US"/>
        </w:rPr>
        <w:t xml:space="preserve">The assessment and marking outline is usually prepared by a subject examiner. </w:t>
      </w:r>
      <w:r w:rsidR="00585E27" w:rsidRPr="004B7525">
        <w:rPr>
          <w:rFonts w:cstheme="minorHAnsi"/>
          <w:lang w:bidi="en-US"/>
        </w:rPr>
        <w:t xml:space="preserve">Once an assessment </w:t>
      </w:r>
      <w:r w:rsidR="00BF08AC" w:rsidRPr="004B7525">
        <w:rPr>
          <w:rFonts w:cstheme="minorHAnsi"/>
          <w:lang w:bidi="en-US"/>
        </w:rPr>
        <w:t>for a module/unit has been completed</w:t>
      </w:r>
      <w:r w:rsidR="005653E9">
        <w:rPr>
          <w:rFonts w:cstheme="minorHAnsi"/>
          <w:lang w:bidi="en-US"/>
        </w:rPr>
        <w:t xml:space="preserve"> by students, a </w:t>
      </w:r>
      <w:r w:rsidR="00585E27" w:rsidRPr="004B7525">
        <w:rPr>
          <w:rFonts w:cstheme="minorHAnsi"/>
          <w:lang w:bidi="en-US"/>
        </w:rPr>
        <w:t xml:space="preserve">sample </w:t>
      </w:r>
      <w:r w:rsidR="00F85634" w:rsidRPr="004B7525">
        <w:rPr>
          <w:rFonts w:cstheme="minorHAnsi"/>
          <w:lang w:bidi="en-US"/>
        </w:rPr>
        <w:t xml:space="preserve">of the work </w:t>
      </w:r>
      <w:r w:rsidR="00BF08AC" w:rsidRPr="004B7525">
        <w:rPr>
          <w:rFonts w:cstheme="minorHAnsi"/>
          <w:lang w:bidi="en-US"/>
        </w:rPr>
        <w:t xml:space="preserve">is copied </w:t>
      </w:r>
      <w:r w:rsidR="00585E27" w:rsidRPr="004B7525">
        <w:rPr>
          <w:rFonts w:cstheme="minorHAnsi"/>
          <w:lang w:bidi="en-US"/>
        </w:rPr>
        <w:t xml:space="preserve">and </w:t>
      </w:r>
      <w:r w:rsidR="005E7F06" w:rsidRPr="004B7525">
        <w:rPr>
          <w:rFonts w:cstheme="minorHAnsi"/>
          <w:lang w:bidi="en-US"/>
        </w:rPr>
        <w:t>together with the outline</w:t>
      </w:r>
      <w:r w:rsidR="0082495F" w:rsidRPr="004B7525">
        <w:rPr>
          <w:rFonts w:cstheme="minorHAnsi"/>
          <w:lang w:bidi="en-US"/>
        </w:rPr>
        <w:t xml:space="preserve"> </w:t>
      </w:r>
      <w:r w:rsidR="000E3F1A" w:rsidRPr="004B7525">
        <w:rPr>
          <w:rFonts w:cstheme="minorHAnsi"/>
          <w:lang w:bidi="en-US"/>
        </w:rPr>
        <w:t xml:space="preserve">mark scheme, </w:t>
      </w:r>
      <w:r w:rsidR="00585E27" w:rsidRPr="004B7525">
        <w:rPr>
          <w:rFonts w:cstheme="minorHAnsi"/>
          <w:lang w:bidi="en-US"/>
        </w:rPr>
        <w:t>distributed to the team of markers</w:t>
      </w:r>
      <w:r w:rsidR="0082495F" w:rsidRPr="004B7525">
        <w:rPr>
          <w:rFonts w:cstheme="minorHAnsi"/>
          <w:lang w:bidi="en-US"/>
        </w:rPr>
        <w:t xml:space="preserve"> for marking</w:t>
      </w:r>
      <w:r w:rsidR="00F85634" w:rsidRPr="004B7525">
        <w:rPr>
          <w:rFonts w:cstheme="minorHAnsi"/>
          <w:lang w:bidi="en-US"/>
        </w:rPr>
        <w:t xml:space="preserve">. </w:t>
      </w:r>
      <w:r w:rsidR="00BF08AC" w:rsidRPr="004B7525">
        <w:rPr>
          <w:rFonts w:cstheme="minorHAnsi"/>
          <w:lang w:bidi="en-US"/>
        </w:rPr>
        <w:t xml:space="preserve">The marks </w:t>
      </w:r>
      <w:r w:rsidR="0082495F" w:rsidRPr="004B7525">
        <w:rPr>
          <w:rFonts w:cstheme="minorHAnsi"/>
          <w:lang w:bidi="en-US"/>
        </w:rPr>
        <w:t xml:space="preserve">awarded </w:t>
      </w:r>
      <w:r w:rsidR="00BF08AC" w:rsidRPr="004B7525">
        <w:rPr>
          <w:rFonts w:cstheme="minorHAnsi"/>
          <w:lang w:bidi="en-US"/>
        </w:rPr>
        <w:t xml:space="preserve">for each </w:t>
      </w:r>
      <w:r w:rsidR="005E7F06" w:rsidRPr="004B7525">
        <w:rPr>
          <w:rFonts w:cstheme="minorHAnsi"/>
          <w:lang w:bidi="en-US"/>
        </w:rPr>
        <w:t>element or question of the assessment</w:t>
      </w:r>
      <w:r w:rsidR="00BF08AC" w:rsidRPr="004B7525">
        <w:rPr>
          <w:rFonts w:cstheme="minorHAnsi"/>
          <w:lang w:bidi="en-US"/>
        </w:rPr>
        <w:t xml:space="preserve"> </w:t>
      </w:r>
      <w:r w:rsidR="008A3AD8">
        <w:rPr>
          <w:rFonts w:cstheme="minorHAnsi"/>
          <w:lang w:bidi="en-US"/>
        </w:rPr>
        <w:t>by the markers</w:t>
      </w:r>
      <w:r w:rsidR="0082495F" w:rsidRPr="004B7525">
        <w:rPr>
          <w:rFonts w:cstheme="minorHAnsi"/>
          <w:lang w:bidi="en-US"/>
        </w:rPr>
        <w:t xml:space="preserve"> </w:t>
      </w:r>
      <w:r w:rsidR="00BF08AC" w:rsidRPr="004B7525">
        <w:rPr>
          <w:rFonts w:cstheme="minorHAnsi"/>
          <w:lang w:bidi="en-US"/>
        </w:rPr>
        <w:t xml:space="preserve">are </w:t>
      </w:r>
      <w:r w:rsidR="0082495F" w:rsidRPr="004B7525">
        <w:rPr>
          <w:rFonts w:cstheme="minorHAnsi"/>
          <w:lang w:bidi="en-US"/>
        </w:rPr>
        <w:t xml:space="preserve">then discussed </w:t>
      </w:r>
      <w:r w:rsidR="00BF08AC" w:rsidRPr="004B7525">
        <w:rPr>
          <w:rFonts w:cstheme="minorHAnsi"/>
          <w:lang w:bidi="en-US"/>
        </w:rPr>
        <w:t xml:space="preserve">by </w:t>
      </w:r>
      <w:r w:rsidR="0082495F" w:rsidRPr="004B7525">
        <w:rPr>
          <w:rFonts w:cstheme="minorHAnsi"/>
          <w:lang w:bidi="en-US"/>
        </w:rPr>
        <w:t>the marke</w:t>
      </w:r>
      <w:r w:rsidR="008A3AD8">
        <w:rPr>
          <w:rFonts w:cstheme="minorHAnsi"/>
          <w:lang w:bidi="en-US"/>
        </w:rPr>
        <w:t>rs in a standardisation meeting</w:t>
      </w:r>
      <w:r w:rsidR="0082495F" w:rsidRPr="004B7525">
        <w:rPr>
          <w:rFonts w:cstheme="minorHAnsi"/>
          <w:lang w:bidi="en-US"/>
        </w:rPr>
        <w:t xml:space="preserve"> </w:t>
      </w:r>
      <w:r w:rsidR="00AE4AC9" w:rsidRPr="004B7525">
        <w:rPr>
          <w:rFonts w:cstheme="minorHAnsi"/>
          <w:lang w:bidi="en-US"/>
        </w:rPr>
        <w:t xml:space="preserve">and agreement to a final mark </w:t>
      </w:r>
      <w:r w:rsidR="0082495F" w:rsidRPr="004B7525">
        <w:rPr>
          <w:rFonts w:cstheme="minorHAnsi"/>
          <w:lang w:bidi="en-US"/>
        </w:rPr>
        <w:t>and</w:t>
      </w:r>
      <w:r w:rsidR="005E7F06" w:rsidRPr="004B7525">
        <w:rPr>
          <w:rFonts w:cstheme="minorHAnsi"/>
          <w:lang w:bidi="en-US"/>
        </w:rPr>
        <w:t xml:space="preserve"> the</w:t>
      </w:r>
      <w:r w:rsidR="0082495F" w:rsidRPr="004B7525">
        <w:rPr>
          <w:rFonts w:cstheme="minorHAnsi"/>
          <w:lang w:bidi="en-US"/>
        </w:rPr>
        <w:t xml:space="preserve"> </w:t>
      </w:r>
      <w:r w:rsidR="005E7F06" w:rsidRPr="004B7525">
        <w:rPr>
          <w:rFonts w:cstheme="minorHAnsi"/>
          <w:lang w:bidi="en-US"/>
        </w:rPr>
        <w:t xml:space="preserve">final </w:t>
      </w:r>
      <w:r w:rsidR="0082495F" w:rsidRPr="004B7525">
        <w:rPr>
          <w:rFonts w:cstheme="minorHAnsi"/>
          <w:lang w:bidi="en-US"/>
        </w:rPr>
        <w:t xml:space="preserve">marking scheme </w:t>
      </w:r>
      <w:r w:rsidR="005D1399" w:rsidRPr="004B7525">
        <w:rPr>
          <w:rFonts w:cstheme="minorHAnsi"/>
          <w:lang w:bidi="en-US"/>
        </w:rPr>
        <w:t>to be universally applied</w:t>
      </w:r>
      <w:r w:rsidR="008A3AD8">
        <w:rPr>
          <w:rFonts w:cstheme="minorHAnsi"/>
          <w:lang w:bidi="en-US"/>
        </w:rPr>
        <w:t xml:space="preserve"> by all members of the team</w:t>
      </w:r>
      <w:r w:rsidR="005D1399" w:rsidRPr="004B7525">
        <w:rPr>
          <w:rFonts w:cstheme="minorHAnsi"/>
          <w:lang w:bidi="en-US"/>
        </w:rPr>
        <w:t xml:space="preserve"> is </w:t>
      </w:r>
      <w:r w:rsidR="00AE4AC9" w:rsidRPr="004B7525">
        <w:rPr>
          <w:rFonts w:cstheme="minorHAnsi"/>
          <w:lang w:bidi="en-US"/>
        </w:rPr>
        <w:t>concurred</w:t>
      </w:r>
      <w:r w:rsidR="00BF08AC" w:rsidRPr="004B7525">
        <w:rPr>
          <w:rFonts w:cstheme="minorHAnsi"/>
          <w:lang w:bidi="en-US"/>
        </w:rPr>
        <w:t xml:space="preserve">. </w:t>
      </w:r>
    </w:p>
    <w:p w:rsidR="005E7F06" w:rsidRPr="004B7525" w:rsidRDefault="005E7F06" w:rsidP="004B7525">
      <w:pPr>
        <w:autoSpaceDE w:val="0"/>
        <w:autoSpaceDN w:val="0"/>
        <w:adjustRightInd w:val="0"/>
        <w:spacing w:after="0" w:line="360" w:lineRule="auto"/>
        <w:rPr>
          <w:rFonts w:cstheme="minorHAnsi"/>
          <w:lang w:bidi="en-US"/>
        </w:rPr>
      </w:pPr>
    </w:p>
    <w:p w:rsidR="00CD2169" w:rsidRDefault="00BF08AC" w:rsidP="00463600">
      <w:pPr>
        <w:autoSpaceDE w:val="0"/>
        <w:autoSpaceDN w:val="0"/>
        <w:adjustRightInd w:val="0"/>
        <w:spacing w:after="0" w:line="360" w:lineRule="auto"/>
        <w:rPr>
          <w:rFonts w:cstheme="minorHAnsi"/>
          <w:lang w:bidi="en-US"/>
        </w:rPr>
      </w:pPr>
      <w:r w:rsidRPr="004B7525">
        <w:rPr>
          <w:rFonts w:cstheme="minorHAnsi"/>
          <w:lang w:bidi="en-US"/>
        </w:rPr>
        <w:t xml:space="preserve">All markers </w:t>
      </w:r>
      <w:r w:rsidR="008A3AD8">
        <w:rPr>
          <w:rFonts w:cstheme="minorHAnsi"/>
          <w:lang w:bidi="en-US"/>
        </w:rPr>
        <w:t>commence marking students’ work</w:t>
      </w:r>
      <w:r w:rsidRPr="004B7525">
        <w:rPr>
          <w:rFonts w:cstheme="minorHAnsi"/>
          <w:lang w:bidi="en-US"/>
        </w:rPr>
        <w:t xml:space="preserve"> and once an agreed nu</w:t>
      </w:r>
      <w:r w:rsidR="0055788F" w:rsidRPr="004B7525">
        <w:rPr>
          <w:rFonts w:cstheme="minorHAnsi"/>
          <w:lang w:bidi="en-US"/>
        </w:rPr>
        <w:t xml:space="preserve">mber </w:t>
      </w:r>
      <w:r w:rsidR="008A3AD8">
        <w:rPr>
          <w:rFonts w:cstheme="minorHAnsi"/>
          <w:lang w:bidi="en-US"/>
        </w:rPr>
        <w:t xml:space="preserve">of pieces </w:t>
      </w:r>
      <w:r w:rsidR="0055788F" w:rsidRPr="004B7525">
        <w:rPr>
          <w:rFonts w:cstheme="minorHAnsi"/>
          <w:lang w:bidi="en-US"/>
        </w:rPr>
        <w:t>has been completed early</w:t>
      </w:r>
      <w:r w:rsidRPr="004B7525">
        <w:rPr>
          <w:rFonts w:cstheme="minorHAnsi"/>
          <w:lang w:bidi="en-US"/>
        </w:rPr>
        <w:t xml:space="preserve"> in the </w:t>
      </w:r>
      <w:r w:rsidR="008014EA" w:rsidRPr="004B7525">
        <w:rPr>
          <w:rFonts w:cstheme="minorHAnsi"/>
          <w:lang w:bidi="en-US"/>
        </w:rPr>
        <w:t>marking cycle</w:t>
      </w:r>
      <w:r w:rsidR="008A3AD8">
        <w:rPr>
          <w:rFonts w:cstheme="minorHAnsi"/>
          <w:lang w:bidi="en-US"/>
        </w:rPr>
        <w:t>, for example</w:t>
      </w:r>
      <w:r w:rsidR="00C45344">
        <w:rPr>
          <w:rFonts w:cstheme="minorHAnsi"/>
          <w:lang w:bidi="en-US"/>
        </w:rPr>
        <w:t xml:space="preserve"> twenty pieces </w:t>
      </w:r>
      <w:r w:rsidR="005653E9">
        <w:rPr>
          <w:rFonts w:cstheme="minorHAnsi"/>
          <w:lang w:bidi="en-US"/>
        </w:rPr>
        <w:t>or 10%,</w:t>
      </w:r>
      <w:r w:rsidRPr="004B7525">
        <w:rPr>
          <w:rFonts w:cstheme="minorHAnsi"/>
          <w:lang w:bidi="en-US"/>
        </w:rPr>
        <w:t xml:space="preserve"> a sample of marked work is sent to the subject examiner for moderation. The subject examiner moderates</w:t>
      </w:r>
      <w:r w:rsidR="006959DC" w:rsidRPr="004B7525">
        <w:rPr>
          <w:rFonts w:cstheme="minorHAnsi"/>
          <w:lang w:bidi="en-US"/>
        </w:rPr>
        <w:t xml:space="preserve"> marked pieces</w:t>
      </w:r>
      <w:r w:rsidRPr="004B7525">
        <w:rPr>
          <w:rFonts w:cstheme="minorHAnsi"/>
          <w:lang w:bidi="en-US"/>
        </w:rPr>
        <w:t xml:space="preserve"> across the team and either gives approval for each respective marker t</w:t>
      </w:r>
      <w:r w:rsidR="00C45344">
        <w:rPr>
          <w:rFonts w:cstheme="minorHAnsi"/>
          <w:lang w:bidi="en-US"/>
        </w:rPr>
        <w:t>o continue marking</w:t>
      </w:r>
      <w:r w:rsidRPr="004B7525">
        <w:rPr>
          <w:rFonts w:cstheme="minorHAnsi"/>
          <w:lang w:bidi="en-US"/>
        </w:rPr>
        <w:t xml:space="preserve"> or communication is engaged to discuss marking differences, bef</w:t>
      </w:r>
      <w:r w:rsidR="0038232C" w:rsidRPr="004B7525">
        <w:rPr>
          <w:rFonts w:cstheme="minorHAnsi"/>
          <w:lang w:bidi="en-US"/>
        </w:rPr>
        <w:t xml:space="preserve">ore continuation is permitted. </w:t>
      </w:r>
      <w:r w:rsidR="005E7F06" w:rsidRPr="004B7525">
        <w:rPr>
          <w:rFonts w:cstheme="minorHAnsi"/>
          <w:lang w:bidi="en-US"/>
        </w:rPr>
        <w:t xml:space="preserve">In either case, feedback on the marking of each element is provided </w:t>
      </w:r>
      <w:r w:rsidR="005653E9">
        <w:rPr>
          <w:rFonts w:cstheme="minorHAnsi"/>
          <w:lang w:bidi="en-US"/>
        </w:rPr>
        <w:t xml:space="preserve">back </w:t>
      </w:r>
      <w:r w:rsidR="005E7F06" w:rsidRPr="004B7525">
        <w:rPr>
          <w:rFonts w:cstheme="minorHAnsi"/>
          <w:lang w:bidi="en-US"/>
        </w:rPr>
        <w:t xml:space="preserve">to the marker. </w:t>
      </w:r>
      <w:r w:rsidR="0038232C" w:rsidRPr="004B7525">
        <w:rPr>
          <w:rFonts w:cstheme="minorHAnsi"/>
          <w:lang w:bidi="en-US"/>
        </w:rPr>
        <w:t>Similarly, o</w:t>
      </w:r>
      <w:r w:rsidRPr="004B7525">
        <w:rPr>
          <w:rFonts w:cstheme="minorHAnsi"/>
          <w:lang w:bidi="en-US"/>
        </w:rPr>
        <w:t xml:space="preserve">nce </w:t>
      </w:r>
      <w:r w:rsidR="00DD536D">
        <w:rPr>
          <w:rFonts w:cstheme="minorHAnsi"/>
          <w:lang w:bidi="en-US"/>
        </w:rPr>
        <w:t xml:space="preserve">between half and </w:t>
      </w:r>
      <w:r w:rsidRPr="004B7525">
        <w:rPr>
          <w:rFonts w:cstheme="minorHAnsi"/>
          <w:lang w:bidi="en-US"/>
        </w:rPr>
        <w:t xml:space="preserve">three-quarters of </w:t>
      </w:r>
      <w:r w:rsidR="00AE4AC9" w:rsidRPr="004B7525">
        <w:rPr>
          <w:rFonts w:cstheme="minorHAnsi"/>
          <w:lang w:bidi="en-US"/>
        </w:rPr>
        <w:t>a marker’s allocated batch has been marked, a further sample is forward</w:t>
      </w:r>
      <w:r w:rsidR="005E7F06" w:rsidRPr="004B7525">
        <w:rPr>
          <w:rFonts w:cstheme="minorHAnsi"/>
          <w:lang w:bidi="en-US"/>
        </w:rPr>
        <w:t xml:space="preserve">ed to the subject examiner </w:t>
      </w:r>
      <w:r w:rsidR="00AE4AC9" w:rsidRPr="004B7525">
        <w:rPr>
          <w:rFonts w:cstheme="minorHAnsi"/>
          <w:lang w:bidi="en-US"/>
        </w:rPr>
        <w:t xml:space="preserve">for moderation. Again, if the feedback is positive, then continuation of marking </w:t>
      </w:r>
      <w:r w:rsidR="00C45344">
        <w:rPr>
          <w:rFonts w:cstheme="minorHAnsi"/>
          <w:lang w:bidi="en-US"/>
        </w:rPr>
        <w:t>to completion is permitted</w:t>
      </w:r>
      <w:r w:rsidR="00793E51" w:rsidRPr="004B7525">
        <w:rPr>
          <w:rFonts w:cstheme="minorHAnsi"/>
          <w:lang w:bidi="en-US"/>
        </w:rPr>
        <w:t xml:space="preserve"> otherwise</w:t>
      </w:r>
      <w:r w:rsidR="00AE4AC9" w:rsidRPr="004B7525">
        <w:rPr>
          <w:rFonts w:cstheme="minorHAnsi"/>
          <w:lang w:bidi="en-US"/>
        </w:rPr>
        <w:t xml:space="preserve"> discussion </w:t>
      </w:r>
      <w:r w:rsidR="00793E51" w:rsidRPr="004B7525">
        <w:rPr>
          <w:rFonts w:cstheme="minorHAnsi"/>
          <w:lang w:bidi="en-US"/>
        </w:rPr>
        <w:t xml:space="preserve">and agreed actions </w:t>
      </w:r>
      <w:r w:rsidR="00AE4AC9" w:rsidRPr="004B7525">
        <w:rPr>
          <w:rFonts w:cstheme="minorHAnsi"/>
          <w:lang w:bidi="en-US"/>
        </w:rPr>
        <w:t xml:space="preserve">regarding </w:t>
      </w:r>
      <w:r w:rsidR="00793E51" w:rsidRPr="004B7525">
        <w:rPr>
          <w:rFonts w:cstheme="minorHAnsi"/>
          <w:lang w:bidi="en-US"/>
        </w:rPr>
        <w:t>the discrepancies ensues</w:t>
      </w:r>
      <w:r w:rsidR="005E7F06" w:rsidRPr="004B7525">
        <w:rPr>
          <w:rFonts w:cstheme="minorHAnsi"/>
          <w:lang w:bidi="en-US"/>
        </w:rPr>
        <w:t xml:space="preserve">. </w:t>
      </w:r>
      <w:r w:rsidR="00B54BAF" w:rsidRPr="004B7525">
        <w:rPr>
          <w:rFonts w:cstheme="minorHAnsi"/>
          <w:lang w:bidi="en-US"/>
        </w:rPr>
        <w:t xml:space="preserve">Any issues arising </w:t>
      </w:r>
      <w:r w:rsidR="00836CD2" w:rsidRPr="004B7525">
        <w:rPr>
          <w:rFonts w:cstheme="minorHAnsi"/>
          <w:lang w:bidi="en-US"/>
        </w:rPr>
        <w:t xml:space="preserve">at any stage </w:t>
      </w:r>
      <w:r w:rsidR="00B54BAF" w:rsidRPr="004B7525">
        <w:rPr>
          <w:rFonts w:cstheme="minorHAnsi"/>
          <w:lang w:bidi="en-US"/>
        </w:rPr>
        <w:t>in the assessment or marking process</w:t>
      </w:r>
      <w:r w:rsidR="00836CD2" w:rsidRPr="004B7525">
        <w:rPr>
          <w:rFonts w:cstheme="minorHAnsi"/>
          <w:lang w:bidi="en-US"/>
        </w:rPr>
        <w:t xml:space="preserve"> are communicated within</w:t>
      </w:r>
      <w:r w:rsidR="00B54BAF" w:rsidRPr="004B7525">
        <w:rPr>
          <w:rFonts w:cstheme="minorHAnsi"/>
          <w:lang w:bidi="en-US"/>
        </w:rPr>
        <w:t xml:space="preserve"> the marking team, with </w:t>
      </w:r>
      <w:r w:rsidR="00C45344">
        <w:rPr>
          <w:rFonts w:cstheme="minorHAnsi"/>
          <w:lang w:bidi="en-US"/>
        </w:rPr>
        <w:t xml:space="preserve">the </w:t>
      </w:r>
      <w:r w:rsidR="00B54BAF" w:rsidRPr="004B7525">
        <w:rPr>
          <w:rFonts w:cstheme="minorHAnsi"/>
          <w:lang w:bidi="en-US"/>
        </w:rPr>
        <w:t>facility to engage in discussion</w:t>
      </w:r>
      <w:r w:rsidR="00836CD2" w:rsidRPr="004B7525">
        <w:rPr>
          <w:rFonts w:cstheme="minorHAnsi"/>
          <w:lang w:bidi="en-US"/>
        </w:rPr>
        <w:t xml:space="preserve"> </w:t>
      </w:r>
      <w:r w:rsidR="00C45344">
        <w:rPr>
          <w:rFonts w:cstheme="minorHAnsi"/>
          <w:lang w:bidi="en-US"/>
        </w:rPr>
        <w:t>between marking team members</w:t>
      </w:r>
      <w:r w:rsidR="00DD536D">
        <w:rPr>
          <w:rFonts w:cstheme="minorHAnsi"/>
          <w:lang w:bidi="en-US"/>
        </w:rPr>
        <w:t xml:space="preserve"> </w:t>
      </w:r>
      <w:r w:rsidR="00836CD2" w:rsidRPr="004B7525">
        <w:rPr>
          <w:rFonts w:cstheme="minorHAnsi"/>
          <w:lang w:bidi="en-US"/>
        </w:rPr>
        <w:t>if needed</w:t>
      </w:r>
      <w:r w:rsidR="00B54BAF" w:rsidRPr="004B7525">
        <w:rPr>
          <w:rFonts w:cstheme="minorHAnsi"/>
          <w:lang w:bidi="en-US"/>
        </w:rPr>
        <w:t xml:space="preserve">. </w:t>
      </w:r>
      <w:r w:rsidR="005E7F06" w:rsidRPr="004B7525">
        <w:rPr>
          <w:rFonts w:cstheme="minorHAnsi"/>
          <w:lang w:bidi="en-US"/>
        </w:rPr>
        <w:t xml:space="preserve">The subject examiner’s </w:t>
      </w:r>
      <w:r w:rsidR="00AE4AC9" w:rsidRPr="004B7525">
        <w:rPr>
          <w:rFonts w:cstheme="minorHAnsi"/>
          <w:lang w:bidi="en-US"/>
        </w:rPr>
        <w:t>work is moderated by an internal verifi</w:t>
      </w:r>
      <w:r w:rsidR="00CB17B9" w:rsidRPr="004B7525">
        <w:rPr>
          <w:rFonts w:cstheme="minorHAnsi"/>
          <w:lang w:bidi="en-US"/>
        </w:rPr>
        <w:t xml:space="preserve">er or programme lead, </w:t>
      </w:r>
      <w:r w:rsidR="00793E51" w:rsidRPr="004B7525">
        <w:rPr>
          <w:rFonts w:cstheme="minorHAnsi"/>
          <w:lang w:bidi="en-US"/>
        </w:rPr>
        <w:t xml:space="preserve">to ensure consistency of </w:t>
      </w:r>
      <w:r w:rsidR="00AE4AC9" w:rsidRPr="004B7525">
        <w:rPr>
          <w:rFonts w:cstheme="minorHAnsi"/>
          <w:lang w:bidi="en-US"/>
        </w:rPr>
        <w:t xml:space="preserve">marking across all modules at a </w:t>
      </w:r>
      <w:proofErr w:type="gramStart"/>
      <w:r w:rsidR="00AE4AC9" w:rsidRPr="004B7525">
        <w:rPr>
          <w:rFonts w:cstheme="minorHAnsi"/>
          <w:lang w:bidi="en-US"/>
        </w:rPr>
        <w:t>particular</w:t>
      </w:r>
      <w:r w:rsidR="00C45344">
        <w:rPr>
          <w:rFonts w:cstheme="minorHAnsi"/>
          <w:lang w:bidi="en-US"/>
        </w:rPr>
        <w:t xml:space="preserve"> level</w:t>
      </w:r>
      <w:proofErr w:type="gramEnd"/>
      <w:r w:rsidR="00C45344">
        <w:rPr>
          <w:rFonts w:cstheme="minorHAnsi"/>
          <w:lang w:bidi="en-US"/>
        </w:rPr>
        <w:t xml:space="preserve"> of qualification</w:t>
      </w:r>
      <w:r w:rsidR="00CB17B9" w:rsidRPr="004B7525">
        <w:rPr>
          <w:rFonts w:cstheme="minorHAnsi"/>
          <w:lang w:bidi="en-US"/>
        </w:rPr>
        <w:t>.</w:t>
      </w:r>
    </w:p>
    <w:p w:rsidR="00463600" w:rsidRDefault="00463600" w:rsidP="00463600">
      <w:pPr>
        <w:autoSpaceDE w:val="0"/>
        <w:autoSpaceDN w:val="0"/>
        <w:adjustRightInd w:val="0"/>
        <w:spacing w:after="0" w:line="360" w:lineRule="auto"/>
        <w:rPr>
          <w:rFonts w:cstheme="minorHAnsi"/>
          <w:lang w:bidi="en-US"/>
        </w:rPr>
      </w:pPr>
    </w:p>
    <w:p w:rsidR="008F37EA" w:rsidRPr="004B7525" w:rsidRDefault="008F37EA" w:rsidP="00463600">
      <w:pPr>
        <w:autoSpaceDE w:val="0"/>
        <w:autoSpaceDN w:val="0"/>
        <w:adjustRightInd w:val="0"/>
        <w:spacing w:after="0" w:line="360" w:lineRule="auto"/>
        <w:rPr>
          <w:rFonts w:cstheme="minorHAnsi"/>
          <w:lang w:bidi="en-US"/>
        </w:rPr>
      </w:pPr>
    </w:p>
    <w:p w:rsidR="00557BDB" w:rsidRPr="00E0315A" w:rsidRDefault="00E0315A" w:rsidP="004B7525">
      <w:pPr>
        <w:spacing w:line="360" w:lineRule="auto"/>
        <w:rPr>
          <w:rFonts w:cstheme="minorHAnsi"/>
          <w:i/>
        </w:rPr>
      </w:pPr>
      <w:r>
        <w:rPr>
          <w:rFonts w:cstheme="minorHAnsi"/>
          <w:i/>
        </w:rPr>
        <w:t>Discussion of the professional association approach</w:t>
      </w:r>
    </w:p>
    <w:p w:rsidR="008F37EA" w:rsidRPr="008F37EA" w:rsidRDefault="008F37EA" w:rsidP="008F37EA">
      <w:pPr>
        <w:autoSpaceDE w:val="0"/>
        <w:autoSpaceDN w:val="0"/>
        <w:adjustRightInd w:val="0"/>
        <w:spacing w:after="0" w:line="360" w:lineRule="auto"/>
        <w:rPr>
          <w:rFonts w:cstheme="minorHAnsi"/>
          <w:lang w:bidi="en-US"/>
        </w:rPr>
      </w:pPr>
      <w:r w:rsidRPr="008F37EA">
        <w:rPr>
          <w:rFonts w:cstheme="minorHAnsi"/>
          <w:lang w:bidi="en-US"/>
        </w:rPr>
        <w:t xml:space="preserve">While practices will undoubtedly differ across higher education institutions, programmes and teaching teams, the professional association approach denotes a marked difference to our experience of working in several, but not </w:t>
      </w:r>
      <w:r w:rsidR="00C45344">
        <w:rPr>
          <w:rFonts w:cstheme="minorHAnsi"/>
          <w:lang w:bidi="en-US"/>
        </w:rPr>
        <w:t>all, higher education providers</w:t>
      </w:r>
      <w:r w:rsidRPr="008F37EA">
        <w:rPr>
          <w:rFonts w:cstheme="minorHAnsi"/>
          <w:lang w:bidi="en-US"/>
        </w:rPr>
        <w:t xml:space="preserve"> where the process is seemingly driven by the need for a speedy turnaround time. </w:t>
      </w:r>
      <w:r w:rsidR="00CF41ED">
        <w:rPr>
          <w:rFonts w:cstheme="minorHAnsi"/>
          <w:lang w:bidi="en-US"/>
        </w:rPr>
        <w:t>This not only inhibits any potential discussions and collective agreements regarding marking, it reduces moderation to an end-point check.</w:t>
      </w:r>
    </w:p>
    <w:p w:rsidR="008F37EA" w:rsidRDefault="008F37EA" w:rsidP="004B7525">
      <w:pPr>
        <w:spacing w:line="360" w:lineRule="auto"/>
        <w:rPr>
          <w:rFonts w:cstheme="minorHAnsi"/>
        </w:rPr>
      </w:pPr>
    </w:p>
    <w:p w:rsidR="00557BDB" w:rsidRPr="004B7525" w:rsidRDefault="00FF1596" w:rsidP="004B7525">
      <w:pPr>
        <w:spacing w:line="360" w:lineRule="auto"/>
        <w:rPr>
          <w:rFonts w:cstheme="minorHAnsi"/>
        </w:rPr>
      </w:pPr>
      <w:r w:rsidRPr="004B7525">
        <w:rPr>
          <w:rFonts w:cstheme="minorHAnsi"/>
        </w:rPr>
        <w:t>While there has been some doubt regarding the effectiveness of a standardisation meeting (</w:t>
      </w:r>
      <w:proofErr w:type="spellStart"/>
      <w:r w:rsidRPr="004B7525">
        <w:rPr>
          <w:rFonts w:cstheme="minorHAnsi"/>
        </w:rPr>
        <w:t>Greatorex</w:t>
      </w:r>
      <w:proofErr w:type="spellEnd"/>
      <w:r w:rsidR="00C45344">
        <w:rPr>
          <w:rFonts w:cstheme="minorHAnsi"/>
        </w:rPr>
        <w:t xml:space="preserve"> and Bell, 2008)</w:t>
      </w:r>
      <w:r w:rsidRPr="004B7525">
        <w:rPr>
          <w:rFonts w:cstheme="minorHAnsi"/>
        </w:rPr>
        <w:t xml:space="preserve"> the agreement of a marking scheme and model answers available at the outset are deemed to be important to the marking process (Lamming, 2003)</w:t>
      </w:r>
      <w:r w:rsidR="00584CBE">
        <w:rPr>
          <w:rFonts w:cstheme="minorHAnsi"/>
        </w:rPr>
        <w:t xml:space="preserve"> particularly at guiding those less experienced members of the marking team</w:t>
      </w:r>
      <w:r w:rsidRPr="004B7525">
        <w:rPr>
          <w:rFonts w:cstheme="minorHAnsi"/>
        </w:rPr>
        <w:t>. It is however, t</w:t>
      </w:r>
      <w:r w:rsidR="00557BDB" w:rsidRPr="004B7525">
        <w:rPr>
          <w:rFonts w:cstheme="minorHAnsi"/>
        </w:rPr>
        <w:t xml:space="preserve">he continuous cycle of communication and feedback on the performance of all markers </w:t>
      </w:r>
      <w:r w:rsidRPr="004B7525">
        <w:rPr>
          <w:rFonts w:cstheme="minorHAnsi"/>
        </w:rPr>
        <w:t xml:space="preserve">that </w:t>
      </w:r>
      <w:r w:rsidR="00557BDB" w:rsidRPr="004B7525">
        <w:rPr>
          <w:rFonts w:cstheme="minorHAnsi"/>
        </w:rPr>
        <w:t xml:space="preserve">is </w:t>
      </w:r>
      <w:proofErr w:type="gramStart"/>
      <w:r w:rsidR="00557BDB" w:rsidRPr="004B7525">
        <w:rPr>
          <w:rFonts w:cstheme="minorHAnsi"/>
        </w:rPr>
        <w:t>clearly evident</w:t>
      </w:r>
      <w:proofErr w:type="gramEnd"/>
      <w:r w:rsidR="00557BDB" w:rsidRPr="004B7525">
        <w:rPr>
          <w:rFonts w:cstheme="minorHAnsi"/>
        </w:rPr>
        <w:t xml:space="preserve"> in the professional associations’ approach</w:t>
      </w:r>
      <w:r w:rsidRPr="004B7525">
        <w:rPr>
          <w:rFonts w:cstheme="minorHAnsi"/>
        </w:rPr>
        <w:t xml:space="preserve"> which drives quality assurance</w:t>
      </w:r>
      <w:r w:rsidR="00557BDB" w:rsidRPr="004B7525">
        <w:rPr>
          <w:rFonts w:cstheme="minorHAnsi"/>
        </w:rPr>
        <w:t xml:space="preserve">. </w:t>
      </w:r>
      <w:r w:rsidR="00842FFA" w:rsidRPr="004B7525">
        <w:rPr>
          <w:rFonts w:cstheme="minorHAnsi"/>
        </w:rPr>
        <w:t>Wyatt-Smith (2010) feels it is the sharing of interpretations of the assessment tasks and agreeing com</w:t>
      </w:r>
      <w:r w:rsidR="00C45344">
        <w:rPr>
          <w:rFonts w:cstheme="minorHAnsi"/>
        </w:rPr>
        <w:t>monality not only at the outset</w:t>
      </w:r>
      <w:r w:rsidR="00842FFA" w:rsidRPr="004B7525">
        <w:rPr>
          <w:rFonts w:cstheme="minorHAnsi"/>
        </w:rPr>
        <w:t xml:space="preserve"> but throughout the assessment process</w:t>
      </w:r>
      <w:r w:rsidR="00C45344">
        <w:rPr>
          <w:rFonts w:cstheme="minorHAnsi"/>
        </w:rPr>
        <w:t>,</w:t>
      </w:r>
      <w:r w:rsidR="00842FFA" w:rsidRPr="004B7525">
        <w:rPr>
          <w:rFonts w:cstheme="minorHAnsi"/>
        </w:rPr>
        <w:t xml:space="preserve"> that is</w:t>
      </w:r>
      <w:r w:rsidR="00584CBE">
        <w:rPr>
          <w:rFonts w:cstheme="minorHAnsi"/>
        </w:rPr>
        <w:t xml:space="preserve"> vitally </w:t>
      </w:r>
      <w:r w:rsidR="00842FFA" w:rsidRPr="004B7525">
        <w:rPr>
          <w:rFonts w:cstheme="minorHAnsi"/>
        </w:rPr>
        <w:t xml:space="preserve">important. </w:t>
      </w:r>
    </w:p>
    <w:p w:rsidR="003F000D" w:rsidRPr="004B7525" w:rsidRDefault="00557BDB" w:rsidP="004B7525">
      <w:pPr>
        <w:spacing w:line="360" w:lineRule="auto"/>
        <w:rPr>
          <w:rFonts w:cstheme="minorHAnsi"/>
        </w:rPr>
      </w:pPr>
      <w:r w:rsidRPr="004B7525">
        <w:rPr>
          <w:rFonts w:cstheme="minorHAnsi"/>
        </w:rPr>
        <w:t>Similarly, i</w:t>
      </w:r>
      <w:r w:rsidR="00A9080E" w:rsidRPr="004B7525">
        <w:rPr>
          <w:rFonts w:cstheme="minorHAnsi"/>
        </w:rPr>
        <w:t>t is through the interaction between members o</w:t>
      </w:r>
      <w:r w:rsidR="00DA0151" w:rsidRPr="004B7525">
        <w:rPr>
          <w:rFonts w:cstheme="minorHAnsi"/>
        </w:rPr>
        <w:t xml:space="preserve">f the marking team that not only supports colleagues in </w:t>
      </w:r>
      <w:r w:rsidRPr="004B7525">
        <w:rPr>
          <w:rFonts w:cstheme="minorHAnsi"/>
        </w:rPr>
        <w:t xml:space="preserve">consistently </w:t>
      </w:r>
      <w:r w:rsidR="00DA0151" w:rsidRPr="004B7525">
        <w:rPr>
          <w:rFonts w:cstheme="minorHAnsi"/>
        </w:rPr>
        <w:t>asse</w:t>
      </w:r>
      <w:r w:rsidR="00C45344">
        <w:rPr>
          <w:rFonts w:cstheme="minorHAnsi"/>
        </w:rPr>
        <w:t>ssing requirements and outcomes</w:t>
      </w:r>
      <w:r w:rsidR="00DA0151" w:rsidRPr="004B7525">
        <w:rPr>
          <w:rFonts w:cstheme="minorHAnsi"/>
        </w:rPr>
        <w:t xml:space="preserve"> but provides a more holistic perspective of the assessment </w:t>
      </w:r>
      <w:r w:rsidRPr="004B7525">
        <w:rPr>
          <w:rFonts w:cstheme="minorHAnsi"/>
        </w:rPr>
        <w:t>process (</w:t>
      </w:r>
      <w:proofErr w:type="spellStart"/>
      <w:r w:rsidRPr="004B7525">
        <w:rPr>
          <w:rFonts w:cstheme="minorHAnsi"/>
        </w:rPr>
        <w:t>Beutel</w:t>
      </w:r>
      <w:proofErr w:type="spellEnd"/>
      <w:r w:rsidRPr="004B7525">
        <w:rPr>
          <w:rFonts w:cstheme="minorHAnsi"/>
        </w:rPr>
        <w:t xml:space="preserve"> et al., 2017). Additionally, m</w:t>
      </w:r>
      <w:r w:rsidR="00DA0151" w:rsidRPr="004B7525">
        <w:rPr>
          <w:rFonts w:cstheme="minorHAnsi"/>
        </w:rPr>
        <w:t>eetings and communication between markers facilitate</w:t>
      </w:r>
      <w:r w:rsidR="00584CBE">
        <w:rPr>
          <w:rFonts w:cstheme="minorHAnsi"/>
        </w:rPr>
        <w:t>s</w:t>
      </w:r>
      <w:r w:rsidR="00DA0151" w:rsidRPr="004B7525">
        <w:rPr>
          <w:rFonts w:cstheme="minorHAnsi"/>
        </w:rPr>
        <w:t xml:space="preserve"> the development of relationships (Grainger et al., 2015)</w:t>
      </w:r>
      <w:r w:rsidR="00A9080E" w:rsidRPr="004B7525">
        <w:rPr>
          <w:rFonts w:cstheme="minorHAnsi"/>
        </w:rPr>
        <w:t xml:space="preserve"> and allows the exchange of expectations between the assessment setter and those marking (Crimmins et al., 2016). </w:t>
      </w:r>
      <w:r w:rsidR="00724A26" w:rsidRPr="004B7525">
        <w:rPr>
          <w:rFonts w:cstheme="minorHAnsi"/>
        </w:rPr>
        <w:t xml:space="preserve">It is this development of an assessment-community that Bloxham et al (2016) feels can lead to lead to greater reliability of marking, more than merely focusing on assessment criteria. </w:t>
      </w:r>
      <w:r w:rsidR="00034BDE" w:rsidRPr="004B7525">
        <w:rPr>
          <w:rFonts w:cstheme="minorHAnsi"/>
        </w:rPr>
        <w:t>Moreover, the encouragement of critical discussions</w:t>
      </w:r>
      <w:r w:rsidR="00045FC6" w:rsidRPr="004B7525">
        <w:rPr>
          <w:rFonts w:cstheme="minorHAnsi"/>
        </w:rPr>
        <w:t xml:space="preserve"> between markers can </w:t>
      </w:r>
      <w:r w:rsidR="00584CBE">
        <w:rPr>
          <w:rFonts w:cstheme="minorHAnsi"/>
        </w:rPr>
        <w:t>help improve overall reliability</w:t>
      </w:r>
      <w:r w:rsidR="00045FC6" w:rsidRPr="004B7525">
        <w:rPr>
          <w:rFonts w:cstheme="minorHAnsi"/>
        </w:rPr>
        <w:t xml:space="preserve"> rather than relying on moderator-base</w:t>
      </w:r>
      <w:r w:rsidR="00FF1596" w:rsidRPr="004B7525">
        <w:rPr>
          <w:rFonts w:cstheme="minorHAnsi"/>
        </w:rPr>
        <w:t>d mar</w:t>
      </w:r>
      <w:r w:rsidR="00C45344">
        <w:rPr>
          <w:rFonts w:cstheme="minorHAnsi"/>
        </w:rPr>
        <w:t>king (Garry et al., 2005). In addition,</w:t>
      </w:r>
      <w:r w:rsidR="00FF1596" w:rsidRPr="004B7525">
        <w:rPr>
          <w:rFonts w:cstheme="minorHAnsi"/>
        </w:rPr>
        <w:t xml:space="preserve"> </w:t>
      </w:r>
      <w:r w:rsidRPr="004B7525">
        <w:rPr>
          <w:rFonts w:cstheme="minorHAnsi"/>
        </w:rPr>
        <w:t>interac</w:t>
      </w:r>
      <w:r w:rsidR="00C45344">
        <w:rPr>
          <w:rFonts w:cstheme="minorHAnsi"/>
        </w:rPr>
        <w:t>tion and engagement in dialogue</w:t>
      </w:r>
      <w:r w:rsidRPr="004B7525">
        <w:rPr>
          <w:rFonts w:cstheme="minorHAnsi"/>
        </w:rPr>
        <w:t xml:space="preserve"> gives consistency of marking assessment tasks (</w:t>
      </w:r>
      <w:proofErr w:type="spellStart"/>
      <w:r w:rsidRPr="004B7525">
        <w:rPr>
          <w:rFonts w:cstheme="minorHAnsi"/>
        </w:rPr>
        <w:t>Watty</w:t>
      </w:r>
      <w:proofErr w:type="spellEnd"/>
      <w:r w:rsidRPr="004B7525">
        <w:rPr>
          <w:rFonts w:cstheme="minorHAnsi"/>
        </w:rPr>
        <w:t xml:space="preserve"> et al., 2014)</w:t>
      </w:r>
      <w:r w:rsidR="00FF1596" w:rsidRPr="004B7525">
        <w:rPr>
          <w:rFonts w:cstheme="minorHAnsi"/>
        </w:rPr>
        <w:t>. T</w:t>
      </w:r>
      <w:r w:rsidR="00476C5A" w:rsidRPr="004B7525">
        <w:rPr>
          <w:rFonts w:cstheme="minorHAnsi"/>
        </w:rPr>
        <w:t xml:space="preserve">his will </w:t>
      </w:r>
      <w:r w:rsidR="00FF1596" w:rsidRPr="004B7525">
        <w:rPr>
          <w:rFonts w:cstheme="minorHAnsi"/>
        </w:rPr>
        <w:t xml:space="preserve">however, </w:t>
      </w:r>
      <w:r w:rsidR="00476C5A" w:rsidRPr="004B7525">
        <w:rPr>
          <w:rFonts w:cstheme="minorHAnsi"/>
        </w:rPr>
        <w:t>be aided b</w:t>
      </w:r>
      <w:r w:rsidR="00C45344">
        <w:rPr>
          <w:rFonts w:cstheme="minorHAnsi"/>
        </w:rPr>
        <w:t>y having a regular marking team</w:t>
      </w:r>
      <w:r w:rsidR="00476C5A" w:rsidRPr="004B7525">
        <w:rPr>
          <w:rFonts w:cstheme="minorHAnsi"/>
        </w:rPr>
        <w:t xml:space="preserve"> something that is not always possible in higher education institutions where staff </w:t>
      </w:r>
      <w:r w:rsidR="008F6637" w:rsidRPr="004B7525">
        <w:rPr>
          <w:rFonts w:cstheme="minorHAnsi"/>
        </w:rPr>
        <w:t xml:space="preserve">and/or curriculum </w:t>
      </w:r>
      <w:r w:rsidR="00476C5A" w:rsidRPr="004B7525">
        <w:rPr>
          <w:rFonts w:cstheme="minorHAnsi"/>
        </w:rPr>
        <w:t xml:space="preserve">changes are increasingly frequent </w:t>
      </w:r>
      <w:r w:rsidR="008F6637" w:rsidRPr="004B7525">
        <w:rPr>
          <w:rFonts w:cstheme="minorHAnsi"/>
        </w:rPr>
        <w:t>occurrences</w:t>
      </w:r>
      <w:r w:rsidRPr="004B7525">
        <w:rPr>
          <w:rFonts w:cstheme="minorHAnsi"/>
        </w:rPr>
        <w:t xml:space="preserve">.  </w:t>
      </w:r>
    </w:p>
    <w:p w:rsidR="00381222" w:rsidRDefault="00075DAE" w:rsidP="004B7525">
      <w:pPr>
        <w:spacing w:line="360" w:lineRule="auto"/>
        <w:rPr>
          <w:rFonts w:cstheme="minorHAnsi"/>
        </w:rPr>
      </w:pPr>
      <w:r w:rsidRPr="004B7525">
        <w:rPr>
          <w:rFonts w:cstheme="minorHAnsi"/>
        </w:rPr>
        <w:t>However, i</w:t>
      </w:r>
      <w:r w:rsidR="007C5AFC" w:rsidRPr="004B7525">
        <w:rPr>
          <w:rFonts w:cstheme="minorHAnsi"/>
        </w:rPr>
        <w:t>t is not just change in staffing and curriculum that are create challenges to assessments</w:t>
      </w:r>
      <w:r w:rsidRPr="004B7525">
        <w:rPr>
          <w:rFonts w:cstheme="minorHAnsi"/>
        </w:rPr>
        <w:t xml:space="preserve"> in universities</w:t>
      </w:r>
      <w:r w:rsidR="007C5AFC" w:rsidRPr="004B7525">
        <w:rPr>
          <w:rFonts w:cstheme="minorHAnsi"/>
        </w:rPr>
        <w:t>. Increased teaching loads, outcomes orientation especially with research and administrative burdens, align with concerns of managerialism (</w:t>
      </w:r>
      <w:r w:rsidR="0081576C" w:rsidRPr="004B7525">
        <w:rPr>
          <w:rFonts w:cstheme="minorHAnsi"/>
        </w:rPr>
        <w:t xml:space="preserve">see: Huang et al., 2016; </w:t>
      </w:r>
      <w:proofErr w:type="spellStart"/>
      <w:r w:rsidR="0081576C" w:rsidRPr="004B7525">
        <w:rPr>
          <w:rFonts w:cstheme="minorHAnsi"/>
        </w:rPr>
        <w:t>Kok</w:t>
      </w:r>
      <w:proofErr w:type="spellEnd"/>
      <w:r w:rsidR="00C45344">
        <w:rPr>
          <w:rFonts w:cstheme="minorHAnsi"/>
        </w:rPr>
        <w:t xml:space="preserve"> et al., 2010; Reid, 2009). These </w:t>
      </w:r>
      <w:r w:rsidR="0081576C" w:rsidRPr="004B7525">
        <w:rPr>
          <w:rFonts w:cstheme="minorHAnsi"/>
        </w:rPr>
        <w:t>will potentially reduce staff’s willingness to embrace new marking regimes</w:t>
      </w:r>
      <w:r w:rsidR="00C45344">
        <w:rPr>
          <w:rFonts w:cstheme="minorHAnsi"/>
        </w:rPr>
        <w:t>,</w:t>
      </w:r>
      <w:r w:rsidR="00B07CAA" w:rsidRPr="004B7525">
        <w:rPr>
          <w:rFonts w:cstheme="minorHAnsi"/>
        </w:rPr>
        <w:t xml:space="preserve"> such as those professional practices</w:t>
      </w:r>
      <w:r w:rsidR="0081576C" w:rsidRPr="004B7525">
        <w:rPr>
          <w:rFonts w:cstheme="minorHAnsi"/>
        </w:rPr>
        <w:t>, particularly wh</w:t>
      </w:r>
      <w:r w:rsidR="00C45344">
        <w:rPr>
          <w:rFonts w:cstheme="minorHAnsi"/>
        </w:rPr>
        <w:t>ere delays and further work might</w:t>
      </w:r>
      <w:r w:rsidR="0081576C" w:rsidRPr="004B7525">
        <w:rPr>
          <w:rFonts w:cstheme="minorHAnsi"/>
        </w:rPr>
        <w:t xml:space="preserve"> occur.</w:t>
      </w:r>
      <w:r w:rsidRPr="004B7525">
        <w:rPr>
          <w:rFonts w:cstheme="minorHAnsi"/>
        </w:rPr>
        <w:t xml:space="preserve"> </w:t>
      </w:r>
    </w:p>
    <w:p w:rsidR="00C45344" w:rsidRDefault="00381222" w:rsidP="004B7525">
      <w:pPr>
        <w:spacing w:line="360" w:lineRule="auto"/>
        <w:rPr>
          <w:rFonts w:cstheme="minorHAnsi"/>
        </w:rPr>
      </w:pPr>
      <w:r>
        <w:rPr>
          <w:rFonts w:cstheme="minorHAnsi"/>
        </w:rPr>
        <w:t>Those assessing for professional associations are normally paid directly, on a piecework basis for such work and if not performing up to an agreed standard can have their services discontinued. University staff in contrast, are not paid anything additio</w:t>
      </w:r>
      <w:r w:rsidR="00D77391">
        <w:rPr>
          <w:rFonts w:cstheme="minorHAnsi"/>
        </w:rPr>
        <w:t>nal to their salary,</w:t>
      </w:r>
      <w:r>
        <w:rPr>
          <w:rFonts w:cstheme="minorHAnsi"/>
        </w:rPr>
        <w:t xml:space="preserve"> but absorb </w:t>
      </w:r>
      <w:r w:rsidR="00D77391">
        <w:rPr>
          <w:rFonts w:cstheme="minorHAnsi"/>
        </w:rPr>
        <w:t xml:space="preserve">the marking into their normal workload. </w:t>
      </w:r>
      <w:r w:rsidR="00075DAE" w:rsidRPr="004B7525">
        <w:rPr>
          <w:rFonts w:cstheme="minorHAnsi"/>
        </w:rPr>
        <w:t xml:space="preserve">Compressed turnaround times for marking students’ assessment across </w:t>
      </w:r>
      <w:proofErr w:type="gramStart"/>
      <w:r w:rsidR="00075DAE" w:rsidRPr="004B7525">
        <w:rPr>
          <w:rFonts w:cstheme="minorHAnsi"/>
        </w:rPr>
        <w:t>a number of</w:t>
      </w:r>
      <w:proofErr w:type="gramEnd"/>
      <w:r w:rsidR="00075DAE" w:rsidRPr="004B7525">
        <w:rPr>
          <w:rFonts w:cstheme="minorHAnsi"/>
        </w:rPr>
        <w:t xml:space="preserve"> modules</w:t>
      </w:r>
      <w:r w:rsidR="00B07CAA" w:rsidRPr="004B7525">
        <w:rPr>
          <w:rFonts w:cstheme="minorHAnsi"/>
        </w:rPr>
        <w:t xml:space="preserve"> in a semester</w:t>
      </w:r>
      <w:r w:rsidR="00075DAE" w:rsidRPr="004B7525">
        <w:rPr>
          <w:rFonts w:cstheme="minorHAnsi"/>
        </w:rPr>
        <w:t xml:space="preserve"> increase pressure and therefore stress on university staff (Biron et al., 2008; Gillespie et al., 2001). </w:t>
      </w:r>
      <w:r w:rsidR="00B07CAA" w:rsidRPr="004B7525">
        <w:rPr>
          <w:rFonts w:cstheme="minorHAnsi"/>
        </w:rPr>
        <w:t>As Knott et al. (2015) note perhaps, training a</w:t>
      </w:r>
      <w:r w:rsidR="00584CBE">
        <w:rPr>
          <w:rFonts w:cstheme="minorHAnsi"/>
        </w:rPr>
        <w:t>nd</w:t>
      </w:r>
      <w:r w:rsidR="00C45344">
        <w:rPr>
          <w:rFonts w:cstheme="minorHAnsi"/>
        </w:rPr>
        <w:t xml:space="preserve"> development might help staff</w:t>
      </w:r>
      <w:r w:rsidR="00584CBE">
        <w:rPr>
          <w:rFonts w:cstheme="minorHAnsi"/>
        </w:rPr>
        <w:t xml:space="preserve"> </w:t>
      </w:r>
      <w:r w:rsidR="00C45344">
        <w:rPr>
          <w:rFonts w:cstheme="minorHAnsi"/>
        </w:rPr>
        <w:t>especially part-time colleagues</w:t>
      </w:r>
      <w:r w:rsidR="00584CBE">
        <w:rPr>
          <w:rFonts w:cstheme="minorHAnsi"/>
        </w:rPr>
        <w:t xml:space="preserve"> </w:t>
      </w:r>
      <w:r w:rsidR="00B07CAA" w:rsidRPr="004B7525">
        <w:rPr>
          <w:rFonts w:cstheme="minorHAnsi"/>
        </w:rPr>
        <w:t>a</w:t>
      </w:r>
      <w:r w:rsidR="00C45344">
        <w:rPr>
          <w:rFonts w:cstheme="minorHAnsi"/>
        </w:rPr>
        <w:t>djust to any new marking regime</w:t>
      </w:r>
      <w:r w:rsidR="00B07CAA" w:rsidRPr="004B7525">
        <w:rPr>
          <w:rFonts w:cstheme="minorHAnsi"/>
        </w:rPr>
        <w:t xml:space="preserve"> </w:t>
      </w:r>
      <w:proofErr w:type="gramStart"/>
      <w:r w:rsidR="00B07CAA" w:rsidRPr="004B7525">
        <w:rPr>
          <w:rFonts w:cstheme="minorHAnsi"/>
        </w:rPr>
        <w:t>and also</w:t>
      </w:r>
      <w:proofErr w:type="gramEnd"/>
      <w:r w:rsidR="00B07CAA" w:rsidRPr="004B7525">
        <w:rPr>
          <w:rFonts w:cstheme="minorHAnsi"/>
        </w:rPr>
        <w:t xml:space="preserve"> improve </w:t>
      </w:r>
      <w:r w:rsidR="00C45344">
        <w:rPr>
          <w:rFonts w:cstheme="minorHAnsi"/>
        </w:rPr>
        <w:t xml:space="preserve">the </w:t>
      </w:r>
      <w:r w:rsidR="00075DAE" w:rsidRPr="004B7525">
        <w:rPr>
          <w:rFonts w:cstheme="minorHAnsi"/>
        </w:rPr>
        <w:t>re</w:t>
      </w:r>
      <w:r w:rsidR="00B07CAA" w:rsidRPr="004B7525">
        <w:rPr>
          <w:rFonts w:cstheme="minorHAnsi"/>
        </w:rPr>
        <w:t>liability in assessment marking?</w:t>
      </w:r>
      <w:r w:rsidR="00C06FE6">
        <w:rPr>
          <w:rFonts w:cstheme="minorHAnsi"/>
        </w:rPr>
        <w:t xml:space="preserve"> This is however, subject to the availability of training budgets to facilitate this happening.</w:t>
      </w:r>
    </w:p>
    <w:p w:rsidR="00C45344" w:rsidRDefault="00C45344" w:rsidP="004B7525">
      <w:pPr>
        <w:spacing w:line="360" w:lineRule="auto"/>
        <w:rPr>
          <w:rFonts w:cstheme="minorHAnsi"/>
        </w:rPr>
      </w:pPr>
    </w:p>
    <w:p w:rsidR="00C45344" w:rsidRPr="00463600" w:rsidRDefault="00C45344" w:rsidP="004B7525">
      <w:pPr>
        <w:spacing w:line="360" w:lineRule="auto"/>
        <w:rPr>
          <w:rFonts w:cstheme="minorHAnsi"/>
        </w:rPr>
      </w:pPr>
    </w:p>
    <w:p w:rsidR="008F4234" w:rsidRPr="00E0315A" w:rsidRDefault="008F4234" w:rsidP="004B7525">
      <w:pPr>
        <w:spacing w:line="360" w:lineRule="auto"/>
        <w:rPr>
          <w:rFonts w:cstheme="minorHAnsi"/>
          <w:i/>
        </w:rPr>
      </w:pPr>
      <w:r w:rsidRPr="00E0315A">
        <w:rPr>
          <w:rFonts w:cstheme="minorHAnsi"/>
          <w:i/>
        </w:rPr>
        <w:t>Conclusion</w:t>
      </w:r>
    </w:p>
    <w:p w:rsidR="00CF41ED" w:rsidRDefault="008F4234" w:rsidP="004B7525">
      <w:pPr>
        <w:spacing w:line="360" w:lineRule="auto"/>
        <w:rPr>
          <w:rFonts w:cstheme="minorHAnsi"/>
        </w:rPr>
      </w:pPr>
      <w:r w:rsidRPr="004B7525">
        <w:rPr>
          <w:rFonts w:cstheme="minorHAnsi"/>
        </w:rPr>
        <w:t xml:space="preserve">We have outlined the prevailing issues concerning marking of </w:t>
      </w:r>
      <w:r w:rsidR="00C45344">
        <w:rPr>
          <w:rFonts w:cstheme="minorHAnsi"/>
        </w:rPr>
        <w:t>assessments in higher education</w:t>
      </w:r>
      <w:r w:rsidRPr="004B7525">
        <w:rPr>
          <w:rFonts w:cstheme="minorHAnsi"/>
        </w:rPr>
        <w:t xml:space="preserve"> and based on our experience with working with professional management associations, described a possible solution. Nonetheless, it</w:t>
      </w:r>
      <w:r w:rsidR="00C45344">
        <w:rPr>
          <w:rFonts w:cstheme="minorHAnsi"/>
        </w:rPr>
        <w:t xml:space="preserve"> remains our viewpoint</w:t>
      </w:r>
      <w:r w:rsidRPr="004B7525">
        <w:rPr>
          <w:rFonts w:cstheme="minorHAnsi"/>
        </w:rPr>
        <w:t xml:space="preserve"> until it is tested in the university sector and its value scrutinised.  There is however, further investigation of assessment practices of other sectors that universities might consider, such as schools, ‘A’ levels, as well as those pertaining to professional accreditation that might </w:t>
      </w:r>
      <w:r w:rsidR="003A1475" w:rsidRPr="004B7525">
        <w:rPr>
          <w:rFonts w:cstheme="minorHAnsi"/>
        </w:rPr>
        <w:t>be usefully transferred. Other assessment practices such as negotiated student self and peer assessment (Poon et al., 2009</w:t>
      </w:r>
      <w:r w:rsidR="003E0711">
        <w:rPr>
          <w:rFonts w:cstheme="minorHAnsi"/>
        </w:rPr>
        <w:t>; Vista et al., 2015</w:t>
      </w:r>
      <w:r w:rsidR="003A1475" w:rsidRPr="004B7525">
        <w:rPr>
          <w:rFonts w:cstheme="minorHAnsi"/>
        </w:rPr>
        <w:t>) and those supported by technology, such as online discussions (Wood and Henderson, 2010) may well provide solutions no</w:t>
      </w:r>
      <w:r w:rsidR="00CB1E3C">
        <w:rPr>
          <w:rFonts w:cstheme="minorHAnsi"/>
        </w:rPr>
        <w:t>t only to assessment consistency</w:t>
      </w:r>
      <w:r w:rsidR="001F33FD">
        <w:rPr>
          <w:rFonts w:cstheme="minorHAnsi"/>
        </w:rPr>
        <w:t>,</w:t>
      </w:r>
      <w:r w:rsidR="001D2EF4">
        <w:rPr>
          <w:rFonts w:cstheme="minorHAnsi"/>
        </w:rPr>
        <w:t xml:space="preserve"> but also to </w:t>
      </w:r>
      <w:r w:rsidR="00C45344">
        <w:rPr>
          <w:rFonts w:cstheme="minorHAnsi"/>
        </w:rPr>
        <w:t xml:space="preserve">help </w:t>
      </w:r>
      <w:r w:rsidR="00CB1E3C">
        <w:rPr>
          <w:rFonts w:cstheme="minorHAnsi"/>
        </w:rPr>
        <w:t xml:space="preserve">reduce </w:t>
      </w:r>
      <w:r w:rsidR="003A1475" w:rsidRPr="004B7525">
        <w:rPr>
          <w:rFonts w:cstheme="minorHAnsi"/>
        </w:rPr>
        <w:t>staff workloads?</w:t>
      </w:r>
    </w:p>
    <w:p w:rsidR="00C45344" w:rsidRPr="00C45344" w:rsidRDefault="00C45344" w:rsidP="004B7525">
      <w:pPr>
        <w:spacing w:line="360" w:lineRule="auto"/>
        <w:rPr>
          <w:rFonts w:cstheme="minorHAnsi"/>
        </w:rPr>
      </w:pPr>
    </w:p>
    <w:p w:rsidR="00F41143" w:rsidRPr="00E0315A" w:rsidRDefault="00F41143" w:rsidP="004B7525">
      <w:pPr>
        <w:spacing w:line="360" w:lineRule="auto"/>
        <w:rPr>
          <w:rFonts w:cstheme="minorHAnsi"/>
          <w:i/>
        </w:rPr>
      </w:pPr>
      <w:r w:rsidRPr="00E0315A">
        <w:rPr>
          <w:rFonts w:cstheme="minorHAnsi"/>
          <w:i/>
        </w:rPr>
        <w:t>References</w:t>
      </w:r>
    </w:p>
    <w:p w:rsidR="00F41143" w:rsidRPr="004B7525" w:rsidRDefault="00F41143" w:rsidP="004B7525">
      <w:pPr>
        <w:spacing w:before="240" w:after="240" w:line="360" w:lineRule="auto"/>
        <w:rPr>
          <w:rFonts w:eastAsia="Times New Roman" w:cstheme="minorHAnsi"/>
          <w:lang w:eastAsia="en-GB"/>
        </w:rPr>
      </w:pPr>
      <w:proofErr w:type="spellStart"/>
      <w:r w:rsidRPr="004B7525">
        <w:rPr>
          <w:rFonts w:cstheme="minorHAnsi"/>
        </w:rPr>
        <w:t>Bandiera</w:t>
      </w:r>
      <w:proofErr w:type="spellEnd"/>
      <w:r w:rsidRPr="004B7525">
        <w:rPr>
          <w:rFonts w:cstheme="minorHAnsi"/>
        </w:rPr>
        <w:t xml:space="preserve">, O., </w:t>
      </w:r>
      <w:proofErr w:type="spellStart"/>
      <w:r w:rsidRPr="004B7525">
        <w:rPr>
          <w:rFonts w:cstheme="minorHAnsi"/>
        </w:rPr>
        <w:t>Larcinese</w:t>
      </w:r>
      <w:proofErr w:type="spellEnd"/>
      <w:r w:rsidRPr="004B7525">
        <w:rPr>
          <w:rFonts w:cstheme="minorHAnsi"/>
        </w:rPr>
        <w:t xml:space="preserve">, V. and </w:t>
      </w:r>
      <w:proofErr w:type="spellStart"/>
      <w:r w:rsidRPr="004B7525">
        <w:rPr>
          <w:rFonts w:cstheme="minorHAnsi"/>
        </w:rPr>
        <w:t>Rasul</w:t>
      </w:r>
      <w:proofErr w:type="spellEnd"/>
      <w:r w:rsidRPr="004B7525">
        <w:rPr>
          <w:rFonts w:cstheme="minorHAnsi"/>
        </w:rPr>
        <w:t>, I. (2010)</w:t>
      </w:r>
      <w:r w:rsidR="00984B73" w:rsidRPr="004B7525">
        <w:rPr>
          <w:rFonts w:cstheme="minorHAnsi"/>
        </w:rPr>
        <w:t xml:space="preserve"> </w:t>
      </w:r>
      <w:r w:rsidRPr="004B7525">
        <w:rPr>
          <w:rFonts w:cstheme="minorHAnsi"/>
        </w:rPr>
        <w:t xml:space="preserve">The impact of class size on the performance of university students, available at: </w:t>
      </w:r>
      <w:hyperlink r:id="rId5" w:history="1">
        <w:r w:rsidRPr="004B7525">
          <w:rPr>
            <w:rStyle w:val="Hyperlink"/>
            <w:rFonts w:eastAsia="Times New Roman" w:cstheme="minorHAnsi"/>
            <w:lang w:eastAsia="en-GB"/>
          </w:rPr>
          <w:t>http://www.voxeu.org/article/impact-class-size-performance-university-students</w:t>
        </w:r>
      </w:hyperlink>
      <w:r w:rsidR="00CF41ED">
        <w:rPr>
          <w:rStyle w:val="Hyperlink"/>
          <w:rFonts w:eastAsia="Times New Roman" w:cstheme="minorHAnsi"/>
          <w:lang w:eastAsia="en-GB"/>
        </w:rPr>
        <w:t>.</w:t>
      </w:r>
    </w:p>
    <w:p w:rsidR="00227C0B" w:rsidRPr="00227C0B" w:rsidRDefault="00227C0B" w:rsidP="00E92D45">
      <w:pPr>
        <w:autoSpaceDE w:val="0"/>
        <w:autoSpaceDN w:val="0"/>
        <w:adjustRightInd w:val="0"/>
        <w:spacing w:after="0" w:line="360" w:lineRule="auto"/>
        <w:rPr>
          <w:rFonts w:cstheme="minorHAnsi"/>
        </w:rPr>
      </w:pPr>
      <w:proofErr w:type="spellStart"/>
      <w:r w:rsidRPr="00227C0B">
        <w:rPr>
          <w:rFonts w:cstheme="minorHAnsi"/>
        </w:rPr>
        <w:t>Bearman</w:t>
      </w:r>
      <w:proofErr w:type="spellEnd"/>
      <w:r w:rsidRPr="00227C0B">
        <w:rPr>
          <w:rFonts w:cstheme="minorHAnsi"/>
        </w:rPr>
        <w:t xml:space="preserve">, M., Dawson, P., Bennett, S., Hall, M., Molloy, E., </w:t>
      </w:r>
      <w:proofErr w:type="spellStart"/>
      <w:r w:rsidRPr="00227C0B">
        <w:rPr>
          <w:rFonts w:cstheme="minorHAnsi"/>
        </w:rPr>
        <w:t>Boud</w:t>
      </w:r>
      <w:proofErr w:type="spellEnd"/>
      <w:r w:rsidRPr="00227C0B">
        <w:rPr>
          <w:rFonts w:cstheme="minorHAnsi"/>
        </w:rPr>
        <w:t xml:space="preserve">, D. and </w:t>
      </w:r>
      <w:proofErr w:type="spellStart"/>
      <w:r w:rsidRPr="00227C0B">
        <w:rPr>
          <w:rFonts w:cstheme="minorHAnsi"/>
        </w:rPr>
        <w:t>Joughin</w:t>
      </w:r>
      <w:proofErr w:type="spellEnd"/>
      <w:r w:rsidRPr="00227C0B">
        <w:rPr>
          <w:rFonts w:cstheme="minorHAnsi"/>
        </w:rPr>
        <w:t xml:space="preserve">, G. (2016) How university teachers design assessments: a cross-disciplinary study, </w:t>
      </w:r>
      <w:r w:rsidRPr="00227C0B">
        <w:rPr>
          <w:rFonts w:cstheme="minorHAnsi"/>
          <w:i/>
        </w:rPr>
        <w:t>Higher Education</w:t>
      </w:r>
      <w:r w:rsidRPr="00227C0B">
        <w:rPr>
          <w:rFonts w:cstheme="minorHAnsi"/>
        </w:rPr>
        <w:t>, DOI 10.1007/s10734-016-0027-7</w:t>
      </w:r>
      <w:r w:rsidR="00CF41ED">
        <w:rPr>
          <w:rFonts w:cstheme="minorHAnsi"/>
        </w:rPr>
        <w:t>.</w:t>
      </w:r>
    </w:p>
    <w:p w:rsidR="00227C0B" w:rsidRDefault="00227C0B" w:rsidP="00E92D45">
      <w:pPr>
        <w:autoSpaceDE w:val="0"/>
        <w:autoSpaceDN w:val="0"/>
        <w:adjustRightInd w:val="0"/>
        <w:spacing w:after="0" w:line="360" w:lineRule="auto"/>
        <w:rPr>
          <w:rFonts w:cstheme="minorHAnsi"/>
        </w:rPr>
      </w:pPr>
    </w:p>
    <w:p w:rsidR="00E92D45" w:rsidRDefault="00E92D45" w:rsidP="00E92D45">
      <w:pPr>
        <w:autoSpaceDE w:val="0"/>
        <w:autoSpaceDN w:val="0"/>
        <w:adjustRightInd w:val="0"/>
        <w:spacing w:after="0" w:line="360" w:lineRule="auto"/>
        <w:rPr>
          <w:rFonts w:cstheme="minorHAnsi"/>
        </w:rPr>
      </w:pPr>
      <w:proofErr w:type="spellStart"/>
      <w:r w:rsidRPr="00E92D45">
        <w:rPr>
          <w:rFonts w:cstheme="minorHAnsi"/>
        </w:rPr>
        <w:t>Beutel</w:t>
      </w:r>
      <w:proofErr w:type="spellEnd"/>
      <w:r w:rsidRPr="00E92D45">
        <w:rPr>
          <w:rFonts w:cstheme="minorHAnsi"/>
        </w:rPr>
        <w:t xml:space="preserve">, D., Adie, L. and Lloyd, M. (2017) Assessment moderation in an Australian context: processes, practices, and challenges, </w:t>
      </w:r>
      <w:r w:rsidRPr="00E92D45">
        <w:rPr>
          <w:rFonts w:cstheme="minorHAnsi"/>
          <w:i/>
        </w:rPr>
        <w:t>Teaching in Higher Education</w:t>
      </w:r>
      <w:r w:rsidRPr="00E92D45">
        <w:rPr>
          <w:rFonts w:cstheme="minorHAnsi"/>
        </w:rPr>
        <w:t>, 22:1,</w:t>
      </w:r>
      <w:r>
        <w:rPr>
          <w:rFonts w:cstheme="minorHAnsi"/>
        </w:rPr>
        <w:t xml:space="preserve"> </w:t>
      </w:r>
      <w:r w:rsidRPr="00E92D45">
        <w:rPr>
          <w:rFonts w:cstheme="minorHAnsi"/>
        </w:rPr>
        <w:t>1-14.</w:t>
      </w:r>
    </w:p>
    <w:p w:rsidR="00227C0B" w:rsidRDefault="00227C0B" w:rsidP="00E92D45">
      <w:pPr>
        <w:autoSpaceDE w:val="0"/>
        <w:autoSpaceDN w:val="0"/>
        <w:adjustRightInd w:val="0"/>
        <w:spacing w:after="0" w:line="360" w:lineRule="auto"/>
        <w:rPr>
          <w:rFonts w:cstheme="minorHAnsi"/>
        </w:rPr>
      </w:pPr>
    </w:p>
    <w:p w:rsidR="00E92D45" w:rsidRDefault="00227C0B" w:rsidP="00E92D45">
      <w:pPr>
        <w:autoSpaceDE w:val="0"/>
        <w:autoSpaceDN w:val="0"/>
        <w:adjustRightInd w:val="0"/>
        <w:spacing w:after="0" w:line="360" w:lineRule="auto"/>
        <w:rPr>
          <w:rFonts w:cstheme="minorHAnsi"/>
        </w:rPr>
      </w:pPr>
      <w:r>
        <w:rPr>
          <w:rFonts w:cstheme="minorHAnsi"/>
        </w:rPr>
        <w:t xml:space="preserve">Biron, C., Brun, J. and </w:t>
      </w:r>
      <w:proofErr w:type="spellStart"/>
      <w:r>
        <w:rPr>
          <w:rFonts w:cstheme="minorHAnsi"/>
        </w:rPr>
        <w:t>Ivers</w:t>
      </w:r>
      <w:proofErr w:type="spellEnd"/>
      <w:r>
        <w:rPr>
          <w:rFonts w:cstheme="minorHAnsi"/>
        </w:rPr>
        <w:t xml:space="preserve">, H. (2008) Extent and sources of occupational stress in university staff, </w:t>
      </w:r>
      <w:r w:rsidRPr="00227C0B">
        <w:rPr>
          <w:rFonts w:cstheme="minorHAnsi"/>
          <w:i/>
        </w:rPr>
        <w:t>Work</w:t>
      </w:r>
      <w:r>
        <w:rPr>
          <w:rFonts w:cstheme="minorHAnsi"/>
        </w:rPr>
        <w:t>, 30, 511-522.</w:t>
      </w:r>
    </w:p>
    <w:p w:rsidR="00227C0B" w:rsidRPr="00E92D45" w:rsidRDefault="00227C0B" w:rsidP="00E92D45">
      <w:pPr>
        <w:autoSpaceDE w:val="0"/>
        <w:autoSpaceDN w:val="0"/>
        <w:adjustRightInd w:val="0"/>
        <w:spacing w:after="0" w:line="360" w:lineRule="auto"/>
        <w:rPr>
          <w:rFonts w:cstheme="minorHAnsi"/>
        </w:rPr>
      </w:pPr>
    </w:p>
    <w:p w:rsidR="00F41143" w:rsidRPr="004B7525" w:rsidRDefault="00F41143" w:rsidP="004B7525">
      <w:pPr>
        <w:spacing w:line="360" w:lineRule="auto"/>
        <w:jc w:val="both"/>
        <w:rPr>
          <w:rFonts w:cstheme="minorHAnsi"/>
        </w:rPr>
      </w:pPr>
      <w:r w:rsidRPr="004B7525">
        <w:rPr>
          <w:rFonts w:cstheme="minorHAnsi"/>
        </w:rPr>
        <w:t xml:space="preserve">Bloxham, S. (2009) Marking and moderation in the UK: false assumptions and wasted resources, </w:t>
      </w:r>
      <w:r w:rsidRPr="004B7525">
        <w:rPr>
          <w:rFonts w:cstheme="minorHAnsi"/>
          <w:i/>
        </w:rPr>
        <w:t>Assessment &amp; Evaluation in Higher Education</w:t>
      </w:r>
      <w:r w:rsidRPr="004B7525">
        <w:rPr>
          <w:rFonts w:cstheme="minorHAnsi"/>
        </w:rPr>
        <w:t>, 34(2), 209-220</w:t>
      </w:r>
      <w:r w:rsidR="00CF41ED">
        <w:rPr>
          <w:rFonts w:cstheme="minorHAnsi"/>
        </w:rPr>
        <w:t>.</w:t>
      </w:r>
    </w:p>
    <w:p w:rsidR="00EA5E40" w:rsidRDefault="00F41143" w:rsidP="00EA5E40">
      <w:pPr>
        <w:spacing w:line="360" w:lineRule="auto"/>
        <w:jc w:val="both"/>
        <w:rPr>
          <w:rFonts w:cstheme="minorHAnsi"/>
        </w:rPr>
      </w:pPr>
      <w:r w:rsidRPr="004B7525">
        <w:rPr>
          <w:rFonts w:cstheme="minorHAnsi"/>
        </w:rPr>
        <w:t xml:space="preserve">Bloxham, S., Boyd, P. and Orr, P. (2011) Mark my words: The role of assessment criteria in UK higher education grading practices, </w:t>
      </w:r>
      <w:r w:rsidRPr="004B7525">
        <w:rPr>
          <w:rFonts w:cstheme="minorHAnsi"/>
          <w:i/>
        </w:rPr>
        <w:t>Studies in Higher Education</w:t>
      </w:r>
      <w:r w:rsidRPr="004B7525">
        <w:rPr>
          <w:rFonts w:cstheme="minorHAnsi"/>
        </w:rPr>
        <w:t>, 36(6), 655-670</w:t>
      </w:r>
      <w:r w:rsidR="00C21187">
        <w:rPr>
          <w:rFonts w:cstheme="minorHAnsi"/>
        </w:rPr>
        <w:t>.</w:t>
      </w:r>
    </w:p>
    <w:p w:rsidR="00EA5E40" w:rsidRDefault="00EA5E40" w:rsidP="00EA5E40">
      <w:pPr>
        <w:spacing w:line="360" w:lineRule="auto"/>
        <w:jc w:val="both"/>
        <w:rPr>
          <w:rFonts w:ascii="ArialUnicodeMS" w:hAnsi="ArialUnicodeMS" w:cs="ArialUnicodeMS"/>
          <w:sz w:val="20"/>
          <w:szCs w:val="20"/>
        </w:rPr>
      </w:pPr>
    </w:p>
    <w:p w:rsidR="00EA5E40" w:rsidRDefault="00EA5E40" w:rsidP="00EA5E40">
      <w:pPr>
        <w:spacing w:line="360" w:lineRule="auto"/>
        <w:jc w:val="both"/>
        <w:rPr>
          <w:rFonts w:ascii="ArialUnicodeMS" w:hAnsi="ArialUnicodeMS" w:cs="ArialUnicodeMS"/>
          <w:sz w:val="20"/>
          <w:szCs w:val="20"/>
        </w:rPr>
      </w:pPr>
      <w:r>
        <w:rPr>
          <w:rFonts w:ascii="ArialUnicodeMS" w:hAnsi="ArialUnicodeMS" w:cs="ArialUnicodeMS"/>
          <w:sz w:val="20"/>
          <w:szCs w:val="20"/>
        </w:rPr>
        <w:t>Bloxham, S., den-Outer, B., Hudson, J. and Price, M.</w:t>
      </w:r>
      <w:r>
        <w:rPr>
          <w:rFonts w:cstheme="minorHAnsi"/>
        </w:rPr>
        <w:t xml:space="preserve"> </w:t>
      </w:r>
      <w:r>
        <w:rPr>
          <w:rFonts w:ascii="ArialUnicodeMS" w:hAnsi="ArialUnicodeMS" w:cs="ArialUnicodeMS"/>
          <w:sz w:val="20"/>
          <w:szCs w:val="20"/>
        </w:rPr>
        <w:t>(2016) Let’s stop the pretence of consistent marking: exploring the multiple limitations of</w:t>
      </w:r>
      <w:r>
        <w:rPr>
          <w:rFonts w:cstheme="minorHAnsi"/>
        </w:rPr>
        <w:t xml:space="preserve"> </w:t>
      </w:r>
      <w:r>
        <w:rPr>
          <w:rFonts w:ascii="ArialUnicodeMS" w:hAnsi="ArialUnicodeMS" w:cs="ArialUnicodeMS"/>
          <w:sz w:val="20"/>
          <w:szCs w:val="20"/>
        </w:rPr>
        <w:t xml:space="preserve">assessment criteria, </w:t>
      </w:r>
      <w:r w:rsidRPr="00EA5E40">
        <w:rPr>
          <w:rFonts w:ascii="ArialUnicodeMS" w:hAnsi="ArialUnicodeMS" w:cs="ArialUnicodeMS"/>
          <w:i/>
          <w:sz w:val="20"/>
          <w:szCs w:val="20"/>
        </w:rPr>
        <w:t>Assessment &amp; Evaluation in Higher Education</w:t>
      </w:r>
      <w:r w:rsidR="0082071A">
        <w:rPr>
          <w:rFonts w:ascii="ArialUnicodeMS" w:hAnsi="ArialUnicodeMS" w:cs="ArialUnicodeMS"/>
          <w:sz w:val="20"/>
          <w:szCs w:val="20"/>
        </w:rPr>
        <w:t>, 41(</w:t>
      </w:r>
      <w:r>
        <w:rPr>
          <w:rFonts w:ascii="ArialUnicodeMS" w:hAnsi="ArialUnicodeMS" w:cs="ArialUnicodeMS"/>
          <w:sz w:val="20"/>
          <w:szCs w:val="20"/>
        </w:rPr>
        <w:t>3</w:t>
      </w:r>
      <w:r w:rsidR="0082071A">
        <w:rPr>
          <w:rFonts w:ascii="ArialUnicodeMS" w:hAnsi="ArialUnicodeMS" w:cs="ArialUnicodeMS"/>
          <w:sz w:val="20"/>
          <w:szCs w:val="20"/>
        </w:rPr>
        <w:t>)</w:t>
      </w:r>
      <w:r>
        <w:rPr>
          <w:rFonts w:ascii="ArialUnicodeMS" w:hAnsi="ArialUnicodeMS" w:cs="ArialUnicodeMS"/>
          <w:sz w:val="20"/>
          <w:szCs w:val="20"/>
        </w:rPr>
        <w:t>, 466-481.</w:t>
      </w:r>
    </w:p>
    <w:p w:rsidR="00EA5E40" w:rsidRPr="0082071A" w:rsidRDefault="0082071A" w:rsidP="0082071A">
      <w:pPr>
        <w:autoSpaceDE w:val="0"/>
        <w:autoSpaceDN w:val="0"/>
        <w:adjustRightInd w:val="0"/>
        <w:spacing w:after="0" w:line="360" w:lineRule="auto"/>
        <w:rPr>
          <w:rFonts w:cstheme="minorHAnsi"/>
        </w:rPr>
      </w:pPr>
      <w:r w:rsidRPr="0082071A">
        <w:rPr>
          <w:rFonts w:cstheme="minorHAnsi"/>
        </w:rPr>
        <w:t xml:space="preserve">Brooks, V. (2012) Marking as judgment, </w:t>
      </w:r>
      <w:r w:rsidRPr="0082071A">
        <w:rPr>
          <w:rFonts w:cstheme="minorHAnsi"/>
          <w:i/>
        </w:rPr>
        <w:t>Research Papers in Education</w:t>
      </w:r>
      <w:r w:rsidR="00CF41ED">
        <w:rPr>
          <w:rFonts w:cstheme="minorHAnsi"/>
        </w:rPr>
        <w:t>, 27(1), 63-80.</w:t>
      </w:r>
    </w:p>
    <w:p w:rsidR="0082071A" w:rsidRPr="0082071A" w:rsidRDefault="0082071A" w:rsidP="0082071A">
      <w:pPr>
        <w:autoSpaceDE w:val="0"/>
        <w:autoSpaceDN w:val="0"/>
        <w:adjustRightInd w:val="0"/>
        <w:spacing w:after="0" w:line="240" w:lineRule="auto"/>
        <w:rPr>
          <w:rFonts w:ascii="ArialUnicodeMS" w:hAnsi="ArialUnicodeMS" w:cs="ArialUnicodeMS"/>
          <w:sz w:val="20"/>
          <w:szCs w:val="20"/>
        </w:rPr>
      </w:pPr>
    </w:p>
    <w:p w:rsidR="00C21187" w:rsidRPr="00C21187" w:rsidRDefault="00C21187" w:rsidP="00C21187">
      <w:pPr>
        <w:spacing w:line="360" w:lineRule="auto"/>
        <w:jc w:val="both"/>
        <w:rPr>
          <w:rFonts w:cstheme="minorHAnsi"/>
        </w:rPr>
      </w:pPr>
      <w:r w:rsidRPr="00C21187">
        <w:rPr>
          <w:rFonts w:cstheme="minorHAnsi"/>
        </w:rPr>
        <w:t xml:space="preserve">Crimmins G., Nash, G. </w:t>
      </w:r>
      <w:proofErr w:type="spellStart"/>
      <w:r w:rsidRPr="00C21187">
        <w:rPr>
          <w:rFonts w:cstheme="minorHAnsi"/>
        </w:rPr>
        <w:t>Oprescu</w:t>
      </w:r>
      <w:proofErr w:type="spellEnd"/>
      <w:r w:rsidRPr="00C21187">
        <w:rPr>
          <w:rFonts w:cstheme="minorHAnsi"/>
        </w:rPr>
        <w:t xml:space="preserve">, F., </w:t>
      </w:r>
      <w:proofErr w:type="spellStart"/>
      <w:r w:rsidRPr="00C21187">
        <w:rPr>
          <w:rFonts w:cstheme="minorHAnsi"/>
        </w:rPr>
        <w:t>Alla</w:t>
      </w:r>
      <w:proofErr w:type="spellEnd"/>
      <w:r w:rsidRPr="00C21187">
        <w:rPr>
          <w:rFonts w:cstheme="minorHAnsi"/>
        </w:rPr>
        <w:t xml:space="preserve">, K., Brock, G., Hickson-Jamieson, B. and Noakes, C. (2016) Can a systematic assessment moderation process assure the quality and integrity of assessment practice while supporting the professional </w:t>
      </w:r>
      <w:r>
        <w:rPr>
          <w:rFonts w:cstheme="minorHAnsi"/>
        </w:rPr>
        <w:t>development of casual academics?</w:t>
      </w:r>
      <w:r w:rsidRPr="00C21187">
        <w:rPr>
          <w:rFonts w:cstheme="minorHAnsi"/>
        </w:rPr>
        <w:t xml:space="preserve"> </w:t>
      </w:r>
      <w:r w:rsidRPr="00C21187">
        <w:rPr>
          <w:rFonts w:cstheme="minorHAnsi"/>
          <w:i/>
        </w:rPr>
        <w:t>Assessment &amp; Evaluation in Higher Education</w:t>
      </w:r>
      <w:r>
        <w:rPr>
          <w:rFonts w:cstheme="minorHAnsi"/>
        </w:rPr>
        <w:t>, 41(</w:t>
      </w:r>
      <w:r w:rsidRPr="00C21187">
        <w:rPr>
          <w:rFonts w:cstheme="minorHAnsi"/>
        </w:rPr>
        <w:t>3</w:t>
      </w:r>
      <w:r>
        <w:rPr>
          <w:rFonts w:cstheme="minorHAnsi"/>
        </w:rPr>
        <w:t>)</w:t>
      </w:r>
      <w:r w:rsidRPr="00C21187">
        <w:rPr>
          <w:rFonts w:cstheme="minorHAnsi"/>
        </w:rPr>
        <w:t>, 427-441</w:t>
      </w:r>
      <w:r w:rsidR="00CF41ED">
        <w:rPr>
          <w:rFonts w:cstheme="minorHAnsi"/>
        </w:rPr>
        <w:t>.</w:t>
      </w:r>
    </w:p>
    <w:p w:rsidR="00F41143" w:rsidRPr="004B7525" w:rsidRDefault="00F41143" w:rsidP="004B7525">
      <w:pPr>
        <w:spacing w:line="360" w:lineRule="auto"/>
        <w:jc w:val="both"/>
        <w:rPr>
          <w:rFonts w:cstheme="minorHAnsi"/>
        </w:rPr>
      </w:pPr>
      <w:proofErr w:type="spellStart"/>
      <w:r w:rsidRPr="004B7525">
        <w:rPr>
          <w:rFonts w:cstheme="minorHAnsi"/>
        </w:rPr>
        <w:t>Dracup</w:t>
      </w:r>
      <w:proofErr w:type="spellEnd"/>
      <w:r w:rsidRPr="004B7525">
        <w:rPr>
          <w:rFonts w:cstheme="minorHAnsi"/>
        </w:rPr>
        <w:t xml:space="preserve">, C. (1997) The reliability of marking on a psychology degree, </w:t>
      </w:r>
      <w:r w:rsidRPr="004B7525">
        <w:rPr>
          <w:rFonts w:cstheme="minorHAnsi"/>
          <w:i/>
        </w:rPr>
        <w:t>British Journal of Psychology</w:t>
      </w:r>
      <w:r w:rsidRPr="004B7525">
        <w:rPr>
          <w:rFonts w:cstheme="minorHAnsi"/>
        </w:rPr>
        <w:t>, 88, 691-708</w:t>
      </w:r>
      <w:r w:rsidR="00CF41ED">
        <w:rPr>
          <w:rFonts w:cstheme="minorHAnsi"/>
        </w:rPr>
        <w:t>.</w:t>
      </w:r>
    </w:p>
    <w:p w:rsidR="007F2FC2" w:rsidRDefault="007F2FC2" w:rsidP="004B7525">
      <w:pPr>
        <w:spacing w:line="360" w:lineRule="auto"/>
        <w:jc w:val="both"/>
        <w:rPr>
          <w:rFonts w:cstheme="minorHAnsi"/>
        </w:rPr>
      </w:pPr>
    </w:p>
    <w:p w:rsidR="007F2FC2" w:rsidRPr="008B45B5" w:rsidRDefault="007F2FC2" w:rsidP="008B45B5">
      <w:pPr>
        <w:autoSpaceDE w:val="0"/>
        <w:autoSpaceDN w:val="0"/>
        <w:adjustRightInd w:val="0"/>
        <w:spacing w:after="0" w:line="360" w:lineRule="auto"/>
        <w:rPr>
          <w:rFonts w:cstheme="minorHAnsi"/>
          <w:bCs/>
        </w:rPr>
      </w:pPr>
      <w:r w:rsidRPr="008B45B5">
        <w:rPr>
          <w:rFonts w:cstheme="minorHAnsi"/>
        </w:rPr>
        <w:t>Garry, J., McCool, M. A. and O’Neill, S. (</w:t>
      </w:r>
      <w:r w:rsidR="008B45B5" w:rsidRPr="008B45B5">
        <w:rPr>
          <w:rFonts w:cstheme="minorHAnsi"/>
        </w:rPr>
        <w:t xml:space="preserve">2005) </w:t>
      </w:r>
      <w:r w:rsidR="008B45B5" w:rsidRPr="008B45B5">
        <w:rPr>
          <w:rFonts w:cstheme="minorHAnsi"/>
          <w:bCs/>
        </w:rPr>
        <w:t xml:space="preserve">Are Moderators </w:t>
      </w:r>
      <w:proofErr w:type="gramStart"/>
      <w:r w:rsidR="008B45B5" w:rsidRPr="008B45B5">
        <w:rPr>
          <w:rFonts w:cstheme="minorHAnsi"/>
          <w:bCs/>
        </w:rPr>
        <w:t>Moderate?:</w:t>
      </w:r>
      <w:proofErr w:type="gramEnd"/>
      <w:r w:rsidR="008B45B5" w:rsidRPr="008B45B5">
        <w:rPr>
          <w:rFonts w:cstheme="minorHAnsi"/>
          <w:bCs/>
        </w:rPr>
        <w:t xml:space="preserve"> Testing the ‘Anchoring and Adjustment’ Hypothesis in the Context of Marking Politics Exams, </w:t>
      </w:r>
      <w:r w:rsidR="00291688">
        <w:rPr>
          <w:rFonts w:cstheme="minorHAnsi"/>
          <w:i/>
          <w:iCs/>
        </w:rPr>
        <w:t>Politics</w:t>
      </w:r>
      <w:r w:rsidR="008B45B5" w:rsidRPr="008B45B5">
        <w:rPr>
          <w:rFonts w:cstheme="minorHAnsi"/>
          <w:iCs/>
        </w:rPr>
        <w:t>,  25(3), 191–200.</w:t>
      </w:r>
    </w:p>
    <w:p w:rsidR="008B45B5" w:rsidRPr="00291688" w:rsidRDefault="008B45B5" w:rsidP="008B45B5">
      <w:pPr>
        <w:autoSpaceDE w:val="0"/>
        <w:autoSpaceDN w:val="0"/>
        <w:adjustRightInd w:val="0"/>
        <w:spacing w:after="0" w:line="240" w:lineRule="auto"/>
        <w:rPr>
          <w:rFonts w:cstheme="minorHAnsi"/>
          <w:b/>
          <w:bCs/>
        </w:rPr>
      </w:pPr>
    </w:p>
    <w:p w:rsidR="00E23E57" w:rsidRPr="00E23E57" w:rsidRDefault="00E23E57" w:rsidP="00E23E57">
      <w:pPr>
        <w:autoSpaceDE w:val="0"/>
        <w:autoSpaceDN w:val="0"/>
        <w:adjustRightInd w:val="0"/>
        <w:spacing w:after="0" w:line="360" w:lineRule="auto"/>
        <w:rPr>
          <w:rFonts w:cstheme="minorHAnsi"/>
        </w:rPr>
      </w:pPr>
      <w:r w:rsidRPr="00E23E57">
        <w:rPr>
          <w:rFonts w:cstheme="minorHAnsi"/>
        </w:rPr>
        <w:t xml:space="preserve">Gillespie, N. A., Walsh, M., </w:t>
      </w:r>
      <w:proofErr w:type="spellStart"/>
      <w:r w:rsidRPr="00E23E57">
        <w:rPr>
          <w:rFonts w:cstheme="minorHAnsi"/>
        </w:rPr>
        <w:t>Winefield</w:t>
      </w:r>
      <w:proofErr w:type="spellEnd"/>
      <w:r w:rsidRPr="00E23E57">
        <w:rPr>
          <w:rFonts w:cstheme="minorHAnsi"/>
        </w:rPr>
        <w:t xml:space="preserve">, A. </w:t>
      </w:r>
      <w:proofErr w:type="gramStart"/>
      <w:r w:rsidRPr="00E23E57">
        <w:rPr>
          <w:rFonts w:cstheme="minorHAnsi"/>
        </w:rPr>
        <w:t>H.,</w:t>
      </w:r>
      <w:proofErr w:type="spellStart"/>
      <w:r w:rsidRPr="00E23E57">
        <w:rPr>
          <w:rFonts w:cstheme="minorHAnsi"/>
        </w:rPr>
        <w:t>Dua</w:t>
      </w:r>
      <w:proofErr w:type="spellEnd"/>
      <w:proofErr w:type="gramEnd"/>
      <w:r w:rsidRPr="00E23E57">
        <w:rPr>
          <w:rFonts w:cstheme="minorHAnsi"/>
        </w:rPr>
        <w:t xml:space="preserve">, J. and </w:t>
      </w:r>
      <w:proofErr w:type="spellStart"/>
      <w:r w:rsidRPr="00E23E57">
        <w:rPr>
          <w:rFonts w:cstheme="minorHAnsi"/>
        </w:rPr>
        <w:t>Stough</w:t>
      </w:r>
      <w:proofErr w:type="spellEnd"/>
      <w:r w:rsidRPr="00E23E57">
        <w:rPr>
          <w:rFonts w:cstheme="minorHAnsi"/>
        </w:rPr>
        <w:t xml:space="preserve">, C. (2001) Occupational stress in universities: Staff perceptions of the causes, consequences and moderators of stress, </w:t>
      </w:r>
      <w:r w:rsidRPr="00E23E57">
        <w:rPr>
          <w:rFonts w:cstheme="minorHAnsi"/>
          <w:i/>
        </w:rPr>
        <w:t>Work &amp; Stress</w:t>
      </w:r>
      <w:r w:rsidRPr="00E23E57">
        <w:rPr>
          <w:rFonts w:cstheme="minorHAnsi"/>
        </w:rPr>
        <w:t>, 15(1), 53-72</w:t>
      </w:r>
      <w:r>
        <w:rPr>
          <w:rFonts w:cstheme="minorHAnsi"/>
        </w:rPr>
        <w:t>.</w:t>
      </w:r>
    </w:p>
    <w:p w:rsidR="00E23E57" w:rsidRPr="00E23E57" w:rsidRDefault="00E23E57" w:rsidP="00E23E57">
      <w:pPr>
        <w:autoSpaceDE w:val="0"/>
        <w:autoSpaceDN w:val="0"/>
        <w:adjustRightInd w:val="0"/>
        <w:spacing w:after="0" w:line="240" w:lineRule="auto"/>
        <w:rPr>
          <w:rFonts w:cstheme="minorHAnsi"/>
          <w:b/>
          <w:bCs/>
        </w:rPr>
      </w:pPr>
    </w:p>
    <w:p w:rsidR="00F41143" w:rsidRDefault="00F41143" w:rsidP="004B7525">
      <w:pPr>
        <w:spacing w:line="360" w:lineRule="auto"/>
        <w:jc w:val="both"/>
        <w:rPr>
          <w:rFonts w:cstheme="minorHAnsi"/>
        </w:rPr>
      </w:pPr>
      <w:r w:rsidRPr="004B7525">
        <w:rPr>
          <w:rFonts w:cstheme="minorHAnsi"/>
        </w:rPr>
        <w:t>Grainger, P., Adie, L. and Weir, K. (2015) Quality Assurance of as</w:t>
      </w:r>
      <w:r w:rsidR="00A34883" w:rsidRPr="004B7525">
        <w:rPr>
          <w:rFonts w:cstheme="minorHAnsi"/>
        </w:rPr>
        <w:t>sessment and moderation discours</w:t>
      </w:r>
      <w:r w:rsidRPr="004B7525">
        <w:rPr>
          <w:rFonts w:cstheme="minorHAnsi"/>
        </w:rPr>
        <w:t xml:space="preserve">es involving sessional staff, </w:t>
      </w:r>
      <w:r w:rsidRPr="004B7525">
        <w:rPr>
          <w:rFonts w:cstheme="minorHAnsi"/>
          <w:i/>
        </w:rPr>
        <w:t xml:space="preserve">Assessment &amp; Evaluation in Higher Education, </w:t>
      </w:r>
      <w:r w:rsidRPr="004B7525">
        <w:rPr>
          <w:rFonts w:cstheme="minorHAnsi"/>
        </w:rPr>
        <w:t>DOI:10.1080/02602938.2015.1030333</w:t>
      </w:r>
      <w:r w:rsidR="00203855">
        <w:rPr>
          <w:rFonts w:cstheme="minorHAnsi"/>
        </w:rPr>
        <w:t>.</w:t>
      </w:r>
    </w:p>
    <w:p w:rsidR="00203855" w:rsidRPr="00203855" w:rsidRDefault="00203855" w:rsidP="00203855">
      <w:pPr>
        <w:autoSpaceDE w:val="0"/>
        <w:autoSpaceDN w:val="0"/>
        <w:adjustRightInd w:val="0"/>
        <w:spacing w:after="0" w:line="360" w:lineRule="auto"/>
        <w:rPr>
          <w:rFonts w:cstheme="minorHAnsi"/>
        </w:rPr>
      </w:pPr>
      <w:proofErr w:type="spellStart"/>
      <w:r w:rsidRPr="00203855">
        <w:rPr>
          <w:rFonts w:cstheme="minorHAnsi"/>
        </w:rPr>
        <w:t>Greatorex</w:t>
      </w:r>
      <w:proofErr w:type="spellEnd"/>
      <w:r w:rsidRPr="00203855">
        <w:rPr>
          <w:rFonts w:cstheme="minorHAnsi"/>
        </w:rPr>
        <w:t xml:space="preserve">, J. and Bell, J. F. (2008) What makes AS marking reliable? An experiment with some stages from the standardisation process, </w:t>
      </w:r>
      <w:r w:rsidRPr="00203855">
        <w:rPr>
          <w:rFonts w:cstheme="minorHAnsi"/>
          <w:i/>
        </w:rPr>
        <w:t>Research Papers in Education</w:t>
      </w:r>
      <w:r w:rsidRPr="00203855">
        <w:rPr>
          <w:rFonts w:cstheme="minorHAnsi"/>
        </w:rPr>
        <w:t xml:space="preserve">, </w:t>
      </w:r>
      <w:r>
        <w:rPr>
          <w:rFonts w:cstheme="minorHAnsi"/>
        </w:rPr>
        <w:t>23(</w:t>
      </w:r>
      <w:r w:rsidRPr="00203855">
        <w:rPr>
          <w:rFonts w:cstheme="minorHAnsi"/>
        </w:rPr>
        <w:t>3</w:t>
      </w:r>
      <w:r>
        <w:rPr>
          <w:rFonts w:cstheme="minorHAnsi"/>
        </w:rPr>
        <w:t>)</w:t>
      </w:r>
      <w:r w:rsidRPr="00203855">
        <w:rPr>
          <w:rFonts w:cstheme="minorHAnsi"/>
        </w:rPr>
        <w:t>, 333-355.</w:t>
      </w:r>
    </w:p>
    <w:p w:rsidR="00203855" w:rsidRPr="00203855" w:rsidRDefault="00203855" w:rsidP="00203855">
      <w:pPr>
        <w:autoSpaceDE w:val="0"/>
        <w:autoSpaceDN w:val="0"/>
        <w:adjustRightInd w:val="0"/>
        <w:spacing w:after="0" w:line="240" w:lineRule="auto"/>
        <w:rPr>
          <w:rFonts w:ascii="ArialUnicodeMS" w:hAnsi="ArialUnicodeMS" w:cs="ArialUnicodeMS"/>
          <w:sz w:val="20"/>
          <w:szCs w:val="20"/>
        </w:rPr>
      </w:pPr>
    </w:p>
    <w:p w:rsidR="00F41143" w:rsidRDefault="00F41143" w:rsidP="004B7525">
      <w:pPr>
        <w:spacing w:line="360" w:lineRule="auto"/>
        <w:jc w:val="both"/>
        <w:rPr>
          <w:rFonts w:eastAsia="Times New Roman" w:cstheme="minorHAnsi"/>
          <w:lang w:eastAsia="en-GB"/>
        </w:rPr>
      </w:pPr>
      <w:r w:rsidRPr="004B7525">
        <w:rPr>
          <w:rFonts w:cstheme="minorHAnsi"/>
        </w:rPr>
        <w:t xml:space="preserve">Guardian (2015) UK university class sizes falling, study shows, </w:t>
      </w:r>
      <w:r w:rsidRPr="004B7525">
        <w:rPr>
          <w:rFonts w:cstheme="minorHAnsi"/>
          <w:i/>
        </w:rPr>
        <w:t>The Guardian</w:t>
      </w:r>
      <w:r w:rsidRPr="004B7525">
        <w:rPr>
          <w:rFonts w:cstheme="minorHAnsi"/>
        </w:rPr>
        <w:t xml:space="preserve"> [online] of </w:t>
      </w:r>
      <w:r w:rsidRPr="004B7525">
        <w:rPr>
          <w:rFonts w:eastAsia="Times New Roman" w:cstheme="minorHAnsi"/>
          <w:lang w:eastAsia="en-GB"/>
        </w:rPr>
        <w:t>27 April 2015</w:t>
      </w:r>
      <w:r w:rsidR="00CF41ED">
        <w:rPr>
          <w:rFonts w:eastAsia="Times New Roman" w:cstheme="minorHAnsi"/>
          <w:lang w:eastAsia="en-GB"/>
        </w:rPr>
        <w:t>.</w:t>
      </w:r>
    </w:p>
    <w:p w:rsidR="003E795A" w:rsidRPr="003E795A" w:rsidRDefault="003E795A" w:rsidP="003E795A">
      <w:pPr>
        <w:spacing w:line="240" w:lineRule="auto"/>
        <w:jc w:val="both"/>
        <w:rPr>
          <w:rFonts w:cs="Arial"/>
          <w:i/>
        </w:rPr>
      </w:pPr>
      <w:proofErr w:type="spellStart"/>
      <w:r>
        <w:rPr>
          <w:rFonts w:eastAsia="Times New Roman" w:cs="Times New Roman"/>
          <w:lang w:eastAsia="en-GB"/>
        </w:rPr>
        <w:t>Havergal</w:t>
      </w:r>
      <w:proofErr w:type="spellEnd"/>
      <w:r>
        <w:rPr>
          <w:rFonts w:eastAsia="Times New Roman" w:cs="Times New Roman"/>
          <w:lang w:eastAsia="en-GB"/>
        </w:rPr>
        <w:t xml:space="preserve">, C. (2015) Growth in student applications to UK universities slows, </w:t>
      </w:r>
      <w:r w:rsidRPr="0089402C">
        <w:rPr>
          <w:rFonts w:eastAsia="Times New Roman" w:cs="Times New Roman"/>
          <w:i/>
          <w:lang w:eastAsia="en-GB"/>
        </w:rPr>
        <w:t>TES</w:t>
      </w:r>
      <w:r>
        <w:rPr>
          <w:rFonts w:eastAsia="Times New Roman" w:cs="Times New Roman"/>
          <w:lang w:eastAsia="en-GB"/>
        </w:rPr>
        <w:t xml:space="preserve"> [</w:t>
      </w:r>
      <w:proofErr w:type="gramStart"/>
      <w:r>
        <w:rPr>
          <w:rFonts w:eastAsia="Times New Roman" w:cs="Times New Roman"/>
          <w:lang w:eastAsia="en-GB"/>
        </w:rPr>
        <w:t>online]  9</w:t>
      </w:r>
      <w:proofErr w:type="gramEnd"/>
      <w:r w:rsidRPr="0089402C">
        <w:rPr>
          <w:rFonts w:eastAsia="Times New Roman" w:cs="Times New Roman"/>
          <w:vertAlign w:val="superscript"/>
          <w:lang w:eastAsia="en-GB"/>
        </w:rPr>
        <w:t>th</w:t>
      </w:r>
      <w:r>
        <w:rPr>
          <w:rFonts w:eastAsia="Times New Roman" w:cs="Times New Roman"/>
          <w:lang w:eastAsia="en-GB"/>
        </w:rPr>
        <w:t xml:space="preserve"> July 2015</w:t>
      </w:r>
      <w:r w:rsidR="00CF41ED">
        <w:rPr>
          <w:rFonts w:eastAsia="Times New Roman" w:cs="Times New Roman"/>
          <w:lang w:eastAsia="en-GB"/>
        </w:rPr>
        <w:t>.</w:t>
      </w:r>
    </w:p>
    <w:p w:rsidR="00856C28" w:rsidRPr="00856C28" w:rsidRDefault="00856C28" w:rsidP="00856C28">
      <w:pPr>
        <w:autoSpaceDE w:val="0"/>
        <w:autoSpaceDN w:val="0"/>
        <w:adjustRightInd w:val="0"/>
        <w:spacing w:after="0" w:line="360" w:lineRule="auto"/>
        <w:rPr>
          <w:rFonts w:cstheme="minorHAnsi"/>
        </w:rPr>
      </w:pPr>
      <w:r w:rsidRPr="00856C28">
        <w:rPr>
          <w:rFonts w:cstheme="minorHAnsi"/>
        </w:rPr>
        <w:t xml:space="preserve">Huang, Y., Pang, S. and Yu, S. (2016): Academic identities and university faculty responses to new managerialist reforms: experiences from China, </w:t>
      </w:r>
      <w:r w:rsidRPr="00856C28">
        <w:rPr>
          <w:rFonts w:cstheme="minorHAnsi"/>
          <w:i/>
        </w:rPr>
        <w:t>Studies in Higher Education</w:t>
      </w:r>
      <w:r w:rsidRPr="00856C28">
        <w:rPr>
          <w:rFonts w:cstheme="minorHAnsi"/>
        </w:rPr>
        <w:t>, DOI: 10.1080/03075079.2016.1157860.</w:t>
      </w:r>
    </w:p>
    <w:p w:rsidR="00856C28" w:rsidRPr="00856C28" w:rsidRDefault="00856C28" w:rsidP="00856C28">
      <w:pPr>
        <w:spacing w:line="360" w:lineRule="auto"/>
        <w:rPr>
          <w:rFonts w:cstheme="minorHAnsi"/>
        </w:rPr>
      </w:pPr>
    </w:p>
    <w:p w:rsidR="00F41143" w:rsidRDefault="00F41143" w:rsidP="004B7525">
      <w:pPr>
        <w:spacing w:line="360" w:lineRule="auto"/>
        <w:rPr>
          <w:rFonts w:cstheme="minorHAnsi"/>
        </w:rPr>
      </w:pPr>
      <w:proofErr w:type="spellStart"/>
      <w:r w:rsidRPr="004B7525">
        <w:rPr>
          <w:rFonts w:cstheme="minorHAnsi"/>
        </w:rPr>
        <w:t>Kalthoff</w:t>
      </w:r>
      <w:proofErr w:type="spellEnd"/>
      <w:r w:rsidRPr="004B7525">
        <w:rPr>
          <w:rFonts w:cstheme="minorHAnsi"/>
        </w:rPr>
        <w:t xml:space="preserve">, H. (2013) Practices of grading: An ethnographic study of educational assessment, </w:t>
      </w:r>
      <w:r w:rsidRPr="004B7525">
        <w:rPr>
          <w:rFonts w:cstheme="minorHAnsi"/>
          <w:i/>
        </w:rPr>
        <w:t>Ethnography and Education</w:t>
      </w:r>
      <w:r w:rsidRPr="004B7525">
        <w:rPr>
          <w:rFonts w:cstheme="minorHAnsi"/>
        </w:rPr>
        <w:t>, 8(1), 89-104</w:t>
      </w:r>
      <w:r w:rsidR="0074315E">
        <w:rPr>
          <w:rFonts w:cstheme="minorHAnsi"/>
        </w:rPr>
        <w:t>.</w:t>
      </w:r>
    </w:p>
    <w:p w:rsidR="007C51DB" w:rsidRDefault="007C51DB" w:rsidP="00DB0CB1">
      <w:pPr>
        <w:autoSpaceDE w:val="0"/>
        <w:autoSpaceDN w:val="0"/>
        <w:adjustRightInd w:val="0"/>
        <w:spacing w:after="0" w:line="360" w:lineRule="auto"/>
        <w:rPr>
          <w:rFonts w:cstheme="minorHAnsi"/>
        </w:rPr>
      </w:pPr>
      <w:r w:rsidRPr="00DB0CB1">
        <w:rPr>
          <w:rFonts w:cstheme="minorHAnsi"/>
        </w:rPr>
        <w:t>Knott, G., Crane, L., Heslop, I. and Glass, B. D. (2015) Training and Support of Sessional Staff to Improve Quality of Teaching</w:t>
      </w:r>
      <w:r w:rsidR="00DB0CB1">
        <w:rPr>
          <w:rFonts w:cstheme="minorHAnsi"/>
        </w:rPr>
        <w:t xml:space="preserve"> </w:t>
      </w:r>
      <w:r w:rsidRPr="00DB0CB1">
        <w:rPr>
          <w:rFonts w:cstheme="minorHAnsi"/>
        </w:rPr>
        <w:t xml:space="preserve">and Learning at Universities, </w:t>
      </w:r>
      <w:r w:rsidRPr="00DB0CB1">
        <w:rPr>
          <w:rFonts w:cstheme="minorHAnsi"/>
          <w:i/>
        </w:rPr>
        <w:t>American Journal of Pharmaceutical Education</w:t>
      </w:r>
      <w:r w:rsidR="00DB0CB1">
        <w:rPr>
          <w:rFonts w:cstheme="minorHAnsi"/>
        </w:rPr>
        <w:t xml:space="preserve">, </w:t>
      </w:r>
      <w:r w:rsidRPr="00DB0CB1">
        <w:rPr>
          <w:rFonts w:cstheme="minorHAnsi"/>
        </w:rPr>
        <w:t>79 (5) Article 72</w:t>
      </w:r>
      <w:r w:rsidR="00DB0CB1" w:rsidRPr="00DB0CB1">
        <w:rPr>
          <w:rFonts w:cstheme="minorHAnsi"/>
        </w:rPr>
        <w:t>, 1-8.</w:t>
      </w:r>
    </w:p>
    <w:p w:rsidR="00DB0CB1" w:rsidRPr="00DB0CB1" w:rsidRDefault="00DB0CB1" w:rsidP="00DB0CB1">
      <w:pPr>
        <w:autoSpaceDE w:val="0"/>
        <w:autoSpaceDN w:val="0"/>
        <w:adjustRightInd w:val="0"/>
        <w:spacing w:after="0" w:line="360" w:lineRule="auto"/>
        <w:rPr>
          <w:rFonts w:cstheme="minorHAnsi"/>
        </w:rPr>
      </w:pPr>
    </w:p>
    <w:p w:rsidR="0074315E" w:rsidRPr="0074315E" w:rsidRDefault="0074315E" w:rsidP="0074315E">
      <w:pPr>
        <w:autoSpaceDE w:val="0"/>
        <w:autoSpaceDN w:val="0"/>
        <w:adjustRightInd w:val="0"/>
        <w:spacing w:after="0" w:line="360" w:lineRule="auto"/>
        <w:rPr>
          <w:rFonts w:cstheme="minorHAnsi"/>
        </w:rPr>
      </w:pPr>
      <w:proofErr w:type="spellStart"/>
      <w:r w:rsidRPr="0074315E">
        <w:rPr>
          <w:rFonts w:cstheme="minorHAnsi"/>
        </w:rPr>
        <w:t>Kok</w:t>
      </w:r>
      <w:proofErr w:type="spellEnd"/>
      <w:r w:rsidRPr="0074315E">
        <w:rPr>
          <w:rFonts w:cstheme="minorHAnsi"/>
        </w:rPr>
        <w:t xml:space="preserve">, S., Douglas, </w:t>
      </w:r>
      <w:proofErr w:type="gramStart"/>
      <w:r w:rsidRPr="0074315E">
        <w:rPr>
          <w:rFonts w:cstheme="minorHAnsi"/>
        </w:rPr>
        <w:t>A. ,</w:t>
      </w:r>
      <w:proofErr w:type="gramEnd"/>
      <w:r w:rsidRPr="0074315E">
        <w:rPr>
          <w:rFonts w:cstheme="minorHAnsi"/>
        </w:rPr>
        <w:t xml:space="preserve"> McClelland, B. and </w:t>
      </w:r>
      <w:proofErr w:type="spellStart"/>
      <w:r w:rsidRPr="0074315E">
        <w:rPr>
          <w:rFonts w:cstheme="minorHAnsi"/>
        </w:rPr>
        <w:t>Bryde</w:t>
      </w:r>
      <w:proofErr w:type="spellEnd"/>
      <w:r w:rsidRPr="0074315E">
        <w:rPr>
          <w:rFonts w:cstheme="minorHAnsi"/>
        </w:rPr>
        <w:t xml:space="preserve">, D. (2010) The Move Towards Managerialism: Perceptions of staff in “traditional” and “new” UK universities, </w:t>
      </w:r>
      <w:r w:rsidRPr="0074315E">
        <w:rPr>
          <w:rFonts w:cstheme="minorHAnsi"/>
          <w:i/>
        </w:rPr>
        <w:t>Tertiary Education and Management</w:t>
      </w:r>
      <w:r w:rsidRPr="0074315E">
        <w:rPr>
          <w:rFonts w:cstheme="minorHAnsi"/>
        </w:rPr>
        <w:t>, 16(2), 99-113.</w:t>
      </w:r>
    </w:p>
    <w:p w:rsidR="0074315E" w:rsidRDefault="0074315E" w:rsidP="004B7525">
      <w:pPr>
        <w:spacing w:line="360" w:lineRule="auto"/>
        <w:rPr>
          <w:rFonts w:cstheme="minorHAnsi"/>
        </w:rPr>
      </w:pPr>
    </w:p>
    <w:p w:rsidR="00F90BC6" w:rsidRPr="00F90BC6" w:rsidRDefault="00F90BC6" w:rsidP="004B7525">
      <w:pPr>
        <w:spacing w:line="360" w:lineRule="auto"/>
        <w:rPr>
          <w:rFonts w:cstheme="minorHAnsi"/>
        </w:rPr>
      </w:pPr>
      <w:r w:rsidRPr="00F90BC6">
        <w:rPr>
          <w:rFonts w:cstheme="minorHAnsi"/>
        </w:rPr>
        <w:t xml:space="preserve">Lamming, D. (2003) </w:t>
      </w:r>
      <w:r w:rsidRPr="00F90BC6">
        <w:rPr>
          <w:rFonts w:cstheme="minorHAnsi"/>
          <w:bCs/>
        </w:rPr>
        <w:t>Marking university examinations: some lessons from psychophysics</w:t>
      </w:r>
      <w:r w:rsidRPr="00F90BC6">
        <w:rPr>
          <w:rFonts w:cstheme="minorHAnsi"/>
          <w:b/>
          <w:bCs/>
        </w:rPr>
        <w:t xml:space="preserve">, </w:t>
      </w:r>
      <w:r w:rsidRPr="00F90BC6">
        <w:rPr>
          <w:rFonts w:cstheme="minorHAnsi"/>
          <w:i/>
          <w:iCs/>
        </w:rPr>
        <w:t>Psychology Learning and Teaching</w:t>
      </w:r>
      <w:r w:rsidRPr="00F90BC6">
        <w:rPr>
          <w:rFonts w:cstheme="minorHAnsi"/>
        </w:rPr>
        <w:t>, 3(2), 89-96</w:t>
      </w:r>
      <w:r>
        <w:rPr>
          <w:rFonts w:cstheme="minorHAnsi"/>
        </w:rPr>
        <w:t>.</w:t>
      </w:r>
    </w:p>
    <w:p w:rsidR="00F41143" w:rsidRDefault="00F41143" w:rsidP="004B7525">
      <w:pPr>
        <w:spacing w:line="360" w:lineRule="auto"/>
        <w:rPr>
          <w:rFonts w:cstheme="minorHAnsi"/>
        </w:rPr>
      </w:pPr>
      <w:r w:rsidRPr="004B7525">
        <w:rPr>
          <w:rFonts w:cstheme="minorHAnsi"/>
        </w:rPr>
        <w:t xml:space="preserve">Light, G., Cox, R. and Calkins, S. (2014) </w:t>
      </w:r>
      <w:r w:rsidRPr="004B7525">
        <w:rPr>
          <w:rFonts w:cstheme="minorHAnsi"/>
          <w:i/>
        </w:rPr>
        <w:t>Learning and Teaching in Higher Education. The Reflective Professional</w:t>
      </w:r>
      <w:r w:rsidRPr="004B7525">
        <w:rPr>
          <w:rFonts w:cstheme="minorHAnsi"/>
        </w:rPr>
        <w:t>, (2</w:t>
      </w:r>
      <w:r w:rsidRPr="004B7525">
        <w:rPr>
          <w:rFonts w:cstheme="minorHAnsi"/>
          <w:vertAlign w:val="superscript"/>
        </w:rPr>
        <w:t>nd</w:t>
      </w:r>
      <w:r w:rsidR="00CF41ED">
        <w:rPr>
          <w:rFonts w:cstheme="minorHAnsi"/>
        </w:rPr>
        <w:t xml:space="preserve"> Ed.), London,</w:t>
      </w:r>
      <w:r w:rsidRPr="004B7525">
        <w:rPr>
          <w:rFonts w:cstheme="minorHAnsi"/>
        </w:rPr>
        <w:t xml:space="preserve"> Sage.</w:t>
      </w:r>
    </w:p>
    <w:p w:rsidR="00E92940" w:rsidRDefault="00E92940" w:rsidP="00E92940">
      <w:pPr>
        <w:autoSpaceDE w:val="0"/>
        <w:autoSpaceDN w:val="0"/>
        <w:adjustRightInd w:val="0"/>
        <w:spacing w:after="0" w:line="360" w:lineRule="auto"/>
        <w:rPr>
          <w:rFonts w:ascii="ArialUnicodeMS" w:hAnsi="ArialUnicodeMS" w:cs="ArialUnicodeMS"/>
          <w:sz w:val="20"/>
          <w:szCs w:val="20"/>
        </w:rPr>
      </w:pPr>
      <w:r w:rsidRPr="00E92940">
        <w:rPr>
          <w:rFonts w:cstheme="minorHAnsi"/>
        </w:rPr>
        <w:t xml:space="preserve">Mayhew, K., Deer, C. and </w:t>
      </w:r>
      <w:proofErr w:type="spellStart"/>
      <w:r w:rsidRPr="00E92940">
        <w:rPr>
          <w:rFonts w:cstheme="minorHAnsi"/>
        </w:rPr>
        <w:t>Dua</w:t>
      </w:r>
      <w:proofErr w:type="spellEnd"/>
      <w:r w:rsidRPr="00E92940">
        <w:rPr>
          <w:rFonts w:cstheme="minorHAnsi"/>
        </w:rPr>
        <w:t xml:space="preserve">. M. (2004) The move to mass higher education in the UK: many questions and some answers, </w:t>
      </w:r>
      <w:r w:rsidRPr="00E92940">
        <w:rPr>
          <w:rFonts w:cstheme="minorHAnsi"/>
          <w:i/>
        </w:rPr>
        <w:t>Oxford Review of Education</w:t>
      </w:r>
      <w:r w:rsidRPr="00E92940">
        <w:rPr>
          <w:rFonts w:cstheme="minorHAnsi"/>
        </w:rPr>
        <w:t>, 30(1), 65-82</w:t>
      </w:r>
      <w:r>
        <w:rPr>
          <w:rFonts w:ascii="ArialUnicodeMS" w:hAnsi="ArialUnicodeMS" w:cs="ArialUnicodeMS"/>
          <w:sz w:val="20"/>
          <w:szCs w:val="20"/>
        </w:rPr>
        <w:t>.</w:t>
      </w:r>
    </w:p>
    <w:p w:rsidR="00E92940" w:rsidRPr="00E92940" w:rsidRDefault="00E92940" w:rsidP="00E92940">
      <w:pPr>
        <w:autoSpaceDE w:val="0"/>
        <w:autoSpaceDN w:val="0"/>
        <w:adjustRightInd w:val="0"/>
        <w:spacing w:after="0" w:line="240" w:lineRule="auto"/>
        <w:rPr>
          <w:rFonts w:ascii="ArialUnicodeMS" w:hAnsi="ArialUnicodeMS" w:cs="ArialUnicodeMS"/>
          <w:sz w:val="20"/>
          <w:szCs w:val="20"/>
        </w:rPr>
      </w:pPr>
    </w:p>
    <w:p w:rsidR="00576DE8" w:rsidRDefault="00576DE8" w:rsidP="002C22F2">
      <w:pPr>
        <w:autoSpaceDE w:val="0"/>
        <w:autoSpaceDN w:val="0"/>
        <w:adjustRightInd w:val="0"/>
        <w:spacing w:after="0" w:line="360" w:lineRule="auto"/>
        <w:rPr>
          <w:rFonts w:cstheme="minorHAnsi"/>
        </w:rPr>
      </w:pPr>
      <w:proofErr w:type="spellStart"/>
      <w:r w:rsidRPr="002C22F2">
        <w:rPr>
          <w:rFonts w:cstheme="minorHAnsi"/>
        </w:rPr>
        <w:t>Mulryan-Kyne</w:t>
      </w:r>
      <w:proofErr w:type="spellEnd"/>
      <w:r w:rsidR="002C22F2" w:rsidRPr="002C22F2">
        <w:rPr>
          <w:rFonts w:cstheme="minorHAnsi"/>
        </w:rPr>
        <w:t>, C.</w:t>
      </w:r>
      <w:r w:rsidRPr="002C22F2">
        <w:rPr>
          <w:rFonts w:cstheme="minorHAnsi"/>
        </w:rPr>
        <w:t xml:space="preserve"> (2010) Teaching large classes at college and</w:t>
      </w:r>
      <w:r w:rsidR="002C22F2">
        <w:rPr>
          <w:rFonts w:cstheme="minorHAnsi"/>
        </w:rPr>
        <w:t xml:space="preserve"> </w:t>
      </w:r>
      <w:r w:rsidRPr="002C22F2">
        <w:rPr>
          <w:rFonts w:cstheme="minorHAnsi"/>
        </w:rPr>
        <w:t xml:space="preserve">university level: challenges and opportunities, </w:t>
      </w:r>
      <w:r w:rsidRPr="002C22F2">
        <w:rPr>
          <w:rFonts w:cstheme="minorHAnsi"/>
          <w:i/>
        </w:rPr>
        <w:t>T</w:t>
      </w:r>
      <w:r w:rsidR="002C22F2" w:rsidRPr="002C22F2">
        <w:rPr>
          <w:rFonts w:cstheme="minorHAnsi"/>
          <w:i/>
        </w:rPr>
        <w:t>eaching in Higher Education</w:t>
      </w:r>
      <w:r w:rsidR="002C22F2">
        <w:rPr>
          <w:rFonts w:cstheme="minorHAnsi"/>
        </w:rPr>
        <w:t>, 15(</w:t>
      </w:r>
      <w:r w:rsidRPr="002C22F2">
        <w:rPr>
          <w:rFonts w:cstheme="minorHAnsi"/>
        </w:rPr>
        <w:t>2</w:t>
      </w:r>
      <w:r w:rsidR="002C22F2">
        <w:rPr>
          <w:rFonts w:cstheme="minorHAnsi"/>
        </w:rPr>
        <w:t>)</w:t>
      </w:r>
      <w:r w:rsidRPr="002C22F2">
        <w:rPr>
          <w:rFonts w:cstheme="minorHAnsi"/>
        </w:rPr>
        <w:t>, 175-185</w:t>
      </w:r>
      <w:r w:rsidR="002C22F2">
        <w:rPr>
          <w:rFonts w:cstheme="minorHAnsi"/>
        </w:rPr>
        <w:t>.</w:t>
      </w:r>
    </w:p>
    <w:p w:rsidR="002C22F2" w:rsidRPr="002C22F2" w:rsidRDefault="002C22F2" w:rsidP="002C22F2">
      <w:pPr>
        <w:autoSpaceDE w:val="0"/>
        <w:autoSpaceDN w:val="0"/>
        <w:adjustRightInd w:val="0"/>
        <w:spacing w:after="0" w:line="360" w:lineRule="auto"/>
        <w:rPr>
          <w:rFonts w:cstheme="minorHAnsi"/>
        </w:rPr>
      </w:pPr>
    </w:p>
    <w:p w:rsidR="00472EDE" w:rsidRPr="002C22F2" w:rsidRDefault="00472EDE" w:rsidP="002C22F2">
      <w:pPr>
        <w:autoSpaceDE w:val="0"/>
        <w:autoSpaceDN w:val="0"/>
        <w:adjustRightInd w:val="0"/>
        <w:spacing w:after="0" w:line="360" w:lineRule="auto"/>
        <w:rPr>
          <w:rFonts w:cstheme="minorHAnsi"/>
        </w:rPr>
      </w:pPr>
      <w:r w:rsidRPr="002C22F2">
        <w:rPr>
          <w:rFonts w:cstheme="minorHAnsi"/>
        </w:rPr>
        <w:t>Nicol, D. (2010) From monologue to dialogue: improving written feedback</w:t>
      </w:r>
    </w:p>
    <w:p w:rsidR="00472EDE" w:rsidRPr="002C22F2" w:rsidRDefault="00472EDE" w:rsidP="002C22F2">
      <w:pPr>
        <w:spacing w:line="360" w:lineRule="auto"/>
        <w:rPr>
          <w:rFonts w:cstheme="minorHAnsi"/>
        </w:rPr>
      </w:pPr>
      <w:r w:rsidRPr="002C22F2">
        <w:rPr>
          <w:rFonts w:cstheme="minorHAnsi"/>
        </w:rPr>
        <w:t xml:space="preserve">processes in mass higher education, </w:t>
      </w:r>
      <w:r w:rsidRPr="002C22F2">
        <w:rPr>
          <w:rFonts w:cstheme="minorHAnsi"/>
          <w:i/>
        </w:rPr>
        <w:t>Assessment &amp; Evaluation in Higher Education</w:t>
      </w:r>
      <w:r w:rsidRPr="002C22F2">
        <w:rPr>
          <w:rFonts w:cstheme="minorHAnsi"/>
        </w:rPr>
        <w:t>, 3(5), 501-517.</w:t>
      </w:r>
    </w:p>
    <w:p w:rsidR="00472EDE" w:rsidRPr="00AA6C5F" w:rsidRDefault="00AA6C5F" w:rsidP="00AA6C5F">
      <w:pPr>
        <w:autoSpaceDE w:val="0"/>
        <w:autoSpaceDN w:val="0"/>
        <w:adjustRightInd w:val="0"/>
        <w:spacing w:after="0" w:line="360" w:lineRule="auto"/>
        <w:rPr>
          <w:rFonts w:cstheme="minorHAnsi"/>
        </w:rPr>
      </w:pPr>
      <w:r w:rsidRPr="00AA6C5F">
        <w:rPr>
          <w:rFonts w:cstheme="minorHAnsi"/>
        </w:rPr>
        <w:t xml:space="preserve">O'Hagan, S. R. and Wigglesworth, G. (2015) Who's marking my essay? The assessment of non-native-speaker and native-speaker undergraduate essays in an Australian higher education context, </w:t>
      </w:r>
      <w:r w:rsidRPr="00AA6C5F">
        <w:rPr>
          <w:rFonts w:cstheme="minorHAnsi"/>
          <w:i/>
        </w:rPr>
        <w:t>Studies in Higher Education</w:t>
      </w:r>
      <w:r w:rsidRPr="00AA6C5F">
        <w:rPr>
          <w:rFonts w:cstheme="minorHAnsi"/>
        </w:rPr>
        <w:t>, 40(9), 1729-1747</w:t>
      </w:r>
      <w:r>
        <w:rPr>
          <w:rFonts w:cstheme="minorHAnsi"/>
        </w:rPr>
        <w:t>.</w:t>
      </w:r>
    </w:p>
    <w:p w:rsidR="00AA6C5F" w:rsidRPr="00AA6C5F" w:rsidRDefault="00AA6C5F" w:rsidP="00AA6C5F">
      <w:pPr>
        <w:autoSpaceDE w:val="0"/>
        <w:autoSpaceDN w:val="0"/>
        <w:adjustRightInd w:val="0"/>
        <w:spacing w:after="0" w:line="240" w:lineRule="auto"/>
        <w:rPr>
          <w:rFonts w:ascii="ArialUnicodeMS" w:hAnsi="ArialUnicodeMS" w:cs="ArialUnicodeMS"/>
          <w:sz w:val="20"/>
          <w:szCs w:val="20"/>
        </w:rPr>
      </w:pPr>
    </w:p>
    <w:p w:rsidR="00BB64D4" w:rsidRDefault="00F41143" w:rsidP="00BB64D4">
      <w:pPr>
        <w:spacing w:line="360" w:lineRule="auto"/>
        <w:rPr>
          <w:rFonts w:cstheme="minorHAnsi"/>
        </w:rPr>
      </w:pPr>
      <w:r w:rsidRPr="004B7525">
        <w:rPr>
          <w:rFonts w:cstheme="minorHAnsi"/>
        </w:rPr>
        <w:t xml:space="preserve">Pinot de </w:t>
      </w:r>
      <w:proofErr w:type="spellStart"/>
      <w:r w:rsidRPr="004B7525">
        <w:rPr>
          <w:rFonts w:cstheme="minorHAnsi"/>
        </w:rPr>
        <w:t>Moire</w:t>
      </w:r>
      <w:proofErr w:type="spellEnd"/>
      <w:r w:rsidRPr="004B7525">
        <w:rPr>
          <w:rFonts w:cstheme="minorHAnsi"/>
        </w:rPr>
        <w:t xml:space="preserve">, A., Massey, C., Baird, J. and </w:t>
      </w:r>
      <w:proofErr w:type="spellStart"/>
      <w:r w:rsidRPr="004B7525">
        <w:rPr>
          <w:rFonts w:cstheme="minorHAnsi"/>
        </w:rPr>
        <w:t>Morrissy</w:t>
      </w:r>
      <w:proofErr w:type="spellEnd"/>
      <w:r w:rsidRPr="004B7525">
        <w:rPr>
          <w:rFonts w:cstheme="minorHAnsi"/>
        </w:rPr>
        <w:t xml:space="preserve">, M. (2002) Marking consistency over time, </w:t>
      </w:r>
      <w:r w:rsidRPr="004B7525">
        <w:rPr>
          <w:rFonts w:cstheme="minorHAnsi"/>
          <w:i/>
        </w:rPr>
        <w:t>Research in Education</w:t>
      </w:r>
      <w:r w:rsidRPr="004B7525">
        <w:rPr>
          <w:rFonts w:cstheme="minorHAnsi"/>
        </w:rPr>
        <w:t>, 67, 79-87</w:t>
      </w:r>
      <w:r w:rsidR="00970451">
        <w:rPr>
          <w:rFonts w:cstheme="minorHAnsi"/>
        </w:rPr>
        <w:t>.</w:t>
      </w:r>
    </w:p>
    <w:p w:rsidR="00BB64D4" w:rsidRPr="00BB64D4" w:rsidRDefault="00BB64D4" w:rsidP="00BB64D4">
      <w:pPr>
        <w:spacing w:line="360" w:lineRule="auto"/>
        <w:rPr>
          <w:rFonts w:cstheme="minorHAnsi"/>
        </w:rPr>
      </w:pPr>
      <w:r w:rsidRPr="00BB64D4">
        <w:rPr>
          <w:rFonts w:cstheme="minorHAnsi"/>
        </w:rPr>
        <w:t xml:space="preserve">Poon, W., </w:t>
      </w:r>
      <w:proofErr w:type="spellStart"/>
      <w:r w:rsidRPr="00BB64D4">
        <w:rPr>
          <w:rFonts w:cstheme="minorHAnsi"/>
        </w:rPr>
        <w:t>McNaught</w:t>
      </w:r>
      <w:proofErr w:type="spellEnd"/>
      <w:r w:rsidRPr="00BB64D4">
        <w:rPr>
          <w:rFonts w:cstheme="minorHAnsi"/>
        </w:rPr>
        <w:t xml:space="preserve">, C., Lam, P. and Kwan, H. S. (2009) Improving assessment methods in university science education with negotiated self‐ and peer‐assessment, </w:t>
      </w:r>
      <w:r w:rsidRPr="00BB64D4">
        <w:rPr>
          <w:rFonts w:cstheme="minorHAnsi"/>
          <w:i/>
        </w:rPr>
        <w:t>Assessment in Education: Principles, Policy &amp; Practice</w:t>
      </w:r>
      <w:r w:rsidRPr="00BB64D4">
        <w:rPr>
          <w:rFonts w:cstheme="minorHAnsi"/>
        </w:rPr>
        <w:t>, 16(3), 331-346,</w:t>
      </w:r>
    </w:p>
    <w:p w:rsidR="00970451" w:rsidRPr="00970451" w:rsidRDefault="00970451" w:rsidP="00F93CDF">
      <w:pPr>
        <w:autoSpaceDE w:val="0"/>
        <w:autoSpaceDN w:val="0"/>
        <w:adjustRightInd w:val="0"/>
        <w:spacing w:after="0" w:line="360" w:lineRule="auto"/>
        <w:rPr>
          <w:rFonts w:ascii="ArialUnicodeMS" w:hAnsi="ArialUnicodeMS" w:cs="ArialUnicodeMS"/>
          <w:sz w:val="20"/>
          <w:szCs w:val="20"/>
        </w:rPr>
      </w:pPr>
      <w:r w:rsidRPr="00F93CDF">
        <w:rPr>
          <w:rFonts w:cstheme="minorHAnsi"/>
        </w:rPr>
        <w:t xml:space="preserve">Reid, I. C. (2009) The contradictory managerialism of university quality assurance, </w:t>
      </w:r>
      <w:r w:rsidRPr="00F93CDF">
        <w:rPr>
          <w:rFonts w:cstheme="minorHAnsi"/>
          <w:i/>
        </w:rPr>
        <w:t>Journal of Education Policy</w:t>
      </w:r>
      <w:r w:rsidRPr="00F93CDF">
        <w:rPr>
          <w:rFonts w:cstheme="minorHAnsi"/>
        </w:rPr>
        <w:t>, 24(5), 575-593</w:t>
      </w:r>
      <w:r w:rsidRPr="00970451">
        <w:rPr>
          <w:rFonts w:ascii="ArialUnicodeMS" w:hAnsi="ArialUnicodeMS" w:cs="ArialUnicodeMS"/>
          <w:sz w:val="20"/>
          <w:szCs w:val="20"/>
        </w:rPr>
        <w:t>.</w:t>
      </w:r>
    </w:p>
    <w:p w:rsidR="00970451" w:rsidRPr="00970451" w:rsidRDefault="00970451" w:rsidP="00970451">
      <w:pPr>
        <w:autoSpaceDE w:val="0"/>
        <w:autoSpaceDN w:val="0"/>
        <w:adjustRightInd w:val="0"/>
        <w:spacing w:after="0" w:line="240" w:lineRule="auto"/>
        <w:rPr>
          <w:rFonts w:ascii="ArialUnicodeMS" w:hAnsi="ArialUnicodeMS" w:cs="ArialUnicodeMS"/>
          <w:sz w:val="20"/>
          <w:szCs w:val="20"/>
        </w:rPr>
      </w:pPr>
    </w:p>
    <w:p w:rsidR="00F41143" w:rsidRPr="004B7525" w:rsidRDefault="00F41143" w:rsidP="004B7525">
      <w:pPr>
        <w:spacing w:line="360" w:lineRule="auto"/>
        <w:rPr>
          <w:rFonts w:cstheme="minorHAnsi"/>
        </w:rPr>
      </w:pPr>
      <w:r w:rsidRPr="004B7525">
        <w:rPr>
          <w:rFonts w:cstheme="minorHAnsi"/>
        </w:rPr>
        <w:t xml:space="preserve">Sadler, D. R. (2005) Interpretations of criteria-based assessment and grading in higher education, </w:t>
      </w:r>
      <w:r w:rsidRPr="004B7525">
        <w:rPr>
          <w:rFonts w:cstheme="minorHAnsi"/>
          <w:i/>
        </w:rPr>
        <w:t>Assessment &amp; Evaluation in Higher Education</w:t>
      </w:r>
      <w:r w:rsidRPr="004B7525">
        <w:rPr>
          <w:rFonts w:cstheme="minorHAnsi"/>
        </w:rPr>
        <w:t>, 30(2), 175-194</w:t>
      </w:r>
      <w:r w:rsidR="00CF41ED">
        <w:rPr>
          <w:rFonts w:cstheme="minorHAnsi"/>
        </w:rPr>
        <w:t>.</w:t>
      </w:r>
    </w:p>
    <w:p w:rsidR="00F41143" w:rsidRPr="004B7525" w:rsidRDefault="00F41143" w:rsidP="004B7525">
      <w:pPr>
        <w:spacing w:line="360" w:lineRule="auto"/>
        <w:jc w:val="both"/>
        <w:rPr>
          <w:rFonts w:cstheme="minorHAnsi"/>
        </w:rPr>
      </w:pPr>
      <w:r w:rsidRPr="004B7525">
        <w:rPr>
          <w:rFonts w:cstheme="minorHAnsi"/>
        </w:rPr>
        <w:t>Sadler, R. R.</w:t>
      </w:r>
      <w:r w:rsidRPr="004B7525">
        <w:rPr>
          <w:rFonts w:cstheme="minorHAnsi"/>
          <w:i/>
        </w:rPr>
        <w:t xml:space="preserve"> (2010) Beyond feedback: Developing student capability in complex appraisal, Assessment &amp; Evaluation in Higher Education, </w:t>
      </w:r>
      <w:r w:rsidRPr="004B7525">
        <w:rPr>
          <w:rFonts w:cstheme="minorHAnsi"/>
        </w:rPr>
        <w:t>35(5), 535-550</w:t>
      </w:r>
      <w:r w:rsidR="00CF41ED">
        <w:rPr>
          <w:rFonts w:cstheme="minorHAnsi"/>
        </w:rPr>
        <w:t>.</w:t>
      </w:r>
    </w:p>
    <w:p w:rsidR="00F41143" w:rsidRDefault="00F41143" w:rsidP="004B7525">
      <w:pPr>
        <w:spacing w:line="360" w:lineRule="auto"/>
        <w:rPr>
          <w:rFonts w:cstheme="minorHAnsi"/>
        </w:rPr>
      </w:pPr>
      <w:proofErr w:type="spellStart"/>
      <w:r w:rsidRPr="004B7525">
        <w:rPr>
          <w:rFonts w:cstheme="minorHAnsi"/>
        </w:rPr>
        <w:t>Salamonson</w:t>
      </w:r>
      <w:proofErr w:type="spellEnd"/>
      <w:r w:rsidRPr="004B7525">
        <w:rPr>
          <w:rFonts w:cstheme="minorHAnsi"/>
        </w:rPr>
        <w:t>, Y., Halcomb, E. J., Andrew, S., Peters, K. and Jackson, D. (2010) A comparative study of assessment grading and nursing students’ perceptions of quali</w:t>
      </w:r>
      <w:r w:rsidR="00333319" w:rsidRPr="004B7525">
        <w:rPr>
          <w:rFonts w:cstheme="minorHAnsi"/>
        </w:rPr>
        <w:t>ty in sessional and tenured teac</w:t>
      </w:r>
      <w:r w:rsidRPr="004B7525">
        <w:rPr>
          <w:rFonts w:cstheme="minorHAnsi"/>
        </w:rPr>
        <w:t>hers, Journal of Nursing Scholarship, 42(4), 423-429</w:t>
      </w:r>
      <w:r w:rsidR="00CF41ED">
        <w:rPr>
          <w:rFonts w:cstheme="minorHAnsi"/>
        </w:rPr>
        <w:t>.</w:t>
      </w:r>
    </w:p>
    <w:p w:rsidR="00D10CC4" w:rsidRPr="00D10CC4" w:rsidRDefault="00D10CC4" w:rsidP="00D10CC4">
      <w:pPr>
        <w:autoSpaceDE w:val="0"/>
        <w:autoSpaceDN w:val="0"/>
        <w:adjustRightInd w:val="0"/>
        <w:spacing w:after="0" w:line="360" w:lineRule="auto"/>
        <w:rPr>
          <w:rFonts w:cstheme="minorHAnsi"/>
        </w:rPr>
      </w:pPr>
      <w:r w:rsidRPr="00D10CC4">
        <w:rPr>
          <w:rFonts w:cstheme="minorHAnsi"/>
        </w:rPr>
        <w:t>Scott, P. (2005) Mass higher education – ten years On, Perspectives: Policy and Practice in Higher Education, 9(3), 68-73.</w:t>
      </w:r>
    </w:p>
    <w:p w:rsidR="00D10CC4" w:rsidRDefault="00D10CC4" w:rsidP="004D25D5">
      <w:pPr>
        <w:autoSpaceDE w:val="0"/>
        <w:autoSpaceDN w:val="0"/>
        <w:adjustRightInd w:val="0"/>
        <w:spacing w:after="0" w:line="360" w:lineRule="auto"/>
        <w:rPr>
          <w:rFonts w:cstheme="minorHAnsi"/>
        </w:rPr>
      </w:pPr>
    </w:p>
    <w:p w:rsidR="004A045D" w:rsidRDefault="004A045D" w:rsidP="004D25D5">
      <w:pPr>
        <w:autoSpaceDE w:val="0"/>
        <w:autoSpaceDN w:val="0"/>
        <w:adjustRightInd w:val="0"/>
        <w:spacing w:after="0" w:line="360" w:lineRule="auto"/>
        <w:rPr>
          <w:rFonts w:cstheme="minorHAnsi"/>
        </w:rPr>
      </w:pPr>
      <w:r>
        <w:rPr>
          <w:rFonts w:cstheme="minorHAnsi"/>
        </w:rPr>
        <w:t xml:space="preserve">Smith, C. (2012) Why should we bother with assessment moderation? </w:t>
      </w:r>
      <w:r w:rsidRPr="004A045D">
        <w:rPr>
          <w:rFonts w:cstheme="minorHAnsi"/>
          <w:i/>
        </w:rPr>
        <w:t>Nurse Education Today</w:t>
      </w:r>
      <w:r>
        <w:rPr>
          <w:rFonts w:cstheme="minorHAnsi"/>
        </w:rPr>
        <w:t>, 32, e45-e48.</w:t>
      </w:r>
    </w:p>
    <w:p w:rsidR="00770422" w:rsidRDefault="00770422" w:rsidP="004D25D5">
      <w:pPr>
        <w:autoSpaceDE w:val="0"/>
        <w:autoSpaceDN w:val="0"/>
        <w:adjustRightInd w:val="0"/>
        <w:spacing w:after="0" w:line="360" w:lineRule="auto"/>
        <w:rPr>
          <w:rFonts w:cstheme="minorHAnsi"/>
        </w:rPr>
      </w:pPr>
    </w:p>
    <w:p w:rsidR="00770422" w:rsidRDefault="00770422" w:rsidP="004D25D5">
      <w:pPr>
        <w:autoSpaceDE w:val="0"/>
        <w:autoSpaceDN w:val="0"/>
        <w:adjustRightInd w:val="0"/>
        <w:spacing w:after="0" w:line="360" w:lineRule="auto"/>
        <w:rPr>
          <w:rFonts w:cstheme="minorHAnsi"/>
        </w:rPr>
      </w:pPr>
      <w:r>
        <w:rPr>
          <w:rFonts w:cstheme="minorHAnsi"/>
        </w:rPr>
        <w:t xml:space="preserve">Smith, E. and Coombe, K. (2006) Quality and qualms in the marking of university assignments by sessional staff: an exploratory study, </w:t>
      </w:r>
      <w:r w:rsidRPr="00770422">
        <w:rPr>
          <w:rFonts w:cstheme="minorHAnsi"/>
          <w:i/>
        </w:rPr>
        <w:t>Higher Education</w:t>
      </w:r>
      <w:r>
        <w:rPr>
          <w:rFonts w:cstheme="minorHAnsi"/>
        </w:rPr>
        <w:t>, 51, 45-69.</w:t>
      </w:r>
    </w:p>
    <w:p w:rsidR="00770422" w:rsidRDefault="00770422" w:rsidP="004D25D5">
      <w:pPr>
        <w:autoSpaceDE w:val="0"/>
        <w:autoSpaceDN w:val="0"/>
        <w:adjustRightInd w:val="0"/>
        <w:spacing w:after="0" w:line="360" w:lineRule="auto"/>
        <w:rPr>
          <w:rFonts w:cstheme="minorHAnsi"/>
        </w:rPr>
      </w:pPr>
    </w:p>
    <w:p w:rsidR="002C22F2" w:rsidRPr="002C22F2" w:rsidRDefault="002C22F2" w:rsidP="002C22F2">
      <w:pPr>
        <w:autoSpaceDE w:val="0"/>
        <w:autoSpaceDN w:val="0"/>
        <w:adjustRightInd w:val="0"/>
        <w:spacing w:after="0" w:line="360" w:lineRule="auto"/>
        <w:rPr>
          <w:rFonts w:cstheme="minorHAnsi"/>
        </w:rPr>
      </w:pPr>
      <w:r w:rsidRPr="002C22F2">
        <w:rPr>
          <w:rFonts w:cstheme="minorHAnsi"/>
        </w:rPr>
        <w:t xml:space="preserve">Smith, K. (2006) The conflicts and contradictions of working in a mass higher education system, </w:t>
      </w:r>
      <w:r w:rsidRPr="002C22F2">
        <w:rPr>
          <w:rFonts w:cstheme="minorHAnsi"/>
          <w:i/>
        </w:rPr>
        <w:t>Perspectives: Policy and Practice in Higher Education</w:t>
      </w:r>
      <w:r w:rsidRPr="002C22F2">
        <w:rPr>
          <w:rFonts w:cstheme="minorHAnsi"/>
        </w:rPr>
        <w:t>, 10(4), 97-101.</w:t>
      </w:r>
    </w:p>
    <w:p w:rsidR="002C22F2" w:rsidRPr="002C22F2" w:rsidRDefault="002C22F2" w:rsidP="002C22F2">
      <w:pPr>
        <w:autoSpaceDE w:val="0"/>
        <w:autoSpaceDN w:val="0"/>
        <w:adjustRightInd w:val="0"/>
        <w:spacing w:after="0" w:line="360" w:lineRule="auto"/>
        <w:rPr>
          <w:rFonts w:cstheme="minorHAnsi"/>
        </w:rPr>
      </w:pPr>
    </w:p>
    <w:p w:rsidR="00A80373" w:rsidRDefault="004D25D5" w:rsidP="004D25D5">
      <w:pPr>
        <w:autoSpaceDE w:val="0"/>
        <w:autoSpaceDN w:val="0"/>
        <w:adjustRightInd w:val="0"/>
        <w:spacing w:after="0" w:line="360" w:lineRule="auto"/>
        <w:rPr>
          <w:rFonts w:cstheme="minorHAnsi"/>
        </w:rPr>
      </w:pPr>
      <w:proofErr w:type="spellStart"/>
      <w:r w:rsidRPr="004D25D5">
        <w:rPr>
          <w:rFonts w:cstheme="minorHAnsi"/>
        </w:rPr>
        <w:t>Teichler</w:t>
      </w:r>
      <w:proofErr w:type="spellEnd"/>
      <w:r w:rsidRPr="004D25D5">
        <w:rPr>
          <w:rFonts w:cstheme="minorHAnsi"/>
        </w:rPr>
        <w:t xml:space="preserve">, U. (2001) Mass higher education and the need for new responses, Tertiary </w:t>
      </w:r>
      <w:r w:rsidRPr="004D25D5">
        <w:rPr>
          <w:rFonts w:cstheme="minorHAnsi"/>
          <w:i/>
        </w:rPr>
        <w:t>Education and Management</w:t>
      </w:r>
      <w:r w:rsidRPr="004D25D5">
        <w:rPr>
          <w:rFonts w:cstheme="minorHAnsi"/>
        </w:rPr>
        <w:t>, 7(1)</w:t>
      </w:r>
      <w:r w:rsidR="00AE258F">
        <w:rPr>
          <w:rFonts w:cstheme="minorHAnsi"/>
        </w:rPr>
        <w:t>, 3-7.</w:t>
      </w:r>
    </w:p>
    <w:p w:rsidR="00AE258F" w:rsidRPr="004D25D5" w:rsidRDefault="00AE258F" w:rsidP="004D25D5">
      <w:pPr>
        <w:autoSpaceDE w:val="0"/>
        <w:autoSpaceDN w:val="0"/>
        <w:adjustRightInd w:val="0"/>
        <w:spacing w:after="0" w:line="360" w:lineRule="auto"/>
        <w:rPr>
          <w:rFonts w:cstheme="minorHAnsi"/>
        </w:rPr>
      </w:pPr>
    </w:p>
    <w:p w:rsidR="00F41143" w:rsidRDefault="000B6AC0" w:rsidP="004B7525">
      <w:pPr>
        <w:spacing w:line="360" w:lineRule="auto"/>
      </w:pPr>
      <w:r>
        <w:rPr>
          <w:rFonts w:cstheme="minorHAnsi"/>
        </w:rPr>
        <w:t xml:space="preserve">Vista, A., Care, E. and Griffin, P. (2015) </w:t>
      </w:r>
      <w:proofErr w:type="gramStart"/>
      <w:r w:rsidR="00E07CBE" w:rsidRPr="00E07CBE">
        <w:t>A new approach</w:t>
      </w:r>
      <w:proofErr w:type="gramEnd"/>
      <w:r w:rsidR="00E07CBE" w:rsidRPr="00E07CBE">
        <w:t xml:space="preserve"> towards marking large-scale complex assessments: Developing a distributed marking system that uses an automatically scaffolding and rubric-targeted interface for guided peer-review</w:t>
      </w:r>
      <w:r w:rsidR="00E07CBE">
        <w:t xml:space="preserve">, </w:t>
      </w:r>
      <w:r w:rsidR="00E07CBE" w:rsidRPr="00E07CBE">
        <w:rPr>
          <w:i/>
        </w:rPr>
        <w:t>Assessing Writing</w:t>
      </w:r>
      <w:r w:rsidR="00E07CBE">
        <w:t>, 24, 1-15.</w:t>
      </w:r>
    </w:p>
    <w:p w:rsidR="00AE258F" w:rsidRDefault="00AE258F" w:rsidP="004B7525">
      <w:pPr>
        <w:spacing w:line="360" w:lineRule="auto"/>
      </w:pPr>
    </w:p>
    <w:p w:rsidR="00AE258F" w:rsidRPr="00AE258F" w:rsidRDefault="00AE258F" w:rsidP="00AE258F">
      <w:pPr>
        <w:autoSpaceDE w:val="0"/>
        <w:autoSpaceDN w:val="0"/>
        <w:adjustRightInd w:val="0"/>
        <w:spacing w:after="0" w:line="360" w:lineRule="auto"/>
        <w:rPr>
          <w:rFonts w:cstheme="minorHAnsi"/>
        </w:rPr>
      </w:pPr>
      <w:proofErr w:type="spellStart"/>
      <w:proofErr w:type="gramStart"/>
      <w:r w:rsidRPr="00AE258F">
        <w:rPr>
          <w:rFonts w:cstheme="minorHAnsi"/>
        </w:rPr>
        <w:t>Watty,K</w:t>
      </w:r>
      <w:proofErr w:type="spellEnd"/>
      <w:r w:rsidRPr="00AE258F">
        <w:rPr>
          <w:rFonts w:cstheme="minorHAnsi"/>
        </w:rPr>
        <w:t>.</w:t>
      </w:r>
      <w:proofErr w:type="gramEnd"/>
      <w:r w:rsidRPr="00AE258F">
        <w:rPr>
          <w:rFonts w:cstheme="minorHAnsi"/>
        </w:rPr>
        <w:t xml:space="preserve">, Freeman, M., </w:t>
      </w:r>
      <w:proofErr w:type="spellStart"/>
      <w:r w:rsidRPr="00AE258F">
        <w:rPr>
          <w:rFonts w:cstheme="minorHAnsi"/>
        </w:rPr>
        <w:t>Howieson,B</w:t>
      </w:r>
      <w:proofErr w:type="spellEnd"/>
      <w:r w:rsidRPr="00AE258F">
        <w:rPr>
          <w:rFonts w:cstheme="minorHAnsi"/>
        </w:rPr>
        <w:t>. Hancock, P., O’Connell, B., de Lange, P. and Abraham, A. (2014) Social moderation, assessment and assuring standards for accounting graduates</w:t>
      </w:r>
      <w:r w:rsidRPr="00AE258F">
        <w:rPr>
          <w:rFonts w:cstheme="minorHAnsi"/>
          <w:i/>
        </w:rPr>
        <w:t>, Assessment &amp; Evaluation in Higher Education</w:t>
      </w:r>
      <w:r w:rsidRPr="00AE258F">
        <w:rPr>
          <w:rFonts w:cstheme="minorHAnsi"/>
        </w:rPr>
        <w:t>, 39(4), 461-478.</w:t>
      </w:r>
    </w:p>
    <w:p w:rsidR="00AE258F" w:rsidRPr="00AE258F" w:rsidRDefault="00AE258F" w:rsidP="00AE258F">
      <w:pPr>
        <w:spacing w:line="360" w:lineRule="auto"/>
        <w:rPr>
          <w:rFonts w:cstheme="minorHAnsi"/>
        </w:rPr>
      </w:pPr>
    </w:p>
    <w:p w:rsidR="00A80373" w:rsidRPr="00A80373" w:rsidRDefault="00A80373" w:rsidP="00A80373">
      <w:pPr>
        <w:autoSpaceDE w:val="0"/>
        <w:autoSpaceDN w:val="0"/>
        <w:adjustRightInd w:val="0"/>
        <w:spacing w:after="0" w:line="360" w:lineRule="auto"/>
        <w:rPr>
          <w:rFonts w:cstheme="minorHAnsi"/>
        </w:rPr>
      </w:pPr>
      <w:r w:rsidRPr="00A80373">
        <w:rPr>
          <w:rFonts w:cstheme="minorHAnsi"/>
        </w:rPr>
        <w:t>Wood, E. H. and Henderson, S. (2010) Large cohort assessment: depth, interaction and</w:t>
      </w:r>
    </w:p>
    <w:p w:rsidR="00E07CBE" w:rsidRPr="00A80373" w:rsidRDefault="00A80373" w:rsidP="00A80373">
      <w:pPr>
        <w:spacing w:line="360" w:lineRule="auto"/>
        <w:rPr>
          <w:rFonts w:cstheme="minorHAnsi"/>
        </w:rPr>
      </w:pPr>
      <w:r w:rsidRPr="00A80373">
        <w:rPr>
          <w:rFonts w:cstheme="minorHAnsi"/>
        </w:rPr>
        <w:t xml:space="preserve">manageable marking", </w:t>
      </w:r>
      <w:r w:rsidRPr="00A80373">
        <w:rPr>
          <w:rFonts w:cstheme="minorHAnsi"/>
          <w:i/>
        </w:rPr>
        <w:t>Marketing Intelligence &amp; Planning</w:t>
      </w:r>
      <w:r w:rsidRPr="00A80373">
        <w:rPr>
          <w:rFonts w:cstheme="minorHAnsi"/>
        </w:rPr>
        <w:t>, 28(7), 898-907.</w:t>
      </w:r>
    </w:p>
    <w:p w:rsidR="00A80373" w:rsidRDefault="00A80373" w:rsidP="00A80373">
      <w:pPr>
        <w:spacing w:line="360" w:lineRule="auto"/>
        <w:rPr>
          <w:rFonts w:ascii="Arial" w:hAnsi="Arial" w:cs="Arial"/>
          <w:sz w:val="20"/>
          <w:szCs w:val="20"/>
        </w:rPr>
      </w:pPr>
    </w:p>
    <w:p w:rsidR="00A80373" w:rsidRDefault="00A80373" w:rsidP="00A80373">
      <w:pPr>
        <w:spacing w:line="360" w:lineRule="auto"/>
      </w:pPr>
    </w:p>
    <w:p w:rsidR="00E07CBE" w:rsidRPr="00E07CBE" w:rsidRDefault="00E07CBE" w:rsidP="004B7525">
      <w:pPr>
        <w:spacing w:line="360" w:lineRule="auto"/>
        <w:rPr>
          <w:rFonts w:cstheme="minorHAnsi"/>
        </w:rPr>
      </w:pPr>
    </w:p>
    <w:sectPr w:rsidR="00E07CBE" w:rsidRPr="00E07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2A"/>
    <w:rsid w:val="00034BDE"/>
    <w:rsid w:val="00045FC6"/>
    <w:rsid w:val="00061E1E"/>
    <w:rsid w:val="00075DAE"/>
    <w:rsid w:val="00076039"/>
    <w:rsid w:val="000A2106"/>
    <w:rsid w:val="000B0EEA"/>
    <w:rsid w:val="000B6AC0"/>
    <w:rsid w:val="000E3F1A"/>
    <w:rsid w:val="00104CAB"/>
    <w:rsid w:val="00131A70"/>
    <w:rsid w:val="00141D80"/>
    <w:rsid w:val="00162ADD"/>
    <w:rsid w:val="00165D22"/>
    <w:rsid w:val="001D2EF4"/>
    <w:rsid w:val="001F33FD"/>
    <w:rsid w:val="00203855"/>
    <w:rsid w:val="00227B5F"/>
    <w:rsid w:val="00227C0B"/>
    <w:rsid w:val="00291688"/>
    <w:rsid w:val="002C22F2"/>
    <w:rsid w:val="002C7546"/>
    <w:rsid w:val="002E4D9C"/>
    <w:rsid w:val="00302D3E"/>
    <w:rsid w:val="00317219"/>
    <w:rsid w:val="00333319"/>
    <w:rsid w:val="003355A6"/>
    <w:rsid w:val="00343409"/>
    <w:rsid w:val="003604F9"/>
    <w:rsid w:val="003624ED"/>
    <w:rsid w:val="003631F3"/>
    <w:rsid w:val="003666AC"/>
    <w:rsid w:val="00367609"/>
    <w:rsid w:val="00381222"/>
    <w:rsid w:val="0038232C"/>
    <w:rsid w:val="00390DB2"/>
    <w:rsid w:val="003A1475"/>
    <w:rsid w:val="003A2F61"/>
    <w:rsid w:val="003E0711"/>
    <w:rsid w:val="003E4BE0"/>
    <w:rsid w:val="003E795A"/>
    <w:rsid w:val="003F000D"/>
    <w:rsid w:val="00411F3D"/>
    <w:rsid w:val="00424D9C"/>
    <w:rsid w:val="00463600"/>
    <w:rsid w:val="00472EDE"/>
    <w:rsid w:val="00476B9A"/>
    <w:rsid w:val="00476C5A"/>
    <w:rsid w:val="004835A6"/>
    <w:rsid w:val="004A045D"/>
    <w:rsid w:val="004B7525"/>
    <w:rsid w:val="004D25D5"/>
    <w:rsid w:val="004D69F1"/>
    <w:rsid w:val="004E70BE"/>
    <w:rsid w:val="004F52BD"/>
    <w:rsid w:val="00535932"/>
    <w:rsid w:val="0055788F"/>
    <w:rsid w:val="00557BDB"/>
    <w:rsid w:val="005653E9"/>
    <w:rsid w:val="00574932"/>
    <w:rsid w:val="00576DE8"/>
    <w:rsid w:val="00584CBE"/>
    <w:rsid w:val="00585E27"/>
    <w:rsid w:val="005A15CF"/>
    <w:rsid w:val="005A4394"/>
    <w:rsid w:val="005C7439"/>
    <w:rsid w:val="005D1399"/>
    <w:rsid w:val="005D516B"/>
    <w:rsid w:val="005D5B1D"/>
    <w:rsid w:val="005E7F06"/>
    <w:rsid w:val="00603018"/>
    <w:rsid w:val="0062132A"/>
    <w:rsid w:val="0064344C"/>
    <w:rsid w:val="00664A20"/>
    <w:rsid w:val="006959DC"/>
    <w:rsid w:val="006A10C0"/>
    <w:rsid w:val="006B1557"/>
    <w:rsid w:val="00724A26"/>
    <w:rsid w:val="007300EB"/>
    <w:rsid w:val="0074315E"/>
    <w:rsid w:val="00770422"/>
    <w:rsid w:val="00793E51"/>
    <w:rsid w:val="007B1120"/>
    <w:rsid w:val="007C1E42"/>
    <w:rsid w:val="007C51DB"/>
    <w:rsid w:val="007C5AFC"/>
    <w:rsid w:val="007E0AC6"/>
    <w:rsid w:val="007F2FC2"/>
    <w:rsid w:val="008014EA"/>
    <w:rsid w:val="00804939"/>
    <w:rsid w:val="0081576C"/>
    <w:rsid w:val="0082071A"/>
    <w:rsid w:val="0082495F"/>
    <w:rsid w:val="00826CB7"/>
    <w:rsid w:val="00836CD2"/>
    <w:rsid w:val="00842FFA"/>
    <w:rsid w:val="00856C28"/>
    <w:rsid w:val="00873B17"/>
    <w:rsid w:val="008A3AD8"/>
    <w:rsid w:val="008B45B5"/>
    <w:rsid w:val="008B7CA3"/>
    <w:rsid w:val="008F37EA"/>
    <w:rsid w:val="008F4234"/>
    <w:rsid w:val="008F6637"/>
    <w:rsid w:val="00905DC9"/>
    <w:rsid w:val="00916B57"/>
    <w:rsid w:val="00961EF9"/>
    <w:rsid w:val="00967E96"/>
    <w:rsid w:val="00970451"/>
    <w:rsid w:val="00984B73"/>
    <w:rsid w:val="00A34273"/>
    <w:rsid w:val="00A34883"/>
    <w:rsid w:val="00A67DC9"/>
    <w:rsid w:val="00A80373"/>
    <w:rsid w:val="00A9080E"/>
    <w:rsid w:val="00AA6C5F"/>
    <w:rsid w:val="00AB021E"/>
    <w:rsid w:val="00AB2D47"/>
    <w:rsid w:val="00AE258F"/>
    <w:rsid w:val="00AE4AC9"/>
    <w:rsid w:val="00AE727E"/>
    <w:rsid w:val="00AE7CC1"/>
    <w:rsid w:val="00B07CAA"/>
    <w:rsid w:val="00B13606"/>
    <w:rsid w:val="00B20968"/>
    <w:rsid w:val="00B25C53"/>
    <w:rsid w:val="00B25F9C"/>
    <w:rsid w:val="00B54BAF"/>
    <w:rsid w:val="00B55D6C"/>
    <w:rsid w:val="00B55E9D"/>
    <w:rsid w:val="00B701B3"/>
    <w:rsid w:val="00B806C9"/>
    <w:rsid w:val="00B918D8"/>
    <w:rsid w:val="00BB64D4"/>
    <w:rsid w:val="00BE1DF0"/>
    <w:rsid w:val="00BF08AC"/>
    <w:rsid w:val="00BF30ED"/>
    <w:rsid w:val="00C003E2"/>
    <w:rsid w:val="00C06FE6"/>
    <w:rsid w:val="00C20B94"/>
    <w:rsid w:val="00C21187"/>
    <w:rsid w:val="00C45344"/>
    <w:rsid w:val="00CA40DF"/>
    <w:rsid w:val="00CB17B9"/>
    <w:rsid w:val="00CB1E3C"/>
    <w:rsid w:val="00CC1748"/>
    <w:rsid w:val="00CD1ABD"/>
    <w:rsid w:val="00CD2169"/>
    <w:rsid w:val="00CF41ED"/>
    <w:rsid w:val="00CF4996"/>
    <w:rsid w:val="00D10CC4"/>
    <w:rsid w:val="00D51F36"/>
    <w:rsid w:val="00D66361"/>
    <w:rsid w:val="00D77391"/>
    <w:rsid w:val="00D87C17"/>
    <w:rsid w:val="00DA0151"/>
    <w:rsid w:val="00DB0CB1"/>
    <w:rsid w:val="00DC6700"/>
    <w:rsid w:val="00DD536D"/>
    <w:rsid w:val="00DD7868"/>
    <w:rsid w:val="00DE75D0"/>
    <w:rsid w:val="00DF4AFD"/>
    <w:rsid w:val="00E0315A"/>
    <w:rsid w:val="00E07CBE"/>
    <w:rsid w:val="00E1290C"/>
    <w:rsid w:val="00E132DB"/>
    <w:rsid w:val="00E23E57"/>
    <w:rsid w:val="00E249AD"/>
    <w:rsid w:val="00E270B9"/>
    <w:rsid w:val="00E45AA9"/>
    <w:rsid w:val="00E73433"/>
    <w:rsid w:val="00E81919"/>
    <w:rsid w:val="00E90343"/>
    <w:rsid w:val="00E904AD"/>
    <w:rsid w:val="00E92940"/>
    <w:rsid w:val="00E92D45"/>
    <w:rsid w:val="00EA5E40"/>
    <w:rsid w:val="00EA7785"/>
    <w:rsid w:val="00EC2B43"/>
    <w:rsid w:val="00ED1032"/>
    <w:rsid w:val="00ED34DD"/>
    <w:rsid w:val="00F41143"/>
    <w:rsid w:val="00F84848"/>
    <w:rsid w:val="00F85634"/>
    <w:rsid w:val="00F874A1"/>
    <w:rsid w:val="00F90BC6"/>
    <w:rsid w:val="00F93CDF"/>
    <w:rsid w:val="00FA5E2C"/>
    <w:rsid w:val="00FA759D"/>
    <w:rsid w:val="00FC1703"/>
    <w:rsid w:val="00FC2ED0"/>
    <w:rsid w:val="00FD7760"/>
    <w:rsid w:val="00FF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69E9"/>
  <w15:docId w15:val="{BDB7FB6B-5936-444F-AAE6-D3F0AF77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143"/>
    <w:rPr>
      <w:color w:val="0563C1" w:themeColor="hyperlink"/>
      <w:u w:val="single"/>
    </w:rPr>
  </w:style>
  <w:style w:type="character" w:customStyle="1" w:styleId="Mention1">
    <w:name w:val="Mention1"/>
    <w:basedOn w:val="DefaultParagraphFont"/>
    <w:uiPriority w:val="99"/>
    <w:semiHidden/>
    <w:unhideWhenUsed/>
    <w:rsid w:val="00557BDB"/>
    <w:rPr>
      <w:color w:val="2B579A"/>
      <w:shd w:val="clear" w:color="auto" w:fill="E6E6E6"/>
    </w:rPr>
  </w:style>
  <w:style w:type="character" w:customStyle="1" w:styleId="artauthors">
    <w:name w:val="art_authors"/>
    <w:basedOn w:val="DefaultParagraphFont"/>
    <w:rsid w:val="007300EB"/>
  </w:style>
  <w:style w:type="character" w:customStyle="1" w:styleId="year">
    <w:name w:val="year"/>
    <w:basedOn w:val="DefaultParagraphFont"/>
    <w:rsid w:val="007300EB"/>
  </w:style>
  <w:style w:type="character" w:customStyle="1" w:styleId="arttitle2">
    <w:name w:val="art_title2"/>
    <w:basedOn w:val="DefaultParagraphFont"/>
    <w:rsid w:val="007300EB"/>
  </w:style>
  <w:style w:type="character" w:customStyle="1" w:styleId="journalname">
    <w:name w:val="journalname"/>
    <w:basedOn w:val="DefaultParagraphFont"/>
    <w:rsid w:val="007300EB"/>
  </w:style>
  <w:style w:type="character" w:customStyle="1" w:styleId="volume">
    <w:name w:val="volume"/>
    <w:basedOn w:val="DefaultParagraphFont"/>
    <w:rsid w:val="007300EB"/>
  </w:style>
  <w:style w:type="character" w:customStyle="1" w:styleId="issue3">
    <w:name w:val="issue3"/>
    <w:basedOn w:val="DefaultParagraphFont"/>
    <w:rsid w:val="007300EB"/>
  </w:style>
  <w:style w:type="character" w:customStyle="1" w:styleId="page1">
    <w:name w:val="page1"/>
    <w:basedOn w:val="DefaultParagraphFont"/>
    <w:rsid w:val="007300EB"/>
    <w:rPr>
      <w:shd w:val="clear" w:color="auto" w:fill="FFFFFF"/>
    </w:rPr>
  </w:style>
  <w:style w:type="character" w:styleId="Mention">
    <w:name w:val="Mention"/>
    <w:basedOn w:val="DefaultParagraphFont"/>
    <w:uiPriority w:val="99"/>
    <w:semiHidden/>
    <w:unhideWhenUsed/>
    <w:rsid w:val="000760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xeu.org/article/impact-class-size-performance-university-students" TargetMode="External"/><Relationship Id="rId4" Type="http://schemas.openxmlformats.org/officeDocument/2006/relationships/hyperlink" Target="https://www.gov.uk/government/organisations/of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carl08345@gmail.com</dc:creator>
  <cp:lastModifiedBy>carl08345@gmail.com</cp:lastModifiedBy>
  <cp:revision>4</cp:revision>
  <dcterms:created xsi:type="dcterms:W3CDTF">2018-02-10T11:52:00Z</dcterms:created>
  <dcterms:modified xsi:type="dcterms:W3CDTF">2018-02-10T19:22:00Z</dcterms:modified>
</cp:coreProperties>
</file>